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jc w:val="right"/>
        <w:rPr>
          <w:rFonts w:ascii="仿宋_GB2312" w:eastAsia="仿宋_GB2312" w:hAnsi="仿宋"/>
          <w:sz w:val="28"/>
          <w:szCs w:val="28"/>
        </w:rPr>
      </w:pPr>
    </w:p>
    <w:p w:rsidR="00122773" w:rsidRDefault="00122773">
      <w:pPr>
        <w:snapToGrid w:val="0"/>
        <w:ind w:firstLineChars="200" w:firstLine="640"/>
        <w:rPr>
          <w:rFonts w:ascii="仿宋" w:eastAsia="仿宋" w:hAnsi="仿宋"/>
          <w:sz w:val="32"/>
          <w:szCs w:val="32"/>
        </w:rPr>
      </w:pPr>
    </w:p>
    <w:p w:rsidR="00122773" w:rsidRDefault="00D24AE0">
      <w:pPr>
        <w:snapToGrid w:val="0"/>
        <w:jc w:val="center"/>
        <w:rPr>
          <w:rFonts w:ascii="方正小标宋简体" w:eastAsia="方正小标宋简体" w:hAnsi="宋体"/>
          <w:b/>
          <w:sz w:val="44"/>
          <w:szCs w:val="44"/>
        </w:rPr>
      </w:pPr>
      <w:r>
        <w:rPr>
          <w:rFonts w:ascii="方正小标宋简体" w:eastAsia="方正小标宋简体" w:hAnsi="宋体" w:hint="eastAsia"/>
          <w:b/>
          <w:sz w:val="44"/>
          <w:szCs w:val="44"/>
        </w:rPr>
        <w:t>《存量填埋设施治理工程项目建设标准》</w:t>
      </w:r>
    </w:p>
    <w:p w:rsidR="00122773" w:rsidRDefault="00122773">
      <w:pPr>
        <w:jc w:val="center"/>
        <w:rPr>
          <w:rFonts w:ascii="黑体" w:eastAsia="黑体" w:hAnsi="黑体"/>
          <w:sz w:val="48"/>
          <w:szCs w:val="48"/>
        </w:rPr>
      </w:pPr>
    </w:p>
    <w:p w:rsidR="00122773" w:rsidRDefault="00D24AE0">
      <w:pPr>
        <w:jc w:val="center"/>
        <w:rPr>
          <w:rFonts w:ascii="仿宋_GB2312" w:eastAsia="仿宋_GB2312" w:hAnsi="黑体"/>
          <w:sz w:val="32"/>
          <w:szCs w:val="32"/>
        </w:rPr>
      </w:pPr>
      <w:r>
        <w:rPr>
          <w:rFonts w:ascii="仿宋_GB2312" w:eastAsia="仿宋_GB2312" w:hAnsi="黑体" w:hint="eastAsia"/>
          <w:sz w:val="32"/>
          <w:szCs w:val="32"/>
        </w:rPr>
        <w:t>（征求意见稿）</w:t>
      </w:r>
    </w:p>
    <w:p w:rsidR="00122773" w:rsidRDefault="00122773">
      <w:pPr>
        <w:spacing w:line="600" w:lineRule="exact"/>
        <w:jc w:val="right"/>
        <w:rPr>
          <w:rFonts w:ascii="仿宋" w:eastAsia="仿宋" w:hAnsi="仿宋" w:cstheme="minorBidi"/>
          <w:b/>
          <w:sz w:val="28"/>
          <w:szCs w:val="28"/>
        </w:rPr>
      </w:pPr>
    </w:p>
    <w:p w:rsidR="00122773" w:rsidRDefault="00122773">
      <w:pPr>
        <w:spacing w:line="580" w:lineRule="exact"/>
        <w:ind w:leftChars="-67" w:left="-141"/>
        <w:jc w:val="left"/>
        <w:rPr>
          <w:rFonts w:asciiTheme="minorEastAsia" w:eastAsiaTheme="minorEastAsia" w:hAnsiTheme="minorEastAsia"/>
          <w:sz w:val="36"/>
          <w:szCs w:val="36"/>
        </w:rPr>
      </w:pPr>
    </w:p>
    <w:p w:rsidR="00122773" w:rsidRDefault="00122773">
      <w:pPr>
        <w:spacing w:line="580" w:lineRule="exact"/>
        <w:ind w:leftChars="-67" w:left="-141"/>
        <w:jc w:val="left"/>
        <w:rPr>
          <w:rFonts w:asciiTheme="minorEastAsia" w:eastAsiaTheme="minorEastAsia" w:hAnsiTheme="minorEastAsia"/>
          <w:sz w:val="36"/>
          <w:szCs w:val="36"/>
        </w:rPr>
      </w:pPr>
    </w:p>
    <w:p w:rsidR="00122773" w:rsidRDefault="00122773">
      <w:pPr>
        <w:spacing w:line="580" w:lineRule="exact"/>
        <w:ind w:leftChars="-67" w:left="-141"/>
        <w:jc w:val="left"/>
        <w:rPr>
          <w:rFonts w:asciiTheme="minorEastAsia" w:eastAsiaTheme="minorEastAsia" w:hAnsiTheme="minorEastAsia"/>
          <w:sz w:val="36"/>
          <w:szCs w:val="36"/>
        </w:rPr>
      </w:pPr>
    </w:p>
    <w:p w:rsidR="00122773" w:rsidRDefault="00122773">
      <w:pPr>
        <w:spacing w:line="580" w:lineRule="exact"/>
        <w:ind w:leftChars="-67" w:left="-141"/>
        <w:jc w:val="left"/>
        <w:rPr>
          <w:rFonts w:asciiTheme="minorEastAsia" w:eastAsiaTheme="minorEastAsia" w:hAnsiTheme="minorEastAsia"/>
          <w:sz w:val="36"/>
          <w:szCs w:val="36"/>
        </w:rPr>
      </w:pPr>
    </w:p>
    <w:p w:rsidR="00122773" w:rsidRDefault="00D24AE0">
      <w:pPr>
        <w:spacing w:line="580" w:lineRule="exact"/>
        <w:ind w:leftChars="-67" w:left="-141"/>
        <w:jc w:val="left"/>
        <w:rPr>
          <w:rFonts w:asciiTheme="minorEastAsia" w:eastAsiaTheme="minorEastAsia" w:hAnsiTheme="minorEastAsia"/>
          <w:sz w:val="36"/>
          <w:szCs w:val="36"/>
        </w:rPr>
      </w:pPr>
      <w:r>
        <w:rPr>
          <w:rFonts w:asciiTheme="minorEastAsia" w:eastAsiaTheme="minorEastAsia" w:hAnsiTheme="minorEastAsia" w:hint="eastAsia"/>
          <w:sz w:val="36"/>
          <w:szCs w:val="36"/>
        </w:rPr>
        <w:t>1、电子邮箱：</w:t>
      </w:r>
      <w:r>
        <w:rPr>
          <w:rFonts w:asciiTheme="minorEastAsia" w:eastAsiaTheme="minorEastAsia" w:hAnsiTheme="minorEastAsia"/>
          <w:sz w:val="36"/>
          <w:szCs w:val="36"/>
        </w:rPr>
        <w:t>qinxy@mohurd.gov.cn</w:t>
      </w:r>
      <w:r>
        <w:rPr>
          <w:rFonts w:asciiTheme="minorEastAsia" w:eastAsiaTheme="minorEastAsia" w:hAnsiTheme="minorEastAsia" w:hint="eastAsia"/>
          <w:sz w:val="36"/>
          <w:szCs w:val="36"/>
        </w:rPr>
        <w:t>。</w:t>
      </w:r>
    </w:p>
    <w:p w:rsidR="00122773" w:rsidRDefault="00D24AE0">
      <w:pPr>
        <w:spacing w:line="580" w:lineRule="exact"/>
        <w:ind w:leftChars="-67" w:left="-141"/>
        <w:jc w:val="left"/>
        <w:rPr>
          <w:rFonts w:ascii="仿宋" w:eastAsia="仿宋" w:hAnsi="仿宋"/>
          <w:sz w:val="32"/>
          <w:szCs w:val="32"/>
        </w:rPr>
      </w:pPr>
      <w:r>
        <w:rPr>
          <w:rFonts w:asciiTheme="minorEastAsia" w:eastAsiaTheme="minorEastAsia" w:hAnsiTheme="minorEastAsia" w:hint="eastAsia"/>
          <w:sz w:val="36"/>
          <w:szCs w:val="36"/>
        </w:rPr>
        <w:t>2、通信地址：北京市海淀区三里河路9号；邮政编码：100835</w:t>
      </w:r>
      <w:r>
        <w:rPr>
          <w:rFonts w:ascii="仿宋" w:eastAsia="仿宋" w:hAnsi="仿宋" w:hint="eastAsia"/>
          <w:sz w:val="32"/>
          <w:szCs w:val="32"/>
        </w:rPr>
        <w:t>。</w:t>
      </w:r>
    </w:p>
    <w:p w:rsidR="00122773" w:rsidRDefault="00122773">
      <w:pPr>
        <w:spacing w:line="580" w:lineRule="exact"/>
        <w:ind w:leftChars="-67" w:left="-141"/>
        <w:jc w:val="left"/>
        <w:rPr>
          <w:rFonts w:asciiTheme="minorEastAsia" w:eastAsiaTheme="minorEastAsia" w:hAnsiTheme="minorEastAsia"/>
          <w:sz w:val="36"/>
          <w:szCs w:val="36"/>
        </w:rPr>
      </w:pPr>
    </w:p>
    <w:p w:rsidR="00122773" w:rsidRDefault="00122773">
      <w:pPr>
        <w:spacing w:line="600" w:lineRule="exact"/>
        <w:jc w:val="right"/>
        <w:rPr>
          <w:rFonts w:ascii="仿宋" w:eastAsia="仿宋" w:hAnsi="仿宋" w:cstheme="minorBidi"/>
          <w:b/>
          <w:sz w:val="28"/>
          <w:szCs w:val="28"/>
        </w:rPr>
      </w:pPr>
    </w:p>
    <w:p w:rsidR="00122773" w:rsidRDefault="00122773">
      <w:pPr>
        <w:spacing w:line="600" w:lineRule="exact"/>
        <w:jc w:val="right"/>
        <w:rPr>
          <w:rFonts w:ascii="仿宋" w:eastAsia="仿宋" w:hAnsi="仿宋" w:cstheme="minorBidi"/>
          <w:b/>
          <w:sz w:val="28"/>
          <w:szCs w:val="28"/>
        </w:rPr>
      </w:pPr>
    </w:p>
    <w:p w:rsidR="00122773" w:rsidRDefault="00122773">
      <w:pPr>
        <w:spacing w:line="600" w:lineRule="exact"/>
        <w:jc w:val="right"/>
        <w:rPr>
          <w:rFonts w:ascii="仿宋" w:eastAsia="仿宋" w:hAnsi="仿宋" w:cstheme="minorBidi"/>
          <w:b/>
          <w:sz w:val="28"/>
          <w:szCs w:val="28"/>
        </w:rPr>
      </w:pPr>
    </w:p>
    <w:p w:rsidR="00122773" w:rsidRDefault="00122773">
      <w:pPr>
        <w:spacing w:line="600" w:lineRule="exact"/>
        <w:jc w:val="right"/>
        <w:rPr>
          <w:rFonts w:ascii="仿宋" w:eastAsia="仿宋" w:hAnsi="仿宋" w:cstheme="minorBidi"/>
          <w:b/>
          <w:sz w:val="28"/>
          <w:szCs w:val="28"/>
        </w:rPr>
      </w:pPr>
    </w:p>
    <w:p w:rsidR="00122773" w:rsidRDefault="00D24AE0">
      <w:pPr>
        <w:jc w:val="center"/>
        <w:rPr>
          <w:rFonts w:ascii="仿宋" w:eastAsia="仿宋" w:hAnsi="仿宋" w:cstheme="minorBidi"/>
          <w:b/>
          <w:sz w:val="28"/>
          <w:szCs w:val="28"/>
        </w:rPr>
      </w:pPr>
      <w:r>
        <w:rPr>
          <w:rFonts w:ascii="黑体" w:eastAsia="黑体" w:hAnsi="黑体" w:hint="eastAsia"/>
          <w:sz w:val="30"/>
          <w:szCs w:val="30"/>
        </w:rPr>
        <w:t>2022年8月</w:t>
      </w:r>
    </w:p>
    <w:p w:rsidR="00122773" w:rsidRDefault="00122773">
      <w:pPr>
        <w:widowControl/>
        <w:jc w:val="center"/>
        <w:rPr>
          <w:rFonts w:ascii="仿宋_GB2312" w:eastAsia="仿宋_GB2312" w:hAnsi="楷体"/>
          <w:sz w:val="32"/>
          <w:szCs w:val="32"/>
        </w:rPr>
      </w:pPr>
    </w:p>
    <w:p w:rsidR="00122773" w:rsidRDefault="00D24AE0">
      <w:pPr>
        <w:jc w:val="center"/>
        <w:rPr>
          <w:rFonts w:ascii="黑体" w:eastAsia="黑体" w:hAnsi="黑体"/>
          <w:b/>
          <w:sz w:val="32"/>
          <w:szCs w:val="32"/>
        </w:rPr>
      </w:pPr>
      <w:r>
        <w:rPr>
          <w:rFonts w:ascii="黑体" w:eastAsia="黑体" w:hAnsi="黑体" w:hint="eastAsia"/>
          <w:b/>
          <w:sz w:val="32"/>
          <w:szCs w:val="32"/>
        </w:rPr>
        <w:t>目 录</w:t>
      </w:r>
    </w:p>
    <w:p w:rsidR="00122773" w:rsidRDefault="00122773">
      <w:pPr>
        <w:jc w:val="center"/>
        <w:rPr>
          <w:rFonts w:ascii="仿宋" w:eastAsia="仿宋" w:hAnsi="仿宋"/>
          <w:sz w:val="32"/>
          <w:szCs w:val="32"/>
        </w:rPr>
      </w:pPr>
    </w:p>
    <w:p w:rsidR="00122773" w:rsidRDefault="00122773">
      <w:pPr>
        <w:pStyle w:val="TOC3"/>
        <w:tabs>
          <w:tab w:val="right" w:leader="dot" w:pos="8296"/>
        </w:tabs>
        <w:rPr>
          <w:rFonts w:ascii="仿宋_GB2312" w:eastAsia="仿宋_GB2312" w:hAnsiTheme="minorHAnsi" w:cstheme="minorBidi"/>
          <w:sz w:val="32"/>
          <w:szCs w:val="32"/>
        </w:rPr>
      </w:pPr>
      <w:r>
        <w:rPr>
          <w:rFonts w:ascii="仿宋_GB2312" w:eastAsia="仿宋_GB2312" w:hAnsi="仿宋" w:hint="eastAsia"/>
          <w:sz w:val="32"/>
          <w:szCs w:val="32"/>
        </w:rPr>
        <w:fldChar w:fldCharType="begin"/>
      </w:r>
      <w:r w:rsidR="00D24AE0">
        <w:rPr>
          <w:rFonts w:ascii="仿宋_GB2312" w:eastAsia="仿宋_GB2312" w:hAnsi="仿宋" w:hint="eastAsia"/>
          <w:sz w:val="32"/>
          <w:szCs w:val="32"/>
        </w:rPr>
        <w:instrText xml:space="preserve"> TOC \o "1-3" \h \z \u </w:instrText>
      </w:r>
      <w:r>
        <w:rPr>
          <w:rFonts w:ascii="仿宋_GB2312" w:eastAsia="仿宋_GB2312" w:hAnsi="仿宋" w:hint="eastAsia"/>
          <w:sz w:val="32"/>
          <w:szCs w:val="32"/>
        </w:rPr>
        <w:fldChar w:fldCharType="separate"/>
      </w:r>
      <w:hyperlink w:anchor="_Toc15462056" w:history="1">
        <w:r w:rsidR="00D24AE0">
          <w:rPr>
            <w:rStyle w:val="af3"/>
            <w:rFonts w:ascii="仿宋_GB2312" w:eastAsia="仿宋_GB2312" w:hAnsi="黑体" w:hint="eastAsia"/>
            <w:color w:val="auto"/>
            <w:sz w:val="32"/>
            <w:szCs w:val="32"/>
          </w:rPr>
          <w:t>第一章  总则</w:t>
        </w:r>
        <w:r w:rsidR="00D24AE0">
          <w:rPr>
            <w:rFonts w:ascii="仿宋_GB2312" w:eastAsia="仿宋_GB2312" w:hint="eastAsia"/>
            <w:sz w:val="32"/>
            <w:szCs w:val="32"/>
          </w:rPr>
          <w:tab/>
        </w:r>
        <w:r>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_Toc15462056 \h </w:instrText>
        </w:r>
        <w:r>
          <w:rPr>
            <w:rFonts w:ascii="仿宋_GB2312" w:eastAsia="仿宋_GB2312" w:hint="eastAsia"/>
            <w:sz w:val="32"/>
            <w:szCs w:val="32"/>
          </w:rPr>
        </w:r>
        <w:r>
          <w:rPr>
            <w:rFonts w:ascii="仿宋_GB2312" w:eastAsia="仿宋_GB2312" w:hint="eastAsia"/>
            <w:sz w:val="32"/>
            <w:szCs w:val="32"/>
          </w:rPr>
          <w:fldChar w:fldCharType="separate"/>
        </w:r>
        <w:r w:rsidR="00D24AE0">
          <w:rPr>
            <w:rFonts w:ascii="仿宋_GB2312" w:eastAsia="仿宋_GB2312"/>
            <w:noProof/>
            <w:sz w:val="32"/>
            <w:szCs w:val="32"/>
          </w:rPr>
          <w:t>1</w:t>
        </w:r>
        <w:r>
          <w:rPr>
            <w:rFonts w:ascii="仿宋_GB2312" w:eastAsia="仿宋_GB2312" w:hint="eastAsia"/>
            <w:sz w:val="32"/>
            <w:szCs w:val="32"/>
          </w:rPr>
          <w:fldChar w:fldCharType="end"/>
        </w:r>
      </w:hyperlink>
    </w:p>
    <w:p w:rsidR="00122773" w:rsidRDefault="00000000">
      <w:pPr>
        <w:pStyle w:val="TOC3"/>
        <w:tabs>
          <w:tab w:val="right" w:leader="dot" w:pos="8296"/>
        </w:tabs>
        <w:rPr>
          <w:rFonts w:ascii="仿宋_GB2312" w:eastAsia="仿宋_GB2312" w:hAnsiTheme="minorHAnsi" w:cstheme="minorBidi"/>
          <w:sz w:val="32"/>
          <w:szCs w:val="32"/>
        </w:rPr>
      </w:pPr>
      <w:hyperlink w:anchor="_Toc15462057" w:history="1">
        <w:r w:rsidR="00D24AE0">
          <w:rPr>
            <w:rStyle w:val="af3"/>
            <w:rFonts w:ascii="仿宋_GB2312" w:eastAsia="仿宋_GB2312" w:hAnsi="黑体" w:hint="eastAsia"/>
            <w:color w:val="auto"/>
            <w:sz w:val="32"/>
            <w:szCs w:val="32"/>
          </w:rPr>
          <w:t>第二章  建设规模与项目构成</w:t>
        </w:r>
        <w:r w:rsidR="00D24AE0">
          <w:rPr>
            <w:rFonts w:ascii="仿宋_GB2312" w:eastAsia="仿宋_GB2312" w:hint="eastAsia"/>
            <w:sz w:val="32"/>
            <w:szCs w:val="32"/>
          </w:rPr>
          <w:tab/>
        </w:r>
        <w:r w:rsidR="00122773">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_Toc15462057 \h </w:instrText>
        </w:r>
        <w:r w:rsidR="00122773">
          <w:rPr>
            <w:rFonts w:ascii="仿宋_GB2312" w:eastAsia="仿宋_GB2312" w:hint="eastAsia"/>
            <w:sz w:val="32"/>
            <w:szCs w:val="32"/>
          </w:rPr>
        </w:r>
        <w:r w:rsidR="00122773">
          <w:rPr>
            <w:rFonts w:ascii="仿宋_GB2312" w:eastAsia="仿宋_GB2312" w:hint="eastAsia"/>
            <w:sz w:val="32"/>
            <w:szCs w:val="32"/>
          </w:rPr>
          <w:fldChar w:fldCharType="separate"/>
        </w:r>
        <w:r w:rsidR="00D24AE0">
          <w:rPr>
            <w:rFonts w:ascii="仿宋_GB2312" w:eastAsia="仿宋_GB2312"/>
            <w:noProof/>
            <w:sz w:val="32"/>
            <w:szCs w:val="32"/>
          </w:rPr>
          <w:t>3</w:t>
        </w:r>
        <w:r w:rsidR="00122773">
          <w:rPr>
            <w:rFonts w:ascii="仿宋_GB2312" w:eastAsia="仿宋_GB2312" w:hint="eastAsia"/>
            <w:sz w:val="32"/>
            <w:szCs w:val="32"/>
          </w:rPr>
          <w:fldChar w:fldCharType="end"/>
        </w:r>
      </w:hyperlink>
    </w:p>
    <w:p w:rsidR="00122773" w:rsidRDefault="00000000">
      <w:pPr>
        <w:pStyle w:val="TOC3"/>
        <w:tabs>
          <w:tab w:val="right" w:leader="dot" w:pos="8296"/>
        </w:tabs>
        <w:rPr>
          <w:rFonts w:ascii="仿宋_GB2312" w:eastAsia="仿宋_GB2312" w:hAnsiTheme="minorHAnsi" w:cstheme="minorBidi"/>
          <w:sz w:val="32"/>
          <w:szCs w:val="32"/>
        </w:rPr>
      </w:pPr>
      <w:hyperlink w:anchor="_Toc15462058" w:history="1">
        <w:r w:rsidR="00D24AE0">
          <w:rPr>
            <w:rStyle w:val="af3"/>
            <w:rFonts w:ascii="仿宋_GB2312" w:eastAsia="仿宋_GB2312" w:hAnsi="黑体" w:hint="eastAsia"/>
            <w:color w:val="auto"/>
            <w:sz w:val="32"/>
            <w:szCs w:val="32"/>
          </w:rPr>
          <w:t>第三章  主体工程和工艺</w:t>
        </w:r>
        <w:r w:rsidR="00D24AE0">
          <w:rPr>
            <w:rFonts w:ascii="仿宋_GB2312" w:eastAsia="仿宋_GB2312" w:hint="eastAsia"/>
            <w:sz w:val="32"/>
            <w:szCs w:val="32"/>
          </w:rPr>
          <w:tab/>
        </w:r>
        <w:r w:rsidR="00122773">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_Toc15462058 \h </w:instrText>
        </w:r>
        <w:r w:rsidR="00122773">
          <w:rPr>
            <w:rFonts w:ascii="仿宋_GB2312" w:eastAsia="仿宋_GB2312" w:hint="eastAsia"/>
            <w:sz w:val="32"/>
            <w:szCs w:val="32"/>
          </w:rPr>
        </w:r>
        <w:r w:rsidR="00122773">
          <w:rPr>
            <w:rFonts w:ascii="仿宋_GB2312" w:eastAsia="仿宋_GB2312" w:hint="eastAsia"/>
            <w:sz w:val="32"/>
            <w:szCs w:val="32"/>
          </w:rPr>
          <w:fldChar w:fldCharType="separate"/>
        </w:r>
        <w:r w:rsidR="00D24AE0">
          <w:rPr>
            <w:rFonts w:ascii="仿宋_GB2312" w:eastAsia="仿宋_GB2312"/>
            <w:noProof/>
            <w:sz w:val="32"/>
            <w:szCs w:val="32"/>
          </w:rPr>
          <w:t>5</w:t>
        </w:r>
        <w:r w:rsidR="00122773">
          <w:rPr>
            <w:rFonts w:ascii="仿宋_GB2312" w:eastAsia="仿宋_GB2312" w:hint="eastAsia"/>
            <w:sz w:val="32"/>
            <w:szCs w:val="32"/>
          </w:rPr>
          <w:fldChar w:fldCharType="end"/>
        </w:r>
      </w:hyperlink>
    </w:p>
    <w:p w:rsidR="00122773" w:rsidRDefault="00000000">
      <w:pPr>
        <w:pStyle w:val="TOC3"/>
        <w:tabs>
          <w:tab w:val="right" w:leader="dot" w:pos="8296"/>
        </w:tabs>
        <w:rPr>
          <w:rFonts w:ascii="仿宋_GB2312" w:eastAsia="仿宋_GB2312" w:hAnsiTheme="minorHAnsi" w:cstheme="minorBidi"/>
          <w:sz w:val="32"/>
          <w:szCs w:val="32"/>
        </w:rPr>
      </w:pPr>
      <w:hyperlink w:anchor="_Toc15462059" w:history="1">
        <w:r w:rsidR="00D24AE0">
          <w:rPr>
            <w:rStyle w:val="af3"/>
            <w:rFonts w:ascii="仿宋_GB2312" w:eastAsia="仿宋_GB2312" w:hAnsi="黑体" w:hint="eastAsia"/>
            <w:color w:val="auto"/>
            <w:sz w:val="32"/>
            <w:szCs w:val="32"/>
          </w:rPr>
          <w:t>第四章  配套工程</w:t>
        </w:r>
        <w:r w:rsidR="00D24AE0">
          <w:rPr>
            <w:rFonts w:ascii="仿宋_GB2312" w:eastAsia="仿宋_GB2312" w:hint="eastAsia"/>
            <w:sz w:val="32"/>
            <w:szCs w:val="32"/>
          </w:rPr>
          <w:tab/>
        </w:r>
        <w:r w:rsidR="00122773">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_Toc15462059 \h </w:instrText>
        </w:r>
        <w:r w:rsidR="00122773">
          <w:rPr>
            <w:rFonts w:ascii="仿宋_GB2312" w:eastAsia="仿宋_GB2312" w:hint="eastAsia"/>
            <w:sz w:val="32"/>
            <w:szCs w:val="32"/>
          </w:rPr>
        </w:r>
        <w:r w:rsidR="00122773">
          <w:rPr>
            <w:rFonts w:ascii="仿宋_GB2312" w:eastAsia="仿宋_GB2312" w:hint="eastAsia"/>
            <w:sz w:val="32"/>
            <w:szCs w:val="32"/>
          </w:rPr>
          <w:fldChar w:fldCharType="separate"/>
        </w:r>
        <w:r w:rsidR="00D24AE0">
          <w:rPr>
            <w:rFonts w:ascii="仿宋_GB2312" w:eastAsia="仿宋_GB2312"/>
            <w:noProof/>
            <w:sz w:val="32"/>
            <w:szCs w:val="32"/>
          </w:rPr>
          <w:t>8</w:t>
        </w:r>
        <w:r w:rsidR="00122773">
          <w:rPr>
            <w:rFonts w:ascii="仿宋_GB2312" w:eastAsia="仿宋_GB2312" w:hint="eastAsia"/>
            <w:sz w:val="32"/>
            <w:szCs w:val="32"/>
          </w:rPr>
          <w:fldChar w:fldCharType="end"/>
        </w:r>
      </w:hyperlink>
    </w:p>
    <w:p w:rsidR="00122773" w:rsidRDefault="00000000">
      <w:pPr>
        <w:pStyle w:val="TOC3"/>
        <w:tabs>
          <w:tab w:val="right" w:leader="dot" w:pos="8296"/>
        </w:tabs>
        <w:rPr>
          <w:rFonts w:ascii="仿宋_GB2312" w:eastAsia="仿宋_GB2312" w:hAnsiTheme="minorHAnsi" w:cstheme="minorBidi"/>
          <w:sz w:val="32"/>
          <w:szCs w:val="32"/>
        </w:rPr>
      </w:pPr>
      <w:hyperlink w:anchor="_Toc15462060" w:history="1">
        <w:r w:rsidR="00D24AE0">
          <w:rPr>
            <w:rStyle w:val="af3"/>
            <w:rFonts w:ascii="仿宋_GB2312" w:eastAsia="仿宋_GB2312" w:hAnsi="黑体" w:hint="eastAsia"/>
            <w:color w:val="auto"/>
            <w:sz w:val="32"/>
            <w:szCs w:val="32"/>
          </w:rPr>
          <w:t>第五章  面积指标</w:t>
        </w:r>
        <w:r w:rsidR="00D24AE0">
          <w:rPr>
            <w:rFonts w:ascii="仿宋_GB2312" w:eastAsia="仿宋_GB2312" w:hint="eastAsia"/>
            <w:sz w:val="32"/>
            <w:szCs w:val="32"/>
          </w:rPr>
          <w:tab/>
        </w:r>
        <w:r w:rsidR="00122773">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_Toc15462060 \h </w:instrText>
        </w:r>
        <w:r w:rsidR="00122773">
          <w:rPr>
            <w:rFonts w:ascii="仿宋_GB2312" w:eastAsia="仿宋_GB2312" w:hint="eastAsia"/>
            <w:sz w:val="32"/>
            <w:szCs w:val="32"/>
          </w:rPr>
        </w:r>
        <w:r w:rsidR="00122773">
          <w:rPr>
            <w:rFonts w:ascii="仿宋_GB2312" w:eastAsia="仿宋_GB2312" w:hint="eastAsia"/>
            <w:sz w:val="32"/>
            <w:szCs w:val="32"/>
          </w:rPr>
          <w:fldChar w:fldCharType="separate"/>
        </w:r>
        <w:r w:rsidR="00D24AE0">
          <w:rPr>
            <w:rFonts w:ascii="仿宋_GB2312" w:eastAsia="仿宋_GB2312"/>
            <w:noProof/>
            <w:sz w:val="32"/>
            <w:szCs w:val="32"/>
          </w:rPr>
          <w:t>10</w:t>
        </w:r>
        <w:r w:rsidR="00122773">
          <w:rPr>
            <w:rFonts w:ascii="仿宋_GB2312" w:eastAsia="仿宋_GB2312" w:hint="eastAsia"/>
            <w:sz w:val="32"/>
            <w:szCs w:val="32"/>
          </w:rPr>
          <w:fldChar w:fldCharType="end"/>
        </w:r>
      </w:hyperlink>
    </w:p>
    <w:p w:rsidR="00122773" w:rsidRDefault="00000000">
      <w:pPr>
        <w:pStyle w:val="TOC3"/>
        <w:tabs>
          <w:tab w:val="right" w:leader="dot" w:pos="8296"/>
        </w:tabs>
        <w:rPr>
          <w:rFonts w:ascii="仿宋_GB2312" w:eastAsia="仿宋_GB2312" w:hAnsiTheme="minorHAnsi" w:cstheme="minorBidi"/>
          <w:sz w:val="32"/>
          <w:szCs w:val="32"/>
        </w:rPr>
      </w:pPr>
      <w:hyperlink w:anchor="_Toc15462061" w:history="1">
        <w:r w:rsidR="00D24AE0">
          <w:rPr>
            <w:rStyle w:val="af3"/>
            <w:rFonts w:ascii="仿宋_GB2312" w:eastAsia="仿宋_GB2312" w:hAnsi="黑体" w:hint="eastAsia"/>
            <w:color w:val="auto"/>
            <w:sz w:val="32"/>
            <w:szCs w:val="32"/>
          </w:rPr>
          <w:t>第六章  主要技术经济指标</w:t>
        </w:r>
        <w:r w:rsidR="00D24AE0">
          <w:rPr>
            <w:rFonts w:ascii="仿宋_GB2312" w:eastAsia="仿宋_GB2312" w:hint="eastAsia"/>
            <w:sz w:val="32"/>
            <w:szCs w:val="32"/>
          </w:rPr>
          <w:tab/>
        </w:r>
        <w:r w:rsidR="00122773">
          <w:rPr>
            <w:rFonts w:ascii="仿宋_GB2312" w:eastAsia="仿宋_GB2312" w:hint="eastAsia"/>
            <w:sz w:val="32"/>
            <w:szCs w:val="32"/>
          </w:rPr>
          <w:fldChar w:fldCharType="begin"/>
        </w:r>
        <w:r w:rsidR="00D24AE0">
          <w:rPr>
            <w:rFonts w:ascii="仿宋_GB2312" w:eastAsia="仿宋_GB2312" w:hint="eastAsia"/>
            <w:sz w:val="32"/>
            <w:szCs w:val="32"/>
          </w:rPr>
          <w:instrText xml:space="preserve"> PAGEREF _Toc15462061 \h </w:instrText>
        </w:r>
        <w:r w:rsidR="00122773">
          <w:rPr>
            <w:rFonts w:ascii="仿宋_GB2312" w:eastAsia="仿宋_GB2312" w:hint="eastAsia"/>
            <w:sz w:val="32"/>
            <w:szCs w:val="32"/>
          </w:rPr>
        </w:r>
        <w:r w:rsidR="00122773">
          <w:rPr>
            <w:rFonts w:ascii="仿宋_GB2312" w:eastAsia="仿宋_GB2312" w:hint="eastAsia"/>
            <w:sz w:val="32"/>
            <w:szCs w:val="32"/>
          </w:rPr>
          <w:fldChar w:fldCharType="separate"/>
        </w:r>
        <w:r w:rsidR="00D24AE0">
          <w:rPr>
            <w:rFonts w:ascii="仿宋_GB2312" w:eastAsia="仿宋_GB2312"/>
            <w:noProof/>
            <w:sz w:val="32"/>
            <w:szCs w:val="32"/>
          </w:rPr>
          <w:t>11</w:t>
        </w:r>
        <w:r w:rsidR="00122773">
          <w:rPr>
            <w:rFonts w:ascii="仿宋_GB2312" w:eastAsia="仿宋_GB2312" w:hint="eastAsia"/>
            <w:sz w:val="32"/>
            <w:szCs w:val="32"/>
          </w:rPr>
          <w:fldChar w:fldCharType="end"/>
        </w:r>
      </w:hyperlink>
    </w:p>
    <w:p w:rsidR="00122773" w:rsidRDefault="00122773">
      <w:pPr>
        <w:tabs>
          <w:tab w:val="right" w:leader="dot" w:pos="7938"/>
          <w:tab w:val="right" w:leader="dot" w:pos="8080"/>
        </w:tabs>
        <w:ind w:leftChars="202" w:left="424"/>
        <w:jc w:val="left"/>
        <w:rPr>
          <w:rFonts w:ascii="仿宋" w:eastAsia="仿宋" w:hAnsi="仿宋"/>
          <w:sz w:val="32"/>
          <w:szCs w:val="32"/>
        </w:rPr>
      </w:pPr>
      <w:r>
        <w:rPr>
          <w:rFonts w:ascii="仿宋_GB2312" w:eastAsia="仿宋_GB2312" w:hAnsi="仿宋" w:hint="eastAsia"/>
          <w:sz w:val="32"/>
          <w:szCs w:val="32"/>
        </w:rPr>
        <w:fldChar w:fldCharType="end"/>
      </w:r>
    </w:p>
    <w:p w:rsidR="00122773" w:rsidRDefault="00122773">
      <w:pPr>
        <w:ind w:firstLine="645"/>
        <w:jc w:val="right"/>
        <w:rPr>
          <w:rFonts w:ascii="仿宋_GB2312" w:eastAsia="仿宋_GB2312" w:hAnsi="楷体"/>
          <w:sz w:val="32"/>
          <w:szCs w:val="32"/>
        </w:rPr>
        <w:sectPr w:rsidR="00122773">
          <w:footerReference w:type="default" r:id="rId8"/>
          <w:pgSz w:w="11906" w:h="16838"/>
          <w:pgMar w:top="1440" w:right="1800" w:bottom="1440" w:left="1800" w:header="851" w:footer="992" w:gutter="0"/>
          <w:pgNumType w:fmt="numberInDash" w:start="1"/>
          <w:cols w:space="720"/>
          <w:docGrid w:type="lines" w:linePitch="312"/>
        </w:sectPr>
      </w:pPr>
    </w:p>
    <w:p w:rsidR="00122773" w:rsidRDefault="00D24AE0">
      <w:pPr>
        <w:pStyle w:val="3"/>
        <w:spacing w:line="240" w:lineRule="auto"/>
        <w:jc w:val="center"/>
        <w:rPr>
          <w:rFonts w:ascii="黑体" w:eastAsia="黑体" w:hAnsi="黑体"/>
          <w:sz w:val="28"/>
          <w:szCs w:val="28"/>
        </w:rPr>
      </w:pPr>
      <w:bookmarkStart w:id="0" w:name="_Toc15462056"/>
      <w:r>
        <w:rPr>
          <w:rFonts w:ascii="黑体" w:eastAsia="黑体" w:hAnsi="黑体" w:hint="eastAsia"/>
          <w:sz w:val="28"/>
          <w:szCs w:val="28"/>
        </w:rPr>
        <w:lastRenderedPageBreak/>
        <w:t>第一章  总则</w:t>
      </w:r>
      <w:bookmarkEnd w:id="0"/>
    </w:p>
    <w:p w:rsidR="00122773" w:rsidRDefault="00D24AE0">
      <w:pPr>
        <w:pStyle w:val="1"/>
        <w:numPr>
          <w:ilvl w:val="0"/>
          <w:numId w:val="1"/>
        </w:numPr>
        <w:ind w:left="0" w:firstLineChars="0" w:firstLine="0"/>
        <w:rPr>
          <w:rFonts w:ascii="黑体" w:eastAsia="黑体"/>
          <w:sz w:val="24"/>
        </w:rPr>
      </w:pPr>
      <w:r>
        <w:rPr>
          <w:rFonts w:hint="eastAsia"/>
          <w:sz w:val="24"/>
        </w:rPr>
        <w:t>为</w:t>
      </w:r>
      <w:r>
        <w:rPr>
          <w:sz w:val="24"/>
        </w:rPr>
        <w:t>促进经济社会和环境保护的</w:t>
      </w:r>
      <w:r>
        <w:rPr>
          <w:rFonts w:hint="eastAsia"/>
          <w:sz w:val="24"/>
        </w:rPr>
        <w:t>科学</w:t>
      </w:r>
      <w:r>
        <w:rPr>
          <w:sz w:val="24"/>
        </w:rPr>
        <w:t>发展，</w:t>
      </w:r>
      <w:r>
        <w:rPr>
          <w:rFonts w:hint="eastAsia"/>
          <w:sz w:val="24"/>
        </w:rPr>
        <w:t>加强垃圾污染治理，</w:t>
      </w:r>
      <w:r>
        <w:rPr>
          <w:sz w:val="24"/>
        </w:rPr>
        <w:t>实现生活垃圾处理的减量化、资源化</w:t>
      </w:r>
      <w:r>
        <w:rPr>
          <w:rFonts w:hint="eastAsia"/>
          <w:sz w:val="24"/>
        </w:rPr>
        <w:t>、</w:t>
      </w:r>
      <w:r>
        <w:rPr>
          <w:sz w:val="24"/>
        </w:rPr>
        <w:t>无害化</w:t>
      </w:r>
      <w:r>
        <w:rPr>
          <w:rFonts w:hint="eastAsia"/>
          <w:sz w:val="24"/>
        </w:rPr>
        <w:t>，规范存量填埋设施治理工程项目的建设与管理，提高存量填埋设施治理工程项目的决策和建设水平，充分发挥投资效益，制定本建设标准。</w:t>
      </w:r>
    </w:p>
    <w:p w:rsidR="00122773" w:rsidRDefault="00D24AE0">
      <w:pPr>
        <w:rPr>
          <w:rFonts w:ascii="楷体" w:eastAsia="楷体" w:hAnsi="楷体"/>
          <w:sz w:val="24"/>
        </w:rPr>
      </w:pPr>
      <w:r>
        <w:rPr>
          <w:rFonts w:ascii="楷体" w:eastAsia="楷体" w:hAnsi="楷体" w:hint="eastAsia"/>
          <w:sz w:val="24"/>
        </w:rPr>
        <w:t>条文说明：本条阐明制定本建设标准的目的。随着社会经济的快速发展，生活垃圾的产生量相应增加，需要进一步加强垃圾污染治理，</w:t>
      </w:r>
      <w:r>
        <w:rPr>
          <w:rFonts w:ascii="楷体" w:eastAsia="楷体" w:hAnsi="楷体"/>
          <w:sz w:val="24"/>
        </w:rPr>
        <w:t>实现生活垃圾处理的减量化、资源化</w:t>
      </w:r>
      <w:r>
        <w:rPr>
          <w:rFonts w:ascii="楷体" w:eastAsia="楷体" w:hAnsi="楷体" w:hint="eastAsia"/>
          <w:sz w:val="24"/>
        </w:rPr>
        <w:t>、</w:t>
      </w:r>
      <w:r>
        <w:rPr>
          <w:rFonts w:ascii="楷体" w:eastAsia="楷体" w:hAnsi="楷体"/>
          <w:sz w:val="24"/>
        </w:rPr>
        <w:t>无害化</w:t>
      </w:r>
      <w:r>
        <w:rPr>
          <w:rFonts w:ascii="楷体" w:eastAsia="楷体" w:hAnsi="楷体" w:hint="eastAsia"/>
          <w:sz w:val="24"/>
        </w:rPr>
        <w:t>，规范存量填埋设施治理工程项目的建设与管理，提高存量填埋设施治理工程项目的决策和建设水平，充分发挥投资效益。</w:t>
      </w:r>
    </w:p>
    <w:p w:rsidR="00122773" w:rsidRDefault="00122773">
      <w:pPr>
        <w:rPr>
          <w:rFonts w:ascii="黑体" w:eastAsia="黑体"/>
          <w:sz w:val="24"/>
        </w:rPr>
      </w:pPr>
    </w:p>
    <w:p w:rsidR="00122773" w:rsidRDefault="00D24AE0">
      <w:pPr>
        <w:pStyle w:val="1"/>
        <w:numPr>
          <w:ilvl w:val="0"/>
          <w:numId w:val="1"/>
        </w:numPr>
        <w:ind w:left="0" w:firstLineChars="0" w:firstLine="0"/>
        <w:rPr>
          <w:sz w:val="24"/>
        </w:rPr>
      </w:pPr>
      <w:r>
        <w:rPr>
          <w:rFonts w:ascii="宋体" w:hAnsi="宋体" w:hint="eastAsia"/>
          <w:sz w:val="24"/>
        </w:rPr>
        <w:t>本建设标准是</w:t>
      </w:r>
      <w:r>
        <w:rPr>
          <w:rFonts w:hint="eastAsia"/>
          <w:sz w:val="24"/>
        </w:rPr>
        <w:t>存量填埋设施治理工程项目</w:t>
      </w:r>
      <w:r>
        <w:rPr>
          <w:rFonts w:ascii="宋体" w:hAnsi="宋体" w:hint="eastAsia"/>
          <w:sz w:val="24"/>
        </w:rPr>
        <w:t>投资决策、项目建设的统一标准，是编制、评估、审批和核准</w:t>
      </w:r>
      <w:r>
        <w:rPr>
          <w:rFonts w:hint="eastAsia"/>
          <w:sz w:val="24"/>
        </w:rPr>
        <w:t>存量填埋设施治理工程项目</w:t>
      </w:r>
      <w:r>
        <w:rPr>
          <w:rFonts w:ascii="宋体" w:hAnsi="宋体" w:hint="eastAsia"/>
          <w:sz w:val="24"/>
        </w:rPr>
        <w:t>建议书、可行性研究报告</w:t>
      </w:r>
      <w:r>
        <w:rPr>
          <w:rFonts w:hint="eastAsia"/>
          <w:sz w:val="24"/>
        </w:rPr>
        <w:t>、项目申请报告、初步设计</w:t>
      </w:r>
      <w:r>
        <w:rPr>
          <w:rFonts w:ascii="宋体" w:hAnsi="宋体" w:hint="eastAsia"/>
          <w:sz w:val="24"/>
        </w:rPr>
        <w:t>的重要依据，也是有关部门对项目建设进行监督检查的尺度。</w:t>
      </w:r>
    </w:p>
    <w:p w:rsidR="00122773" w:rsidRDefault="00D24AE0">
      <w:pPr>
        <w:rPr>
          <w:rFonts w:ascii="楷体" w:eastAsia="楷体" w:hAnsi="楷体"/>
          <w:sz w:val="24"/>
        </w:rPr>
      </w:pPr>
      <w:r>
        <w:rPr>
          <w:rFonts w:ascii="楷体" w:eastAsia="楷体" w:hAnsi="楷体" w:hint="eastAsia"/>
          <w:sz w:val="24"/>
        </w:rPr>
        <w:t>条文说明：本条阐明本建设标准的用途。存量填埋设施治理工程使用政府直接投资的比较多，本建设标准是存量填埋设施治理工程投资决策、项目建设的统一标准，是编制、评估、审批和核准存量填埋设施治理工程的项目建议书、可行性研究报告、项目申请报告、初步设计的重要依据，也是有关部门对项目建设进行监督检查的尺度。</w:t>
      </w:r>
    </w:p>
    <w:p w:rsidR="00122773" w:rsidRDefault="00122773">
      <w:pPr>
        <w:rPr>
          <w:sz w:val="24"/>
        </w:rPr>
      </w:pPr>
    </w:p>
    <w:p w:rsidR="00122773" w:rsidRDefault="00D24AE0">
      <w:pPr>
        <w:pStyle w:val="1"/>
        <w:numPr>
          <w:ilvl w:val="0"/>
          <w:numId w:val="1"/>
        </w:numPr>
        <w:ind w:left="0" w:firstLineChars="0" w:firstLine="0"/>
        <w:rPr>
          <w:sz w:val="24"/>
        </w:rPr>
      </w:pPr>
      <w:r>
        <w:rPr>
          <w:sz w:val="24"/>
        </w:rPr>
        <w:t>本建设标准适</w:t>
      </w:r>
      <w:r>
        <w:rPr>
          <w:rFonts w:hint="eastAsia"/>
          <w:sz w:val="24"/>
        </w:rPr>
        <w:t>用于存量填埋设施</w:t>
      </w:r>
      <w:r>
        <w:rPr>
          <w:sz w:val="24"/>
        </w:rPr>
        <w:t>治理工程项目。</w:t>
      </w:r>
    </w:p>
    <w:p w:rsidR="00122773" w:rsidRDefault="00D24AE0">
      <w:pPr>
        <w:rPr>
          <w:rFonts w:ascii="楷体" w:eastAsia="楷体" w:hAnsi="楷体"/>
          <w:sz w:val="24"/>
        </w:rPr>
      </w:pPr>
      <w:r>
        <w:rPr>
          <w:rFonts w:ascii="楷体" w:eastAsia="楷体" w:hAnsi="楷体" w:hint="eastAsia"/>
          <w:sz w:val="24"/>
        </w:rPr>
        <w:t>条文说明：</w:t>
      </w:r>
      <w:r w:rsidR="00092E41" w:rsidRPr="00092E41">
        <w:rPr>
          <w:rFonts w:ascii="楷体" w:eastAsia="楷体" w:hAnsi="楷体" w:hint="eastAsia"/>
          <w:sz w:val="24"/>
        </w:rPr>
        <w:t>《“十四五”城镇生活垃圾分类和处理设施发展规划》指出，存量填埋设施成为生态环境新的风险点，一些填埋场环保、技术和运营管理水平不高，大部分填埋垃圾未经无害化处理，对周围环境可能造成严重的二次污染。一些状况较好的填埋设施库容渐满、服务年限陆续到期，改造难度大成本高。提出“鼓励采取库容腾退、生态修复、景观营造等措施推动封场整治。”本建设标准主要针对存量填埋设施的封场处理和开采搬迁处理。</w:t>
      </w:r>
    </w:p>
    <w:p w:rsidR="00122773" w:rsidRDefault="00122773">
      <w:pPr>
        <w:rPr>
          <w:sz w:val="24"/>
        </w:rPr>
      </w:pPr>
    </w:p>
    <w:p w:rsidR="00122773" w:rsidRDefault="00D24AE0">
      <w:pPr>
        <w:pStyle w:val="1"/>
        <w:numPr>
          <w:ilvl w:val="0"/>
          <w:numId w:val="1"/>
        </w:numPr>
        <w:ind w:left="0" w:firstLineChars="0" w:firstLine="0"/>
        <w:rPr>
          <w:sz w:val="24"/>
        </w:rPr>
      </w:pPr>
      <w:r>
        <w:rPr>
          <w:sz w:val="24"/>
        </w:rPr>
        <w:t>存量填埋设施治理工程项目的建设，</w:t>
      </w:r>
      <w:r>
        <w:rPr>
          <w:rFonts w:hint="eastAsia"/>
          <w:sz w:val="24"/>
        </w:rPr>
        <w:t>应符合</w:t>
      </w:r>
      <w:r>
        <w:rPr>
          <w:sz w:val="24"/>
        </w:rPr>
        <w:t>国家的法律、法规，贯彻执行环境保护、节约土地、劳动保护、安全卫生和</w:t>
      </w:r>
      <w:r>
        <w:rPr>
          <w:rFonts w:hint="eastAsia"/>
          <w:sz w:val="24"/>
        </w:rPr>
        <w:t>节约能源</w:t>
      </w:r>
      <w:r>
        <w:rPr>
          <w:sz w:val="24"/>
        </w:rPr>
        <w:t>等相关规定。</w:t>
      </w:r>
    </w:p>
    <w:p w:rsidR="00122773" w:rsidRDefault="00D24AE0">
      <w:pPr>
        <w:rPr>
          <w:rFonts w:ascii="楷体" w:eastAsia="楷体" w:hAnsi="楷体"/>
          <w:sz w:val="24"/>
        </w:rPr>
      </w:pPr>
      <w:r>
        <w:rPr>
          <w:rFonts w:ascii="楷体" w:eastAsia="楷体" w:hAnsi="楷体" w:hint="eastAsia"/>
          <w:sz w:val="24"/>
        </w:rPr>
        <w:t>条文说明：本条规定了存量填埋设施治理工程建设应遵循的原则。环境保护、节约用地和节约能源是我国的基本国策。存量填埋设施治理工程的建设需要遵守国家相关的法律、法规，</w:t>
      </w:r>
      <w:r>
        <w:rPr>
          <w:rFonts w:ascii="楷体" w:eastAsia="楷体" w:hAnsi="楷体"/>
          <w:sz w:val="24"/>
        </w:rPr>
        <w:t>贯彻执行环境保护、节约土地、劳动保护、安全卫生和</w:t>
      </w:r>
      <w:r>
        <w:rPr>
          <w:rFonts w:ascii="楷体" w:eastAsia="楷体" w:hAnsi="楷体" w:hint="eastAsia"/>
          <w:sz w:val="24"/>
        </w:rPr>
        <w:t>节约能源</w:t>
      </w:r>
      <w:r>
        <w:rPr>
          <w:rFonts w:ascii="楷体" w:eastAsia="楷体" w:hAnsi="楷体"/>
          <w:sz w:val="24"/>
        </w:rPr>
        <w:t>等相关规定。</w:t>
      </w:r>
    </w:p>
    <w:p w:rsidR="00122773" w:rsidRDefault="00122773">
      <w:pPr>
        <w:rPr>
          <w:sz w:val="24"/>
        </w:rPr>
      </w:pPr>
    </w:p>
    <w:p w:rsidR="00122773" w:rsidRDefault="00D24AE0">
      <w:pPr>
        <w:pStyle w:val="1"/>
        <w:numPr>
          <w:ilvl w:val="0"/>
          <w:numId w:val="1"/>
        </w:numPr>
        <w:ind w:left="0" w:firstLineChars="0" w:firstLine="0"/>
        <w:rPr>
          <w:sz w:val="24"/>
        </w:rPr>
      </w:pPr>
      <w:r>
        <w:rPr>
          <w:sz w:val="24"/>
        </w:rPr>
        <w:lastRenderedPageBreak/>
        <w:t>存量填埋设施治理工程的建设水平，应以本地区的</w:t>
      </w:r>
      <w:r>
        <w:rPr>
          <w:rFonts w:hint="eastAsia"/>
          <w:sz w:val="24"/>
        </w:rPr>
        <w:t>社会</w:t>
      </w:r>
      <w:r>
        <w:rPr>
          <w:sz w:val="24"/>
        </w:rPr>
        <w:t>经济</w:t>
      </w:r>
      <w:r>
        <w:rPr>
          <w:rFonts w:hint="eastAsia"/>
          <w:sz w:val="24"/>
        </w:rPr>
        <w:t>现状</w:t>
      </w:r>
      <w:r>
        <w:rPr>
          <w:sz w:val="24"/>
        </w:rPr>
        <w:t>为基础</w:t>
      </w:r>
      <w:r>
        <w:rPr>
          <w:rFonts w:hint="eastAsia"/>
          <w:sz w:val="24"/>
        </w:rPr>
        <w:t>，按照环境保护的要求</w:t>
      </w:r>
      <w:r>
        <w:rPr>
          <w:sz w:val="24"/>
        </w:rPr>
        <w:t>合理确定。</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条文说明：本条规定了</w:t>
      </w:r>
      <w:r>
        <w:rPr>
          <w:rFonts w:ascii="楷体" w:eastAsia="楷体" w:hAnsi="楷体"/>
          <w:sz w:val="24"/>
        </w:rPr>
        <w:t>存量填埋设施治理工程</w:t>
      </w:r>
      <w:r>
        <w:rPr>
          <w:rFonts w:ascii="楷体" w:eastAsia="楷体" w:hAnsi="楷体" w:hint="eastAsia"/>
          <w:sz w:val="24"/>
        </w:rPr>
        <w:t>的建设水平。</w:t>
      </w:r>
      <w:r>
        <w:rPr>
          <w:rFonts w:ascii="楷体" w:eastAsia="楷体" w:hAnsi="楷体"/>
          <w:sz w:val="24"/>
        </w:rPr>
        <w:t>存量填埋设施治理工程</w:t>
      </w:r>
      <w:r>
        <w:rPr>
          <w:rFonts w:ascii="楷体" w:eastAsia="楷体" w:hAnsi="楷体" w:hint="eastAsia"/>
          <w:sz w:val="24"/>
        </w:rPr>
        <w:t>的建设应根据我国国情，以本地区的社会经济现状为基础，按照环保部门对污染物排放限值的要求，合理确定建设水平。</w:t>
      </w:r>
    </w:p>
    <w:p w:rsidR="00122773" w:rsidRDefault="00122773">
      <w:pPr>
        <w:pStyle w:val="1"/>
        <w:ind w:firstLineChars="0" w:firstLine="0"/>
        <w:rPr>
          <w:sz w:val="24"/>
        </w:rPr>
      </w:pPr>
    </w:p>
    <w:p w:rsidR="00122773" w:rsidRDefault="00D24AE0">
      <w:pPr>
        <w:pStyle w:val="1"/>
        <w:numPr>
          <w:ilvl w:val="0"/>
          <w:numId w:val="1"/>
        </w:numPr>
        <w:ind w:left="0" w:firstLineChars="0" w:firstLine="0"/>
        <w:rPr>
          <w:sz w:val="24"/>
        </w:rPr>
      </w:pPr>
      <w:r>
        <w:rPr>
          <w:sz w:val="24"/>
        </w:rPr>
        <w:t>存量填埋设施治理工程的建设，应采用成熟适用的技术、工艺、材料和设备</w:t>
      </w:r>
      <w:r>
        <w:rPr>
          <w:rFonts w:hint="eastAsia"/>
          <w:sz w:val="24"/>
        </w:rPr>
        <w:t>。</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条文说明：本条规定了</w:t>
      </w:r>
      <w:r>
        <w:rPr>
          <w:rFonts w:ascii="楷体" w:eastAsia="楷体" w:hAnsi="楷体"/>
          <w:sz w:val="24"/>
        </w:rPr>
        <w:t>存量填埋设施治理工程</w:t>
      </w:r>
      <w:r>
        <w:rPr>
          <w:rFonts w:ascii="楷体" w:eastAsia="楷体" w:hAnsi="楷体" w:hint="eastAsia"/>
          <w:sz w:val="24"/>
        </w:rPr>
        <w:t>选用</w:t>
      </w:r>
      <w:r>
        <w:rPr>
          <w:rFonts w:ascii="楷体" w:eastAsia="楷体" w:hAnsi="楷体"/>
          <w:sz w:val="24"/>
        </w:rPr>
        <w:t>技术、工艺、材料和设备</w:t>
      </w:r>
      <w:r>
        <w:rPr>
          <w:rFonts w:ascii="楷体" w:eastAsia="楷体" w:hAnsi="楷体" w:hint="eastAsia"/>
          <w:sz w:val="24"/>
        </w:rPr>
        <w:t>的原则。</w:t>
      </w:r>
    </w:p>
    <w:p w:rsidR="00122773" w:rsidRDefault="00122773">
      <w:pPr>
        <w:pStyle w:val="1"/>
        <w:ind w:firstLineChars="0" w:firstLine="0"/>
        <w:rPr>
          <w:sz w:val="24"/>
        </w:rPr>
      </w:pPr>
    </w:p>
    <w:p w:rsidR="00122773" w:rsidRDefault="00D24AE0">
      <w:pPr>
        <w:pStyle w:val="1"/>
        <w:numPr>
          <w:ilvl w:val="0"/>
          <w:numId w:val="1"/>
        </w:numPr>
        <w:ind w:left="0" w:firstLineChars="0" w:firstLine="0"/>
        <w:rPr>
          <w:sz w:val="24"/>
        </w:rPr>
      </w:pPr>
      <w:r>
        <w:rPr>
          <w:sz w:val="24"/>
        </w:rPr>
        <w:t>存量填埋设施治理工程项目的建设，应坚持专业化协作和社会化服务相结合的原则，提高运营管理水平，降低</w:t>
      </w:r>
      <w:r>
        <w:rPr>
          <w:rFonts w:hint="eastAsia"/>
          <w:sz w:val="24"/>
        </w:rPr>
        <w:t>建设与</w:t>
      </w:r>
      <w:r>
        <w:rPr>
          <w:sz w:val="24"/>
        </w:rPr>
        <w:t>运营成本。</w:t>
      </w:r>
    </w:p>
    <w:p w:rsidR="00122773" w:rsidRDefault="00D24AE0">
      <w:pPr>
        <w:rPr>
          <w:rFonts w:ascii="楷体" w:eastAsia="楷体" w:hAnsi="楷体"/>
          <w:sz w:val="24"/>
        </w:rPr>
      </w:pPr>
      <w:r>
        <w:rPr>
          <w:rFonts w:ascii="楷体" w:eastAsia="楷体" w:hAnsi="楷体" w:hint="eastAsia"/>
          <w:sz w:val="24"/>
        </w:rPr>
        <w:t>条文说明：本条规定了存量填埋设施治理工程建设内容确定的原则，并非所列项目都要建设，要视生产需要和工艺要求，结合项目特点和当地实际情况，合理确定项目的建设内容。</w:t>
      </w:r>
    </w:p>
    <w:p w:rsidR="00122773" w:rsidRDefault="00122773">
      <w:pPr>
        <w:rPr>
          <w:rFonts w:ascii="楷体" w:eastAsia="楷体" w:hAnsi="楷体"/>
          <w:sz w:val="24"/>
        </w:rPr>
      </w:pPr>
    </w:p>
    <w:p w:rsidR="00122773" w:rsidRDefault="00D24AE0">
      <w:pPr>
        <w:pStyle w:val="1"/>
        <w:numPr>
          <w:ilvl w:val="0"/>
          <w:numId w:val="1"/>
        </w:numPr>
        <w:ind w:left="0" w:firstLineChars="0" w:firstLine="0"/>
        <w:rPr>
          <w:sz w:val="24"/>
        </w:rPr>
      </w:pPr>
      <w:r>
        <w:rPr>
          <w:sz w:val="24"/>
        </w:rPr>
        <w:t>存量填埋设施治理工程项目的建设，除应执行本建设标准外，尚应符合国家现行相关标准、定额和指标</w:t>
      </w:r>
      <w:r>
        <w:rPr>
          <w:rFonts w:hint="eastAsia"/>
          <w:sz w:val="24"/>
        </w:rPr>
        <w:t>的</w:t>
      </w:r>
      <w:r>
        <w:rPr>
          <w:sz w:val="24"/>
        </w:rPr>
        <w:t>规定。</w:t>
      </w:r>
    </w:p>
    <w:p w:rsidR="00122773" w:rsidRDefault="00D24AE0">
      <w:pPr>
        <w:rPr>
          <w:rFonts w:ascii="楷体" w:eastAsia="楷体" w:hAnsi="楷体"/>
          <w:sz w:val="24"/>
        </w:rPr>
      </w:pPr>
      <w:r>
        <w:rPr>
          <w:rFonts w:ascii="楷体" w:eastAsia="楷体" w:hAnsi="楷体" w:hint="eastAsia"/>
          <w:sz w:val="24"/>
        </w:rPr>
        <w:t>条文说明：存量填埋设施治理工程建设涉及面广，本建设标准仅从加强存量填埋设施治理工程建设的宏观管理，工程建设水平及投资效益等主要方面做出必要的规定。在本建设标准编制过程中，国家已经颁布或将要颁布一系列规范和标准，本建设标准在相关条文中，对执行这些标准和规范都做了相应的规定。随着标准化工作的进展，将有更多的标准、规范、定额、指标陆续发布，故本条作了明确的规定。</w:t>
      </w:r>
    </w:p>
    <w:p w:rsidR="00122773" w:rsidRDefault="00D24AE0">
      <w:pPr>
        <w:rPr>
          <w:sz w:val="32"/>
          <w:szCs w:val="32"/>
        </w:rPr>
      </w:pPr>
      <w:r>
        <w:rPr>
          <w:rFonts w:ascii="楷体" w:eastAsia="楷体" w:hAnsi="楷体" w:hint="eastAsia"/>
          <w:sz w:val="24"/>
        </w:rPr>
        <w:t xml:space="preserve"> </w:t>
      </w:r>
    </w:p>
    <w:p w:rsidR="00122773" w:rsidRDefault="00D24AE0">
      <w:pPr>
        <w:widowControl/>
        <w:rPr>
          <w:rFonts w:ascii="黑体" w:eastAsia="黑体" w:hAnsi="黑体"/>
          <w:b/>
          <w:bCs/>
          <w:sz w:val="28"/>
          <w:szCs w:val="28"/>
        </w:rPr>
      </w:pPr>
      <w:r>
        <w:rPr>
          <w:rFonts w:ascii="黑体" w:eastAsia="黑体" w:hAnsi="黑体"/>
          <w:sz w:val="28"/>
          <w:szCs w:val="28"/>
        </w:rPr>
        <w:br w:type="page"/>
      </w:r>
    </w:p>
    <w:p w:rsidR="00122773" w:rsidRDefault="00D24AE0">
      <w:pPr>
        <w:pStyle w:val="3"/>
        <w:spacing w:line="240" w:lineRule="auto"/>
        <w:jc w:val="center"/>
        <w:rPr>
          <w:rFonts w:ascii="黑体" w:eastAsia="黑体" w:hAnsi="黑体"/>
          <w:sz w:val="28"/>
          <w:szCs w:val="28"/>
        </w:rPr>
      </w:pPr>
      <w:bookmarkStart w:id="1" w:name="_Toc15462057"/>
      <w:r>
        <w:rPr>
          <w:rFonts w:ascii="黑体" w:eastAsia="黑体" w:hAnsi="黑体" w:hint="eastAsia"/>
          <w:sz w:val="28"/>
          <w:szCs w:val="28"/>
        </w:rPr>
        <w:lastRenderedPageBreak/>
        <w:t>第二章  建设规模与项目构成</w:t>
      </w:r>
      <w:bookmarkEnd w:id="1"/>
    </w:p>
    <w:p w:rsidR="00122773" w:rsidRDefault="00D24AE0">
      <w:pPr>
        <w:pStyle w:val="1"/>
        <w:numPr>
          <w:ilvl w:val="0"/>
          <w:numId w:val="1"/>
        </w:numPr>
        <w:ind w:left="0" w:firstLineChars="0" w:firstLine="0"/>
        <w:rPr>
          <w:rFonts w:asciiTheme="minorHAnsi" w:eastAsiaTheme="minorEastAsia" w:hAnsiTheme="minorHAnsi" w:cstheme="minorBidi"/>
          <w:sz w:val="24"/>
        </w:rPr>
      </w:pPr>
      <w:r>
        <w:rPr>
          <w:rFonts w:ascii="Calibri" w:hAnsi="Calibri" w:hint="eastAsia"/>
          <w:sz w:val="24"/>
        </w:rPr>
        <w:t>存量填埋设施治理工程项目</w:t>
      </w:r>
      <w:r>
        <w:rPr>
          <w:rFonts w:asciiTheme="minorHAnsi" w:eastAsiaTheme="minorEastAsia" w:hAnsiTheme="minorHAnsi" w:cstheme="minorBidi" w:hint="eastAsia"/>
          <w:sz w:val="24"/>
        </w:rPr>
        <w:t>的建设规模应根据存量填埋设施的库容确定，并与城市总体规划和环境卫生专项规划相协调。</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条文说明：本条是关于确定存量填埋设施治理工程项目建设规模的原则和</w:t>
      </w:r>
      <w:r>
        <w:rPr>
          <w:rFonts w:ascii="楷体" w:eastAsia="楷体" w:hAnsi="楷体"/>
          <w:sz w:val="24"/>
        </w:rPr>
        <w:t>方法</w:t>
      </w:r>
      <w:r>
        <w:rPr>
          <w:rFonts w:ascii="楷体" w:eastAsia="楷体" w:hAnsi="楷体" w:hint="eastAsia"/>
          <w:sz w:val="24"/>
        </w:rPr>
        <w:t>。存量填埋设施治理工程建设规模的确定主要依据现有存量填埋设施的库容，指存量填埋设施的库容总重量。</w:t>
      </w:r>
    </w:p>
    <w:p w:rsidR="00122773" w:rsidRDefault="00122773">
      <w:pPr>
        <w:rPr>
          <w:rFonts w:ascii="楷体" w:eastAsia="楷体" w:hAnsi="楷体"/>
          <w:sz w:val="24"/>
        </w:rPr>
      </w:pPr>
    </w:p>
    <w:p w:rsidR="00122773" w:rsidRDefault="00D24AE0">
      <w:pPr>
        <w:pStyle w:val="1"/>
        <w:numPr>
          <w:ilvl w:val="0"/>
          <w:numId w:val="1"/>
        </w:numPr>
        <w:ind w:left="0" w:firstLineChars="0" w:firstLine="0"/>
        <w:rPr>
          <w:rFonts w:ascii="楷体" w:eastAsia="楷体" w:hAnsi="楷体"/>
          <w:sz w:val="24"/>
        </w:rPr>
      </w:pPr>
      <w:r>
        <w:rPr>
          <w:rFonts w:ascii="Calibri" w:hAnsi="Calibri" w:hint="eastAsia"/>
          <w:sz w:val="24"/>
        </w:rPr>
        <w:t>存量填埋设施治理工程项目</w:t>
      </w:r>
      <w:r>
        <w:rPr>
          <w:rFonts w:asciiTheme="minorHAnsi" w:eastAsiaTheme="minorEastAsia" w:hAnsiTheme="minorHAnsi" w:cstheme="minorBidi" w:hint="eastAsia"/>
          <w:sz w:val="24"/>
        </w:rPr>
        <w:t>的建设规模分类宜符合表</w:t>
      </w:r>
      <w:r>
        <w:rPr>
          <w:rFonts w:asciiTheme="minorHAnsi" w:eastAsiaTheme="minorEastAsia" w:hAnsiTheme="minorHAnsi" w:cstheme="minorBidi" w:hint="eastAsia"/>
          <w:sz w:val="24"/>
        </w:rPr>
        <w:t>1</w:t>
      </w:r>
      <w:r>
        <w:rPr>
          <w:rFonts w:asciiTheme="minorHAnsi" w:eastAsiaTheme="minorEastAsia" w:hAnsiTheme="minorHAnsi" w:cstheme="minorBidi" w:hint="eastAsia"/>
          <w:sz w:val="24"/>
        </w:rPr>
        <w:t>的规定。</w:t>
      </w:r>
    </w:p>
    <w:p w:rsidR="00122773" w:rsidRDefault="00D24AE0">
      <w:pPr>
        <w:jc w:val="center"/>
        <w:rPr>
          <w:rFonts w:asciiTheme="minorEastAsia" w:eastAsiaTheme="minorEastAsia" w:hAnsiTheme="minorEastAsia" w:cstheme="minorBidi"/>
          <w:b/>
        </w:rPr>
      </w:pPr>
      <w:r>
        <w:rPr>
          <w:rFonts w:asciiTheme="minorEastAsia" w:eastAsiaTheme="minorEastAsia" w:hAnsiTheme="minorEastAsia" w:hint="eastAsia"/>
          <w:b/>
        </w:rPr>
        <w:t xml:space="preserve">表1  </w:t>
      </w:r>
      <w:r>
        <w:rPr>
          <w:rFonts w:ascii="宋体" w:hAnsi="宋体" w:hint="eastAsia"/>
          <w:b/>
        </w:rPr>
        <w:t>存量填埋设施治理工程</w:t>
      </w:r>
      <w:r>
        <w:rPr>
          <w:rFonts w:asciiTheme="minorEastAsia" w:eastAsiaTheme="minorEastAsia" w:hAnsiTheme="minorEastAsia" w:cstheme="minorBidi" w:hint="eastAsia"/>
          <w:b/>
        </w:rPr>
        <w:t>建设规模分类</w:t>
      </w:r>
    </w:p>
    <w:tbl>
      <w:tblPr>
        <w:tblStyle w:val="af1"/>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61"/>
        <w:gridCol w:w="4261"/>
      </w:tblGrid>
      <w:tr w:rsidR="00122773">
        <w:trPr>
          <w:trHeight w:val="567"/>
        </w:trPr>
        <w:tc>
          <w:tcPr>
            <w:tcW w:w="4261" w:type="dxa"/>
            <w:vAlign w:val="center"/>
          </w:tcPr>
          <w:p w:rsidR="00122773" w:rsidRDefault="00D24AE0">
            <w:pPr>
              <w:jc w:val="center"/>
              <w:rPr>
                <w:rFonts w:asciiTheme="minorEastAsia" w:eastAsiaTheme="minorEastAsia" w:hAnsiTheme="minorEastAsia"/>
                <w:kern w:val="0"/>
              </w:rPr>
            </w:pPr>
            <w:r>
              <w:rPr>
                <w:rFonts w:asciiTheme="minorEastAsia" w:eastAsiaTheme="minorEastAsia" w:hAnsiTheme="minorEastAsia" w:hint="eastAsia"/>
                <w:kern w:val="0"/>
              </w:rPr>
              <w:t>分类</w:t>
            </w:r>
          </w:p>
        </w:tc>
        <w:tc>
          <w:tcPr>
            <w:tcW w:w="4261" w:type="dxa"/>
            <w:vAlign w:val="center"/>
          </w:tcPr>
          <w:p w:rsidR="00122773" w:rsidRDefault="00D24AE0">
            <w:pPr>
              <w:jc w:val="center"/>
              <w:rPr>
                <w:rFonts w:asciiTheme="minorEastAsia" w:eastAsiaTheme="minorEastAsia" w:hAnsiTheme="minorEastAsia"/>
                <w:kern w:val="0"/>
              </w:rPr>
            </w:pPr>
            <w:r>
              <w:rPr>
                <w:rFonts w:asciiTheme="minorEastAsia" w:eastAsiaTheme="minorEastAsia" w:hAnsiTheme="minorEastAsia" w:hint="eastAsia"/>
                <w:kern w:val="0"/>
              </w:rPr>
              <w:t>存量填埋设施库容(万吨)</w:t>
            </w:r>
          </w:p>
        </w:tc>
      </w:tr>
      <w:tr w:rsidR="00122773">
        <w:trPr>
          <w:trHeight w:val="567"/>
        </w:trPr>
        <w:tc>
          <w:tcPr>
            <w:tcW w:w="4261" w:type="dxa"/>
            <w:vAlign w:val="center"/>
          </w:tcPr>
          <w:p w:rsidR="00122773" w:rsidRDefault="00D24AE0">
            <w:pPr>
              <w:ind w:rightChars="695" w:right="1459"/>
              <w:jc w:val="right"/>
              <w:rPr>
                <w:rFonts w:asciiTheme="minorEastAsia" w:eastAsiaTheme="minorEastAsia" w:hAnsiTheme="minorEastAsia"/>
                <w:kern w:val="0"/>
              </w:rPr>
            </w:pPr>
            <w:r>
              <w:rPr>
                <w:rFonts w:asciiTheme="minorEastAsia" w:eastAsiaTheme="minorEastAsia" w:hAnsiTheme="minorEastAsia" w:hint="eastAsia"/>
                <w:kern w:val="0"/>
              </w:rPr>
              <w:t>Ⅰ类</w:t>
            </w:r>
          </w:p>
        </w:tc>
        <w:tc>
          <w:tcPr>
            <w:tcW w:w="4261" w:type="dxa"/>
            <w:vAlign w:val="center"/>
          </w:tcPr>
          <w:p w:rsidR="00122773" w:rsidRDefault="00D24AE0">
            <w:pPr>
              <w:jc w:val="center"/>
              <w:rPr>
                <w:rFonts w:eastAsiaTheme="minorEastAsia"/>
                <w:kern w:val="0"/>
              </w:rPr>
            </w:pPr>
            <w:r>
              <w:rPr>
                <w:rFonts w:eastAsiaTheme="minorEastAsia" w:hint="eastAsia"/>
                <w:kern w:val="0"/>
              </w:rPr>
              <w:t>大于</w:t>
            </w:r>
            <w:r>
              <w:rPr>
                <w:rFonts w:eastAsiaTheme="minorEastAsia"/>
                <w:kern w:val="0"/>
              </w:rPr>
              <w:t>100</w:t>
            </w:r>
          </w:p>
        </w:tc>
      </w:tr>
      <w:tr w:rsidR="00122773">
        <w:trPr>
          <w:trHeight w:val="567"/>
        </w:trPr>
        <w:tc>
          <w:tcPr>
            <w:tcW w:w="4261" w:type="dxa"/>
            <w:vAlign w:val="center"/>
          </w:tcPr>
          <w:p w:rsidR="00122773" w:rsidRDefault="00D24AE0">
            <w:pPr>
              <w:ind w:rightChars="695" w:right="1459"/>
              <w:jc w:val="right"/>
              <w:rPr>
                <w:rFonts w:asciiTheme="minorEastAsia" w:eastAsiaTheme="minorEastAsia" w:hAnsiTheme="minorEastAsia"/>
                <w:kern w:val="0"/>
              </w:rPr>
            </w:pPr>
            <w:r>
              <w:rPr>
                <w:rFonts w:asciiTheme="minorEastAsia" w:eastAsiaTheme="minorEastAsia" w:hAnsiTheme="minorEastAsia" w:hint="eastAsia"/>
                <w:kern w:val="0"/>
              </w:rPr>
              <w:t>Ⅱ类</w:t>
            </w:r>
          </w:p>
        </w:tc>
        <w:tc>
          <w:tcPr>
            <w:tcW w:w="4261" w:type="dxa"/>
            <w:vAlign w:val="center"/>
          </w:tcPr>
          <w:p w:rsidR="00122773" w:rsidRDefault="00D24AE0">
            <w:pPr>
              <w:jc w:val="center"/>
              <w:rPr>
                <w:rFonts w:eastAsiaTheme="minorEastAsia"/>
                <w:kern w:val="0"/>
              </w:rPr>
            </w:pPr>
            <w:r>
              <w:rPr>
                <w:rFonts w:eastAsiaTheme="minorEastAsia"/>
                <w:kern w:val="0"/>
              </w:rPr>
              <w:t>50~100</w:t>
            </w:r>
          </w:p>
        </w:tc>
      </w:tr>
      <w:tr w:rsidR="00122773">
        <w:trPr>
          <w:trHeight w:val="567"/>
        </w:trPr>
        <w:tc>
          <w:tcPr>
            <w:tcW w:w="4261" w:type="dxa"/>
            <w:vAlign w:val="center"/>
          </w:tcPr>
          <w:p w:rsidR="00122773" w:rsidRDefault="00D24AE0">
            <w:pPr>
              <w:ind w:rightChars="695" w:right="1459"/>
              <w:jc w:val="right"/>
              <w:rPr>
                <w:rFonts w:asciiTheme="minorEastAsia" w:eastAsiaTheme="minorEastAsia" w:hAnsiTheme="minorEastAsia"/>
                <w:kern w:val="0"/>
              </w:rPr>
            </w:pPr>
            <w:r>
              <w:rPr>
                <w:rFonts w:asciiTheme="minorEastAsia" w:eastAsiaTheme="minorEastAsia" w:hAnsiTheme="minorEastAsia" w:hint="eastAsia"/>
                <w:kern w:val="0"/>
              </w:rPr>
              <w:t>Ⅲ类</w:t>
            </w:r>
          </w:p>
        </w:tc>
        <w:tc>
          <w:tcPr>
            <w:tcW w:w="4261" w:type="dxa"/>
            <w:vAlign w:val="center"/>
          </w:tcPr>
          <w:p w:rsidR="00122773" w:rsidRDefault="00D24AE0">
            <w:pPr>
              <w:jc w:val="center"/>
              <w:rPr>
                <w:rFonts w:eastAsiaTheme="minorEastAsia"/>
                <w:kern w:val="0"/>
              </w:rPr>
            </w:pPr>
            <w:r>
              <w:rPr>
                <w:rFonts w:eastAsiaTheme="minorEastAsia"/>
                <w:kern w:val="0"/>
              </w:rPr>
              <w:t>10~50</w:t>
            </w:r>
          </w:p>
        </w:tc>
      </w:tr>
      <w:tr w:rsidR="00122773">
        <w:trPr>
          <w:trHeight w:val="567"/>
        </w:trPr>
        <w:tc>
          <w:tcPr>
            <w:tcW w:w="4261" w:type="dxa"/>
            <w:vAlign w:val="center"/>
          </w:tcPr>
          <w:p w:rsidR="00122773" w:rsidRDefault="00D24AE0">
            <w:pPr>
              <w:ind w:rightChars="695" w:right="1459"/>
              <w:jc w:val="right"/>
              <w:rPr>
                <w:rFonts w:asciiTheme="minorEastAsia" w:eastAsiaTheme="minorEastAsia" w:hAnsiTheme="minorEastAsia"/>
                <w:kern w:val="0"/>
              </w:rPr>
            </w:pPr>
            <w:r>
              <w:rPr>
                <w:rFonts w:asciiTheme="minorEastAsia" w:eastAsiaTheme="minorEastAsia" w:hAnsiTheme="minorEastAsia" w:hint="eastAsia"/>
                <w:kern w:val="0"/>
              </w:rPr>
              <w:t>Ⅳ类</w:t>
            </w:r>
          </w:p>
        </w:tc>
        <w:tc>
          <w:tcPr>
            <w:tcW w:w="4261" w:type="dxa"/>
            <w:vAlign w:val="center"/>
          </w:tcPr>
          <w:p w:rsidR="00122773" w:rsidRDefault="00D24AE0">
            <w:pPr>
              <w:jc w:val="center"/>
              <w:rPr>
                <w:rFonts w:eastAsiaTheme="minorEastAsia"/>
                <w:kern w:val="0"/>
              </w:rPr>
            </w:pPr>
            <w:r>
              <w:rPr>
                <w:rFonts w:eastAsiaTheme="minorEastAsia" w:hint="eastAsia"/>
                <w:kern w:val="0"/>
              </w:rPr>
              <w:t>小于</w:t>
            </w:r>
            <w:r>
              <w:rPr>
                <w:rFonts w:eastAsiaTheme="minorEastAsia"/>
                <w:kern w:val="0"/>
              </w:rPr>
              <w:t>10</w:t>
            </w:r>
          </w:p>
        </w:tc>
      </w:tr>
    </w:tbl>
    <w:p w:rsidR="00122773" w:rsidRDefault="00D24AE0">
      <w:pPr>
        <w:ind w:firstLineChars="200" w:firstLine="420"/>
        <w:rPr>
          <w:rFonts w:asciiTheme="minorEastAsia" w:eastAsiaTheme="minorEastAsia" w:hAnsiTheme="minorEastAsia"/>
        </w:rPr>
      </w:pPr>
      <w:r>
        <w:rPr>
          <w:rFonts w:asciiTheme="minorEastAsia" w:eastAsiaTheme="minorEastAsia" w:hAnsiTheme="minorEastAsia" w:hint="eastAsia"/>
        </w:rPr>
        <w:t>注：以上规模分类含下限值，不含上限值。</w:t>
      </w:r>
    </w:p>
    <w:p w:rsidR="00122773" w:rsidRDefault="00D24AE0">
      <w:pPr>
        <w:rPr>
          <w:rFonts w:ascii="楷体" w:eastAsia="楷体" w:hAnsi="楷体"/>
          <w:sz w:val="24"/>
        </w:rPr>
      </w:pPr>
      <w:r>
        <w:rPr>
          <w:rFonts w:ascii="楷体" w:eastAsia="楷体" w:hAnsi="楷体" w:hint="eastAsia"/>
          <w:sz w:val="24"/>
        </w:rPr>
        <w:t>条文说明：本条对存量填埋设施治理工程项目建设规模的分类作了规定。据</w:t>
      </w:r>
      <w:r>
        <w:rPr>
          <w:rFonts w:ascii="楷体" w:eastAsia="楷体" w:hAnsi="楷体"/>
          <w:sz w:val="24"/>
        </w:rPr>
        <w:t>21个省的</w:t>
      </w:r>
      <w:r>
        <w:rPr>
          <w:rFonts w:ascii="楷体" w:eastAsia="楷体" w:hAnsi="楷体" w:hint="eastAsia"/>
          <w:sz w:val="24"/>
        </w:rPr>
        <w:t>统计</w:t>
      </w:r>
      <w:r>
        <w:rPr>
          <w:rFonts w:ascii="楷体" w:eastAsia="楷体" w:hAnsi="楷体"/>
          <w:sz w:val="24"/>
        </w:rPr>
        <w:t>，小于10万吨占总数的</w:t>
      </w:r>
      <w:r>
        <w:rPr>
          <w:rFonts w:ascii="楷体" w:eastAsia="楷体" w:hAnsi="楷体" w:hint="eastAsia"/>
          <w:sz w:val="24"/>
        </w:rPr>
        <w:t>约</w:t>
      </w:r>
      <w:r>
        <w:rPr>
          <w:rFonts w:ascii="楷体" w:eastAsia="楷体" w:hAnsi="楷体"/>
          <w:sz w:val="24"/>
        </w:rPr>
        <w:t>59%；10-20万吨占总数的</w:t>
      </w:r>
      <w:r>
        <w:rPr>
          <w:rFonts w:ascii="楷体" w:eastAsia="楷体" w:hAnsi="楷体" w:hint="eastAsia"/>
          <w:sz w:val="24"/>
        </w:rPr>
        <w:t>约</w:t>
      </w:r>
      <w:r>
        <w:rPr>
          <w:rFonts w:ascii="楷体" w:eastAsia="楷体" w:hAnsi="楷体"/>
          <w:sz w:val="24"/>
        </w:rPr>
        <w:t>13%；</w:t>
      </w:r>
      <w:r>
        <w:rPr>
          <w:rFonts w:ascii="楷体" w:eastAsia="楷体" w:hAnsi="楷体" w:hint="eastAsia"/>
          <w:sz w:val="24"/>
        </w:rPr>
        <w:t>20-30</w:t>
      </w:r>
      <w:r>
        <w:rPr>
          <w:rFonts w:ascii="楷体" w:eastAsia="楷体" w:hAnsi="楷体"/>
          <w:sz w:val="24"/>
        </w:rPr>
        <w:t>万吨占总数的</w:t>
      </w:r>
      <w:r>
        <w:rPr>
          <w:rFonts w:ascii="楷体" w:eastAsia="楷体" w:hAnsi="楷体" w:hint="eastAsia"/>
          <w:sz w:val="24"/>
        </w:rPr>
        <w:t>约6</w:t>
      </w:r>
      <w:r>
        <w:rPr>
          <w:rFonts w:ascii="楷体" w:eastAsia="楷体" w:hAnsi="楷体"/>
          <w:sz w:val="24"/>
        </w:rPr>
        <w:t>%</w:t>
      </w:r>
      <w:r>
        <w:rPr>
          <w:rFonts w:ascii="楷体" w:eastAsia="楷体" w:hAnsi="楷体" w:hint="eastAsia"/>
          <w:sz w:val="24"/>
        </w:rPr>
        <w:t>；30</w:t>
      </w:r>
      <w:r>
        <w:rPr>
          <w:rFonts w:ascii="楷体" w:eastAsia="楷体" w:hAnsi="楷体"/>
          <w:sz w:val="24"/>
        </w:rPr>
        <w:t>-</w:t>
      </w:r>
      <w:r>
        <w:rPr>
          <w:rFonts w:ascii="楷体" w:eastAsia="楷体" w:hAnsi="楷体" w:hint="eastAsia"/>
          <w:sz w:val="24"/>
        </w:rPr>
        <w:t>50</w:t>
      </w:r>
      <w:r>
        <w:rPr>
          <w:rFonts w:ascii="楷体" w:eastAsia="楷体" w:hAnsi="楷体"/>
          <w:sz w:val="24"/>
        </w:rPr>
        <w:t>万吨占总数的</w:t>
      </w:r>
      <w:r>
        <w:rPr>
          <w:rFonts w:ascii="楷体" w:eastAsia="楷体" w:hAnsi="楷体" w:hint="eastAsia"/>
          <w:sz w:val="24"/>
        </w:rPr>
        <w:t>约8</w:t>
      </w:r>
      <w:r>
        <w:rPr>
          <w:rFonts w:ascii="楷体" w:eastAsia="楷体" w:hAnsi="楷体"/>
          <w:sz w:val="24"/>
        </w:rPr>
        <w:t>%</w:t>
      </w:r>
      <w:r>
        <w:rPr>
          <w:rFonts w:ascii="楷体" w:eastAsia="楷体" w:hAnsi="楷体" w:hint="eastAsia"/>
          <w:sz w:val="24"/>
        </w:rPr>
        <w:t>；50</w:t>
      </w:r>
      <w:r>
        <w:rPr>
          <w:rFonts w:ascii="楷体" w:eastAsia="楷体" w:hAnsi="楷体"/>
          <w:sz w:val="24"/>
        </w:rPr>
        <w:t>-</w:t>
      </w:r>
      <w:r>
        <w:rPr>
          <w:rFonts w:ascii="楷体" w:eastAsia="楷体" w:hAnsi="楷体" w:hint="eastAsia"/>
          <w:sz w:val="24"/>
        </w:rPr>
        <w:t>100</w:t>
      </w:r>
      <w:r>
        <w:rPr>
          <w:rFonts w:ascii="楷体" w:eastAsia="楷体" w:hAnsi="楷体"/>
          <w:sz w:val="24"/>
        </w:rPr>
        <w:t>万吨占总数的</w:t>
      </w:r>
      <w:r>
        <w:rPr>
          <w:rFonts w:ascii="楷体" w:eastAsia="楷体" w:hAnsi="楷体" w:hint="eastAsia"/>
          <w:sz w:val="24"/>
        </w:rPr>
        <w:t>约8</w:t>
      </w:r>
      <w:r>
        <w:rPr>
          <w:rFonts w:ascii="楷体" w:eastAsia="楷体" w:hAnsi="楷体"/>
          <w:sz w:val="24"/>
        </w:rPr>
        <w:t>%</w:t>
      </w:r>
      <w:r>
        <w:rPr>
          <w:rFonts w:ascii="楷体" w:eastAsia="楷体" w:hAnsi="楷体" w:hint="eastAsia"/>
          <w:sz w:val="24"/>
        </w:rPr>
        <w:t>，</w:t>
      </w:r>
      <w:r>
        <w:rPr>
          <w:rFonts w:ascii="楷体" w:eastAsia="楷体" w:hAnsi="楷体"/>
          <w:sz w:val="24"/>
        </w:rPr>
        <w:t>超过100万吨占总数的</w:t>
      </w:r>
      <w:r>
        <w:rPr>
          <w:rFonts w:ascii="楷体" w:eastAsia="楷体" w:hAnsi="楷体" w:hint="eastAsia"/>
          <w:sz w:val="24"/>
        </w:rPr>
        <w:t>约</w:t>
      </w:r>
      <w:r>
        <w:rPr>
          <w:rFonts w:ascii="楷体" w:eastAsia="楷体" w:hAnsi="楷体"/>
          <w:sz w:val="24"/>
        </w:rPr>
        <w:t>6%。</w:t>
      </w:r>
    </w:p>
    <w:p w:rsidR="00122773" w:rsidRDefault="00122773">
      <w:pPr>
        <w:rPr>
          <w:rFonts w:ascii="楷体" w:eastAsia="楷体" w:hAnsi="楷体"/>
          <w:sz w:val="24"/>
        </w:rPr>
      </w:pPr>
    </w:p>
    <w:p w:rsidR="00122773" w:rsidRDefault="00D24AE0">
      <w:pPr>
        <w:pStyle w:val="1"/>
        <w:numPr>
          <w:ilvl w:val="0"/>
          <w:numId w:val="1"/>
        </w:numPr>
        <w:ind w:left="0" w:firstLineChars="0" w:firstLine="0"/>
        <w:rPr>
          <w:rFonts w:ascii="楷体" w:eastAsia="楷体" w:hAnsi="楷体"/>
          <w:sz w:val="24"/>
        </w:rPr>
      </w:pPr>
      <w:r>
        <w:rPr>
          <w:rFonts w:hint="eastAsia"/>
          <w:sz w:val="24"/>
        </w:rPr>
        <w:t>存量填埋设施治理包括原地</w:t>
      </w:r>
      <w:r>
        <w:rPr>
          <w:sz w:val="24"/>
        </w:rPr>
        <w:t>封场</w:t>
      </w:r>
      <w:r>
        <w:rPr>
          <w:rFonts w:hint="eastAsia"/>
          <w:sz w:val="24"/>
        </w:rPr>
        <w:t>治理和异地搬迁治理两种方式</w:t>
      </w:r>
      <w:r>
        <w:rPr>
          <w:sz w:val="24"/>
        </w:rPr>
        <w:t>。</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不同城市存量填埋设施的存在条件不同，经济条件和环保要求也不尽相同。到目前为止，存量填埋设施的治理工程总体上有两种，一种是原地封场治理，另一种是异地搬迁治理。前者主要适用于存量较大、所占用土地价值较低、非环境敏感区域的情况；后者适用于存量不大、所占用土地价值较高、周围环境较敏感的情况。</w:t>
      </w:r>
    </w:p>
    <w:p w:rsidR="00122773" w:rsidRPr="00586A58" w:rsidRDefault="00122773">
      <w:pPr>
        <w:pStyle w:val="1"/>
        <w:ind w:firstLineChars="0" w:firstLine="0"/>
        <w:rPr>
          <w:rFonts w:ascii="楷体" w:eastAsia="楷体" w:hAnsi="楷体"/>
          <w:sz w:val="24"/>
        </w:rPr>
      </w:pPr>
    </w:p>
    <w:p w:rsidR="00122773" w:rsidRDefault="00D24AE0">
      <w:pPr>
        <w:pStyle w:val="1"/>
        <w:numPr>
          <w:ilvl w:val="0"/>
          <w:numId w:val="1"/>
        </w:numPr>
        <w:ind w:left="0" w:firstLineChars="0" w:firstLine="0"/>
        <w:rPr>
          <w:sz w:val="24"/>
        </w:rPr>
      </w:pPr>
      <w:r>
        <w:rPr>
          <w:rFonts w:hint="eastAsia"/>
          <w:sz w:val="24"/>
        </w:rPr>
        <w:t>存量填埋设施原地</w:t>
      </w:r>
      <w:r>
        <w:rPr>
          <w:sz w:val="24"/>
        </w:rPr>
        <w:t>封场</w:t>
      </w:r>
      <w:r>
        <w:rPr>
          <w:rFonts w:hint="eastAsia"/>
          <w:sz w:val="24"/>
        </w:rPr>
        <w:t>治理工程宜由主体</w:t>
      </w:r>
      <w:r>
        <w:rPr>
          <w:sz w:val="24"/>
        </w:rPr>
        <w:t>工程、配套工程、生产管理与生活服务设施等构成。具体</w:t>
      </w:r>
      <w:r>
        <w:rPr>
          <w:rFonts w:hint="eastAsia"/>
          <w:sz w:val="24"/>
        </w:rPr>
        <w:t>可包括</w:t>
      </w:r>
      <w:r>
        <w:rPr>
          <w:sz w:val="24"/>
        </w:rPr>
        <w:t>下列内容：</w:t>
      </w:r>
    </w:p>
    <w:p w:rsidR="00122773" w:rsidRDefault="00D24AE0">
      <w:pPr>
        <w:pStyle w:val="1"/>
        <w:ind w:firstLine="480"/>
        <w:rPr>
          <w:sz w:val="24"/>
        </w:rPr>
      </w:pPr>
      <w:r>
        <w:rPr>
          <w:rFonts w:hint="eastAsia"/>
          <w:sz w:val="24"/>
        </w:rPr>
        <w:t>1.</w:t>
      </w:r>
      <w:r>
        <w:rPr>
          <w:sz w:val="24"/>
        </w:rPr>
        <w:t>主体工程</w:t>
      </w:r>
      <w:r>
        <w:rPr>
          <w:rFonts w:hint="eastAsia"/>
          <w:sz w:val="24"/>
        </w:rPr>
        <w:t>：</w:t>
      </w:r>
      <w:r>
        <w:rPr>
          <w:sz w:val="24"/>
        </w:rPr>
        <w:t>垃圾堆体整</w:t>
      </w:r>
      <w:r>
        <w:rPr>
          <w:rFonts w:hint="eastAsia"/>
          <w:sz w:val="24"/>
        </w:rPr>
        <w:t>形</w:t>
      </w:r>
      <w:r>
        <w:rPr>
          <w:sz w:val="24"/>
        </w:rPr>
        <w:t>、封场覆盖与防渗</w:t>
      </w:r>
      <w:r>
        <w:rPr>
          <w:rFonts w:hint="eastAsia"/>
          <w:sz w:val="24"/>
        </w:rPr>
        <w:t>工程</w:t>
      </w:r>
      <w:r>
        <w:rPr>
          <w:sz w:val="24"/>
        </w:rPr>
        <w:t>、</w:t>
      </w:r>
      <w:r>
        <w:rPr>
          <w:rFonts w:hint="eastAsia"/>
          <w:sz w:val="24"/>
        </w:rPr>
        <w:t>水污染治理工程、</w:t>
      </w:r>
      <w:r>
        <w:rPr>
          <w:sz w:val="24"/>
        </w:rPr>
        <w:t>填埋气体导</w:t>
      </w:r>
      <w:r>
        <w:rPr>
          <w:sz w:val="24"/>
        </w:rPr>
        <w:lastRenderedPageBreak/>
        <w:t>排与处理</w:t>
      </w:r>
      <w:r>
        <w:rPr>
          <w:rFonts w:hint="eastAsia"/>
          <w:sz w:val="24"/>
        </w:rPr>
        <w:t>工程</w:t>
      </w:r>
      <w:r>
        <w:rPr>
          <w:sz w:val="24"/>
        </w:rPr>
        <w:t>、渗沥液导排与处理</w:t>
      </w:r>
      <w:r>
        <w:rPr>
          <w:rFonts w:hint="eastAsia"/>
          <w:sz w:val="24"/>
        </w:rPr>
        <w:t>工程</w:t>
      </w:r>
      <w:r>
        <w:rPr>
          <w:sz w:val="24"/>
        </w:rPr>
        <w:t>、</w:t>
      </w:r>
      <w:r>
        <w:rPr>
          <w:rFonts w:hint="eastAsia"/>
          <w:sz w:val="24"/>
        </w:rPr>
        <w:t>降</w:t>
      </w:r>
      <w:r>
        <w:rPr>
          <w:sz w:val="24"/>
        </w:rPr>
        <w:t>水导排</w:t>
      </w:r>
      <w:r>
        <w:rPr>
          <w:rFonts w:hint="eastAsia"/>
          <w:sz w:val="24"/>
        </w:rPr>
        <w:t>工程</w:t>
      </w:r>
      <w:r>
        <w:rPr>
          <w:sz w:val="24"/>
        </w:rPr>
        <w:t>、绿化与植被恢复</w:t>
      </w:r>
      <w:r>
        <w:rPr>
          <w:rFonts w:hint="eastAsia"/>
          <w:sz w:val="24"/>
        </w:rPr>
        <w:t>工程</w:t>
      </w:r>
      <w:r>
        <w:rPr>
          <w:sz w:val="24"/>
        </w:rPr>
        <w:t>等。</w:t>
      </w:r>
    </w:p>
    <w:p w:rsidR="00122773" w:rsidRDefault="00D24AE0">
      <w:pPr>
        <w:pStyle w:val="1"/>
        <w:ind w:firstLine="480"/>
        <w:rPr>
          <w:sz w:val="24"/>
        </w:rPr>
      </w:pPr>
      <w:r>
        <w:rPr>
          <w:sz w:val="24"/>
        </w:rPr>
        <w:t>2</w:t>
      </w:r>
      <w:r>
        <w:rPr>
          <w:rFonts w:hint="eastAsia"/>
          <w:sz w:val="24"/>
        </w:rPr>
        <w:t>.</w:t>
      </w:r>
      <w:r>
        <w:rPr>
          <w:sz w:val="24"/>
        </w:rPr>
        <w:t>配套工程：场内道路、供配电、给排水、消防、通信和监控等。</w:t>
      </w:r>
    </w:p>
    <w:p w:rsidR="00122773" w:rsidRDefault="00D24AE0">
      <w:pPr>
        <w:pStyle w:val="1"/>
        <w:ind w:firstLine="480"/>
        <w:rPr>
          <w:sz w:val="24"/>
        </w:rPr>
      </w:pPr>
      <w:r>
        <w:rPr>
          <w:sz w:val="24"/>
        </w:rPr>
        <w:t>3</w:t>
      </w:r>
      <w:r>
        <w:rPr>
          <w:rFonts w:hint="eastAsia"/>
          <w:sz w:val="24"/>
        </w:rPr>
        <w:t>.</w:t>
      </w:r>
      <w:r>
        <w:rPr>
          <w:rFonts w:hint="eastAsia"/>
          <w:sz w:val="24"/>
        </w:rPr>
        <w:t>生产</w:t>
      </w:r>
      <w:r>
        <w:rPr>
          <w:sz w:val="24"/>
        </w:rPr>
        <w:t>管理与生活服务</w:t>
      </w:r>
      <w:r>
        <w:rPr>
          <w:rFonts w:hint="eastAsia"/>
          <w:sz w:val="24"/>
        </w:rPr>
        <w:t>用房</w:t>
      </w:r>
      <w:r>
        <w:rPr>
          <w:sz w:val="24"/>
        </w:rPr>
        <w:t>：管理用房、门房、变配电房、值班</w:t>
      </w:r>
      <w:r>
        <w:rPr>
          <w:rFonts w:hint="eastAsia"/>
          <w:sz w:val="24"/>
        </w:rPr>
        <w:t>室</w:t>
      </w:r>
      <w:r>
        <w:rPr>
          <w:sz w:val="24"/>
        </w:rPr>
        <w:t>、储物间、</w:t>
      </w:r>
      <w:r>
        <w:rPr>
          <w:rFonts w:hint="eastAsia"/>
          <w:sz w:val="24"/>
        </w:rPr>
        <w:t>卫生间</w:t>
      </w:r>
      <w:r>
        <w:rPr>
          <w:sz w:val="24"/>
        </w:rPr>
        <w:t>等。</w:t>
      </w:r>
    </w:p>
    <w:p w:rsidR="00122773" w:rsidRDefault="00D24AE0">
      <w:pPr>
        <w:rPr>
          <w:rFonts w:ascii="楷体" w:eastAsia="楷体" w:hAnsi="楷体"/>
          <w:sz w:val="24"/>
        </w:rPr>
      </w:pPr>
      <w:r>
        <w:rPr>
          <w:rFonts w:ascii="楷体" w:eastAsia="楷体" w:hAnsi="楷体" w:hint="eastAsia"/>
          <w:sz w:val="24"/>
        </w:rPr>
        <w:t>条文说明：根据不同的情况，原地封场治理工程的工程内容可以不同。本条列出的是通用性工程内容，实际工程建设方案可以根据需要选择工程内容。</w:t>
      </w:r>
    </w:p>
    <w:p w:rsidR="00122773" w:rsidRDefault="00122773">
      <w:pPr>
        <w:rPr>
          <w:sz w:val="24"/>
        </w:rPr>
      </w:pPr>
    </w:p>
    <w:p w:rsidR="00122773" w:rsidRDefault="00D24AE0">
      <w:pPr>
        <w:pStyle w:val="1"/>
        <w:numPr>
          <w:ilvl w:val="0"/>
          <w:numId w:val="1"/>
        </w:numPr>
        <w:ind w:left="0" w:firstLineChars="0" w:firstLine="0"/>
        <w:rPr>
          <w:sz w:val="24"/>
        </w:rPr>
      </w:pPr>
      <w:r>
        <w:rPr>
          <w:rFonts w:hint="eastAsia"/>
          <w:sz w:val="24"/>
        </w:rPr>
        <w:t>存量填埋设施异地搬迁治理工程</w:t>
      </w:r>
      <w:r>
        <w:rPr>
          <w:sz w:val="24"/>
        </w:rPr>
        <w:t>宜由</w:t>
      </w:r>
      <w:r>
        <w:rPr>
          <w:rFonts w:hint="eastAsia"/>
          <w:sz w:val="24"/>
        </w:rPr>
        <w:t>主体</w:t>
      </w:r>
      <w:r>
        <w:rPr>
          <w:sz w:val="24"/>
        </w:rPr>
        <w:t>工程、配套工程</w:t>
      </w:r>
      <w:r>
        <w:rPr>
          <w:rFonts w:hint="eastAsia"/>
          <w:sz w:val="24"/>
        </w:rPr>
        <w:t>等构成。具体可包括下列内容：</w:t>
      </w:r>
    </w:p>
    <w:p w:rsidR="00122773" w:rsidRDefault="00D24AE0">
      <w:pPr>
        <w:pStyle w:val="1"/>
        <w:numPr>
          <w:ilvl w:val="0"/>
          <w:numId w:val="2"/>
        </w:numPr>
        <w:ind w:left="0" w:firstLineChars="0" w:firstLine="420"/>
        <w:rPr>
          <w:sz w:val="24"/>
        </w:rPr>
      </w:pPr>
      <w:r>
        <w:rPr>
          <w:sz w:val="24"/>
        </w:rPr>
        <w:t>主体工程</w:t>
      </w:r>
      <w:r>
        <w:rPr>
          <w:rFonts w:hint="eastAsia"/>
          <w:sz w:val="24"/>
        </w:rPr>
        <w:t>：堆体开采、垃圾分选、垃圾运输、除尘除臭、防降水、后处理设施、环境检测、垃圾堆体充排气、液位控制、渗沥液储存与处理等</w:t>
      </w:r>
      <w:r>
        <w:rPr>
          <w:sz w:val="24"/>
        </w:rPr>
        <w:t>。</w:t>
      </w:r>
    </w:p>
    <w:p w:rsidR="00122773" w:rsidRDefault="00D24AE0">
      <w:pPr>
        <w:pStyle w:val="1"/>
        <w:numPr>
          <w:ilvl w:val="0"/>
          <w:numId w:val="2"/>
        </w:numPr>
        <w:ind w:left="0" w:firstLineChars="0" w:firstLine="420"/>
        <w:rPr>
          <w:sz w:val="24"/>
        </w:rPr>
      </w:pPr>
      <w:r>
        <w:rPr>
          <w:sz w:val="24"/>
        </w:rPr>
        <w:t>配套工程：</w:t>
      </w:r>
      <w:r>
        <w:rPr>
          <w:rFonts w:hint="eastAsia"/>
          <w:sz w:val="24"/>
        </w:rPr>
        <w:t>生产</w:t>
      </w:r>
      <w:r>
        <w:rPr>
          <w:sz w:val="24"/>
        </w:rPr>
        <w:t>管理</w:t>
      </w:r>
      <w:r>
        <w:rPr>
          <w:rFonts w:hint="eastAsia"/>
          <w:sz w:val="24"/>
        </w:rPr>
        <w:t>和</w:t>
      </w:r>
      <w:r>
        <w:rPr>
          <w:sz w:val="24"/>
        </w:rPr>
        <w:t>生产服务用房</w:t>
      </w:r>
      <w:r>
        <w:rPr>
          <w:rFonts w:hint="eastAsia"/>
          <w:sz w:val="24"/>
        </w:rPr>
        <w:t>、</w:t>
      </w:r>
      <w:r>
        <w:rPr>
          <w:sz w:val="24"/>
        </w:rPr>
        <w:t>供水工程、供电工程、道路等。</w:t>
      </w:r>
    </w:p>
    <w:p w:rsidR="00122773" w:rsidRDefault="00D24AE0">
      <w:pPr>
        <w:rPr>
          <w:rFonts w:ascii="楷体" w:eastAsia="楷体" w:hAnsi="楷体"/>
          <w:sz w:val="24"/>
        </w:rPr>
      </w:pPr>
      <w:r>
        <w:rPr>
          <w:rFonts w:ascii="楷体" w:eastAsia="楷体" w:hAnsi="楷体" w:hint="eastAsia"/>
          <w:sz w:val="24"/>
        </w:rPr>
        <w:t>条文说明：根据不同的情况，异地搬迁治理工程的工程内容可以不同。本条列出的是通用性工程内容，实际工程建设方案可以根据需要选择工程内容。</w:t>
      </w:r>
    </w:p>
    <w:p w:rsidR="00122773" w:rsidRDefault="00D24AE0">
      <w:pPr>
        <w:ind w:firstLineChars="200" w:firstLine="480"/>
        <w:rPr>
          <w:rFonts w:ascii="楷体" w:eastAsia="楷体" w:hAnsi="楷体"/>
          <w:sz w:val="24"/>
        </w:rPr>
      </w:pPr>
      <w:r>
        <w:rPr>
          <w:rFonts w:ascii="楷体" w:eastAsia="楷体" w:hAnsi="楷体"/>
          <w:sz w:val="24"/>
        </w:rPr>
        <w:t>主体工程</w:t>
      </w:r>
      <w:r>
        <w:rPr>
          <w:rFonts w:ascii="楷体" w:eastAsia="楷体" w:hAnsi="楷体" w:hint="eastAsia"/>
          <w:sz w:val="24"/>
        </w:rPr>
        <w:t>内容一般包括：</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堆体开采：进场道路、作业面构建、挖掘设备等。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垃圾分选包括分选工房、分选设备等。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垃圾运输包括垃圾压缩装载设备、垃圾运输车辆等。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除尘除臭工程包括开采面药剂喷洒、分选系统排风除尘除臭系统等。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防降水工程包括垃圾堆体及开采面覆盖、降水导排等。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检测包括物料</w:t>
      </w:r>
      <w:r>
        <w:rPr>
          <w:rFonts w:ascii="楷体" w:eastAsia="楷体" w:hAnsi="楷体"/>
          <w:sz w:val="24"/>
        </w:rPr>
        <w:t>检测、</w:t>
      </w:r>
      <w:r>
        <w:rPr>
          <w:rFonts w:ascii="楷体" w:eastAsia="楷体" w:hAnsi="楷体" w:hint="eastAsia"/>
          <w:sz w:val="24"/>
        </w:rPr>
        <w:t>垃圾</w:t>
      </w:r>
      <w:r>
        <w:rPr>
          <w:rFonts w:ascii="楷体" w:eastAsia="楷体" w:hAnsi="楷体"/>
          <w:sz w:val="24"/>
        </w:rPr>
        <w:t>稳定性检测、</w:t>
      </w:r>
      <w:r>
        <w:rPr>
          <w:rFonts w:ascii="楷体" w:eastAsia="楷体" w:hAnsi="楷体" w:hint="eastAsia"/>
          <w:sz w:val="24"/>
        </w:rPr>
        <w:t>地下水检测、地表水检测、大气检测、噪声检测等。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垃圾堆体充排气包括堆体充排气井构建、充排气系统等。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液位控制包括液位监测井构建、堆体内渗沥液抽排系统等。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渗沥液储存与处理包括渗沥液储存池、渗沥液处理设施或渗沥液运输设备等。</w:t>
      </w:r>
    </w:p>
    <w:p w:rsidR="00122773" w:rsidRDefault="00D24AE0">
      <w:pPr>
        <w:pStyle w:val="1"/>
        <w:numPr>
          <w:ilvl w:val="0"/>
          <w:numId w:val="3"/>
        </w:numPr>
        <w:ind w:left="0" w:firstLine="480"/>
        <w:rPr>
          <w:rFonts w:ascii="楷体" w:eastAsia="楷体" w:hAnsi="楷体"/>
          <w:sz w:val="24"/>
        </w:rPr>
      </w:pPr>
      <w:r>
        <w:rPr>
          <w:rFonts w:ascii="楷体" w:eastAsia="楷体" w:hAnsi="楷体" w:hint="eastAsia"/>
          <w:sz w:val="24"/>
        </w:rPr>
        <w:t>后处理设施包括可回收物的资源化利用、不可回收物的无害化处理设施。</w:t>
      </w:r>
    </w:p>
    <w:p w:rsidR="00122773" w:rsidRDefault="00D24AE0">
      <w:pPr>
        <w:widowControl/>
        <w:jc w:val="left"/>
        <w:rPr>
          <w:rFonts w:ascii="仿宋_GB2312" w:eastAsia="仿宋_GB2312" w:hAnsi="楷体"/>
          <w:sz w:val="32"/>
          <w:szCs w:val="32"/>
        </w:rPr>
      </w:pPr>
      <w:r>
        <w:rPr>
          <w:rFonts w:ascii="仿宋_GB2312" w:eastAsia="仿宋_GB2312" w:hAnsi="楷体"/>
          <w:sz w:val="32"/>
          <w:szCs w:val="32"/>
        </w:rPr>
        <w:br w:type="page"/>
      </w:r>
    </w:p>
    <w:p w:rsidR="00122773" w:rsidRDefault="00D24AE0">
      <w:pPr>
        <w:pStyle w:val="3"/>
        <w:spacing w:line="240" w:lineRule="auto"/>
        <w:jc w:val="center"/>
        <w:rPr>
          <w:rFonts w:ascii="黑体" w:eastAsia="黑体" w:hAnsi="黑体"/>
          <w:sz w:val="28"/>
          <w:szCs w:val="28"/>
        </w:rPr>
      </w:pPr>
      <w:bookmarkStart w:id="2" w:name="_Toc15462058"/>
      <w:r>
        <w:rPr>
          <w:rFonts w:ascii="黑体" w:eastAsia="黑体" w:hAnsi="黑体" w:hint="eastAsia"/>
          <w:sz w:val="28"/>
          <w:szCs w:val="28"/>
        </w:rPr>
        <w:lastRenderedPageBreak/>
        <w:t>第三章  主体工程和工艺</w:t>
      </w:r>
      <w:bookmarkEnd w:id="2"/>
    </w:p>
    <w:p w:rsidR="00122773" w:rsidRDefault="00D24AE0">
      <w:pPr>
        <w:pStyle w:val="1"/>
        <w:numPr>
          <w:ilvl w:val="0"/>
          <w:numId w:val="1"/>
        </w:numPr>
        <w:ind w:left="0" w:firstLineChars="0" w:firstLine="0"/>
        <w:rPr>
          <w:sz w:val="24"/>
        </w:rPr>
      </w:pPr>
      <w:r>
        <w:rPr>
          <w:rFonts w:hint="eastAsia"/>
          <w:sz w:val="24"/>
        </w:rPr>
        <w:t>存量填埋设施治理工艺</w:t>
      </w:r>
      <w:r>
        <w:rPr>
          <w:sz w:val="24"/>
        </w:rPr>
        <w:t>的选择</w:t>
      </w:r>
      <w:r>
        <w:rPr>
          <w:rFonts w:hint="eastAsia"/>
          <w:sz w:val="24"/>
        </w:rPr>
        <w:t>应符合区域性环境保护规划、城市总体规划、环境卫生设施建设规划和其它相关市政专项规划，以及有关国家现行标准规范的规定。</w:t>
      </w:r>
    </w:p>
    <w:p w:rsidR="00122773" w:rsidRDefault="00D24AE0">
      <w:pPr>
        <w:rPr>
          <w:rFonts w:ascii="楷体" w:eastAsia="楷体" w:hAnsi="楷体"/>
          <w:sz w:val="24"/>
        </w:rPr>
      </w:pPr>
      <w:r>
        <w:rPr>
          <w:rFonts w:ascii="楷体" w:eastAsia="楷体" w:hAnsi="楷体" w:hint="eastAsia"/>
          <w:sz w:val="24"/>
        </w:rPr>
        <w:t>条文说明：存量填埋设施治理工程属于市政类工程，也属于环保类工程，因此其工艺的选择需要符合各项规划和国家有关标准规范的要求。</w:t>
      </w:r>
    </w:p>
    <w:p w:rsidR="00122773" w:rsidRDefault="00122773">
      <w:pPr>
        <w:rPr>
          <w:rFonts w:ascii="楷体" w:eastAsia="楷体" w:hAnsi="楷体"/>
          <w:sz w:val="24"/>
        </w:rPr>
      </w:pPr>
    </w:p>
    <w:p w:rsidR="00122773" w:rsidRDefault="00D24AE0">
      <w:pPr>
        <w:pStyle w:val="1"/>
        <w:numPr>
          <w:ilvl w:val="0"/>
          <w:numId w:val="1"/>
        </w:numPr>
        <w:ind w:left="0" w:firstLineChars="0" w:firstLine="0"/>
        <w:rPr>
          <w:sz w:val="24"/>
        </w:rPr>
      </w:pPr>
      <w:r>
        <w:rPr>
          <w:rFonts w:hint="eastAsia"/>
          <w:sz w:val="24"/>
        </w:rPr>
        <w:t>存量填埋设施治理工程方案应综合考虑场址地质条件、环境影响、工程投资等因素，并结合建设规模、现有设施状况、治理后用途等情况，经过多方案比选后确定。</w:t>
      </w:r>
    </w:p>
    <w:p w:rsidR="00122773" w:rsidRDefault="00D24AE0">
      <w:pPr>
        <w:rPr>
          <w:rFonts w:ascii="楷体" w:eastAsia="楷体" w:hAnsi="楷体"/>
          <w:sz w:val="24"/>
        </w:rPr>
      </w:pPr>
      <w:r>
        <w:rPr>
          <w:rFonts w:ascii="楷体" w:eastAsia="楷体" w:hAnsi="楷体" w:hint="eastAsia"/>
          <w:sz w:val="24"/>
        </w:rPr>
        <w:t>条文说明：存量填埋设施一般会给环境造成一定影响，影响的程度与地质条件、存量规模等有较大的关系。采用什么样的处理工艺和工程方案既要考虑环境治理的目的、治理效果，也要考虑现有条件、资金等问题。在项目可行性研究阶段要求进行多方案的比较，以确定最合理方案。</w:t>
      </w:r>
    </w:p>
    <w:p w:rsidR="00122773" w:rsidRDefault="00122773">
      <w:pPr>
        <w:rPr>
          <w:sz w:val="24"/>
        </w:rPr>
      </w:pPr>
    </w:p>
    <w:p w:rsidR="00122773" w:rsidRDefault="00D24AE0">
      <w:pPr>
        <w:pStyle w:val="1"/>
        <w:numPr>
          <w:ilvl w:val="0"/>
          <w:numId w:val="1"/>
        </w:numPr>
        <w:ind w:left="0" w:firstLineChars="0" w:firstLine="0"/>
        <w:rPr>
          <w:sz w:val="24"/>
        </w:rPr>
      </w:pPr>
      <w:r>
        <w:rPr>
          <w:rFonts w:hint="eastAsia"/>
          <w:sz w:val="24"/>
        </w:rPr>
        <w:t>原地封场治理工程的主体工艺选择应符合下列要求：</w:t>
      </w:r>
    </w:p>
    <w:p w:rsidR="00122773" w:rsidRDefault="00D24AE0">
      <w:pPr>
        <w:pStyle w:val="1"/>
        <w:numPr>
          <w:ilvl w:val="0"/>
          <w:numId w:val="4"/>
        </w:numPr>
        <w:ind w:left="0" w:firstLineChars="0" w:firstLine="420"/>
        <w:rPr>
          <w:sz w:val="24"/>
        </w:rPr>
      </w:pPr>
      <w:r>
        <w:rPr>
          <w:rFonts w:hint="eastAsia"/>
          <w:sz w:val="24"/>
        </w:rPr>
        <w:t>封场覆盖能阻止降水向垃圾体渗透，并能防止垃圾堆体滑坡。</w:t>
      </w:r>
    </w:p>
    <w:p w:rsidR="00122773" w:rsidRDefault="00D24AE0">
      <w:pPr>
        <w:pStyle w:val="1"/>
        <w:numPr>
          <w:ilvl w:val="0"/>
          <w:numId w:val="4"/>
        </w:numPr>
        <w:ind w:left="0" w:firstLineChars="0" w:firstLine="420"/>
        <w:rPr>
          <w:sz w:val="24"/>
        </w:rPr>
      </w:pPr>
      <w:r>
        <w:rPr>
          <w:rFonts w:hint="eastAsia"/>
          <w:sz w:val="24"/>
        </w:rPr>
        <w:t>渗沥液导排系统能将垃圾体内部和底部的渗沥液排出并收集。</w:t>
      </w:r>
    </w:p>
    <w:p w:rsidR="00122773" w:rsidRDefault="00D24AE0">
      <w:pPr>
        <w:pStyle w:val="1"/>
        <w:numPr>
          <w:ilvl w:val="0"/>
          <w:numId w:val="4"/>
        </w:numPr>
        <w:ind w:left="0" w:firstLineChars="0" w:firstLine="420"/>
        <w:rPr>
          <w:sz w:val="24"/>
        </w:rPr>
      </w:pPr>
      <w:r>
        <w:rPr>
          <w:rFonts w:hint="eastAsia"/>
          <w:sz w:val="24"/>
        </w:rPr>
        <w:t>渗沥液处理工艺根据渗沥液特性选择，处理后的排放水水质应符合项目环境影响评价批复的要求。</w:t>
      </w:r>
    </w:p>
    <w:p w:rsidR="00122773" w:rsidRDefault="00D24AE0">
      <w:pPr>
        <w:pStyle w:val="1"/>
        <w:numPr>
          <w:ilvl w:val="0"/>
          <w:numId w:val="4"/>
        </w:numPr>
        <w:ind w:left="0" w:firstLineChars="0" w:firstLine="420"/>
        <w:rPr>
          <w:sz w:val="24"/>
        </w:rPr>
      </w:pPr>
      <w:r>
        <w:rPr>
          <w:rFonts w:asciiTheme="minorEastAsia" w:eastAsiaTheme="minorEastAsia" w:hAnsiTheme="minorEastAsia" w:hint="eastAsia"/>
        </w:rPr>
        <w:t>Ⅲ类</w:t>
      </w:r>
      <w:r>
        <w:rPr>
          <w:rFonts w:hint="eastAsia"/>
          <w:sz w:val="24"/>
        </w:rPr>
        <w:t>以上存量填埋设施治理工程的填埋气体导排和</w:t>
      </w:r>
      <w:r>
        <w:rPr>
          <w:sz w:val="24"/>
        </w:rPr>
        <w:t>处理工艺</w:t>
      </w:r>
      <w:r>
        <w:rPr>
          <w:rFonts w:hint="eastAsia"/>
          <w:sz w:val="24"/>
        </w:rPr>
        <w:t>应根据气体甲烷含量产气量、技术经济等因素确定。</w:t>
      </w:r>
    </w:p>
    <w:p w:rsidR="00122773" w:rsidRDefault="00D24AE0">
      <w:pPr>
        <w:pStyle w:val="1"/>
        <w:numPr>
          <w:ilvl w:val="0"/>
          <w:numId w:val="4"/>
        </w:numPr>
        <w:ind w:left="0" w:firstLineChars="0" w:firstLine="420"/>
        <w:rPr>
          <w:sz w:val="24"/>
        </w:rPr>
      </w:pPr>
      <w:r>
        <w:rPr>
          <w:rFonts w:hint="eastAsia"/>
          <w:sz w:val="24"/>
        </w:rPr>
        <w:t>地下水控制与</w:t>
      </w:r>
      <w:r>
        <w:rPr>
          <w:sz w:val="24"/>
        </w:rPr>
        <w:t>污染治理</w:t>
      </w:r>
      <w:r>
        <w:rPr>
          <w:rFonts w:hint="eastAsia"/>
          <w:sz w:val="24"/>
        </w:rPr>
        <w:t>根据垃圾堆存区域地下水污染程度</w:t>
      </w:r>
      <w:r>
        <w:rPr>
          <w:sz w:val="24"/>
        </w:rPr>
        <w:t>、</w:t>
      </w:r>
      <w:r>
        <w:rPr>
          <w:rFonts w:hint="eastAsia"/>
          <w:sz w:val="24"/>
        </w:rPr>
        <w:t>流向、流量及其季节性变化规律等因素确定具体工艺。</w:t>
      </w:r>
    </w:p>
    <w:p w:rsidR="00122773" w:rsidRDefault="00D24AE0">
      <w:pPr>
        <w:rPr>
          <w:rFonts w:ascii="楷体" w:eastAsia="楷体" w:hAnsi="楷体"/>
          <w:sz w:val="24"/>
        </w:rPr>
      </w:pPr>
      <w:r>
        <w:rPr>
          <w:rFonts w:ascii="楷体" w:eastAsia="楷体" w:hAnsi="楷体" w:hint="eastAsia"/>
          <w:sz w:val="24"/>
        </w:rPr>
        <w:t>条文说明：本条提出了原地封场治理的重点技术内容。</w:t>
      </w:r>
    </w:p>
    <w:p w:rsidR="00122773" w:rsidRDefault="00D24AE0">
      <w:pPr>
        <w:ind w:firstLineChars="200" w:firstLine="480"/>
        <w:rPr>
          <w:rFonts w:ascii="楷体" w:eastAsia="楷体" w:hAnsi="楷体"/>
          <w:sz w:val="24"/>
        </w:rPr>
      </w:pPr>
      <w:r>
        <w:rPr>
          <w:rFonts w:ascii="楷体" w:eastAsia="楷体" w:hAnsi="楷体" w:hint="eastAsia"/>
          <w:sz w:val="24"/>
        </w:rPr>
        <w:t>在垃圾堆体底部无防渗系统的情况下，利用覆盖系统防止降水渗透到垃圾体对于减少渗沥液产生、防止地下水污染扩大是非常有效的，因此封场覆盖工艺中要考虑采用防渗层，以阻止降水下渗。</w:t>
      </w:r>
    </w:p>
    <w:p w:rsidR="00122773" w:rsidRDefault="00D24AE0">
      <w:pPr>
        <w:ind w:firstLineChars="200" w:firstLine="480"/>
        <w:rPr>
          <w:rFonts w:ascii="楷体" w:eastAsia="楷体" w:hAnsi="楷体"/>
          <w:sz w:val="24"/>
        </w:rPr>
      </w:pPr>
      <w:r>
        <w:rPr>
          <w:rFonts w:ascii="楷体" w:eastAsia="楷体" w:hAnsi="楷体" w:hint="eastAsia"/>
          <w:sz w:val="24"/>
        </w:rPr>
        <w:t>渗沥液主要积存于垃圾堆体底部和垃圾体内。底部的渗沥液导排只能是在场地最低处的垃圾堆体与地面的交汇处开挖渗沥液积液沟，用于汇集底部渗沥液。积存于垃圾体内部的渗沥液可以利用打垂直井的方式将渗沥液慢慢抽出。</w:t>
      </w:r>
    </w:p>
    <w:p w:rsidR="00122773" w:rsidRDefault="00D24AE0">
      <w:pPr>
        <w:ind w:firstLineChars="200" w:firstLine="480"/>
        <w:rPr>
          <w:rFonts w:ascii="楷体" w:eastAsia="楷体" w:hAnsi="楷体"/>
          <w:sz w:val="24"/>
        </w:rPr>
      </w:pPr>
      <w:r>
        <w:rPr>
          <w:rFonts w:ascii="楷体" w:eastAsia="楷体" w:hAnsi="楷体" w:hint="eastAsia"/>
          <w:sz w:val="24"/>
        </w:rPr>
        <w:t>对于垃圾量比较大的三类以上存量填埋设施治理工程，填埋气体产生量比较大，因此本条提出要采用主动导排工艺导排填埋气体。如果甲烷含量较高，且持续时间较长，</w:t>
      </w:r>
      <w:r>
        <w:rPr>
          <w:rFonts w:ascii="楷体" w:eastAsia="楷体" w:hAnsi="楷体" w:hint="eastAsia"/>
          <w:sz w:val="24"/>
        </w:rPr>
        <w:lastRenderedPageBreak/>
        <w:t>排出的填埋气体可以利用，气体利用方案可以根据实际需要来选择。已得到应用的可行填埋气体利用工艺主要有内燃机发电、锅炉燃料、城市燃气、压缩燃气等。如果填埋气体量小，利用经济性较差，就可以采用火炬燃烧的工艺，将其中的甲烷和恶臭气体烧掉。</w:t>
      </w:r>
    </w:p>
    <w:p w:rsidR="00122773" w:rsidRDefault="00D24AE0">
      <w:pPr>
        <w:ind w:firstLineChars="200" w:firstLine="480"/>
        <w:rPr>
          <w:rFonts w:ascii="楷体" w:eastAsia="楷体" w:hAnsi="楷体"/>
          <w:sz w:val="24"/>
        </w:rPr>
      </w:pPr>
      <w:r>
        <w:rPr>
          <w:rFonts w:ascii="楷体" w:eastAsia="楷体" w:hAnsi="楷体" w:hint="eastAsia"/>
          <w:sz w:val="24"/>
        </w:rPr>
        <w:t>地下水控制也是原地封场治理工程重点考虑的内容，主要目的就是防止地下水污染扩大。如果垃圾体位于具有独立水文地质单元的山谷，可以在山谷下游实施地下防渗墙工程，阻止被污染的地下水向下游扩散。如果垃圾堆体是在较平缓的地方堆放，而垃圾堆存处地下具有连续性较好的不透水层，则可以在垃圾体四周设置地下防渗墙，阻止外面的地下水与垃圾堆体下被污染的地下水混合。</w:t>
      </w:r>
    </w:p>
    <w:p w:rsidR="00122773" w:rsidRDefault="00122773">
      <w:pPr>
        <w:rPr>
          <w:sz w:val="24"/>
        </w:rPr>
      </w:pPr>
    </w:p>
    <w:p w:rsidR="00122773" w:rsidRDefault="00D24AE0">
      <w:pPr>
        <w:pStyle w:val="1"/>
        <w:numPr>
          <w:ilvl w:val="0"/>
          <w:numId w:val="1"/>
        </w:numPr>
        <w:ind w:left="0" w:firstLineChars="0" w:firstLine="0"/>
        <w:rPr>
          <w:sz w:val="24"/>
        </w:rPr>
      </w:pPr>
      <w:r>
        <w:rPr>
          <w:rFonts w:hint="eastAsia"/>
          <w:sz w:val="24"/>
        </w:rPr>
        <w:t>异地搬迁治理工程主体工艺应符合下列要求：</w:t>
      </w:r>
    </w:p>
    <w:p w:rsidR="00122773" w:rsidRDefault="00D24AE0">
      <w:pPr>
        <w:pStyle w:val="1"/>
        <w:ind w:left="420" w:firstLineChars="0" w:firstLine="0"/>
        <w:rPr>
          <w:sz w:val="24"/>
        </w:rPr>
      </w:pPr>
      <w:r>
        <w:rPr>
          <w:rFonts w:hint="eastAsia"/>
          <w:sz w:val="24"/>
        </w:rPr>
        <w:t xml:space="preserve">1 </w:t>
      </w:r>
      <w:r>
        <w:rPr>
          <w:rFonts w:hint="eastAsia"/>
          <w:sz w:val="24"/>
        </w:rPr>
        <w:t>对于垃圾堆填时间较短的垃圾堆体，应根据堆体稳定情况确定是否需要进行快速稳定后进行堆体开采。</w:t>
      </w:r>
    </w:p>
    <w:p w:rsidR="00122773" w:rsidRDefault="00D24AE0">
      <w:pPr>
        <w:pStyle w:val="1"/>
        <w:ind w:left="420" w:firstLineChars="0" w:firstLine="0"/>
        <w:rPr>
          <w:sz w:val="24"/>
        </w:rPr>
      </w:pPr>
      <w:r>
        <w:rPr>
          <w:rFonts w:hint="eastAsia"/>
          <w:sz w:val="24"/>
        </w:rPr>
        <w:t xml:space="preserve">2 </w:t>
      </w:r>
      <w:r>
        <w:rPr>
          <w:rFonts w:hint="eastAsia"/>
          <w:sz w:val="24"/>
        </w:rPr>
        <w:t>堆体快速稳定工艺包括充气井、抽气井、输气管网、充气和排气风机、控制系统、氧气和甲烷监测设备、除臭设备等。</w:t>
      </w:r>
    </w:p>
    <w:p w:rsidR="00122773" w:rsidRDefault="00D24AE0">
      <w:pPr>
        <w:pStyle w:val="1"/>
        <w:ind w:left="420" w:firstLineChars="0" w:firstLine="0"/>
        <w:rPr>
          <w:sz w:val="24"/>
        </w:rPr>
      </w:pPr>
      <w:r>
        <w:rPr>
          <w:rFonts w:hint="eastAsia"/>
          <w:sz w:val="24"/>
        </w:rPr>
        <w:t xml:space="preserve">3 </w:t>
      </w:r>
      <w:r>
        <w:rPr>
          <w:rFonts w:hint="eastAsia"/>
          <w:sz w:val="24"/>
        </w:rPr>
        <w:t>堆体开采采用分层浅挖工艺，并有</w:t>
      </w:r>
      <w:r>
        <w:rPr>
          <w:rFonts w:ascii="仿宋" w:eastAsia="仿宋" w:hAnsi="仿宋" w:cs="仿宋" w:hint="eastAsia"/>
          <w:sz w:val="24"/>
        </w:rPr>
        <w:t>坝体稳定、</w:t>
      </w:r>
      <w:r>
        <w:rPr>
          <w:rFonts w:hint="eastAsia"/>
          <w:sz w:val="24"/>
        </w:rPr>
        <w:t>防扬尘、防臭气扩散的措施。</w:t>
      </w:r>
    </w:p>
    <w:p w:rsidR="00122773" w:rsidRDefault="00D24AE0">
      <w:pPr>
        <w:pStyle w:val="1"/>
        <w:ind w:left="420" w:firstLineChars="0" w:firstLine="0"/>
        <w:rPr>
          <w:sz w:val="24"/>
        </w:rPr>
      </w:pPr>
      <w:r>
        <w:rPr>
          <w:rFonts w:hint="eastAsia"/>
          <w:sz w:val="24"/>
        </w:rPr>
        <w:t xml:space="preserve">4 </w:t>
      </w:r>
      <w:r>
        <w:rPr>
          <w:rFonts w:hint="eastAsia"/>
          <w:sz w:val="24"/>
        </w:rPr>
        <w:t>分选工艺考虑将垃圾分为筛下灰土、筛上可燃物和可回收物。可回收物进行资源化利用；筛上可燃物采用压缩车或打包，并优先转运至垃圾焚烧厂进行焚烧处理；灰土可优先就近用于绿化营养土，就近不能完全消纳的，可运往其他地方作为绿化营养土。</w:t>
      </w:r>
    </w:p>
    <w:p w:rsidR="00122773" w:rsidRDefault="00D24AE0">
      <w:pPr>
        <w:pStyle w:val="1"/>
        <w:ind w:left="420" w:firstLineChars="0" w:firstLine="0"/>
        <w:rPr>
          <w:sz w:val="24"/>
        </w:rPr>
      </w:pPr>
      <w:r>
        <w:rPr>
          <w:sz w:val="24"/>
        </w:rPr>
        <w:t xml:space="preserve">5 </w:t>
      </w:r>
      <w:r>
        <w:rPr>
          <w:sz w:val="24"/>
        </w:rPr>
        <w:t>开采搬迁期间对垃圾堆体实施防雨覆盖</w:t>
      </w:r>
      <w:r>
        <w:rPr>
          <w:rFonts w:hint="eastAsia"/>
          <w:sz w:val="24"/>
        </w:rPr>
        <w:t>，</w:t>
      </w:r>
      <w:r>
        <w:rPr>
          <w:sz w:val="24"/>
        </w:rPr>
        <w:t>产生的渗沥液可采用移动式渗沥液处理设备进行处理</w:t>
      </w:r>
      <w:r>
        <w:rPr>
          <w:rFonts w:hint="eastAsia"/>
          <w:sz w:val="24"/>
        </w:rPr>
        <w:t>，如城市污水处理厂同意接受，</w:t>
      </w:r>
      <w:r>
        <w:rPr>
          <w:sz w:val="24"/>
        </w:rPr>
        <w:t>也可送往城市污水处理厂处理</w:t>
      </w:r>
      <w:r>
        <w:rPr>
          <w:rFonts w:hint="eastAsia"/>
          <w:sz w:val="24"/>
        </w:rPr>
        <w:t>。</w:t>
      </w:r>
    </w:p>
    <w:p w:rsidR="00122773" w:rsidRDefault="00D24AE0">
      <w:pPr>
        <w:pStyle w:val="1"/>
        <w:ind w:left="420" w:firstLineChars="0" w:firstLine="0"/>
        <w:rPr>
          <w:sz w:val="24"/>
        </w:rPr>
      </w:pPr>
      <w:r>
        <w:rPr>
          <w:rFonts w:hint="eastAsia"/>
          <w:sz w:val="24"/>
        </w:rPr>
        <w:t xml:space="preserve">6 </w:t>
      </w:r>
      <w:r>
        <w:rPr>
          <w:rFonts w:hint="eastAsia"/>
          <w:sz w:val="24"/>
        </w:rPr>
        <w:t>臭气控制包括堆体快速稳定化期间的排气除臭以及堆体开采期间的作业面臭气控制。</w:t>
      </w:r>
    </w:p>
    <w:p w:rsidR="00122773" w:rsidRDefault="00D24AE0">
      <w:pPr>
        <w:rPr>
          <w:rFonts w:ascii="楷体" w:eastAsia="楷体" w:hAnsi="楷体"/>
          <w:sz w:val="24"/>
        </w:rPr>
      </w:pPr>
      <w:r>
        <w:rPr>
          <w:rFonts w:ascii="楷体" w:eastAsia="楷体" w:hAnsi="楷体" w:hint="eastAsia"/>
          <w:sz w:val="24"/>
        </w:rPr>
        <w:t>条文说明：异地搬迁治理工艺需要将垃圾堆体挖开，大部分工程需要筛分。在处理过程中有一定</w:t>
      </w:r>
      <w:r>
        <w:rPr>
          <w:rFonts w:ascii="楷体" w:eastAsia="楷体" w:hAnsi="楷体"/>
          <w:sz w:val="24"/>
        </w:rPr>
        <w:t>的技术难度和风险。如果</w:t>
      </w:r>
      <w:r>
        <w:rPr>
          <w:rFonts w:ascii="楷体" w:eastAsia="楷体" w:hAnsi="楷体" w:hint="eastAsia"/>
          <w:sz w:val="24"/>
        </w:rPr>
        <w:t>存量填埋设施</w:t>
      </w:r>
      <w:r>
        <w:rPr>
          <w:rFonts w:ascii="楷体" w:eastAsia="楷体" w:hAnsi="楷体"/>
          <w:sz w:val="24"/>
        </w:rPr>
        <w:t>中有较多的未降解有机物，堆体内将会有很多沼气，开挖过程中也将会逸出较多的臭气</w:t>
      </w:r>
      <w:r>
        <w:rPr>
          <w:rFonts w:ascii="楷体" w:eastAsia="楷体" w:hAnsi="楷体" w:hint="eastAsia"/>
          <w:sz w:val="24"/>
        </w:rPr>
        <w:t>。</w:t>
      </w:r>
      <w:r>
        <w:rPr>
          <w:rFonts w:ascii="楷体" w:eastAsia="楷体" w:hAnsi="楷体"/>
          <w:sz w:val="24"/>
        </w:rPr>
        <w:t>因此在开挖前需要对垃圾堆体实施快速稳定化的处理</w:t>
      </w:r>
      <w:r>
        <w:rPr>
          <w:rFonts w:ascii="楷体" w:eastAsia="楷体" w:hAnsi="楷体" w:hint="eastAsia"/>
          <w:sz w:val="24"/>
        </w:rPr>
        <w:t>。一般是在垃圾堆体上打充气井，用鼓风机向垃圾堆体充空气，同时在一定距离外打抽气井，用排风机对抽气井抽气。通过对垃圾体内部充气，能够是其中的可降解有机垃圾快速好氧降解，使垃圾堆体尽快稳定，以较小堆体开挖的风险。在充、排气过程中监测抽出气体中的氧含量和甲烷含量，防止氧气与甲烷的混合物形成爆炸性气体，因此配备氧和甲烷浓度监测设备是必须的。</w:t>
      </w:r>
    </w:p>
    <w:p w:rsidR="00122773" w:rsidRDefault="00D24AE0">
      <w:pPr>
        <w:ind w:firstLine="480"/>
        <w:rPr>
          <w:rFonts w:ascii="楷体" w:eastAsia="楷体" w:hAnsi="楷体"/>
          <w:sz w:val="24"/>
        </w:rPr>
      </w:pPr>
      <w:r>
        <w:rPr>
          <w:rFonts w:ascii="楷体" w:eastAsia="楷体" w:hAnsi="楷体"/>
          <w:sz w:val="24"/>
        </w:rPr>
        <w:t>在垃圾堆体内部可能存在较多甲烷气体的情况下</w:t>
      </w:r>
      <w:r>
        <w:rPr>
          <w:rFonts w:ascii="楷体" w:eastAsia="楷体" w:hAnsi="楷体" w:hint="eastAsia"/>
          <w:sz w:val="24"/>
        </w:rPr>
        <w:t>，</w:t>
      </w:r>
      <w:r>
        <w:rPr>
          <w:rFonts w:ascii="楷体" w:eastAsia="楷体" w:hAnsi="楷体"/>
          <w:sz w:val="24"/>
        </w:rPr>
        <w:t>堆体开采不能采用挖掘机深挖</w:t>
      </w:r>
      <w:r>
        <w:rPr>
          <w:rFonts w:ascii="楷体" w:eastAsia="楷体" w:hAnsi="楷体" w:hint="eastAsia"/>
          <w:sz w:val="24"/>
        </w:rPr>
        <w:t>，</w:t>
      </w:r>
      <w:r>
        <w:rPr>
          <w:rFonts w:ascii="楷体" w:eastAsia="楷体" w:hAnsi="楷体"/>
          <w:sz w:val="24"/>
        </w:rPr>
        <w:lastRenderedPageBreak/>
        <w:t>以免挖掘过程中局部产生氧气与甲烷的混合物</w:t>
      </w:r>
      <w:r>
        <w:rPr>
          <w:rFonts w:ascii="楷体" w:eastAsia="楷体" w:hAnsi="楷体" w:hint="eastAsia"/>
          <w:sz w:val="24"/>
        </w:rPr>
        <w:t>，</w:t>
      </w:r>
      <w:r>
        <w:rPr>
          <w:rFonts w:ascii="楷体" w:eastAsia="楷体" w:hAnsi="楷体"/>
          <w:sz w:val="24"/>
        </w:rPr>
        <w:t>遇到坚硬物品碰撞产生的火花就有可能引起爆炸</w:t>
      </w:r>
      <w:r>
        <w:rPr>
          <w:rFonts w:ascii="楷体" w:eastAsia="楷体" w:hAnsi="楷体" w:hint="eastAsia"/>
          <w:sz w:val="24"/>
        </w:rPr>
        <w:t>。</w:t>
      </w:r>
      <w:r>
        <w:rPr>
          <w:rFonts w:ascii="楷体" w:eastAsia="楷体" w:hAnsi="楷体"/>
          <w:sz w:val="24"/>
        </w:rPr>
        <w:t>因此本条要求实行分层浅挖的方式开采垃圾</w:t>
      </w:r>
      <w:r>
        <w:rPr>
          <w:rFonts w:ascii="楷体" w:eastAsia="楷体" w:hAnsi="楷体" w:hint="eastAsia"/>
          <w:sz w:val="24"/>
        </w:rPr>
        <w:t>，</w:t>
      </w:r>
      <w:r>
        <w:rPr>
          <w:rFonts w:ascii="楷体" w:eastAsia="楷体" w:hAnsi="楷体"/>
          <w:sz w:val="24"/>
        </w:rPr>
        <w:t>即从垃圾堆体表层逐层铲除垃圾</w:t>
      </w:r>
      <w:r>
        <w:rPr>
          <w:rFonts w:ascii="楷体" w:eastAsia="楷体" w:hAnsi="楷体" w:hint="eastAsia"/>
          <w:sz w:val="24"/>
        </w:rPr>
        <w:t>，</w:t>
      </w:r>
      <w:r>
        <w:rPr>
          <w:rFonts w:ascii="楷体" w:eastAsia="楷体" w:hAnsi="楷体"/>
          <w:sz w:val="24"/>
        </w:rPr>
        <w:t>使垃圾堆体中的甲烷迅速扩散</w:t>
      </w:r>
      <w:r>
        <w:rPr>
          <w:rFonts w:ascii="楷体" w:eastAsia="楷体" w:hAnsi="楷体" w:hint="eastAsia"/>
          <w:sz w:val="24"/>
        </w:rPr>
        <w:t>，</w:t>
      </w:r>
      <w:r>
        <w:rPr>
          <w:rFonts w:ascii="楷体" w:eastAsia="楷体" w:hAnsi="楷体"/>
          <w:sz w:val="24"/>
        </w:rPr>
        <w:t>避免在局部狭小空间与氧气混合产生爆炸性气体</w:t>
      </w:r>
      <w:r>
        <w:rPr>
          <w:rFonts w:ascii="楷体" w:eastAsia="楷体" w:hAnsi="楷体" w:hint="eastAsia"/>
          <w:sz w:val="24"/>
        </w:rPr>
        <w:t>。</w:t>
      </w:r>
    </w:p>
    <w:p w:rsidR="00122773" w:rsidRDefault="00D24AE0">
      <w:pPr>
        <w:ind w:firstLine="480"/>
        <w:rPr>
          <w:rFonts w:ascii="楷体" w:eastAsia="楷体" w:hAnsi="楷体"/>
          <w:sz w:val="24"/>
        </w:rPr>
      </w:pPr>
      <w:r>
        <w:rPr>
          <w:rFonts w:ascii="楷体" w:eastAsia="楷体" w:hAnsi="楷体" w:hint="eastAsia"/>
          <w:sz w:val="24"/>
        </w:rPr>
        <w:t>挖出的垃圾堆体主要是灰土与有机降解物、不可降解塑料类以及大块无机物。这些物质有不同的特性和用途，将其分开并分别运往不同的处理处置场所是比较好的做法。其中灰土与有机降解物混合物有一定的肥效，可以用于绿化用营养土；不可降解塑料类物质中含有一些可以回收利用的物质可以当做废品出售给资源回收企业，如可回收物较少，可以直接运往垃圾焚烧厂进行焚烧；大块无机物中有少量金属也可以回收，其它无机惰性物质可用于填坑或与建筑垃圾一起制作建筑材料。</w:t>
      </w:r>
    </w:p>
    <w:p w:rsidR="00122773" w:rsidRDefault="00D24AE0">
      <w:pPr>
        <w:ind w:firstLine="480"/>
        <w:rPr>
          <w:rFonts w:ascii="黑体" w:eastAsia="黑体" w:hAnsi="黑体"/>
          <w:b/>
          <w:bCs/>
          <w:sz w:val="28"/>
          <w:szCs w:val="28"/>
        </w:rPr>
      </w:pPr>
      <w:r>
        <w:rPr>
          <w:rFonts w:ascii="楷体" w:eastAsia="楷体" w:hAnsi="楷体"/>
          <w:sz w:val="24"/>
        </w:rPr>
        <w:t>垃圾堆体开挖过程中还需要实施防雨措施</w:t>
      </w:r>
      <w:r>
        <w:rPr>
          <w:rFonts w:ascii="楷体" w:eastAsia="楷体" w:hAnsi="楷体" w:hint="eastAsia"/>
          <w:sz w:val="24"/>
        </w:rPr>
        <w:t>，</w:t>
      </w:r>
      <w:r>
        <w:rPr>
          <w:rFonts w:ascii="楷体" w:eastAsia="楷体" w:hAnsi="楷体"/>
          <w:sz w:val="24"/>
        </w:rPr>
        <w:t>防止雨水进入垃圾堆体</w:t>
      </w:r>
      <w:r>
        <w:rPr>
          <w:rFonts w:ascii="楷体" w:eastAsia="楷体" w:hAnsi="楷体" w:hint="eastAsia"/>
          <w:sz w:val="24"/>
        </w:rPr>
        <w:t>，</w:t>
      </w:r>
      <w:r>
        <w:rPr>
          <w:rFonts w:ascii="楷体" w:eastAsia="楷体" w:hAnsi="楷体"/>
          <w:sz w:val="24"/>
        </w:rPr>
        <w:t>形成渗沥液</w:t>
      </w:r>
      <w:r>
        <w:rPr>
          <w:rFonts w:ascii="楷体" w:eastAsia="楷体" w:hAnsi="楷体" w:hint="eastAsia"/>
          <w:sz w:val="24"/>
        </w:rPr>
        <w:t>，</w:t>
      </w:r>
      <w:r>
        <w:rPr>
          <w:rFonts w:ascii="楷体" w:eastAsia="楷体" w:hAnsi="楷体"/>
          <w:sz w:val="24"/>
        </w:rPr>
        <w:t>同时对原来垃圾中已经产生的渗沥液还要进行导排收集</w:t>
      </w:r>
      <w:r>
        <w:rPr>
          <w:rFonts w:ascii="楷体" w:eastAsia="楷体" w:hAnsi="楷体" w:hint="eastAsia"/>
          <w:sz w:val="24"/>
        </w:rPr>
        <w:t>，</w:t>
      </w:r>
      <w:r>
        <w:rPr>
          <w:rFonts w:ascii="楷体" w:eastAsia="楷体" w:hAnsi="楷体"/>
          <w:sz w:val="24"/>
        </w:rPr>
        <w:t>防止其污染环境</w:t>
      </w:r>
      <w:r>
        <w:rPr>
          <w:rFonts w:ascii="楷体" w:eastAsia="楷体" w:hAnsi="楷体" w:hint="eastAsia"/>
          <w:sz w:val="24"/>
        </w:rPr>
        <w:t>。防雨工程措施主要是采用防渗材料对垃圾堆体进行覆盖，并在垃圾堆体外设置排水沟，将覆盖层上面的雨水排至垃圾堆体以外。同时在开挖作业面上也可以实施临时覆盖，在降雨时可以停止开挖，将作业面覆盖，雨后再将覆盖材料移开继续开挖作业。</w:t>
      </w:r>
      <w:r>
        <w:rPr>
          <w:rFonts w:ascii="黑体" w:eastAsia="黑体" w:hAnsi="黑体"/>
          <w:sz w:val="28"/>
          <w:szCs w:val="28"/>
        </w:rPr>
        <w:br w:type="page"/>
      </w:r>
    </w:p>
    <w:p w:rsidR="00122773" w:rsidRDefault="00D24AE0">
      <w:pPr>
        <w:pStyle w:val="3"/>
        <w:spacing w:line="240" w:lineRule="auto"/>
        <w:jc w:val="center"/>
        <w:rPr>
          <w:rFonts w:ascii="黑体" w:eastAsia="黑体" w:hAnsi="黑体"/>
          <w:sz w:val="28"/>
          <w:szCs w:val="28"/>
        </w:rPr>
      </w:pPr>
      <w:bookmarkStart w:id="3" w:name="_Toc15462059"/>
      <w:r>
        <w:rPr>
          <w:rFonts w:ascii="黑体" w:eastAsia="黑体" w:hAnsi="黑体" w:hint="eastAsia"/>
          <w:sz w:val="28"/>
          <w:szCs w:val="28"/>
        </w:rPr>
        <w:lastRenderedPageBreak/>
        <w:t>第四章  配套工程</w:t>
      </w:r>
      <w:bookmarkEnd w:id="3"/>
    </w:p>
    <w:p w:rsidR="00122773" w:rsidRDefault="00D24AE0">
      <w:pPr>
        <w:pStyle w:val="1"/>
        <w:numPr>
          <w:ilvl w:val="0"/>
          <w:numId w:val="1"/>
        </w:numPr>
        <w:ind w:left="0" w:firstLineChars="0" w:firstLine="0"/>
        <w:rPr>
          <w:sz w:val="24"/>
        </w:rPr>
      </w:pPr>
      <w:r>
        <w:rPr>
          <w:rFonts w:hint="eastAsia"/>
          <w:sz w:val="24"/>
        </w:rPr>
        <w:t>原地封场治理</w:t>
      </w:r>
      <w:r>
        <w:rPr>
          <w:sz w:val="24"/>
        </w:rPr>
        <w:t>工程的配套工程</w:t>
      </w:r>
      <w:r>
        <w:rPr>
          <w:rFonts w:hint="eastAsia"/>
          <w:sz w:val="24"/>
        </w:rPr>
        <w:t>可包括</w:t>
      </w:r>
      <w:r>
        <w:rPr>
          <w:sz w:val="24"/>
        </w:rPr>
        <w:t>供水工程、供电工程、堆体管理用道路</w:t>
      </w:r>
      <w:r>
        <w:rPr>
          <w:rFonts w:hint="eastAsia"/>
          <w:sz w:val="24"/>
        </w:rPr>
        <w:t>。</w:t>
      </w:r>
      <w:r>
        <w:rPr>
          <w:sz w:val="24"/>
        </w:rPr>
        <w:t>配套工程</w:t>
      </w:r>
      <w:r>
        <w:rPr>
          <w:rFonts w:hint="eastAsia"/>
          <w:sz w:val="24"/>
        </w:rPr>
        <w:t>规模</w:t>
      </w:r>
      <w:r>
        <w:rPr>
          <w:sz w:val="24"/>
        </w:rPr>
        <w:t>应按照封场工程需要确定</w:t>
      </w:r>
      <w:r>
        <w:rPr>
          <w:rFonts w:hint="eastAsia"/>
          <w:sz w:val="24"/>
        </w:rPr>
        <w:t>，做到经济、适用、安全、卫生</w:t>
      </w:r>
      <w:r>
        <w:rPr>
          <w:sz w:val="24"/>
        </w:rPr>
        <w:t>。</w:t>
      </w:r>
    </w:p>
    <w:p w:rsidR="00122773" w:rsidRDefault="00D24AE0">
      <w:pPr>
        <w:jc w:val="left"/>
        <w:rPr>
          <w:rFonts w:ascii="楷体" w:eastAsia="楷体" w:hAnsi="楷体"/>
          <w:sz w:val="24"/>
        </w:rPr>
      </w:pPr>
      <w:r>
        <w:rPr>
          <w:rFonts w:ascii="楷体" w:eastAsia="楷体" w:hAnsi="楷体" w:hint="eastAsia"/>
          <w:sz w:val="24"/>
        </w:rPr>
        <w:t>条文说明：原地封场治理工程建成后</w:t>
      </w:r>
      <w:r>
        <w:rPr>
          <w:rFonts w:ascii="楷体" w:eastAsia="楷体" w:hAnsi="楷体"/>
          <w:sz w:val="24"/>
        </w:rPr>
        <w:t>还需要人进行维护管理，需要供水、供电和进入垃圾堆体的道路</w:t>
      </w:r>
      <w:r>
        <w:rPr>
          <w:rFonts w:ascii="楷体" w:eastAsia="楷体" w:hAnsi="楷体" w:hint="eastAsia"/>
          <w:sz w:val="24"/>
        </w:rPr>
        <w:t>，可</w:t>
      </w:r>
      <w:r>
        <w:rPr>
          <w:rFonts w:ascii="楷体" w:eastAsia="楷体" w:hAnsi="楷体"/>
          <w:sz w:val="24"/>
        </w:rPr>
        <w:t>按实际</w:t>
      </w:r>
      <w:r>
        <w:rPr>
          <w:rFonts w:ascii="楷体" w:eastAsia="楷体" w:hAnsi="楷体" w:hint="eastAsia"/>
          <w:sz w:val="24"/>
        </w:rPr>
        <w:t>需求</w:t>
      </w:r>
      <w:r>
        <w:rPr>
          <w:rFonts w:ascii="楷体" w:eastAsia="楷体" w:hAnsi="楷体"/>
          <w:sz w:val="24"/>
        </w:rPr>
        <w:t>进行建设。</w:t>
      </w:r>
      <w:r>
        <w:rPr>
          <w:rFonts w:ascii="楷体" w:eastAsia="楷体" w:hAnsi="楷体" w:hint="eastAsia"/>
          <w:sz w:val="24"/>
        </w:rPr>
        <w:t>如存在</w:t>
      </w:r>
      <w:r>
        <w:rPr>
          <w:rFonts w:ascii="楷体" w:eastAsia="楷体" w:hAnsi="楷体"/>
          <w:sz w:val="24"/>
        </w:rPr>
        <w:t>已建管理用房</w:t>
      </w:r>
      <w:r>
        <w:rPr>
          <w:rFonts w:ascii="楷体" w:eastAsia="楷体" w:hAnsi="楷体" w:hint="eastAsia"/>
          <w:sz w:val="24"/>
        </w:rPr>
        <w:t>、</w:t>
      </w:r>
      <w:r>
        <w:rPr>
          <w:rFonts w:ascii="楷体" w:eastAsia="楷体" w:hAnsi="楷体"/>
          <w:sz w:val="24"/>
        </w:rPr>
        <w:t>供水工程、供电工程等</w:t>
      </w:r>
      <w:r>
        <w:rPr>
          <w:rFonts w:ascii="楷体" w:eastAsia="楷体" w:hAnsi="楷体" w:hint="eastAsia"/>
          <w:sz w:val="24"/>
        </w:rPr>
        <w:t>，可</w:t>
      </w:r>
      <w:r>
        <w:rPr>
          <w:rFonts w:ascii="楷体" w:eastAsia="楷体" w:hAnsi="楷体"/>
          <w:sz w:val="24"/>
        </w:rPr>
        <w:t>尽量利用</w:t>
      </w:r>
      <w:r>
        <w:rPr>
          <w:rFonts w:ascii="楷体" w:eastAsia="楷体" w:hAnsi="楷体" w:hint="eastAsia"/>
          <w:sz w:val="24"/>
        </w:rPr>
        <w:t>现有</w:t>
      </w:r>
      <w:r>
        <w:rPr>
          <w:rFonts w:ascii="楷体" w:eastAsia="楷体" w:hAnsi="楷体"/>
          <w:sz w:val="24"/>
        </w:rPr>
        <w:t>设施</w:t>
      </w:r>
      <w:r>
        <w:rPr>
          <w:rFonts w:ascii="楷体" w:eastAsia="楷体" w:hAnsi="楷体" w:hint="eastAsia"/>
          <w:sz w:val="24"/>
        </w:rPr>
        <w:t>。</w:t>
      </w:r>
    </w:p>
    <w:p w:rsidR="00122773" w:rsidRDefault="00122773">
      <w:pPr>
        <w:jc w:val="left"/>
        <w:rPr>
          <w:rFonts w:ascii="宋体" w:hAnsi="宋体" w:cs="宋体"/>
          <w:sz w:val="18"/>
          <w:szCs w:val="18"/>
        </w:rPr>
      </w:pPr>
    </w:p>
    <w:p w:rsidR="00122773" w:rsidRDefault="00D24AE0">
      <w:pPr>
        <w:pStyle w:val="1"/>
        <w:numPr>
          <w:ilvl w:val="0"/>
          <w:numId w:val="1"/>
        </w:numPr>
        <w:ind w:left="0" w:firstLineChars="0" w:firstLine="0"/>
        <w:rPr>
          <w:sz w:val="24"/>
        </w:rPr>
      </w:pPr>
      <w:r>
        <w:rPr>
          <w:rFonts w:hint="eastAsia"/>
          <w:sz w:val="24"/>
        </w:rPr>
        <w:t>存量填埋设施</w:t>
      </w:r>
      <w:r>
        <w:rPr>
          <w:sz w:val="24"/>
        </w:rPr>
        <w:t>异地搬迁</w:t>
      </w:r>
      <w:r>
        <w:rPr>
          <w:rFonts w:hint="eastAsia"/>
          <w:sz w:val="24"/>
        </w:rPr>
        <w:t>治理</w:t>
      </w:r>
      <w:r>
        <w:rPr>
          <w:sz w:val="24"/>
        </w:rPr>
        <w:t>工程的供水工程、供电工程、堆体管理用道路等</w:t>
      </w:r>
      <w:r>
        <w:rPr>
          <w:rFonts w:hint="eastAsia"/>
          <w:sz w:val="24"/>
        </w:rPr>
        <w:t>宜</w:t>
      </w:r>
      <w:r>
        <w:rPr>
          <w:sz w:val="24"/>
        </w:rPr>
        <w:t>作为临时工程。</w:t>
      </w:r>
    </w:p>
    <w:p w:rsidR="00122773" w:rsidRDefault="00D24AE0">
      <w:pPr>
        <w:jc w:val="left"/>
        <w:rPr>
          <w:sz w:val="24"/>
        </w:rPr>
      </w:pPr>
      <w:r>
        <w:rPr>
          <w:rFonts w:ascii="楷体" w:eastAsia="楷体" w:hAnsi="楷体" w:hint="eastAsia"/>
          <w:sz w:val="24"/>
        </w:rPr>
        <w:t>条文说明：</w:t>
      </w:r>
      <w:r>
        <w:rPr>
          <w:rFonts w:ascii="楷体" w:eastAsia="楷体" w:hAnsi="楷体"/>
          <w:sz w:val="24"/>
        </w:rPr>
        <w:t>供水工程、供电工程、堆体管理用道路等</w:t>
      </w:r>
      <w:r>
        <w:rPr>
          <w:rFonts w:ascii="楷体" w:eastAsia="楷体" w:hAnsi="楷体" w:hint="eastAsia"/>
          <w:sz w:val="24"/>
        </w:rPr>
        <w:t>是在搬迁过程中使用的，在异地搬迁治理后就不再使用，因此应作为临时工程，不是永久建设。</w:t>
      </w:r>
    </w:p>
    <w:p w:rsidR="00122773" w:rsidRDefault="00122773">
      <w:pPr>
        <w:jc w:val="left"/>
        <w:rPr>
          <w:rFonts w:ascii="宋体" w:hAnsi="宋体" w:cs="宋体"/>
          <w:sz w:val="18"/>
          <w:szCs w:val="18"/>
        </w:rPr>
      </w:pPr>
    </w:p>
    <w:p w:rsidR="00122773" w:rsidRDefault="00D24AE0">
      <w:pPr>
        <w:pStyle w:val="1"/>
        <w:numPr>
          <w:ilvl w:val="0"/>
          <w:numId w:val="1"/>
        </w:numPr>
        <w:ind w:left="0" w:firstLineChars="0" w:firstLine="0"/>
        <w:rPr>
          <w:rFonts w:ascii="Calibri" w:hAnsi="Calibri"/>
          <w:sz w:val="24"/>
        </w:rPr>
      </w:pPr>
      <w:r>
        <w:rPr>
          <w:rFonts w:ascii="Calibri" w:hAnsi="Calibri" w:hint="eastAsia"/>
          <w:sz w:val="24"/>
        </w:rPr>
        <w:t>存量填埋设施治理工程的工艺用水可利用附近地表水，无地表水或地表水不可用时，可适用市政水或地下水。生活用水优先采用市政供水，无市政供水的可用地下水或车运供水。生活用水水质应符合现行国家标准《生活饮用水卫生标准》（</w:t>
      </w:r>
      <w:r>
        <w:rPr>
          <w:rFonts w:ascii="Calibri" w:hAnsi="Calibri" w:hint="eastAsia"/>
          <w:sz w:val="24"/>
        </w:rPr>
        <w:t>GB5749</w:t>
      </w:r>
      <w:r>
        <w:rPr>
          <w:rFonts w:ascii="Calibri" w:hAnsi="Calibri" w:hint="eastAsia"/>
          <w:sz w:val="24"/>
        </w:rPr>
        <w:t>）的要求。排水系统应实行雨污分流，排水应符合现行国家相关标准的要求。</w:t>
      </w:r>
    </w:p>
    <w:p w:rsidR="00122773" w:rsidRDefault="00D24AE0">
      <w:pPr>
        <w:rPr>
          <w:rFonts w:ascii="楷体" w:eastAsia="楷体" w:hAnsi="楷体"/>
          <w:sz w:val="24"/>
        </w:rPr>
      </w:pPr>
      <w:r>
        <w:rPr>
          <w:rFonts w:ascii="楷体" w:eastAsia="楷体" w:hAnsi="楷体" w:hint="eastAsia"/>
          <w:sz w:val="24"/>
        </w:rPr>
        <w:t>条文说明：存量填埋设施治理工程生活用水量不大，如果附近无市政供水管网，则可以就地打井，适用地下水，如果地下水不符合引用水标准，则可以采用专用运水车供水。工程的工艺用水主要是施工期间降尘用水、建筑施工用水、绿化浇灌用水等，这些水均可以用附近地表水或地下水。</w:t>
      </w:r>
    </w:p>
    <w:p w:rsidR="00122773" w:rsidRDefault="00122773">
      <w:pPr>
        <w:pStyle w:val="1"/>
        <w:ind w:firstLineChars="0" w:firstLine="0"/>
        <w:rPr>
          <w:rFonts w:ascii="Calibri" w:hAnsi="Calibri"/>
          <w:sz w:val="24"/>
        </w:rPr>
      </w:pPr>
    </w:p>
    <w:p w:rsidR="00122773" w:rsidRDefault="00D24AE0">
      <w:pPr>
        <w:pStyle w:val="1"/>
        <w:numPr>
          <w:ilvl w:val="0"/>
          <w:numId w:val="1"/>
        </w:numPr>
        <w:ind w:left="0" w:firstLineChars="0" w:firstLine="0"/>
        <w:rPr>
          <w:rFonts w:ascii="Calibri" w:hAnsi="Calibri"/>
          <w:sz w:val="24"/>
        </w:rPr>
      </w:pPr>
      <w:r>
        <w:rPr>
          <w:rFonts w:ascii="Calibri" w:hAnsi="Calibri" w:hint="eastAsia"/>
          <w:sz w:val="24"/>
        </w:rPr>
        <w:t>存量填埋设施封场治理工程的道路设计应符合封场工程的交通需求，场内主要交通道路和消防通道应符合现行国家标准《厂矿道路设计规范》（</w:t>
      </w:r>
      <w:r>
        <w:rPr>
          <w:rFonts w:ascii="Calibri" w:hAnsi="Calibri" w:hint="eastAsia"/>
          <w:sz w:val="24"/>
        </w:rPr>
        <w:t>GBJ22</w:t>
      </w:r>
      <w:r>
        <w:rPr>
          <w:rFonts w:ascii="Calibri" w:hAnsi="Calibri" w:hint="eastAsia"/>
          <w:sz w:val="24"/>
        </w:rPr>
        <w:t>）的相关要求。</w:t>
      </w:r>
    </w:p>
    <w:p w:rsidR="00122773" w:rsidRDefault="00D24AE0">
      <w:pPr>
        <w:rPr>
          <w:rFonts w:ascii="楷体" w:eastAsia="楷体" w:hAnsi="楷体"/>
          <w:sz w:val="24"/>
        </w:rPr>
      </w:pPr>
      <w:r>
        <w:rPr>
          <w:rFonts w:ascii="楷体" w:eastAsia="楷体" w:hAnsi="楷体" w:hint="eastAsia"/>
          <w:sz w:val="24"/>
        </w:rPr>
        <w:t>条文说明：存量填埋设施封场治理工程建成后需要进出的人员不多，因此道路需求不大。由于封场后垃圾堆体还可能产生填埋气体，因此需要在场区重要位置建设消防车可以通过的消防通道。</w:t>
      </w:r>
    </w:p>
    <w:p w:rsidR="00122773" w:rsidRDefault="00122773">
      <w:pPr>
        <w:rPr>
          <w:rFonts w:ascii="楷体" w:eastAsia="楷体" w:hAnsi="楷体"/>
          <w:sz w:val="24"/>
        </w:rPr>
      </w:pPr>
    </w:p>
    <w:p w:rsidR="00122773" w:rsidRDefault="00D24AE0">
      <w:pPr>
        <w:pStyle w:val="1"/>
        <w:numPr>
          <w:ilvl w:val="0"/>
          <w:numId w:val="1"/>
        </w:numPr>
        <w:ind w:left="0" w:firstLineChars="0" w:firstLine="0"/>
        <w:rPr>
          <w:rFonts w:ascii="Calibri" w:hAnsi="Calibri"/>
          <w:sz w:val="24"/>
        </w:rPr>
      </w:pPr>
      <w:r>
        <w:rPr>
          <w:rFonts w:ascii="Calibri" w:hAnsi="Calibri" w:hint="eastAsia"/>
          <w:sz w:val="24"/>
        </w:rPr>
        <w:t>存量填埋设施治理工程消防设计应符合现行国家标准《建筑设计防火规范》（</w:t>
      </w:r>
      <w:r>
        <w:rPr>
          <w:rFonts w:ascii="Calibri" w:hAnsi="Calibri" w:hint="eastAsia"/>
          <w:sz w:val="24"/>
        </w:rPr>
        <w:t>GB50016</w:t>
      </w:r>
      <w:r>
        <w:rPr>
          <w:rFonts w:ascii="Calibri" w:hAnsi="Calibri" w:hint="eastAsia"/>
          <w:sz w:val="24"/>
        </w:rPr>
        <w:t>）和</w:t>
      </w:r>
      <w:bookmarkStart w:id="4" w:name="_Hlk17300717"/>
      <w:r>
        <w:rPr>
          <w:rFonts w:ascii="Calibri" w:hAnsi="Calibri" w:hint="eastAsia"/>
          <w:sz w:val="24"/>
        </w:rPr>
        <w:t>《建筑灭火器配置设计规范》（</w:t>
      </w:r>
      <w:r>
        <w:rPr>
          <w:rFonts w:ascii="Calibri" w:hAnsi="Calibri" w:hint="eastAsia"/>
          <w:sz w:val="24"/>
        </w:rPr>
        <w:t>GB50140</w:t>
      </w:r>
      <w:r>
        <w:rPr>
          <w:rFonts w:ascii="Calibri" w:hAnsi="Calibri" w:hint="eastAsia"/>
          <w:sz w:val="24"/>
        </w:rPr>
        <w:t>）</w:t>
      </w:r>
      <w:bookmarkEnd w:id="4"/>
      <w:r>
        <w:rPr>
          <w:rFonts w:ascii="Calibri" w:hAnsi="Calibri" w:hint="eastAsia"/>
          <w:sz w:val="24"/>
        </w:rPr>
        <w:t>的有关规定。</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条文说明：存量填埋设施治理工程消防主要包括建筑消防和场地消防（主要是封场垃圾</w:t>
      </w:r>
      <w:r>
        <w:rPr>
          <w:rFonts w:ascii="楷体" w:eastAsia="楷体" w:hAnsi="楷体" w:hint="eastAsia"/>
          <w:sz w:val="24"/>
        </w:rPr>
        <w:lastRenderedPageBreak/>
        <w:t>堆体）。建筑消防的设计需要遵守《建筑设计防火规范》（GB50016），封场垃圾堆体的消防主要是配置灭火器、灭火沙等器材，可以按照《建筑灭火器配置设计规范》（GB50140）中的有关要求进行配置。</w:t>
      </w:r>
    </w:p>
    <w:p w:rsidR="00122773" w:rsidRDefault="00122773">
      <w:pPr>
        <w:pStyle w:val="1"/>
        <w:ind w:firstLineChars="0" w:firstLine="0"/>
        <w:rPr>
          <w:rFonts w:ascii="Calibri" w:hAnsi="Calibri"/>
          <w:sz w:val="24"/>
        </w:rPr>
      </w:pPr>
    </w:p>
    <w:p w:rsidR="00122773" w:rsidRDefault="00D24AE0">
      <w:pPr>
        <w:pStyle w:val="1"/>
        <w:numPr>
          <w:ilvl w:val="0"/>
          <w:numId w:val="1"/>
        </w:numPr>
        <w:ind w:left="0" w:firstLineChars="0" w:firstLine="0"/>
        <w:rPr>
          <w:rFonts w:ascii="Calibri" w:hAnsi="Calibri"/>
          <w:sz w:val="24"/>
        </w:rPr>
      </w:pPr>
      <w:r>
        <w:rPr>
          <w:rFonts w:ascii="Calibri" w:hAnsi="Calibri" w:hint="eastAsia"/>
          <w:sz w:val="24"/>
        </w:rPr>
        <w:t>存量填埋设施治理工程的供配电设计应符合现行国家标准《供配电系统设计规范》（</w:t>
      </w:r>
      <w:r>
        <w:rPr>
          <w:rFonts w:ascii="Calibri" w:hAnsi="Calibri" w:hint="eastAsia"/>
          <w:sz w:val="24"/>
        </w:rPr>
        <w:t>GB50052</w:t>
      </w:r>
      <w:r>
        <w:rPr>
          <w:rFonts w:ascii="Calibri" w:hAnsi="Calibri" w:hint="eastAsia"/>
          <w:sz w:val="24"/>
        </w:rPr>
        <w:t>）的有关规定。</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存量填埋设施治理工程在渗沥液导排与处理、填埋气体导排与处理方面需要用电设备，另外就是管理人员的生活用电。现行国家标准《供配电系统设计规范》（GB50052）中的相关要求适用于存量填埋设施治理工程的供配电工程。</w:t>
      </w:r>
    </w:p>
    <w:p w:rsidR="00122773" w:rsidRDefault="00D24AE0">
      <w:pPr>
        <w:pStyle w:val="3"/>
        <w:spacing w:line="240" w:lineRule="auto"/>
        <w:jc w:val="center"/>
        <w:rPr>
          <w:rFonts w:ascii="黑体" w:eastAsia="黑体" w:hAnsi="黑体"/>
          <w:sz w:val="28"/>
          <w:szCs w:val="28"/>
        </w:rPr>
      </w:pPr>
      <w:r>
        <w:rPr>
          <w:rFonts w:ascii="黑体" w:eastAsia="黑体" w:hAnsi="黑体"/>
          <w:sz w:val="28"/>
          <w:szCs w:val="28"/>
        </w:rPr>
        <w:br w:type="page"/>
      </w:r>
      <w:bookmarkStart w:id="5" w:name="_Toc15462060"/>
      <w:r>
        <w:rPr>
          <w:rFonts w:ascii="黑体" w:eastAsia="黑体" w:hAnsi="黑体" w:hint="eastAsia"/>
          <w:sz w:val="28"/>
          <w:szCs w:val="28"/>
        </w:rPr>
        <w:lastRenderedPageBreak/>
        <w:t xml:space="preserve">第五章 </w:t>
      </w:r>
      <w:r>
        <w:rPr>
          <w:rFonts w:ascii="黑体" w:eastAsia="黑体" w:hAnsi="黑体"/>
          <w:sz w:val="28"/>
          <w:szCs w:val="28"/>
        </w:rPr>
        <w:t xml:space="preserve"> 面积指标</w:t>
      </w:r>
      <w:bookmarkEnd w:id="5"/>
    </w:p>
    <w:p w:rsidR="00122773" w:rsidRDefault="00D24AE0">
      <w:pPr>
        <w:pStyle w:val="1"/>
        <w:numPr>
          <w:ilvl w:val="0"/>
          <w:numId w:val="1"/>
        </w:numPr>
        <w:ind w:left="0" w:firstLineChars="0" w:firstLine="0"/>
        <w:rPr>
          <w:rFonts w:ascii="Calibri" w:hAnsi="Calibri"/>
          <w:sz w:val="24"/>
        </w:rPr>
      </w:pPr>
      <w:r>
        <w:rPr>
          <w:rFonts w:ascii="Calibri" w:hAnsi="Calibri" w:hint="eastAsia"/>
          <w:sz w:val="24"/>
        </w:rPr>
        <w:t>存量填埋设施治理工程的生产管理与生活服务用房的建筑面积可按下表确定：</w:t>
      </w:r>
    </w:p>
    <w:p w:rsidR="00122773" w:rsidRDefault="00D24AE0">
      <w:pPr>
        <w:jc w:val="center"/>
        <w:rPr>
          <w:rFonts w:ascii="黑体" w:eastAsia="黑体" w:hAnsi="黑体" w:cs="黑体"/>
        </w:rPr>
      </w:pPr>
      <w:r>
        <w:rPr>
          <w:rFonts w:ascii="黑体" w:eastAsia="黑体" w:hAnsi="黑体" w:cs="黑体" w:hint="eastAsia"/>
        </w:rPr>
        <w:t>表2 存量填埋设施治理工程建筑面积（㎡）</w:t>
      </w:r>
    </w:p>
    <w:tbl>
      <w:tblPr>
        <w:tblStyle w:val="af1"/>
        <w:tblW w:w="8522" w:type="dxa"/>
        <w:tblLayout w:type="fixed"/>
        <w:tblLook w:val="04A0" w:firstRow="1" w:lastRow="0" w:firstColumn="1" w:lastColumn="0" w:noHBand="0" w:noVBand="1"/>
      </w:tblPr>
      <w:tblGrid>
        <w:gridCol w:w="2840"/>
        <w:gridCol w:w="2841"/>
        <w:gridCol w:w="2841"/>
      </w:tblGrid>
      <w:tr w:rsidR="00122773">
        <w:tc>
          <w:tcPr>
            <w:tcW w:w="2840"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建设规模</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生产管理用房</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生活服务用房</w:t>
            </w:r>
          </w:p>
        </w:tc>
      </w:tr>
      <w:tr w:rsidR="00122773">
        <w:tc>
          <w:tcPr>
            <w:tcW w:w="2840"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Ⅰ类</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1200-1500</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400-600</w:t>
            </w:r>
          </w:p>
        </w:tc>
      </w:tr>
      <w:tr w:rsidR="00122773">
        <w:tc>
          <w:tcPr>
            <w:tcW w:w="2840"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Ⅱ类</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800-1200</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200-400</w:t>
            </w:r>
          </w:p>
        </w:tc>
      </w:tr>
      <w:tr w:rsidR="00122773">
        <w:tc>
          <w:tcPr>
            <w:tcW w:w="2840"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Ⅲ类</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500-800</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100-200</w:t>
            </w:r>
          </w:p>
        </w:tc>
      </w:tr>
      <w:tr w:rsidR="00122773">
        <w:tc>
          <w:tcPr>
            <w:tcW w:w="2840"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Ⅳ类</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200-500</w:t>
            </w:r>
          </w:p>
        </w:tc>
        <w:tc>
          <w:tcPr>
            <w:tcW w:w="2841" w:type="dxa"/>
          </w:tcPr>
          <w:p w:rsidR="00122773" w:rsidRDefault="00D24AE0">
            <w:pPr>
              <w:jc w:val="center"/>
              <w:rPr>
                <w:rFonts w:ascii="宋体" w:hAnsi="宋体" w:cs="宋体"/>
                <w:kern w:val="0"/>
                <w:sz w:val="18"/>
                <w:szCs w:val="18"/>
              </w:rPr>
            </w:pPr>
            <w:r>
              <w:rPr>
                <w:rFonts w:ascii="宋体" w:hAnsi="宋体" w:cs="宋体" w:hint="eastAsia"/>
                <w:kern w:val="0"/>
                <w:sz w:val="18"/>
                <w:szCs w:val="18"/>
              </w:rPr>
              <w:t>80-100</w:t>
            </w:r>
          </w:p>
        </w:tc>
      </w:tr>
    </w:tbl>
    <w:p w:rsidR="00122773" w:rsidRDefault="00D24AE0">
      <w:pPr>
        <w:jc w:val="left"/>
        <w:rPr>
          <w:rFonts w:ascii="宋体" w:hAnsi="宋体" w:cs="宋体"/>
          <w:sz w:val="18"/>
          <w:szCs w:val="18"/>
        </w:rPr>
      </w:pPr>
      <w:r>
        <w:rPr>
          <w:rFonts w:ascii="宋体" w:hAnsi="宋体" w:cs="宋体" w:hint="eastAsia"/>
          <w:sz w:val="18"/>
          <w:szCs w:val="18"/>
        </w:rPr>
        <w:t>注：1 生产管理用房包括：管理用房、车库、机修车间、计量间、化验室、变配电室等；</w:t>
      </w:r>
    </w:p>
    <w:p w:rsidR="00122773" w:rsidRDefault="00D24AE0">
      <w:pPr>
        <w:jc w:val="left"/>
        <w:rPr>
          <w:rFonts w:ascii="宋体" w:hAnsi="宋体" w:cs="宋体"/>
          <w:sz w:val="18"/>
          <w:szCs w:val="18"/>
        </w:rPr>
      </w:pPr>
      <w:r>
        <w:rPr>
          <w:rFonts w:ascii="宋体" w:hAnsi="宋体" w:cs="宋体" w:hint="eastAsia"/>
          <w:sz w:val="18"/>
          <w:szCs w:val="18"/>
        </w:rPr>
        <w:t xml:space="preserve">    2 生活服务用房包括：食堂、浴室、值班宿舍等；</w:t>
      </w:r>
    </w:p>
    <w:p w:rsidR="00122773" w:rsidRDefault="00D24AE0">
      <w:pPr>
        <w:ind w:firstLine="360"/>
        <w:jc w:val="left"/>
        <w:rPr>
          <w:rFonts w:ascii="宋体" w:hAnsi="宋体" w:cs="宋体"/>
          <w:sz w:val="18"/>
          <w:szCs w:val="18"/>
        </w:rPr>
      </w:pPr>
      <w:r>
        <w:rPr>
          <w:rFonts w:ascii="宋体" w:hAnsi="宋体" w:cs="宋体" w:hint="eastAsia"/>
          <w:sz w:val="18"/>
          <w:szCs w:val="18"/>
        </w:rPr>
        <w:t>3 规模大的处理厂取上限，规模小的处理厂取下限。</w:t>
      </w:r>
    </w:p>
    <w:p w:rsidR="00122773" w:rsidRDefault="00D24AE0">
      <w:pPr>
        <w:autoSpaceDE w:val="0"/>
        <w:autoSpaceDN w:val="0"/>
        <w:adjustRightInd w:val="0"/>
        <w:jc w:val="left"/>
        <w:rPr>
          <w:rFonts w:ascii="楷体" w:eastAsia="楷体" w:hAnsi="楷体"/>
          <w:sz w:val="24"/>
        </w:rPr>
      </w:pPr>
      <w:r>
        <w:rPr>
          <w:rFonts w:ascii="楷体" w:eastAsia="楷体" w:hAnsi="楷体" w:hint="eastAsia"/>
          <w:sz w:val="24"/>
        </w:rPr>
        <w:t>条文说明：存量填埋设施治理工程的构筑物和附属建筑物在满足使用功能和安全的条件下，一般相对集中布置，其建筑面积应按照科学合理，节约投资的原则确定。此外还要考虑垃圾堆体未来开发和某些特殊的制约因素等，存量填埋设施治理工程的建筑面积根据实际需要而定，原则上不宜超过建设规模附表。本条指标参考了《生活垃圾卫生填埋处理工程项目建设标准》《生活垃圾填埋场封场工程项目建设标准》中关于</w:t>
      </w:r>
      <w:r w:rsidRPr="00092E41">
        <w:rPr>
          <w:rFonts w:ascii="楷体" w:eastAsia="楷体" w:hAnsi="楷体" w:hint="eastAsia"/>
          <w:sz w:val="24"/>
        </w:rPr>
        <w:t>生产管理与生活服务用房的相关指标，并结合现行相关标准规范的要求后确定。</w:t>
      </w:r>
    </w:p>
    <w:p w:rsidR="00122773" w:rsidRDefault="00122773">
      <w:pPr>
        <w:pStyle w:val="1"/>
        <w:ind w:firstLineChars="0" w:firstLine="0"/>
        <w:rPr>
          <w:rFonts w:ascii="黑体" w:eastAsia="黑体" w:hAnsi="黑体"/>
          <w:b/>
          <w:bCs/>
          <w:sz w:val="28"/>
          <w:szCs w:val="28"/>
        </w:rPr>
      </w:pPr>
    </w:p>
    <w:p w:rsidR="00122773" w:rsidRDefault="00D24AE0">
      <w:pPr>
        <w:pStyle w:val="1"/>
        <w:numPr>
          <w:ilvl w:val="0"/>
          <w:numId w:val="1"/>
        </w:numPr>
        <w:ind w:left="0" w:firstLineChars="0" w:firstLine="0"/>
        <w:rPr>
          <w:rFonts w:ascii="黑体" w:eastAsia="黑体" w:hAnsi="黑体"/>
          <w:b/>
          <w:bCs/>
          <w:sz w:val="28"/>
          <w:szCs w:val="28"/>
        </w:rPr>
      </w:pPr>
      <w:r>
        <w:rPr>
          <w:rFonts w:ascii="Calibri" w:hAnsi="Calibri" w:hint="eastAsia"/>
          <w:sz w:val="24"/>
        </w:rPr>
        <w:t>存量填埋设施治理工程</w:t>
      </w:r>
      <w:r>
        <w:rPr>
          <w:rFonts w:asciiTheme="minorHAnsi" w:eastAsiaTheme="minorEastAsia" w:hAnsiTheme="minorHAnsi" w:cstheme="minorBidi" w:hint="eastAsia"/>
          <w:sz w:val="24"/>
        </w:rPr>
        <w:t>项目的</w:t>
      </w:r>
      <w:r>
        <w:rPr>
          <w:rFonts w:ascii="Calibri" w:hAnsi="Calibri" w:hint="eastAsia"/>
          <w:sz w:val="24"/>
        </w:rPr>
        <w:t>生产管理与生活服务用房宜根据实际情况，采用临时建筑</w:t>
      </w:r>
      <w:r>
        <w:rPr>
          <w:sz w:val="24"/>
        </w:rPr>
        <w:t>。</w:t>
      </w:r>
    </w:p>
    <w:p w:rsidR="00122773" w:rsidRDefault="00D24AE0">
      <w:pPr>
        <w:widowControl/>
        <w:jc w:val="left"/>
        <w:rPr>
          <w:rFonts w:ascii="黑体" w:eastAsia="黑体" w:hAnsi="黑体"/>
          <w:b/>
          <w:bCs/>
          <w:sz w:val="28"/>
          <w:szCs w:val="28"/>
        </w:rPr>
      </w:pPr>
      <w:r>
        <w:rPr>
          <w:rFonts w:ascii="楷体" w:eastAsia="楷体" w:hAnsi="楷体" w:hint="eastAsia"/>
          <w:sz w:val="24"/>
        </w:rPr>
        <w:t>条文说明：规模较小的存量填埋设施需要几个月时间处理填埋垃圾，规模较大的存量填埋设施也只需要2－3年的时间处理填埋垃圾。结合调研情况，为节约投资、循环利用，避免浪费，本条规定了存量填埋设施治理工程项目的生产管理与生活服务用房宜采用临时建筑方式进行建设。</w:t>
      </w:r>
      <w:r>
        <w:rPr>
          <w:rFonts w:ascii="黑体" w:eastAsia="黑体" w:hAnsi="黑体"/>
          <w:sz w:val="28"/>
          <w:szCs w:val="28"/>
        </w:rPr>
        <w:br w:type="page"/>
      </w:r>
    </w:p>
    <w:p w:rsidR="00122773" w:rsidRDefault="00D24AE0">
      <w:pPr>
        <w:pStyle w:val="3"/>
        <w:spacing w:line="240" w:lineRule="auto"/>
        <w:jc w:val="center"/>
        <w:rPr>
          <w:rFonts w:ascii="黑体" w:eastAsia="黑体" w:hAnsi="黑体"/>
          <w:sz w:val="28"/>
          <w:szCs w:val="28"/>
        </w:rPr>
      </w:pPr>
      <w:bookmarkStart w:id="6" w:name="_Toc15462061"/>
      <w:r>
        <w:rPr>
          <w:rFonts w:ascii="黑体" w:eastAsia="黑体" w:hAnsi="黑体" w:hint="eastAsia"/>
          <w:sz w:val="28"/>
          <w:szCs w:val="28"/>
        </w:rPr>
        <w:lastRenderedPageBreak/>
        <w:t>第六章  主要技术经济指标</w:t>
      </w:r>
      <w:bookmarkEnd w:id="6"/>
    </w:p>
    <w:p w:rsidR="00122773" w:rsidRDefault="00D24AE0">
      <w:pPr>
        <w:pStyle w:val="1"/>
        <w:numPr>
          <w:ilvl w:val="0"/>
          <w:numId w:val="1"/>
        </w:numPr>
        <w:ind w:left="0" w:firstLineChars="0" w:firstLine="0"/>
        <w:rPr>
          <w:rFonts w:ascii="仿宋_GB2312" w:eastAsia="仿宋_GB2312" w:hAnsi="楷体"/>
          <w:sz w:val="32"/>
          <w:szCs w:val="32"/>
        </w:rPr>
      </w:pPr>
      <w:r>
        <w:rPr>
          <w:rFonts w:ascii="Calibri" w:hAnsi="Calibri" w:hint="eastAsia"/>
          <w:sz w:val="24"/>
        </w:rPr>
        <w:t>存量填埋设施治理工程</w:t>
      </w:r>
      <w:r>
        <w:rPr>
          <w:rFonts w:asciiTheme="minorHAnsi" w:eastAsiaTheme="minorEastAsia" w:hAnsiTheme="minorHAnsi" w:cstheme="minorBidi" w:hint="eastAsia"/>
          <w:sz w:val="24"/>
        </w:rPr>
        <w:t>项目的</w:t>
      </w:r>
      <w:r>
        <w:rPr>
          <w:sz w:val="24"/>
        </w:rPr>
        <w:t>投资</w:t>
      </w:r>
      <w:r>
        <w:rPr>
          <w:rFonts w:hint="eastAsia"/>
          <w:sz w:val="24"/>
        </w:rPr>
        <w:t>估算</w:t>
      </w:r>
      <w:r>
        <w:rPr>
          <w:sz w:val="24"/>
        </w:rPr>
        <w:t>应</w:t>
      </w:r>
      <w:r>
        <w:rPr>
          <w:rFonts w:hint="eastAsia"/>
          <w:sz w:val="24"/>
        </w:rPr>
        <w:t>按</w:t>
      </w:r>
      <w:r>
        <w:rPr>
          <w:sz w:val="24"/>
        </w:rPr>
        <w:t>国家现行的有关规定</w:t>
      </w:r>
      <w:r>
        <w:rPr>
          <w:rFonts w:hint="eastAsia"/>
          <w:sz w:val="24"/>
        </w:rPr>
        <w:t>编制</w:t>
      </w:r>
      <w:r>
        <w:rPr>
          <w:sz w:val="24"/>
        </w:rPr>
        <w:t>。评估或审批项目可行性研究报告的</w:t>
      </w:r>
      <w:r>
        <w:rPr>
          <w:rFonts w:hint="eastAsia"/>
          <w:sz w:val="24"/>
        </w:rPr>
        <w:t>投资估算时，应</w:t>
      </w:r>
      <w:r>
        <w:rPr>
          <w:sz w:val="24"/>
        </w:rPr>
        <w:t>根据工程实际内容及价格变化的情况，按照动态管理的原则进行调整</w:t>
      </w:r>
      <w:r>
        <w:rPr>
          <w:rFonts w:hint="eastAsia"/>
          <w:sz w:val="24"/>
        </w:rPr>
        <w:t>后使用</w:t>
      </w:r>
      <w:r>
        <w:rPr>
          <w:sz w:val="24"/>
        </w:rPr>
        <w:t>。</w:t>
      </w:r>
    </w:p>
    <w:p w:rsidR="00122773" w:rsidRDefault="00D24AE0">
      <w:pPr>
        <w:rPr>
          <w:rFonts w:ascii="楷体" w:eastAsia="楷体" w:hAnsi="楷体"/>
          <w:sz w:val="24"/>
        </w:rPr>
      </w:pPr>
      <w:r>
        <w:rPr>
          <w:rFonts w:ascii="楷体" w:eastAsia="楷体" w:hAnsi="楷体" w:hint="eastAsia"/>
          <w:sz w:val="24"/>
        </w:rPr>
        <w:t>条文说明：本条规定了编制和使用工程</w:t>
      </w:r>
      <w:r>
        <w:rPr>
          <w:rFonts w:ascii="楷体" w:eastAsia="楷体" w:hAnsi="楷体"/>
          <w:sz w:val="24"/>
        </w:rPr>
        <w:t>投资</w:t>
      </w:r>
      <w:r>
        <w:rPr>
          <w:rFonts w:ascii="楷体" w:eastAsia="楷体" w:hAnsi="楷体" w:hint="eastAsia"/>
          <w:sz w:val="24"/>
        </w:rPr>
        <w:t>估算的原则。强调应根据项目实际情况变化调整使用，进行动态管理。存量填埋设施治理工程建设投资估算应符合国家现行标准《市政工程投资估算指标》（第十册</w:t>
      </w:r>
      <w:r>
        <w:rPr>
          <w:rFonts w:ascii="楷体" w:eastAsia="楷体" w:hAnsi="楷体"/>
          <w:sz w:val="24"/>
        </w:rPr>
        <w:t xml:space="preserve">  </w:t>
      </w:r>
      <w:r>
        <w:rPr>
          <w:rFonts w:ascii="楷体" w:eastAsia="楷体" w:hAnsi="楷体" w:hint="eastAsia"/>
          <w:sz w:val="24"/>
        </w:rPr>
        <w:t>垃圾处理工程）、《生活垃圾卫生填埋处理技术规范》</w:t>
      </w:r>
      <w:r>
        <w:rPr>
          <w:rFonts w:ascii="楷体" w:eastAsia="楷体" w:hAnsi="楷体"/>
          <w:sz w:val="24"/>
        </w:rPr>
        <w:t>GB 50869</w:t>
      </w:r>
      <w:r>
        <w:rPr>
          <w:rFonts w:ascii="楷体" w:eastAsia="楷体" w:hAnsi="楷体" w:hint="eastAsia"/>
          <w:sz w:val="24"/>
        </w:rPr>
        <w:t>等有关文件的要求，结合国家现行的有关规定，根据具体工程要求和当地实际水平确定。</w:t>
      </w:r>
    </w:p>
    <w:p w:rsidR="00122773" w:rsidRDefault="00122773">
      <w:pPr>
        <w:rPr>
          <w:rFonts w:ascii="楷体" w:eastAsia="楷体" w:hAnsi="楷体"/>
          <w:sz w:val="24"/>
        </w:rPr>
      </w:pPr>
    </w:p>
    <w:p w:rsidR="00122773" w:rsidRDefault="00D24AE0">
      <w:pPr>
        <w:pStyle w:val="1"/>
        <w:numPr>
          <w:ilvl w:val="0"/>
          <w:numId w:val="1"/>
        </w:numPr>
        <w:ind w:left="0" w:firstLineChars="0" w:firstLine="0"/>
        <w:rPr>
          <w:rFonts w:ascii="楷体" w:eastAsia="楷体" w:hAnsi="楷体"/>
        </w:rPr>
      </w:pPr>
      <w:r>
        <w:rPr>
          <w:rFonts w:ascii="Calibri" w:hAnsi="Calibri" w:hint="eastAsia"/>
          <w:sz w:val="24"/>
        </w:rPr>
        <w:t>存量填埋设施治理工程</w:t>
      </w:r>
      <w:r>
        <w:rPr>
          <w:rFonts w:asciiTheme="minorHAnsi" w:eastAsiaTheme="minorEastAsia" w:hAnsiTheme="minorHAnsi" w:cstheme="minorBidi" w:hint="eastAsia"/>
          <w:sz w:val="24"/>
        </w:rPr>
        <w:t>项目投资估算指标可按表</w:t>
      </w:r>
      <w:r>
        <w:rPr>
          <w:rFonts w:asciiTheme="minorHAnsi" w:eastAsiaTheme="minorEastAsia" w:hAnsiTheme="minorHAnsi" w:cstheme="minorBidi" w:hint="eastAsia"/>
          <w:sz w:val="24"/>
        </w:rPr>
        <w:t>3</w:t>
      </w:r>
      <w:r>
        <w:rPr>
          <w:rFonts w:asciiTheme="minorHAnsi" w:eastAsiaTheme="minorEastAsia" w:hAnsiTheme="minorHAnsi" w:cstheme="minorBidi" w:hint="eastAsia"/>
          <w:sz w:val="24"/>
        </w:rPr>
        <w:t>所列指标控制。</w:t>
      </w:r>
    </w:p>
    <w:p w:rsidR="00122773" w:rsidRDefault="00D24AE0">
      <w:pPr>
        <w:jc w:val="center"/>
        <w:rPr>
          <w:rFonts w:asciiTheme="minorEastAsia" w:eastAsiaTheme="minorEastAsia" w:hAnsiTheme="minorEastAsia" w:cstheme="minorBidi"/>
          <w:b/>
        </w:rPr>
      </w:pPr>
      <w:r>
        <w:rPr>
          <w:rFonts w:asciiTheme="minorEastAsia" w:eastAsiaTheme="minorEastAsia" w:hAnsiTheme="minorEastAsia" w:hint="eastAsia"/>
          <w:b/>
        </w:rPr>
        <w:t xml:space="preserve">表3 </w:t>
      </w:r>
      <w:r>
        <w:rPr>
          <w:rFonts w:ascii="宋体" w:eastAsiaTheme="minorEastAsia" w:hAnsi="宋体" w:hint="eastAsia"/>
          <w:b/>
        </w:rPr>
        <w:t>存量填埋设施</w:t>
      </w:r>
      <w:r>
        <w:rPr>
          <w:rFonts w:ascii="宋体" w:hAnsi="宋体" w:hint="eastAsia"/>
          <w:b/>
        </w:rPr>
        <w:t>处理工程</w:t>
      </w:r>
      <w:r>
        <w:rPr>
          <w:rFonts w:asciiTheme="minorEastAsia" w:eastAsiaTheme="minorEastAsia" w:hAnsiTheme="minorEastAsia" w:cstheme="minorBidi" w:hint="eastAsia"/>
          <w:b/>
        </w:rPr>
        <w:t>项目投资估算指标</w:t>
      </w:r>
    </w:p>
    <w:tbl>
      <w:tblPr>
        <w:tblStyle w:val="af1"/>
        <w:tblW w:w="846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425"/>
        <w:gridCol w:w="4044"/>
      </w:tblGrid>
      <w:tr w:rsidR="00122773">
        <w:trPr>
          <w:trHeight w:val="454"/>
        </w:trPr>
        <w:tc>
          <w:tcPr>
            <w:tcW w:w="4425" w:type="dxa"/>
            <w:vAlign w:val="center"/>
          </w:tcPr>
          <w:p w:rsidR="00122773" w:rsidRDefault="00D24AE0">
            <w:pPr>
              <w:jc w:val="center"/>
              <w:rPr>
                <w:rFonts w:eastAsia="仿宋_GB2312"/>
                <w:b/>
                <w:kern w:val="0"/>
                <w:sz w:val="24"/>
              </w:rPr>
            </w:pPr>
            <w:r>
              <w:rPr>
                <w:rFonts w:eastAsia="仿宋_GB2312" w:hint="eastAsia"/>
                <w:b/>
                <w:kern w:val="0"/>
                <w:sz w:val="24"/>
              </w:rPr>
              <w:t>工艺形式</w:t>
            </w:r>
          </w:p>
        </w:tc>
        <w:tc>
          <w:tcPr>
            <w:tcW w:w="4044" w:type="dxa"/>
            <w:vAlign w:val="center"/>
          </w:tcPr>
          <w:p w:rsidR="00122773" w:rsidRDefault="00D24AE0">
            <w:pPr>
              <w:jc w:val="center"/>
              <w:rPr>
                <w:rFonts w:eastAsia="仿宋_GB2312"/>
                <w:b/>
                <w:kern w:val="0"/>
                <w:sz w:val="24"/>
              </w:rPr>
            </w:pPr>
            <w:r>
              <w:rPr>
                <w:rFonts w:eastAsia="仿宋_GB2312" w:hint="eastAsia"/>
                <w:b/>
                <w:kern w:val="0"/>
                <w:sz w:val="24"/>
              </w:rPr>
              <w:t>投资估算指标</w:t>
            </w:r>
          </w:p>
        </w:tc>
      </w:tr>
      <w:tr w:rsidR="00122773">
        <w:trPr>
          <w:trHeight w:val="454"/>
        </w:trPr>
        <w:tc>
          <w:tcPr>
            <w:tcW w:w="4425" w:type="dxa"/>
            <w:vAlign w:val="center"/>
          </w:tcPr>
          <w:p w:rsidR="00122773" w:rsidRDefault="00D24AE0">
            <w:pPr>
              <w:jc w:val="center"/>
              <w:rPr>
                <w:rFonts w:eastAsia="仿宋_GB2312"/>
                <w:kern w:val="0"/>
                <w:sz w:val="24"/>
              </w:rPr>
            </w:pPr>
            <w:r>
              <w:rPr>
                <w:rFonts w:eastAsia="仿宋_GB2312" w:hint="eastAsia"/>
                <w:kern w:val="0"/>
                <w:sz w:val="24"/>
              </w:rPr>
              <w:t>原地</w:t>
            </w:r>
            <w:r>
              <w:rPr>
                <w:rFonts w:eastAsia="仿宋_GB2312"/>
                <w:kern w:val="0"/>
                <w:sz w:val="24"/>
              </w:rPr>
              <w:t>封场</w:t>
            </w:r>
            <w:r>
              <w:rPr>
                <w:rFonts w:eastAsia="仿宋_GB2312" w:hint="eastAsia"/>
                <w:kern w:val="0"/>
                <w:sz w:val="24"/>
              </w:rPr>
              <w:t>治理</w:t>
            </w:r>
          </w:p>
        </w:tc>
        <w:tc>
          <w:tcPr>
            <w:tcW w:w="4044" w:type="dxa"/>
            <w:vAlign w:val="center"/>
          </w:tcPr>
          <w:p w:rsidR="00122773" w:rsidRDefault="00D24AE0">
            <w:pPr>
              <w:jc w:val="center"/>
              <w:rPr>
                <w:rFonts w:eastAsia="仿宋_GB2312"/>
                <w:kern w:val="0"/>
                <w:sz w:val="24"/>
              </w:rPr>
            </w:pPr>
            <w:r>
              <w:rPr>
                <w:rFonts w:eastAsia="仿宋_GB2312" w:hint="eastAsia"/>
                <w:kern w:val="0"/>
                <w:sz w:val="24"/>
              </w:rPr>
              <w:t>500~1000</w:t>
            </w:r>
            <w:r>
              <w:rPr>
                <w:rFonts w:eastAsia="仿宋_GB2312" w:hint="eastAsia"/>
                <w:kern w:val="0"/>
                <w:sz w:val="24"/>
              </w:rPr>
              <w:t>元</w:t>
            </w:r>
            <w:r>
              <w:rPr>
                <w:rFonts w:eastAsia="仿宋_GB2312" w:hint="eastAsia"/>
                <w:kern w:val="0"/>
                <w:sz w:val="24"/>
              </w:rPr>
              <w:t>/m</w:t>
            </w:r>
            <w:r>
              <w:rPr>
                <w:rFonts w:eastAsia="仿宋_GB2312" w:hint="eastAsia"/>
                <w:kern w:val="0"/>
                <w:sz w:val="24"/>
                <w:vertAlign w:val="superscript"/>
              </w:rPr>
              <w:t>2</w:t>
            </w:r>
          </w:p>
        </w:tc>
      </w:tr>
      <w:tr w:rsidR="00122773">
        <w:trPr>
          <w:trHeight w:val="454"/>
        </w:trPr>
        <w:tc>
          <w:tcPr>
            <w:tcW w:w="4425" w:type="dxa"/>
            <w:vAlign w:val="center"/>
          </w:tcPr>
          <w:p w:rsidR="00122773" w:rsidRDefault="00D24AE0">
            <w:pPr>
              <w:jc w:val="center"/>
              <w:rPr>
                <w:rFonts w:eastAsia="仿宋_GB2312"/>
                <w:kern w:val="0"/>
                <w:sz w:val="24"/>
              </w:rPr>
            </w:pPr>
            <w:r>
              <w:rPr>
                <w:rFonts w:eastAsia="仿宋_GB2312" w:hint="eastAsia"/>
                <w:kern w:val="0"/>
                <w:sz w:val="24"/>
              </w:rPr>
              <w:t>异地搬迁治理</w:t>
            </w:r>
          </w:p>
        </w:tc>
        <w:tc>
          <w:tcPr>
            <w:tcW w:w="4044" w:type="dxa"/>
            <w:vAlign w:val="center"/>
          </w:tcPr>
          <w:p w:rsidR="00122773" w:rsidRDefault="00D24AE0">
            <w:pPr>
              <w:jc w:val="center"/>
              <w:rPr>
                <w:rFonts w:eastAsia="仿宋_GB2312"/>
                <w:kern w:val="0"/>
                <w:sz w:val="24"/>
              </w:rPr>
            </w:pPr>
            <w:r>
              <w:rPr>
                <w:rFonts w:eastAsia="仿宋_GB2312" w:hint="eastAsia"/>
                <w:kern w:val="0"/>
                <w:sz w:val="24"/>
              </w:rPr>
              <w:t>100~300</w:t>
            </w:r>
            <w:r>
              <w:rPr>
                <w:rFonts w:eastAsia="仿宋_GB2312" w:hint="eastAsia"/>
                <w:kern w:val="0"/>
                <w:sz w:val="24"/>
              </w:rPr>
              <w:t>元</w:t>
            </w:r>
            <w:r>
              <w:rPr>
                <w:rFonts w:eastAsia="仿宋_GB2312" w:hint="eastAsia"/>
                <w:kern w:val="0"/>
                <w:sz w:val="24"/>
              </w:rPr>
              <w:t>/</w:t>
            </w:r>
            <w:r>
              <w:rPr>
                <w:rFonts w:eastAsia="仿宋_GB2312"/>
                <w:kern w:val="0"/>
                <w:sz w:val="24"/>
              </w:rPr>
              <w:t>m</w:t>
            </w:r>
            <w:r>
              <w:rPr>
                <w:rFonts w:eastAsia="仿宋_GB2312"/>
                <w:kern w:val="0"/>
                <w:sz w:val="24"/>
                <w:vertAlign w:val="superscript"/>
              </w:rPr>
              <w:t>3</w:t>
            </w:r>
          </w:p>
        </w:tc>
      </w:tr>
    </w:tbl>
    <w:p w:rsidR="00122773" w:rsidRDefault="00D24AE0">
      <w:pPr>
        <w:rPr>
          <w:rFonts w:eastAsiaTheme="minorEastAsia"/>
        </w:rPr>
      </w:pPr>
      <w:r>
        <w:rPr>
          <w:rFonts w:eastAsiaTheme="minorEastAsia" w:hAnsiTheme="minorEastAsia"/>
        </w:rPr>
        <w:t>注：</w:t>
      </w:r>
      <w:r>
        <w:rPr>
          <w:rFonts w:eastAsiaTheme="minorEastAsia"/>
        </w:rPr>
        <w:t>1</w:t>
      </w:r>
      <w:r>
        <w:rPr>
          <w:rFonts w:eastAsiaTheme="minorEastAsia" w:hint="eastAsia"/>
        </w:rPr>
        <w:t xml:space="preserve"> </w:t>
      </w:r>
      <w:r>
        <w:rPr>
          <w:rFonts w:eastAsiaTheme="minorEastAsia" w:hint="eastAsia"/>
        </w:rPr>
        <w:t>表中建设规模大的可取指标下限；建设规模小的可取指标上限。</w:t>
      </w:r>
    </w:p>
    <w:p w:rsidR="00122773" w:rsidRDefault="00D24AE0">
      <w:pPr>
        <w:ind w:firstLineChars="200" w:firstLine="420"/>
        <w:rPr>
          <w:rFonts w:eastAsiaTheme="minorEastAsia" w:hAnsiTheme="minorEastAsia"/>
        </w:rPr>
      </w:pPr>
      <w:r>
        <w:rPr>
          <w:rFonts w:eastAsiaTheme="minorEastAsia"/>
        </w:rPr>
        <w:t>2</w:t>
      </w:r>
      <w:r>
        <w:rPr>
          <w:rFonts w:eastAsiaTheme="minorEastAsia" w:hint="eastAsia"/>
        </w:rPr>
        <w:t xml:space="preserve"> </w:t>
      </w:r>
      <w:r>
        <w:rPr>
          <w:rFonts w:eastAsiaTheme="minorEastAsia" w:hAnsiTheme="minorEastAsia"/>
        </w:rPr>
        <w:t>表中原地封场指标不含渗滤液以及填埋气处理设施投资估算费用。</w:t>
      </w:r>
    </w:p>
    <w:p w:rsidR="00122773" w:rsidRDefault="00D24AE0">
      <w:pPr>
        <w:ind w:firstLineChars="200" w:firstLine="420"/>
        <w:rPr>
          <w:rFonts w:eastAsiaTheme="minorEastAsia" w:hAnsiTheme="minorEastAsia"/>
        </w:rPr>
      </w:pPr>
      <w:r>
        <w:rPr>
          <w:rFonts w:eastAsiaTheme="minorEastAsia" w:hAnsiTheme="minorEastAsia" w:hint="eastAsia"/>
        </w:rPr>
        <w:t xml:space="preserve">3 </w:t>
      </w:r>
      <w:r>
        <w:rPr>
          <w:rFonts w:eastAsiaTheme="minorEastAsia" w:hAnsiTheme="minorEastAsia" w:hint="eastAsia"/>
        </w:rPr>
        <w:t>表中筛分转运指标不包含厂外运输费用。</w:t>
      </w:r>
    </w:p>
    <w:p w:rsidR="00122773" w:rsidRDefault="00D24AE0">
      <w:pPr>
        <w:rPr>
          <w:rFonts w:ascii="楷体" w:eastAsia="楷体" w:hAnsi="楷体"/>
          <w:sz w:val="24"/>
        </w:rPr>
      </w:pPr>
      <w:r>
        <w:rPr>
          <w:rFonts w:ascii="楷体" w:eastAsia="楷体" w:hAnsi="楷体" w:hint="eastAsia"/>
          <w:sz w:val="24"/>
        </w:rPr>
        <w:t>条文说明：本条提出了不同工艺类型存量填埋设施治理工程项目投资估算指标。其中原地封场治理依据的是《</w:t>
      </w:r>
      <w:r>
        <w:rPr>
          <w:rFonts w:ascii="楷体" w:eastAsia="楷体" w:hAnsi="楷体"/>
          <w:sz w:val="24"/>
        </w:rPr>
        <w:t>生活垃圾填埋场封场工程项目建设标准</w:t>
      </w:r>
      <w:r>
        <w:rPr>
          <w:rFonts w:ascii="楷体" w:eastAsia="楷体" w:hAnsi="楷体" w:hint="eastAsia"/>
          <w:sz w:val="24"/>
        </w:rPr>
        <w:t>》（</w:t>
      </w:r>
      <w:r>
        <w:rPr>
          <w:rFonts w:ascii="楷体" w:eastAsia="楷体" w:hAnsi="楷体"/>
          <w:sz w:val="24"/>
        </w:rPr>
        <w:t>建标140</w:t>
      </w:r>
      <w:r>
        <w:rPr>
          <w:rFonts w:ascii="楷体" w:eastAsia="楷体" w:hAnsi="楷体" w:hint="eastAsia"/>
          <w:sz w:val="24"/>
        </w:rPr>
        <w:t>）。异地搬迁治理工程指标根据对存量填埋设施封场治理工程和筛分转运多个典型项目调研和分析，</w:t>
      </w:r>
      <w:r w:rsidRPr="00D24AE0">
        <w:rPr>
          <w:rFonts w:ascii="楷体" w:eastAsia="楷体" w:hAnsi="楷体" w:hint="eastAsia"/>
          <w:sz w:val="24"/>
        </w:rPr>
        <w:t>并按2022年5月北京市人工、材料及机械费用及相应的取费费率标准调整后计算确定。</w:t>
      </w:r>
      <w:r>
        <w:rPr>
          <w:rFonts w:ascii="楷体" w:eastAsia="楷体" w:hAnsi="楷体" w:hint="eastAsia"/>
          <w:sz w:val="24"/>
        </w:rPr>
        <w:t>在进行具体</w:t>
      </w:r>
      <w:r>
        <w:rPr>
          <w:rFonts w:ascii="楷体" w:eastAsia="楷体" w:hAnsi="楷体"/>
          <w:sz w:val="24"/>
        </w:rPr>
        <w:t>工程项目</w:t>
      </w:r>
      <w:r>
        <w:rPr>
          <w:rFonts w:ascii="楷体" w:eastAsia="楷体" w:hAnsi="楷体" w:hint="eastAsia"/>
          <w:sz w:val="24"/>
        </w:rPr>
        <w:t>投资</w:t>
      </w:r>
      <w:r>
        <w:rPr>
          <w:rFonts w:ascii="楷体" w:eastAsia="楷体" w:hAnsi="楷体"/>
          <w:sz w:val="24"/>
        </w:rPr>
        <w:t>估算</w:t>
      </w:r>
      <w:r>
        <w:rPr>
          <w:rFonts w:ascii="楷体" w:eastAsia="楷体" w:hAnsi="楷体" w:hint="eastAsia"/>
          <w:sz w:val="24"/>
        </w:rPr>
        <w:t>时要</w:t>
      </w:r>
      <w:r>
        <w:rPr>
          <w:rFonts w:ascii="楷体" w:eastAsia="楷体" w:hAnsi="楷体"/>
          <w:sz w:val="24"/>
        </w:rPr>
        <w:t>参照国内同类工程技术经济指标以及</w:t>
      </w:r>
      <w:r>
        <w:rPr>
          <w:rFonts w:ascii="楷体" w:eastAsia="楷体" w:hAnsi="楷体" w:hint="eastAsia"/>
          <w:sz w:val="24"/>
        </w:rPr>
        <w:t>各地区</w:t>
      </w:r>
      <w:r>
        <w:rPr>
          <w:rFonts w:ascii="楷体" w:eastAsia="楷体" w:hAnsi="楷体"/>
          <w:sz w:val="24"/>
        </w:rPr>
        <w:t>的有关费率</w:t>
      </w:r>
      <w:r>
        <w:rPr>
          <w:rFonts w:ascii="楷体" w:eastAsia="楷体" w:hAnsi="楷体" w:hint="eastAsia"/>
          <w:sz w:val="24"/>
        </w:rPr>
        <w:t>及</w:t>
      </w:r>
      <w:r>
        <w:rPr>
          <w:rFonts w:ascii="楷体" w:eastAsia="楷体" w:hAnsi="楷体"/>
          <w:sz w:val="24"/>
        </w:rPr>
        <w:t>各地区计价</w:t>
      </w:r>
      <w:r>
        <w:rPr>
          <w:rFonts w:ascii="楷体" w:eastAsia="楷体" w:hAnsi="楷体" w:hint="eastAsia"/>
          <w:sz w:val="24"/>
        </w:rPr>
        <w:t>定额和工程造价信息</w:t>
      </w:r>
      <w:r>
        <w:rPr>
          <w:rFonts w:ascii="楷体" w:eastAsia="楷体" w:hAnsi="楷体"/>
          <w:sz w:val="24"/>
        </w:rPr>
        <w:t>估算</w:t>
      </w:r>
      <w:r>
        <w:rPr>
          <w:rFonts w:ascii="楷体" w:eastAsia="楷体" w:hAnsi="楷体" w:hint="eastAsia"/>
          <w:sz w:val="24"/>
        </w:rPr>
        <w:t>各种</w:t>
      </w:r>
      <w:r>
        <w:rPr>
          <w:rFonts w:ascii="楷体" w:eastAsia="楷体" w:hAnsi="楷体"/>
          <w:sz w:val="24"/>
        </w:rPr>
        <w:t>工程造价。</w:t>
      </w:r>
    </w:p>
    <w:p w:rsidR="00122773" w:rsidRDefault="00122773">
      <w:pPr>
        <w:rPr>
          <w:rFonts w:ascii="楷体" w:eastAsia="楷体" w:hAnsi="楷体"/>
          <w:sz w:val="24"/>
        </w:rPr>
      </w:pPr>
    </w:p>
    <w:p w:rsidR="00122773" w:rsidRDefault="00D24AE0">
      <w:pPr>
        <w:pStyle w:val="1"/>
        <w:numPr>
          <w:ilvl w:val="0"/>
          <w:numId w:val="1"/>
        </w:numPr>
        <w:ind w:left="0" w:firstLineChars="0" w:firstLine="0"/>
        <w:rPr>
          <w:rFonts w:asciiTheme="minorHAnsi" w:eastAsiaTheme="minorEastAsia" w:hAnsiTheme="minorHAnsi" w:cstheme="minorBidi"/>
          <w:sz w:val="24"/>
        </w:rPr>
      </w:pPr>
      <w:r>
        <w:rPr>
          <w:rFonts w:ascii="Calibri" w:hAnsi="Calibri" w:hint="eastAsia"/>
          <w:sz w:val="24"/>
        </w:rPr>
        <w:t>存量填埋设施治理工程</w:t>
      </w:r>
      <w:r>
        <w:rPr>
          <w:rFonts w:asciiTheme="minorHAnsi" w:eastAsiaTheme="minorEastAsia" w:hAnsiTheme="minorHAnsi" w:cstheme="minorBidi" w:hint="eastAsia"/>
          <w:sz w:val="24"/>
        </w:rPr>
        <w:t>应按国家现行的有关建设项目经济评价法与参数的规定进行经济评价</w:t>
      </w:r>
    </w:p>
    <w:p w:rsidR="00122773" w:rsidRDefault="00D24AE0">
      <w:pPr>
        <w:pStyle w:val="1"/>
        <w:ind w:firstLineChars="0" w:firstLine="0"/>
        <w:rPr>
          <w:rFonts w:ascii="楷体" w:eastAsia="楷体" w:hAnsi="楷体"/>
          <w:sz w:val="24"/>
        </w:rPr>
      </w:pPr>
      <w:r>
        <w:rPr>
          <w:rFonts w:ascii="楷体" w:eastAsia="楷体" w:hAnsi="楷体" w:hint="eastAsia"/>
          <w:sz w:val="24"/>
        </w:rPr>
        <w:t>条文说明：本条强调存量填埋设施治理工程经济评价应按国家现行的有关建设项目经济评价法与参数的规定进行。</w:t>
      </w:r>
    </w:p>
    <w:sectPr w:rsidR="00122773" w:rsidSect="00122773">
      <w:footerReference w:type="default" r:id="rId9"/>
      <w:footerReference w:type="first" r:id="rId10"/>
      <w:pgSz w:w="11906" w:h="16838"/>
      <w:pgMar w:top="1440" w:right="1440" w:bottom="1440" w:left="144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09FA" w:rsidRDefault="008109FA" w:rsidP="00122773">
      <w:r>
        <w:separator/>
      </w:r>
    </w:p>
  </w:endnote>
  <w:endnote w:type="continuationSeparator" w:id="0">
    <w:p w:rsidR="008109FA" w:rsidRDefault="008109FA" w:rsidP="0012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A58" w:rsidRDefault="00586A58">
    <w:pPr>
      <w:pStyle w:val="a9"/>
      <w:jc w:val="right"/>
    </w:pPr>
  </w:p>
  <w:p w:rsidR="00586A58" w:rsidRDefault="00586A5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8020"/>
    </w:sdtPr>
    <w:sdtContent>
      <w:p w:rsidR="00586A58" w:rsidRDefault="00586A58">
        <w:pPr>
          <w:pStyle w:val="a9"/>
          <w:jc w:val="center"/>
        </w:pPr>
        <w:r>
          <w:fldChar w:fldCharType="begin"/>
        </w:r>
        <w:r>
          <w:instrText xml:space="preserve"> PAGE   \* MERGEFORMAT </w:instrText>
        </w:r>
        <w:r>
          <w:fldChar w:fldCharType="separate"/>
        </w:r>
        <w:r w:rsidR="00584844" w:rsidRPr="00584844">
          <w:rPr>
            <w:noProof/>
            <w:lang w:val="zh-CN"/>
          </w:rPr>
          <w:t>4</w:t>
        </w:r>
        <w:r>
          <w:rPr>
            <w:lang w:val="zh-CN"/>
          </w:rPr>
          <w:fldChar w:fldCharType="end"/>
        </w:r>
      </w:p>
    </w:sdtContent>
  </w:sdt>
  <w:p w:rsidR="00586A58" w:rsidRDefault="00586A58">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A58" w:rsidRDefault="00586A58">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09FA" w:rsidRDefault="008109FA" w:rsidP="00122773">
      <w:r>
        <w:separator/>
      </w:r>
    </w:p>
  </w:footnote>
  <w:footnote w:type="continuationSeparator" w:id="0">
    <w:p w:rsidR="008109FA" w:rsidRDefault="008109FA" w:rsidP="0012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420"/>
    <w:multiLevelType w:val="multilevel"/>
    <w:tmpl w:val="1169142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2EC2BAA"/>
    <w:multiLevelType w:val="multilevel"/>
    <w:tmpl w:val="12EC2BA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7D6285B"/>
    <w:multiLevelType w:val="multilevel"/>
    <w:tmpl w:val="17D628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40714"/>
    <w:multiLevelType w:val="multilevel"/>
    <w:tmpl w:val="25240714"/>
    <w:lvl w:ilvl="0">
      <w:start w:val="1"/>
      <w:numFmt w:val="japaneseCounting"/>
      <w:lvlText w:val="第%1条"/>
      <w:lvlJc w:val="left"/>
      <w:pPr>
        <w:ind w:left="562" w:hanging="420"/>
      </w:pPr>
      <w:rPr>
        <w:rFonts w:asciiTheme="majorEastAsia" w:eastAsiaTheme="majorEastAsia" w:hAnsiTheme="majorEastAsia" w:hint="default"/>
        <w:b/>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21847225">
    <w:abstractNumId w:val="3"/>
  </w:num>
  <w:num w:numId="2" w16cid:durableId="832718087">
    <w:abstractNumId w:val="1"/>
  </w:num>
  <w:num w:numId="3" w16cid:durableId="896280255">
    <w:abstractNumId w:val="2"/>
  </w:num>
  <w:num w:numId="4" w16cid:durableId="55779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QyNDg0MTc0ZjM2MzhmOTQ4YWQ1NTJjY2Y2OTZjNWEifQ=="/>
  </w:docVars>
  <w:rsids>
    <w:rsidRoot w:val="00CA7D6A"/>
    <w:rsid w:val="00001092"/>
    <w:rsid w:val="00003472"/>
    <w:rsid w:val="0001041E"/>
    <w:rsid w:val="000201ED"/>
    <w:rsid w:val="00036FD9"/>
    <w:rsid w:val="00037517"/>
    <w:rsid w:val="000414BA"/>
    <w:rsid w:val="00041D24"/>
    <w:rsid w:val="00045A43"/>
    <w:rsid w:val="00046FBC"/>
    <w:rsid w:val="000501E0"/>
    <w:rsid w:val="000503A6"/>
    <w:rsid w:val="00052120"/>
    <w:rsid w:val="000569F5"/>
    <w:rsid w:val="00063233"/>
    <w:rsid w:val="0006423E"/>
    <w:rsid w:val="000667C3"/>
    <w:rsid w:val="00074D44"/>
    <w:rsid w:val="00076370"/>
    <w:rsid w:val="00092E41"/>
    <w:rsid w:val="000966FF"/>
    <w:rsid w:val="000A11C7"/>
    <w:rsid w:val="000A3615"/>
    <w:rsid w:val="000A4F4F"/>
    <w:rsid w:val="000A5DAB"/>
    <w:rsid w:val="000B0B6C"/>
    <w:rsid w:val="000D1E2E"/>
    <w:rsid w:val="000D2A7A"/>
    <w:rsid w:val="000D33F9"/>
    <w:rsid w:val="000F24FF"/>
    <w:rsid w:val="000F4287"/>
    <w:rsid w:val="000F4C16"/>
    <w:rsid w:val="000F561E"/>
    <w:rsid w:val="000F7914"/>
    <w:rsid w:val="00107850"/>
    <w:rsid w:val="0011505C"/>
    <w:rsid w:val="00122773"/>
    <w:rsid w:val="0012472A"/>
    <w:rsid w:val="00132B6E"/>
    <w:rsid w:val="001333BA"/>
    <w:rsid w:val="0013719B"/>
    <w:rsid w:val="001377B1"/>
    <w:rsid w:val="00156038"/>
    <w:rsid w:val="00157326"/>
    <w:rsid w:val="0016053D"/>
    <w:rsid w:val="001620ED"/>
    <w:rsid w:val="0016600E"/>
    <w:rsid w:val="001741DD"/>
    <w:rsid w:val="0017491A"/>
    <w:rsid w:val="001907D1"/>
    <w:rsid w:val="0019137C"/>
    <w:rsid w:val="001950F2"/>
    <w:rsid w:val="001B22BE"/>
    <w:rsid w:val="001B2C0B"/>
    <w:rsid w:val="001C2308"/>
    <w:rsid w:val="001C39F7"/>
    <w:rsid w:val="001D04C9"/>
    <w:rsid w:val="001D4B37"/>
    <w:rsid w:val="001E0BE2"/>
    <w:rsid w:val="001E65BF"/>
    <w:rsid w:val="001F009E"/>
    <w:rsid w:val="001F19B3"/>
    <w:rsid w:val="001F252F"/>
    <w:rsid w:val="00202AE6"/>
    <w:rsid w:val="002047BC"/>
    <w:rsid w:val="002106BE"/>
    <w:rsid w:val="0021585E"/>
    <w:rsid w:val="00225099"/>
    <w:rsid w:val="00227EB0"/>
    <w:rsid w:val="00243A72"/>
    <w:rsid w:val="0024448F"/>
    <w:rsid w:val="002475DD"/>
    <w:rsid w:val="002576D5"/>
    <w:rsid w:val="00261468"/>
    <w:rsid w:val="002624EA"/>
    <w:rsid w:val="00272107"/>
    <w:rsid w:val="002834D7"/>
    <w:rsid w:val="0028740D"/>
    <w:rsid w:val="00290659"/>
    <w:rsid w:val="00292262"/>
    <w:rsid w:val="0029287C"/>
    <w:rsid w:val="002B5973"/>
    <w:rsid w:val="002B74AF"/>
    <w:rsid w:val="002C22AB"/>
    <w:rsid w:val="002D0736"/>
    <w:rsid w:val="002D29BD"/>
    <w:rsid w:val="002D5052"/>
    <w:rsid w:val="002E1B94"/>
    <w:rsid w:val="002E31A3"/>
    <w:rsid w:val="002F0238"/>
    <w:rsid w:val="002F0628"/>
    <w:rsid w:val="002F1DE8"/>
    <w:rsid w:val="002F5F6B"/>
    <w:rsid w:val="003126E6"/>
    <w:rsid w:val="0031417B"/>
    <w:rsid w:val="0032508D"/>
    <w:rsid w:val="003277E8"/>
    <w:rsid w:val="003335ED"/>
    <w:rsid w:val="00351BD5"/>
    <w:rsid w:val="00360EB1"/>
    <w:rsid w:val="00361223"/>
    <w:rsid w:val="0036235E"/>
    <w:rsid w:val="003647AE"/>
    <w:rsid w:val="00377026"/>
    <w:rsid w:val="0038505C"/>
    <w:rsid w:val="00385D57"/>
    <w:rsid w:val="00393173"/>
    <w:rsid w:val="00395DF5"/>
    <w:rsid w:val="003B5E9C"/>
    <w:rsid w:val="003B6ACF"/>
    <w:rsid w:val="003C7698"/>
    <w:rsid w:val="003C7FA6"/>
    <w:rsid w:val="003D11AB"/>
    <w:rsid w:val="003D2C8F"/>
    <w:rsid w:val="003D4EEA"/>
    <w:rsid w:val="003D58E8"/>
    <w:rsid w:val="003E253E"/>
    <w:rsid w:val="003E7820"/>
    <w:rsid w:val="003F08B5"/>
    <w:rsid w:val="003F1466"/>
    <w:rsid w:val="00424736"/>
    <w:rsid w:val="00432018"/>
    <w:rsid w:val="004370A3"/>
    <w:rsid w:val="00451746"/>
    <w:rsid w:val="004552EC"/>
    <w:rsid w:val="00462ED9"/>
    <w:rsid w:val="00466D87"/>
    <w:rsid w:val="00473976"/>
    <w:rsid w:val="004820EE"/>
    <w:rsid w:val="004955D3"/>
    <w:rsid w:val="004A29A8"/>
    <w:rsid w:val="004A5C91"/>
    <w:rsid w:val="004B11E1"/>
    <w:rsid w:val="004B131F"/>
    <w:rsid w:val="004B3D1F"/>
    <w:rsid w:val="004C36F2"/>
    <w:rsid w:val="004C4ABB"/>
    <w:rsid w:val="004D1C6F"/>
    <w:rsid w:val="004D2718"/>
    <w:rsid w:val="004E40D6"/>
    <w:rsid w:val="004F162C"/>
    <w:rsid w:val="004F226C"/>
    <w:rsid w:val="005038A2"/>
    <w:rsid w:val="00503CD9"/>
    <w:rsid w:val="00521CF3"/>
    <w:rsid w:val="00530FDC"/>
    <w:rsid w:val="00535953"/>
    <w:rsid w:val="00547D30"/>
    <w:rsid w:val="0055557C"/>
    <w:rsid w:val="00556A69"/>
    <w:rsid w:val="00561B4F"/>
    <w:rsid w:val="00580959"/>
    <w:rsid w:val="0058228D"/>
    <w:rsid w:val="00584844"/>
    <w:rsid w:val="005856A1"/>
    <w:rsid w:val="0058609B"/>
    <w:rsid w:val="00586A58"/>
    <w:rsid w:val="005972AA"/>
    <w:rsid w:val="005A0007"/>
    <w:rsid w:val="005A07AF"/>
    <w:rsid w:val="005A112A"/>
    <w:rsid w:val="005A3857"/>
    <w:rsid w:val="005A39C4"/>
    <w:rsid w:val="005A7010"/>
    <w:rsid w:val="005B173A"/>
    <w:rsid w:val="005B25EC"/>
    <w:rsid w:val="005B32C4"/>
    <w:rsid w:val="005B6359"/>
    <w:rsid w:val="005D2F66"/>
    <w:rsid w:val="005E269F"/>
    <w:rsid w:val="005E3CDB"/>
    <w:rsid w:val="005E5E35"/>
    <w:rsid w:val="006002E0"/>
    <w:rsid w:val="00604DF9"/>
    <w:rsid w:val="0061046B"/>
    <w:rsid w:val="006105C3"/>
    <w:rsid w:val="006166F2"/>
    <w:rsid w:val="006231A7"/>
    <w:rsid w:val="00630267"/>
    <w:rsid w:val="006375E5"/>
    <w:rsid w:val="006460CC"/>
    <w:rsid w:val="00647DCE"/>
    <w:rsid w:val="0065144C"/>
    <w:rsid w:val="00654540"/>
    <w:rsid w:val="00663BC8"/>
    <w:rsid w:val="00673742"/>
    <w:rsid w:val="00675210"/>
    <w:rsid w:val="00677FF7"/>
    <w:rsid w:val="006902DA"/>
    <w:rsid w:val="006A2633"/>
    <w:rsid w:val="006B269B"/>
    <w:rsid w:val="006D3155"/>
    <w:rsid w:val="006D34A9"/>
    <w:rsid w:val="006D6979"/>
    <w:rsid w:val="006E35F5"/>
    <w:rsid w:val="006F3AC3"/>
    <w:rsid w:val="00707E67"/>
    <w:rsid w:val="00717412"/>
    <w:rsid w:val="00717D9D"/>
    <w:rsid w:val="00720910"/>
    <w:rsid w:val="007217E4"/>
    <w:rsid w:val="007273F0"/>
    <w:rsid w:val="0073147F"/>
    <w:rsid w:val="00737099"/>
    <w:rsid w:val="00745E03"/>
    <w:rsid w:val="00754C07"/>
    <w:rsid w:val="00760340"/>
    <w:rsid w:val="00775405"/>
    <w:rsid w:val="00781377"/>
    <w:rsid w:val="007820DC"/>
    <w:rsid w:val="007847C7"/>
    <w:rsid w:val="00785B80"/>
    <w:rsid w:val="00796C02"/>
    <w:rsid w:val="007A6BDA"/>
    <w:rsid w:val="007B1767"/>
    <w:rsid w:val="007C19E2"/>
    <w:rsid w:val="007D169D"/>
    <w:rsid w:val="007D75F7"/>
    <w:rsid w:val="007D78F7"/>
    <w:rsid w:val="007E2091"/>
    <w:rsid w:val="007E2C28"/>
    <w:rsid w:val="007F0F73"/>
    <w:rsid w:val="00803E10"/>
    <w:rsid w:val="00810660"/>
    <w:rsid w:val="008109FA"/>
    <w:rsid w:val="00834A41"/>
    <w:rsid w:val="00836F09"/>
    <w:rsid w:val="00840453"/>
    <w:rsid w:val="00840C73"/>
    <w:rsid w:val="008428FF"/>
    <w:rsid w:val="008469F5"/>
    <w:rsid w:val="0086161C"/>
    <w:rsid w:val="00864AC2"/>
    <w:rsid w:val="00872B44"/>
    <w:rsid w:val="00873E7D"/>
    <w:rsid w:val="00880588"/>
    <w:rsid w:val="008820C3"/>
    <w:rsid w:val="0089187D"/>
    <w:rsid w:val="00896A54"/>
    <w:rsid w:val="008B08DB"/>
    <w:rsid w:val="008B4ED1"/>
    <w:rsid w:val="008C2E74"/>
    <w:rsid w:val="008D59FC"/>
    <w:rsid w:val="008D6F55"/>
    <w:rsid w:val="008D6F74"/>
    <w:rsid w:val="008D7BC4"/>
    <w:rsid w:val="008E2619"/>
    <w:rsid w:val="008E320F"/>
    <w:rsid w:val="008E4D31"/>
    <w:rsid w:val="00900DF2"/>
    <w:rsid w:val="00900EB4"/>
    <w:rsid w:val="00903CA6"/>
    <w:rsid w:val="00907FCB"/>
    <w:rsid w:val="0091309E"/>
    <w:rsid w:val="00917CC8"/>
    <w:rsid w:val="0092162D"/>
    <w:rsid w:val="00924730"/>
    <w:rsid w:val="009363CF"/>
    <w:rsid w:val="00956967"/>
    <w:rsid w:val="00957E3D"/>
    <w:rsid w:val="00960766"/>
    <w:rsid w:val="00981015"/>
    <w:rsid w:val="009945D8"/>
    <w:rsid w:val="009A41FB"/>
    <w:rsid w:val="009B15BC"/>
    <w:rsid w:val="009B25F0"/>
    <w:rsid w:val="009C36E2"/>
    <w:rsid w:val="009C3738"/>
    <w:rsid w:val="009C5B68"/>
    <w:rsid w:val="009C6D06"/>
    <w:rsid w:val="009D490E"/>
    <w:rsid w:val="009D540B"/>
    <w:rsid w:val="009D7FE8"/>
    <w:rsid w:val="009E1198"/>
    <w:rsid w:val="009E5D2D"/>
    <w:rsid w:val="009E614A"/>
    <w:rsid w:val="009F2453"/>
    <w:rsid w:val="009F7ED1"/>
    <w:rsid w:val="00A01855"/>
    <w:rsid w:val="00A05159"/>
    <w:rsid w:val="00A176D5"/>
    <w:rsid w:val="00A21BAF"/>
    <w:rsid w:val="00A233B0"/>
    <w:rsid w:val="00A30D1D"/>
    <w:rsid w:val="00A34B78"/>
    <w:rsid w:val="00A3755D"/>
    <w:rsid w:val="00A45242"/>
    <w:rsid w:val="00A56756"/>
    <w:rsid w:val="00A62823"/>
    <w:rsid w:val="00A8399F"/>
    <w:rsid w:val="00A867B6"/>
    <w:rsid w:val="00AA7E0E"/>
    <w:rsid w:val="00AB23EC"/>
    <w:rsid w:val="00AB37F0"/>
    <w:rsid w:val="00AC05CF"/>
    <w:rsid w:val="00AC5F48"/>
    <w:rsid w:val="00AD081A"/>
    <w:rsid w:val="00AE1A84"/>
    <w:rsid w:val="00AE39E0"/>
    <w:rsid w:val="00AF4297"/>
    <w:rsid w:val="00AF68A8"/>
    <w:rsid w:val="00B00DF2"/>
    <w:rsid w:val="00B07D74"/>
    <w:rsid w:val="00B20162"/>
    <w:rsid w:val="00B22E12"/>
    <w:rsid w:val="00B2757E"/>
    <w:rsid w:val="00B40690"/>
    <w:rsid w:val="00B62E80"/>
    <w:rsid w:val="00B63CA5"/>
    <w:rsid w:val="00B672DD"/>
    <w:rsid w:val="00B70EF1"/>
    <w:rsid w:val="00B72168"/>
    <w:rsid w:val="00B8284A"/>
    <w:rsid w:val="00B85117"/>
    <w:rsid w:val="00B86B3F"/>
    <w:rsid w:val="00B877BC"/>
    <w:rsid w:val="00B9330A"/>
    <w:rsid w:val="00BA31C9"/>
    <w:rsid w:val="00BA7041"/>
    <w:rsid w:val="00BB5A87"/>
    <w:rsid w:val="00BC04FD"/>
    <w:rsid w:val="00BC49CE"/>
    <w:rsid w:val="00BD0F78"/>
    <w:rsid w:val="00BD2F3C"/>
    <w:rsid w:val="00BE6B41"/>
    <w:rsid w:val="00BF575D"/>
    <w:rsid w:val="00BF673F"/>
    <w:rsid w:val="00C05DF0"/>
    <w:rsid w:val="00C05E8C"/>
    <w:rsid w:val="00C14289"/>
    <w:rsid w:val="00C15488"/>
    <w:rsid w:val="00C15E5F"/>
    <w:rsid w:val="00C2118D"/>
    <w:rsid w:val="00C21B85"/>
    <w:rsid w:val="00C24396"/>
    <w:rsid w:val="00C32697"/>
    <w:rsid w:val="00C36368"/>
    <w:rsid w:val="00C43FCC"/>
    <w:rsid w:val="00C43FCF"/>
    <w:rsid w:val="00C448DB"/>
    <w:rsid w:val="00C4721C"/>
    <w:rsid w:val="00C53BC9"/>
    <w:rsid w:val="00C57E4A"/>
    <w:rsid w:val="00C70757"/>
    <w:rsid w:val="00C735A2"/>
    <w:rsid w:val="00C86D48"/>
    <w:rsid w:val="00C954F2"/>
    <w:rsid w:val="00C97F02"/>
    <w:rsid w:val="00CA7D6A"/>
    <w:rsid w:val="00CB1273"/>
    <w:rsid w:val="00CB7942"/>
    <w:rsid w:val="00CC0D8C"/>
    <w:rsid w:val="00D12BA0"/>
    <w:rsid w:val="00D23757"/>
    <w:rsid w:val="00D24AE0"/>
    <w:rsid w:val="00D26176"/>
    <w:rsid w:val="00D26B7B"/>
    <w:rsid w:val="00D27945"/>
    <w:rsid w:val="00D301A7"/>
    <w:rsid w:val="00D3182C"/>
    <w:rsid w:val="00D36771"/>
    <w:rsid w:val="00D439C9"/>
    <w:rsid w:val="00D6519F"/>
    <w:rsid w:val="00D6534F"/>
    <w:rsid w:val="00D65E17"/>
    <w:rsid w:val="00D66176"/>
    <w:rsid w:val="00D805E7"/>
    <w:rsid w:val="00D815FC"/>
    <w:rsid w:val="00D8652A"/>
    <w:rsid w:val="00D87FEB"/>
    <w:rsid w:val="00D905B3"/>
    <w:rsid w:val="00D90838"/>
    <w:rsid w:val="00D9171C"/>
    <w:rsid w:val="00D95760"/>
    <w:rsid w:val="00DA31D3"/>
    <w:rsid w:val="00DA66A1"/>
    <w:rsid w:val="00DB4A53"/>
    <w:rsid w:val="00DC6646"/>
    <w:rsid w:val="00DD32DC"/>
    <w:rsid w:val="00DE05F1"/>
    <w:rsid w:val="00DE3067"/>
    <w:rsid w:val="00DF091E"/>
    <w:rsid w:val="00DF59E1"/>
    <w:rsid w:val="00DF7524"/>
    <w:rsid w:val="00E04A32"/>
    <w:rsid w:val="00E06EC4"/>
    <w:rsid w:val="00E33A9C"/>
    <w:rsid w:val="00E34665"/>
    <w:rsid w:val="00E40220"/>
    <w:rsid w:val="00E41418"/>
    <w:rsid w:val="00E45539"/>
    <w:rsid w:val="00E52632"/>
    <w:rsid w:val="00E6544F"/>
    <w:rsid w:val="00E65A9F"/>
    <w:rsid w:val="00E745BC"/>
    <w:rsid w:val="00E971CB"/>
    <w:rsid w:val="00EB2C67"/>
    <w:rsid w:val="00EB2EC4"/>
    <w:rsid w:val="00EC1B00"/>
    <w:rsid w:val="00EC34FC"/>
    <w:rsid w:val="00EE6F2B"/>
    <w:rsid w:val="00EF0351"/>
    <w:rsid w:val="00EF3D45"/>
    <w:rsid w:val="00EF61EF"/>
    <w:rsid w:val="00F00CDE"/>
    <w:rsid w:val="00F15B90"/>
    <w:rsid w:val="00F15FCF"/>
    <w:rsid w:val="00F2420A"/>
    <w:rsid w:val="00F267E9"/>
    <w:rsid w:val="00F31F99"/>
    <w:rsid w:val="00F33CDA"/>
    <w:rsid w:val="00F366BA"/>
    <w:rsid w:val="00F4336A"/>
    <w:rsid w:val="00F44221"/>
    <w:rsid w:val="00F526F9"/>
    <w:rsid w:val="00F56703"/>
    <w:rsid w:val="00F56D1E"/>
    <w:rsid w:val="00F60DDE"/>
    <w:rsid w:val="00F7426F"/>
    <w:rsid w:val="00F90D45"/>
    <w:rsid w:val="00FA467C"/>
    <w:rsid w:val="00FA637D"/>
    <w:rsid w:val="00FB6FBD"/>
    <w:rsid w:val="00FC0915"/>
    <w:rsid w:val="00FC1F02"/>
    <w:rsid w:val="00FC6CD7"/>
    <w:rsid w:val="00FD0599"/>
    <w:rsid w:val="00FD250D"/>
    <w:rsid w:val="00FD3FF3"/>
    <w:rsid w:val="00FE25E0"/>
    <w:rsid w:val="00FF1A1A"/>
    <w:rsid w:val="00FF68EA"/>
    <w:rsid w:val="100617AD"/>
    <w:rsid w:val="1BF0315C"/>
    <w:rsid w:val="3AF240DA"/>
    <w:rsid w:val="4417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3F2F6"/>
  <w15:docId w15:val="{3885B1F2-A8F7-4F52-BFB0-930B07D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华文仿宋"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773"/>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unhideWhenUsed/>
    <w:qFormat/>
    <w:rsid w:val="00122773"/>
    <w:pPr>
      <w:keepNext/>
      <w:keepLines/>
      <w:spacing w:before="260" w:after="260" w:line="416" w:lineRule="auto"/>
      <w:jc w:val="center"/>
      <w:outlineLvl w:val="1"/>
    </w:pPr>
    <w:rPr>
      <w:rFonts w:asciiTheme="majorHAnsi" w:eastAsia="楷体" w:hAnsiTheme="majorHAnsi" w:cstheme="majorBidi"/>
      <w:b/>
      <w:bCs/>
      <w:szCs w:val="32"/>
    </w:rPr>
  </w:style>
  <w:style w:type="paragraph" w:styleId="3">
    <w:name w:val="heading 3"/>
    <w:basedOn w:val="a"/>
    <w:next w:val="a"/>
    <w:link w:val="30"/>
    <w:uiPriority w:val="9"/>
    <w:unhideWhenUsed/>
    <w:qFormat/>
    <w:rsid w:val="001227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22773"/>
    <w:pPr>
      <w:jc w:val="left"/>
    </w:pPr>
  </w:style>
  <w:style w:type="paragraph" w:styleId="TOC3">
    <w:name w:val="toc 3"/>
    <w:basedOn w:val="a"/>
    <w:next w:val="a"/>
    <w:uiPriority w:val="39"/>
    <w:unhideWhenUsed/>
    <w:rsid w:val="00122773"/>
    <w:pPr>
      <w:ind w:leftChars="400" w:left="840"/>
    </w:pPr>
  </w:style>
  <w:style w:type="paragraph" w:styleId="a5">
    <w:name w:val="Date"/>
    <w:basedOn w:val="a"/>
    <w:next w:val="a"/>
    <w:link w:val="a6"/>
    <w:uiPriority w:val="99"/>
    <w:unhideWhenUsed/>
    <w:rsid w:val="00122773"/>
    <w:pPr>
      <w:ind w:leftChars="2500" w:left="100"/>
    </w:pPr>
  </w:style>
  <w:style w:type="paragraph" w:styleId="a7">
    <w:name w:val="Balloon Text"/>
    <w:basedOn w:val="a"/>
    <w:link w:val="a8"/>
    <w:uiPriority w:val="99"/>
    <w:unhideWhenUsed/>
    <w:rsid w:val="00122773"/>
    <w:rPr>
      <w:sz w:val="18"/>
      <w:szCs w:val="18"/>
    </w:rPr>
  </w:style>
  <w:style w:type="paragraph" w:styleId="a9">
    <w:name w:val="footer"/>
    <w:basedOn w:val="a"/>
    <w:link w:val="aa"/>
    <w:unhideWhenUsed/>
    <w:rsid w:val="00122773"/>
    <w:pPr>
      <w:tabs>
        <w:tab w:val="center" w:pos="4153"/>
        <w:tab w:val="right" w:pos="8306"/>
      </w:tabs>
      <w:snapToGrid w:val="0"/>
      <w:spacing w:line="240" w:lineRule="atLeast"/>
      <w:jc w:val="left"/>
    </w:pPr>
    <w:rPr>
      <w:sz w:val="18"/>
      <w:szCs w:val="18"/>
    </w:rPr>
  </w:style>
  <w:style w:type="paragraph" w:styleId="ab">
    <w:name w:val="header"/>
    <w:basedOn w:val="a"/>
    <w:link w:val="ac"/>
    <w:uiPriority w:val="99"/>
    <w:unhideWhenUsed/>
    <w:rsid w:val="00122773"/>
    <w:pPr>
      <w:pBdr>
        <w:bottom w:val="single" w:sz="6" w:space="1" w:color="auto"/>
      </w:pBdr>
      <w:tabs>
        <w:tab w:val="center" w:pos="4153"/>
        <w:tab w:val="right" w:pos="8306"/>
      </w:tabs>
      <w:snapToGrid w:val="0"/>
      <w:spacing w:line="240" w:lineRule="atLeast"/>
      <w:jc w:val="center"/>
    </w:pPr>
    <w:rPr>
      <w:sz w:val="18"/>
      <w:szCs w:val="18"/>
    </w:rPr>
  </w:style>
  <w:style w:type="paragraph" w:styleId="ad">
    <w:name w:val="Title"/>
    <w:basedOn w:val="a"/>
    <w:next w:val="a"/>
    <w:link w:val="ae"/>
    <w:uiPriority w:val="10"/>
    <w:qFormat/>
    <w:rsid w:val="00122773"/>
    <w:pPr>
      <w:spacing w:before="240" w:after="60"/>
      <w:jc w:val="center"/>
      <w:outlineLvl w:val="0"/>
    </w:pPr>
    <w:rPr>
      <w:rFonts w:asciiTheme="majorHAnsi" w:hAnsiTheme="majorHAnsi" w:cstheme="majorBidi"/>
      <w:b/>
      <w:bCs/>
      <w:sz w:val="32"/>
      <w:szCs w:val="32"/>
    </w:rPr>
  </w:style>
  <w:style w:type="paragraph" w:styleId="af">
    <w:name w:val="annotation subject"/>
    <w:basedOn w:val="a3"/>
    <w:next w:val="a3"/>
    <w:link w:val="af0"/>
    <w:uiPriority w:val="99"/>
    <w:unhideWhenUsed/>
    <w:qFormat/>
    <w:rsid w:val="00122773"/>
    <w:rPr>
      <w:b/>
      <w:bCs/>
    </w:rPr>
  </w:style>
  <w:style w:type="table" w:styleId="af1">
    <w:name w:val="Table Grid"/>
    <w:basedOn w:val="a1"/>
    <w:rsid w:val="00122773"/>
    <w:pPr>
      <w:widowControl w:val="0"/>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rsid w:val="00122773"/>
  </w:style>
  <w:style w:type="character" w:styleId="af3">
    <w:name w:val="Hyperlink"/>
    <w:basedOn w:val="a0"/>
    <w:uiPriority w:val="99"/>
    <w:unhideWhenUsed/>
    <w:rsid w:val="00122773"/>
    <w:rPr>
      <w:color w:val="0000FF" w:themeColor="hyperlink"/>
      <w:u w:val="single"/>
    </w:rPr>
  </w:style>
  <w:style w:type="character" w:styleId="af4">
    <w:name w:val="annotation reference"/>
    <w:basedOn w:val="a0"/>
    <w:uiPriority w:val="99"/>
    <w:unhideWhenUsed/>
    <w:rsid w:val="00122773"/>
    <w:rPr>
      <w:sz w:val="21"/>
      <w:szCs w:val="21"/>
    </w:rPr>
  </w:style>
  <w:style w:type="character" w:customStyle="1" w:styleId="20">
    <w:name w:val="标题 2 字符"/>
    <w:basedOn w:val="a0"/>
    <w:link w:val="2"/>
    <w:uiPriority w:val="9"/>
    <w:rsid w:val="00122773"/>
    <w:rPr>
      <w:rFonts w:asciiTheme="majorHAnsi" w:eastAsia="楷体" w:hAnsiTheme="majorHAnsi" w:cstheme="majorBidi"/>
      <w:b/>
      <w:bCs/>
      <w:szCs w:val="32"/>
    </w:rPr>
  </w:style>
  <w:style w:type="character" w:customStyle="1" w:styleId="ac">
    <w:name w:val="页眉 字符"/>
    <w:basedOn w:val="a0"/>
    <w:link w:val="ab"/>
    <w:uiPriority w:val="99"/>
    <w:qFormat/>
    <w:rsid w:val="00122773"/>
    <w:rPr>
      <w:sz w:val="18"/>
      <w:szCs w:val="18"/>
    </w:rPr>
  </w:style>
  <w:style w:type="character" w:customStyle="1" w:styleId="aa">
    <w:name w:val="页脚 字符"/>
    <w:basedOn w:val="a0"/>
    <w:link w:val="a9"/>
    <w:uiPriority w:val="99"/>
    <w:rsid w:val="00122773"/>
    <w:rPr>
      <w:sz w:val="18"/>
      <w:szCs w:val="18"/>
    </w:rPr>
  </w:style>
  <w:style w:type="paragraph" w:customStyle="1" w:styleId="1">
    <w:name w:val="列表段落1"/>
    <w:basedOn w:val="a"/>
    <w:uiPriority w:val="34"/>
    <w:qFormat/>
    <w:rsid w:val="00122773"/>
    <w:pPr>
      <w:ind w:firstLineChars="200" w:firstLine="420"/>
    </w:pPr>
  </w:style>
  <w:style w:type="character" w:customStyle="1" w:styleId="a8">
    <w:name w:val="批注框文本 字符"/>
    <w:basedOn w:val="a0"/>
    <w:link w:val="a7"/>
    <w:uiPriority w:val="99"/>
    <w:semiHidden/>
    <w:rsid w:val="00122773"/>
    <w:rPr>
      <w:rFonts w:ascii="Times New Roman" w:eastAsia="宋体" w:hAnsi="Times New Roman" w:cs="Times New Roman"/>
      <w:sz w:val="18"/>
      <w:szCs w:val="18"/>
    </w:rPr>
  </w:style>
  <w:style w:type="character" w:customStyle="1" w:styleId="ae">
    <w:name w:val="标题 字符"/>
    <w:basedOn w:val="a0"/>
    <w:link w:val="ad"/>
    <w:uiPriority w:val="10"/>
    <w:rsid w:val="00122773"/>
    <w:rPr>
      <w:rFonts w:asciiTheme="majorHAnsi" w:eastAsia="宋体" w:hAnsiTheme="majorHAnsi" w:cstheme="majorBidi"/>
      <w:b/>
      <w:bCs/>
      <w:szCs w:val="32"/>
    </w:rPr>
  </w:style>
  <w:style w:type="character" w:customStyle="1" w:styleId="30">
    <w:name w:val="标题 3 字符"/>
    <w:basedOn w:val="a0"/>
    <w:link w:val="3"/>
    <w:uiPriority w:val="9"/>
    <w:rsid w:val="00122773"/>
    <w:rPr>
      <w:rFonts w:ascii="Times New Roman" w:eastAsia="宋体" w:hAnsi="Times New Roman" w:cs="Times New Roman"/>
      <w:b/>
      <w:bCs/>
      <w:szCs w:val="32"/>
    </w:rPr>
  </w:style>
  <w:style w:type="character" w:customStyle="1" w:styleId="10">
    <w:name w:val="占位符文本1"/>
    <w:basedOn w:val="a0"/>
    <w:uiPriority w:val="99"/>
    <w:semiHidden/>
    <w:rsid w:val="00122773"/>
    <w:rPr>
      <w:color w:val="808080"/>
    </w:rPr>
  </w:style>
  <w:style w:type="paragraph" w:customStyle="1" w:styleId="11">
    <w:name w:val="修订1"/>
    <w:hidden/>
    <w:uiPriority w:val="99"/>
    <w:semiHidden/>
    <w:rsid w:val="00122773"/>
    <w:rPr>
      <w:rFonts w:ascii="Times New Roman" w:eastAsia="宋体" w:hAnsi="Times New Roman" w:cs="Times New Roman"/>
      <w:kern w:val="2"/>
      <w:sz w:val="21"/>
      <w:szCs w:val="24"/>
    </w:rPr>
  </w:style>
  <w:style w:type="character" w:customStyle="1" w:styleId="a4">
    <w:name w:val="批注文字 字符"/>
    <w:basedOn w:val="a0"/>
    <w:link w:val="a3"/>
    <w:uiPriority w:val="99"/>
    <w:semiHidden/>
    <w:rsid w:val="00122773"/>
    <w:rPr>
      <w:rFonts w:ascii="Times New Roman" w:eastAsia="宋体" w:hAnsi="Times New Roman" w:cs="Times New Roman"/>
      <w:sz w:val="21"/>
      <w:szCs w:val="24"/>
    </w:rPr>
  </w:style>
  <w:style w:type="character" w:customStyle="1" w:styleId="af0">
    <w:name w:val="批注主题 字符"/>
    <w:basedOn w:val="a4"/>
    <w:link w:val="af"/>
    <w:uiPriority w:val="99"/>
    <w:semiHidden/>
    <w:rsid w:val="00122773"/>
    <w:rPr>
      <w:rFonts w:ascii="Times New Roman" w:eastAsia="宋体" w:hAnsi="Times New Roman" w:cs="Times New Roman"/>
      <w:b/>
      <w:bCs/>
      <w:sz w:val="21"/>
      <w:szCs w:val="24"/>
    </w:rPr>
  </w:style>
  <w:style w:type="character" w:customStyle="1" w:styleId="a6">
    <w:name w:val="日期 字符"/>
    <w:basedOn w:val="a0"/>
    <w:link w:val="a5"/>
    <w:uiPriority w:val="99"/>
    <w:semiHidden/>
    <w:rsid w:val="00122773"/>
    <w:rPr>
      <w:rFonts w:ascii="Times New Roman" w:eastAsia="宋体" w:hAnsi="Times New Roman" w:cs="Times New Roman"/>
      <w:sz w:val="21"/>
      <w:szCs w:val="24"/>
    </w:rPr>
  </w:style>
  <w:style w:type="paragraph" w:customStyle="1" w:styleId="21">
    <w:name w:val="修订2"/>
    <w:hidden/>
    <w:uiPriority w:val="99"/>
    <w:semiHidden/>
    <w:rsid w:val="0012277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1A7A-001C-46B8-9F99-BD91C584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s201004022@163.com</cp:lastModifiedBy>
  <cp:revision>8</cp:revision>
  <cp:lastPrinted>2022-08-24T02:26:00Z</cp:lastPrinted>
  <dcterms:created xsi:type="dcterms:W3CDTF">2022-08-18T02:18:00Z</dcterms:created>
  <dcterms:modified xsi:type="dcterms:W3CDTF">2023-01-28T03:33:00Z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428017131C834F39A55234A1BDBFB035</vt:lpwstr>
  </property>
</Properties>
</file>