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住房和城乡建设部关于落实建设单位工程质量首要责任的通知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000013338/2020-00351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建质规〔2020〕9号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住房和城乡建设部关于落实建设单位工程质量首要责任的通知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