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eastAsia="仿宋_GB2312" w:cs="Times New Roman"/>
          <w:snapToGrid w:val="0"/>
          <w:spacing w:val="0"/>
          <w:kern w:val="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延续或晋升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一级资质评审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  <w:lang w:eastAsia="zh-CN"/>
        </w:rPr>
        <w:t>待定</w:t>
      </w: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color w:val="000000"/>
          <w:spacing w:val="0"/>
          <w:kern w:val="0"/>
          <w:sz w:val="36"/>
          <w:szCs w:val="36"/>
        </w:rPr>
        <w:t>房地产开发企业名单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pacing w:val="0"/>
          <w:kern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1.北京永同昌房地产开发集团有限公司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2.天津滨海新区建投房地产开发有限公司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3.河北润江房地产开发有限公司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4.张家口市大好河山房地产开发有限公司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5.巴彦淖尔市馨禾房地产开发有限责任公司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6.中铁房地产集团东北有限公司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7.常州嘉宏房地产开发有限公司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8.浙江省交投控股集团有限公司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9.舟山绿城乐居建设管理有限公司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10.福建金宜房地产开发有限公司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11.菏泽凯兴置业有限公司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12.菏泽盛源建设发展有限公司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13.临沂城市发展集团有限公司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14.青岛国信建设投资有限公司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15.潍坊市中昊佳信城市发展集团有限公司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16.濮阳市建润置业有限公司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17.广州城市更新集团有限公司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18.金融街重庆置业有限公司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19.重庆怡置房地产开发有限公司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20.成都金手艺房地产开发有限公司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21.四川恒邦双林实业集团有限公司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22.四川鑫洋投资集团有限公司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sz w:val="32"/>
          <w:szCs w:val="32"/>
          <w:lang w:eastAsia="zh-CN"/>
        </w:rPr>
        <w:t>23.德宏华江房地产开发有限公司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00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2023-05-23T08:33:18Z</dcterms:created>
  <dc:creator>yanglinyi</dc:creator>
  <cp:lastModifiedBy>tinykerman</cp:lastModifiedBy>
  <dcterms:modified xsi:type="dcterms:W3CDTF">2023-05-23T08:33:21Z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551C9F1E05934482AA437C9ED1E56C41_12</vt:lpwstr>
  </property>
</Properties>
</file>