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35"/>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ascii="黑体" w:hAnsi="黑体" w:eastAsia="黑体"/>
                <w:sz w:val="21"/>
                <w:szCs w:val="21"/>
              </w:rPr>
            </w:pPr>
            <w:bookmarkStart w:id="80" w:name="_GoBack"/>
            <w:bookmarkEnd w:id="80"/>
            <w:r>
              <w:rPr>
                <w:rFonts w:ascii="Times New Roman" w:hAnsi="Times New Roman" w:eastAsia="黑体"/>
                <w:sz w:val="21"/>
                <w:szCs w:val="21"/>
              </w:rPr>
              <w:t>ICS</w:t>
            </w:r>
          </w:p>
        </w:tc>
        <w:tc>
          <w:tcPr>
            <w:tcW w:w="8855" w:type="dxa"/>
          </w:tcPr>
          <w:p>
            <w:pPr>
              <w:pStyle w:val="19"/>
              <w:framePr w:wrap="notBeside" w:vAnchor="page" w:hAnchor="page" w:x="1372" w:y="568"/>
              <w:tabs>
                <w:tab w:val="clear" w:pos="4153"/>
                <w:tab w:val="clear" w:pos="8306"/>
              </w:tabs>
              <w:spacing w:line="240" w:lineRule="auto"/>
              <w:ind w:left="3"/>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03.080.01</w:t>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p>
        </w:tc>
        <w:tc>
          <w:tcPr>
            <w:tcW w:w="8855"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A</w:t>
            </w:r>
            <w:r>
              <w:rPr>
                <w:rFonts w:hint="eastAsia" w:ascii="黑体" w:hAnsi="黑体" w:eastAsia="黑体"/>
                <w:sz w:val="21"/>
                <w:szCs w:val="21"/>
              </w:rPr>
              <w:t>12</w:t>
            </w:r>
            <w:r>
              <w:rPr>
                <w:rFonts w:ascii="黑体" w:hAnsi="黑体" w:eastAsia="黑体"/>
                <w:sz w:val="21"/>
                <w:szCs w:val="21"/>
              </w:rPr>
              <w:fldChar w:fldCharType="end"/>
            </w:r>
            <w:bookmarkEnd w:id="1"/>
          </w:p>
        </w:tc>
      </w:tr>
    </w:tbl>
    <w:tbl>
      <w:tblPr>
        <w:tblStyle w:val="35"/>
        <w:tblpPr w:leftFromText="181" w:rightFromText="181" w:horzAnchor="margin" w:tblpX="3857" w:tblpY="568"/>
        <w:tblW w:w="4990" w:type="dxa"/>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4990"/>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1128" w:hRule="atLeast"/>
        </w:trPr>
        <w:tc>
          <w:tcPr>
            <w:tcW w:w="4990" w:type="dxa"/>
          </w:tcPr>
          <w:p>
            <w:pPr>
              <w:pStyle w:val="51"/>
              <w:framePr w:w="0" w:hRule="auto" w:wrap="auto" w:vAnchor="margin" w:hAnchor="text" w:xAlign="left" w:yAlign="inline"/>
              <w:ind w:firstLine="420"/>
            </w:pPr>
            <w:bookmarkStart w:id="2" w:name="_Hlk26473981"/>
            <w:r>
              <w:fldChar w:fldCharType="begin">
                <w:ffData>
                  <w:name w:val="c1"/>
                  <w:enabled/>
                  <w:calcOnExit w:val="0"/>
                  <w:textInput>
                    <w:maxLength w:val="8"/>
                  </w:textInput>
                </w:ffData>
              </w:fldChar>
            </w:r>
            <w:bookmarkStart w:id="3" w:name="c1"/>
            <w:r>
              <w:instrText xml:space="preserve"> FORMTEXT </w:instrText>
            </w:r>
            <w:r>
              <w:fldChar w:fldCharType="separate"/>
            </w:r>
            <w:r>
              <w:t>CJ</w:t>
            </w:r>
            <w:r>
              <w:fldChar w:fldCharType="end"/>
            </w:r>
            <w:bookmarkEnd w:id="3"/>
          </w:p>
        </w:tc>
      </w:tr>
    </w:tbl>
    <w:p>
      <w:pPr>
        <w:pStyle w:val="52"/>
        <w:framePr w:w="9639" w:h="624" w:hRule="exact" w:hSpace="181" w:vSpace="181" w:hAnchor="page" w:x="1305" w:y="2269"/>
        <w:rPr>
          <w:rFonts w:ascii="黑体" w:hAnsi="黑体" w:eastAsia="黑体"/>
          <w:b w:val="0"/>
          <w:bCs w:val="0"/>
          <w:w w:val="100"/>
          <w:sz w:val="48"/>
          <w:szCs w:val="48"/>
        </w:rPr>
      </w:pPr>
      <w:r>
        <w:rPr>
          <w:rFonts w:hint="eastAsia" w:ascii="黑体" w:hAnsi="黑体" w:eastAsia="黑体"/>
          <w:b w:val="0"/>
          <w:bCs w:val="0"/>
          <w:w w:val="100"/>
          <w:sz w:val="48"/>
          <w:szCs w:val="48"/>
        </w:rPr>
        <w:t>中华人民共和国</w:t>
      </w:r>
      <w:r>
        <w:rPr>
          <w:rFonts w:ascii="黑体" w:eastAsia="黑体"/>
          <w:b w:val="0"/>
          <w:bCs w:val="0"/>
          <w:w w:val="100"/>
          <w:sz w:val="48"/>
        </w:rPr>
        <w:fldChar w:fldCharType="begin">
          <w:ffData>
            <w:name w:val="c2"/>
            <w:enabled/>
            <w:calcOnExit w:val="0"/>
            <w:textInput/>
          </w:ffData>
        </w:fldChar>
      </w:r>
      <w:bookmarkStart w:id="4" w:name="c2"/>
      <w:r>
        <w:rPr>
          <w:rFonts w:ascii="黑体" w:eastAsia="黑体"/>
          <w:b w:val="0"/>
          <w:bCs w:val="0"/>
          <w:w w:val="100"/>
          <w:sz w:val="48"/>
        </w:rPr>
        <w:instrText xml:space="preserve"> FORMTEXT </w:instrText>
      </w:r>
      <w:r>
        <w:rPr>
          <w:rFonts w:ascii="黑体" w:eastAsia="黑体"/>
          <w:b w:val="0"/>
          <w:bCs w:val="0"/>
          <w:w w:val="100"/>
          <w:sz w:val="48"/>
        </w:rPr>
        <w:fldChar w:fldCharType="separate"/>
      </w:r>
      <w:r>
        <w:rPr>
          <w:rFonts w:ascii="黑体" w:eastAsia="黑体"/>
          <w:b w:val="0"/>
          <w:bCs w:val="0"/>
          <w:w w:val="100"/>
          <w:sz w:val="48"/>
        </w:rPr>
        <w:t>城镇建设</w:t>
      </w:r>
      <w:r>
        <w:rPr>
          <w:rFonts w:ascii="黑体" w:eastAsia="黑体"/>
          <w:b w:val="0"/>
          <w:bCs w:val="0"/>
          <w:w w:val="100"/>
          <w:sz w:val="48"/>
        </w:rPr>
        <w:fldChar w:fldCharType="end"/>
      </w:r>
      <w:bookmarkEnd w:id="4"/>
      <w:r>
        <w:rPr>
          <w:rFonts w:hint="eastAsia" w:ascii="黑体" w:hAnsi="黑体" w:eastAsia="黑体"/>
          <w:b w:val="0"/>
          <w:bCs w:val="0"/>
          <w:w w:val="100"/>
          <w:sz w:val="48"/>
          <w:szCs w:val="48"/>
        </w:rPr>
        <w:t>行业标准</w:t>
      </w:r>
    </w:p>
    <w:bookmarkEnd w:id="2"/>
    <w:p>
      <w:pPr>
        <w:pStyle w:val="197"/>
        <w:rPr>
          <w:lang w:val="fr-FR"/>
        </w:rPr>
      </w:pP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fldChar w:fldCharType="begin">
          <w:ffData>
            <w:name w:val="NSTD_CODE_F"/>
            <w:enabled/>
            <w:calcOnExit w:val="0"/>
            <w:textInput>
              <w:default w:val="XXXXX"/>
            </w:textInput>
          </w:ffData>
        </w:fldChar>
      </w:r>
      <w:bookmarkStart w:id="6" w:name="NSTD_CODE_F"/>
      <w:r>
        <w:rPr>
          <w:lang w:val="fr-FR"/>
        </w:rPr>
        <w:instrText xml:space="preserve"> FORMTEXT </w:instrText>
      </w:r>
      <w:r>
        <w:fldChar w:fldCharType="separate"/>
      </w:r>
      <w:r>
        <w:rPr>
          <w:lang w:val="fr-FR"/>
        </w:rPr>
        <w:t>XXXXX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8"/>
        <w:rPr>
          <w:rFonts w:hAnsi="黑体"/>
          <w:lang w:val="fr-FR"/>
        </w:rPr>
      </w:pPr>
      <w:r>
        <w:rPr>
          <w:rFonts w:hAnsi="黑体"/>
        </w:rPr>
        <w:fldChar w:fldCharType="begin">
          <w:ffData>
            <w:name w:val="OSTD_CODE"/>
            <w:enabled/>
            <w:calcOnExit w:val="0"/>
            <w:textInput/>
          </w:ffData>
        </w:fldChar>
      </w:r>
      <w:bookmarkStart w:id="8" w:name="OSTD_CODE"/>
      <w:r>
        <w:rPr>
          <w:rFonts w:hAnsi="黑体"/>
          <w:lang w:val="fr-FR"/>
        </w:rPr>
        <w:instrText xml:space="preserve"> FORMTEXT </w:instrText>
      </w:r>
      <w:r>
        <w:rPr>
          <w:rFonts w:hAnsi="黑体"/>
        </w:rPr>
        <w:fldChar w:fldCharType="separate"/>
      </w:r>
      <w:r>
        <w:rPr>
          <w:rFonts w:hAnsi="黑体"/>
        </w:rPr>
        <w:t>代替</w:t>
      </w:r>
      <w:r>
        <w:rPr>
          <w:rFonts w:hAnsi="黑体"/>
          <w:lang w:val="fr-FR"/>
        </w:rPr>
        <w:t xml:space="preserve"> XX/T</w:t>
      </w:r>
      <w:r>
        <w:rPr>
          <w:rFonts w:hAnsi="黑体"/>
        </w:rPr>
        <w:fldChar w:fldCharType="end"/>
      </w:r>
      <w:bookmarkEnd w:id="8"/>
    </w:p>
    <w:p>
      <w:pPr>
        <w:spacing w:line="240" w:lineRule="auto"/>
        <w:rPr>
          <w:rFonts w:ascii="黑体" w:hAnsi="黑体" w:eastAsia="黑体"/>
          <w:kern w:val="0"/>
          <w:sz w:val="10"/>
          <w:szCs w:val="10"/>
          <w:lang w:val="fr-FR"/>
        </w:rPr>
      </w:pPr>
      <w:r>
        <w:rPr>
          <w:rFonts w:ascii="黑体" w:hAnsi="黑体" w:eastAsia="黑体"/>
          <w:kern w:val="0"/>
          <w:sz w:val="10"/>
          <w:szCs w:val="10"/>
        </w:rPr>
        <w:pict>
          <v:line id="直接连接符 73" o:spid="_x0000_s1027" o:spt="20" style="position:absolute;left:0pt;margin-left:70.9pt;margin-top:212.65pt;height:0pt;width:481.9pt;mso-position-horizontal-relative:page;mso-position-vertical-relative:page;z-index:251660288;mso-width-relative:page;mso-height-relative:page;" coordsize="21600,21600"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v:path arrowok="t"/>
            <v:fill focussize="0,0"/>
            <v:stroke/>
            <v:imagedata o:title=""/>
            <o:lock v:ext="edit"/>
          </v:line>
        </w:pict>
      </w:r>
    </w:p>
    <w:p>
      <w:pPr>
        <w:pStyle w:val="52"/>
        <w:framePr w:w="9639" w:h="6976" w:hRule="exact" w:hSpace="0" w:vSpace="0" w:hAnchor="page" w:y="6408"/>
        <w:jc w:val="center"/>
        <w:rPr>
          <w:rFonts w:ascii="黑体" w:hAnsi="黑体" w:eastAsia="黑体"/>
          <w:b w:val="0"/>
          <w:bCs w:val="0"/>
          <w:w w:val="100"/>
          <w:lang w:val="fr-FR"/>
        </w:rPr>
      </w:pPr>
    </w:p>
    <w:p>
      <w:pPr>
        <w:pStyle w:val="199"/>
        <w:framePr w:h="6974" w:hRule="exact" w:x="1419" w:anchorLock="1"/>
        <w:rPr>
          <w:lang w:val="fr-FR"/>
        </w:rPr>
      </w:pPr>
      <w:r>
        <w:fldChar w:fldCharType="begin">
          <w:ffData>
            <w:name w:val="CSTD_NAME"/>
            <w:enabled/>
            <w:calcOnExit w:val="0"/>
            <w:textInput>
              <w:default w:val="点击此处添加标准名称"/>
            </w:textInput>
          </w:ffData>
        </w:fldChar>
      </w:r>
      <w:bookmarkStart w:id="9" w:name="CSTD_NAME"/>
      <w:r>
        <w:rPr>
          <w:lang w:val="fr-FR"/>
        </w:rPr>
        <w:instrText xml:space="preserve"> FORMTEXT </w:instrText>
      </w:r>
      <w:r>
        <w:fldChar w:fldCharType="separate"/>
      </w:r>
      <w:r>
        <w:rPr>
          <w:rFonts w:hint="eastAsia"/>
        </w:rPr>
        <w:t>住房公积金服务标准</w:t>
      </w:r>
      <w:r>
        <w:fldChar w:fldCharType="end"/>
      </w:r>
      <w:bookmarkEnd w:id="9"/>
    </w:p>
    <w:p>
      <w:pPr>
        <w:framePr w:w="9639" w:h="6974" w:hRule="exact" w:wrap="around" w:vAnchor="page" w:hAnchor="page" w:x="1419" w:y="6408" w:anchorLock="1"/>
        <w:ind w:left="-1418"/>
        <w:rPr>
          <w:lang w:val="fr-FR"/>
        </w:rPr>
      </w:pPr>
    </w:p>
    <w:p>
      <w:pPr>
        <w:pStyle w:val="127"/>
        <w:framePr w:w="9639" w:h="6974" w:hRule="exact" w:wrap="around" w:vAnchor="page" w:hAnchor="page" w:x="1419" w:y="6408" w:anchorLock="1"/>
        <w:textAlignment w:val="bottom"/>
        <w:rPr>
          <w:rFonts w:eastAsia="黑体"/>
          <w:szCs w:val="28"/>
        </w:rPr>
      </w:pPr>
      <w:bookmarkStart w:id="10" w:name="ESTD_NAME"/>
      <w:r>
        <w:rPr>
          <w:rFonts w:eastAsia="黑体"/>
          <w:szCs w:val="28"/>
        </w:rPr>
        <w:fldChar w:fldCharType="begin">
          <w:ffData>
            <w:name w:val="ESTD_NAME"/>
            <w:enabled/>
            <w:calcOnExit w:val="0"/>
            <w:textInput>
              <w:default w:val="Service Standard for Housing Provident Fund"/>
            </w:textInput>
          </w:ffData>
        </w:fldChar>
      </w:r>
      <w:r>
        <w:rPr>
          <w:rFonts w:eastAsia="黑体"/>
          <w:szCs w:val="28"/>
        </w:rPr>
        <w:instrText xml:space="preserve"> FORMTEXT </w:instrText>
      </w:r>
      <w:r>
        <w:rPr>
          <w:rFonts w:eastAsia="黑体"/>
          <w:szCs w:val="28"/>
        </w:rPr>
        <w:fldChar w:fldCharType="separate"/>
      </w:r>
      <w:r>
        <w:rPr>
          <w:rFonts w:eastAsia="黑体"/>
          <w:szCs w:val="28"/>
        </w:rPr>
        <w:t>Service Standard for Housing Provident Fund</w:t>
      </w:r>
      <w:r>
        <w:rPr>
          <w:rFonts w:eastAsia="黑体"/>
          <w:szCs w:val="28"/>
        </w:rPr>
        <w:fldChar w:fldCharType="end"/>
      </w:r>
      <w:bookmarkEnd w:id="10"/>
    </w:p>
    <w:p>
      <w:pPr>
        <w:framePr w:w="9639" w:h="6974" w:hRule="exact" w:wrap="around" w:vAnchor="page" w:hAnchor="page" w:x="1419" w:y="6408" w:anchorLock="1"/>
        <w:spacing w:line="760" w:lineRule="exact"/>
        <w:ind w:left="-1418"/>
      </w:pPr>
    </w:p>
    <w:p>
      <w:pPr>
        <w:pStyle w:val="127"/>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7"/>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pPr>
        <w:pStyle w:val="195"/>
        <w:framePr w:y="14176"/>
      </w:pPr>
      <w:r>
        <w:rPr>
          <w:rFonts w:ascii="黑体"/>
        </w:rPr>
        <w:fldChar w:fldCharType="begin">
          <w:ffData>
            <w:name w:val="PLSH_DATE_Y"/>
            <w:enabled/>
            <w:calcOnExit w:val="0"/>
            <w:textInput>
              <w:default w:val="XXXX"/>
              <w:maxLength w:val="4"/>
            </w:textInput>
          </w:ffData>
        </w:fldChar>
      </w:r>
      <w:bookmarkStart w:id="13"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3"/>
      <w:r>
        <w:rPr>
          <w:rFonts w:ascii="黑体"/>
        </w:rPr>
        <w:t>-</w:t>
      </w:r>
      <w:r>
        <w:rPr>
          <w:rFonts w:ascii="黑体"/>
        </w:rPr>
        <w:fldChar w:fldCharType="begin">
          <w:ffData>
            <w:name w:val="PLSH_DATE_M"/>
            <w:enabled/>
            <w:calcOnExit w:val="0"/>
            <w:textInput>
              <w:default w:val="XX"/>
              <w:maxLength w:val="2"/>
            </w:textInput>
          </w:ffData>
        </w:fldChar>
      </w:r>
      <w:bookmarkStart w:id="14"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ascii="黑体"/>
        </w:rPr>
        <w:t>-</w:t>
      </w:r>
      <w:r>
        <w:rPr>
          <w:rFonts w:ascii="黑体"/>
        </w:rPr>
        <w:fldChar w:fldCharType="begin">
          <w:ffData>
            <w:name w:val="PLSH_DATE_D"/>
            <w:enabled/>
            <w:calcOnExit w:val="0"/>
            <w:textInput>
              <w:default w:val="XX"/>
              <w:maxLength w:val="2"/>
            </w:textInput>
          </w:ffData>
        </w:fldChar>
      </w:r>
      <w:bookmarkStart w:id="15"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rPr>
          <w:rFonts w:hint="eastAsia"/>
        </w:rPr>
        <w:t>发布</w:t>
      </w:r>
    </w:p>
    <w:p>
      <w:pPr>
        <w:pStyle w:val="196"/>
        <w:framePr w:y="14176"/>
      </w:pPr>
      <w:r>
        <w:rPr>
          <w:rFonts w:ascii="黑体"/>
        </w:rPr>
        <w:fldChar w:fldCharType="begin">
          <w:ffData>
            <w:name w:val="CROT_DATE_Y"/>
            <w:enabled/>
            <w:calcOnExit w:val="0"/>
            <w:textInput>
              <w:default w:val="XXXX"/>
              <w:maxLength w:val="4"/>
            </w:textInput>
          </w:ffData>
        </w:fldChar>
      </w:r>
      <w:bookmarkStart w:id="16"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6"/>
      <w:r>
        <w:rPr>
          <w:rFonts w:ascii="黑体"/>
        </w:rPr>
        <w:t>-</w:t>
      </w:r>
      <w:r>
        <w:rPr>
          <w:rFonts w:ascii="黑体"/>
        </w:rPr>
        <w:fldChar w:fldCharType="begin">
          <w:ffData>
            <w:name w:val="CROT_DATE_M"/>
            <w:enabled/>
            <w:calcOnExit w:val="0"/>
            <w:textInput>
              <w:default w:val="XX"/>
              <w:maxLength w:val="2"/>
            </w:textInput>
          </w:ffData>
        </w:fldChar>
      </w:r>
      <w:bookmarkStart w:id="17"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ascii="黑体"/>
        </w:rPr>
        <w:t>-</w:t>
      </w:r>
      <w:r>
        <w:rPr>
          <w:rFonts w:ascii="黑体"/>
        </w:rPr>
        <w:fldChar w:fldCharType="begin">
          <w:ffData>
            <w:name w:val="CROT_DATE_D"/>
            <w:enabled/>
            <w:calcOnExit w:val="0"/>
            <w:textInput>
              <w:default w:val="XX"/>
              <w:maxLength w:val="2"/>
            </w:textInput>
          </w:ffData>
        </w:fldChar>
      </w:r>
      <w:bookmarkStart w:id="18"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rPr>
          <w:rFonts w:hint="eastAsia"/>
        </w:rPr>
        <w:t>实施</w:t>
      </w:r>
    </w:p>
    <w:p>
      <w:pPr>
        <w:pStyle w:val="153"/>
        <w:framePr w:h="584" w:hRule="exact" w:hSpace="181" w:vSpace="181" w:y="14800"/>
        <w:rPr>
          <w:rFonts w:hAnsi="黑体"/>
        </w:rPr>
      </w:pPr>
      <w:r>
        <w:rPr>
          <w:rFonts w:hAnsi="黑体"/>
          <w:w w:val="100"/>
          <w:sz w:val="28"/>
        </w:rPr>
        <w:fldChar w:fldCharType="begin">
          <w:ffData>
            <w:name w:val="fm"/>
            <w:enabled/>
            <w:calcOnExit w:val="0"/>
            <w:textInput/>
          </w:ffData>
        </w:fldChar>
      </w:r>
      <w:bookmarkStart w:id="19" w:name="fm"/>
      <w:r>
        <w:rPr>
          <w:rFonts w:hAnsi="黑体"/>
          <w:w w:val="100"/>
          <w:sz w:val="28"/>
        </w:rPr>
        <w:instrText xml:space="preserve"> FORMTEXT </w:instrText>
      </w:r>
      <w:r>
        <w:rPr>
          <w:rFonts w:hAnsi="黑体"/>
          <w:w w:val="100"/>
          <w:sz w:val="28"/>
        </w:rPr>
        <w:fldChar w:fldCharType="separate"/>
      </w:r>
      <w:r>
        <w:rPr>
          <w:rFonts w:hint="eastAsia" w:hAnsi="黑体"/>
          <w:w w:val="100"/>
          <w:sz w:val="28"/>
        </w:rPr>
        <w:t>中华人民共和国住房和城乡建设部</w:t>
      </w:r>
      <w:r>
        <w:rPr>
          <w:rFonts w:hAnsi="黑体"/>
          <w:w w:val="100"/>
          <w:sz w:val="28"/>
        </w:rPr>
        <w:fldChar w:fldCharType="end"/>
      </w:r>
      <w:bookmarkEnd w:id="19"/>
      <w:r>
        <w:rPr>
          <w:rFonts w:ascii="Times New Roman"/>
          <w:w w:val="100"/>
          <w:sz w:val="28"/>
          <w:szCs w:val="28"/>
        </w:rPr>
        <w:t>  </w:t>
      </w:r>
      <w:r>
        <w:rPr>
          <w:rStyle w:val="231"/>
          <w:rFonts w:hint="eastAsia" w:hAnsi="黑体"/>
          <w:position w:val="0"/>
        </w:rPr>
        <w:t>发</w:t>
      </w:r>
      <w:r>
        <w:rPr>
          <w:rStyle w:val="231"/>
          <w:rFonts w:hint="eastAsia" w:hAnsi="黑体"/>
          <w:spacing w:val="0"/>
          <w:position w:val="0"/>
        </w:rPr>
        <w:t>布</w:t>
      </w:r>
    </w:p>
    <w:p>
      <w:pPr>
        <w:rPr>
          <w:rFonts w:ascii="宋体" w:hAnsi="宋体"/>
          <w:sz w:val="28"/>
          <w:szCs w:val="28"/>
        </w:rPr>
        <w:sectPr>
          <w:headerReference r:id="rId5" w:type="first"/>
          <w:footerReference r:id="rId8" w:type="first"/>
          <w:headerReference r:id="rId3" w:type="default"/>
          <w:footerReference r:id="rId6" w:type="default"/>
          <w:headerReference r:id="rId4" w:type="even"/>
          <w:footerReference r:id="rId7" w:type="even"/>
          <w:type w:val="continuous"/>
          <w:pgSz w:w="11906" w:h="16838"/>
          <w:pgMar w:top="567" w:right="1134" w:bottom="1021" w:left="1134" w:header="1418" w:footer="1134" w:gutter="284"/>
          <w:cols w:space="425" w:num="1"/>
          <w:titlePg/>
          <w:docGrid w:linePitch="312" w:charSpace="0"/>
        </w:sectPr>
      </w:pPr>
      <w:r>
        <w:rPr>
          <w:rFonts w:ascii="宋体" w:hAnsi="宋体"/>
          <w:sz w:val="28"/>
          <w:szCs w:val="28"/>
        </w:rPr>
        <w:pict>
          <v:line id="直接连接符 5" o:spid="_x0000_s1026" o:spt="20" style="position:absolute;left:0pt;margin-left:70.85pt;margin-top:728.6pt;height:0pt;width:481.9pt;mso-position-horizontal-relative:page;mso-position-vertical-relative:page;z-index:251663360;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v:path arrowok="t"/>
            <v:fill focussize="0,0"/>
            <v:stroke/>
            <v:imagedata o:title=""/>
            <o:lock v:ext="edit"/>
            <w10:anchorlock/>
          </v:line>
        </w:pict>
      </w:r>
    </w:p>
    <w:p>
      <w:pPr>
        <w:pStyle w:val="93"/>
        <w:spacing w:after="360"/>
      </w:pPr>
      <w:bookmarkStart w:id="20" w:name="BookMark1"/>
      <w:r>
        <w:rPr>
          <w:rFonts w:hint="eastAsia"/>
          <w:spacing w:val="320"/>
        </w:rPr>
        <w:t>目</w:t>
      </w:r>
      <w:r>
        <w:rPr>
          <w:rFonts w:hint="eastAsia"/>
        </w:rPr>
        <w:t>次</w:t>
      </w:r>
    </w:p>
    <w:p>
      <w:pPr>
        <w:pStyle w:val="20"/>
        <w:tabs>
          <w:tab w:val="right" w:leader="dot" w:pos="9344"/>
        </w:tabs>
        <w:rPr>
          <w:rFonts w:asciiTheme="minorHAnsi" w:hAnsiTheme="minorHAnsi" w:eastAsiaTheme="minorEastAsia" w:cstheme="minorBidi"/>
          <w:szCs w:val="22"/>
        </w:rPr>
      </w:pPr>
      <w:r>
        <w:fldChar w:fldCharType="begin"/>
      </w:r>
      <w:r>
        <w:rPr>
          <w:rFonts w:hint="eastAsia"/>
        </w:rPr>
        <w:instrText xml:space="preserve">TOC \o "1-1" \h \t "标准文件_一级条标题,2,标准文件_附录一级条标题,2,"</w:instrText>
      </w:r>
      <w:r>
        <w:fldChar w:fldCharType="separate"/>
      </w:r>
      <w:r>
        <w:fldChar w:fldCharType="begin"/>
      </w:r>
      <w:r>
        <w:instrText xml:space="preserve"> HYPERLINK \l "_Toc141082910" </w:instrText>
      </w:r>
      <w:r>
        <w:fldChar w:fldCharType="separate"/>
      </w:r>
      <w:r>
        <w:rPr>
          <w:rStyle w:val="32"/>
          <w:rFonts w:hint="eastAsia"/>
          <w:spacing w:val="320"/>
        </w:rPr>
        <w:t>前</w:t>
      </w:r>
      <w:r>
        <w:rPr>
          <w:rStyle w:val="32"/>
          <w:rFonts w:hint="eastAsia"/>
        </w:rPr>
        <w:t>言</w:t>
      </w:r>
      <w:r>
        <w:tab/>
      </w:r>
      <w:r>
        <w:fldChar w:fldCharType="begin"/>
      </w:r>
      <w:r>
        <w:instrText xml:space="preserve"> PAGEREF _Toc141082910 \h </w:instrText>
      </w:r>
      <w:r>
        <w:fldChar w:fldCharType="separate"/>
      </w:r>
      <w:r>
        <w:t>II</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"_Toc141082911" </w:instrText>
      </w:r>
      <w:r>
        <w:fldChar w:fldCharType="separate"/>
      </w:r>
      <w:r>
        <w:rPr>
          <w:rStyle w:val="32"/>
        </w:rPr>
        <w:t>1</w:t>
      </w:r>
      <w:r>
        <w:rPr>
          <w:rStyle w:val="32"/>
          <w:rFonts w:hint="eastAsia"/>
        </w:rPr>
        <w:t xml:space="preserve"> 范围</w:t>
      </w:r>
      <w:r>
        <w:tab/>
      </w:r>
      <w:r>
        <w:fldChar w:fldCharType="begin"/>
      </w:r>
      <w:r>
        <w:instrText xml:space="preserve"> PAGEREF _Toc141082911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"_Toc141082912" </w:instrText>
      </w:r>
      <w:r>
        <w:fldChar w:fldCharType="separate"/>
      </w:r>
      <w:r>
        <w:rPr>
          <w:rStyle w:val="32"/>
        </w:rPr>
        <w:t>2</w:t>
      </w:r>
      <w:r>
        <w:rPr>
          <w:rStyle w:val="32"/>
          <w:rFonts w:hint="eastAsia"/>
        </w:rPr>
        <w:t xml:space="preserve"> 规范性引用文件</w:t>
      </w:r>
      <w:r>
        <w:tab/>
      </w:r>
      <w:r>
        <w:fldChar w:fldCharType="begin"/>
      </w:r>
      <w:r>
        <w:instrText xml:space="preserve"> PAGEREF _Toc141082912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"_Toc141082913" </w:instrText>
      </w:r>
      <w:r>
        <w:fldChar w:fldCharType="separate"/>
      </w:r>
      <w:r>
        <w:rPr>
          <w:rStyle w:val="32"/>
        </w:rPr>
        <w:t>3</w:t>
      </w:r>
      <w:r>
        <w:rPr>
          <w:rStyle w:val="32"/>
          <w:rFonts w:hint="eastAsia"/>
        </w:rPr>
        <w:t xml:space="preserve"> 术语和定义</w:t>
      </w:r>
      <w:r>
        <w:tab/>
      </w:r>
      <w:r>
        <w:fldChar w:fldCharType="begin"/>
      </w:r>
      <w:r>
        <w:instrText xml:space="preserve"> PAGEREF _Toc141082913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"_Toc141082914" </w:instrText>
      </w:r>
      <w:r>
        <w:fldChar w:fldCharType="separate"/>
      </w:r>
      <w:r>
        <w:rPr>
          <w:rStyle w:val="32"/>
        </w:rPr>
        <w:t>4</w:t>
      </w:r>
      <w:r>
        <w:rPr>
          <w:rStyle w:val="32"/>
          <w:rFonts w:hint="eastAsia"/>
        </w:rPr>
        <w:t xml:space="preserve"> 总体要求</w:t>
      </w:r>
      <w:r>
        <w:tab/>
      </w:r>
      <w:r>
        <w:fldChar w:fldCharType="begin"/>
      </w:r>
      <w:r>
        <w:instrText xml:space="preserve"> PAGEREF _Toc141082914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"_Toc141082915" </w:instrText>
      </w:r>
      <w:r>
        <w:fldChar w:fldCharType="separate"/>
      </w:r>
      <w:r>
        <w:rPr>
          <w:rStyle w:val="32"/>
        </w:rPr>
        <w:t>5</w:t>
      </w:r>
      <w:r>
        <w:rPr>
          <w:rStyle w:val="32"/>
          <w:rFonts w:hint="eastAsia"/>
        </w:rPr>
        <w:t xml:space="preserve"> 服务条件和内容</w:t>
      </w:r>
      <w:r>
        <w:tab/>
      </w:r>
      <w:r>
        <w:fldChar w:fldCharType="begin"/>
      </w:r>
      <w:r>
        <w:instrText xml:space="preserve"> PAGEREF _Toc141082915 \h </w:instrText>
      </w:r>
      <w:r>
        <w:fldChar w:fldCharType="separate"/>
      </w:r>
      <w:r>
        <w:t>1</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"_Toc141082916" </w:instrText>
      </w:r>
      <w:r>
        <w:fldChar w:fldCharType="separate"/>
      </w:r>
      <w:r>
        <w:rPr>
          <w:rStyle w:val="32"/>
        </w:rPr>
        <w:t>5.1</w:t>
      </w:r>
      <w:r>
        <w:rPr>
          <w:rStyle w:val="32"/>
          <w:rFonts w:hint="eastAsia"/>
        </w:rPr>
        <w:t xml:space="preserve"> 服务环境</w:t>
      </w:r>
      <w:r>
        <w:tab/>
      </w:r>
      <w:r>
        <w:fldChar w:fldCharType="begin"/>
      </w:r>
      <w:r>
        <w:instrText xml:space="preserve"> PAGEREF _Toc141082916 \h </w:instrText>
      </w:r>
      <w:r>
        <w:fldChar w:fldCharType="separate"/>
      </w:r>
      <w:r>
        <w:t>1</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"_Toc141082917" </w:instrText>
      </w:r>
      <w:r>
        <w:fldChar w:fldCharType="separate"/>
      </w:r>
      <w:r>
        <w:rPr>
          <w:rStyle w:val="32"/>
        </w:rPr>
        <w:t>5.2</w:t>
      </w:r>
      <w:r>
        <w:rPr>
          <w:rStyle w:val="32"/>
          <w:rFonts w:hint="eastAsia"/>
        </w:rPr>
        <w:t xml:space="preserve"> 服务人员</w:t>
      </w:r>
      <w:r>
        <w:tab/>
      </w:r>
      <w:r>
        <w:fldChar w:fldCharType="begin"/>
      </w:r>
      <w:r>
        <w:instrText xml:space="preserve"> PAGEREF _Toc141082917 \h </w:instrText>
      </w:r>
      <w:r>
        <w:fldChar w:fldCharType="separate"/>
      </w:r>
      <w:r>
        <w:t>2</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"_Toc141082918" </w:instrText>
      </w:r>
      <w:r>
        <w:fldChar w:fldCharType="separate"/>
      </w:r>
      <w:r>
        <w:rPr>
          <w:rStyle w:val="32"/>
        </w:rPr>
        <w:t>5.3</w:t>
      </w:r>
      <w:r>
        <w:rPr>
          <w:rStyle w:val="32"/>
          <w:rFonts w:hint="eastAsia"/>
        </w:rPr>
        <w:t xml:space="preserve"> 服务事项</w:t>
      </w:r>
      <w:r>
        <w:tab/>
      </w:r>
      <w:r>
        <w:fldChar w:fldCharType="begin"/>
      </w:r>
      <w:r>
        <w:instrText xml:space="preserve"> PAGEREF _Toc141082918 \h </w:instrText>
      </w:r>
      <w:r>
        <w:fldChar w:fldCharType="separate"/>
      </w:r>
      <w:r>
        <w:t>3</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"_Toc141082919" </w:instrText>
      </w:r>
      <w:r>
        <w:fldChar w:fldCharType="separate"/>
      </w:r>
      <w:r>
        <w:rPr>
          <w:rStyle w:val="32"/>
        </w:rPr>
        <w:t>5.4</w:t>
      </w:r>
      <w:r>
        <w:rPr>
          <w:rStyle w:val="32"/>
          <w:rFonts w:hint="eastAsia"/>
        </w:rPr>
        <w:t xml:space="preserve"> 服务渠道</w:t>
      </w:r>
      <w:r>
        <w:tab/>
      </w:r>
      <w:r>
        <w:fldChar w:fldCharType="begin"/>
      </w:r>
      <w:r>
        <w:instrText xml:space="preserve"> PAGEREF _Toc141082919 \h </w:instrText>
      </w:r>
      <w:r>
        <w:fldChar w:fldCharType="separate"/>
      </w:r>
      <w:r>
        <w:t>3</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"_Toc141082920" </w:instrText>
      </w:r>
      <w:r>
        <w:fldChar w:fldCharType="separate"/>
      </w:r>
      <w:r>
        <w:rPr>
          <w:rStyle w:val="32"/>
        </w:rPr>
        <w:t>5.5</w:t>
      </w:r>
      <w:r>
        <w:rPr>
          <w:rStyle w:val="32"/>
          <w:rFonts w:hint="eastAsia"/>
        </w:rPr>
        <w:t xml:space="preserve"> 服务要求</w:t>
      </w:r>
      <w:r>
        <w:tab/>
      </w:r>
      <w:r>
        <w:fldChar w:fldCharType="begin"/>
      </w:r>
      <w:r>
        <w:instrText xml:space="preserve"> PAGEREF _Toc141082920 \h </w:instrText>
      </w:r>
      <w:r>
        <w:fldChar w:fldCharType="separate"/>
      </w:r>
      <w:r>
        <w:t>3</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"_Toc141082921" </w:instrText>
      </w:r>
      <w:r>
        <w:fldChar w:fldCharType="separate"/>
      </w:r>
      <w:r>
        <w:rPr>
          <w:rStyle w:val="32"/>
        </w:rPr>
        <w:t>6</w:t>
      </w:r>
      <w:r>
        <w:rPr>
          <w:rStyle w:val="32"/>
          <w:rFonts w:hint="eastAsia"/>
        </w:rPr>
        <w:t xml:space="preserve"> 服务</w:t>
      </w:r>
      <w:r>
        <w:rPr>
          <w:rStyle w:val="32"/>
          <w:rFonts w:hint="eastAsia"/>
          <w:lang w:val="en-US" w:eastAsia="zh-CN"/>
        </w:rPr>
        <w:t>支撑和</w:t>
      </w:r>
      <w:r>
        <w:rPr>
          <w:rStyle w:val="32"/>
          <w:rFonts w:hint="eastAsia"/>
        </w:rPr>
        <w:t>保障</w:t>
      </w:r>
      <w:r>
        <w:tab/>
      </w:r>
      <w:r>
        <w:fldChar w:fldCharType="begin"/>
      </w:r>
      <w:r>
        <w:instrText xml:space="preserve"> PAGEREF _Toc141082921 \h </w:instrText>
      </w:r>
      <w:r>
        <w:fldChar w:fldCharType="separate"/>
      </w:r>
      <w:r>
        <w:t>5</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"_Toc141082922" </w:instrText>
      </w:r>
      <w:r>
        <w:fldChar w:fldCharType="separate"/>
      </w:r>
      <w:r>
        <w:rPr>
          <w:rStyle w:val="32"/>
        </w:rPr>
        <w:t>6.1</w:t>
      </w:r>
      <w:r>
        <w:rPr>
          <w:rStyle w:val="32"/>
          <w:rFonts w:hint="eastAsia"/>
        </w:rPr>
        <w:t xml:space="preserve"> 电子印（签）章</w:t>
      </w:r>
      <w:r>
        <w:tab/>
      </w:r>
      <w:r>
        <w:fldChar w:fldCharType="begin"/>
      </w:r>
      <w:r>
        <w:instrText xml:space="preserve"> PAGEREF _Toc141082922 \h </w:instrText>
      </w:r>
      <w:r>
        <w:fldChar w:fldCharType="separate"/>
      </w:r>
      <w:r>
        <w:t>5</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"_Toc141082923" </w:instrText>
      </w:r>
      <w:r>
        <w:fldChar w:fldCharType="separate"/>
      </w:r>
      <w:r>
        <w:rPr>
          <w:rStyle w:val="32"/>
        </w:rPr>
        <w:t>6.2</w:t>
      </w:r>
      <w:r>
        <w:rPr>
          <w:rStyle w:val="32"/>
          <w:rFonts w:hint="eastAsia"/>
        </w:rPr>
        <w:t xml:space="preserve"> 数据使用</w:t>
      </w:r>
      <w:r>
        <w:tab/>
      </w:r>
      <w:r>
        <w:fldChar w:fldCharType="begin"/>
      </w:r>
      <w:r>
        <w:instrText xml:space="preserve"> PAGEREF _Toc141082923 \h </w:instrText>
      </w:r>
      <w:r>
        <w:fldChar w:fldCharType="separate"/>
      </w:r>
      <w:r>
        <w:t>5</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"_Toc141082924" </w:instrText>
      </w:r>
      <w:r>
        <w:fldChar w:fldCharType="separate"/>
      </w:r>
      <w:r>
        <w:rPr>
          <w:rStyle w:val="32"/>
        </w:rPr>
        <w:t>6.3</w:t>
      </w:r>
      <w:r>
        <w:rPr>
          <w:rStyle w:val="32"/>
          <w:rFonts w:hint="eastAsia"/>
        </w:rPr>
        <w:t xml:space="preserve"> 智能应用</w:t>
      </w:r>
      <w:r>
        <w:tab/>
      </w:r>
      <w:r>
        <w:fldChar w:fldCharType="begin"/>
      </w:r>
      <w:r>
        <w:instrText xml:space="preserve"> PAGEREF _Toc141082924 \h </w:instrText>
      </w:r>
      <w:r>
        <w:fldChar w:fldCharType="separate"/>
      </w:r>
      <w:r>
        <w:t>5</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"_Toc141082925" </w:instrText>
      </w:r>
      <w:r>
        <w:fldChar w:fldCharType="separate"/>
      </w:r>
      <w:r>
        <w:rPr>
          <w:rStyle w:val="32"/>
        </w:rPr>
        <w:t>6.4</w:t>
      </w:r>
      <w:r>
        <w:rPr>
          <w:rStyle w:val="32"/>
          <w:rFonts w:hint="eastAsia"/>
        </w:rPr>
        <w:t xml:space="preserve"> 安全应急</w:t>
      </w:r>
      <w:r>
        <w:tab/>
      </w:r>
      <w:r>
        <w:fldChar w:fldCharType="begin"/>
      </w:r>
      <w:r>
        <w:instrText xml:space="preserve"> PAGEREF _Toc141082925 \h </w:instrText>
      </w:r>
      <w:r>
        <w:fldChar w:fldCharType="separate"/>
      </w:r>
      <w:r>
        <w:t>5</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"_Toc141082926" </w:instrText>
      </w:r>
      <w:r>
        <w:fldChar w:fldCharType="separate"/>
      </w:r>
      <w:r>
        <w:rPr>
          <w:rStyle w:val="32"/>
        </w:rPr>
        <w:t>6.5</w:t>
      </w:r>
      <w:r>
        <w:rPr>
          <w:rStyle w:val="32"/>
          <w:rFonts w:hint="eastAsia"/>
        </w:rPr>
        <w:t xml:space="preserve"> 档案管理</w:t>
      </w:r>
      <w:r>
        <w:tab/>
      </w:r>
      <w:r>
        <w:fldChar w:fldCharType="begin"/>
      </w:r>
      <w:r>
        <w:instrText xml:space="preserve"> PAGEREF _Toc141082926 \h </w:instrText>
      </w:r>
      <w:r>
        <w:fldChar w:fldCharType="separate"/>
      </w:r>
      <w:r>
        <w:t>6</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"_Toc141082927" </w:instrText>
      </w:r>
      <w:r>
        <w:fldChar w:fldCharType="separate"/>
      </w:r>
      <w:r>
        <w:rPr>
          <w:rStyle w:val="32"/>
        </w:rPr>
        <w:t>7</w:t>
      </w:r>
      <w:r>
        <w:rPr>
          <w:rStyle w:val="32"/>
          <w:rFonts w:hint="eastAsia"/>
        </w:rPr>
        <w:t xml:space="preserve"> 服务评价与改进</w:t>
      </w:r>
      <w:r>
        <w:tab/>
      </w:r>
      <w:r>
        <w:fldChar w:fldCharType="begin"/>
      </w:r>
      <w:r>
        <w:instrText xml:space="preserve"> PAGEREF _Toc141082927 \h </w:instrText>
      </w:r>
      <w:r>
        <w:fldChar w:fldCharType="separate"/>
      </w:r>
      <w:r>
        <w:t>6</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"_Toc141082928" </w:instrText>
      </w:r>
      <w:r>
        <w:fldChar w:fldCharType="separate"/>
      </w:r>
      <w:r>
        <w:rPr>
          <w:rStyle w:val="32"/>
        </w:rPr>
        <w:t>7.1</w:t>
      </w:r>
      <w:r>
        <w:rPr>
          <w:rStyle w:val="32"/>
          <w:rFonts w:hint="eastAsia"/>
        </w:rPr>
        <w:t xml:space="preserve"> 机制建立</w:t>
      </w:r>
      <w:r>
        <w:tab/>
      </w:r>
      <w:r>
        <w:fldChar w:fldCharType="begin"/>
      </w:r>
      <w:r>
        <w:instrText xml:space="preserve"> PAGEREF _Toc141082928 \h </w:instrText>
      </w:r>
      <w:r>
        <w:fldChar w:fldCharType="separate"/>
      </w:r>
      <w:r>
        <w:t>6</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"_Toc141082929" </w:instrText>
      </w:r>
      <w:r>
        <w:fldChar w:fldCharType="separate"/>
      </w:r>
      <w:r>
        <w:rPr>
          <w:rStyle w:val="32"/>
        </w:rPr>
        <w:t>7.2</w:t>
      </w:r>
      <w:r>
        <w:rPr>
          <w:rStyle w:val="32"/>
          <w:rFonts w:hint="eastAsia"/>
        </w:rPr>
        <w:t xml:space="preserve"> 评价内容</w:t>
      </w:r>
      <w:r>
        <w:tab/>
      </w:r>
      <w:r>
        <w:fldChar w:fldCharType="begin"/>
      </w:r>
      <w:r>
        <w:instrText xml:space="preserve"> PAGEREF _Toc141082929 \h </w:instrText>
      </w:r>
      <w:r>
        <w:fldChar w:fldCharType="separate"/>
      </w:r>
      <w:r>
        <w:t>6</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"_Toc141082930" </w:instrText>
      </w:r>
      <w:r>
        <w:fldChar w:fldCharType="separate"/>
      </w:r>
      <w:r>
        <w:rPr>
          <w:rStyle w:val="32"/>
        </w:rPr>
        <w:t>7.3</w:t>
      </w:r>
      <w:r>
        <w:rPr>
          <w:rStyle w:val="32"/>
          <w:rFonts w:hint="eastAsia"/>
        </w:rPr>
        <w:t xml:space="preserve"> 评价方式</w:t>
      </w:r>
      <w:r>
        <w:tab/>
      </w:r>
      <w:r>
        <w:fldChar w:fldCharType="begin"/>
      </w:r>
      <w:r>
        <w:instrText xml:space="preserve"> PAGEREF _Toc141082930 \h </w:instrText>
      </w:r>
      <w:r>
        <w:fldChar w:fldCharType="separate"/>
      </w:r>
      <w:r>
        <w:t>6</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"_Toc141082931" </w:instrText>
      </w:r>
      <w:r>
        <w:fldChar w:fldCharType="separate"/>
      </w:r>
      <w:r>
        <w:rPr>
          <w:rStyle w:val="32"/>
        </w:rPr>
        <w:t>7.4</w:t>
      </w:r>
      <w:r>
        <w:rPr>
          <w:rStyle w:val="32"/>
          <w:rFonts w:hint="eastAsia"/>
        </w:rPr>
        <w:t xml:space="preserve"> 评价结果</w:t>
      </w:r>
      <w:r>
        <w:tab/>
      </w:r>
      <w:r>
        <w:fldChar w:fldCharType="begin"/>
      </w:r>
      <w:r>
        <w:instrText xml:space="preserve"> PAGEREF _Toc141082931 \h </w:instrText>
      </w:r>
      <w:r>
        <w:fldChar w:fldCharType="separate"/>
      </w:r>
      <w:r>
        <w:t>6</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"_Toc141082932" </w:instrText>
      </w:r>
      <w:r>
        <w:fldChar w:fldCharType="separate"/>
      </w:r>
      <w:r>
        <w:rPr>
          <w:rStyle w:val="32"/>
        </w:rPr>
        <w:t>7.5</w:t>
      </w:r>
      <w:r>
        <w:rPr>
          <w:rStyle w:val="32"/>
          <w:rFonts w:hint="eastAsia"/>
        </w:rPr>
        <w:t xml:space="preserve"> 持续改进</w:t>
      </w:r>
      <w:r>
        <w:tab/>
      </w:r>
      <w:r>
        <w:fldChar w:fldCharType="begin"/>
      </w:r>
      <w:r>
        <w:instrText xml:space="preserve"> PAGEREF _Toc141082932 \h </w:instrText>
      </w:r>
      <w:r>
        <w:fldChar w:fldCharType="separate"/>
      </w:r>
      <w:r>
        <w:t>6</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"_Toc141082933" </w:instrText>
      </w:r>
      <w:r>
        <w:fldChar w:fldCharType="separate"/>
      </w:r>
      <w:r>
        <w:rPr>
          <w:rStyle w:val="32"/>
          <w:rFonts w:hint="eastAsia"/>
          <w:spacing w:val="100"/>
        </w:rPr>
        <w:t>附录A</w:t>
      </w:r>
      <w:r>
        <w:rPr>
          <w:rStyle w:val="32"/>
          <w:rFonts w:hint="eastAsia"/>
        </w:rPr>
        <w:t xml:space="preserve"> （规范性）</w:t>
      </w:r>
      <w:r>
        <w:rPr>
          <w:rStyle w:val="32"/>
        </w:rPr>
        <w:t xml:space="preserve"> </w:t>
      </w:r>
      <w:r>
        <w:rPr>
          <w:rStyle w:val="32"/>
          <w:rFonts w:hint="eastAsia"/>
        </w:rPr>
        <w:t>住房公积金视觉识别系统</w:t>
      </w:r>
      <w:r>
        <w:tab/>
      </w:r>
      <w:r>
        <w:fldChar w:fldCharType="begin"/>
      </w:r>
      <w:r>
        <w:instrText xml:space="preserve"> PAGEREF _Toc141082933 \h </w:instrText>
      </w:r>
      <w:r>
        <w:fldChar w:fldCharType="separate"/>
      </w:r>
      <w:r>
        <w:t>7</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"_Toc141082934" </w:instrText>
      </w:r>
      <w:r>
        <w:fldChar w:fldCharType="separate"/>
      </w:r>
      <w:r>
        <w:rPr>
          <w:rStyle w:val="32"/>
        </w:rPr>
        <w:t>A.1</w:t>
      </w:r>
      <w:r>
        <w:rPr>
          <w:rStyle w:val="32"/>
          <w:rFonts w:hint="eastAsia"/>
        </w:rPr>
        <w:t xml:space="preserve"> 基础部分</w:t>
      </w:r>
      <w:r>
        <w:tab/>
      </w:r>
      <w:r>
        <w:fldChar w:fldCharType="begin"/>
      </w:r>
      <w:r>
        <w:instrText xml:space="preserve"> PAGEREF _Toc141082934 \h </w:instrText>
      </w:r>
      <w:r>
        <w:fldChar w:fldCharType="separate"/>
      </w:r>
      <w:r>
        <w:t>7</w:t>
      </w:r>
      <w:r>
        <w:fldChar w:fldCharType="end"/>
      </w:r>
      <w:r>
        <w:fldChar w:fldCharType="end"/>
      </w:r>
    </w:p>
    <w:p>
      <w:pPr>
        <w:pStyle w:val="25"/>
        <w:rPr>
          <w:rFonts w:asciiTheme="minorHAnsi" w:hAnsiTheme="minorHAnsi" w:eastAsiaTheme="minorEastAsia" w:cstheme="minorBidi"/>
          <w:szCs w:val="22"/>
        </w:rPr>
      </w:pPr>
      <w:r>
        <w:fldChar w:fldCharType="begin"/>
      </w:r>
      <w:r>
        <w:instrText xml:space="preserve"> HYPERLINK \l "_Toc141082935" </w:instrText>
      </w:r>
      <w:r>
        <w:fldChar w:fldCharType="separate"/>
      </w:r>
      <w:r>
        <w:rPr>
          <w:rStyle w:val="32"/>
        </w:rPr>
        <w:t>A.2</w:t>
      </w:r>
      <w:r>
        <w:rPr>
          <w:rStyle w:val="32"/>
          <w:rFonts w:hint="eastAsia"/>
        </w:rPr>
        <w:t xml:space="preserve"> 应用部分</w:t>
      </w:r>
      <w:r>
        <w:tab/>
      </w:r>
      <w:r>
        <w:fldChar w:fldCharType="begin"/>
      </w:r>
      <w:r>
        <w:instrText xml:space="preserve"> PAGEREF _Toc141082935 \h </w:instrText>
      </w:r>
      <w:r>
        <w:fldChar w:fldCharType="separate"/>
      </w:r>
      <w:r>
        <w:t>21</w:t>
      </w:r>
      <w:r>
        <w:fldChar w:fldCharType="end"/>
      </w:r>
      <w:r>
        <w:fldChar w:fldCharType="end"/>
      </w:r>
    </w:p>
    <w:p>
      <w:pPr>
        <w:pStyle w:val="93"/>
        <w:spacing w:after="360"/>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linePitch="312" w:charSpace="0"/>
        </w:sectPr>
      </w:pPr>
      <w:r>
        <w:fldChar w:fldCharType="end"/>
      </w:r>
    </w:p>
    <w:bookmarkEnd w:id="20"/>
    <w:p>
      <w:pPr>
        <w:pStyle w:val="91"/>
        <w:spacing w:before="900" w:after="360"/>
      </w:pPr>
      <w:bookmarkStart w:id="21" w:name="_Toc141082910"/>
      <w:bookmarkStart w:id="22" w:name="BookMark2"/>
      <w:r>
        <w:rPr>
          <w:spacing w:val="320"/>
        </w:rPr>
        <w:t>前</w:t>
      </w:r>
      <w:r>
        <w:t>言</w:t>
      </w:r>
      <w:bookmarkEnd w:id="21"/>
    </w:p>
    <w:p>
      <w:pPr>
        <w:pStyle w:val="58"/>
        <w:ind w:firstLine="420"/>
      </w:pPr>
      <w:r>
        <w:rPr>
          <w:rFonts w:hint="eastAsia"/>
        </w:rPr>
        <w:t>本文件按照GB/T 1.1—2020《标准化工作导则  第1部分：标准化文件的结构和起草规则》的规定起草。</w:t>
      </w:r>
    </w:p>
    <w:p>
      <w:pPr>
        <w:pStyle w:val="58"/>
        <w:ind w:firstLine="420"/>
      </w:pPr>
      <w:r>
        <w:rPr>
          <w:rFonts w:hint="eastAsia"/>
        </w:rPr>
        <w:t>请注意本文件的某些内容可能涉及专利。本文件的发布机构不承担识别专利的责任。</w:t>
      </w:r>
    </w:p>
    <w:p>
      <w:pPr>
        <w:pStyle w:val="58"/>
        <w:ind w:firstLine="420"/>
      </w:pPr>
      <w:r>
        <w:rPr>
          <w:rFonts w:hint="eastAsia"/>
        </w:rPr>
        <w:t>本文件由住房和城乡建设部提出并归口。</w:t>
      </w:r>
    </w:p>
    <w:p>
      <w:pPr>
        <w:pStyle w:val="58"/>
        <w:ind w:firstLine="420"/>
      </w:pPr>
      <w:r>
        <w:rPr>
          <w:rFonts w:hint="eastAsia"/>
        </w:rPr>
        <w:t>本文件起草单位：</w:t>
      </w:r>
    </w:p>
    <w:p>
      <w:pPr>
        <w:pStyle w:val="58"/>
        <w:ind w:firstLine="420"/>
      </w:pPr>
      <w:r>
        <w:rPr>
          <w:rFonts w:hint="eastAsia"/>
        </w:rPr>
        <w:t>本文件主要起草人：</w:t>
      </w:r>
    </w:p>
    <w:p>
      <w:pPr>
        <w:pStyle w:val="58"/>
        <w:ind w:firstLine="420"/>
      </w:pPr>
    </w:p>
    <w:p>
      <w:pPr>
        <w:pStyle w:val="58"/>
        <w:ind w:firstLine="420"/>
        <w:sectPr>
          <w:pgSz w:w="11906" w:h="16838"/>
          <w:pgMar w:top="1928" w:right="1134" w:bottom="1134" w:left="1134" w:header="1418" w:footer="1134" w:gutter="284"/>
          <w:pgNumType w:fmt="upperRoman"/>
          <w:cols w:space="425" w:num="1"/>
          <w:formProt w:val="0"/>
          <w:docGrid w:linePitch="312" w:charSpace="0"/>
        </w:sectPr>
      </w:pPr>
    </w:p>
    <w:bookmarkEnd w:id="22"/>
    <w:p>
      <w:pPr>
        <w:spacing w:line="20" w:lineRule="exact"/>
        <w:jc w:val="center"/>
        <w:rPr>
          <w:rFonts w:ascii="黑体" w:hAnsi="黑体" w:eastAsia="黑体"/>
          <w:sz w:val="32"/>
          <w:szCs w:val="32"/>
        </w:rPr>
      </w:pPr>
      <w:bookmarkStart w:id="23" w:name="BookMark4"/>
    </w:p>
    <w:p>
      <w:pPr>
        <w:spacing w:line="20" w:lineRule="exact"/>
        <w:jc w:val="center"/>
        <w:rPr>
          <w:rFonts w:ascii="黑体" w:hAnsi="黑体" w:eastAsia="黑体"/>
          <w:sz w:val="32"/>
          <w:szCs w:val="32"/>
        </w:rPr>
      </w:pPr>
    </w:p>
    <w:sdt>
      <w:sdtPr>
        <w:tag w:val="NEW_STAND_NAME"/>
        <w:id w:val="595910757"/>
        <w:lock w:val="sdtLocked"/>
        <w:placeholder>
          <w:docPart w:val="120126ACA27F4FEDA10EFAF4CF6556DD"/>
        </w:placeholder>
      </w:sdtPr>
      <w:sdtContent>
        <w:p>
          <w:pPr>
            <w:pStyle w:val="179"/>
            <w:spacing w:beforeLines="100" w:afterLines="220"/>
          </w:pPr>
          <w:bookmarkStart w:id="24" w:name="NEW_STAND_NAME"/>
          <w:r>
            <w:rPr>
              <w:rFonts w:hint="eastAsia"/>
            </w:rPr>
            <w:t>住房公积金服务标准</w:t>
          </w:r>
        </w:p>
      </w:sdtContent>
    </w:sdt>
    <w:bookmarkEnd w:id="24"/>
    <w:p>
      <w:pPr>
        <w:pStyle w:val="106"/>
        <w:spacing w:before="240" w:after="240"/>
      </w:pPr>
      <w:bookmarkStart w:id="25" w:name="_Toc97195091"/>
      <w:bookmarkStart w:id="26" w:name="_Toc24884211"/>
      <w:bookmarkStart w:id="27" w:name="_Toc24884218"/>
      <w:bookmarkStart w:id="28" w:name="_Toc26986530"/>
      <w:bookmarkStart w:id="29" w:name="_Toc141082911"/>
      <w:bookmarkStart w:id="30" w:name="_Toc17233325"/>
      <w:bookmarkStart w:id="31" w:name="_Toc26718930"/>
      <w:bookmarkStart w:id="32" w:name="_Toc26986771"/>
      <w:bookmarkStart w:id="33" w:name="_Toc17233333"/>
      <w:bookmarkStart w:id="34" w:name="_Toc26648465"/>
      <w:r>
        <w:rPr>
          <w:rFonts w:hint="eastAsia"/>
        </w:rPr>
        <w:t>范围</w:t>
      </w:r>
      <w:bookmarkEnd w:id="25"/>
      <w:bookmarkEnd w:id="26"/>
      <w:bookmarkEnd w:id="27"/>
      <w:bookmarkEnd w:id="28"/>
      <w:bookmarkEnd w:id="29"/>
      <w:bookmarkEnd w:id="30"/>
      <w:bookmarkEnd w:id="31"/>
      <w:bookmarkEnd w:id="32"/>
      <w:bookmarkEnd w:id="33"/>
      <w:bookmarkEnd w:id="34"/>
    </w:p>
    <w:p>
      <w:pPr>
        <w:pStyle w:val="58"/>
        <w:ind w:firstLine="420"/>
      </w:pPr>
      <w:bookmarkStart w:id="35" w:name="_Toc24884219"/>
      <w:bookmarkStart w:id="36" w:name="_Toc24884212"/>
      <w:bookmarkStart w:id="37" w:name="_Toc26648466"/>
      <w:bookmarkStart w:id="38" w:name="_Toc17233326"/>
      <w:bookmarkStart w:id="39" w:name="_Toc17233334"/>
      <w:r>
        <w:rPr>
          <w:rFonts w:hint="eastAsia"/>
        </w:rPr>
        <w:t>本文件规定了住房公积金服务的服务条件、服务内容、服务保障、服务评价与改进等内容。</w:t>
      </w:r>
    </w:p>
    <w:p>
      <w:pPr>
        <w:pStyle w:val="58"/>
        <w:ind w:firstLine="420"/>
      </w:pPr>
      <w:r>
        <w:rPr>
          <w:rFonts w:hint="eastAsia"/>
        </w:rPr>
        <w:t>本文件适用于住房公积金管理机构提供的服务。</w:t>
      </w:r>
    </w:p>
    <w:p>
      <w:pPr>
        <w:pStyle w:val="106"/>
        <w:spacing w:before="240" w:after="240"/>
      </w:pPr>
      <w:bookmarkStart w:id="40" w:name="_Toc141082912"/>
      <w:bookmarkStart w:id="41" w:name="_Toc26718931"/>
      <w:bookmarkStart w:id="42" w:name="_Toc26986531"/>
      <w:bookmarkStart w:id="43" w:name="_Toc97195092"/>
      <w:bookmarkStart w:id="44" w:name="_Toc26986772"/>
      <w:r>
        <w:rPr>
          <w:rFonts w:hint="eastAsia"/>
        </w:rPr>
        <w:t>规范性引用文件</w:t>
      </w:r>
      <w:bookmarkEnd w:id="35"/>
      <w:bookmarkEnd w:id="36"/>
      <w:bookmarkEnd w:id="37"/>
      <w:bookmarkEnd w:id="38"/>
      <w:bookmarkEnd w:id="39"/>
      <w:bookmarkEnd w:id="40"/>
      <w:bookmarkEnd w:id="41"/>
      <w:bookmarkEnd w:id="42"/>
      <w:bookmarkEnd w:id="43"/>
      <w:bookmarkEnd w:id="44"/>
    </w:p>
    <w:sdt>
      <w:sdtPr>
        <w:rPr>
          <w:rFonts w:hint="eastAsia"/>
        </w:rPr>
        <w:id w:val="715848253"/>
        <w:placeholder>
          <w:docPart w:val="7C5E4FFB1CD64485A9FF24A6EA885D87"/>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8"/>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8"/>
        <w:ind w:firstLine="420"/>
      </w:pPr>
      <w:r>
        <w:fldChar w:fldCharType="begin"/>
      </w:r>
      <w:r>
        <w:instrText xml:space="preserve"> HYPERLINK "http://192.168.30.141/bzquery/search/standard!searchByIdInfo.action?id=402881b46874a37e01698fb1c8eb4043&amp;ouidop=402881e64a3c537f014a854f10a50002" \t "_blank" </w:instrText>
      </w:r>
      <w:r>
        <w:fldChar w:fldCharType="separate"/>
      </w:r>
      <w:r>
        <w:rPr>
          <w:rStyle w:val="32"/>
          <w:rFonts w:hint="eastAsia"/>
        </w:rPr>
        <w:t>GB/T 1416</w:t>
      </w:r>
      <w:r>
        <w:rPr>
          <w:rStyle w:val="32"/>
          <w:rFonts w:hint="eastAsia"/>
        </w:rPr>
        <w:fldChar w:fldCharType="end"/>
      </w:r>
      <w:r>
        <w:rPr>
          <w:rFonts w:hint="eastAsia"/>
        </w:rPr>
        <w:t xml:space="preserve">  信封</w:t>
      </w:r>
    </w:p>
    <w:p>
      <w:pPr>
        <w:pStyle w:val="58"/>
        <w:ind w:left="420" w:leftChars="200" w:firstLine="0" w:firstLineChars="0"/>
      </w:pPr>
      <w:r>
        <w:rPr>
          <w:rFonts w:hint="eastAsia"/>
        </w:rPr>
        <w:t>GB 2894  安全标志及其使用导则</w:t>
      </w:r>
    </w:p>
    <w:p>
      <w:pPr>
        <w:pStyle w:val="58"/>
        <w:ind w:left="420" w:leftChars="200" w:firstLine="0" w:firstLineChars="0"/>
      </w:pPr>
      <w:r>
        <w:rPr>
          <w:rFonts w:hint="eastAsia"/>
        </w:rPr>
        <w:t>GB/T 10001.1  公共信息图形符号 第1部分：通用符号</w:t>
      </w:r>
    </w:p>
    <w:p>
      <w:pPr>
        <w:pStyle w:val="58"/>
        <w:ind w:left="420" w:leftChars="200" w:firstLine="0" w:firstLineChars="0"/>
      </w:pPr>
      <w:r>
        <w:rPr>
          <w:rFonts w:hint="eastAsia"/>
        </w:rPr>
        <w:t>GB/T 10001.9  公共信息图形符号 第9部分：无障碍设施符号</w:t>
      </w:r>
    </w:p>
    <w:p>
      <w:pPr>
        <w:pStyle w:val="58"/>
        <w:ind w:left="420" w:leftChars="200" w:firstLine="0" w:firstLineChars="0"/>
      </w:pPr>
      <w:r>
        <w:rPr>
          <w:rFonts w:hint="eastAsia"/>
        </w:rPr>
        <w:t>GB 13495.1  消防安全标志 第1部分：标志</w:t>
      </w:r>
    </w:p>
    <w:p>
      <w:pPr>
        <w:pStyle w:val="58"/>
        <w:ind w:left="420" w:leftChars="200" w:firstLine="0" w:firstLineChars="0"/>
      </w:pPr>
      <w:r>
        <w:rPr>
          <w:rFonts w:hint="eastAsia"/>
        </w:rPr>
        <w:t>GB/T 15566.1  公共信息导向系统 设置原则与要求 第1部分：总则</w:t>
      </w:r>
    </w:p>
    <w:p>
      <w:pPr>
        <w:pStyle w:val="58"/>
        <w:ind w:left="420" w:leftChars="200" w:firstLine="0" w:firstLineChars="0"/>
      </w:pPr>
      <w:r>
        <w:rPr>
          <w:rFonts w:hint="eastAsia"/>
        </w:rPr>
        <w:t>GB 15630  消防安全标志设置要求</w:t>
      </w:r>
    </w:p>
    <w:p>
      <w:pPr>
        <w:pStyle w:val="58"/>
        <w:ind w:firstLine="420"/>
      </w:pPr>
      <w:r>
        <w:rPr>
          <w:rFonts w:hint="eastAsia"/>
        </w:rPr>
        <w:t>GB/T 20269  信息安全技术 信息系统安全管理要求</w:t>
      </w:r>
    </w:p>
    <w:p>
      <w:pPr>
        <w:pStyle w:val="58"/>
        <w:ind w:firstLine="420"/>
      </w:pPr>
      <w:r>
        <w:rPr>
          <w:rFonts w:hint="eastAsia"/>
        </w:rPr>
        <w:t>GB/T 20271  信息安全技术 信息系统通用安全技术要求</w:t>
      </w:r>
    </w:p>
    <w:p>
      <w:pPr>
        <w:pStyle w:val="58"/>
        <w:ind w:firstLine="420"/>
      </w:pPr>
      <w:r>
        <w:rPr>
          <w:rFonts w:hint="eastAsia"/>
        </w:rPr>
        <w:t xml:space="preserve">GB/T 22239  </w:t>
      </w:r>
      <w:r>
        <w:t>信息安全技术 网络安全等级保护基本要求</w:t>
      </w:r>
    </w:p>
    <w:p>
      <w:pPr>
        <w:pStyle w:val="58"/>
        <w:ind w:firstLine="420"/>
      </w:pPr>
      <w:r>
        <w:rPr>
          <w:rFonts w:hint="eastAsia"/>
        </w:rPr>
        <w:t xml:space="preserve">GB/T 32169.3  </w:t>
      </w:r>
      <w:r>
        <w:t>政务服务中心运行规范 第3部分：窗口服务提供要求</w:t>
      </w:r>
    </w:p>
    <w:p>
      <w:pPr>
        <w:pStyle w:val="58"/>
        <w:ind w:firstLine="420"/>
      </w:pPr>
      <w:r>
        <w:rPr>
          <w:rFonts w:hint="eastAsia"/>
        </w:rPr>
        <w:t xml:space="preserve">GB/T 36112  </w:t>
      </w:r>
      <w:r>
        <w:t>政务服务中心服务现场管理规范</w:t>
      </w:r>
    </w:p>
    <w:p>
      <w:pPr>
        <w:pStyle w:val="58"/>
        <w:ind w:firstLine="420"/>
      </w:pPr>
      <w:r>
        <w:rPr>
          <w:rFonts w:hint="eastAsia"/>
        </w:rPr>
        <w:t xml:space="preserve">GB/T 37092  </w:t>
      </w:r>
      <w:r>
        <w:t>信息安全技术 密码模块安全要求</w:t>
      </w:r>
    </w:p>
    <w:p>
      <w:pPr>
        <w:pStyle w:val="58"/>
        <w:ind w:firstLine="420"/>
      </w:pPr>
      <w:r>
        <w:rPr>
          <w:rFonts w:hint="eastAsia"/>
        </w:rPr>
        <w:t xml:space="preserve">GB/T 39786  </w:t>
      </w:r>
      <w:r>
        <w:t>信息安全技术 信息系统密码应用基本要求</w:t>
      </w:r>
    </w:p>
    <w:p>
      <w:pPr>
        <w:pStyle w:val="58"/>
        <w:ind w:firstLine="420"/>
      </w:pPr>
      <w:r>
        <w:rPr>
          <w:rFonts w:hint="eastAsia"/>
        </w:rPr>
        <w:t xml:space="preserve">GM/T 0029  </w:t>
      </w:r>
      <w:r>
        <w:fldChar w:fldCharType="begin"/>
      </w:r>
      <w:r>
        <w:instrText xml:space="preserve"> HYPERLINK "https://hbba.sacinfo.org.cn/stdDetail/64b8ee7c358549125572205ace0dd6a4" \t "_blank" </w:instrText>
      </w:r>
      <w:r>
        <w:fldChar w:fldCharType="separate"/>
      </w:r>
      <w:r>
        <w:t>签名验签服务器技术规范</w:t>
      </w:r>
      <w:r>
        <w:fldChar w:fldCharType="end"/>
      </w:r>
    </w:p>
    <w:p>
      <w:pPr>
        <w:pStyle w:val="58"/>
        <w:ind w:firstLine="420"/>
      </w:pPr>
      <w:r>
        <w:rPr>
          <w:rFonts w:hint="eastAsia"/>
        </w:rPr>
        <w:t xml:space="preserve">GM/T 0030  </w:t>
      </w:r>
      <w:r>
        <w:fldChar w:fldCharType="begin"/>
      </w:r>
      <w:r>
        <w:instrText xml:space="preserve"> HYPERLINK "https://hbba.sacinfo.org.cn/stdDetail/b5dbf67874815d7023aa8c806d479be8" \t "_blank" </w:instrText>
      </w:r>
      <w:r>
        <w:fldChar w:fldCharType="separate"/>
      </w:r>
      <w:r>
        <w:t>服务器密码机技术规范</w:t>
      </w:r>
      <w:r>
        <w:fldChar w:fldCharType="end"/>
      </w:r>
    </w:p>
    <w:p>
      <w:pPr>
        <w:pStyle w:val="58"/>
        <w:ind w:firstLine="420"/>
      </w:pPr>
      <w:r>
        <w:rPr>
          <w:rFonts w:hint="eastAsia"/>
        </w:rPr>
        <w:t>JGJ/T 407  住房公积金管理人员职业标准</w:t>
      </w:r>
    </w:p>
    <w:p>
      <w:pPr>
        <w:pStyle w:val="58"/>
        <w:ind w:firstLine="420"/>
      </w:pPr>
      <w:r>
        <w:t xml:space="preserve">JGJ/T495  </w:t>
      </w:r>
      <w:r>
        <w:rPr>
          <w:rFonts w:hint="eastAsia"/>
        </w:rPr>
        <w:t>住房公积金业务档案管理标准</w:t>
      </w:r>
    </w:p>
    <w:p>
      <w:pPr>
        <w:pStyle w:val="106"/>
        <w:spacing w:before="240" w:after="240"/>
      </w:pPr>
      <w:bookmarkStart w:id="45" w:name="_Toc97195093"/>
      <w:bookmarkStart w:id="46" w:name="_Toc141082913"/>
      <w:r>
        <w:rPr>
          <w:rFonts w:hint="eastAsia"/>
          <w:szCs w:val="21"/>
        </w:rPr>
        <w:t>术语和定义</w:t>
      </w:r>
      <w:bookmarkEnd w:id="45"/>
      <w:bookmarkEnd w:id="46"/>
    </w:p>
    <w:p>
      <w:pPr>
        <w:pStyle w:val="58"/>
        <w:ind w:firstLine="420"/>
      </w:pPr>
      <w:bookmarkStart w:id="47" w:name="_Toc26986532"/>
      <w:bookmarkEnd w:id="47"/>
      <w:sdt>
        <w:sdtPr>
          <w:rPr>
            <w:rFonts w:hint="eastAsia"/>
          </w:rPr>
          <w:id w:val="182079"/>
          <w:placeholder>
            <w:docPart w:val="5C792DA1FF6D4CD59500CE10E3DCBB93"/>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EndPr>
          <w:rPr>
            <w:rFonts w:hint="eastAsia"/>
          </w:rPr>
        </w:sdtEndPr>
        <w:sdtContent>
          <w:r>
            <w:rPr>
              <w:rFonts w:hint="eastAsia"/>
            </w:rPr>
            <w:t>本文件没有需要界定的术语和定义。</w:t>
          </w:r>
        </w:sdtContent>
      </w:sdt>
    </w:p>
    <w:p>
      <w:pPr>
        <w:pStyle w:val="106"/>
        <w:spacing w:before="240" w:after="240"/>
      </w:pPr>
      <w:bookmarkStart w:id="48" w:name="_Toc141082914"/>
      <w:r>
        <w:rPr>
          <w:rFonts w:hint="eastAsia"/>
        </w:rPr>
        <w:t>总体要求</w:t>
      </w:r>
      <w:bookmarkEnd w:id="48"/>
    </w:p>
    <w:p>
      <w:pPr>
        <w:pStyle w:val="58"/>
        <w:ind w:firstLine="409" w:firstLineChars="195"/>
      </w:pPr>
      <w:r>
        <w:rPr>
          <w:rFonts w:hint="eastAsia"/>
        </w:rPr>
        <w:t>坚持以服务对象为中心的服务理念，聚焦服务对象反映强烈的办事堵点难点，推动线上线下服务一体化深度融合，实行传统服务方式与智能化服务创新并行，为服务对象提供规范统一、高效便捷的住房公积金服务，提升服务满意度。</w:t>
      </w:r>
    </w:p>
    <w:p>
      <w:pPr>
        <w:pStyle w:val="106"/>
        <w:spacing w:before="240" w:after="240"/>
      </w:pPr>
      <w:bookmarkStart w:id="49" w:name="_Toc141082915"/>
      <w:r>
        <w:rPr>
          <w:rFonts w:hint="eastAsia"/>
        </w:rPr>
        <w:t>服务条件和内容</w:t>
      </w:r>
      <w:bookmarkEnd w:id="49"/>
    </w:p>
    <w:p>
      <w:pPr>
        <w:pStyle w:val="107"/>
        <w:spacing w:before="120" w:after="120"/>
      </w:pPr>
      <w:bookmarkStart w:id="50" w:name="_Toc141082916"/>
      <w:r>
        <w:rPr>
          <w:rFonts w:hint="eastAsia"/>
        </w:rPr>
        <w:t>服务环境</w:t>
      </w:r>
      <w:bookmarkEnd w:id="50"/>
    </w:p>
    <w:p>
      <w:pPr>
        <w:pStyle w:val="67"/>
        <w:spacing w:before="120" w:after="120"/>
      </w:pPr>
      <w:r>
        <w:rPr>
          <w:rFonts w:hint="eastAsia"/>
        </w:rPr>
        <w:t>服务场所设置</w:t>
      </w:r>
    </w:p>
    <w:p>
      <w:pPr>
        <w:pStyle w:val="58"/>
        <w:ind w:firstLine="420"/>
      </w:pPr>
      <w:r>
        <w:rPr>
          <w:rFonts w:hint="eastAsia"/>
        </w:rPr>
        <w:t>服务场所选址应符合城市规划要求，宜选择在辖区内人口较为集中、交通便利、公共设施较完善的地点。</w:t>
      </w:r>
    </w:p>
    <w:p>
      <w:pPr>
        <w:pStyle w:val="67"/>
        <w:spacing w:before="120" w:after="120"/>
      </w:pPr>
      <w:r>
        <w:rPr>
          <w:rFonts w:hint="eastAsia"/>
        </w:rPr>
        <w:t>服务场所环境</w:t>
      </w:r>
    </w:p>
    <w:p>
      <w:pPr>
        <w:pStyle w:val="96"/>
        <w:spacing w:before="120" w:after="120"/>
      </w:pPr>
      <w:r>
        <w:rPr>
          <w:rFonts w:hint="eastAsia"/>
        </w:rPr>
        <w:t>外部环境</w:t>
      </w:r>
    </w:p>
    <w:p>
      <w:pPr>
        <w:pStyle w:val="169"/>
        <w:ind w:left="426"/>
      </w:pPr>
      <w:r>
        <w:rPr>
          <w:rFonts w:hint="eastAsia"/>
        </w:rPr>
        <w:t>服务场所外部环境应干净整洁，且符合城市管理部门有关要求。</w:t>
      </w:r>
    </w:p>
    <w:p>
      <w:pPr>
        <w:pStyle w:val="169"/>
        <w:ind w:left="426"/>
      </w:pPr>
      <w:r>
        <w:rPr>
          <w:rFonts w:hint="eastAsia"/>
        </w:rPr>
        <w:t>服务场所应设置机动车停车位、非机动车停车区和无障碍停车位，并张贴醒目标识。不具备条件的，应设置停车指引牌。宜设置无障碍通道，并公示求助电话或设置呼叫按钮。</w:t>
      </w:r>
    </w:p>
    <w:p>
      <w:pPr>
        <w:pStyle w:val="169"/>
        <w:ind w:left="426"/>
      </w:pPr>
      <w:r>
        <w:rPr>
          <w:rFonts w:hint="eastAsia"/>
        </w:rPr>
        <w:t>服务场所应设置门楣标牌、机构名称牌、工作时间牌等。标牌应制作规范，悬挂位置醒目，保持整洁。门楣标牌中住房公积金服务标识的设计使用应符合附录A要求。</w:t>
      </w:r>
    </w:p>
    <w:p>
      <w:pPr>
        <w:pStyle w:val="96"/>
        <w:spacing w:before="120" w:after="120"/>
      </w:pPr>
      <w:r>
        <w:rPr>
          <w:rFonts w:hint="eastAsia"/>
        </w:rPr>
        <w:t xml:space="preserve">内部环境 </w:t>
      </w:r>
    </w:p>
    <w:p>
      <w:pPr>
        <w:pStyle w:val="169"/>
        <w:ind w:left="426"/>
      </w:pPr>
      <w:r>
        <w:rPr>
          <w:rFonts w:hint="eastAsia"/>
        </w:rPr>
        <w:t>服务场所内部应光线充足，通风良好，满足室内空气质量标准。</w:t>
      </w:r>
    </w:p>
    <w:p>
      <w:pPr>
        <w:pStyle w:val="169"/>
        <w:ind w:left="426"/>
      </w:pPr>
      <w:r>
        <w:rPr>
          <w:rFonts w:hint="eastAsia"/>
        </w:rPr>
        <w:t>服务场所应充分考虑老年人、残疾人等特殊群体的行动能力，设置相关设施设备，包括但不限于无障碍设施设备、应急急救药品等。</w:t>
      </w:r>
    </w:p>
    <w:p>
      <w:pPr>
        <w:pStyle w:val="169"/>
        <w:ind w:left="426"/>
      </w:pPr>
      <w:r>
        <w:rPr>
          <w:rFonts w:hint="eastAsia"/>
        </w:rPr>
        <w:t>服务场所内部应根据服务功能类型合理划分窗口服务区、咨询服务区、投诉受理区、休息等候区、自助服务区和其他功能区。</w:t>
      </w:r>
    </w:p>
    <w:p>
      <w:pPr>
        <w:pStyle w:val="100"/>
        <w:numPr>
          <w:ilvl w:val="0"/>
          <w:numId w:val="0"/>
        </w:numPr>
        <w:spacing w:before="120" w:after="120"/>
        <w:ind w:left="993"/>
        <w:rPr>
          <w:rFonts w:ascii="宋体" w:hAnsi="宋体" w:eastAsia="宋体"/>
        </w:rPr>
      </w:pPr>
      <w:r>
        <w:rPr>
          <w:rFonts w:ascii="宋体" w:hAnsi="宋体" w:eastAsia="宋体"/>
          <w:bCs/>
        </w:rPr>
        <w:t>a)</w:t>
      </w:r>
      <w:r>
        <w:rPr>
          <w:rFonts w:hint="eastAsia" w:ascii="宋体" w:hAnsi="宋体" w:eastAsia="宋体"/>
        </w:rPr>
        <w:t>窗口服务区应配备包括但不限于计算机、高拍仪、打印机等基本办公设施设备。窗口应为低位开放式，合理设置一米线等引导标识，窗口数量应结合实际缴存职工数量、线下与线上服务量灵活设置，实行</w:t>
      </w:r>
      <w:r>
        <w:rPr>
          <w:rFonts w:ascii="宋体" w:hAnsi="宋体" w:eastAsia="宋体"/>
        </w:rPr>
        <w:t>”</w:t>
      </w:r>
      <w:r>
        <w:rPr>
          <w:rFonts w:hint="eastAsia" w:ascii="宋体" w:hAnsi="宋体" w:eastAsia="宋体"/>
        </w:rPr>
        <w:t>一窗综办</w:t>
      </w:r>
      <w:r>
        <w:rPr>
          <w:rFonts w:ascii="宋体" w:hAnsi="宋体" w:eastAsia="宋体"/>
        </w:rPr>
        <w:t>”</w:t>
      </w:r>
      <w:r>
        <w:rPr>
          <w:rFonts w:hint="eastAsia" w:ascii="宋体" w:hAnsi="宋体" w:eastAsia="宋体"/>
        </w:rPr>
        <w:t>。应设置帮（代）办窗口，为老年人、残疾人等特殊群体提供帮办代办服务。</w:t>
      </w:r>
    </w:p>
    <w:p>
      <w:pPr>
        <w:pStyle w:val="100"/>
        <w:numPr>
          <w:ilvl w:val="0"/>
          <w:numId w:val="0"/>
        </w:numPr>
        <w:spacing w:before="120" w:after="120"/>
        <w:ind w:left="993"/>
        <w:rPr>
          <w:rFonts w:ascii="宋体" w:hAnsi="宋体" w:eastAsia="宋体"/>
        </w:rPr>
      </w:pPr>
      <w:r>
        <w:rPr>
          <w:rFonts w:hint="eastAsia" w:ascii="宋体" w:hAnsi="宋体" w:eastAsia="宋体"/>
          <w:bCs/>
        </w:rPr>
        <w:t>b</w:t>
      </w:r>
      <w:r>
        <w:rPr>
          <w:rFonts w:ascii="宋体" w:hAnsi="宋体" w:eastAsia="宋体"/>
          <w:bCs/>
        </w:rPr>
        <w:t>)</w:t>
      </w:r>
      <w:r>
        <w:rPr>
          <w:rFonts w:hint="eastAsia" w:ascii="宋体" w:hAnsi="宋体" w:eastAsia="宋体"/>
        </w:rPr>
        <w:t>咨询服务区应设置引导台、取号机、填单台等设施，配置服务工作人员。</w:t>
      </w:r>
    </w:p>
    <w:p>
      <w:pPr>
        <w:pStyle w:val="100"/>
        <w:numPr>
          <w:ilvl w:val="0"/>
          <w:numId w:val="0"/>
        </w:numPr>
        <w:spacing w:before="120" w:after="120"/>
        <w:ind w:left="993"/>
        <w:rPr>
          <w:rFonts w:ascii="宋体" w:hAnsi="宋体" w:eastAsia="宋体"/>
        </w:rPr>
      </w:pPr>
      <w:r>
        <w:rPr>
          <w:rFonts w:hint="eastAsia" w:ascii="宋体" w:hAnsi="宋体" w:eastAsia="宋体"/>
          <w:bCs/>
        </w:rPr>
        <w:t>c</w:t>
      </w:r>
      <w:r>
        <w:rPr>
          <w:rFonts w:ascii="宋体" w:hAnsi="宋体" w:eastAsia="宋体"/>
          <w:bCs/>
        </w:rPr>
        <w:t>)</w:t>
      </w:r>
      <w:r>
        <w:rPr>
          <w:rFonts w:hint="eastAsia" w:ascii="宋体" w:hAnsi="宋体" w:eastAsia="宋体"/>
        </w:rPr>
        <w:t>投诉受理区应设置“办不成事”反映窗口，解决服务对象办事过程中遇到的疑难事项和复杂问题。</w:t>
      </w:r>
    </w:p>
    <w:p>
      <w:pPr>
        <w:pStyle w:val="100"/>
        <w:numPr>
          <w:ilvl w:val="0"/>
          <w:numId w:val="0"/>
        </w:numPr>
        <w:spacing w:before="120" w:after="120"/>
        <w:ind w:left="993"/>
        <w:rPr>
          <w:rFonts w:ascii="宋体" w:hAnsi="宋体" w:eastAsia="宋体"/>
        </w:rPr>
      </w:pPr>
      <w:r>
        <w:rPr>
          <w:rFonts w:hint="eastAsia" w:ascii="宋体" w:hAnsi="宋体" w:eastAsia="宋体"/>
          <w:bCs/>
        </w:rPr>
        <w:t>d</w:t>
      </w:r>
      <w:r>
        <w:rPr>
          <w:rFonts w:ascii="宋体" w:hAnsi="宋体" w:eastAsia="宋体"/>
          <w:bCs/>
        </w:rPr>
        <w:t>)</w:t>
      </w:r>
      <w:r>
        <w:rPr>
          <w:rFonts w:hint="eastAsia" w:ascii="宋体" w:hAnsi="宋体" w:eastAsia="宋体"/>
        </w:rPr>
        <w:t>休息等候区应设置等候座椅、饮水机等设施，可配置液晶电视、电子显示屏、资料架等。</w:t>
      </w:r>
    </w:p>
    <w:p>
      <w:pPr>
        <w:pStyle w:val="100"/>
        <w:numPr>
          <w:ilvl w:val="0"/>
          <w:numId w:val="0"/>
        </w:numPr>
        <w:spacing w:before="120" w:after="120"/>
        <w:ind w:left="993"/>
        <w:rPr>
          <w:rFonts w:ascii="宋体" w:hAnsi="宋体" w:eastAsia="宋体"/>
        </w:rPr>
      </w:pPr>
      <w:r>
        <w:rPr>
          <w:rFonts w:ascii="宋体" w:hAnsi="宋体" w:eastAsia="宋体"/>
          <w:bCs/>
        </w:rPr>
        <w:t>e)</w:t>
      </w:r>
      <w:r>
        <w:rPr>
          <w:rFonts w:hint="eastAsia" w:ascii="宋体" w:hAnsi="宋体" w:eastAsia="宋体"/>
        </w:rPr>
        <w:t>自助服务区可按照需求配置自助服务设施，包括但不限于自助服务终端、智能机器人、多媒体展示、电子范例展示等设备；有条件或有需求的地区，可24小时开放办理。</w:t>
      </w:r>
    </w:p>
    <w:p>
      <w:pPr>
        <w:pStyle w:val="58"/>
        <w:ind w:firstLine="930" w:firstLineChars="443"/>
      </w:pPr>
      <w:r>
        <w:rPr>
          <w:rFonts w:hint="eastAsia" w:hAnsi="宋体"/>
        </w:rPr>
        <w:t>f）其他功能区</w:t>
      </w:r>
      <w:r>
        <w:rPr>
          <w:rFonts w:hint="eastAsia"/>
        </w:rPr>
        <w:t>包括但不限于卫生间、更衣室、母婴室、阅览区等</w:t>
      </w:r>
    </w:p>
    <w:p>
      <w:pPr>
        <w:pStyle w:val="169"/>
        <w:ind w:left="426"/>
      </w:pPr>
      <w:r>
        <w:rPr>
          <w:rFonts w:hint="eastAsia"/>
        </w:rPr>
        <w:t>可融合利用</w:t>
      </w:r>
      <w:r>
        <w:t>5G、大数据、人工智能、AR、VR等技术</w:t>
      </w:r>
      <w:r>
        <w:rPr>
          <w:rFonts w:hint="eastAsia"/>
        </w:rPr>
        <w:t>，设置智能综合服务体验区，有条件的地区可建设智能服务大厅，</w:t>
      </w:r>
      <w:r>
        <w:t>为</w:t>
      </w:r>
      <w:r>
        <w:rPr>
          <w:rFonts w:hint="eastAsia"/>
        </w:rPr>
        <w:t>服务对象</w:t>
      </w:r>
      <w:r>
        <w:t>提供智能化、便利化、智慧化的全流程7×24小时不打烊“随时办”服务</w:t>
      </w:r>
      <w:r>
        <w:rPr>
          <w:rFonts w:hint="eastAsia"/>
        </w:rPr>
        <w:t>。</w:t>
      </w:r>
    </w:p>
    <w:p>
      <w:pPr>
        <w:pStyle w:val="169"/>
        <w:ind w:left="426"/>
      </w:pPr>
      <w:r>
        <w:rPr>
          <w:rFonts w:hint="eastAsia"/>
        </w:rPr>
        <w:t>应在明显位置公示服务类目、服务流程、服务窗口等业务宣传信息。</w:t>
      </w:r>
    </w:p>
    <w:p>
      <w:pPr>
        <w:pStyle w:val="169"/>
        <w:ind w:left="426"/>
      </w:pPr>
      <w:r>
        <w:rPr>
          <w:rFonts w:hint="eastAsia"/>
        </w:rPr>
        <w:t>服务场所公共信息导向系统设计应符合GB/T 15566.1的规定；图形符号的设计与使用应符合GB/T 10001.1、GB/T 10001.9的规定；服务场所安全标志的设计及使用应符合GB 2894、GB 13495.1、GB 15630的规定。</w:t>
      </w:r>
    </w:p>
    <w:p>
      <w:pPr>
        <w:pStyle w:val="169"/>
        <w:ind w:left="426"/>
      </w:pPr>
      <w:r>
        <w:rPr>
          <w:rFonts w:hint="eastAsia"/>
        </w:rPr>
        <w:t>可在驻地政务服务中心、受委托银行、基层便民服务中心（站）等设立住房公积金服务专区或代办网点，服务专区或代办网点内部服务及设施设备功能应符合5.1.2.2.3要求，窗口服务区应独立设置，其他功能区域可根据实际要求和场所条件合并设置。</w:t>
      </w:r>
    </w:p>
    <w:p>
      <w:pPr>
        <w:pStyle w:val="169"/>
        <w:ind w:left="426"/>
      </w:pPr>
      <w:r>
        <w:rPr>
          <w:rFonts w:hint="eastAsia"/>
        </w:rPr>
        <w:t>服务专区或代办网点设施设备配置数量应按照服务人员的实际数量确定，满足业务办理需求。</w:t>
      </w:r>
    </w:p>
    <w:p>
      <w:pPr>
        <w:pStyle w:val="169"/>
        <w:ind w:left="426"/>
      </w:pPr>
      <w:r>
        <w:rPr>
          <w:rFonts w:hint="eastAsia"/>
        </w:rPr>
        <w:t>服务专区或代办网点应设置必要的宣传设备，配备宣传资料，满足服务对象业务办理需要和办事知悉。</w:t>
      </w:r>
    </w:p>
    <w:p>
      <w:pPr>
        <w:pStyle w:val="169"/>
        <w:ind w:left="426"/>
      </w:pPr>
      <w:r>
        <w:rPr>
          <w:rFonts w:hint="eastAsia"/>
        </w:rPr>
        <w:t>住房公积金管理机构自有大厅服务标识的设计及使用应符合附录A的要求；服务专区或代办网点服务标识的设计及使用宜符合附录A的要求。</w:t>
      </w:r>
    </w:p>
    <w:p>
      <w:pPr>
        <w:pStyle w:val="96"/>
        <w:numPr>
          <w:ilvl w:val="4"/>
          <w:numId w:val="0"/>
        </w:numPr>
        <w:spacing w:before="120" w:after="120"/>
        <w:ind w:left="6"/>
      </w:pPr>
    </w:p>
    <w:p>
      <w:pPr>
        <w:pStyle w:val="107"/>
        <w:spacing w:before="120" w:after="120"/>
      </w:pPr>
      <w:bookmarkStart w:id="51" w:name="_Toc141082917"/>
      <w:r>
        <w:rPr>
          <w:rFonts w:hint="eastAsia"/>
        </w:rPr>
        <w:t>服务人员</w:t>
      </w:r>
      <w:bookmarkEnd w:id="51"/>
    </w:p>
    <w:p>
      <w:pPr>
        <w:pStyle w:val="67"/>
        <w:spacing w:before="120" w:after="120"/>
      </w:pPr>
      <w:r>
        <w:rPr>
          <w:rFonts w:hint="eastAsia"/>
        </w:rPr>
        <w:t>基本要求</w:t>
      </w:r>
    </w:p>
    <w:p>
      <w:pPr>
        <w:pStyle w:val="166"/>
      </w:pPr>
      <w:r>
        <w:rPr>
          <w:rFonts w:hint="eastAsia"/>
        </w:rPr>
        <w:t>服务人员应熟悉政策、精通业务，具备JGJ/T 407规定的职业技能，具有品德高尚、爱岗敬业、诚实守信、廉洁奉公、服务高效、奉献社会的职业素养。</w:t>
      </w:r>
    </w:p>
    <w:p>
      <w:pPr>
        <w:pStyle w:val="166"/>
      </w:pPr>
      <w:r>
        <w:rPr>
          <w:rFonts w:hint="eastAsia"/>
        </w:rPr>
        <w:t>服务人员应结合实际缴存职工数量、服务量合理配置。服务人员应包括但不限于：咨询引导人员、窗口主管人员、窗口服务人员、上门服务人员、后台服务保障和服务管理人员等。</w:t>
      </w:r>
    </w:p>
    <w:p>
      <w:pPr>
        <w:pStyle w:val="166"/>
      </w:pPr>
      <w:r>
        <w:rPr>
          <w:rFonts w:hint="eastAsia"/>
        </w:rPr>
        <w:t>应建立服务人员培训机制，定期或不定期开展形式多样的培训。</w:t>
      </w:r>
    </w:p>
    <w:p>
      <w:pPr>
        <w:pStyle w:val="166"/>
      </w:pPr>
      <w:r>
        <w:rPr>
          <w:rFonts w:hint="eastAsia"/>
        </w:rPr>
        <w:t>应建立服务人员绩效考评制度，对服务人员的工作质量、工作效能等定期开展考核评价。</w:t>
      </w:r>
    </w:p>
    <w:p>
      <w:pPr>
        <w:pStyle w:val="67"/>
        <w:spacing w:before="120" w:after="120"/>
      </w:pPr>
      <w:r>
        <w:rPr>
          <w:rFonts w:hint="eastAsia"/>
        </w:rPr>
        <w:t>形象礼仪</w:t>
      </w:r>
    </w:p>
    <w:p>
      <w:pPr>
        <w:pStyle w:val="166"/>
      </w:pPr>
      <w:r>
        <w:rPr>
          <w:rFonts w:hint="eastAsia"/>
        </w:rPr>
        <w:t>服务仪容仪表应符合GB/T 36112、GB/T 32169.3要求，清新整洁，发色自然，端庄大方，着应季统一工服，配带员工胸牌上岗。</w:t>
      </w:r>
    </w:p>
    <w:p>
      <w:pPr>
        <w:pStyle w:val="166"/>
      </w:pPr>
      <w:r>
        <w:rPr>
          <w:rFonts w:hint="eastAsia"/>
        </w:rPr>
        <w:t>服务礼仪应做到主动问候、微笑引导、手势标准、认真倾听、双手递送、态度亲和。</w:t>
      </w:r>
    </w:p>
    <w:p>
      <w:pPr>
        <w:pStyle w:val="166"/>
      </w:pPr>
      <w:r>
        <w:rPr>
          <w:rFonts w:hint="eastAsia"/>
        </w:rPr>
        <w:t>服务用语要以普通话为主，可根据实际需要使用方言、少数民族语言或外语，语气真诚、语音清晰、表达准确、用语文明。</w:t>
      </w:r>
    </w:p>
    <w:p>
      <w:pPr>
        <w:pStyle w:val="107"/>
        <w:spacing w:before="120" w:after="120"/>
      </w:pPr>
      <w:bookmarkStart w:id="52" w:name="_Toc141082918"/>
      <w:r>
        <w:rPr>
          <w:rFonts w:hint="eastAsia"/>
        </w:rPr>
        <w:t>服务事项</w:t>
      </w:r>
      <w:bookmarkEnd w:id="52"/>
    </w:p>
    <w:p>
      <w:pPr>
        <w:pStyle w:val="58"/>
        <w:ind w:firstLine="420"/>
      </w:pPr>
      <w:r>
        <w:rPr>
          <w:rFonts w:hint="eastAsia"/>
        </w:rPr>
        <w:t>服务事项应包括但不限于：缴存登记、缴存信息和账户状态变更、缴存、住房消费提取、非住房消费提取、申请个人住房贷款、贷款变更、信息查询、开具证明。</w:t>
      </w:r>
    </w:p>
    <w:p>
      <w:pPr>
        <w:pStyle w:val="107"/>
        <w:spacing w:before="120" w:after="120"/>
      </w:pPr>
      <w:bookmarkStart w:id="53" w:name="_Toc141082919"/>
      <w:r>
        <w:rPr>
          <w:rFonts w:hint="eastAsia"/>
        </w:rPr>
        <w:t>服务渠道</w:t>
      </w:r>
      <w:bookmarkEnd w:id="53"/>
    </w:p>
    <w:p>
      <w:pPr>
        <w:pStyle w:val="67"/>
        <w:spacing w:before="120" w:after="120"/>
      </w:pPr>
      <w:r>
        <w:rPr>
          <w:rFonts w:hint="eastAsia"/>
        </w:rPr>
        <w:t>线下渠道</w:t>
      </w:r>
    </w:p>
    <w:p>
      <w:pPr>
        <w:pStyle w:val="58"/>
        <w:ind w:firstLine="420"/>
      </w:pPr>
      <w:r>
        <w:rPr>
          <w:rFonts w:hint="eastAsia"/>
        </w:rPr>
        <w:t>通过住房公积金服务大厅、政务服务中心、受委托银行、基层便民服务中心（站）等场所提供线下办理服务。</w:t>
      </w:r>
    </w:p>
    <w:p>
      <w:pPr>
        <w:pStyle w:val="67"/>
        <w:spacing w:before="120" w:after="120"/>
      </w:pPr>
      <w:r>
        <w:rPr>
          <w:rFonts w:hint="eastAsia"/>
        </w:rPr>
        <w:t>线上渠道</w:t>
      </w:r>
    </w:p>
    <w:p>
      <w:pPr>
        <w:pStyle w:val="58"/>
        <w:ind w:firstLine="420"/>
      </w:pPr>
      <w:r>
        <w:rPr>
          <w:rFonts w:hint="eastAsia"/>
        </w:rPr>
        <w:t>应充分利用互联网、移动终端等载体，拓展住房公积金线上服务渠道，线上服务渠道包括但不限于：住房公积金自建平台、政务服务平台、第三方服务平台。</w:t>
      </w:r>
    </w:p>
    <w:p>
      <w:pPr>
        <w:pStyle w:val="67"/>
        <w:spacing w:before="120" w:after="120"/>
      </w:pPr>
      <w:r>
        <w:rPr>
          <w:rFonts w:hint="eastAsia"/>
        </w:rPr>
        <w:t>上门服务</w:t>
      </w:r>
    </w:p>
    <w:p>
      <w:pPr>
        <w:pStyle w:val="58"/>
        <w:ind w:firstLine="420"/>
      </w:pPr>
      <w:r>
        <w:rPr>
          <w:rFonts w:hint="eastAsia"/>
        </w:rPr>
        <w:t>对有需求的单位、社区及个人，住房公积金管理机构应上门提供政策宣传、业务办理等个性化精准服务。</w:t>
      </w:r>
    </w:p>
    <w:p>
      <w:pPr>
        <w:pStyle w:val="107"/>
        <w:spacing w:before="120" w:after="120"/>
      </w:pPr>
      <w:bookmarkStart w:id="54" w:name="_Toc141082920"/>
      <w:r>
        <w:rPr>
          <w:rFonts w:hint="eastAsia"/>
        </w:rPr>
        <w:t>服务要求</w:t>
      </w:r>
      <w:bookmarkEnd w:id="54"/>
    </w:p>
    <w:p>
      <w:pPr>
        <w:pStyle w:val="67"/>
        <w:spacing w:before="120" w:after="120"/>
      </w:pPr>
      <w:r>
        <w:rPr>
          <w:rFonts w:hint="eastAsia"/>
        </w:rPr>
        <w:t>线下服务要求</w:t>
      </w:r>
    </w:p>
    <w:p>
      <w:pPr>
        <w:pStyle w:val="166"/>
      </w:pPr>
      <w:r>
        <w:rPr>
          <w:rFonts w:hint="eastAsia"/>
        </w:rPr>
        <w:t>应提供全类别的服务事项受理服务，做到应办尽办。</w:t>
      </w:r>
    </w:p>
    <w:p>
      <w:pPr>
        <w:pStyle w:val="166"/>
      </w:pPr>
      <w:r>
        <w:rPr>
          <w:rFonts w:hint="eastAsia"/>
        </w:rPr>
        <w:t>应实行首问负责、一次性告知、限时办结、帮办代办、一窗受理、告知承诺制和容缺受理等服务制度。</w:t>
      </w:r>
    </w:p>
    <w:p>
      <w:pPr>
        <w:pStyle w:val="166"/>
      </w:pPr>
      <w:r>
        <w:rPr>
          <w:rFonts w:hint="eastAsia"/>
          <w:szCs w:val="21"/>
        </w:rPr>
        <w:t>宜推广</w:t>
      </w:r>
      <w:r>
        <w:rPr>
          <w:szCs w:val="21"/>
        </w:rPr>
        <w:t>24小时自助服务，</w:t>
      </w:r>
      <w:r>
        <w:rPr>
          <w:rFonts w:hint="eastAsia"/>
          <w:szCs w:val="21"/>
        </w:rPr>
        <w:t>推动自助服务终端向村（社区）、园区等场所延伸，更多服务事项全程自助办理，实现服务事项“就近办”。</w:t>
      </w:r>
    </w:p>
    <w:p>
      <w:pPr>
        <w:pStyle w:val="166"/>
      </w:pPr>
      <w:r>
        <w:rPr>
          <w:rFonts w:hint="eastAsia"/>
          <w:szCs w:val="21"/>
        </w:rPr>
        <w:t>住房公积金管理机构宜开展延时错时服务。</w:t>
      </w:r>
    </w:p>
    <w:p>
      <w:pPr>
        <w:pStyle w:val="67"/>
        <w:spacing w:before="120" w:after="120"/>
      </w:pPr>
      <w:r>
        <w:rPr>
          <w:rFonts w:hint="eastAsia"/>
        </w:rPr>
        <w:t>线上服务要求</w:t>
      </w:r>
    </w:p>
    <w:p>
      <w:pPr>
        <w:pStyle w:val="166"/>
      </w:pPr>
      <w:r>
        <w:rPr>
          <w:rFonts w:hint="eastAsia"/>
        </w:rPr>
        <w:t>应</w:t>
      </w:r>
      <w:r>
        <w:t>丰富</w:t>
      </w:r>
      <w:r>
        <w:rPr>
          <w:rFonts w:hint="eastAsia"/>
        </w:rPr>
        <w:t>线上可办的</w:t>
      </w:r>
      <w:r>
        <w:t>服务事项</w:t>
      </w:r>
      <w:r>
        <w:rPr>
          <w:rFonts w:hint="eastAsia"/>
        </w:rPr>
        <w:t>种类</w:t>
      </w:r>
      <w:r>
        <w:t>，推动更多服务事项全程网办，应提供“7×24”小时线上办事服务。</w:t>
      </w:r>
    </w:p>
    <w:p>
      <w:pPr>
        <w:pStyle w:val="166"/>
      </w:pPr>
      <w:r>
        <w:rPr>
          <w:rFonts w:hint="eastAsia"/>
        </w:rPr>
        <w:t>应按照服务对象、服务主题等方式提供分类引导服务，围绕重点高频服务事项提供集成套餐式服务。</w:t>
      </w:r>
    </w:p>
    <w:p>
      <w:pPr>
        <w:pStyle w:val="166"/>
      </w:pPr>
      <w:r>
        <w:t>宜利用多源数据为</w:t>
      </w:r>
      <w:r>
        <w:rPr>
          <w:rFonts w:hint="eastAsia"/>
        </w:rPr>
        <w:t>服务对象</w:t>
      </w:r>
      <w:r>
        <w:t>精准“画像”，主动发现服务需求，实现服务智能化、精准化推送。</w:t>
      </w:r>
    </w:p>
    <w:p>
      <w:pPr>
        <w:pStyle w:val="166"/>
      </w:pPr>
      <w:r>
        <w:t>应根据服务对象的办事需求和使用习惯，优化</w:t>
      </w:r>
      <w:r>
        <w:rPr>
          <w:rFonts w:hint="eastAsia"/>
        </w:rPr>
        <w:t>网上</w:t>
      </w:r>
      <w:r>
        <w:t>页面设计，简化办事操作，配置在线操作指引。</w:t>
      </w:r>
      <w:r>
        <w:rPr>
          <w:rFonts w:hint="eastAsia"/>
        </w:rPr>
        <w:t>应为</w:t>
      </w:r>
      <w:r>
        <w:t>老年人、</w:t>
      </w:r>
      <w:r>
        <w:rPr>
          <w:rFonts w:hint="eastAsia"/>
        </w:rPr>
        <w:t>残疾</w:t>
      </w:r>
      <w:r>
        <w:t>人提供无障碍线上服务。</w:t>
      </w:r>
    </w:p>
    <w:p>
      <w:pPr>
        <w:pStyle w:val="166"/>
      </w:pPr>
      <w:r>
        <w:t>应对服务对象提交的办理申请提供多种办理方式，包括但不限于：即时办理、承诺办理、预约办理。</w:t>
      </w:r>
    </w:p>
    <w:p>
      <w:pPr>
        <w:pStyle w:val="166"/>
      </w:pPr>
      <w:r>
        <w:t>应对服务对象申请的业务办理进行相应的信息告知，包括但不限于：</w:t>
      </w:r>
    </w:p>
    <w:p>
      <w:pPr>
        <w:pStyle w:val="176"/>
      </w:pPr>
      <w:r>
        <w:t>应对于存在风险或需承诺办理的事项予以提示告知，并设置确认环节。</w:t>
      </w:r>
    </w:p>
    <w:p>
      <w:pPr>
        <w:pStyle w:val="176"/>
      </w:pPr>
      <w:r>
        <w:t>对已经办结、办理过程中或未能办结的事项，应通过移动互联网应用程序消息、短信、电子回单、页面展示、电子邮件等方式告知服务对象办理结果，包括办理完成情况或审核未通过的具体原因。</w:t>
      </w:r>
    </w:p>
    <w:p>
      <w:pPr>
        <w:pStyle w:val="67"/>
        <w:spacing w:before="120" w:after="120"/>
      </w:pPr>
      <w:r>
        <w:rPr>
          <w:rFonts w:hint="eastAsia"/>
        </w:rPr>
        <w:t>上门服务要求</w:t>
      </w:r>
    </w:p>
    <w:p>
      <w:pPr>
        <w:pStyle w:val="58"/>
        <w:ind w:firstLine="420"/>
      </w:pPr>
      <w:r>
        <w:rPr>
          <w:rFonts w:hint="eastAsia"/>
        </w:rPr>
        <w:t>应利用移动服务终端为服务对象上门办理业务，服务人员应不少于两人，宜当时办结，做好服务记录。</w:t>
      </w:r>
    </w:p>
    <w:p>
      <w:pPr>
        <w:pStyle w:val="67"/>
        <w:spacing w:before="120" w:after="120"/>
      </w:pPr>
      <w:r>
        <w:rPr>
          <w:rFonts w:hint="eastAsia"/>
        </w:rPr>
        <w:t>信息公示</w:t>
      </w:r>
    </w:p>
    <w:p>
      <w:pPr>
        <w:pStyle w:val="96"/>
        <w:spacing w:before="120" w:after="120"/>
      </w:pPr>
      <w:r>
        <w:rPr>
          <w:rFonts w:hint="eastAsia"/>
        </w:rPr>
        <w:t>办事指南</w:t>
      </w:r>
    </w:p>
    <w:p>
      <w:pPr>
        <w:pStyle w:val="169"/>
        <w:ind w:left="284"/>
      </w:pPr>
      <w:r>
        <w:rPr>
          <w:rFonts w:hint="eastAsia"/>
        </w:rPr>
        <w:t>应根据服务事项目录和实施清单编制办事指南，对办理主体、依据、流程、结果等作出明确规范。</w:t>
      </w:r>
    </w:p>
    <w:p>
      <w:pPr>
        <w:pStyle w:val="169"/>
        <w:ind w:left="284"/>
      </w:pPr>
      <w:r>
        <w:rPr>
          <w:rFonts w:hint="eastAsia"/>
        </w:rPr>
        <w:t>办事指南包括但不限于事项名称、办理主体、办理依据、办理条件、申请材料、办理流程、办理时限、办理地点等内容。</w:t>
      </w:r>
    </w:p>
    <w:p>
      <w:pPr>
        <w:pStyle w:val="169"/>
        <w:ind w:left="284"/>
      </w:pPr>
      <w:r>
        <w:rPr>
          <w:rFonts w:hint="eastAsia"/>
        </w:rPr>
        <w:t>办事指南通过线下服务场所及线上服务渠道对外展示，应同源管理、同源发布、动态调整并支持应用程序、二维码等方式浏览查询。</w:t>
      </w:r>
    </w:p>
    <w:p>
      <w:pPr>
        <w:pStyle w:val="96"/>
        <w:spacing w:before="120" w:after="120"/>
      </w:pPr>
      <w:r>
        <w:rPr>
          <w:rFonts w:hint="eastAsia"/>
        </w:rPr>
        <w:t>信息公开</w:t>
      </w:r>
    </w:p>
    <w:p>
      <w:pPr>
        <w:pStyle w:val="58"/>
        <w:ind w:firstLine="420"/>
      </w:pPr>
      <w:r>
        <w:rPr>
          <w:rFonts w:hint="eastAsia"/>
        </w:rPr>
        <w:t>住房公积金管理机构应公开服务信息，包括但不限于：</w:t>
      </w:r>
    </w:p>
    <w:p>
      <w:pPr>
        <w:pStyle w:val="176"/>
        <w:numPr>
          <w:ilvl w:val="0"/>
          <w:numId w:val="32"/>
        </w:numPr>
      </w:pPr>
      <w:r>
        <w:rPr>
          <w:rFonts w:hint="eastAsia"/>
        </w:rPr>
        <w:t>住房公积金相关法律、法规、规章以及其他规范性文件；</w:t>
      </w:r>
    </w:p>
    <w:p>
      <w:pPr>
        <w:pStyle w:val="176"/>
      </w:pPr>
      <w:r>
        <w:rPr>
          <w:rFonts w:hint="eastAsia"/>
        </w:rPr>
        <w:t>住房公积金服务事项、实施清单和办事指南；</w:t>
      </w:r>
    </w:p>
    <w:p>
      <w:pPr>
        <w:pStyle w:val="176"/>
      </w:pPr>
      <w:r>
        <w:rPr>
          <w:rFonts w:hint="eastAsia"/>
        </w:rPr>
        <w:t>住房公积金管理机构经办网点服务时间、位置信息、咨询投诉电话。</w:t>
      </w:r>
    </w:p>
    <w:p>
      <w:pPr>
        <w:pStyle w:val="67"/>
        <w:spacing w:before="120" w:after="120"/>
      </w:pPr>
      <w:r>
        <w:rPr>
          <w:rFonts w:hint="eastAsia"/>
        </w:rPr>
        <w:t>咨询服务</w:t>
      </w:r>
    </w:p>
    <w:p>
      <w:pPr>
        <w:pStyle w:val="96"/>
        <w:spacing w:before="120" w:after="120"/>
      </w:pPr>
      <w:r>
        <w:rPr>
          <w:rFonts w:hint="eastAsia"/>
        </w:rPr>
        <w:t>服务方式</w:t>
      </w:r>
    </w:p>
    <w:p>
      <w:pPr>
        <w:pStyle w:val="169"/>
        <w:ind w:left="284"/>
      </w:pPr>
      <w:r>
        <w:rPr>
          <w:rFonts w:hint="eastAsia"/>
        </w:rPr>
        <w:t>住房公积金管理机构应设置咨询专人，提供包括但不限于1</w:t>
      </w:r>
      <w:r>
        <w:t>2329</w:t>
      </w:r>
      <w:r>
        <w:rPr>
          <w:rFonts w:hint="eastAsia"/>
        </w:rPr>
        <w:t>热线、在线咨询服务、智能文本服务、智能语音服务或视频对话服务。</w:t>
      </w:r>
    </w:p>
    <w:p>
      <w:pPr>
        <w:pStyle w:val="169"/>
        <w:ind w:left="284"/>
      </w:pPr>
      <w:r>
        <w:rPr>
          <w:rFonts w:hint="eastAsia"/>
        </w:rPr>
        <w:t>对服务对象提交的意见和建议，应主动联系及时回复，反馈办理结果，形成服务闭环。</w:t>
      </w:r>
    </w:p>
    <w:p>
      <w:pPr>
        <w:pStyle w:val="96"/>
        <w:spacing w:before="120" w:after="120"/>
      </w:pPr>
      <w:r>
        <w:rPr>
          <w:rFonts w:hint="eastAsia"/>
        </w:rPr>
        <w:t>12329热线</w:t>
      </w:r>
    </w:p>
    <w:p>
      <w:pPr>
        <w:pStyle w:val="169"/>
        <w:ind w:left="284"/>
      </w:pPr>
      <w:r>
        <w:rPr>
          <w:rFonts w:hint="eastAsia"/>
        </w:rPr>
        <w:t>住房公积金管理机构应设置12329热线，为服务对象提供政策咨询、诉求受理、业务查询与办理辅导、回访等服务。12329热线并入所在地区12345政务服务热线的，按照所在地区12345热线要求提供服务。</w:t>
      </w:r>
    </w:p>
    <w:p>
      <w:pPr>
        <w:pStyle w:val="169"/>
        <w:ind w:left="284"/>
      </w:pPr>
      <w:r>
        <w:rPr>
          <w:rFonts w:hint="eastAsia"/>
        </w:rPr>
        <w:t>12329热线应设立服务受理机构，配备服务设施，配置服务人员，建立服务机制，明确服务要求。可根据实际需要设置方言座席、少数民族语言座席或外语座席。</w:t>
      </w:r>
    </w:p>
    <w:p>
      <w:pPr>
        <w:pStyle w:val="169"/>
        <w:ind w:left="284"/>
      </w:pPr>
      <w:r>
        <w:rPr>
          <w:rFonts w:hint="eastAsia"/>
        </w:rPr>
        <w:t>12329热线宜提供“7×24小时”全天候人工服务，并建立准确、规范、查询方便、维护及时的知识库。</w:t>
      </w:r>
    </w:p>
    <w:p>
      <w:pPr>
        <w:pStyle w:val="67"/>
        <w:spacing w:before="120" w:after="120"/>
      </w:pPr>
      <w:r>
        <w:rPr>
          <w:rFonts w:hint="eastAsia"/>
        </w:rPr>
        <w:t>跨区域服务</w:t>
      </w:r>
    </w:p>
    <w:p>
      <w:pPr>
        <w:pStyle w:val="96"/>
        <w:spacing w:before="120" w:after="120"/>
      </w:pPr>
      <w:r>
        <w:rPr>
          <w:rFonts w:hint="eastAsia"/>
        </w:rPr>
        <w:t>办理模式</w:t>
      </w:r>
    </w:p>
    <w:p>
      <w:pPr>
        <w:pStyle w:val="100"/>
        <w:spacing w:before="120" w:after="120"/>
        <w:ind w:left="426"/>
      </w:pPr>
      <w:r>
        <w:rPr>
          <w:rFonts w:hint="eastAsia"/>
        </w:rPr>
        <w:t>全程网办</w:t>
      </w:r>
    </w:p>
    <w:p>
      <w:pPr>
        <w:pStyle w:val="58"/>
        <w:ind w:firstLine="420"/>
      </w:pPr>
      <w:r>
        <w:rPr>
          <w:rFonts w:hint="eastAsia"/>
        </w:rPr>
        <w:t>缴存地住房公积金管理机构应提供线上渠道办理服务对象业务申请，不受服务对象所处地域限制。</w:t>
      </w:r>
    </w:p>
    <w:p>
      <w:pPr>
        <w:pStyle w:val="100"/>
        <w:spacing w:before="120" w:after="120"/>
        <w:ind w:left="426"/>
      </w:pPr>
      <w:r>
        <w:rPr>
          <w:rFonts w:hint="eastAsia"/>
        </w:rPr>
        <w:t xml:space="preserve">异地代收代办 </w:t>
      </w:r>
    </w:p>
    <w:p>
      <w:pPr>
        <w:pStyle w:val="58"/>
        <w:ind w:firstLine="420"/>
      </w:pPr>
      <w:r>
        <w:rPr>
          <w:rFonts w:hint="eastAsia"/>
        </w:rPr>
        <w:t>未实现“全程网办”或无法通过“全程网办”办理的服务事项，住房公积金管理机构采用“收办分离”办理模式。受理地住房公积金管理机构应现场受理服务对象申请，进行身份核验和申请材料的形式审查，缴存地住房公积金管理机构进行业务审核和办理。住房公积金管理机构间应协同完成信息的传递和确认。</w:t>
      </w:r>
    </w:p>
    <w:p>
      <w:pPr>
        <w:pStyle w:val="100"/>
        <w:spacing w:before="120" w:after="120"/>
        <w:ind w:left="426"/>
      </w:pPr>
      <w:r>
        <w:rPr>
          <w:rFonts w:hint="eastAsia"/>
        </w:rPr>
        <w:t xml:space="preserve">两地联办   </w:t>
      </w:r>
    </w:p>
    <w:p>
      <w:pPr>
        <w:pStyle w:val="58"/>
        <w:ind w:firstLine="420"/>
      </w:pPr>
      <w:r>
        <w:rPr>
          <w:rFonts w:hint="eastAsia"/>
        </w:rPr>
        <w:t>受理地住房公积金管理机构应现场受理服务对象申请，进行身份核验、申请材料的形式审查和部分申请材料的真实性审查，缴存地住房公积金管理机构进行业务审核和办理。住房公积金管理机构间应协同完成信息的传递和确认。</w:t>
      </w:r>
    </w:p>
    <w:p>
      <w:pPr>
        <w:pStyle w:val="96"/>
        <w:spacing w:before="120" w:after="120"/>
      </w:pPr>
      <w:r>
        <w:rPr>
          <w:rFonts w:hint="eastAsia"/>
        </w:rPr>
        <w:t>服务协同</w:t>
      </w:r>
    </w:p>
    <w:p>
      <w:pPr>
        <w:pStyle w:val="169"/>
        <w:ind w:left="426"/>
      </w:pPr>
      <w:r>
        <w:rPr>
          <w:rFonts w:hint="eastAsia"/>
        </w:rPr>
        <w:t>住房公积金管理机构应加快推进数字化建设，按照“应上尽上”的原则，实现更多服务事项全程网办。</w:t>
      </w:r>
    </w:p>
    <w:p>
      <w:pPr>
        <w:pStyle w:val="169"/>
        <w:ind w:left="426"/>
      </w:pPr>
      <w:r>
        <w:rPr>
          <w:rFonts w:hint="eastAsia"/>
        </w:rPr>
        <w:t>应在线下渠道合理设置“跨区域服务”窗口，受理服务对象“跨区域服务”申请。</w:t>
      </w:r>
    </w:p>
    <w:p>
      <w:pPr>
        <w:pStyle w:val="169"/>
        <w:ind w:left="426"/>
      </w:pPr>
      <w:r>
        <w:rPr>
          <w:rFonts w:hint="eastAsia"/>
        </w:rPr>
        <w:t>对缴存地住房公积金管理机构已实现“全程网办”的服务事项，受理地住房公积金管理机构应引导服务对象自行登录到缴存地住房公积金管理机构线上渠道办理。无法通过“全程网办”办理或服务对象要求线下办理的，受理地住房公积金管理机构不应拒绝。</w:t>
      </w:r>
    </w:p>
    <w:p>
      <w:pPr>
        <w:pStyle w:val="169"/>
        <w:ind w:left="426"/>
      </w:pPr>
      <w:r>
        <w:rPr>
          <w:rFonts w:hint="eastAsia"/>
        </w:rPr>
        <w:t>受理地住房公积金管理机构应根据办理模式的差异对申请材料进行形式审查、身份核验和真实性审查，在规定时限内向缴存地住房公积金管理机构传递相关资料。</w:t>
      </w:r>
    </w:p>
    <w:p>
      <w:pPr>
        <w:pStyle w:val="169"/>
        <w:ind w:left="426"/>
      </w:pPr>
      <w:r>
        <w:rPr>
          <w:rFonts w:hint="eastAsia"/>
        </w:rPr>
        <w:t>缴存地住房公积金管理机构应在规定时限内接收受理地住房公积金管理机构传递的申请资料，按规定时限办结相关业务，做好归档。</w:t>
      </w:r>
    </w:p>
    <w:p>
      <w:pPr>
        <w:pStyle w:val="169"/>
        <w:ind w:left="426"/>
      </w:pPr>
      <w:r>
        <w:rPr>
          <w:rFonts w:hint="eastAsia"/>
        </w:rPr>
        <w:t>住房公积金管理机构应建立“跨区域服务”业务联系人制度，提高协查工作效率。</w:t>
      </w:r>
    </w:p>
    <w:p>
      <w:pPr>
        <w:pStyle w:val="106"/>
        <w:spacing w:before="240" w:after="240"/>
      </w:pPr>
      <w:bookmarkStart w:id="55" w:name="_Toc141082921"/>
      <w:r>
        <w:rPr>
          <w:rFonts w:hint="eastAsia"/>
        </w:rPr>
        <w:t>服务</w:t>
      </w:r>
      <w:r>
        <w:rPr>
          <w:rFonts w:hint="eastAsia"/>
          <w:lang w:eastAsia="zh-CN"/>
        </w:rPr>
        <w:t>支撑和</w:t>
      </w:r>
      <w:r>
        <w:rPr>
          <w:rFonts w:hint="eastAsia"/>
        </w:rPr>
        <w:t>保障</w:t>
      </w:r>
      <w:bookmarkEnd w:id="55"/>
    </w:p>
    <w:p>
      <w:pPr>
        <w:pStyle w:val="107"/>
        <w:spacing w:before="120" w:after="120"/>
      </w:pPr>
      <w:bookmarkStart w:id="56" w:name="_Toc141082922"/>
      <w:r>
        <w:rPr>
          <w:rFonts w:hint="eastAsia"/>
        </w:rPr>
        <w:t>电子印（签）章</w:t>
      </w:r>
      <w:bookmarkEnd w:id="56"/>
    </w:p>
    <w:p>
      <w:pPr>
        <w:pStyle w:val="58"/>
        <w:ind w:firstLine="420"/>
      </w:pPr>
      <w:r>
        <w:rPr>
          <w:rFonts w:hint="eastAsia"/>
        </w:rPr>
        <w:t>应选择具有电子政务电子认证服务资质的机构提供电子认证服务；电子印（签）章系统应符合GB/T 22239、GM/T 0029、GM/T 0030、GB/T 37092二级或以上、GB/T 37092二级或以上、GB/T 39786三级系统相关要求。</w:t>
      </w:r>
    </w:p>
    <w:p>
      <w:pPr>
        <w:pStyle w:val="107"/>
        <w:spacing w:before="120" w:after="120"/>
      </w:pPr>
      <w:bookmarkStart w:id="57" w:name="_Toc141082923"/>
      <w:r>
        <w:rPr>
          <w:rFonts w:hint="eastAsia"/>
        </w:rPr>
        <w:t>数据使用</w:t>
      </w:r>
      <w:bookmarkEnd w:id="57"/>
    </w:p>
    <w:p>
      <w:pPr>
        <w:pStyle w:val="167"/>
      </w:pPr>
      <w:r>
        <w:rPr>
          <w:rFonts w:hint="eastAsia"/>
        </w:rPr>
        <w:t>住房公积金管理机构应利用数据共享系统，实现与全国住房公积金数据平台、省级住房公积金数据共享系统、本级政务数据共享平台对接，有效共享，推动住房公积金服务事项一件事联办。</w:t>
      </w:r>
    </w:p>
    <w:p>
      <w:pPr>
        <w:pStyle w:val="167"/>
      </w:pPr>
      <w:r>
        <w:rPr>
          <w:rFonts w:hint="eastAsia"/>
        </w:rPr>
        <w:t>应加强数据全生命周期管理。建立健全数据安全内控机制，保存行为数据供追溯与统计使用。建立可靠的数据备份、恢复机制，保障数据安全和服务能力的连续性。建立数据异常使用预警与应急响应机制，保证信息的完整性和安全性。</w:t>
      </w:r>
    </w:p>
    <w:p>
      <w:pPr>
        <w:pStyle w:val="107"/>
        <w:spacing w:before="120" w:after="120"/>
      </w:pPr>
      <w:bookmarkStart w:id="58" w:name="_Toc141082924"/>
      <w:r>
        <w:rPr>
          <w:rFonts w:hint="eastAsia"/>
        </w:rPr>
        <w:t>智能应用</w:t>
      </w:r>
      <w:bookmarkEnd w:id="58"/>
    </w:p>
    <w:p>
      <w:pPr>
        <w:pStyle w:val="167"/>
      </w:pPr>
      <w:r>
        <w:rPr>
          <w:rFonts w:hint="eastAsia"/>
        </w:rPr>
        <w:t>可利用数字化技术推广智能应答、智能外呼、智能分析等应用，为服务对象提供全天候、伴随式线上智能服务。</w:t>
      </w:r>
    </w:p>
    <w:p>
      <w:pPr>
        <w:pStyle w:val="167"/>
      </w:pPr>
      <w:r>
        <w:rPr>
          <w:rFonts w:hint="eastAsia"/>
        </w:rPr>
        <w:t>宜建立智能化系统，运用大数据、云计算、智能模型、隐私计算、人工智能、物联网、区块链等新技术手段，支持视频面签、P</w:t>
      </w:r>
      <w:r>
        <w:t>AD</w:t>
      </w:r>
      <w:r>
        <w:rPr>
          <w:rFonts w:hint="eastAsia"/>
        </w:rPr>
        <w:t>移动服务等数字化、智能化服务应用场景。</w:t>
      </w:r>
    </w:p>
    <w:p>
      <w:pPr>
        <w:pStyle w:val="107"/>
        <w:spacing w:before="120" w:after="120"/>
      </w:pPr>
      <w:bookmarkStart w:id="59" w:name="_Toc141082925"/>
      <w:r>
        <w:rPr>
          <w:rFonts w:hint="eastAsia"/>
        </w:rPr>
        <w:t>安全应急</w:t>
      </w:r>
      <w:bookmarkEnd w:id="59"/>
    </w:p>
    <w:p>
      <w:pPr>
        <w:pStyle w:val="167"/>
      </w:pPr>
      <w:r>
        <w:rPr>
          <w:rFonts w:hint="eastAsia"/>
        </w:rPr>
        <w:t>信息系统的建设应符合GB/T 20269、GB/T 20271、GB/T 22239等的要求。</w:t>
      </w:r>
    </w:p>
    <w:p>
      <w:pPr>
        <w:pStyle w:val="167"/>
      </w:pPr>
      <w:r>
        <w:rPr>
          <w:rFonts w:hint="eastAsia"/>
        </w:rPr>
        <w:t>线上服务系统应与业务系统建立网络安全隔离，建立运行与维护、监测与预警的网络安全管理体系。</w:t>
      </w:r>
    </w:p>
    <w:p>
      <w:pPr>
        <w:pStyle w:val="167"/>
      </w:pPr>
      <w:r>
        <w:rPr>
          <w:rFonts w:hint="eastAsia"/>
        </w:rPr>
        <w:t>应建立与完善个人和单位信息授权机制，实现数据精准授权，确保数据使用的合法性、合规性，避免泄露用户隐私，保护服务对象的信息安全。</w:t>
      </w:r>
    </w:p>
    <w:p>
      <w:pPr>
        <w:pStyle w:val="167"/>
      </w:pPr>
      <w:r>
        <w:rPr>
          <w:rFonts w:hint="eastAsia"/>
        </w:rPr>
        <w:t>线上服务系统应与用户建立身份确认机制，在用户注册/登录/业务办理过程中，应满足安全认证要求；对用户可见信息实行相应的数据加密措施，防止服务信息泄露。</w:t>
      </w:r>
    </w:p>
    <w:p>
      <w:pPr>
        <w:pStyle w:val="167"/>
      </w:pPr>
      <w:r>
        <w:rPr>
          <w:rFonts w:hint="eastAsia"/>
        </w:rPr>
        <w:t>应遵循数据安全管理规范，加强数据应用安全管理，建立完善的数据库备份机制与数据使用的权限管理制度，防止非授权访问；敏感数据在使用过程中，应脱敏； 应对线上预约、查询、办理等业务数据使用情况进行记录，实现全过程留痕和可追溯管理。</w:t>
      </w:r>
    </w:p>
    <w:p>
      <w:pPr>
        <w:pStyle w:val="167"/>
      </w:pPr>
      <w:r>
        <w:rPr>
          <w:rFonts w:hint="eastAsia"/>
        </w:rPr>
        <w:t>应做好系统的安全防护，防护范围包括但不限于服务本身的硬件和各种接口、各种相应的外部设备等。</w:t>
      </w:r>
    </w:p>
    <w:p>
      <w:pPr>
        <w:pStyle w:val="167"/>
      </w:pPr>
      <w:r>
        <w:rPr>
          <w:rFonts w:hint="eastAsia"/>
        </w:rPr>
        <w:t xml:space="preserve">应建立火灾、自然灾害、公共卫生事件、社会安全事件等各类应急预案，并进行定期演练。  </w:t>
      </w:r>
    </w:p>
    <w:p>
      <w:pPr>
        <w:pStyle w:val="107"/>
        <w:spacing w:before="120" w:after="120"/>
      </w:pPr>
      <w:bookmarkStart w:id="60" w:name="_Toc141082926"/>
      <w:r>
        <w:rPr>
          <w:rFonts w:hint="eastAsia"/>
        </w:rPr>
        <w:t>档案管理</w:t>
      </w:r>
      <w:bookmarkEnd w:id="60"/>
    </w:p>
    <w:p>
      <w:pPr>
        <w:pStyle w:val="167"/>
      </w:pPr>
      <w:r>
        <w:rPr>
          <w:rFonts w:hint="eastAsia"/>
        </w:rPr>
        <w:t>住房公积金档案管理应包括收集、整理、归档、鉴定、统计和利用环节。</w:t>
      </w:r>
    </w:p>
    <w:p>
      <w:pPr>
        <w:pStyle w:val="167"/>
      </w:pPr>
      <w:r>
        <w:rPr>
          <w:rFonts w:hint="eastAsia"/>
        </w:rPr>
        <w:t>应建立健全档案管理制度，明确归档范围和管理责任人，收集在履行职责和实施服务过程中形成的相关资料。</w:t>
      </w:r>
    </w:p>
    <w:p>
      <w:pPr>
        <w:pStyle w:val="167"/>
      </w:pPr>
      <w:r>
        <w:rPr>
          <w:rFonts w:hint="eastAsia"/>
        </w:rPr>
        <w:t>档案资料应真实、清晰、有序、完备，符合归档要求。</w:t>
      </w:r>
    </w:p>
    <w:p>
      <w:pPr>
        <w:pStyle w:val="167"/>
      </w:pPr>
      <w:r>
        <w:rPr>
          <w:rFonts w:hint="eastAsia"/>
        </w:rPr>
        <w:t>档案资料应及时整理归档，分类定位存放，摆放整齐，标识明晰。</w:t>
      </w:r>
    </w:p>
    <w:p>
      <w:pPr>
        <w:pStyle w:val="167"/>
      </w:pPr>
      <w:r>
        <w:rPr>
          <w:rFonts w:hint="eastAsia"/>
        </w:rPr>
        <w:t>归档文件资料应在专用档案室保存或移交档案管理部门、委托档案服务外包单位保存，满足防护保密要求。</w:t>
      </w:r>
    </w:p>
    <w:p>
      <w:pPr>
        <w:pStyle w:val="167"/>
      </w:pPr>
      <w:r>
        <w:rPr>
          <w:rFonts w:hint="eastAsia"/>
        </w:rPr>
        <w:t>档案的管理应符合JGJ/T 495的规定。</w:t>
      </w:r>
    </w:p>
    <w:p>
      <w:pPr>
        <w:pStyle w:val="106"/>
        <w:spacing w:before="240" w:after="240"/>
      </w:pPr>
      <w:bookmarkStart w:id="61" w:name="_Toc141082927"/>
      <w:r>
        <w:rPr>
          <w:rFonts w:hint="eastAsia"/>
        </w:rPr>
        <w:t>服务评价与改进</w:t>
      </w:r>
      <w:bookmarkEnd w:id="61"/>
    </w:p>
    <w:p>
      <w:pPr>
        <w:pStyle w:val="107"/>
        <w:spacing w:before="120" w:after="120"/>
      </w:pPr>
      <w:bookmarkStart w:id="62" w:name="_Toc141082928"/>
      <w:r>
        <w:rPr>
          <w:rFonts w:hint="eastAsia"/>
        </w:rPr>
        <w:t>机制建立</w:t>
      </w:r>
      <w:bookmarkEnd w:id="62"/>
    </w:p>
    <w:p>
      <w:pPr>
        <w:pStyle w:val="58"/>
        <w:ind w:firstLine="420"/>
      </w:pPr>
      <w:r>
        <w:rPr>
          <w:rFonts w:hint="eastAsia"/>
        </w:rPr>
        <w:t>住房公积金管理机构应建立完善服务评价、反馈、整改、监督全流程闭环工作机制。</w:t>
      </w:r>
    </w:p>
    <w:p>
      <w:pPr>
        <w:pStyle w:val="107"/>
        <w:spacing w:before="120" w:after="120"/>
      </w:pPr>
      <w:bookmarkStart w:id="63" w:name="_Toc141082929"/>
      <w:r>
        <w:rPr>
          <w:rFonts w:hint="eastAsia"/>
        </w:rPr>
        <w:t>评价内容</w:t>
      </w:r>
      <w:bookmarkEnd w:id="63"/>
    </w:p>
    <w:p>
      <w:pPr>
        <w:pStyle w:val="58"/>
        <w:ind w:firstLine="420"/>
      </w:pPr>
      <w:r>
        <w:rPr>
          <w:rFonts w:hint="eastAsia"/>
        </w:rPr>
        <w:t>服务评价内容包括但不限于服务态度、办事程序是否便利、操作界面是否友好、服务指南是否清晰、材料手续是否精简等。</w:t>
      </w:r>
    </w:p>
    <w:p>
      <w:pPr>
        <w:pStyle w:val="107"/>
        <w:spacing w:before="120" w:after="120"/>
      </w:pPr>
      <w:bookmarkStart w:id="64" w:name="_Toc141082930"/>
      <w:r>
        <w:rPr>
          <w:rFonts w:hint="eastAsia"/>
        </w:rPr>
        <w:t>评价方式</w:t>
      </w:r>
      <w:bookmarkEnd w:id="64"/>
    </w:p>
    <w:p>
      <w:pPr>
        <w:pStyle w:val="58"/>
        <w:ind w:firstLine="420"/>
      </w:pPr>
      <w:r>
        <w:rPr>
          <w:rFonts w:hint="eastAsia"/>
        </w:rPr>
        <w:t>服务评价可采用填写满意度调查表、线上星级评价、电话回访、好差评系统、网站、小程序、微信公众号、支付宝生活号、智能AI外呼等方式进行，也可定期自我评价或委托第三方机构对服务事项的服务质量进行监督。</w:t>
      </w:r>
    </w:p>
    <w:p>
      <w:pPr>
        <w:pStyle w:val="107"/>
        <w:spacing w:before="120" w:after="120"/>
      </w:pPr>
      <w:bookmarkStart w:id="65" w:name="_Toc141082931"/>
      <w:r>
        <w:rPr>
          <w:rFonts w:hint="eastAsia"/>
        </w:rPr>
        <w:t>评价结果</w:t>
      </w:r>
      <w:bookmarkEnd w:id="65"/>
    </w:p>
    <w:p>
      <w:pPr>
        <w:pStyle w:val="58"/>
        <w:ind w:firstLine="420"/>
      </w:pPr>
      <w:r>
        <w:rPr>
          <w:rFonts w:hint="eastAsia"/>
        </w:rPr>
        <w:t>根据评价情况，应通过线上服务渠道，及时公布评价结果，接受服务对象监督。</w:t>
      </w:r>
    </w:p>
    <w:p>
      <w:pPr>
        <w:pStyle w:val="107"/>
        <w:spacing w:before="120" w:after="120"/>
      </w:pPr>
      <w:bookmarkStart w:id="66" w:name="_Toc141082932"/>
      <w:r>
        <w:rPr>
          <w:rFonts w:hint="eastAsia"/>
        </w:rPr>
        <w:t>持续改进</w:t>
      </w:r>
      <w:bookmarkEnd w:id="66"/>
    </w:p>
    <w:p>
      <w:pPr>
        <w:pStyle w:val="58"/>
        <w:ind w:firstLine="420"/>
      </w:pPr>
      <w:r>
        <w:rPr>
          <w:rFonts w:hint="eastAsia"/>
        </w:rPr>
        <w:t>建立差评和投诉问题调查核实、督促整改和反馈机制。对存在的服务差评事项应及时进行整改，分析差评原因，制定整改措施，明确整改时限，做好差评回访整改情况记录。</w:t>
      </w:r>
    </w:p>
    <w:bookmarkEnd w:id="23"/>
    <w:p>
      <w:pPr>
        <w:pStyle w:val="200"/>
        <w:rPr>
          <w:vanish w:val="0"/>
        </w:rPr>
      </w:pPr>
      <w:bookmarkStart w:id="67" w:name="BookMark5"/>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58"/>
        <w:ind w:firstLine="420"/>
      </w:pPr>
    </w:p>
    <w:p>
      <w:pPr>
        <w:pStyle w:val="201"/>
      </w:pPr>
    </w:p>
    <w:p>
      <w:pPr>
        <w:pStyle w:val="78"/>
        <w:spacing w:after="120"/>
      </w:pPr>
      <w:r>
        <w:br w:type="textWrapping"/>
      </w:r>
      <w:bookmarkStart w:id="68" w:name="_Toc141082933"/>
      <w:bookmarkStart w:id="69" w:name="_Toc135556073"/>
      <w:r>
        <w:rPr>
          <w:rFonts w:hint="eastAsia"/>
        </w:rPr>
        <w:t>（规范性）</w:t>
      </w:r>
      <w:r>
        <w:br w:type="textWrapping"/>
      </w:r>
      <w:r>
        <w:rPr>
          <w:rFonts w:hint="eastAsia"/>
        </w:rPr>
        <w:t>住房公积金视觉识别系统</w:t>
      </w:r>
      <w:bookmarkEnd w:id="68"/>
      <w:bookmarkEnd w:id="69"/>
    </w:p>
    <w:p>
      <w:pPr>
        <w:pStyle w:val="80"/>
        <w:spacing w:before="120" w:after="120"/>
      </w:pPr>
      <w:bookmarkStart w:id="70" w:name="_Toc141082934"/>
      <w:bookmarkStart w:id="71" w:name="_Toc135556074"/>
      <w:r>
        <w:rPr>
          <w:rFonts w:hint="eastAsia"/>
        </w:rPr>
        <w:t>基础部分</w:t>
      </w:r>
      <w:bookmarkEnd w:id="70"/>
      <w:bookmarkEnd w:id="71"/>
    </w:p>
    <w:p>
      <w:pPr>
        <w:pStyle w:val="81"/>
        <w:wordWrap/>
        <w:spacing w:before="120" w:after="120"/>
      </w:pPr>
      <w:r>
        <w:rPr>
          <w:rFonts w:hint="eastAsia"/>
        </w:rPr>
        <w:t>标识</w:t>
      </w:r>
    </w:p>
    <w:p>
      <w:pPr>
        <w:pStyle w:val="83"/>
        <w:spacing w:before="120" w:after="120"/>
      </w:pPr>
      <w:r>
        <w:rPr>
          <w:rFonts w:hint="eastAsia"/>
        </w:rPr>
        <w:t>制图法</w:t>
      </w:r>
    </w:p>
    <w:p>
      <w:pPr>
        <w:pStyle w:val="58"/>
        <w:ind w:firstLine="420"/>
      </w:pPr>
      <w:r>
        <w:rPr>
          <w:rFonts w:hint="eastAsia"/>
        </w:rPr>
        <w:t>标识制作时应按网格制图法，依比例制作，比例单位为A，标识缩放时宜进行等比例缩放。</w:t>
      </w:r>
    </w:p>
    <w:p>
      <w:pPr>
        <w:pStyle w:val="83"/>
        <w:spacing w:before="120" w:after="120"/>
      </w:pPr>
      <w:r>
        <w:rPr>
          <w:rFonts w:hint="eastAsia"/>
        </w:rPr>
        <w:t>标识的释义</w:t>
      </w:r>
    </w:p>
    <w:p>
      <w:pPr>
        <w:pStyle w:val="58"/>
        <w:ind w:firstLine="420"/>
      </w:pPr>
      <w:r>
        <w:rPr>
          <w:rFonts w:hint="eastAsia"/>
        </w:rPr>
        <w:t>整体设计上采用红色印章表现方式，以体现权威性，代表为缴存单位、缴存人提供高效便捷的服务是住房公积金系统的郑重承诺，红色也代表热情主动与事业发展。指向上方的“屋顶”，表明住房公积金立足解决缴存人基本住房问题，也象征住房公积金服务不断提升。下方相扣的“手”有两层寓意：一是住房公积金管理机构提供贴心周到的服务；二是缴存人通过全国住房公积金小程序等线上渠道，实现业务“掌上办”、“指尖办”。此外，标识中包含的象征资金的英文“</w:t>
      </w:r>
      <w:r>
        <w:t>F</w:t>
      </w:r>
      <w:r>
        <w:rPr>
          <w:rFonts w:hint="eastAsia"/>
        </w:rPr>
        <w:t>”与象征服务的“</w:t>
      </w:r>
      <w:r>
        <w:t>S</w:t>
      </w:r>
      <w:r>
        <w:rPr>
          <w:rFonts w:hint="eastAsia"/>
        </w:rPr>
        <w:t>”字样，也赋予了标识现代气息。</w:t>
      </w:r>
    </w:p>
    <w:p>
      <w:pPr>
        <w:pStyle w:val="58"/>
        <w:ind w:firstLine="420"/>
      </w:pPr>
      <w:r>
        <w:rPr>
          <w:rFonts w:hint="eastAsia"/>
        </w:rPr>
        <w:t>标识如图</w:t>
      </w:r>
      <w:r>
        <w:t>A.1</w:t>
      </w:r>
      <w:r>
        <w:rPr>
          <w:rFonts w:hint="eastAsia"/>
        </w:rPr>
        <w:t>所示。</w:t>
      </w:r>
    </w:p>
    <w:p>
      <w:pPr>
        <w:tabs>
          <w:tab w:val="left" w:pos="6060"/>
        </w:tabs>
        <w:spacing w:line="240" w:lineRule="auto"/>
        <w:ind w:left="105"/>
        <w:jc w:val="center"/>
      </w:pPr>
      <w:r>
        <w:drawing>
          <wp:inline distT="0" distB="0" distL="0" distR="0">
            <wp:extent cx="4565650" cy="4758690"/>
            <wp:effectExtent l="19050" t="0" r="6350" b="0"/>
            <wp:docPr id="50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 name="图片 1"/>
                    <pic:cNvPicPr>
                      <a:picLocks noChangeAspect="1" noChangeArrowheads="1"/>
                    </pic:cNvPicPr>
                  </pic:nvPicPr>
                  <pic:blipFill>
                    <a:blip r:embed="rId13"/>
                    <a:srcRect/>
                    <a:stretch>
                      <a:fillRect/>
                    </a:stretch>
                  </pic:blipFill>
                  <pic:spPr>
                    <a:xfrm>
                      <a:off x="0" y="0"/>
                      <a:ext cx="4565650" cy="475869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标识的网格制图及标准制图</w:t>
      </w:r>
    </w:p>
    <w:p>
      <w:pPr>
        <w:pStyle w:val="58"/>
        <w:ind w:firstLine="420"/>
      </w:pPr>
      <w:r>
        <w:rPr>
          <w:rFonts w:hint="eastAsia"/>
        </w:rPr>
        <w:t>标识的网格制图如图</w:t>
      </w:r>
      <w:r>
        <w:t xml:space="preserve"> A.2 </w:t>
      </w:r>
      <w:r>
        <w:rPr>
          <w:rFonts w:hint="eastAsia"/>
        </w:rPr>
        <w:t>所示，标识的标准制图如图</w:t>
      </w:r>
      <w:r>
        <w:t>A.3</w:t>
      </w:r>
      <w:r>
        <w:rPr>
          <w:rFonts w:hint="eastAsia"/>
        </w:rPr>
        <w:t>所示</w:t>
      </w:r>
      <w:r>
        <w:t>。</w:t>
      </w:r>
    </w:p>
    <w:p>
      <w:pPr>
        <w:spacing w:line="240" w:lineRule="auto"/>
        <w:ind w:left="105"/>
        <w:jc w:val="center"/>
      </w:pPr>
      <w:r>
        <w:drawing>
          <wp:inline distT="0" distB="0" distL="0" distR="0">
            <wp:extent cx="3136265" cy="3013710"/>
            <wp:effectExtent l="19050" t="0" r="6985" b="0"/>
            <wp:docPr id="50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图片 2"/>
                    <pic:cNvPicPr>
                      <a:picLocks noChangeAspect="1" noChangeArrowheads="1"/>
                    </pic:cNvPicPr>
                  </pic:nvPicPr>
                  <pic:blipFill>
                    <a:blip r:embed="rId14"/>
                    <a:srcRect l="9956" t="11743" r="8794" b="8734"/>
                    <a:stretch>
                      <a:fillRect/>
                    </a:stretch>
                  </pic:blipFill>
                  <pic:spPr>
                    <a:xfrm>
                      <a:off x="0" y="0"/>
                      <a:ext cx="3136265" cy="3013710"/>
                    </a:xfrm>
                    <a:prstGeom prst="rect">
                      <a:avLst/>
                    </a:prstGeom>
                    <a:noFill/>
                    <a:ln w="9525">
                      <a:noFill/>
                      <a:miter lim="800000"/>
                      <a:headEnd/>
                      <a:tailEnd/>
                    </a:ln>
                  </pic:spPr>
                </pic:pic>
              </a:graphicData>
            </a:graphic>
          </wp:inline>
        </w:drawing>
      </w:r>
    </w:p>
    <w:p>
      <w:pPr>
        <w:pStyle w:val="85"/>
        <w:spacing w:before="120" w:after="120"/>
      </w:pPr>
    </w:p>
    <w:p>
      <w:pPr>
        <w:pStyle w:val="85"/>
        <w:numPr>
          <w:ilvl w:val="0"/>
          <w:numId w:val="0"/>
        </w:numPr>
        <w:spacing w:before="120" w:after="120"/>
      </w:pPr>
      <w:r>
        <w:drawing>
          <wp:inline distT="0" distB="0" distL="0" distR="0">
            <wp:extent cx="3883025" cy="4919980"/>
            <wp:effectExtent l="19050" t="0" r="3175" b="0"/>
            <wp:docPr id="50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 name="图片 3"/>
                    <pic:cNvPicPr>
                      <a:picLocks noChangeAspect="1" noChangeArrowheads="1"/>
                    </pic:cNvPicPr>
                  </pic:nvPicPr>
                  <pic:blipFill>
                    <a:blip r:embed="rId15"/>
                    <a:srcRect/>
                    <a:stretch>
                      <a:fillRect/>
                    </a:stretch>
                  </pic:blipFill>
                  <pic:spPr>
                    <a:xfrm>
                      <a:off x="0" y="0"/>
                      <a:ext cx="3883025" cy="491998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标识墨图与灰度图</w:t>
      </w:r>
    </w:p>
    <w:p>
      <w:pPr>
        <w:pStyle w:val="58"/>
        <w:ind w:firstLine="420"/>
      </w:pPr>
      <w:r>
        <w:rPr>
          <w:rFonts w:hint="eastAsia"/>
        </w:rPr>
        <w:t>在标识使用过程中，如因载体条件制约而不能使用彩色标识，应使用灰度图或墨图。其中墨图主要应用于标识的注册及多种领域中的制版。如图</w:t>
      </w:r>
      <w:r>
        <w:t>A.4</w:t>
      </w:r>
      <w:r>
        <w:rPr>
          <w:rFonts w:hint="eastAsia"/>
        </w:rPr>
        <w:t>所示。</w:t>
      </w:r>
    </w:p>
    <w:p>
      <w:pPr>
        <w:spacing w:line="240" w:lineRule="auto"/>
        <w:ind w:left="105" w:firstLine="420" w:firstLineChars="200"/>
        <w:jc w:val="center"/>
      </w:pPr>
      <w:r>
        <w:drawing>
          <wp:inline distT="0" distB="0" distL="0" distR="0">
            <wp:extent cx="4352925" cy="3380740"/>
            <wp:effectExtent l="19050" t="0" r="9525" b="0"/>
            <wp:docPr id="50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图片 4"/>
                    <pic:cNvPicPr>
                      <a:picLocks noChangeAspect="1" noChangeArrowheads="1"/>
                    </pic:cNvPicPr>
                  </pic:nvPicPr>
                  <pic:blipFill>
                    <a:blip r:embed="rId16"/>
                    <a:srcRect/>
                    <a:stretch>
                      <a:fillRect/>
                    </a:stretch>
                  </pic:blipFill>
                  <pic:spPr>
                    <a:xfrm>
                      <a:off x="0" y="0"/>
                      <a:ext cx="4352925" cy="338074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标识阴阳图</w:t>
      </w:r>
    </w:p>
    <w:p>
      <w:pPr>
        <w:pStyle w:val="58"/>
        <w:ind w:firstLine="420"/>
      </w:pPr>
      <w:r>
        <w:rPr>
          <w:rFonts w:hint="eastAsia"/>
        </w:rPr>
        <w:t>阴阳图主要应用于阴版印刷和阳版印刷的制版。如图</w:t>
      </w:r>
      <w:r>
        <w:t>A.5</w:t>
      </w:r>
      <w:r>
        <w:rPr>
          <w:rFonts w:hint="eastAsia"/>
        </w:rPr>
        <w:t>所示。</w:t>
      </w:r>
    </w:p>
    <w:p>
      <w:pPr>
        <w:spacing w:line="240" w:lineRule="auto"/>
        <w:ind w:left="105"/>
        <w:jc w:val="center"/>
      </w:pPr>
      <w:r>
        <w:drawing>
          <wp:inline distT="0" distB="0" distL="0" distR="0">
            <wp:extent cx="3361690" cy="3284220"/>
            <wp:effectExtent l="19050" t="0" r="0" b="0"/>
            <wp:docPr id="50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图片 5"/>
                    <pic:cNvPicPr>
                      <a:picLocks noChangeAspect="1" noChangeArrowheads="1"/>
                    </pic:cNvPicPr>
                  </pic:nvPicPr>
                  <pic:blipFill>
                    <a:blip r:embed="rId17"/>
                    <a:srcRect/>
                    <a:stretch>
                      <a:fillRect/>
                    </a:stretch>
                  </pic:blipFill>
                  <pic:spPr>
                    <a:xfrm>
                      <a:off x="0" y="0"/>
                      <a:ext cx="3361690" cy="3284220"/>
                    </a:xfrm>
                    <a:prstGeom prst="rect">
                      <a:avLst/>
                    </a:prstGeom>
                    <a:noFill/>
                    <a:ln w="9525">
                      <a:noFill/>
                      <a:miter lim="800000"/>
                      <a:headEnd/>
                      <a:tailEnd/>
                    </a:ln>
                  </pic:spPr>
                </pic:pic>
              </a:graphicData>
            </a:graphic>
          </wp:inline>
        </w:drawing>
      </w:r>
    </w:p>
    <w:p>
      <w:pPr>
        <w:pStyle w:val="85"/>
        <w:spacing w:before="120" w:after="120"/>
      </w:pPr>
    </w:p>
    <w:p>
      <w:pPr>
        <w:spacing w:line="240" w:lineRule="auto"/>
        <w:rPr>
          <w:rFonts w:ascii="黑体" w:hAnsi="黑体" w:eastAsia="黑体" w:cs="黑体"/>
        </w:rPr>
      </w:pPr>
    </w:p>
    <w:p>
      <w:pPr>
        <w:pStyle w:val="83"/>
        <w:spacing w:before="120" w:after="120"/>
      </w:pPr>
      <w:r>
        <w:rPr>
          <w:rFonts w:hint="eastAsia"/>
        </w:rPr>
        <w:t>标识最小使用范围</w:t>
      </w:r>
    </w:p>
    <w:p>
      <w:pPr>
        <w:pStyle w:val="58"/>
        <w:ind w:firstLine="420"/>
      </w:pPr>
      <w:r>
        <w:rPr>
          <w:rFonts w:hint="eastAsia"/>
        </w:rPr>
        <w:t>标识在缩小使用中，为避免出现模糊不清的不良效果，规定最小使用尺寸，标识高度不应小于</w:t>
      </w:r>
      <w:r>
        <w:t>5mm</w:t>
      </w:r>
      <w:r>
        <w:rPr>
          <w:rFonts w:hint="eastAsia"/>
        </w:rPr>
        <w:t>。如图</w:t>
      </w:r>
      <w:r>
        <w:t>A.6</w:t>
      </w:r>
      <w:r>
        <w:rPr>
          <w:rFonts w:hint="eastAsia"/>
        </w:rPr>
        <w:t>所示。</w:t>
      </w:r>
    </w:p>
    <w:p>
      <w:pPr>
        <w:spacing w:line="240" w:lineRule="auto"/>
        <w:ind w:left="105"/>
        <w:jc w:val="center"/>
      </w:pPr>
      <w:r>
        <w:drawing>
          <wp:inline distT="0" distB="0" distL="0" distR="0">
            <wp:extent cx="3039110" cy="2762250"/>
            <wp:effectExtent l="19050" t="0" r="8890" b="0"/>
            <wp:docPr id="5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图片 6"/>
                    <pic:cNvPicPr>
                      <a:picLocks noChangeAspect="1" noChangeArrowheads="1"/>
                    </pic:cNvPicPr>
                  </pic:nvPicPr>
                  <pic:blipFill>
                    <a:blip r:embed="rId18"/>
                    <a:srcRect/>
                    <a:stretch>
                      <a:fillRect/>
                    </a:stretch>
                  </pic:blipFill>
                  <pic:spPr>
                    <a:xfrm>
                      <a:off x="0" y="0"/>
                      <a:ext cx="3039110" cy="276225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标识应用的不可侵犯范围</w:t>
      </w:r>
    </w:p>
    <w:p>
      <w:pPr>
        <w:pStyle w:val="58"/>
        <w:ind w:firstLine="420"/>
      </w:pPr>
      <w:r>
        <w:rPr>
          <w:rFonts w:hint="eastAsia"/>
        </w:rPr>
        <w:t>标识的不可侵入范围内严禁出现或使用任何文字、图形、标识等元素，以免在视觉上影响或破坏标识应用效果的完整性。如图</w:t>
      </w:r>
      <w:r>
        <w:t>A.7</w:t>
      </w:r>
      <w:r>
        <w:rPr>
          <w:rFonts w:hint="eastAsia"/>
        </w:rPr>
        <w:t>所示。</w:t>
      </w:r>
    </w:p>
    <w:p>
      <w:pPr>
        <w:pStyle w:val="58"/>
        <w:ind w:firstLine="420"/>
      </w:pPr>
    </w:p>
    <w:p>
      <w:pPr>
        <w:spacing w:line="240" w:lineRule="auto"/>
        <w:ind w:left="105"/>
        <w:jc w:val="center"/>
      </w:pPr>
      <w:r>
        <w:drawing>
          <wp:inline distT="0" distB="0" distL="0" distR="0">
            <wp:extent cx="3425825" cy="3902075"/>
            <wp:effectExtent l="19050" t="0" r="3175" b="0"/>
            <wp:docPr id="51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 name="图片 7"/>
                    <pic:cNvPicPr>
                      <a:picLocks noChangeAspect="1" noChangeArrowheads="1"/>
                    </pic:cNvPicPr>
                  </pic:nvPicPr>
                  <pic:blipFill>
                    <a:blip r:embed="rId19"/>
                    <a:srcRect/>
                    <a:stretch>
                      <a:fillRect/>
                    </a:stretch>
                  </pic:blipFill>
                  <pic:spPr>
                    <a:xfrm>
                      <a:off x="0" y="0"/>
                      <a:ext cx="3425825" cy="390207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标识标准色彩</w:t>
      </w:r>
    </w:p>
    <w:p>
      <w:pPr>
        <w:pStyle w:val="58"/>
        <w:ind w:firstLine="420"/>
      </w:pPr>
      <w:r>
        <w:rPr>
          <w:rFonts w:hint="eastAsia"/>
        </w:rPr>
        <w:t>标准色是用来象征住房公积金机构的指定颜色，色值如图</w:t>
      </w:r>
      <w:r>
        <w:t>A.8</w:t>
      </w:r>
      <w:r>
        <w:rPr>
          <w:rFonts w:hint="eastAsia"/>
        </w:rPr>
        <w:t>所示。</w:t>
      </w:r>
    </w:p>
    <w:p>
      <w:pPr>
        <w:spacing w:line="240" w:lineRule="auto"/>
        <w:ind w:left="105"/>
        <w:jc w:val="center"/>
      </w:pPr>
      <w:r>
        <w:drawing>
          <wp:inline distT="0" distB="0" distL="0" distR="0">
            <wp:extent cx="3419475" cy="2556510"/>
            <wp:effectExtent l="19050" t="0" r="9525" b="0"/>
            <wp:docPr id="5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图片 9"/>
                    <pic:cNvPicPr>
                      <a:picLocks noChangeAspect="1" noChangeArrowheads="1"/>
                    </pic:cNvPicPr>
                  </pic:nvPicPr>
                  <pic:blipFill>
                    <a:blip r:embed="rId20"/>
                    <a:srcRect/>
                    <a:stretch>
                      <a:fillRect/>
                    </a:stretch>
                  </pic:blipFill>
                  <pic:spPr>
                    <a:xfrm>
                      <a:off x="0" y="0"/>
                      <a:ext cx="3419475" cy="2556510"/>
                    </a:xfrm>
                    <a:prstGeom prst="rect">
                      <a:avLst/>
                    </a:prstGeom>
                    <a:noFill/>
                    <a:ln w="9525">
                      <a:noFill/>
                      <a:miter lim="800000"/>
                      <a:headEnd/>
                      <a:tailEnd/>
                    </a:ln>
                  </pic:spPr>
                </pic:pic>
              </a:graphicData>
            </a:graphic>
          </wp:inline>
        </w:drawing>
      </w:r>
      <w:r>
        <w:drawing>
          <wp:inline distT="0" distB="0" distL="0" distR="0">
            <wp:extent cx="4494530" cy="2092960"/>
            <wp:effectExtent l="19050" t="0" r="1270" b="0"/>
            <wp:docPr id="51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图片 8"/>
                    <pic:cNvPicPr>
                      <a:picLocks noChangeAspect="1" noChangeArrowheads="1"/>
                    </pic:cNvPicPr>
                  </pic:nvPicPr>
                  <pic:blipFill>
                    <a:blip r:embed="rId21"/>
                    <a:srcRect/>
                    <a:stretch>
                      <a:fillRect/>
                    </a:stretch>
                  </pic:blipFill>
                  <pic:spPr>
                    <a:xfrm>
                      <a:off x="0" y="0"/>
                      <a:ext cx="4494530" cy="209296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辅助色彩</w:t>
      </w:r>
    </w:p>
    <w:p>
      <w:pPr>
        <w:pStyle w:val="58"/>
        <w:ind w:firstLine="420"/>
      </w:pPr>
      <w:r>
        <w:rPr>
          <w:rFonts w:hint="eastAsia"/>
        </w:rPr>
        <w:t>辅助色是标准色的延展与补充，与标准色配合使用，可增强视觉表现力。在充分使用标准色的基础上，可视情况选择辅助颜色应用于住房公积金机构的各类传播活动。辅助色不能替代标准色使用，色值如图</w:t>
      </w:r>
      <w:r>
        <w:t>A.9</w:t>
      </w:r>
      <w:r>
        <w:rPr>
          <w:rFonts w:hint="eastAsia"/>
        </w:rPr>
        <w:t>所示。</w:t>
      </w:r>
    </w:p>
    <w:p>
      <w:pPr>
        <w:pStyle w:val="58"/>
        <w:ind w:firstLine="420"/>
        <w:jc w:val="center"/>
      </w:pPr>
      <w:r>
        <w:drawing>
          <wp:inline distT="0" distB="0" distL="0" distR="0">
            <wp:extent cx="5814695" cy="2208530"/>
            <wp:effectExtent l="19050" t="0" r="0" b="0"/>
            <wp:docPr id="5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图片 10"/>
                    <pic:cNvPicPr>
                      <a:picLocks noChangeAspect="1" noChangeArrowheads="1"/>
                    </pic:cNvPicPr>
                  </pic:nvPicPr>
                  <pic:blipFill>
                    <a:blip r:embed="rId22"/>
                    <a:srcRect b="14159"/>
                    <a:stretch>
                      <a:fillRect/>
                    </a:stretch>
                  </pic:blipFill>
                  <pic:spPr>
                    <a:xfrm>
                      <a:off x="0" y="0"/>
                      <a:ext cx="5814695" cy="220853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标识与色彩背景规范</w:t>
      </w:r>
    </w:p>
    <w:p>
      <w:pPr>
        <w:pStyle w:val="58"/>
        <w:ind w:firstLine="420"/>
      </w:pPr>
      <w:r>
        <w:rPr>
          <w:rFonts w:hint="eastAsia"/>
        </w:rPr>
        <w:t>标识与标准红、专色金、专色银和黑色、白色背景的色彩搭配关系如图</w:t>
      </w:r>
      <w:r>
        <w:t>A.10</w:t>
      </w:r>
      <w:r>
        <w:rPr>
          <w:rFonts w:hint="eastAsia"/>
        </w:rPr>
        <w:t>所示。</w:t>
      </w:r>
    </w:p>
    <w:p>
      <w:pPr>
        <w:spacing w:line="240" w:lineRule="auto"/>
        <w:jc w:val="center"/>
      </w:pPr>
      <w:r>
        <w:drawing>
          <wp:inline distT="0" distB="0" distL="0" distR="0">
            <wp:extent cx="5956300" cy="4037330"/>
            <wp:effectExtent l="19050" t="0" r="6350" b="0"/>
            <wp:docPr id="51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图片 11"/>
                    <pic:cNvPicPr>
                      <a:picLocks noChangeAspect="1" noChangeArrowheads="1"/>
                    </pic:cNvPicPr>
                  </pic:nvPicPr>
                  <pic:blipFill>
                    <a:blip r:embed="rId23"/>
                    <a:srcRect/>
                    <a:stretch>
                      <a:fillRect/>
                    </a:stretch>
                  </pic:blipFill>
                  <pic:spPr>
                    <a:xfrm>
                      <a:off x="0" y="0"/>
                      <a:ext cx="5956300" cy="403733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标识的单色、反白效果</w:t>
      </w:r>
    </w:p>
    <w:p>
      <w:pPr>
        <w:pStyle w:val="58"/>
        <w:ind w:firstLine="420"/>
      </w:pPr>
      <w:r>
        <w:rPr>
          <w:rFonts w:hint="eastAsia"/>
        </w:rPr>
        <w:t>在不宜使用标识原稿的背景下，可使用标识的反白效果；在单色基材上雕刻标识图案，可使用标识的单色效果。如图</w:t>
      </w:r>
      <w:r>
        <w:t>A.11</w:t>
      </w:r>
      <w:r>
        <w:rPr>
          <w:rFonts w:hint="eastAsia"/>
        </w:rPr>
        <w:t>所示</w:t>
      </w:r>
    </w:p>
    <w:p>
      <w:pPr>
        <w:pStyle w:val="58"/>
        <w:ind w:firstLine="420"/>
        <w:jc w:val="center"/>
      </w:pPr>
      <w:r>
        <w:drawing>
          <wp:inline distT="0" distB="0" distL="0" distR="0">
            <wp:extent cx="2949575" cy="2800985"/>
            <wp:effectExtent l="19050" t="0" r="3175" b="0"/>
            <wp:docPr id="51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图片 12"/>
                    <pic:cNvPicPr>
                      <a:picLocks noChangeAspect="1" noChangeArrowheads="1"/>
                    </pic:cNvPicPr>
                  </pic:nvPicPr>
                  <pic:blipFill>
                    <a:blip r:embed="rId24"/>
                    <a:srcRect t="6633"/>
                    <a:stretch>
                      <a:fillRect/>
                    </a:stretch>
                  </pic:blipFill>
                  <pic:spPr>
                    <a:xfrm>
                      <a:off x="0" y="0"/>
                      <a:ext cx="2949575" cy="2800985"/>
                    </a:xfrm>
                    <a:prstGeom prst="rect">
                      <a:avLst/>
                    </a:prstGeom>
                    <a:noFill/>
                    <a:ln w="9525">
                      <a:noFill/>
                      <a:miter lim="800000"/>
                      <a:headEnd/>
                      <a:tailEnd/>
                    </a:ln>
                  </pic:spPr>
                </pic:pic>
              </a:graphicData>
            </a:graphic>
          </wp:inline>
        </w:drawing>
      </w:r>
      <w:r>
        <w:drawing>
          <wp:inline distT="0" distB="0" distL="0" distR="0">
            <wp:extent cx="2633980" cy="2679065"/>
            <wp:effectExtent l="19050" t="0" r="0" b="0"/>
            <wp:docPr id="51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图片 13"/>
                    <pic:cNvPicPr>
                      <a:picLocks noChangeAspect="1" noChangeArrowheads="1"/>
                    </pic:cNvPicPr>
                  </pic:nvPicPr>
                  <pic:blipFill>
                    <a:blip r:embed="rId25"/>
                    <a:srcRect l="35252"/>
                    <a:stretch>
                      <a:fillRect/>
                    </a:stretch>
                  </pic:blipFill>
                  <pic:spPr>
                    <a:xfrm>
                      <a:off x="0" y="0"/>
                      <a:ext cx="2633980" cy="2679065"/>
                    </a:xfrm>
                    <a:prstGeom prst="rect">
                      <a:avLst/>
                    </a:prstGeom>
                    <a:noFill/>
                    <a:ln w="9525">
                      <a:noFill/>
                      <a:miter lim="800000"/>
                      <a:headEnd/>
                      <a:tailEnd/>
                    </a:ln>
                  </pic:spPr>
                </pic:pic>
              </a:graphicData>
            </a:graphic>
          </wp:inline>
        </w:drawing>
      </w:r>
    </w:p>
    <w:p>
      <w:pPr>
        <w:pStyle w:val="58"/>
        <w:ind w:firstLine="420"/>
        <w:jc w:val="center"/>
      </w:pPr>
      <w:r>
        <w:drawing>
          <wp:inline distT="0" distB="0" distL="0" distR="0">
            <wp:extent cx="4607560" cy="8180705"/>
            <wp:effectExtent l="19050" t="0" r="2150" b="0"/>
            <wp:docPr id="51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图片 61"/>
                    <pic:cNvPicPr>
                      <a:picLocks noChangeAspect="1" noChangeArrowheads="1"/>
                    </pic:cNvPicPr>
                  </pic:nvPicPr>
                  <pic:blipFill>
                    <a:blip r:embed="rId25"/>
                    <a:srcRect r="62964"/>
                    <a:stretch>
                      <a:fillRect/>
                    </a:stretch>
                  </pic:blipFill>
                  <pic:spPr>
                    <a:xfrm>
                      <a:off x="0" y="0"/>
                      <a:ext cx="4608272" cy="8181618"/>
                    </a:xfrm>
                    <a:prstGeom prst="rect">
                      <a:avLst/>
                    </a:prstGeom>
                    <a:noFill/>
                    <a:ln w="9525">
                      <a:noFill/>
                      <a:miter lim="800000"/>
                      <a:headEnd/>
                      <a:tailEnd/>
                    </a:ln>
                  </pic:spPr>
                </pic:pic>
              </a:graphicData>
            </a:graphic>
          </wp:inline>
        </w:drawing>
      </w:r>
    </w:p>
    <w:p>
      <w:pPr>
        <w:pStyle w:val="85"/>
        <w:spacing w:before="120" w:after="120"/>
      </w:pPr>
    </w:p>
    <w:p>
      <w:pPr>
        <w:pStyle w:val="81"/>
        <w:wordWrap/>
        <w:spacing w:before="120" w:after="120"/>
      </w:pPr>
      <w:r>
        <w:rPr>
          <w:rFonts w:hint="eastAsia"/>
        </w:rPr>
        <w:t>标准字</w:t>
      </w:r>
    </w:p>
    <w:p>
      <w:pPr>
        <w:pStyle w:val="83"/>
        <w:spacing w:before="120" w:after="120"/>
      </w:pPr>
      <w:r>
        <w:rPr>
          <w:rFonts w:hint="eastAsia"/>
        </w:rPr>
        <w:t>中文横式标准字</w:t>
      </w:r>
    </w:p>
    <w:p>
      <w:pPr>
        <w:pStyle w:val="58"/>
        <w:ind w:firstLine="420"/>
      </w:pPr>
      <w:r>
        <w:rPr>
          <w:rFonts w:hint="eastAsia"/>
        </w:rPr>
        <w:t>字体：汉仪松阳体</w:t>
      </w:r>
    </w:p>
    <w:p>
      <w:pPr>
        <w:pStyle w:val="58"/>
        <w:ind w:firstLine="420"/>
      </w:pPr>
      <w:r>
        <w:rPr>
          <w:rFonts w:hint="eastAsia"/>
        </w:rPr>
        <w:t>在实际应用中，标准字的位置、字体的大小，各种要素之间的比例关系等都不可以改变，只允许等比例缩放以适应不同版面的需要，绝对禁止压扁、拉伸等修改。如图</w:t>
      </w:r>
      <w:r>
        <w:t>A.12。</w:t>
      </w:r>
    </w:p>
    <w:p>
      <w:pPr>
        <w:spacing w:line="240" w:lineRule="auto"/>
        <w:jc w:val="center"/>
      </w:pPr>
      <w:r>
        <w:drawing>
          <wp:inline distT="0" distB="0" distL="0" distR="0">
            <wp:extent cx="5267325" cy="2749550"/>
            <wp:effectExtent l="19050" t="0" r="9525" b="0"/>
            <wp:docPr id="51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图片 29"/>
                    <pic:cNvPicPr>
                      <a:picLocks noChangeAspect="1" noChangeArrowheads="1"/>
                    </pic:cNvPicPr>
                  </pic:nvPicPr>
                  <pic:blipFill>
                    <a:blip r:embed="rId26"/>
                    <a:srcRect/>
                    <a:stretch>
                      <a:fillRect/>
                    </a:stretch>
                  </pic:blipFill>
                  <pic:spPr>
                    <a:xfrm>
                      <a:off x="0" y="0"/>
                      <a:ext cx="5267325" cy="2749550"/>
                    </a:xfrm>
                    <a:prstGeom prst="rect">
                      <a:avLst/>
                    </a:prstGeom>
                    <a:noFill/>
                    <a:ln w="9525">
                      <a:noFill/>
                      <a:miter lim="800000"/>
                      <a:headEnd/>
                      <a:tailEnd/>
                    </a:ln>
                  </pic:spPr>
                </pic:pic>
              </a:graphicData>
            </a:graphic>
          </wp:inline>
        </w:drawing>
      </w:r>
    </w:p>
    <w:p>
      <w:pPr>
        <w:spacing w:line="240" w:lineRule="auto"/>
        <w:jc w:val="center"/>
      </w:pPr>
      <w:r>
        <w:drawing>
          <wp:inline distT="0" distB="0" distL="0" distR="0">
            <wp:extent cx="5499100" cy="1191260"/>
            <wp:effectExtent l="19050" t="0" r="0" b="0"/>
            <wp:docPr id="52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 name="图片 14"/>
                    <pic:cNvPicPr>
                      <a:picLocks noChangeAspect="1" noChangeArrowheads="1"/>
                    </pic:cNvPicPr>
                  </pic:nvPicPr>
                  <pic:blipFill>
                    <a:blip r:embed="rId27"/>
                    <a:srcRect r="-2686" b="71971"/>
                    <a:stretch>
                      <a:fillRect/>
                    </a:stretch>
                  </pic:blipFill>
                  <pic:spPr>
                    <a:xfrm>
                      <a:off x="0" y="0"/>
                      <a:ext cx="5499100" cy="119126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英文横式标准字</w:t>
      </w:r>
    </w:p>
    <w:p>
      <w:pPr>
        <w:pStyle w:val="58"/>
        <w:ind w:firstLine="420"/>
      </w:pPr>
      <w:r>
        <w:rPr>
          <w:rFonts w:hint="eastAsia"/>
        </w:rPr>
        <w:t>字体应选用汉仪松阳体。在实际应用中，标准字的位置、字体的大小，各种要素之间的比例关系等都不可以改变，只允许等比例缩放以适应不同版面的需要，绝对禁止压扁、拉伸等修改。如图</w:t>
      </w:r>
      <w:r>
        <w:t>A.13</w:t>
      </w:r>
      <w:r>
        <w:rPr>
          <w:rFonts w:hint="eastAsia"/>
        </w:rPr>
        <w:t>所示。</w:t>
      </w:r>
    </w:p>
    <w:p>
      <w:pPr>
        <w:spacing w:line="240" w:lineRule="auto"/>
        <w:jc w:val="center"/>
      </w:pPr>
      <w:r>
        <w:drawing>
          <wp:inline distT="0" distB="0" distL="0" distR="0">
            <wp:extent cx="6156325" cy="2440305"/>
            <wp:effectExtent l="19050" t="0" r="0" b="0"/>
            <wp:docPr id="5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1" name="图片 15"/>
                    <pic:cNvPicPr>
                      <a:picLocks noChangeAspect="1" noChangeArrowheads="1"/>
                    </pic:cNvPicPr>
                  </pic:nvPicPr>
                  <pic:blipFill>
                    <a:blip r:embed="rId28"/>
                    <a:srcRect/>
                    <a:stretch>
                      <a:fillRect/>
                    </a:stretch>
                  </pic:blipFill>
                  <pic:spPr>
                    <a:xfrm>
                      <a:off x="0" y="0"/>
                      <a:ext cx="6156325" cy="244030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二级机构的中文标准字规范</w:t>
      </w:r>
    </w:p>
    <w:p>
      <w:pPr>
        <w:pStyle w:val="58"/>
        <w:ind w:firstLine="420"/>
      </w:pPr>
      <w:r>
        <w:rPr>
          <w:rFonts w:hint="eastAsia"/>
        </w:rPr>
        <w:t>字体应选用汉仪松阳体。在实际应用中，标准字的位置、字体的大小，各种要素之间的比例关系等都不可以改变，只允许等比例缩放以适应不同版面的需要，绝对禁止压扁、拉伸等修改。如图</w:t>
      </w:r>
      <w:r>
        <w:t>A.14</w:t>
      </w:r>
      <w:r>
        <w:rPr>
          <w:rFonts w:hint="eastAsia"/>
        </w:rPr>
        <w:t>所示。</w:t>
      </w:r>
    </w:p>
    <w:p>
      <w:pPr>
        <w:spacing w:line="240" w:lineRule="auto"/>
        <w:jc w:val="center"/>
      </w:pPr>
      <w:r>
        <w:drawing>
          <wp:inline distT="0" distB="0" distL="0" distR="0">
            <wp:extent cx="4276090" cy="1964055"/>
            <wp:effectExtent l="19050" t="0" r="0" b="0"/>
            <wp:docPr id="52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图片 16"/>
                    <pic:cNvPicPr>
                      <a:picLocks noChangeAspect="1" noChangeArrowheads="1"/>
                    </pic:cNvPicPr>
                  </pic:nvPicPr>
                  <pic:blipFill>
                    <a:blip r:embed="rId29"/>
                    <a:srcRect/>
                    <a:stretch>
                      <a:fillRect/>
                    </a:stretch>
                  </pic:blipFill>
                  <pic:spPr>
                    <a:xfrm>
                      <a:off x="0" y="0"/>
                      <a:ext cx="4276090" cy="1964055"/>
                    </a:xfrm>
                    <a:prstGeom prst="rect">
                      <a:avLst/>
                    </a:prstGeom>
                    <a:noFill/>
                    <a:ln w="9525">
                      <a:noFill/>
                      <a:miter lim="800000"/>
                      <a:headEnd/>
                      <a:tailEnd/>
                    </a:ln>
                  </pic:spPr>
                </pic:pic>
              </a:graphicData>
            </a:graphic>
          </wp:inline>
        </w:drawing>
      </w:r>
      <w:r>
        <w:drawing>
          <wp:inline distT="0" distB="0" distL="0" distR="0">
            <wp:extent cx="3663950" cy="2814320"/>
            <wp:effectExtent l="19050" t="0" r="0" b="0"/>
            <wp:docPr id="523"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图片 17"/>
                    <pic:cNvPicPr>
                      <a:picLocks noChangeAspect="1" noChangeArrowheads="1"/>
                    </pic:cNvPicPr>
                  </pic:nvPicPr>
                  <pic:blipFill>
                    <a:blip r:embed="rId30"/>
                    <a:srcRect/>
                    <a:stretch>
                      <a:fillRect/>
                    </a:stretch>
                  </pic:blipFill>
                  <pic:spPr>
                    <a:xfrm>
                      <a:off x="0" y="0"/>
                      <a:ext cx="3663950" cy="281432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二级机构的英文标准字规范</w:t>
      </w:r>
    </w:p>
    <w:p>
      <w:pPr>
        <w:pStyle w:val="58"/>
        <w:ind w:firstLine="420"/>
      </w:pPr>
      <w:r>
        <w:rPr>
          <w:rFonts w:hint="eastAsia"/>
        </w:rPr>
        <w:t>字体应选用汉仪松阳体。在实际应用中，标准字的位置、字体的大小，各种要素之间的比例关系等都不可以改变，只允许等比例缩放以适应不同版面的需要，绝对禁止压扁、拉伸等修改。如图</w:t>
      </w:r>
      <w:r>
        <w:t>A.15</w:t>
      </w:r>
      <w:r>
        <w:rPr>
          <w:rFonts w:hint="eastAsia"/>
        </w:rPr>
        <w:t>所示</w:t>
      </w:r>
    </w:p>
    <w:p>
      <w:pPr>
        <w:spacing w:line="240" w:lineRule="auto"/>
        <w:ind w:firstLine="420" w:firstLineChars="200"/>
        <w:jc w:val="center"/>
      </w:pPr>
      <w:r>
        <w:drawing>
          <wp:inline distT="0" distB="0" distL="0" distR="0">
            <wp:extent cx="5158105" cy="2195830"/>
            <wp:effectExtent l="19050" t="0" r="4445" b="0"/>
            <wp:docPr id="52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图片 18"/>
                    <pic:cNvPicPr>
                      <a:picLocks noChangeAspect="1" noChangeArrowheads="1"/>
                    </pic:cNvPicPr>
                  </pic:nvPicPr>
                  <pic:blipFill>
                    <a:blip r:embed="rId31"/>
                    <a:srcRect/>
                    <a:stretch>
                      <a:fillRect/>
                    </a:stretch>
                  </pic:blipFill>
                  <pic:spPr>
                    <a:xfrm>
                      <a:off x="0" y="0"/>
                      <a:ext cx="5158105" cy="2195830"/>
                    </a:xfrm>
                    <a:prstGeom prst="rect">
                      <a:avLst/>
                    </a:prstGeom>
                    <a:noFill/>
                    <a:ln w="9525">
                      <a:noFill/>
                      <a:miter lim="800000"/>
                      <a:headEnd/>
                      <a:tailEnd/>
                    </a:ln>
                  </pic:spPr>
                </pic:pic>
              </a:graphicData>
            </a:graphic>
          </wp:inline>
        </w:drawing>
      </w:r>
    </w:p>
    <w:p>
      <w:pPr>
        <w:pStyle w:val="85"/>
        <w:spacing w:before="120" w:after="120"/>
      </w:pPr>
    </w:p>
    <w:p>
      <w:pPr>
        <w:pStyle w:val="81"/>
        <w:wordWrap/>
        <w:spacing w:before="120" w:after="120"/>
      </w:pPr>
      <w:r>
        <w:rPr>
          <w:rFonts w:hint="eastAsia"/>
        </w:rPr>
        <w:t>组合规范</w:t>
      </w:r>
    </w:p>
    <w:p>
      <w:pPr>
        <w:pStyle w:val="83"/>
        <w:spacing w:before="120" w:after="120"/>
      </w:pPr>
      <w:r>
        <w:rPr>
          <w:rFonts w:hint="eastAsia"/>
        </w:rPr>
        <w:t>标识与中英文横式组合规范</w:t>
      </w:r>
    </w:p>
    <w:p>
      <w:pPr>
        <w:pStyle w:val="58"/>
        <w:ind w:firstLine="420"/>
      </w:pPr>
      <w:r>
        <w:rPr>
          <w:rFonts w:hint="eastAsia"/>
        </w:rPr>
        <w:t>如图A.16所示。</w:t>
      </w:r>
    </w:p>
    <w:p>
      <w:pPr>
        <w:spacing w:line="240" w:lineRule="auto"/>
        <w:jc w:val="center"/>
      </w:pPr>
      <w:r>
        <w:drawing>
          <wp:inline distT="0" distB="0" distL="0" distR="0">
            <wp:extent cx="2884805" cy="914400"/>
            <wp:effectExtent l="19050" t="0" r="0" b="0"/>
            <wp:docPr id="525"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图片 19"/>
                    <pic:cNvPicPr>
                      <a:picLocks noChangeAspect="1" noChangeArrowheads="1"/>
                    </pic:cNvPicPr>
                  </pic:nvPicPr>
                  <pic:blipFill>
                    <a:blip r:embed="rId32"/>
                    <a:srcRect/>
                    <a:stretch>
                      <a:fillRect/>
                    </a:stretch>
                  </pic:blipFill>
                  <pic:spPr>
                    <a:xfrm>
                      <a:off x="0" y="0"/>
                      <a:ext cx="2884805" cy="914400"/>
                    </a:xfrm>
                    <a:prstGeom prst="rect">
                      <a:avLst/>
                    </a:prstGeom>
                    <a:noFill/>
                    <a:ln w="9525">
                      <a:noFill/>
                      <a:miter lim="800000"/>
                      <a:headEnd/>
                      <a:tailEnd/>
                    </a:ln>
                  </pic:spPr>
                </pic:pic>
              </a:graphicData>
            </a:graphic>
          </wp:inline>
        </w:drawing>
      </w:r>
      <w:r>
        <w:drawing>
          <wp:inline distT="0" distB="0" distL="0" distR="0">
            <wp:extent cx="2929890" cy="1158875"/>
            <wp:effectExtent l="19050" t="0" r="3810" b="0"/>
            <wp:docPr id="52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图片 21"/>
                    <pic:cNvPicPr>
                      <a:picLocks noChangeAspect="1" noChangeArrowheads="1"/>
                    </pic:cNvPicPr>
                  </pic:nvPicPr>
                  <pic:blipFill>
                    <a:blip r:embed="rId33"/>
                    <a:srcRect/>
                    <a:stretch>
                      <a:fillRect/>
                    </a:stretch>
                  </pic:blipFill>
                  <pic:spPr>
                    <a:xfrm>
                      <a:off x="0" y="0"/>
                      <a:ext cx="2929890" cy="1158875"/>
                    </a:xfrm>
                    <a:prstGeom prst="rect">
                      <a:avLst/>
                    </a:prstGeom>
                    <a:noFill/>
                    <a:ln w="9525">
                      <a:noFill/>
                      <a:miter lim="800000"/>
                      <a:headEnd/>
                      <a:tailEnd/>
                    </a:ln>
                  </pic:spPr>
                </pic:pic>
              </a:graphicData>
            </a:graphic>
          </wp:inline>
        </w:drawing>
      </w:r>
    </w:p>
    <w:p>
      <w:pPr>
        <w:pStyle w:val="85"/>
        <w:spacing w:before="120" w:after="120"/>
      </w:pPr>
    </w:p>
    <w:p>
      <w:pPr>
        <w:spacing w:line="240" w:lineRule="auto"/>
        <w:rPr>
          <w:rFonts w:ascii="黑体" w:hAnsi="黑体" w:eastAsia="黑体" w:cs="黑体"/>
        </w:rPr>
      </w:pPr>
    </w:p>
    <w:p>
      <w:pPr>
        <w:pStyle w:val="83"/>
        <w:spacing w:before="120" w:after="120"/>
      </w:pPr>
      <w:r>
        <w:rPr>
          <w:rFonts w:hint="eastAsia"/>
        </w:rPr>
        <w:t>标识与中英文中轴式组合规范</w:t>
      </w:r>
    </w:p>
    <w:p>
      <w:pPr>
        <w:pStyle w:val="58"/>
        <w:ind w:firstLine="420"/>
      </w:pPr>
      <w:r>
        <w:rPr>
          <w:rFonts w:hint="eastAsia"/>
        </w:rPr>
        <w:t>如图A.17所示。</w:t>
      </w:r>
    </w:p>
    <w:p>
      <w:pPr>
        <w:spacing w:line="240" w:lineRule="auto"/>
        <w:ind w:left="105"/>
        <w:jc w:val="center"/>
      </w:pPr>
      <w:r>
        <w:drawing>
          <wp:inline distT="0" distB="0" distL="0" distR="0">
            <wp:extent cx="2035175" cy="1609725"/>
            <wp:effectExtent l="19050" t="0" r="3175" b="0"/>
            <wp:docPr id="527"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图片 22"/>
                    <pic:cNvPicPr>
                      <a:picLocks noChangeAspect="1" noChangeArrowheads="1"/>
                    </pic:cNvPicPr>
                  </pic:nvPicPr>
                  <pic:blipFill>
                    <a:blip r:embed="rId34"/>
                    <a:srcRect/>
                    <a:stretch>
                      <a:fillRect/>
                    </a:stretch>
                  </pic:blipFill>
                  <pic:spPr>
                    <a:xfrm>
                      <a:off x="0" y="0"/>
                      <a:ext cx="2035175" cy="1609725"/>
                    </a:xfrm>
                    <a:prstGeom prst="rect">
                      <a:avLst/>
                    </a:prstGeom>
                    <a:noFill/>
                    <a:ln w="9525">
                      <a:noFill/>
                      <a:miter lim="800000"/>
                      <a:headEnd/>
                      <a:tailEnd/>
                    </a:ln>
                  </pic:spPr>
                </pic:pic>
              </a:graphicData>
            </a:graphic>
          </wp:inline>
        </w:drawing>
      </w:r>
      <w:r>
        <w:drawing>
          <wp:inline distT="0" distB="0" distL="0" distR="0">
            <wp:extent cx="2343785" cy="1809750"/>
            <wp:effectExtent l="19050" t="0" r="0" b="0"/>
            <wp:docPr id="528"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图片 24"/>
                    <pic:cNvPicPr>
                      <a:picLocks noChangeAspect="1" noChangeArrowheads="1"/>
                    </pic:cNvPicPr>
                  </pic:nvPicPr>
                  <pic:blipFill>
                    <a:blip r:embed="rId35"/>
                    <a:srcRect/>
                    <a:stretch>
                      <a:fillRect/>
                    </a:stretch>
                  </pic:blipFill>
                  <pic:spPr>
                    <a:xfrm>
                      <a:off x="0" y="0"/>
                      <a:ext cx="2343785" cy="180975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pict>
          <v:shape id="_x0000_s1079" o:spid="_x0000_s1079" o:spt="202" type="#_x0000_t202" style="position:absolute;left:0pt;margin-left:-231.55pt;margin-top:12.7pt;height:24pt;width:80pt;z-index:251666432;mso-width-relative:page;mso-height-relative:page;" stroked="f" coordsize="21600,21600" o:gfxdata="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4NOBQ1AAAAAoBAAAPAAAAAAAA&#10;AAEAIAAAACIAAABkcnMvZG93bnJldi54bWxQSwECFAAUAAAACACHTuJADtzzQU8CAACRBAAADgAA&#10;AAAAAAABACAAAAAjAQAAZHJzL2Uyb0RvYy54bWxQSwUGAAAAAAYABgBZAQAA5AUAAAAA&#10;">
            <v:path/>
            <v:fill focussize="0,0"/>
            <v:stroke on="f" weight="0.5pt" joinstyle="miter"/>
            <v:imagedata o:title=""/>
            <o:lock v:ext="edit"/>
            <v:textbox>
              <w:txbxContent>
                <w:p>
                  <w:r>
                    <w:rPr>
                      <w:rFonts w:hint="eastAsia"/>
                    </w:rPr>
                    <w:t>图</w:t>
                  </w:r>
                  <w:r>
                    <w:t>A.17</w:t>
                  </w:r>
                </w:p>
              </w:txbxContent>
            </v:textbox>
          </v:shape>
        </w:pict>
      </w:r>
      <w:bookmarkStart w:id="72" w:name="_Hlk135504491"/>
      <w:r>
        <w:rPr>
          <w:rFonts w:hint="eastAsia"/>
        </w:rPr>
        <w:t>标识与中英文竖式组合规范</w:t>
      </w:r>
    </w:p>
    <w:bookmarkEnd w:id="72"/>
    <w:p>
      <w:pPr>
        <w:pStyle w:val="58"/>
        <w:ind w:firstLine="420"/>
      </w:pPr>
      <w:r>
        <w:pict>
          <v:shape id="_x0000_s1078" o:spid="_x0000_s1078" o:spt="202" type="#_x0000_t202" style="position:absolute;left:0pt;margin-left:-237pt;margin-top:43.05pt;height:24pt;width:80pt;z-index:251665408;mso-width-relative:page;mso-height-relative:page;" stroked="f" coordsize="21600,21600" o:gfxdata="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CwKqFt1AAAAAoBAAAPAAAAAAAA&#10;AAEAIAAAACIAAABkcnMvZG93bnJldi54bWxQSwECFAAUAAAACACHTuJAWtXerk8CAACRBAAADgAA&#10;AAAAAAABACAAAAAjAQAAZHJzL2Uyb0RvYy54bWxQSwUGAAAAAAYABgBZAQAA5AUAAAAA&#10;">
            <v:path/>
            <v:fill focussize="0,0"/>
            <v:stroke on="f" weight="0.5pt" joinstyle="miter"/>
            <v:imagedata o:title=""/>
            <o:lock v:ext="edit"/>
            <v:textbox>
              <w:txbxContent>
                <w:p>
                  <w:r>
                    <w:rPr>
                      <w:rFonts w:hint="eastAsia"/>
                    </w:rPr>
                    <w:t>图</w:t>
                  </w:r>
                  <w:r>
                    <w:t>A 17</w:t>
                  </w:r>
                </w:p>
              </w:txbxContent>
            </v:textbox>
          </v:shape>
        </w:pict>
      </w:r>
      <w:r>
        <w:rPr>
          <w:rFonts w:hint="eastAsia"/>
        </w:rPr>
        <w:t>如图A.18所示。</w:t>
      </w:r>
    </w:p>
    <w:p>
      <w:pPr>
        <w:spacing w:line="240" w:lineRule="auto"/>
        <w:ind w:left="105"/>
        <w:jc w:val="center"/>
      </w:pPr>
      <w:r>
        <w:drawing>
          <wp:inline distT="0" distB="0" distL="0" distR="0">
            <wp:extent cx="2350135" cy="2968625"/>
            <wp:effectExtent l="19050" t="0" r="0" b="0"/>
            <wp:docPr id="529"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图片 25"/>
                    <pic:cNvPicPr>
                      <a:picLocks noChangeAspect="1" noChangeArrowheads="1"/>
                    </pic:cNvPicPr>
                  </pic:nvPicPr>
                  <pic:blipFill>
                    <a:blip r:embed="rId36"/>
                    <a:srcRect/>
                    <a:stretch>
                      <a:fillRect/>
                    </a:stretch>
                  </pic:blipFill>
                  <pic:spPr>
                    <a:xfrm>
                      <a:off x="0" y="0"/>
                      <a:ext cx="2350135" cy="2968625"/>
                    </a:xfrm>
                    <a:prstGeom prst="rect">
                      <a:avLst/>
                    </a:prstGeom>
                    <a:noFill/>
                    <a:ln w="9525">
                      <a:noFill/>
                      <a:miter lim="800000"/>
                      <a:headEnd/>
                      <a:tailEnd/>
                    </a:ln>
                  </pic:spPr>
                </pic:pic>
              </a:graphicData>
            </a:graphic>
          </wp:inline>
        </w:drawing>
      </w:r>
      <w:r>
        <w:drawing>
          <wp:inline distT="0" distB="0" distL="0" distR="0">
            <wp:extent cx="3335655" cy="2974975"/>
            <wp:effectExtent l="19050" t="0" r="0" b="0"/>
            <wp:docPr id="530"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图片 26"/>
                    <pic:cNvPicPr>
                      <a:picLocks noChangeAspect="1" noChangeArrowheads="1"/>
                    </pic:cNvPicPr>
                  </pic:nvPicPr>
                  <pic:blipFill>
                    <a:blip r:embed="rId37"/>
                    <a:srcRect/>
                    <a:stretch>
                      <a:fillRect/>
                    </a:stretch>
                  </pic:blipFill>
                  <pic:spPr>
                    <a:xfrm>
                      <a:off x="0" y="0"/>
                      <a:ext cx="3335655" cy="297497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二级机构标识与中英文横式组合规范</w:t>
      </w:r>
    </w:p>
    <w:p>
      <w:pPr>
        <w:pStyle w:val="58"/>
        <w:ind w:firstLine="420"/>
      </w:pPr>
      <w:r>
        <w:rPr>
          <w:rFonts w:hint="eastAsia"/>
        </w:rPr>
        <w:t>如图A.19所示。</w:t>
      </w:r>
    </w:p>
    <w:p>
      <w:pPr>
        <w:spacing w:line="240" w:lineRule="auto"/>
        <w:ind w:left="105"/>
        <w:jc w:val="center"/>
      </w:pPr>
      <w:r>
        <w:drawing>
          <wp:inline distT="0" distB="0" distL="0" distR="0">
            <wp:extent cx="4127500" cy="817880"/>
            <wp:effectExtent l="19050" t="0" r="6350" b="0"/>
            <wp:docPr id="531"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图片 28"/>
                    <pic:cNvPicPr>
                      <a:picLocks noChangeAspect="1" noChangeArrowheads="1"/>
                    </pic:cNvPicPr>
                  </pic:nvPicPr>
                  <pic:blipFill>
                    <a:blip r:embed="rId38"/>
                    <a:srcRect/>
                    <a:stretch>
                      <a:fillRect/>
                    </a:stretch>
                  </pic:blipFill>
                  <pic:spPr>
                    <a:xfrm>
                      <a:off x="0" y="0"/>
                      <a:ext cx="4127500" cy="817880"/>
                    </a:xfrm>
                    <a:prstGeom prst="rect">
                      <a:avLst/>
                    </a:prstGeom>
                    <a:noFill/>
                    <a:ln w="9525">
                      <a:noFill/>
                      <a:miter lim="800000"/>
                      <a:headEnd/>
                      <a:tailEnd/>
                    </a:ln>
                  </pic:spPr>
                </pic:pic>
              </a:graphicData>
            </a:graphic>
          </wp:inline>
        </w:drawing>
      </w:r>
    </w:p>
    <w:p>
      <w:pPr>
        <w:spacing w:line="240" w:lineRule="auto"/>
        <w:ind w:left="105"/>
        <w:jc w:val="center"/>
      </w:pPr>
      <w:r>
        <w:drawing>
          <wp:inline distT="0" distB="0" distL="0" distR="0">
            <wp:extent cx="4893945" cy="2214880"/>
            <wp:effectExtent l="19050" t="0" r="1905" b="0"/>
            <wp:docPr id="532"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图片 29"/>
                    <pic:cNvPicPr>
                      <a:picLocks noChangeAspect="1" noChangeArrowheads="1"/>
                    </pic:cNvPicPr>
                  </pic:nvPicPr>
                  <pic:blipFill>
                    <a:blip r:embed="rId39"/>
                    <a:srcRect/>
                    <a:stretch>
                      <a:fillRect/>
                    </a:stretch>
                  </pic:blipFill>
                  <pic:spPr>
                    <a:xfrm>
                      <a:off x="0" y="0"/>
                      <a:ext cx="4893945" cy="221488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二级机构标识与中英文中轴式组合规范</w:t>
      </w:r>
    </w:p>
    <w:p>
      <w:pPr>
        <w:pStyle w:val="58"/>
        <w:ind w:firstLine="420"/>
      </w:pPr>
      <w:r>
        <w:rPr>
          <w:rFonts w:hint="eastAsia"/>
        </w:rPr>
        <w:t>如图A.20所示。</w:t>
      </w:r>
    </w:p>
    <w:p>
      <w:pPr>
        <w:spacing w:line="240" w:lineRule="auto"/>
        <w:ind w:left="105"/>
        <w:jc w:val="center"/>
      </w:pPr>
      <w:r>
        <w:drawing>
          <wp:inline distT="0" distB="0" distL="0" distR="0">
            <wp:extent cx="4984115" cy="1790065"/>
            <wp:effectExtent l="19050" t="0" r="6985" b="0"/>
            <wp:docPr id="5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图片 27"/>
                    <pic:cNvPicPr>
                      <a:picLocks noChangeAspect="1" noChangeArrowheads="1"/>
                    </pic:cNvPicPr>
                  </pic:nvPicPr>
                  <pic:blipFill>
                    <a:blip r:embed="rId40"/>
                    <a:srcRect/>
                    <a:stretch>
                      <a:fillRect/>
                    </a:stretch>
                  </pic:blipFill>
                  <pic:spPr>
                    <a:xfrm>
                      <a:off x="0" y="0"/>
                      <a:ext cx="4984115" cy="1790065"/>
                    </a:xfrm>
                    <a:prstGeom prst="rect">
                      <a:avLst/>
                    </a:prstGeom>
                    <a:noFill/>
                    <a:ln w="9525">
                      <a:noFill/>
                      <a:miter lim="800000"/>
                      <a:headEnd/>
                      <a:tailEnd/>
                    </a:ln>
                  </pic:spPr>
                </pic:pic>
              </a:graphicData>
            </a:graphic>
          </wp:inline>
        </w:drawing>
      </w:r>
    </w:p>
    <w:p>
      <w:pPr>
        <w:spacing w:line="240" w:lineRule="auto"/>
        <w:ind w:left="105"/>
        <w:jc w:val="center"/>
      </w:pPr>
      <w:r>
        <w:drawing>
          <wp:inline distT="0" distB="0" distL="0" distR="0">
            <wp:extent cx="5190490" cy="2543810"/>
            <wp:effectExtent l="19050" t="0" r="0" b="0"/>
            <wp:docPr id="534"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图片 30"/>
                    <pic:cNvPicPr>
                      <a:picLocks noChangeAspect="1" noChangeArrowheads="1"/>
                    </pic:cNvPicPr>
                  </pic:nvPicPr>
                  <pic:blipFill>
                    <a:blip r:embed="rId41"/>
                    <a:srcRect/>
                    <a:stretch>
                      <a:fillRect/>
                    </a:stretch>
                  </pic:blipFill>
                  <pic:spPr>
                    <a:xfrm>
                      <a:off x="0" y="0"/>
                      <a:ext cx="5190490" cy="254381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二级机构标识与中英文竖式组合规范</w:t>
      </w:r>
    </w:p>
    <w:p>
      <w:pPr>
        <w:pStyle w:val="58"/>
        <w:ind w:firstLine="420"/>
      </w:pPr>
      <w:r>
        <w:rPr>
          <w:rFonts w:hint="eastAsia"/>
        </w:rPr>
        <w:t>如图A.21所示。</w:t>
      </w:r>
    </w:p>
    <w:p>
      <w:pPr>
        <w:tabs>
          <w:tab w:val="center" w:pos="4153"/>
        </w:tabs>
        <w:spacing w:line="240" w:lineRule="auto"/>
        <w:ind w:left="105"/>
        <w:jc w:val="center"/>
      </w:pPr>
      <w:r>
        <w:drawing>
          <wp:inline distT="0" distB="0" distL="0" distR="0">
            <wp:extent cx="4069715" cy="5795645"/>
            <wp:effectExtent l="19050" t="0" r="6985" b="0"/>
            <wp:docPr id="535"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图片 31"/>
                    <pic:cNvPicPr>
                      <a:picLocks noChangeAspect="1" noChangeArrowheads="1"/>
                    </pic:cNvPicPr>
                  </pic:nvPicPr>
                  <pic:blipFill>
                    <a:blip r:embed="rId42"/>
                    <a:srcRect/>
                    <a:stretch>
                      <a:fillRect/>
                    </a:stretch>
                  </pic:blipFill>
                  <pic:spPr>
                    <a:xfrm>
                      <a:off x="0" y="0"/>
                      <a:ext cx="4069715" cy="5795645"/>
                    </a:xfrm>
                    <a:prstGeom prst="rect">
                      <a:avLst/>
                    </a:prstGeom>
                    <a:noFill/>
                    <a:ln w="9525">
                      <a:noFill/>
                      <a:miter lim="800000"/>
                      <a:headEnd/>
                      <a:tailEnd/>
                    </a:ln>
                  </pic:spPr>
                </pic:pic>
              </a:graphicData>
            </a:graphic>
          </wp:inline>
        </w:drawing>
      </w:r>
    </w:p>
    <w:p>
      <w:pPr>
        <w:pStyle w:val="85"/>
        <w:spacing w:before="120" w:after="120"/>
      </w:pPr>
    </w:p>
    <w:p>
      <w:pPr>
        <w:pStyle w:val="81"/>
        <w:wordWrap/>
        <w:spacing w:before="120" w:after="120"/>
      </w:pPr>
      <w:r>
        <w:rPr>
          <w:rFonts w:hint="eastAsia"/>
        </w:rPr>
        <w:t>标识的禁用</w:t>
      </w:r>
    </w:p>
    <w:p>
      <w:pPr>
        <w:pStyle w:val="58"/>
        <w:ind w:firstLine="420"/>
      </w:pPr>
      <w:r>
        <w:rPr>
          <w:rFonts w:hint="eastAsia"/>
        </w:rPr>
        <w:t>不应对标识的色彩、比例、字体、位置关系、间距、字距、方向各项规定进行更改；不应对标识进行加框、立体化、网线化等处理；不应对标识进行变形、压扁、斜向等改变。</w:t>
      </w:r>
    </w:p>
    <w:p>
      <w:pPr>
        <w:pStyle w:val="80"/>
        <w:spacing w:before="120" w:after="120"/>
      </w:pPr>
      <w:bookmarkStart w:id="73" w:name="_Toc135556075"/>
      <w:r>
        <w:br w:type="page"/>
      </w:r>
      <w:bookmarkStart w:id="74" w:name="_Toc141082935"/>
      <w:r>
        <w:rPr>
          <w:rFonts w:hint="eastAsia"/>
        </w:rPr>
        <w:t>应用部分</w:t>
      </w:r>
      <w:bookmarkEnd w:id="73"/>
      <w:bookmarkEnd w:id="74"/>
    </w:p>
    <w:p>
      <w:pPr>
        <w:pStyle w:val="81"/>
        <w:wordWrap/>
        <w:spacing w:before="120" w:after="120"/>
      </w:pPr>
      <w:r>
        <w:rPr>
          <w:rFonts w:hint="eastAsia"/>
        </w:rPr>
        <w:t>外部环境</w:t>
      </w:r>
    </w:p>
    <w:p>
      <w:pPr>
        <w:pStyle w:val="83"/>
        <w:spacing w:before="120" w:after="120"/>
      </w:pPr>
      <w:r>
        <w:rPr>
          <w:rFonts w:hint="eastAsia"/>
        </w:rPr>
        <w:t>门楣</w:t>
      </w:r>
    </w:p>
    <w:p>
      <w:pPr>
        <w:pStyle w:val="84"/>
        <w:spacing w:before="120" w:after="120"/>
      </w:pPr>
      <w:r>
        <w:rPr>
          <w:rFonts w:hint="eastAsia"/>
        </w:rPr>
        <w:t>灯箱门楣</w:t>
      </w:r>
    </w:p>
    <w:p>
      <w:pPr>
        <w:pStyle w:val="86"/>
        <w:spacing w:before="120" w:after="120"/>
      </w:pPr>
      <w:r>
        <w:rPr>
          <w:rFonts w:hint="eastAsia"/>
        </w:rPr>
        <w:t>总体要求</w:t>
      </w:r>
    </w:p>
    <w:p>
      <w:pPr>
        <w:pStyle w:val="58"/>
        <w:ind w:firstLine="420"/>
      </w:pPr>
      <w:r>
        <w:rPr>
          <w:rFonts w:hint="eastAsia"/>
        </w:rPr>
        <w:t>灯箱门楣样式包括横式门楣和竖式门楣，门楣由背景区域和标识区域组成。标识区域为白色背景，住房公积金标识位于标识区域中心；背景区域为标识标准红色。住房公积金管理机构根据实际情况选择合适的灯箱门楣样式，并按照缩放要求应用。</w:t>
      </w:r>
    </w:p>
    <w:p>
      <w:pPr>
        <w:pStyle w:val="86"/>
        <w:spacing w:before="120" w:after="120"/>
      </w:pPr>
      <w:r>
        <w:rPr>
          <w:rFonts w:hint="eastAsia"/>
        </w:rPr>
        <w:t>横式门楣</w:t>
      </w:r>
    </w:p>
    <w:p>
      <w:pPr>
        <w:pStyle w:val="58"/>
        <w:ind w:firstLine="420"/>
      </w:pPr>
      <w:r>
        <w:rPr>
          <w:rFonts w:hint="eastAsia"/>
        </w:rPr>
        <w:t>标识：应符合标识与中英文横式组合规范</w:t>
      </w:r>
      <w:r>
        <w:t>A</w:t>
      </w:r>
      <w:r>
        <w:rPr>
          <w:rFonts w:hint="eastAsia"/>
        </w:rPr>
        <w:t>.</w:t>
      </w:r>
      <w:r>
        <w:t>1.3.1。</w:t>
      </w:r>
    </w:p>
    <w:p>
      <w:pPr>
        <w:pStyle w:val="58"/>
        <w:ind w:firstLine="420"/>
      </w:pPr>
      <w:r>
        <w:rPr>
          <w:rFonts w:hint="eastAsia"/>
        </w:rPr>
        <w:t>标准尺寸：标识区域为</w:t>
      </w:r>
      <w:r>
        <w:t>4.8</w:t>
      </w:r>
      <w:r>
        <w:rPr>
          <w:rFonts w:hint="eastAsia" w:ascii="等线" w:hAnsi="等线" w:eastAsia="等线" w:cs="MS Gothic"/>
        </w:rPr>
        <w:t>×</w:t>
      </w:r>
      <w:r>
        <w:t>0.9m</w:t>
      </w:r>
      <w:r>
        <w:rPr>
          <w:rFonts w:hint="eastAsia"/>
        </w:rPr>
        <w:t>，整体尺寸为</w:t>
      </w:r>
      <w:r>
        <w:t>6.8</w:t>
      </w:r>
      <w:r>
        <w:rPr>
          <w:rFonts w:hint="eastAsia" w:ascii="等线" w:hAnsi="等线" w:eastAsia="等线" w:cs="MS Gothic"/>
        </w:rPr>
        <w:t>×</w:t>
      </w:r>
      <w:r>
        <w:t>1m</w:t>
      </w:r>
      <w:r>
        <w:rPr>
          <w:rFonts w:hint="eastAsia"/>
        </w:rPr>
        <w:t>，标准尺寸为最小尺寸，不可缩小使用。</w:t>
      </w:r>
    </w:p>
    <w:p>
      <w:pPr>
        <w:pStyle w:val="58"/>
        <w:ind w:firstLine="420"/>
      </w:pPr>
      <w:r>
        <w:rPr>
          <w:rFonts w:hint="eastAsia"/>
        </w:rPr>
        <w:t>缩放要求：以标准尺寸下标识区域的长宽比4.8</w:t>
      </w:r>
      <w:r>
        <w:t>:</w:t>
      </w:r>
      <w:r>
        <w:rPr>
          <w:rFonts w:hint="eastAsia"/>
        </w:rPr>
        <w:t>0.9为固定比例，等比例放大使用。门楣整体长宽比小于</w:t>
      </w:r>
      <w:r>
        <w:t>13.6:1</w:t>
      </w:r>
      <w:r>
        <w:rPr>
          <w:rFonts w:hint="eastAsia"/>
        </w:rPr>
        <w:t>只设置一组标识区域，在</w:t>
      </w:r>
      <w:r>
        <w:t>13.6:1</w:t>
      </w:r>
      <w:r>
        <w:rPr>
          <w:rFonts w:hint="eastAsia"/>
        </w:rPr>
        <w:t>至</w:t>
      </w:r>
      <w:r>
        <w:t>20.4:1</w:t>
      </w:r>
      <w:r>
        <w:rPr>
          <w:rFonts w:hint="eastAsia"/>
        </w:rPr>
        <w:t>之间，设置两组标识区域；当比例达到</w:t>
      </w:r>
      <w:r>
        <w:t>20.4:1</w:t>
      </w:r>
      <w:r>
        <w:rPr>
          <w:rFonts w:hint="eastAsia"/>
        </w:rPr>
        <w:t>至</w:t>
      </w:r>
      <w:r>
        <w:t>27.2:1</w:t>
      </w:r>
      <w:r>
        <w:rPr>
          <w:rFonts w:hint="eastAsia"/>
        </w:rPr>
        <w:t>时设置三组标识区域，以此类推。各标识区域之间的背景区域（α）长度相同，两侧背景区域（β）长度相同，且α和β长度比为</w:t>
      </w:r>
      <w:r>
        <w:t>2:1</w:t>
      </w:r>
      <w:r>
        <w:rPr>
          <w:rFonts w:hint="eastAsia"/>
        </w:rPr>
        <w:t>。</w:t>
      </w:r>
    </w:p>
    <w:p>
      <w:pPr>
        <w:pStyle w:val="86"/>
        <w:spacing w:before="120" w:after="120"/>
      </w:pPr>
      <w:r>
        <w:rPr>
          <w:rFonts w:hint="eastAsia"/>
        </w:rPr>
        <w:t>竖式门楣</w:t>
      </w:r>
    </w:p>
    <w:p>
      <w:pPr>
        <w:pStyle w:val="58"/>
        <w:ind w:firstLine="420"/>
      </w:pPr>
      <w:r>
        <w:rPr>
          <w:rFonts w:hint="eastAsia"/>
        </w:rPr>
        <w:t>标识：应符合标识与中英文竖式组合规范</w:t>
      </w:r>
      <w:r>
        <w:t>A</w:t>
      </w:r>
      <w:r>
        <w:rPr>
          <w:rFonts w:hint="eastAsia"/>
        </w:rPr>
        <w:t>.</w:t>
      </w:r>
      <w:r>
        <w:t>1.3.3</w:t>
      </w:r>
      <w:r>
        <w:rPr>
          <w:rFonts w:hint="eastAsia"/>
        </w:rPr>
        <w:t>。</w:t>
      </w:r>
    </w:p>
    <w:p>
      <w:pPr>
        <w:pStyle w:val="58"/>
        <w:ind w:firstLine="420"/>
      </w:pPr>
      <w:r>
        <w:rPr>
          <w:rFonts w:hint="eastAsia"/>
        </w:rPr>
        <w:t>标准尺寸：标识区域标准尺寸为</w:t>
      </w:r>
      <w:r>
        <w:t>0.9</w:t>
      </w:r>
      <w:r>
        <w:rPr>
          <w:rFonts w:hint="eastAsia" w:ascii="等线" w:hAnsi="等线" w:eastAsia="等线" w:cs="MS Gothic"/>
        </w:rPr>
        <w:t>×</w:t>
      </w:r>
      <w:r>
        <w:t>4m</w:t>
      </w:r>
      <w:r>
        <w:rPr>
          <w:rFonts w:hint="eastAsia"/>
        </w:rPr>
        <w:t>，不可缩放使用。整体尺寸可在</w:t>
      </w:r>
      <w:r>
        <w:t>1</w:t>
      </w:r>
      <w:r>
        <w:rPr>
          <w:rFonts w:hint="eastAsia" w:ascii="等线" w:hAnsi="等线" w:eastAsia="等线" w:cs="MS Gothic"/>
        </w:rPr>
        <w:t>×</w:t>
      </w:r>
      <w:r>
        <w:t>5m</w:t>
      </w:r>
      <w:r>
        <w:rPr>
          <w:rFonts w:hint="eastAsia"/>
        </w:rPr>
        <w:t>、</w:t>
      </w:r>
      <w:r>
        <w:t>1</w:t>
      </w:r>
      <w:r>
        <w:rPr>
          <w:rFonts w:hint="eastAsia" w:ascii="等线" w:hAnsi="等线" w:eastAsia="等线" w:cs="MS Gothic"/>
        </w:rPr>
        <w:t>×</w:t>
      </w:r>
      <w:r>
        <w:t>6m</w:t>
      </w:r>
      <w:r>
        <w:rPr>
          <w:rFonts w:hint="eastAsia"/>
        </w:rPr>
        <w:t>、</w:t>
      </w:r>
      <w:r>
        <w:t>1</w:t>
      </w:r>
      <w:r>
        <w:rPr>
          <w:rFonts w:hint="eastAsia" w:ascii="等线" w:hAnsi="等线" w:eastAsia="等线" w:cs="MS Gothic"/>
        </w:rPr>
        <w:t>×</w:t>
      </w:r>
      <w:r>
        <w:t>8m</w:t>
      </w:r>
      <w:r>
        <w:rPr>
          <w:rFonts w:hint="eastAsia"/>
        </w:rPr>
        <w:t>三款中选择使用。</w:t>
      </w:r>
    </w:p>
    <w:p>
      <w:pPr>
        <w:pStyle w:val="58"/>
        <w:ind w:firstLine="420"/>
      </w:pPr>
      <w:r>
        <w:rPr>
          <w:rFonts w:hint="eastAsia"/>
        </w:rPr>
        <w:t>门楣招牌使用红白立体结构灯箱</w:t>
      </w:r>
      <w:r>
        <w:t>+</w:t>
      </w:r>
      <w:r>
        <w:rPr>
          <w:rFonts w:hint="eastAsia"/>
        </w:rPr>
        <w:t>立体字。</w:t>
      </w:r>
    </w:p>
    <w:p>
      <w:pPr>
        <w:pStyle w:val="58"/>
        <w:ind w:firstLine="420"/>
      </w:pPr>
      <w:r>
        <w:rPr>
          <w:rFonts w:hint="eastAsia"/>
        </w:rPr>
        <w:t>门楣采用钢架结构安装于墙体之上，整体为内置灯灯箱。</w:t>
      </w:r>
    </w:p>
    <w:p>
      <w:pPr>
        <w:pStyle w:val="58"/>
        <w:ind w:firstLine="420"/>
      </w:pPr>
      <w:r>
        <w:rPr>
          <w:rFonts w:hint="eastAsia"/>
        </w:rPr>
        <w:t>门楣结构金属边框烤漆，边框部分颜色与面板颜色一致。前置面板为进口</w:t>
      </w:r>
      <w:r>
        <w:t>3</w:t>
      </w:r>
      <w:r>
        <w:rPr>
          <w:rFonts w:hint="eastAsia"/>
        </w:rPr>
        <w:t>年期或</w:t>
      </w:r>
      <w:r>
        <w:t>5</w:t>
      </w:r>
      <w:r>
        <w:rPr>
          <w:rFonts w:hint="eastAsia"/>
        </w:rPr>
        <w:t>年期</w:t>
      </w:r>
      <w:r>
        <w:t>3M</w:t>
      </w:r>
      <w:r>
        <w:rPr>
          <w:rFonts w:hint="eastAsia"/>
        </w:rPr>
        <w:t>灯布</w:t>
      </w:r>
      <w:r>
        <w:t>(</w:t>
      </w:r>
      <w:r>
        <w:rPr>
          <w:rFonts w:hint="eastAsia"/>
        </w:rPr>
        <w:t>白色</w:t>
      </w:r>
      <w:r>
        <w:t>)</w:t>
      </w:r>
      <w:r>
        <w:rPr>
          <w:rFonts w:hint="eastAsia"/>
        </w:rPr>
        <w:t>，后置面板为进口</w:t>
      </w:r>
      <w:r>
        <w:t>3</w:t>
      </w:r>
      <w:r>
        <w:rPr>
          <w:rFonts w:hint="eastAsia"/>
        </w:rPr>
        <w:t>年期或</w:t>
      </w:r>
      <w:r>
        <w:t>5</w:t>
      </w:r>
      <w:r>
        <w:rPr>
          <w:rFonts w:hint="eastAsia"/>
        </w:rPr>
        <w:t>年期</w:t>
      </w:r>
      <w:r>
        <w:t>3M</w:t>
      </w:r>
      <w:r>
        <w:rPr>
          <w:rFonts w:hint="eastAsia"/>
        </w:rPr>
        <w:t>灯布</w:t>
      </w:r>
      <w:r>
        <w:t>(</w:t>
      </w:r>
      <w:r>
        <w:rPr>
          <w:rFonts w:hint="eastAsia"/>
        </w:rPr>
        <w:t>红色</w:t>
      </w:r>
      <w:r>
        <w:t>)</w:t>
      </w:r>
      <w:r>
        <w:rPr>
          <w:rFonts w:hint="eastAsia"/>
        </w:rPr>
        <w:t>，可覆高透</w:t>
      </w:r>
      <w:r>
        <w:t>3M</w:t>
      </w:r>
      <w:r>
        <w:rPr>
          <w:rFonts w:hint="eastAsia"/>
        </w:rPr>
        <w:t>膜。</w:t>
      </w:r>
    </w:p>
    <w:p>
      <w:pPr>
        <w:pStyle w:val="58"/>
        <w:ind w:firstLine="420"/>
      </w:pPr>
      <w:r>
        <w:rPr>
          <w:rFonts w:hint="eastAsia"/>
        </w:rPr>
        <w:t>标识部分为不锈钢立体包边字，哑光烤漆或者亚克力字（为不发光字）。</w:t>
      </w:r>
    </w:p>
    <w:p>
      <w:pPr>
        <w:pStyle w:val="58"/>
        <w:ind w:firstLine="420"/>
      </w:pPr>
      <w:r>
        <w:rPr>
          <w:rFonts w:hint="eastAsia"/>
        </w:rPr>
        <w:t>示例如图</w:t>
      </w:r>
      <w:r>
        <w:t>A.22</w:t>
      </w:r>
      <w:r>
        <w:rPr>
          <w:rFonts w:hint="eastAsia"/>
        </w:rPr>
        <w:t>所示。</w:t>
      </w:r>
    </w:p>
    <w:p>
      <w:pPr>
        <w:spacing w:line="240" w:lineRule="auto"/>
      </w:pPr>
      <w:r>
        <w:drawing>
          <wp:inline distT="0" distB="0" distL="0" distR="0">
            <wp:extent cx="5937250" cy="3181350"/>
            <wp:effectExtent l="19050" t="0" r="6350" b="0"/>
            <wp:docPr id="536" name="图片 17" descr="ment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图片 17" descr="mentou"/>
                    <pic:cNvPicPr>
                      <a:picLocks noChangeAspect="1" noChangeArrowheads="1"/>
                    </pic:cNvPicPr>
                  </pic:nvPicPr>
                  <pic:blipFill>
                    <a:blip r:embed="rId43"/>
                    <a:srcRect/>
                    <a:stretch>
                      <a:fillRect/>
                    </a:stretch>
                  </pic:blipFill>
                  <pic:spPr>
                    <a:xfrm>
                      <a:off x="0" y="0"/>
                      <a:ext cx="5937250" cy="3181350"/>
                    </a:xfrm>
                    <a:prstGeom prst="rect">
                      <a:avLst/>
                    </a:prstGeom>
                    <a:noFill/>
                    <a:ln w="9525">
                      <a:noFill/>
                      <a:miter lim="800000"/>
                      <a:headEnd/>
                      <a:tailEnd/>
                    </a:ln>
                  </pic:spPr>
                </pic:pic>
              </a:graphicData>
            </a:graphic>
          </wp:inline>
        </w:drawing>
      </w:r>
    </w:p>
    <w:p>
      <w:pPr>
        <w:pStyle w:val="85"/>
        <w:spacing w:before="120" w:after="120"/>
      </w:pPr>
    </w:p>
    <w:p>
      <w:pPr>
        <w:pStyle w:val="84"/>
        <w:spacing w:before="120" w:after="120"/>
      </w:pPr>
      <w:r>
        <w:rPr>
          <w:rFonts w:hint="eastAsia"/>
        </w:rPr>
        <w:t>发光字门楣</w:t>
      </w:r>
    </w:p>
    <w:p>
      <w:pPr>
        <w:pStyle w:val="58"/>
        <w:ind w:firstLine="420"/>
      </w:pPr>
      <w:r>
        <w:rPr>
          <w:rFonts w:hint="eastAsia"/>
        </w:rPr>
        <w:t>发光字门楣样式包括横式门楣和竖式门楣，标识应分别符合标识与中英文横式组合规范</w:t>
      </w:r>
      <w:r>
        <w:t>A1.3.1</w:t>
      </w:r>
      <w:r>
        <w:rPr>
          <w:rFonts w:hint="eastAsia"/>
        </w:rPr>
        <w:t>或标识与中英文竖式组合规范</w:t>
      </w:r>
      <w:r>
        <w:t>A1.3.3</w:t>
      </w:r>
      <w:r>
        <w:rPr>
          <w:rFonts w:hint="eastAsia"/>
        </w:rPr>
        <w:t>。住房公积金管理机构根据实际情况选择合适的发光字门楣样式，等比例缩放使用。横式最小尺寸比例为</w:t>
      </w:r>
      <w:r>
        <w:t>4:1</w:t>
      </w:r>
      <w:r>
        <w:rPr>
          <w:rFonts w:hint="eastAsia"/>
        </w:rPr>
        <w:t>，竖式最小尺寸比例为</w:t>
      </w:r>
      <w:r>
        <w:t>4.75:1</w:t>
      </w:r>
      <w:r>
        <w:rPr>
          <w:rFonts w:hint="eastAsia"/>
        </w:rPr>
        <w:t>或</w:t>
      </w:r>
      <w:r>
        <w:t>5.43:1</w:t>
      </w:r>
      <w:r>
        <w:rPr>
          <w:rFonts w:hint="eastAsia"/>
        </w:rPr>
        <w:t>，主体标识为发光效果。示例如图</w:t>
      </w:r>
      <w:r>
        <w:t>A.23</w:t>
      </w:r>
      <w:r>
        <w:rPr>
          <w:rFonts w:hint="eastAsia"/>
        </w:rPr>
        <w:t>所示。</w:t>
      </w:r>
    </w:p>
    <w:p>
      <w:pPr>
        <w:pStyle w:val="85"/>
        <w:numPr>
          <w:ilvl w:val="0"/>
          <w:numId w:val="0"/>
        </w:numPr>
        <w:spacing w:before="120" w:after="120"/>
      </w:pPr>
      <w:r>
        <w:drawing>
          <wp:inline distT="0" distB="0" distL="0" distR="0">
            <wp:extent cx="5396230" cy="4276090"/>
            <wp:effectExtent l="19050" t="0" r="0" b="0"/>
            <wp:docPr id="537"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图片 8"/>
                    <pic:cNvPicPr>
                      <a:picLocks noChangeAspect="1" noChangeArrowheads="1"/>
                    </pic:cNvPicPr>
                  </pic:nvPicPr>
                  <pic:blipFill>
                    <a:blip r:embed="rId44"/>
                    <a:srcRect/>
                    <a:stretch>
                      <a:fillRect/>
                    </a:stretch>
                  </pic:blipFill>
                  <pic:spPr>
                    <a:xfrm>
                      <a:off x="0" y="0"/>
                      <a:ext cx="5396230" cy="4276090"/>
                    </a:xfrm>
                    <a:prstGeom prst="rect">
                      <a:avLst/>
                    </a:prstGeom>
                    <a:noFill/>
                    <a:ln w="9525">
                      <a:noFill/>
                      <a:miter lim="800000"/>
                      <a:headEnd/>
                      <a:tailEnd/>
                    </a:ln>
                  </pic:spPr>
                </pic:pic>
              </a:graphicData>
            </a:graphic>
          </wp:inline>
        </w:drawing>
      </w:r>
      <w:r>
        <w:drawing>
          <wp:inline distT="0" distB="0" distL="0" distR="0">
            <wp:extent cx="5377180" cy="3136265"/>
            <wp:effectExtent l="19050" t="0" r="0" b="0"/>
            <wp:docPr id="538"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图片 19"/>
                    <pic:cNvPicPr>
                      <a:picLocks noChangeAspect="1" noChangeArrowheads="1"/>
                    </pic:cNvPicPr>
                  </pic:nvPicPr>
                  <pic:blipFill>
                    <a:blip r:embed="rId45"/>
                    <a:srcRect/>
                    <a:stretch>
                      <a:fillRect/>
                    </a:stretch>
                  </pic:blipFill>
                  <pic:spPr>
                    <a:xfrm>
                      <a:off x="0" y="0"/>
                      <a:ext cx="5377180" cy="313626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营业时间牌</w:t>
      </w:r>
    </w:p>
    <w:p>
      <w:pPr>
        <w:pStyle w:val="58"/>
        <w:ind w:firstLine="420"/>
      </w:pPr>
      <w:r>
        <w:rPr>
          <w:rFonts w:hint="eastAsia"/>
        </w:rPr>
        <w:t>门牌以突出住房公积金形象为主，各网点营业厅门牌请参照样稿标准组合。网点营业部名称排于机构标识组合下方，根据文字多少可左右延伸，但必须以纵向中心线对齐。</w:t>
      </w:r>
    </w:p>
    <w:p>
      <w:pPr>
        <w:pStyle w:val="58"/>
        <w:ind w:firstLine="420"/>
      </w:pPr>
      <w:r>
        <w:rPr>
          <w:rFonts w:hint="eastAsia"/>
        </w:rPr>
        <w:t>门牌安装于正门左侧前面（三个出入口以上也适应此安装方法），但如果正门为两个出入口则安装在正中门柱。</w:t>
      </w:r>
    </w:p>
    <w:p>
      <w:pPr>
        <w:pStyle w:val="58"/>
        <w:ind w:firstLine="420"/>
      </w:pPr>
      <w:r>
        <w:rPr>
          <w:rFonts w:hint="eastAsia"/>
        </w:rPr>
        <w:t>规格：</w:t>
      </w:r>
      <w:r>
        <w:t>400mm x 600mm</w:t>
      </w:r>
      <w:r>
        <w:rPr>
          <w:rFonts w:hint="eastAsia"/>
        </w:rPr>
        <w:t>，</w:t>
      </w:r>
      <w:r>
        <w:t>500mm x 750mm</w:t>
      </w:r>
      <w:r>
        <w:rPr>
          <w:rFonts w:hint="eastAsia"/>
        </w:rPr>
        <w:t>，</w:t>
      </w:r>
      <w:r>
        <w:t xml:space="preserve"> 600mm x 900mm</w:t>
      </w:r>
      <w:r>
        <w:rPr>
          <w:rFonts w:hint="eastAsia"/>
        </w:rPr>
        <w:t>，可根据实际按比例调整</w:t>
      </w:r>
    </w:p>
    <w:p>
      <w:pPr>
        <w:pStyle w:val="58"/>
        <w:ind w:firstLine="420"/>
      </w:pPr>
      <w:r>
        <w:rPr>
          <w:rFonts w:hint="eastAsia"/>
        </w:rPr>
        <w:t>材质：建议选择不锈钢或者铝板，也可根据实际自行选定其他材质</w:t>
      </w:r>
    </w:p>
    <w:p>
      <w:pPr>
        <w:pStyle w:val="58"/>
        <w:ind w:firstLine="420"/>
      </w:pPr>
      <w:r>
        <w:rPr>
          <w:rFonts w:hint="eastAsia"/>
        </w:rPr>
        <w:t>工艺：建议采用文字、图案丝网印刷，外壳烤漆等，也可根据实际自行选定其他工艺</w:t>
      </w:r>
    </w:p>
    <w:p>
      <w:pPr>
        <w:pStyle w:val="58"/>
        <w:ind w:firstLine="420"/>
      </w:pPr>
      <w:r>
        <w:rPr>
          <w:rFonts w:hint="eastAsia"/>
        </w:rPr>
        <w:t>正面：组合效果依照样稿，画面文字内容除标志部分不可更改，其它部分文字根据实际情况做更改</w:t>
      </w:r>
    </w:p>
    <w:p>
      <w:pPr>
        <w:pStyle w:val="58"/>
        <w:ind w:firstLine="420"/>
      </w:pPr>
      <w:r>
        <w:rPr>
          <w:rFonts w:hint="eastAsia"/>
        </w:rPr>
        <w:t>正文字体：汉仪松阳体</w:t>
      </w:r>
    </w:p>
    <w:p>
      <w:pPr>
        <w:pStyle w:val="58"/>
        <w:ind w:firstLine="420"/>
      </w:pPr>
      <w:r>
        <w:rPr>
          <w:rFonts w:hint="eastAsia"/>
        </w:rPr>
        <w:t>示例如图</w:t>
      </w:r>
      <w:r>
        <w:t>A.24。</w:t>
      </w:r>
    </w:p>
    <w:p>
      <w:pPr>
        <w:pStyle w:val="85"/>
        <w:numPr>
          <w:ilvl w:val="0"/>
          <w:numId w:val="0"/>
        </w:numPr>
        <w:spacing w:before="120" w:after="120"/>
      </w:pPr>
      <w:r>
        <w:drawing>
          <wp:inline distT="0" distB="0" distL="0" distR="0">
            <wp:extent cx="3709035" cy="3232785"/>
            <wp:effectExtent l="19050" t="0" r="5715" b="0"/>
            <wp:docPr id="539" name="图片 20" descr="时间牌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图片 20" descr="时间牌A"/>
                    <pic:cNvPicPr>
                      <a:picLocks noChangeAspect="1" noChangeArrowheads="1"/>
                    </pic:cNvPicPr>
                  </pic:nvPicPr>
                  <pic:blipFill>
                    <a:blip r:embed="rId46"/>
                    <a:srcRect/>
                    <a:stretch>
                      <a:fillRect/>
                    </a:stretch>
                  </pic:blipFill>
                  <pic:spPr>
                    <a:xfrm>
                      <a:off x="0" y="0"/>
                      <a:ext cx="3709035" cy="3232785"/>
                    </a:xfrm>
                    <a:prstGeom prst="rect">
                      <a:avLst/>
                    </a:prstGeom>
                    <a:noFill/>
                    <a:ln w="9525">
                      <a:noFill/>
                      <a:miter lim="800000"/>
                      <a:headEnd/>
                      <a:tailEnd/>
                    </a:ln>
                  </pic:spPr>
                </pic:pic>
              </a:graphicData>
            </a:graphic>
          </wp:inline>
        </w:drawing>
      </w:r>
    </w:p>
    <w:p>
      <w:pPr>
        <w:pStyle w:val="85"/>
        <w:numPr>
          <w:ilvl w:val="0"/>
          <w:numId w:val="0"/>
        </w:numPr>
        <w:spacing w:before="120" w:after="120"/>
      </w:pPr>
      <w:r>
        <w:drawing>
          <wp:inline distT="0" distB="0" distL="0" distR="0">
            <wp:extent cx="3702685" cy="3097530"/>
            <wp:effectExtent l="19050" t="0" r="0" b="0"/>
            <wp:docPr id="540" name="图片 21" descr="时间牌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图片 21" descr="时间牌B"/>
                    <pic:cNvPicPr>
                      <a:picLocks noChangeAspect="1" noChangeArrowheads="1"/>
                    </pic:cNvPicPr>
                  </pic:nvPicPr>
                  <pic:blipFill>
                    <a:blip r:embed="rId47"/>
                    <a:srcRect/>
                    <a:stretch>
                      <a:fillRect/>
                    </a:stretch>
                  </pic:blipFill>
                  <pic:spPr>
                    <a:xfrm>
                      <a:off x="0" y="0"/>
                      <a:ext cx="3702685" cy="309753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玻璃门腰线、警示贴</w:t>
      </w:r>
    </w:p>
    <w:p>
      <w:pPr>
        <w:pStyle w:val="58"/>
        <w:ind w:firstLine="420"/>
      </w:pPr>
      <w:r>
        <w:rPr>
          <w:rFonts w:hint="eastAsia"/>
        </w:rPr>
        <w:t>玻璃警示贴及门开向标识为丝网印刷的透明贴膜，规格统一，高度离地面1100mm。</w:t>
      </w:r>
    </w:p>
    <w:p>
      <w:pPr>
        <w:pStyle w:val="58"/>
        <w:ind w:firstLine="420"/>
      </w:pPr>
      <w:r>
        <w:rPr>
          <w:rFonts w:hint="eastAsia"/>
        </w:rPr>
        <w:t>玻璃门腰线制作要求：</w:t>
      </w:r>
    </w:p>
    <w:p>
      <w:pPr>
        <w:pStyle w:val="134"/>
      </w:pPr>
      <w:r>
        <w:rPr>
          <w:rFonts w:hint="eastAsia"/>
        </w:rPr>
        <w:t>规格：高为100mm。</w:t>
      </w:r>
    </w:p>
    <w:p>
      <w:pPr>
        <w:pStyle w:val="134"/>
      </w:pPr>
      <w:r>
        <w:rPr>
          <w:rFonts w:hint="eastAsia"/>
        </w:rPr>
        <w:t>材质：透明磨砂贴。</w:t>
      </w:r>
    </w:p>
    <w:p>
      <w:pPr>
        <w:pStyle w:val="134"/>
      </w:pPr>
      <w:r>
        <w:rPr>
          <w:rFonts w:hint="eastAsia"/>
        </w:rPr>
        <w:t>工艺：雕刻 粘贴。</w:t>
      </w:r>
    </w:p>
    <w:p>
      <w:pPr>
        <w:pStyle w:val="134"/>
      </w:pPr>
      <w:r>
        <w:rPr>
          <w:rFonts w:hint="eastAsia"/>
        </w:rPr>
        <w:t>标志：标识中英文横式组合或二级机构标识与中英文横式组合。</w:t>
      </w:r>
    </w:p>
    <w:p>
      <w:pPr>
        <w:pStyle w:val="134"/>
      </w:pPr>
      <w:r>
        <w:rPr>
          <w:rFonts w:hint="eastAsia"/>
        </w:rPr>
        <w:t>高度：玻璃警示贴上沿距地面高度为1100mm。</w:t>
      </w:r>
    </w:p>
    <w:p>
      <w:pPr>
        <w:pStyle w:val="58"/>
        <w:ind w:firstLine="420"/>
      </w:pPr>
    </w:p>
    <w:p>
      <w:pPr>
        <w:pStyle w:val="58"/>
        <w:ind w:firstLine="420"/>
      </w:pPr>
      <w:r>
        <w:rPr>
          <w:rFonts w:hint="eastAsia"/>
        </w:rPr>
        <w:t>推拉门标识制作要求：</w:t>
      </w:r>
    </w:p>
    <w:p>
      <w:pPr>
        <w:pStyle w:val="134"/>
      </w:pPr>
      <w:r>
        <w:rPr>
          <w:rFonts w:hint="eastAsia"/>
        </w:rPr>
        <w:t>规格：80x80mm。</w:t>
      </w:r>
    </w:p>
    <w:p>
      <w:pPr>
        <w:pStyle w:val="134"/>
      </w:pPr>
      <w:r>
        <w:rPr>
          <w:rFonts w:hint="eastAsia"/>
        </w:rPr>
        <w:t>材质：透明膜丝网印刷。</w:t>
      </w:r>
    </w:p>
    <w:p>
      <w:pPr>
        <w:pStyle w:val="134"/>
      </w:pPr>
      <w:r>
        <w:rPr>
          <w:rFonts w:hint="eastAsia"/>
        </w:rPr>
        <w:t>字体为白色，底色为住房公积金标准色，汉仪松阳体。</w:t>
      </w:r>
    </w:p>
    <w:p>
      <w:pPr>
        <w:pStyle w:val="134"/>
      </w:pPr>
      <w:r>
        <w:rPr>
          <w:rFonts w:hint="eastAsia"/>
        </w:rPr>
        <w:t>高度：推拉门标识贴中心距地面高度为1500mm。</w:t>
      </w:r>
    </w:p>
    <w:p>
      <w:pPr>
        <w:pStyle w:val="58"/>
        <w:ind w:firstLine="420"/>
      </w:pPr>
      <w:r>
        <w:rPr>
          <w:rFonts w:hint="eastAsia"/>
        </w:rPr>
        <w:t>示例如图</w:t>
      </w:r>
      <w:r>
        <w:t>A.25。</w:t>
      </w:r>
    </w:p>
    <w:p>
      <w:pPr>
        <w:tabs>
          <w:tab w:val="left" w:pos="6274"/>
        </w:tabs>
        <w:spacing w:line="240" w:lineRule="auto"/>
        <w:ind w:left="105"/>
        <w:jc w:val="center"/>
      </w:pPr>
      <w:r>
        <w:drawing>
          <wp:inline distT="0" distB="0" distL="0" distR="0">
            <wp:extent cx="3721735" cy="3979545"/>
            <wp:effectExtent l="19050" t="0" r="0" b="0"/>
            <wp:docPr id="54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图片 3"/>
                    <pic:cNvPicPr>
                      <a:picLocks noChangeAspect="1" noChangeArrowheads="1"/>
                    </pic:cNvPicPr>
                  </pic:nvPicPr>
                  <pic:blipFill>
                    <a:blip r:embed="rId48"/>
                    <a:srcRect/>
                    <a:stretch>
                      <a:fillRect/>
                    </a:stretch>
                  </pic:blipFill>
                  <pic:spPr>
                    <a:xfrm>
                      <a:off x="0" y="0"/>
                      <a:ext cx="3721735" cy="3979545"/>
                    </a:xfrm>
                    <a:prstGeom prst="rect">
                      <a:avLst/>
                    </a:prstGeom>
                    <a:noFill/>
                    <a:ln w="9525">
                      <a:noFill/>
                      <a:miter lim="800000"/>
                      <a:headEnd/>
                      <a:tailEnd/>
                    </a:ln>
                  </pic:spPr>
                </pic:pic>
              </a:graphicData>
            </a:graphic>
          </wp:inline>
        </w:drawing>
      </w:r>
      <w:r>
        <w:drawing>
          <wp:inline distT="0" distB="0" distL="0" distR="0">
            <wp:extent cx="4559300" cy="1802765"/>
            <wp:effectExtent l="19050" t="0" r="0" b="0"/>
            <wp:docPr id="54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图片 4"/>
                    <pic:cNvPicPr>
                      <a:picLocks noChangeAspect="1" noChangeArrowheads="1"/>
                    </pic:cNvPicPr>
                  </pic:nvPicPr>
                  <pic:blipFill>
                    <a:blip r:embed="rId49"/>
                    <a:srcRect/>
                    <a:stretch>
                      <a:fillRect/>
                    </a:stretch>
                  </pic:blipFill>
                  <pic:spPr>
                    <a:xfrm>
                      <a:off x="0" y="0"/>
                      <a:ext cx="4559300" cy="1802765"/>
                    </a:xfrm>
                    <a:prstGeom prst="rect">
                      <a:avLst/>
                    </a:prstGeom>
                    <a:noFill/>
                    <a:ln w="9525">
                      <a:noFill/>
                      <a:miter lim="800000"/>
                      <a:headEnd/>
                      <a:tailEnd/>
                    </a:ln>
                  </pic:spPr>
                </pic:pic>
              </a:graphicData>
            </a:graphic>
          </wp:inline>
        </w:drawing>
      </w:r>
    </w:p>
    <w:p>
      <w:pPr>
        <w:pStyle w:val="85"/>
        <w:spacing w:before="120" w:after="120"/>
      </w:pPr>
    </w:p>
    <w:p>
      <w:pPr>
        <w:pStyle w:val="81"/>
        <w:wordWrap/>
        <w:spacing w:before="120" w:after="120"/>
      </w:pPr>
      <w:r>
        <w:rPr>
          <w:rFonts w:hint="eastAsia"/>
        </w:rPr>
        <w:t>内部环境</w:t>
      </w:r>
    </w:p>
    <w:p>
      <w:pPr>
        <w:pStyle w:val="83"/>
        <w:spacing w:before="120" w:after="120"/>
      </w:pPr>
      <w:r>
        <w:rPr>
          <w:rFonts w:hint="eastAsia"/>
        </w:rPr>
        <w:t>指示系统</w:t>
      </w:r>
    </w:p>
    <w:p>
      <w:pPr>
        <w:pStyle w:val="84"/>
        <w:spacing w:before="120" w:after="120"/>
      </w:pPr>
      <w:r>
        <w:rPr>
          <w:rFonts w:hint="eastAsia"/>
        </w:rPr>
        <w:t>公共标识</w:t>
      </w:r>
    </w:p>
    <w:p>
      <w:pPr>
        <w:pStyle w:val="58"/>
        <w:ind w:firstLine="420"/>
      </w:pPr>
      <w:r>
        <w:rPr>
          <w:rFonts w:hint="eastAsia"/>
        </w:rPr>
        <w:t>规格：依据实际情况定制，图形符号的设计与使用应符合</w:t>
      </w:r>
      <w:r>
        <w:t>GB/T 10001.1</w:t>
      </w:r>
      <w:r>
        <w:rPr>
          <w:rFonts w:hint="eastAsia"/>
        </w:rPr>
        <w:t>、</w:t>
      </w:r>
      <w:r>
        <w:t>GB/T 10001.9</w:t>
      </w:r>
      <w:r>
        <w:rPr>
          <w:rFonts w:hint="eastAsia"/>
        </w:rPr>
        <w:t>的规定。示例如图</w:t>
      </w:r>
      <w:r>
        <w:t>A.26</w:t>
      </w:r>
      <w:r>
        <w:rPr>
          <w:rFonts w:hint="eastAsia"/>
        </w:rPr>
        <w:t>所示。</w:t>
      </w:r>
    </w:p>
    <w:p>
      <w:pPr>
        <w:tabs>
          <w:tab w:val="left" w:pos="6274"/>
        </w:tabs>
        <w:spacing w:line="240" w:lineRule="auto"/>
        <w:ind w:left="105"/>
        <w:jc w:val="center"/>
      </w:pPr>
      <w:r>
        <w:drawing>
          <wp:inline distT="0" distB="0" distL="0" distR="0">
            <wp:extent cx="2466340" cy="1088390"/>
            <wp:effectExtent l="19050" t="0" r="0" b="0"/>
            <wp:docPr id="543" name="图片 2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图片 24" descr="3"/>
                    <pic:cNvPicPr>
                      <a:picLocks noChangeAspect="1" noChangeArrowheads="1"/>
                    </pic:cNvPicPr>
                  </pic:nvPicPr>
                  <pic:blipFill>
                    <a:blip r:embed="rId50"/>
                    <a:srcRect/>
                    <a:stretch>
                      <a:fillRect/>
                    </a:stretch>
                  </pic:blipFill>
                  <pic:spPr>
                    <a:xfrm>
                      <a:off x="0" y="0"/>
                      <a:ext cx="2466340" cy="1088390"/>
                    </a:xfrm>
                    <a:prstGeom prst="rect">
                      <a:avLst/>
                    </a:prstGeom>
                    <a:noFill/>
                    <a:ln w="9525">
                      <a:noFill/>
                      <a:miter lim="800000"/>
                      <a:headEnd/>
                      <a:tailEnd/>
                    </a:ln>
                  </pic:spPr>
                </pic:pic>
              </a:graphicData>
            </a:graphic>
          </wp:inline>
        </w:drawing>
      </w:r>
      <w:r>
        <w:drawing>
          <wp:inline distT="0" distB="0" distL="0" distR="0">
            <wp:extent cx="3399790" cy="1725930"/>
            <wp:effectExtent l="19050" t="0" r="0" b="0"/>
            <wp:docPr id="544" name="图片 25"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 name="图片 25" descr="4"/>
                    <pic:cNvPicPr>
                      <a:picLocks noChangeAspect="1" noChangeArrowheads="1"/>
                    </pic:cNvPicPr>
                  </pic:nvPicPr>
                  <pic:blipFill>
                    <a:blip r:embed="rId51"/>
                    <a:srcRect/>
                    <a:stretch>
                      <a:fillRect/>
                    </a:stretch>
                  </pic:blipFill>
                  <pic:spPr>
                    <a:xfrm>
                      <a:off x="0" y="0"/>
                      <a:ext cx="3399790" cy="1725930"/>
                    </a:xfrm>
                    <a:prstGeom prst="rect">
                      <a:avLst/>
                    </a:prstGeom>
                    <a:noFill/>
                    <a:ln w="9525">
                      <a:noFill/>
                      <a:miter lim="800000"/>
                      <a:headEnd/>
                      <a:tailEnd/>
                    </a:ln>
                  </pic:spPr>
                </pic:pic>
              </a:graphicData>
            </a:graphic>
          </wp:inline>
        </w:drawing>
      </w:r>
    </w:p>
    <w:p>
      <w:pPr>
        <w:pStyle w:val="85"/>
        <w:spacing w:before="120" w:after="120"/>
      </w:pPr>
    </w:p>
    <w:p>
      <w:pPr>
        <w:pStyle w:val="58"/>
        <w:ind w:firstLine="420"/>
      </w:pPr>
      <w:r>
        <w:rPr>
          <w:rFonts w:hint="eastAsia"/>
        </w:rPr>
        <w:t>服务场所公共信息导向系统设计应符合</w:t>
      </w:r>
      <w:r>
        <w:t>GB/T 15566.1</w:t>
      </w:r>
      <w:r>
        <w:rPr>
          <w:rFonts w:hint="eastAsia"/>
        </w:rPr>
        <w:t>的规定；服务场所安全标志的设计及使用应符合</w:t>
      </w:r>
      <w:r>
        <w:t>GB 2894</w:t>
      </w:r>
      <w:r>
        <w:rPr>
          <w:rFonts w:hint="eastAsia"/>
        </w:rPr>
        <w:t>、</w:t>
      </w:r>
      <w:r>
        <w:t>GB 13495.1</w:t>
      </w:r>
      <w:r>
        <w:rPr>
          <w:rFonts w:hint="eastAsia"/>
        </w:rPr>
        <w:t>、</w:t>
      </w:r>
      <w:r>
        <w:t>GB 15630</w:t>
      </w:r>
      <w:r>
        <w:rPr>
          <w:rFonts w:hint="eastAsia"/>
        </w:rPr>
        <w:t>的规定。</w:t>
      </w:r>
    </w:p>
    <w:p>
      <w:pPr>
        <w:pStyle w:val="84"/>
        <w:spacing w:before="120" w:after="120"/>
      </w:pPr>
      <w:r>
        <w:rPr>
          <w:rFonts w:hint="eastAsia"/>
        </w:rPr>
        <w:t>功能区指示牌</w:t>
      </w:r>
    </w:p>
    <w:p>
      <w:pPr>
        <w:pStyle w:val="58"/>
        <w:ind w:firstLine="420"/>
      </w:pPr>
      <w:r>
        <w:rPr>
          <w:rFonts w:hint="eastAsia"/>
        </w:rPr>
        <w:t>规格：视具体情况等比例放大或缩小，示例如图</w:t>
      </w:r>
      <w:r>
        <w:t>A.27</w:t>
      </w:r>
      <w:r>
        <w:rPr>
          <w:rFonts w:hint="eastAsia"/>
        </w:rPr>
        <w:t>。</w:t>
      </w:r>
    </w:p>
    <w:p>
      <w:pPr>
        <w:tabs>
          <w:tab w:val="left" w:pos="6274"/>
        </w:tabs>
        <w:spacing w:line="240" w:lineRule="auto"/>
        <w:ind w:left="105"/>
      </w:pPr>
      <w:r>
        <w:drawing>
          <wp:inline distT="0" distB="0" distL="0" distR="0">
            <wp:extent cx="2691765" cy="1294130"/>
            <wp:effectExtent l="19050" t="0" r="0" b="0"/>
            <wp:docPr id="545" name="图片 2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 name="图片 26" descr="1"/>
                    <pic:cNvPicPr>
                      <a:picLocks noChangeAspect="1" noChangeArrowheads="1"/>
                    </pic:cNvPicPr>
                  </pic:nvPicPr>
                  <pic:blipFill>
                    <a:blip r:embed="rId52"/>
                    <a:srcRect/>
                    <a:stretch>
                      <a:fillRect/>
                    </a:stretch>
                  </pic:blipFill>
                  <pic:spPr>
                    <a:xfrm>
                      <a:off x="0" y="0"/>
                      <a:ext cx="2691765" cy="1294130"/>
                    </a:xfrm>
                    <a:prstGeom prst="rect">
                      <a:avLst/>
                    </a:prstGeom>
                    <a:noFill/>
                    <a:ln w="9525">
                      <a:noFill/>
                      <a:miter lim="800000"/>
                      <a:headEnd/>
                      <a:tailEnd/>
                    </a:ln>
                  </pic:spPr>
                </pic:pic>
              </a:graphicData>
            </a:graphic>
          </wp:inline>
        </w:drawing>
      </w:r>
      <w:r>
        <w:drawing>
          <wp:inline distT="0" distB="0" distL="0" distR="0">
            <wp:extent cx="3058795" cy="1255395"/>
            <wp:effectExtent l="19050" t="0" r="8255" b="0"/>
            <wp:docPr id="546" name="图片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图片 27" descr="2"/>
                    <pic:cNvPicPr>
                      <a:picLocks noChangeAspect="1" noChangeArrowheads="1"/>
                    </pic:cNvPicPr>
                  </pic:nvPicPr>
                  <pic:blipFill>
                    <a:blip r:embed="rId53"/>
                    <a:srcRect/>
                    <a:stretch>
                      <a:fillRect/>
                    </a:stretch>
                  </pic:blipFill>
                  <pic:spPr>
                    <a:xfrm>
                      <a:off x="0" y="0"/>
                      <a:ext cx="3058795" cy="125539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窗口牌、业务台牌等标识应用</w:t>
      </w:r>
    </w:p>
    <w:p>
      <w:pPr>
        <w:pStyle w:val="58"/>
        <w:ind w:firstLine="420"/>
      </w:pPr>
      <w:r>
        <w:rPr>
          <w:rFonts w:hint="eastAsia"/>
        </w:rPr>
        <w:t>标识应符合中英文横式组合</w:t>
      </w:r>
      <w:r>
        <w:t>A.1.3.1</w:t>
      </w:r>
      <w:r>
        <w:rPr>
          <w:rFonts w:hint="eastAsia"/>
        </w:rPr>
        <w:t>，或者二级机构标识与中英文横式组合</w:t>
      </w:r>
      <w:r>
        <w:t>A.1.3.4</w:t>
      </w:r>
      <w:r>
        <w:rPr>
          <w:rFonts w:hint="eastAsia"/>
        </w:rPr>
        <w:t>，根据实际等比例缩放使用。</w:t>
      </w:r>
    </w:p>
    <w:p>
      <w:pPr>
        <w:pStyle w:val="83"/>
        <w:spacing w:before="120" w:after="120"/>
      </w:pPr>
      <w:r>
        <w:rPr>
          <w:rFonts w:hint="eastAsia"/>
        </w:rPr>
        <w:t>设备标识应用</w:t>
      </w:r>
    </w:p>
    <w:p>
      <w:pPr>
        <w:pStyle w:val="58"/>
        <w:ind w:firstLine="420"/>
      </w:pPr>
      <w:r>
        <w:rPr>
          <w:rFonts w:hint="eastAsia"/>
        </w:rPr>
        <w:t>标识应符合中英文横式组合</w:t>
      </w:r>
      <w:r>
        <w:t>A.1.3.1</w:t>
      </w:r>
      <w:r>
        <w:rPr>
          <w:rFonts w:hint="eastAsia"/>
        </w:rPr>
        <w:t>，或者中英文横式组合</w:t>
      </w:r>
      <w:r>
        <w:t>A.1.3.2</w:t>
      </w:r>
      <w:r>
        <w:rPr>
          <w:rFonts w:hint="eastAsia"/>
        </w:rPr>
        <w:t>，根据实际等比例缩放使用。</w:t>
      </w:r>
    </w:p>
    <w:p>
      <w:pPr>
        <w:pStyle w:val="58"/>
        <w:ind w:firstLine="420"/>
      </w:pPr>
      <w:r>
        <w:rPr>
          <w:rFonts w:hint="eastAsia"/>
        </w:rPr>
        <w:t>工艺：应采用</w:t>
      </w:r>
      <w:r>
        <w:t>UV</w:t>
      </w:r>
      <w:r>
        <w:rPr>
          <w:rFonts w:hint="eastAsia"/>
        </w:rPr>
        <w:t>打印、丝网印刷或不干胶雕刻。</w:t>
      </w:r>
    </w:p>
    <w:p>
      <w:pPr>
        <w:pStyle w:val="83"/>
        <w:spacing w:before="120" w:after="120"/>
      </w:pPr>
      <w:r>
        <w:rPr>
          <w:rFonts w:hint="eastAsia"/>
        </w:rPr>
        <w:t>背景墙标识应用</w:t>
      </w:r>
    </w:p>
    <w:p>
      <w:pPr>
        <w:pStyle w:val="58"/>
        <w:ind w:firstLine="420"/>
      </w:pPr>
      <w:r>
        <w:rPr>
          <w:rFonts w:hint="eastAsia"/>
        </w:rPr>
        <w:t>标识应符合中英文横式组合</w:t>
      </w:r>
      <w:r>
        <w:t>A.1.3.1</w:t>
      </w:r>
      <w:r>
        <w:rPr>
          <w:rFonts w:hint="eastAsia"/>
        </w:rPr>
        <w:t>、中英文中轴式组合</w:t>
      </w:r>
      <w:r>
        <w:t>A.1.3.2</w:t>
      </w:r>
      <w:r>
        <w:rPr>
          <w:rFonts w:hint="eastAsia"/>
        </w:rPr>
        <w:t>、二级机构标识与中英文横式组合</w:t>
      </w:r>
      <w:r>
        <w:t>A.1.3.4</w:t>
      </w:r>
      <w:r>
        <w:rPr>
          <w:rFonts w:hint="eastAsia"/>
        </w:rPr>
        <w:t>或二级机构标识与中英文中轴式组合</w:t>
      </w:r>
      <w:r>
        <w:t>A.1.3.5</w:t>
      </w:r>
      <w:r>
        <w:rPr>
          <w:rFonts w:hint="eastAsia"/>
        </w:rPr>
        <w:t>，根据墙面大小等比例缩放使用；离地高度宜在</w:t>
      </w:r>
      <w:r>
        <w:t>1.5-1.7m</w:t>
      </w:r>
      <w:r>
        <w:rPr>
          <w:rFonts w:hint="eastAsia"/>
        </w:rPr>
        <w:t>，根据实际情况可稍做调整。</w:t>
      </w:r>
    </w:p>
    <w:p>
      <w:pPr>
        <w:pStyle w:val="83"/>
        <w:spacing w:before="120" w:after="120"/>
      </w:pPr>
      <w:r>
        <w:rPr>
          <w:rFonts w:hint="eastAsia"/>
        </w:rPr>
        <w:t>家具标识应用</w:t>
      </w:r>
    </w:p>
    <w:p>
      <w:pPr>
        <w:pStyle w:val="58"/>
        <w:ind w:firstLine="420"/>
        <w:rPr>
          <w:rFonts w:ascii="黑体" w:hAnsi="黑体" w:eastAsia="黑体" w:cs="黑体"/>
        </w:rPr>
      </w:pPr>
      <w:r>
        <w:rPr>
          <w:rFonts w:hint="eastAsia"/>
        </w:rPr>
        <w:t>标识应符合中英文横式组合</w:t>
      </w:r>
      <w:r>
        <w:t>A.1.3.1</w:t>
      </w:r>
      <w:r>
        <w:rPr>
          <w:rFonts w:hint="eastAsia"/>
        </w:rPr>
        <w:t>，或者中英文中轴式组合</w:t>
      </w:r>
      <w:r>
        <w:t>A.1.3.2</w:t>
      </w:r>
      <w:r>
        <w:rPr>
          <w:rFonts w:hint="eastAsia"/>
        </w:rPr>
        <w:t>，</w:t>
      </w:r>
      <w:bookmarkStart w:id="75" w:name="_Hlk135486666"/>
      <w:r>
        <w:rPr>
          <w:rFonts w:hint="eastAsia"/>
        </w:rPr>
        <w:t>根据实际等比例缩放使用。</w:t>
      </w:r>
      <w:bookmarkEnd w:id="75"/>
    </w:p>
    <w:p>
      <w:pPr>
        <w:pStyle w:val="81"/>
        <w:wordWrap/>
        <w:spacing w:before="120" w:after="120"/>
      </w:pPr>
      <w:r>
        <w:rPr>
          <w:rFonts w:hint="eastAsia"/>
        </w:rPr>
        <w:t>线上渠道</w:t>
      </w:r>
    </w:p>
    <w:p>
      <w:pPr>
        <w:pStyle w:val="83"/>
        <w:spacing w:before="120" w:after="120"/>
      </w:pPr>
      <w:r>
        <w:rPr>
          <w:rFonts w:hint="eastAsia"/>
        </w:rPr>
        <w:t>网页</w:t>
      </w:r>
    </w:p>
    <w:p>
      <w:pPr>
        <w:pStyle w:val="58"/>
        <w:ind w:firstLine="420"/>
      </w:pPr>
      <w:r>
        <w:rPr>
          <w:rFonts w:hint="eastAsia"/>
        </w:rPr>
        <w:t>标识应符合中英文横式组合</w:t>
      </w:r>
      <w:r>
        <w:t>A.1.3.1</w:t>
      </w:r>
      <w:r>
        <w:rPr>
          <w:rFonts w:hint="eastAsia"/>
        </w:rPr>
        <w:t>或二级机构标识与中英文横式组合</w:t>
      </w:r>
      <w:r>
        <w:t>A.1.3.4</w:t>
      </w:r>
      <w:r>
        <w:rPr>
          <w:rFonts w:hint="eastAsia"/>
        </w:rPr>
        <w:t>，根据实际等比例缩放使用。示例如图</w:t>
      </w:r>
      <w:r>
        <w:t>A.28</w:t>
      </w:r>
      <w:r>
        <w:rPr>
          <w:rFonts w:hint="eastAsia"/>
        </w:rPr>
        <w:t>所示。</w:t>
      </w:r>
    </w:p>
    <w:p>
      <w:pPr>
        <w:tabs>
          <w:tab w:val="left" w:pos="6274"/>
        </w:tabs>
        <w:spacing w:line="240" w:lineRule="auto"/>
        <w:ind w:left="105"/>
        <w:jc w:val="center"/>
      </w:pPr>
      <w:r>
        <w:drawing>
          <wp:inline distT="0" distB="0" distL="0" distR="0">
            <wp:extent cx="4037330" cy="3940810"/>
            <wp:effectExtent l="19050" t="0" r="1270" b="0"/>
            <wp:docPr id="54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7" name="图片 28"/>
                    <pic:cNvPicPr>
                      <a:picLocks noChangeAspect="1" noChangeArrowheads="1"/>
                    </pic:cNvPicPr>
                  </pic:nvPicPr>
                  <pic:blipFill>
                    <a:blip r:embed="rId54"/>
                    <a:srcRect/>
                    <a:stretch>
                      <a:fillRect/>
                    </a:stretch>
                  </pic:blipFill>
                  <pic:spPr>
                    <a:xfrm>
                      <a:off x="0" y="0"/>
                      <a:ext cx="4037330" cy="394081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微信、支付宝</w:t>
      </w:r>
    </w:p>
    <w:p>
      <w:pPr>
        <w:pStyle w:val="58"/>
        <w:ind w:firstLine="420"/>
      </w:pPr>
      <w:bookmarkStart w:id="76" w:name="_Hlk135487097"/>
      <w:r>
        <w:rPr>
          <w:rFonts w:hint="eastAsia"/>
        </w:rPr>
        <w:t>微信公众号、支付宝生活号</w:t>
      </w:r>
      <w:bookmarkEnd w:id="76"/>
      <w:r>
        <w:rPr>
          <w:rFonts w:hint="eastAsia"/>
        </w:rPr>
        <w:t>、微博、手机客户端、小程序、抖音等头像应采用标识与中英文上下组合规范</w:t>
      </w:r>
      <w:r>
        <w:t>A.1.3.2</w:t>
      </w:r>
      <w:r>
        <w:rPr>
          <w:rFonts w:hint="eastAsia"/>
        </w:rPr>
        <w:t>，在头像范围内完整显示标识，背景色为白色，标识颜色为标准色，应严格按照图</w:t>
      </w:r>
      <w:r>
        <w:t>A.29</w:t>
      </w:r>
      <w:r>
        <w:rPr>
          <w:rFonts w:hint="eastAsia"/>
        </w:rPr>
        <w:t>执行。</w:t>
      </w:r>
    </w:p>
    <w:p>
      <w:pPr>
        <w:tabs>
          <w:tab w:val="left" w:pos="6274"/>
        </w:tabs>
        <w:spacing w:line="240" w:lineRule="auto"/>
        <w:ind w:left="105"/>
        <w:jc w:val="center"/>
      </w:pPr>
      <w:r>
        <w:drawing>
          <wp:inline distT="0" distB="0" distL="0" distR="0">
            <wp:extent cx="5937250" cy="2904490"/>
            <wp:effectExtent l="19050" t="0" r="6350" b="0"/>
            <wp:docPr id="548" name="图片 548" descr="截屏2023-07-18%2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图片 548" descr="截屏2023-07-18%2011"/>
                    <pic:cNvPicPr>
                      <a:picLocks noChangeAspect="1" noChangeArrowheads="1"/>
                    </pic:cNvPicPr>
                  </pic:nvPicPr>
                  <pic:blipFill>
                    <a:blip r:embed="rId55" cstate="print"/>
                    <a:srcRect/>
                    <a:stretch>
                      <a:fillRect/>
                    </a:stretch>
                  </pic:blipFill>
                  <pic:spPr>
                    <a:xfrm>
                      <a:off x="0" y="0"/>
                      <a:ext cx="5937250" cy="2904490"/>
                    </a:xfrm>
                    <a:prstGeom prst="rect">
                      <a:avLst/>
                    </a:prstGeom>
                    <a:noFill/>
                    <a:ln w="9525">
                      <a:noFill/>
                      <a:miter lim="800000"/>
                      <a:headEnd/>
                      <a:tailEnd/>
                    </a:ln>
                  </pic:spPr>
                </pic:pic>
              </a:graphicData>
            </a:graphic>
          </wp:inline>
        </w:drawing>
      </w:r>
    </w:p>
    <w:p>
      <w:pPr>
        <w:pStyle w:val="85"/>
        <w:spacing w:before="120" w:after="120"/>
      </w:pPr>
    </w:p>
    <w:p>
      <w:pPr>
        <w:pStyle w:val="81"/>
        <w:wordWrap/>
        <w:spacing w:before="120" w:after="120"/>
      </w:pPr>
      <w:r>
        <w:rPr>
          <w:rFonts w:hint="eastAsia"/>
        </w:rPr>
        <w:t>其他</w:t>
      </w:r>
    </w:p>
    <w:p>
      <w:pPr>
        <w:pStyle w:val="83"/>
        <w:spacing w:before="120" w:after="120"/>
      </w:pPr>
      <w:r>
        <w:rPr>
          <w:rFonts w:hint="eastAsia"/>
        </w:rPr>
        <w:t>笔记本</w:t>
      </w:r>
    </w:p>
    <w:p>
      <w:pPr>
        <w:pStyle w:val="58"/>
        <w:ind w:firstLine="420"/>
      </w:pPr>
      <w:r>
        <w:rPr>
          <w:rFonts w:hint="eastAsia"/>
        </w:rPr>
        <w:t>标志：应符合A.1.1.8中标识的标准色，A.1.1.5阴阳图和A.1.1.11反白效果，并符合A.1.1.6的最小使用规范。可根据需要采用二级机构标识与中英文横式组合。</w:t>
      </w:r>
    </w:p>
    <w:p>
      <w:pPr>
        <w:pStyle w:val="58"/>
        <w:ind w:firstLine="420"/>
      </w:pPr>
      <w:r>
        <w:rPr>
          <w:rFonts w:hint="eastAsia"/>
        </w:rPr>
        <w:t>字体：汉仪松阳体</w:t>
      </w:r>
    </w:p>
    <w:p>
      <w:pPr>
        <w:pStyle w:val="58"/>
        <w:ind w:firstLine="420"/>
      </w:pPr>
      <w:r>
        <w:rPr>
          <w:rFonts w:hint="eastAsia"/>
        </w:rPr>
        <w:t>颜色：标准色、专色金、专色银等，根据实际自行选择。</w:t>
      </w:r>
    </w:p>
    <w:p>
      <w:pPr>
        <w:pStyle w:val="58"/>
        <w:ind w:firstLine="420"/>
      </w:pPr>
      <w:r>
        <w:rPr>
          <w:rFonts w:hint="eastAsia"/>
        </w:rPr>
        <w:t>备注：样式不做规定，可根据需要自行选择，标识组合、颜色必须按照标准执行。</w:t>
      </w:r>
    </w:p>
    <w:p>
      <w:pPr>
        <w:pStyle w:val="83"/>
        <w:spacing w:before="120" w:after="120"/>
      </w:pPr>
      <w:r>
        <w:rPr>
          <w:rFonts w:hint="eastAsia"/>
        </w:rPr>
        <w:t>文件袋</w:t>
      </w:r>
    </w:p>
    <w:p>
      <w:pPr>
        <w:pStyle w:val="58"/>
        <w:ind w:firstLine="420"/>
      </w:pPr>
      <w:r>
        <w:rPr>
          <w:rFonts w:hint="eastAsia"/>
        </w:rPr>
        <w:t>标识：应符合A.1.1.8中标识的标准色，A.1.1.5阴阳图和A.1.1.11反白效果，并符合A.1.1.6的最小使用规范。可根据需要采用二级机构标识与中英文横式组合。</w:t>
      </w:r>
    </w:p>
    <w:p>
      <w:pPr>
        <w:pStyle w:val="58"/>
        <w:ind w:firstLine="420"/>
      </w:pPr>
      <w:r>
        <w:rPr>
          <w:rFonts w:hint="eastAsia"/>
        </w:rPr>
        <w:t>字体：汉仪松阳体</w:t>
      </w:r>
    </w:p>
    <w:p>
      <w:pPr>
        <w:pStyle w:val="58"/>
        <w:ind w:firstLine="420"/>
      </w:pPr>
      <w:r>
        <w:rPr>
          <w:rFonts w:hint="eastAsia"/>
        </w:rPr>
        <w:t>颜色：标准色</w:t>
      </w:r>
    </w:p>
    <w:p>
      <w:pPr>
        <w:pStyle w:val="58"/>
        <w:ind w:firstLine="420"/>
      </w:pPr>
      <w:r>
        <w:rPr>
          <w:rFonts w:hint="eastAsia"/>
        </w:rPr>
        <w:t>备注：样式不做规定，可根据需要自行选择，标识组合、颜色必须按照标准执行。</w:t>
      </w:r>
    </w:p>
    <w:p>
      <w:pPr>
        <w:pStyle w:val="58"/>
        <w:ind w:firstLine="420"/>
      </w:pPr>
      <w:r>
        <w:rPr>
          <w:rFonts w:hint="eastAsia"/>
        </w:rPr>
        <w:t>示例如图A.30所示。</w:t>
      </w:r>
    </w:p>
    <w:p>
      <w:pPr>
        <w:pStyle w:val="234"/>
        <w:tabs>
          <w:tab w:val="left" w:pos="1009"/>
        </w:tabs>
        <w:jc w:val="center"/>
      </w:pPr>
      <w:r>
        <w:drawing>
          <wp:inline distT="0" distB="0" distL="0" distR="0">
            <wp:extent cx="2769235" cy="2092960"/>
            <wp:effectExtent l="19050" t="0" r="0" b="0"/>
            <wp:docPr id="549" name="图片 30" descr="文件袋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图片 30" descr="文件袋A"/>
                    <pic:cNvPicPr>
                      <a:picLocks noChangeAspect="1" noChangeArrowheads="1"/>
                    </pic:cNvPicPr>
                  </pic:nvPicPr>
                  <pic:blipFill>
                    <a:blip r:embed="rId56"/>
                    <a:srcRect/>
                    <a:stretch>
                      <a:fillRect/>
                    </a:stretch>
                  </pic:blipFill>
                  <pic:spPr>
                    <a:xfrm>
                      <a:off x="0" y="0"/>
                      <a:ext cx="2769235" cy="2092960"/>
                    </a:xfrm>
                    <a:prstGeom prst="rect">
                      <a:avLst/>
                    </a:prstGeom>
                    <a:noFill/>
                    <a:ln w="9525">
                      <a:noFill/>
                      <a:miter lim="800000"/>
                      <a:headEnd/>
                      <a:tailEnd/>
                    </a:ln>
                  </pic:spPr>
                </pic:pic>
              </a:graphicData>
            </a:graphic>
          </wp:inline>
        </w:drawing>
      </w:r>
      <w:r>
        <w:drawing>
          <wp:inline distT="0" distB="0" distL="0" distR="0">
            <wp:extent cx="2736850" cy="2086610"/>
            <wp:effectExtent l="19050" t="0" r="6350" b="0"/>
            <wp:docPr id="550" name="图片 31" descr="文件袋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图片 31" descr="文件袋B"/>
                    <pic:cNvPicPr>
                      <a:picLocks noChangeAspect="1" noChangeArrowheads="1"/>
                    </pic:cNvPicPr>
                  </pic:nvPicPr>
                  <pic:blipFill>
                    <a:blip r:embed="rId57"/>
                    <a:srcRect/>
                    <a:stretch>
                      <a:fillRect/>
                    </a:stretch>
                  </pic:blipFill>
                  <pic:spPr>
                    <a:xfrm>
                      <a:off x="0" y="0"/>
                      <a:ext cx="2736850" cy="208661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文件夹</w:t>
      </w:r>
    </w:p>
    <w:p>
      <w:pPr>
        <w:pStyle w:val="58"/>
        <w:ind w:firstLine="420"/>
      </w:pPr>
      <w:r>
        <w:rPr>
          <w:rFonts w:hint="eastAsia"/>
        </w:rPr>
        <w:t>标识：应符合A.1.1.8中标识的标准色，A.1.1.5阴阳图和A.1.1.11反白效果，并符合A.1.1.6的最小使用规范。</w:t>
      </w:r>
    </w:p>
    <w:p>
      <w:pPr>
        <w:pStyle w:val="58"/>
        <w:ind w:firstLine="420"/>
      </w:pPr>
      <w:r>
        <w:rPr>
          <w:rFonts w:hint="eastAsia"/>
        </w:rPr>
        <w:t>字体：汉仪松阳体。</w:t>
      </w:r>
    </w:p>
    <w:p>
      <w:pPr>
        <w:pStyle w:val="58"/>
        <w:ind w:firstLine="420"/>
      </w:pPr>
      <w:r>
        <w:rPr>
          <w:rFonts w:hint="eastAsia"/>
        </w:rPr>
        <w:t>规格：常规尺寸：</w:t>
      </w:r>
      <w:r>
        <w:t>243mm x 315mm</w:t>
      </w:r>
      <w:r>
        <w:rPr>
          <w:rFonts w:hint="eastAsia"/>
        </w:rPr>
        <w:t>，标签按照实际需要定制，正面标签尺寸：</w:t>
      </w:r>
      <w:r>
        <w:t>85mm x 55mm</w:t>
      </w:r>
      <w:r>
        <w:rPr>
          <w:rFonts w:hint="eastAsia"/>
        </w:rPr>
        <w:t>，侧面标签尺寸：根据实际尺寸定制。</w:t>
      </w:r>
    </w:p>
    <w:p>
      <w:pPr>
        <w:pStyle w:val="58"/>
        <w:ind w:firstLine="420"/>
      </w:pPr>
      <w:r>
        <w:rPr>
          <w:rFonts w:hint="eastAsia"/>
        </w:rPr>
        <w:t>材质：塑料、</w:t>
      </w:r>
      <w:r>
        <w:t>PVC</w:t>
      </w:r>
      <w:r>
        <w:rPr>
          <w:rFonts w:hint="eastAsia"/>
        </w:rPr>
        <w:t>、定制时用</w:t>
      </w:r>
      <w:r>
        <w:t>157</w:t>
      </w:r>
      <w:r>
        <w:rPr>
          <w:rFonts w:hint="eastAsia"/>
        </w:rPr>
        <w:t>克单面胶版纸，标签用不低于</w:t>
      </w:r>
      <w:r>
        <w:t>80g</w:t>
      </w:r>
      <w:r>
        <w:rPr>
          <w:rFonts w:hint="eastAsia"/>
        </w:rPr>
        <w:t>胶版纸或铜版纸。</w:t>
      </w:r>
    </w:p>
    <w:p>
      <w:pPr>
        <w:pStyle w:val="58"/>
        <w:ind w:firstLine="420"/>
      </w:pPr>
      <w:r>
        <w:rPr>
          <w:rFonts w:hint="eastAsia"/>
        </w:rPr>
        <w:t>工艺：四色印刷，裱糊硬纸板成型。</w:t>
      </w:r>
    </w:p>
    <w:p>
      <w:pPr>
        <w:pStyle w:val="58"/>
        <w:ind w:firstLine="420"/>
      </w:pPr>
      <w:r>
        <w:rPr>
          <w:rFonts w:hint="eastAsia"/>
        </w:rPr>
        <w:t>颜色：标准红色、标准灰色。</w:t>
      </w:r>
    </w:p>
    <w:p>
      <w:pPr>
        <w:pStyle w:val="58"/>
        <w:ind w:firstLine="420"/>
      </w:pPr>
      <w:r>
        <w:rPr>
          <w:rFonts w:hint="eastAsia"/>
        </w:rPr>
        <w:t>备注：样式不做规定，可根据需要自行选择</w:t>
      </w:r>
      <w:bookmarkStart w:id="77" w:name="_Hlk135488652"/>
      <w:r>
        <w:rPr>
          <w:rFonts w:hint="eastAsia"/>
        </w:rPr>
        <w:t>，标识组合、颜色必须按照标准执行</w:t>
      </w:r>
      <w:bookmarkEnd w:id="77"/>
      <w:r>
        <w:rPr>
          <w:rFonts w:hint="eastAsia"/>
        </w:rPr>
        <w:t>。</w:t>
      </w:r>
    </w:p>
    <w:p>
      <w:pPr>
        <w:pStyle w:val="58"/>
        <w:ind w:firstLine="420"/>
      </w:pPr>
      <w:r>
        <w:rPr>
          <w:rFonts w:hint="eastAsia"/>
        </w:rPr>
        <w:t>示例如图A.31所示。</w:t>
      </w:r>
    </w:p>
    <w:p>
      <w:pPr>
        <w:tabs>
          <w:tab w:val="left" w:pos="6274"/>
        </w:tabs>
        <w:spacing w:line="240" w:lineRule="auto"/>
        <w:ind w:left="105"/>
        <w:jc w:val="center"/>
      </w:pPr>
      <w:r>
        <w:drawing>
          <wp:inline distT="0" distB="0" distL="0" distR="0">
            <wp:extent cx="2234565" cy="1847850"/>
            <wp:effectExtent l="19050" t="0" r="0" b="0"/>
            <wp:docPr id="551"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图片 35"/>
                    <pic:cNvPicPr>
                      <a:picLocks noChangeAspect="1" noChangeArrowheads="1"/>
                    </pic:cNvPicPr>
                  </pic:nvPicPr>
                  <pic:blipFill>
                    <a:blip r:embed="rId58"/>
                    <a:srcRect/>
                    <a:stretch>
                      <a:fillRect/>
                    </a:stretch>
                  </pic:blipFill>
                  <pic:spPr>
                    <a:xfrm>
                      <a:off x="0" y="0"/>
                      <a:ext cx="2234565" cy="1847850"/>
                    </a:xfrm>
                    <a:prstGeom prst="rect">
                      <a:avLst/>
                    </a:prstGeom>
                    <a:noFill/>
                    <a:ln w="9525">
                      <a:noFill/>
                      <a:miter lim="800000"/>
                      <a:headEnd/>
                      <a:tailEnd/>
                    </a:ln>
                  </pic:spPr>
                </pic:pic>
              </a:graphicData>
            </a:graphic>
          </wp:inline>
        </w:drawing>
      </w:r>
      <w:r>
        <w:drawing>
          <wp:inline distT="0" distB="0" distL="0" distR="0">
            <wp:extent cx="2343785" cy="1712595"/>
            <wp:effectExtent l="19050" t="0" r="0" b="0"/>
            <wp:docPr id="552"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 name="图片 36"/>
                    <pic:cNvPicPr>
                      <a:picLocks noChangeAspect="1" noChangeArrowheads="1"/>
                    </pic:cNvPicPr>
                  </pic:nvPicPr>
                  <pic:blipFill>
                    <a:blip r:embed="rId59"/>
                    <a:srcRect/>
                    <a:stretch>
                      <a:fillRect/>
                    </a:stretch>
                  </pic:blipFill>
                  <pic:spPr>
                    <a:xfrm>
                      <a:off x="0" y="0"/>
                      <a:ext cx="2343785" cy="171259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名片</w:t>
      </w:r>
    </w:p>
    <w:p>
      <w:pPr>
        <w:pStyle w:val="58"/>
        <w:ind w:firstLine="420"/>
      </w:pPr>
      <w:r>
        <w:rPr>
          <w:rFonts w:hint="eastAsia"/>
        </w:rPr>
        <w:t>标识：采用标识与中英文横式组合规范A.1.3.1，可根据实际需要采用二级机构标识与中英文横式组合规范A.1.3.4。</w:t>
      </w:r>
    </w:p>
    <w:p>
      <w:pPr>
        <w:pStyle w:val="58"/>
        <w:ind w:firstLine="420"/>
      </w:pPr>
      <w:r>
        <w:rPr>
          <w:rFonts w:hint="eastAsia"/>
        </w:rPr>
        <w:t>字体：汉仪松阳体。</w:t>
      </w:r>
    </w:p>
    <w:p>
      <w:pPr>
        <w:pStyle w:val="58"/>
        <w:ind w:firstLine="420"/>
      </w:pPr>
      <w:r>
        <w:rPr>
          <w:rFonts w:hint="eastAsia"/>
        </w:rPr>
        <w:t>规格： 90 mm×50mm。</w:t>
      </w:r>
    </w:p>
    <w:p>
      <w:pPr>
        <w:pStyle w:val="58"/>
        <w:ind w:firstLine="420"/>
      </w:pPr>
      <w:r>
        <w:rPr>
          <w:rFonts w:hint="eastAsia"/>
        </w:rPr>
        <w:t>材质：纸张为不低于250g荷兰白卡名片纸或者特种纸。</w:t>
      </w:r>
    </w:p>
    <w:p>
      <w:pPr>
        <w:pStyle w:val="58"/>
        <w:ind w:firstLine="420"/>
      </w:pPr>
      <w:r>
        <w:rPr>
          <w:rFonts w:hint="eastAsia"/>
        </w:rPr>
        <w:t>二维码：根据实际更换成各机构二维码等内容。</w:t>
      </w:r>
    </w:p>
    <w:p>
      <w:pPr>
        <w:pStyle w:val="58"/>
        <w:ind w:firstLine="420"/>
      </w:pPr>
      <w:r>
        <w:rPr>
          <w:rFonts w:hint="eastAsia"/>
        </w:rPr>
        <w:t>示例如图</w:t>
      </w:r>
      <w:r>
        <w:t>A.32</w:t>
      </w:r>
      <w:r>
        <w:rPr>
          <w:rFonts w:hint="eastAsia"/>
        </w:rPr>
        <w:t>所示。</w:t>
      </w:r>
    </w:p>
    <w:p>
      <w:pPr>
        <w:tabs>
          <w:tab w:val="left" w:pos="288"/>
        </w:tabs>
        <w:spacing w:line="240" w:lineRule="auto"/>
        <w:ind w:left="105"/>
        <w:jc w:val="center"/>
      </w:pPr>
      <w:r>
        <w:drawing>
          <wp:inline distT="0" distB="0" distL="0" distR="0">
            <wp:extent cx="5447665" cy="3670300"/>
            <wp:effectExtent l="19050" t="0" r="635" b="0"/>
            <wp:docPr id="5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 name="图片 1"/>
                    <pic:cNvPicPr>
                      <a:picLocks noChangeAspect="1" noChangeArrowheads="1"/>
                    </pic:cNvPicPr>
                  </pic:nvPicPr>
                  <pic:blipFill>
                    <a:blip r:embed="rId60"/>
                    <a:srcRect/>
                    <a:stretch>
                      <a:fillRect/>
                    </a:stretch>
                  </pic:blipFill>
                  <pic:spPr>
                    <a:xfrm>
                      <a:off x="0" y="0"/>
                      <a:ext cx="5447665" cy="367030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胸牌</w:t>
      </w:r>
    </w:p>
    <w:p>
      <w:pPr>
        <w:pStyle w:val="58"/>
        <w:ind w:firstLine="420"/>
      </w:pPr>
      <w:r>
        <w:rPr>
          <w:rFonts w:hint="eastAsia"/>
        </w:rPr>
        <w:t>标识：采用标识与中英文横式组合规范A.1.3.1，可根据实际需要采用二级机构标识与中英文横式组合规范A.1.3.4。</w:t>
      </w:r>
    </w:p>
    <w:p>
      <w:pPr>
        <w:pStyle w:val="58"/>
        <w:ind w:firstLine="420"/>
      </w:pPr>
      <w:r>
        <w:rPr>
          <w:rFonts w:hint="eastAsia"/>
        </w:rPr>
        <w:t>胸卡</w:t>
      </w:r>
    </w:p>
    <w:p>
      <w:pPr>
        <w:pStyle w:val="58"/>
        <w:ind w:firstLine="420"/>
      </w:pPr>
      <w:r>
        <w:rPr>
          <w:rFonts w:hint="eastAsia"/>
        </w:rPr>
        <w:t>材质：PVC板或根据实际需要选择。</w:t>
      </w:r>
    </w:p>
    <w:p>
      <w:pPr>
        <w:pStyle w:val="58"/>
        <w:ind w:firstLine="420"/>
      </w:pPr>
      <w:r>
        <w:rPr>
          <w:rFonts w:hint="eastAsia"/>
        </w:rPr>
        <w:t>工艺：双面四色印刷。</w:t>
      </w:r>
    </w:p>
    <w:p>
      <w:pPr>
        <w:pStyle w:val="58"/>
        <w:ind w:firstLine="420"/>
      </w:pPr>
      <w:r>
        <w:rPr>
          <w:rFonts w:hint="eastAsia"/>
        </w:rPr>
        <w:t>色彩：按规定标准色、辅助色应用。</w:t>
      </w:r>
    </w:p>
    <w:p>
      <w:pPr>
        <w:pStyle w:val="58"/>
        <w:ind w:firstLine="420"/>
      </w:pPr>
    </w:p>
    <w:p>
      <w:pPr>
        <w:pStyle w:val="58"/>
        <w:ind w:firstLine="420"/>
      </w:pPr>
      <w:r>
        <w:rPr>
          <w:rFonts w:hint="eastAsia"/>
        </w:rPr>
        <w:t>挂带</w:t>
      </w:r>
    </w:p>
    <w:p>
      <w:pPr>
        <w:pStyle w:val="58"/>
        <w:ind w:firstLine="420"/>
      </w:pPr>
      <w:r>
        <w:rPr>
          <w:rFonts w:hint="eastAsia"/>
        </w:rPr>
        <w:t>规格：15mm（宽度）；</w:t>
      </w:r>
    </w:p>
    <w:p>
      <w:pPr>
        <w:pStyle w:val="58"/>
        <w:ind w:firstLine="420"/>
      </w:pPr>
      <w:r>
        <w:rPr>
          <w:rFonts w:hint="eastAsia"/>
        </w:rPr>
        <w:t>材质：涤纶、尼龙、PVC、纯棉等；</w:t>
      </w:r>
    </w:p>
    <w:p>
      <w:pPr>
        <w:pStyle w:val="58"/>
        <w:ind w:firstLine="420"/>
      </w:pPr>
      <w:r>
        <w:rPr>
          <w:rFonts w:hint="eastAsia"/>
        </w:rPr>
        <w:t>色彩：按规定标准色、辅助色应用。</w:t>
      </w:r>
    </w:p>
    <w:p>
      <w:pPr>
        <w:pStyle w:val="58"/>
        <w:ind w:firstLine="420"/>
      </w:pPr>
      <w:r>
        <w:rPr>
          <w:rFonts w:hint="eastAsia"/>
        </w:rPr>
        <w:t>胸牌示例如图</w:t>
      </w:r>
      <w:r>
        <w:t>A.33</w:t>
      </w:r>
      <w:r>
        <w:rPr>
          <w:rFonts w:hint="eastAsia"/>
        </w:rPr>
        <w:t>所示。</w:t>
      </w:r>
    </w:p>
    <w:p>
      <w:pPr>
        <w:tabs>
          <w:tab w:val="left" w:pos="6274"/>
        </w:tabs>
        <w:spacing w:line="240" w:lineRule="auto"/>
        <w:ind w:left="105"/>
        <w:jc w:val="center"/>
      </w:pPr>
      <w:r>
        <w:drawing>
          <wp:inline distT="0" distB="0" distL="0" distR="0">
            <wp:extent cx="2736850" cy="1970405"/>
            <wp:effectExtent l="19050" t="0" r="6350" b="0"/>
            <wp:docPr id="55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4" name="图片 34"/>
                    <pic:cNvPicPr>
                      <a:picLocks noChangeAspect="1" noChangeArrowheads="1"/>
                    </pic:cNvPicPr>
                  </pic:nvPicPr>
                  <pic:blipFill>
                    <a:blip r:embed="rId61"/>
                    <a:srcRect/>
                    <a:stretch>
                      <a:fillRect/>
                    </a:stretch>
                  </pic:blipFill>
                  <pic:spPr>
                    <a:xfrm>
                      <a:off x="0" y="0"/>
                      <a:ext cx="2736850" cy="1970405"/>
                    </a:xfrm>
                    <a:prstGeom prst="rect">
                      <a:avLst/>
                    </a:prstGeom>
                    <a:noFill/>
                    <a:ln w="9525">
                      <a:noFill/>
                      <a:miter lim="800000"/>
                      <a:headEnd/>
                      <a:tailEnd/>
                    </a:ln>
                  </pic:spPr>
                </pic:pic>
              </a:graphicData>
            </a:graphic>
          </wp:inline>
        </w:drawing>
      </w:r>
      <w:r>
        <w:drawing>
          <wp:inline distT="0" distB="0" distL="0" distR="0">
            <wp:extent cx="3084195" cy="1435735"/>
            <wp:effectExtent l="19050" t="0" r="1905" b="0"/>
            <wp:docPr id="555"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5" name="图片 38"/>
                    <pic:cNvPicPr>
                      <a:picLocks noChangeAspect="1" noChangeArrowheads="1"/>
                    </pic:cNvPicPr>
                  </pic:nvPicPr>
                  <pic:blipFill>
                    <a:blip r:embed="rId62"/>
                    <a:srcRect/>
                    <a:stretch>
                      <a:fillRect/>
                    </a:stretch>
                  </pic:blipFill>
                  <pic:spPr>
                    <a:xfrm>
                      <a:off x="0" y="0"/>
                      <a:ext cx="3084195" cy="143573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信封</w:t>
      </w:r>
    </w:p>
    <w:p>
      <w:pPr>
        <w:pStyle w:val="58"/>
        <w:ind w:firstLine="420"/>
      </w:pPr>
      <w:r>
        <w:rPr>
          <w:rFonts w:hint="eastAsia"/>
        </w:rPr>
        <w:t>信封应符合 GB/T 1416 的规定，邮政编码框、贴邮票处均应依照标准统一印刷，标识应置于美术图案区内，采用标识与中英文左右组合规范A.1.3.1，可根据实际需要采用二级机构标识与中英文左右组合规范A.1.3.4。</w:t>
      </w:r>
    </w:p>
    <w:p>
      <w:pPr>
        <w:pStyle w:val="58"/>
        <w:ind w:firstLine="420"/>
      </w:pPr>
      <w:r>
        <w:rPr>
          <w:rFonts w:hint="eastAsia"/>
        </w:rPr>
        <w:t>信封制作要求：</w:t>
      </w:r>
    </w:p>
    <w:p>
      <w:pPr>
        <w:pStyle w:val="58"/>
        <w:ind w:firstLine="420"/>
      </w:pPr>
      <w:r>
        <w:rPr>
          <w:rFonts w:hint="eastAsia"/>
        </w:rPr>
        <w:t>效果：依照样稿规定。</w:t>
      </w:r>
    </w:p>
    <w:p>
      <w:pPr>
        <w:pStyle w:val="58"/>
        <w:ind w:firstLine="420"/>
      </w:pPr>
      <w:r>
        <w:rPr>
          <w:rFonts w:hint="eastAsia"/>
        </w:rPr>
        <w:t>尺寸规格：220 ×110mm； 229×162mm；324×229mm（中式和西式）。</w:t>
      </w:r>
    </w:p>
    <w:p>
      <w:pPr>
        <w:pStyle w:val="58"/>
        <w:ind w:firstLine="420"/>
      </w:pPr>
      <w:r>
        <w:rPr>
          <w:rFonts w:hint="eastAsia"/>
        </w:rPr>
        <w:t>材质：宜选用 60-100g双胶纸或者牛皮纸。</w:t>
      </w:r>
    </w:p>
    <w:p>
      <w:pPr>
        <w:pStyle w:val="58"/>
        <w:ind w:firstLine="420"/>
      </w:pPr>
      <w:r>
        <w:rPr>
          <w:rFonts w:hint="eastAsia"/>
        </w:rPr>
        <w:t>工艺：四色胶印。</w:t>
      </w:r>
    </w:p>
    <w:p>
      <w:pPr>
        <w:pStyle w:val="58"/>
        <w:ind w:firstLine="420"/>
      </w:pPr>
      <w:r>
        <w:rPr>
          <w:rFonts w:hint="eastAsia"/>
        </w:rPr>
        <w:t>信封样式如图</w:t>
      </w:r>
      <w:r>
        <w:t>A.34。</w:t>
      </w:r>
    </w:p>
    <w:p>
      <w:pPr>
        <w:tabs>
          <w:tab w:val="left" w:pos="6274"/>
        </w:tabs>
        <w:spacing w:line="240" w:lineRule="auto"/>
        <w:ind w:left="105"/>
        <w:jc w:val="center"/>
      </w:pPr>
      <w:r>
        <w:drawing>
          <wp:inline distT="0" distB="0" distL="0" distR="0">
            <wp:extent cx="2762250" cy="2382520"/>
            <wp:effectExtent l="19050" t="0" r="0" b="0"/>
            <wp:docPr id="5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图片 36"/>
                    <pic:cNvPicPr>
                      <a:picLocks noChangeAspect="1" noChangeArrowheads="1"/>
                    </pic:cNvPicPr>
                  </pic:nvPicPr>
                  <pic:blipFill>
                    <a:blip r:embed="rId63"/>
                    <a:srcRect/>
                    <a:stretch>
                      <a:fillRect/>
                    </a:stretch>
                  </pic:blipFill>
                  <pic:spPr>
                    <a:xfrm>
                      <a:off x="0" y="0"/>
                      <a:ext cx="2762250" cy="2382520"/>
                    </a:xfrm>
                    <a:prstGeom prst="rect">
                      <a:avLst/>
                    </a:prstGeom>
                    <a:noFill/>
                    <a:ln w="9525">
                      <a:noFill/>
                      <a:miter lim="800000"/>
                      <a:headEnd/>
                      <a:tailEnd/>
                    </a:ln>
                  </pic:spPr>
                </pic:pic>
              </a:graphicData>
            </a:graphic>
          </wp:inline>
        </w:drawing>
      </w:r>
      <w:r>
        <w:drawing>
          <wp:inline distT="0" distB="0" distL="0" distR="0">
            <wp:extent cx="2724150" cy="2421255"/>
            <wp:effectExtent l="19050" t="0" r="0" b="0"/>
            <wp:docPr id="55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图片 37"/>
                    <pic:cNvPicPr>
                      <a:picLocks noChangeAspect="1" noChangeArrowheads="1"/>
                    </pic:cNvPicPr>
                  </pic:nvPicPr>
                  <pic:blipFill>
                    <a:blip r:embed="rId64"/>
                    <a:srcRect/>
                    <a:stretch>
                      <a:fillRect/>
                    </a:stretch>
                  </pic:blipFill>
                  <pic:spPr>
                    <a:xfrm>
                      <a:off x="0" y="0"/>
                      <a:ext cx="2724150" cy="242125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信纸</w:t>
      </w:r>
    </w:p>
    <w:p>
      <w:pPr>
        <w:pStyle w:val="58"/>
        <w:ind w:firstLine="420"/>
      </w:pPr>
      <w:r>
        <w:rPr>
          <w:rFonts w:hint="eastAsia"/>
        </w:rPr>
        <w:t>信纸制作要求：</w:t>
      </w:r>
    </w:p>
    <w:p>
      <w:pPr>
        <w:pStyle w:val="58"/>
        <w:ind w:firstLine="420"/>
      </w:pPr>
      <w:r>
        <w:rPr>
          <w:rFonts w:hint="eastAsia"/>
        </w:rPr>
        <w:t>标识：采用标识与中英文横式组合规范A.1.3.1，可根据实际需要采用二级机构标识与中英文横式组合规范A.1.3.4。</w:t>
      </w:r>
    </w:p>
    <w:p>
      <w:pPr>
        <w:pStyle w:val="58"/>
        <w:ind w:firstLine="420"/>
      </w:pPr>
      <w:r>
        <w:rPr>
          <w:rFonts w:hint="eastAsia"/>
        </w:rPr>
        <w:t>字体：汉仪松阳体。</w:t>
      </w:r>
    </w:p>
    <w:p>
      <w:pPr>
        <w:pStyle w:val="58"/>
        <w:ind w:firstLine="420"/>
      </w:pPr>
      <w:r>
        <w:rPr>
          <w:rFonts w:hint="eastAsia"/>
        </w:rPr>
        <w:t>规格：210mm x 285mm ；210mm x 297mm。</w:t>
      </w:r>
    </w:p>
    <w:p>
      <w:pPr>
        <w:pStyle w:val="58"/>
        <w:ind w:firstLine="420"/>
      </w:pPr>
      <w:r>
        <w:rPr>
          <w:rFonts w:hint="eastAsia"/>
        </w:rPr>
        <w:t>材质：80g~120g，白色或者象牙白色胶版纸。</w:t>
      </w:r>
    </w:p>
    <w:p>
      <w:pPr>
        <w:pStyle w:val="58"/>
        <w:ind w:firstLine="420"/>
      </w:pPr>
      <w:r>
        <w:rPr>
          <w:rFonts w:hint="eastAsia"/>
        </w:rPr>
        <w:t>颜色：标准四色、标准灰色、专色金。</w:t>
      </w:r>
    </w:p>
    <w:p>
      <w:pPr>
        <w:pStyle w:val="58"/>
        <w:ind w:firstLine="420"/>
      </w:pPr>
      <w:r>
        <w:rPr>
          <w:rFonts w:hint="eastAsia"/>
        </w:rPr>
        <w:t>信纸示例如图</w:t>
      </w:r>
      <w:r>
        <w:t>A.35。</w:t>
      </w:r>
    </w:p>
    <w:p>
      <w:pPr>
        <w:tabs>
          <w:tab w:val="left" w:pos="6274"/>
        </w:tabs>
        <w:spacing w:line="240" w:lineRule="auto"/>
        <w:ind w:left="105"/>
        <w:jc w:val="center"/>
      </w:pPr>
      <w:r>
        <w:drawing>
          <wp:inline distT="0" distB="0" distL="0" distR="0">
            <wp:extent cx="3239135" cy="2247265"/>
            <wp:effectExtent l="19050" t="0" r="0" b="0"/>
            <wp:docPr id="558" name="图片 100" descr="07909a35988d22fc4606a530f4ede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8" name="图片 100" descr="07909a35988d22fc4606a530f4ede1a"/>
                    <pic:cNvPicPr>
                      <a:picLocks noChangeAspect="1" noChangeArrowheads="1"/>
                    </pic:cNvPicPr>
                  </pic:nvPicPr>
                  <pic:blipFill>
                    <a:blip r:embed="rId65"/>
                    <a:srcRect/>
                    <a:stretch>
                      <a:fillRect/>
                    </a:stretch>
                  </pic:blipFill>
                  <pic:spPr>
                    <a:xfrm>
                      <a:off x="0" y="0"/>
                      <a:ext cx="3239135" cy="224726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便签</w:t>
      </w:r>
    </w:p>
    <w:p>
      <w:pPr>
        <w:pStyle w:val="58"/>
        <w:ind w:firstLine="420"/>
      </w:pPr>
      <w:r>
        <w:rPr>
          <w:rFonts w:hint="eastAsia"/>
        </w:rPr>
        <w:t>便签制作要求：</w:t>
      </w:r>
    </w:p>
    <w:p>
      <w:pPr>
        <w:pStyle w:val="58"/>
        <w:ind w:firstLine="420"/>
      </w:pPr>
      <w:r>
        <w:rPr>
          <w:rFonts w:hint="eastAsia"/>
        </w:rPr>
        <w:t>标识：采用标识与中英文横式组合规范A.1.3.1，可根据实际需要采用二级机构标识与中英文横式组合规范A.1.3.4。</w:t>
      </w:r>
    </w:p>
    <w:p>
      <w:pPr>
        <w:pStyle w:val="58"/>
        <w:ind w:firstLine="420"/>
      </w:pPr>
      <w:r>
        <w:rPr>
          <w:rFonts w:hint="eastAsia"/>
        </w:rPr>
        <w:t>字体：指定印刷字体，汉仪松阳体。</w:t>
      </w:r>
    </w:p>
    <w:p>
      <w:pPr>
        <w:pStyle w:val="58"/>
        <w:ind w:firstLine="420"/>
      </w:pPr>
      <w:r>
        <w:rPr>
          <w:rFonts w:hint="eastAsia"/>
        </w:rPr>
        <w:t>规格：105mm x 105mm ；105mm x 140mm。</w:t>
      </w:r>
    </w:p>
    <w:p>
      <w:pPr>
        <w:pStyle w:val="58"/>
        <w:ind w:firstLine="420"/>
      </w:pPr>
      <w:r>
        <w:rPr>
          <w:rFonts w:hint="eastAsia"/>
        </w:rPr>
        <w:t>材质：不低于100g,白色或象牙白色，胶版纸或道林纸。</w:t>
      </w:r>
    </w:p>
    <w:p>
      <w:pPr>
        <w:pStyle w:val="58"/>
        <w:ind w:firstLine="420"/>
      </w:pPr>
      <w:r>
        <w:rPr>
          <w:rFonts w:hint="eastAsia"/>
        </w:rPr>
        <w:t>工艺：四色印刷。</w:t>
      </w:r>
    </w:p>
    <w:p>
      <w:pPr>
        <w:pStyle w:val="58"/>
        <w:ind w:firstLine="420"/>
      </w:pPr>
      <w:r>
        <w:rPr>
          <w:rFonts w:hint="eastAsia"/>
        </w:rPr>
        <w:t>颜色：按规定标准色。</w:t>
      </w:r>
    </w:p>
    <w:p>
      <w:pPr>
        <w:pStyle w:val="58"/>
        <w:ind w:firstLine="420"/>
      </w:pPr>
      <w:r>
        <w:rPr>
          <w:rFonts w:hint="eastAsia"/>
        </w:rPr>
        <w:t>便签示例如图A.36。</w:t>
      </w:r>
    </w:p>
    <w:p>
      <w:pPr>
        <w:spacing w:line="240" w:lineRule="auto"/>
        <w:jc w:val="center"/>
      </w:pPr>
      <w:r>
        <w:drawing>
          <wp:inline distT="0" distB="0" distL="0" distR="0">
            <wp:extent cx="2253615" cy="1539240"/>
            <wp:effectExtent l="19050" t="0" r="0" b="0"/>
            <wp:docPr id="5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9" name="图片 2"/>
                    <pic:cNvPicPr>
                      <a:picLocks noChangeAspect="1" noChangeArrowheads="1"/>
                    </pic:cNvPicPr>
                  </pic:nvPicPr>
                  <pic:blipFill>
                    <a:blip r:embed="rId66"/>
                    <a:srcRect/>
                    <a:stretch>
                      <a:fillRect/>
                    </a:stretch>
                  </pic:blipFill>
                  <pic:spPr>
                    <a:xfrm rot="10800000" flipH="1" flipV="1">
                      <a:off x="0" y="0"/>
                      <a:ext cx="2253615" cy="153924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会议桌牌</w:t>
      </w:r>
    </w:p>
    <w:p>
      <w:pPr>
        <w:pStyle w:val="58"/>
        <w:ind w:firstLine="420"/>
      </w:pPr>
      <w:r>
        <w:rPr>
          <w:rFonts w:hint="eastAsia"/>
        </w:rPr>
        <w:t>标识：采用标识与中英文横式组合规范A.1.3.1，可根据实际需要采用二级机构标识与中英文横式组合规范A.1.3.4，台牌应用可根据尺寸按比例缩放，放在左上角的位置。</w:t>
      </w:r>
    </w:p>
    <w:p>
      <w:pPr>
        <w:pStyle w:val="58"/>
        <w:ind w:firstLine="420"/>
      </w:pPr>
      <w:r>
        <w:rPr>
          <w:rFonts w:hint="eastAsia"/>
        </w:rPr>
        <w:t>字体：汉仪松阳体。</w:t>
      </w:r>
    </w:p>
    <w:p>
      <w:pPr>
        <w:pStyle w:val="58"/>
        <w:ind w:firstLine="420"/>
      </w:pPr>
      <w:r>
        <w:rPr>
          <w:rFonts w:hint="eastAsia"/>
        </w:rPr>
        <w:t>红条部分为自定义区域：内容反白效果，可自定义宣传内容。</w:t>
      </w:r>
    </w:p>
    <w:p>
      <w:pPr>
        <w:pStyle w:val="58"/>
        <w:ind w:firstLine="420"/>
      </w:pPr>
      <w:r>
        <w:rPr>
          <w:rFonts w:hint="eastAsia"/>
        </w:rPr>
        <w:t>采购带底座的台牌，在底座位置需印上标识。</w:t>
      </w:r>
    </w:p>
    <w:p>
      <w:pPr>
        <w:pStyle w:val="58"/>
        <w:ind w:firstLine="420"/>
      </w:pPr>
      <w:r>
        <w:rPr>
          <w:rFonts w:hint="eastAsia"/>
        </w:rPr>
        <w:t>示例如图A.37。</w:t>
      </w:r>
    </w:p>
    <w:p>
      <w:pPr>
        <w:tabs>
          <w:tab w:val="left" w:pos="6274"/>
        </w:tabs>
        <w:spacing w:line="240" w:lineRule="auto"/>
        <w:ind w:left="105"/>
        <w:jc w:val="center"/>
      </w:pPr>
      <w:r>
        <w:drawing>
          <wp:inline distT="0" distB="0" distL="0" distR="0">
            <wp:extent cx="3032760" cy="1906270"/>
            <wp:effectExtent l="19050" t="0" r="0" b="0"/>
            <wp:docPr id="56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 name="图片 5"/>
                    <pic:cNvPicPr>
                      <a:picLocks noChangeAspect="1" noChangeArrowheads="1"/>
                    </pic:cNvPicPr>
                  </pic:nvPicPr>
                  <pic:blipFill>
                    <a:blip r:embed="rId67"/>
                    <a:srcRect/>
                    <a:stretch>
                      <a:fillRect/>
                    </a:stretch>
                  </pic:blipFill>
                  <pic:spPr>
                    <a:xfrm>
                      <a:off x="0" y="0"/>
                      <a:ext cx="3032760" cy="1906270"/>
                    </a:xfrm>
                    <a:prstGeom prst="rect">
                      <a:avLst/>
                    </a:prstGeom>
                    <a:noFill/>
                    <a:ln w="9525">
                      <a:noFill/>
                      <a:miter lim="800000"/>
                      <a:headEnd/>
                      <a:tailEnd/>
                    </a:ln>
                  </pic:spPr>
                </pic:pic>
              </a:graphicData>
            </a:graphic>
          </wp:inline>
        </w:drawing>
      </w:r>
      <w:r>
        <w:drawing>
          <wp:inline distT="0" distB="0" distL="0" distR="0">
            <wp:extent cx="2092960" cy="1416685"/>
            <wp:effectExtent l="19050" t="0" r="2540" b="0"/>
            <wp:docPr id="561"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图片 40"/>
                    <pic:cNvPicPr>
                      <a:picLocks noChangeAspect="1" noChangeArrowheads="1"/>
                    </pic:cNvPicPr>
                  </pic:nvPicPr>
                  <pic:blipFill>
                    <a:blip r:embed="rId68"/>
                    <a:srcRect/>
                    <a:stretch>
                      <a:fillRect/>
                    </a:stretch>
                  </pic:blipFill>
                  <pic:spPr>
                    <a:xfrm>
                      <a:off x="0" y="0"/>
                      <a:ext cx="2092960" cy="1416685"/>
                    </a:xfrm>
                    <a:prstGeom prst="rect">
                      <a:avLst/>
                    </a:prstGeom>
                    <a:noFill/>
                    <a:ln w="9525">
                      <a:noFill/>
                      <a:miter lim="800000"/>
                      <a:headEnd/>
                      <a:tailEnd/>
                    </a:ln>
                  </pic:spPr>
                </pic:pic>
              </a:graphicData>
            </a:graphic>
          </wp:inline>
        </w:drawing>
      </w:r>
    </w:p>
    <w:p>
      <w:pPr>
        <w:tabs>
          <w:tab w:val="left" w:pos="6274"/>
        </w:tabs>
        <w:spacing w:line="240" w:lineRule="auto"/>
      </w:pPr>
    </w:p>
    <w:p>
      <w:pPr>
        <w:tabs>
          <w:tab w:val="left" w:pos="6274"/>
        </w:tabs>
        <w:spacing w:line="240" w:lineRule="auto"/>
        <w:jc w:val="center"/>
      </w:pPr>
      <w:r>
        <w:drawing>
          <wp:inline distT="0" distB="0" distL="0" distR="0">
            <wp:extent cx="2144395" cy="1255395"/>
            <wp:effectExtent l="19050" t="0" r="8255" b="0"/>
            <wp:docPr id="562" name="图片 103" descr="6c5379cdbc1ed86902df205bf92f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图片 103" descr="6c5379cdbc1ed86902df205bf92f941"/>
                    <pic:cNvPicPr>
                      <a:picLocks noChangeAspect="1" noChangeArrowheads="1"/>
                    </pic:cNvPicPr>
                  </pic:nvPicPr>
                  <pic:blipFill>
                    <a:blip r:embed="rId69"/>
                    <a:srcRect r="2969" b="40109"/>
                    <a:stretch>
                      <a:fillRect/>
                    </a:stretch>
                  </pic:blipFill>
                  <pic:spPr>
                    <a:xfrm>
                      <a:off x="0" y="0"/>
                      <a:ext cx="2144395" cy="1255395"/>
                    </a:xfrm>
                    <a:prstGeom prst="rect">
                      <a:avLst/>
                    </a:prstGeom>
                    <a:noFill/>
                    <a:ln w="9525">
                      <a:noFill/>
                      <a:miter lim="800000"/>
                      <a:headEnd/>
                      <a:tailEnd/>
                    </a:ln>
                  </pic:spPr>
                </pic:pic>
              </a:graphicData>
            </a:graphic>
          </wp:inline>
        </w:drawing>
      </w:r>
      <w:r>
        <w:drawing>
          <wp:inline distT="0" distB="0" distL="0" distR="0">
            <wp:extent cx="3001010" cy="1191260"/>
            <wp:effectExtent l="19050" t="0" r="8890" b="0"/>
            <wp:docPr id="563" name="图片 107" descr="4243235cbad909f14c9d30c4b224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图片 107" descr="4243235cbad909f14c9d30c4b224709"/>
                    <pic:cNvPicPr>
                      <a:picLocks noChangeAspect="1" noChangeArrowheads="1"/>
                    </pic:cNvPicPr>
                  </pic:nvPicPr>
                  <pic:blipFill>
                    <a:blip r:embed="rId70"/>
                    <a:srcRect/>
                    <a:stretch>
                      <a:fillRect/>
                    </a:stretch>
                  </pic:blipFill>
                  <pic:spPr>
                    <a:xfrm>
                      <a:off x="0" y="0"/>
                      <a:ext cx="3001010" cy="119126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会议挂牌</w:t>
      </w:r>
    </w:p>
    <w:p>
      <w:pPr>
        <w:pStyle w:val="84"/>
        <w:spacing w:before="120" w:after="120"/>
      </w:pPr>
      <w:r>
        <w:rPr>
          <w:rFonts w:hint="eastAsia"/>
        </w:rPr>
        <w:t>胸卡</w:t>
      </w:r>
    </w:p>
    <w:p>
      <w:pPr>
        <w:pStyle w:val="58"/>
        <w:ind w:firstLine="420"/>
      </w:pPr>
      <w:r>
        <w:rPr>
          <w:rFonts w:hint="eastAsia"/>
        </w:rPr>
        <w:t>标识：采用二级机构标识与中英文横式组合规范A.1.3.4。</w:t>
      </w:r>
    </w:p>
    <w:p>
      <w:pPr>
        <w:pStyle w:val="58"/>
        <w:ind w:firstLine="420"/>
      </w:pPr>
      <w:r>
        <w:rPr>
          <w:rFonts w:hint="eastAsia"/>
        </w:rPr>
        <w:t>字体：汉仪松阳体。</w:t>
      </w:r>
    </w:p>
    <w:p>
      <w:pPr>
        <w:pStyle w:val="58"/>
        <w:ind w:firstLine="420"/>
      </w:pPr>
      <w:r>
        <w:rPr>
          <w:rFonts w:hint="eastAsia"/>
        </w:rPr>
        <w:t>材质：PVC板或根据实际需要选择。</w:t>
      </w:r>
    </w:p>
    <w:p>
      <w:pPr>
        <w:pStyle w:val="58"/>
        <w:ind w:firstLine="420"/>
      </w:pPr>
      <w:r>
        <w:rPr>
          <w:rFonts w:hint="eastAsia"/>
        </w:rPr>
        <w:t>色彩：</w:t>
      </w:r>
      <w:bookmarkStart w:id="78" w:name="_Hlk135491416"/>
      <w:r>
        <w:rPr>
          <w:rFonts w:hint="eastAsia"/>
        </w:rPr>
        <w:t>按规定标准色、辅助色应用</w:t>
      </w:r>
      <w:bookmarkEnd w:id="78"/>
      <w:r>
        <w:rPr>
          <w:rFonts w:hint="eastAsia"/>
        </w:rPr>
        <w:t>。</w:t>
      </w:r>
    </w:p>
    <w:p>
      <w:pPr>
        <w:pStyle w:val="58"/>
        <w:ind w:firstLine="420"/>
      </w:pPr>
      <w:r>
        <w:rPr>
          <w:rFonts w:hint="eastAsia"/>
        </w:rPr>
        <w:t>工艺：四色印刷、丝网印或胶印。</w:t>
      </w:r>
    </w:p>
    <w:p>
      <w:pPr>
        <w:pStyle w:val="58"/>
        <w:ind w:firstLine="420"/>
      </w:pPr>
      <w:r>
        <w:rPr>
          <w:rFonts w:hint="eastAsia"/>
        </w:rPr>
        <w:t>正面：组合依照样稿，指定印刷字体。</w:t>
      </w:r>
    </w:p>
    <w:p>
      <w:pPr>
        <w:pStyle w:val="84"/>
        <w:spacing w:before="120" w:after="120"/>
      </w:pPr>
      <w:r>
        <w:rPr>
          <w:rFonts w:hint="eastAsia"/>
        </w:rPr>
        <w:t>挂带</w:t>
      </w:r>
    </w:p>
    <w:p>
      <w:pPr>
        <w:pStyle w:val="58"/>
        <w:ind w:firstLine="420"/>
      </w:pPr>
      <w:r>
        <w:rPr>
          <w:rFonts w:hint="eastAsia"/>
        </w:rPr>
        <w:t>标识：采用标识与中英文横式组合规范A.1.3.1。</w:t>
      </w:r>
    </w:p>
    <w:p>
      <w:pPr>
        <w:pStyle w:val="58"/>
        <w:ind w:firstLine="420"/>
      </w:pPr>
      <w:r>
        <w:rPr>
          <w:rFonts w:hint="eastAsia"/>
        </w:rPr>
        <w:t>规格：15mm（宽度）</w:t>
      </w:r>
    </w:p>
    <w:p>
      <w:pPr>
        <w:pStyle w:val="58"/>
        <w:ind w:firstLine="420"/>
      </w:pPr>
      <w:r>
        <w:rPr>
          <w:rFonts w:hint="eastAsia"/>
        </w:rPr>
        <w:t>材质：涤纶、尼龙、PVC、纯棉等</w:t>
      </w:r>
    </w:p>
    <w:p>
      <w:pPr>
        <w:pStyle w:val="58"/>
        <w:ind w:firstLine="420"/>
      </w:pPr>
      <w:r>
        <w:rPr>
          <w:rFonts w:hint="eastAsia"/>
        </w:rPr>
        <w:t>色彩：按规定标准色、辅助色应用</w:t>
      </w:r>
    </w:p>
    <w:p>
      <w:pPr>
        <w:pStyle w:val="58"/>
        <w:ind w:firstLine="420"/>
      </w:pPr>
      <w:r>
        <w:rPr>
          <w:rFonts w:hint="eastAsia"/>
        </w:rPr>
        <w:t>工艺：丝印、热转印、提花、反光、热感等。</w:t>
      </w:r>
    </w:p>
    <w:p>
      <w:pPr>
        <w:pStyle w:val="58"/>
        <w:ind w:firstLine="420"/>
      </w:pPr>
      <w:r>
        <w:rPr>
          <w:rFonts w:hint="eastAsia"/>
        </w:rPr>
        <w:t>示例如图A.38。</w:t>
      </w:r>
    </w:p>
    <w:p>
      <w:pPr>
        <w:tabs>
          <w:tab w:val="left" w:pos="6274"/>
        </w:tabs>
        <w:spacing w:line="240" w:lineRule="auto"/>
        <w:ind w:left="105"/>
        <w:jc w:val="center"/>
      </w:pPr>
      <w:r>
        <w:drawing>
          <wp:inline distT="0" distB="0" distL="0" distR="0">
            <wp:extent cx="5602605" cy="4250055"/>
            <wp:effectExtent l="19050" t="0" r="0" b="0"/>
            <wp:docPr id="56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 name="图片 9"/>
                    <pic:cNvPicPr>
                      <a:picLocks noChangeAspect="1" noChangeArrowheads="1"/>
                    </pic:cNvPicPr>
                  </pic:nvPicPr>
                  <pic:blipFill>
                    <a:blip r:embed="rId71"/>
                    <a:srcRect/>
                    <a:stretch>
                      <a:fillRect/>
                    </a:stretch>
                  </pic:blipFill>
                  <pic:spPr>
                    <a:xfrm>
                      <a:off x="0" y="0"/>
                      <a:ext cx="5602605" cy="425005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手提袋</w:t>
      </w:r>
    </w:p>
    <w:p>
      <w:pPr>
        <w:pStyle w:val="58"/>
        <w:ind w:firstLine="420"/>
      </w:pPr>
      <w:r>
        <w:rPr>
          <w:rFonts w:hint="eastAsia"/>
        </w:rPr>
        <w:t>标识：采用二级机构标识与中英文横式组合规范A.1.3.4，各地根据实际情况自行选择。</w:t>
      </w:r>
    </w:p>
    <w:p>
      <w:pPr>
        <w:pStyle w:val="58"/>
        <w:ind w:firstLine="420"/>
      </w:pPr>
      <w:r>
        <w:rPr>
          <w:rFonts w:hint="eastAsia"/>
        </w:rPr>
        <w:t>尺寸规格：270 x 380 x 80mm。</w:t>
      </w:r>
    </w:p>
    <w:p>
      <w:pPr>
        <w:pStyle w:val="58"/>
        <w:ind w:firstLine="420"/>
      </w:pPr>
      <w:r>
        <w:rPr>
          <w:rFonts w:hint="eastAsia"/>
        </w:rPr>
        <w:t>材质工艺：无纺布，凹版印刷。</w:t>
      </w:r>
    </w:p>
    <w:p>
      <w:pPr>
        <w:pStyle w:val="58"/>
        <w:ind w:firstLine="420"/>
      </w:pPr>
      <w:r>
        <w:rPr>
          <w:rFonts w:hint="eastAsia"/>
        </w:rPr>
        <w:t>正文字体：汉仪松阳体。</w:t>
      </w:r>
    </w:p>
    <w:p>
      <w:pPr>
        <w:pStyle w:val="58"/>
        <w:ind w:firstLine="420"/>
      </w:pPr>
      <w:r>
        <w:rPr>
          <w:rFonts w:hint="eastAsia"/>
        </w:rPr>
        <w:t>示例如图</w:t>
      </w:r>
      <w:r>
        <w:t>A.39。</w:t>
      </w:r>
    </w:p>
    <w:p>
      <w:pPr>
        <w:pStyle w:val="85"/>
        <w:numPr>
          <w:ilvl w:val="0"/>
          <w:numId w:val="0"/>
        </w:numPr>
        <w:spacing w:before="120" w:after="120"/>
      </w:pPr>
      <w:r>
        <w:drawing>
          <wp:inline distT="0" distB="0" distL="0" distR="0">
            <wp:extent cx="3670300" cy="3837940"/>
            <wp:effectExtent l="19050" t="0" r="6350" b="0"/>
            <wp:docPr id="565" name="图片 44" descr="提提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 name="图片 44" descr="提提提"/>
                    <pic:cNvPicPr>
                      <a:picLocks noChangeAspect="1" noChangeArrowheads="1"/>
                    </pic:cNvPicPr>
                  </pic:nvPicPr>
                  <pic:blipFill>
                    <a:blip r:embed="rId72"/>
                    <a:srcRect/>
                    <a:stretch>
                      <a:fillRect/>
                    </a:stretch>
                  </pic:blipFill>
                  <pic:spPr>
                    <a:xfrm>
                      <a:off x="0" y="0"/>
                      <a:ext cx="3670300" cy="3837940"/>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PPT规范</w:t>
      </w:r>
    </w:p>
    <w:p>
      <w:pPr>
        <w:pStyle w:val="58"/>
        <w:ind w:firstLine="420"/>
      </w:pPr>
      <w:r>
        <w:rPr>
          <w:rFonts w:hint="eastAsia"/>
        </w:rPr>
        <w:t>标识：采用标识与中英文横式组合规范</w:t>
      </w:r>
      <w:r>
        <w:t>A.1.3.1</w:t>
      </w:r>
      <w:r>
        <w:rPr>
          <w:rFonts w:hint="eastAsia"/>
        </w:rPr>
        <w:t>，或者二级机构标识与中英文横式组合规范</w:t>
      </w:r>
      <w:r>
        <w:t>A.1.3.4</w:t>
      </w:r>
      <w:r>
        <w:rPr>
          <w:rFonts w:hint="eastAsia"/>
        </w:rPr>
        <w:t>，放在左上角。</w:t>
      </w:r>
    </w:p>
    <w:p>
      <w:pPr>
        <w:pStyle w:val="58"/>
        <w:ind w:firstLine="420"/>
      </w:pPr>
      <w:r>
        <w:rPr>
          <w:rFonts w:hint="eastAsia"/>
        </w:rPr>
        <w:t>字体：汉仪松阳体。</w:t>
      </w:r>
    </w:p>
    <w:p>
      <w:pPr>
        <w:pStyle w:val="58"/>
        <w:ind w:firstLine="420"/>
      </w:pPr>
      <w:r>
        <w:rPr>
          <w:rFonts w:hint="eastAsia"/>
        </w:rPr>
        <w:t>示例如图</w:t>
      </w:r>
      <w:r>
        <w:t>A.40</w:t>
      </w:r>
      <w:r>
        <w:rPr>
          <w:rFonts w:hint="eastAsia"/>
        </w:rPr>
        <w:t>。</w:t>
      </w:r>
    </w:p>
    <w:p>
      <w:pPr>
        <w:tabs>
          <w:tab w:val="left" w:pos="6274"/>
        </w:tabs>
        <w:spacing w:line="240" w:lineRule="auto"/>
        <w:ind w:left="108"/>
        <w:jc w:val="center"/>
      </w:pPr>
      <w:r>
        <w:drawing>
          <wp:inline distT="0" distB="0" distL="0" distR="0">
            <wp:extent cx="4778375" cy="3438525"/>
            <wp:effectExtent l="19050" t="0" r="3175" b="0"/>
            <wp:docPr id="566" name="图片 121" descr="968efd2dea264a233e1c0cb0116ab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图片 121" descr="968efd2dea264a233e1c0cb0116abf2"/>
                    <pic:cNvPicPr>
                      <a:picLocks noChangeAspect="1" noChangeArrowheads="1"/>
                    </pic:cNvPicPr>
                  </pic:nvPicPr>
                  <pic:blipFill>
                    <a:blip r:embed="rId73"/>
                    <a:srcRect/>
                    <a:stretch>
                      <a:fillRect/>
                    </a:stretch>
                  </pic:blipFill>
                  <pic:spPr>
                    <a:xfrm>
                      <a:off x="0" y="0"/>
                      <a:ext cx="4778375" cy="3438525"/>
                    </a:xfrm>
                    <a:prstGeom prst="rect">
                      <a:avLst/>
                    </a:prstGeom>
                    <a:noFill/>
                    <a:ln w="9525">
                      <a:noFill/>
                      <a:miter lim="800000"/>
                      <a:headEnd/>
                      <a:tailEnd/>
                    </a:ln>
                  </pic:spPr>
                </pic:pic>
              </a:graphicData>
            </a:graphic>
          </wp:inline>
        </w:drawing>
      </w:r>
    </w:p>
    <w:p>
      <w:pPr>
        <w:pStyle w:val="85"/>
        <w:spacing w:before="120" w:after="120"/>
      </w:pPr>
    </w:p>
    <w:p>
      <w:pPr>
        <w:pStyle w:val="83"/>
        <w:spacing w:before="120" w:after="120"/>
      </w:pPr>
      <w:r>
        <w:rPr>
          <w:rFonts w:hint="eastAsia"/>
        </w:rPr>
        <w:t>广告宣传</w:t>
      </w:r>
    </w:p>
    <w:p>
      <w:pPr>
        <w:pStyle w:val="58"/>
        <w:ind w:firstLine="420"/>
      </w:pPr>
      <w:r>
        <w:rPr>
          <w:rFonts w:hint="eastAsia" w:hAnsi="宋体" w:cs="宋体"/>
        </w:rPr>
        <w:t>业务册页、画册、宣传栏等</w:t>
      </w:r>
      <w:r>
        <w:rPr>
          <w:rFonts w:hint="eastAsia"/>
        </w:rPr>
        <w:t>标识使用应符合标识与中英文横式组合规范</w:t>
      </w:r>
      <w:r>
        <w:t>A.1.3.1</w:t>
      </w:r>
      <w:r>
        <w:rPr>
          <w:rFonts w:hint="eastAsia"/>
        </w:rPr>
        <w:t>，或者二级机构标识与中英文横式组合规范</w:t>
      </w:r>
      <w:r>
        <w:t>A.1.3.4</w:t>
      </w:r>
      <w:r>
        <w:rPr>
          <w:rFonts w:hint="eastAsia"/>
        </w:rPr>
        <w:t>。</w:t>
      </w:r>
    </w:p>
    <w:p>
      <w:pPr>
        <w:pStyle w:val="58"/>
        <w:ind w:firstLine="420"/>
      </w:pPr>
    </w:p>
    <w:p>
      <w:pPr>
        <w:pStyle w:val="58"/>
        <w:ind w:firstLine="0" w:firstLineChars="0"/>
        <w:jc w:val="center"/>
      </w:pPr>
      <w:bookmarkStart w:id="79" w:name="BookMark8"/>
      <w:r>
        <w:drawing>
          <wp:inline distT="0" distB="0" distL="0" distR="0">
            <wp:extent cx="1487805" cy="315595"/>
            <wp:effectExtent l="19050" t="0" r="0" b="0"/>
            <wp:docPr id="567"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图片 63"/>
                    <pic:cNvPicPr>
                      <a:picLocks noChangeAspect="1" noChangeArrowheads="1"/>
                    </pic:cNvPicPr>
                  </pic:nvPicPr>
                  <pic:blipFill>
                    <a:blip r:embed="rId74"/>
                    <a:srcRect/>
                    <a:stretch>
                      <a:fillRect/>
                    </a:stretch>
                  </pic:blipFill>
                  <pic:spPr>
                    <a:xfrm>
                      <a:off x="0" y="0"/>
                      <a:ext cx="1487805" cy="315595"/>
                    </a:xfrm>
                    <a:prstGeom prst="rect">
                      <a:avLst/>
                    </a:prstGeom>
                    <a:noFill/>
                    <a:ln w="9525">
                      <a:noFill/>
                      <a:miter lim="800000"/>
                      <a:headEnd/>
                      <a:tailEnd/>
                    </a:ln>
                  </pic:spPr>
                </pic:pic>
              </a:graphicData>
            </a:graphic>
          </wp:inline>
        </w:drawing>
      </w:r>
      <w:bookmarkEnd w:id="79"/>
    </w:p>
    <w:p>
      <w:pPr>
        <w:spacing w:line="240" w:lineRule="auto"/>
      </w:pPr>
    </w:p>
    <w:p>
      <w:pPr>
        <w:pStyle w:val="58"/>
        <w:ind w:firstLine="420"/>
      </w:pPr>
    </w:p>
    <w:p>
      <w:pPr>
        <w:pStyle w:val="58"/>
        <w:ind w:firstLine="420"/>
      </w:pPr>
    </w:p>
    <w:bookmarkEnd w:id="67"/>
    <w:p>
      <w:pPr>
        <w:pStyle w:val="58"/>
        <w:ind w:firstLine="0" w:firstLineChars="0"/>
        <w:jc w:val="center"/>
      </w:pPr>
    </w:p>
    <w:sectPr>
      <w:pgSz w:w="11906" w:h="16838"/>
      <w:pgMar w:top="1928" w:right="1134" w:bottom="1134" w:left="1134" w:header="1418" w:footer="1134" w:gutter="284"/>
      <w:pgNumType w:start="1"/>
      <w:cols w:space="425" w:num="1"/>
      <w:formProt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panose1 w:val="020B0603030804020204"/>
    <w:charset w:val="00"/>
    <w:family w:val="roman"/>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libri">
    <w:altName w:val="DejaVu Sans"/>
    <w:panose1 w:val="020F0502020204030204"/>
    <w:charset w:val="00"/>
    <w:family w:val="swiss"/>
    <w:pitch w:val="default"/>
    <w:sig w:usb0="00000000" w:usb1="00000000" w:usb2="00000001" w:usb3="00000000" w:csb0="0000019F" w:csb1="00000000"/>
  </w:font>
  <w:font w:name="Arial">
    <w:altName w:val="DejaVu Sans"/>
    <w:panose1 w:val="020B0604020202020204"/>
    <w:charset w:val="01"/>
    <w:family w:val="swiss"/>
    <w:pitch w:val="default"/>
    <w:sig w:usb0="00000000" w:usb1="00000000" w:usb2="00000009" w:usb3="00000000" w:csb0="400001FF" w:csb1="FFFF0000"/>
  </w:font>
  <w:font w:name="黑体">
    <w:panose1 w:val="02010609060101010101"/>
    <w:charset w:val="86"/>
    <w:family w:val="auto"/>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Symbol">
    <w:altName w:val="MT Extra"/>
    <w:panose1 w:val="05050102010706020507"/>
    <w:charset w:val="02"/>
    <w:family w:val="roman"/>
    <w:pitch w:val="default"/>
    <w:sig w:usb0="00000000" w:usb1="00000000" w:usb2="00000000" w:usb3="00000000" w:csb0="80000000" w:csb1="00000000"/>
  </w:font>
  <w:font w:name="Wingdings">
    <w:panose1 w:val="05000000000000000000"/>
    <w:charset w:val="02"/>
    <w:family w:val="auto"/>
    <w:pitch w:val="default"/>
    <w:sig w:usb0="00000000" w:usb1="00000000" w:usb2="00000000" w:usb3="00000000" w:csb0="80000000" w:csb1="00000000"/>
  </w:font>
  <w:font w:name="等线 Light">
    <w:altName w:val="宋体"/>
    <w:panose1 w:val="02010600030101010101"/>
    <w:charset w:val="86"/>
    <w:family w:val="auto"/>
    <w:pitch w:val="default"/>
    <w:sig w:usb0="00000000" w:usb1="00000000" w:usb2="00000016" w:usb3="00000000" w:csb0="0004000F" w:csb1="00000000"/>
  </w:font>
  <w:font w:name="MS Gothic">
    <w:altName w:val="宋体"/>
    <w:panose1 w:val="020B0609070205080204"/>
    <w:charset w:val="80"/>
    <w:family w:val="modern"/>
    <w:pitch w:val="default"/>
    <w:sig w:usb0="00000000" w:usb1="00000000" w:usb2="08000012" w:usb3="00000000" w:csb0="4002009F" w:csb1="DFD70000"/>
  </w:font>
  <w:font w:name="文泉驿正黑">
    <w:panose1 w:val="02000603000000000000"/>
    <w:charset w:val="86"/>
    <w:family w:val="auto"/>
    <w:pitch w:val="default"/>
    <w:sig w:usb0="900002BF" w:usb1="2BDF7DFB" w:usb2="00000036" w:usb3="00000000" w:csb0="603E000D" w:csb1="D2D70000"/>
  </w:font>
  <w:font w:name="等线">
    <w:altName w:val="PakType Naskh Basic"/>
    <w:panose1 w:val="00000000000000000000"/>
    <w:charset w:val="00"/>
    <w:family w:val="auto"/>
    <w:pitch w:val="default"/>
    <w:sig w:usb0="00000000" w:usb1="00000000" w:usb2="00000000" w:usb3="00000000" w:csb0="00000000" w:csb1="00000000"/>
  </w:font>
  <w:font w:name="PakType Naskh Basic">
    <w:panose1 w:val="00000400000000000000"/>
    <w:charset w:val="00"/>
    <w:family w:val="auto"/>
    <w:pitch w:val="default"/>
    <w:sig w:usb0="80006003" w:usb1="8000000A" w:usb2="00000008" w:usb3="00000000" w:csb0="00000041" w:csb1="200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4"/>
    </w:pPr>
    <w:r>
      <w:fldChar w:fldCharType="begin"/>
    </w:r>
    <w:r>
      <w:instrText xml:space="preserve">PAGE   \* MERGEFORMAT</w:instrText>
    </w:r>
    <w:r>
      <w:fldChar w:fldCharType="separate"/>
    </w:r>
    <w:r>
      <w:rPr>
        <w:lang w:val="zh-CN"/>
      </w:rPr>
      <w:t>1</w:t>
    </w:r>
    <w: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3"/>
    </w:pPr>
    <w:r>
      <w:fldChar w:fldCharType="begin"/>
    </w:r>
    <w:r>
      <w:instrText xml:space="preserve"> STYLEREF  标准文件_文件编号  \* MERGEFORMAT </w:instrText>
    </w:r>
    <w:r>
      <w:fldChar w:fldCharType="separate"/>
    </w:r>
    <w:r>
      <w:t>XX/TXXXXX—XXXX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pPr>
    <w:r>
      <w:fldChar w:fldCharType="begin"/>
    </w:r>
    <w:r>
      <w:instrText xml:space="preserve"> STYLEREF  标准文件_文件编号  \* MERGEFORMAT </w:instrText>
    </w:r>
    <w:r>
      <w:fldChar w:fldCharType="separate"/>
    </w:r>
    <w:r>
      <w:t>XX/T XXXXX—XXXX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37933"/>
    <w:multiLevelType w:val="multilevel"/>
    <w:tmpl w:val="02837933"/>
    <w:lvl w:ilvl="0" w:tentative="0">
      <w:start w:val="1"/>
      <w:numFmt w:val="decimal"/>
      <w:pStyle w:val="66"/>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1"/>
      <w:suff w:val="nothing"/>
      <w:lvlText w:val="%1%2.%3　"/>
      <w:lvlJc w:val="left"/>
      <w:pPr>
        <w:ind w:left="0" w:firstLine="0"/>
      </w:pPr>
    </w:lvl>
    <w:lvl w:ilvl="3" w:tentative="0">
      <w:start w:val="1"/>
      <w:numFmt w:val="decimal"/>
      <w:pStyle w:val="120"/>
      <w:suff w:val="nothing"/>
      <w:lvlText w:val="%1%2.%3.%4　"/>
      <w:lvlJc w:val="left"/>
      <w:pPr>
        <w:ind w:left="0" w:firstLine="0"/>
      </w:pPr>
    </w:lvl>
    <w:lvl w:ilvl="4" w:tentative="0">
      <w:start w:val="1"/>
      <w:numFmt w:val="decimal"/>
      <w:pStyle w:val="155"/>
      <w:suff w:val="nothing"/>
      <w:lvlText w:val="%1%2.%3.%4.%5　"/>
      <w:lvlJc w:val="left"/>
      <w:pPr>
        <w:ind w:left="0" w:firstLine="0"/>
      </w:pPr>
    </w:lvl>
    <w:lvl w:ilvl="5" w:tentative="0">
      <w:start w:val="1"/>
      <w:numFmt w:val="decimal"/>
      <w:pStyle w:val="157"/>
      <w:suff w:val="nothing"/>
      <w:lvlText w:val="%1%2.%3.%4.%5.%6　"/>
      <w:lvlJc w:val="left"/>
      <w:pPr>
        <w:ind w:left="0" w:firstLine="0"/>
      </w:pPr>
    </w:lvl>
    <w:lvl w:ilvl="6" w:tentative="0">
      <w:start w:val="1"/>
      <w:numFmt w:val="decimal"/>
      <w:pStyle w:val="160"/>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2"/>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1"/>
      <w:lvlText w:val="%1"/>
      <w:lvlJc w:val="left"/>
      <w:pPr>
        <w:ind w:left="425" w:hanging="425"/>
      </w:pPr>
      <w:rPr>
        <w:rFonts w:hint="eastAsia"/>
      </w:rPr>
    </w:lvl>
    <w:lvl w:ilvl="1" w:tentative="0">
      <w:start w:val="1"/>
      <w:numFmt w:val="decimal"/>
      <w:pStyle w:val="202"/>
      <w:suff w:val="nothing"/>
      <w:lvlText w:val="%10.%2 "/>
      <w:lvlJc w:val="left"/>
      <w:pPr>
        <w:ind w:left="0" w:firstLine="0"/>
      </w:pPr>
      <w:rPr>
        <w:rFonts w:hint="eastAsia" w:ascii="黑体" w:eastAsia="黑体" w:hAnsiTheme="minorHAnsi"/>
        <w:b w:val="0"/>
        <w:i w:val="0"/>
        <w:sz w:val="21"/>
      </w:rPr>
    </w:lvl>
    <w:lvl w:ilvl="2" w:tentative="0">
      <w:start w:val="1"/>
      <w:numFmt w:val="decimal"/>
      <w:pStyle w:val="203"/>
      <w:suff w:val="nothing"/>
      <w:lvlText w:val="%10.%2.%3 "/>
      <w:lvlJc w:val="left"/>
      <w:pPr>
        <w:ind w:left="0" w:firstLine="0"/>
      </w:pPr>
      <w:rPr>
        <w:rFonts w:hint="eastAsia" w:ascii="黑体" w:eastAsia="黑体" w:hAnsiTheme="minorHAnsi"/>
        <w:b w:val="0"/>
        <w:i w:val="0"/>
        <w:sz w:val="21"/>
      </w:rPr>
    </w:lvl>
    <w:lvl w:ilvl="3" w:tentative="0">
      <w:start w:val="1"/>
      <w:numFmt w:val="decimal"/>
      <w:pStyle w:val="204"/>
      <w:suff w:val="nothing"/>
      <w:lvlText w:val="%10.%2.%3.%4 "/>
      <w:lvlJc w:val="left"/>
      <w:pPr>
        <w:ind w:left="0" w:firstLine="0"/>
      </w:pPr>
      <w:rPr>
        <w:rFonts w:hint="eastAsia" w:ascii="黑体" w:eastAsia="黑体" w:hAnsiTheme="minorHAnsi"/>
        <w:b w:val="0"/>
        <w:i w:val="0"/>
        <w:sz w:val="21"/>
      </w:rPr>
    </w:lvl>
    <w:lvl w:ilvl="4" w:tentative="0">
      <w:start w:val="1"/>
      <w:numFmt w:val="decimal"/>
      <w:pStyle w:val="205"/>
      <w:suff w:val="nothing"/>
      <w:lvlText w:val="%10.%2.%3.%4.%5 "/>
      <w:lvlJc w:val="left"/>
      <w:pPr>
        <w:ind w:left="0" w:firstLine="0"/>
      </w:pPr>
      <w:rPr>
        <w:rFonts w:hint="eastAsia" w:ascii="黑体" w:eastAsia="黑体" w:hAnsiTheme="minorHAnsi"/>
        <w:b w:val="0"/>
        <w:i w:val="0"/>
        <w:sz w:val="21"/>
      </w:rPr>
    </w:lvl>
    <w:lvl w:ilvl="5" w:tentative="0">
      <w:start w:val="1"/>
      <w:numFmt w:val="decimal"/>
      <w:pStyle w:val="206"/>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3"/>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9"/>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1"/>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2"/>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7"/>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4"/>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4"/>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9"/>
      <w:lvlText w:val=""/>
      <w:lvlJc w:val="left"/>
      <w:pPr>
        <w:ind w:left="851" w:hanging="431"/>
      </w:pPr>
      <w:rPr>
        <w:rFonts w:hint="default" w:ascii="Symbol" w:hAnsi="Symbol"/>
        <w:sz w:val="21"/>
      </w:rPr>
    </w:lvl>
    <w:lvl w:ilvl="2" w:tentative="0">
      <w:start w:val="1"/>
      <w:numFmt w:val="bullet"/>
      <w:pStyle w:val="174"/>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3"/>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6"/>
      <w:lvlText w:val="%1)"/>
      <w:lvlJc w:val="left"/>
      <w:pPr>
        <w:tabs>
          <w:tab w:val="left" w:pos="851"/>
        </w:tabs>
        <w:ind w:left="851" w:hanging="426"/>
      </w:pPr>
      <w:rPr>
        <w:rFonts w:hint="eastAsia"/>
        <w:sz w:val="21"/>
      </w:rPr>
    </w:lvl>
    <w:lvl w:ilvl="1" w:tentative="0">
      <w:start w:val="1"/>
      <w:numFmt w:val="decimal"/>
      <w:pStyle w:val="111"/>
      <w:lvlText w:val="%2)"/>
      <w:lvlJc w:val="left"/>
      <w:pPr>
        <w:tabs>
          <w:tab w:val="left" w:pos="1276"/>
        </w:tabs>
        <w:ind w:left="1276" w:hanging="425"/>
      </w:pPr>
      <w:rPr>
        <w:rFonts w:hint="eastAsia" w:ascii="宋体" w:hAnsi="Times New Roman" w:eastAsia="宋体"/>
        <w:sz w:val="21"/>
      </w:rPr>
    </w:lvl>
    <w:lvl w:ilvl="2" w:tentative="0">
      <w:start w:val="1"/>
      <w:numFmt w:val="decimal"/>
      <w:pStyle w:val="119"/>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200"/>
      <w:lvlText w:val="%1"/>
      <w:lvlJc w:val="left"/>
      <w:pPr>
        <w:ind w:left="420" w:hanging="420"/>
      </w:pPr>
      <w:rPr>
        <w:rFonts w:hint="eastAsia"/>
      </w:rPr>
    </w:lvl>
    <w:lvl w:ilvl="1" w:tentative="0">
      <w:start w:val="1"/>
      <w:numFmt w:val="decimal"/>
      <w:pStyle w:val="85"/>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5"/>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8"/>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5"/>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6"/>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1"/>
      <w:suff w:val="space"/>
      <w:lvlText w:val="%1"/>
      <w:lvlJc w:val="left"/>
      <w:pPr>
        <w:ind w:left="425" w:hanging="425"/>
      </w:pPr>
      <w:rPr>
        <w:rFonts w:hint="eastAsia"/>
      </w:rPr>
    </w:lvl>
    <w:lvl w:ilvl="1" w:tentative="0">
      <w:start w:val="1"/>
      <w:numFmt w:val="decimal"/>
      <w:pStyle w:val="79"/>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3"/>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4"/>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1"/>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8"/>
      <w:suff w:val="nothing"/>
      <w:lvlText w:val="附录%1"/>
      <w:lvlJc w:val="left"/>
      <w:pPr>
        <w:ind w:left="0" w:firstLine="0"/>
      </w:pPr>
      <w:rPr>
        <w:rFonts w:hint="eastAsia"/>
        <w:spacing w:val="100"/>
      </w:rPr>
    </w:lvl>
    <w:lvl w:ilvl="1" w:tentative="0">
      <w:start w:val="1"/>
      <w:numFmt w:val="decimal"/>
      <w:pStyle w:val="80"/>
      <w:suff w:val="nothing"/>
      <w:lvlText w:val="%1.%2　"/>
      <w:lvlJc w:val="left"/>
      <w:pPr>
        <w:ind w:left="0" w:firstLine="0"/>
      </w:pPr>
      <w:rPr>
        <w:rFonts w:hint="eastAsia" w:ascii="黑体" w:eastAsia="黑体"/>
        <w:b w:val="0"/>
        <w:i w:val="0"/>
        <w:sz w:val="21"/>
      </w:rPr>
    </w:lvl>
    <w:lvl w:ilvl="2" w:tentative="0">
      <w:start w:val="1"/>
      <w:numFmt w:val="decimal"/>
      <w:pStyle w:val="81"/>
      <w:suff w:val="nothing"/>
      <w:lvlText w:val="%1.%2.%3　"/>
      <w:lvlJc w:val="left"/>
      <w:pPr>
        <w:ind w:left="0" w:firstLine="0"/>
      </w:pPr>
      <w:rPr>
        <w:rFonts w:hint="eastAsia" w:ascii="黑体" w:eastAsia="黑体"/>
        <w:b w:val="0"/>
        <w:i w:val="0"/>
        <w:sz w:val="21"/>
      </w:rPr>
    </w:lvl>
    <w:lvl w:ilvl="3" w:tentative="0">
      <w:start w:val="1"/>
      <w:numFmt w:val="decimal"/>
      <w:pStyle w:val="83"/>
      <w:suff w:val="nothing"/>
      <w:lvlText w:val="%1.%2.%3.%4　"/>
      <w:lvlJc w:val="left"/>
      <w:pPr>
        <w:ind w:left="1276" w:firstLine="0"/>
      </w:pPr>
      <w:rPr>
        <w:rFonts w:hint="eastAsia" w:ascii="黑体" w:eastAsia="黑体"/>
        <w:b w:val="0"/>
        <w:i w:val="0"/>
        <w:sz w:val="21"/>
      </w:rPr>
    </w:lvl>
    <w:lvl w:ilvl="4" w:tentative="0">
      <w:start w:val="1"/>
      <w:numFmt w:val="decimal"/>
      <w:pStyle w:val="84"/>
      <w:suff w:val="nothing"/>
      <w:lvlText w:val="%1.%2.%3.%4.%5　"/>
      <w:lvlJc w:val="left"/>
      <w:pPr>
        <w:ind w:left="0" w:firstLine="0"/>
      </w:pPr>
      <w:rPr>
        <w:rFonts w:hint="eastAsia" w:ascii="黑体" w:eastAsia="黑体"/>
        <w:b w:val="0"/>
        <w:i w:val="0"/>
        <w:sz w:val="21"/>
      </w:rPr>
    </w:lvl>
    <w:lvl w:ilvl="5" w:tentative="0">
      <w:start w:val="1"/>
      <w:numFmt w:val="decimal"/>
      <w:pStyle w:val="86"/>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90"/>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9"/>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5"/>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4"/>
      <w:suff w:val="nothing"/>
      <w:lvlText w:val="%1"/>
      <w:lvlJc w:val="left"/>
      <w:pPr>
        <w:ind w:left="0" w:firstLine="0"/>
      </w:pPr>
      <w:rPr>
        <w:rFonts w:hint="eastAsia"/>
      </w:rPr>
    </w:lvl>
    <w:lvl w:ilvl="1" w:tentative="0">
      <w:start w:val="1"/>
      <w:numFmt w:val="decimal"/>
      <w:pStyle w:val="106"/>
      <w:suff w:val="nothing"/>
      <w:lvlText w:val="%1%2　"/>
      <w:lvlJc w:val="left"/>
      <w:pPr>
        <w:ind w:left="851" w:firstLine="0"/>
      </w:pPr>
      <w:rPr>
        <w:rFonts w:hint="eastAsia" w:ascii="黑体" w:eastAsia="黑体"/>
        <w:b w:val="0"/>
        <w:i w:val="0"/>
        <w:sz w:val="21"/>
      </w:rPr>
    </w:lvl>
    <w:lvl w:ilvl="2" w:tentative="0">
      <w:start w:val="1"/>
      <w:numFmt w:val="decimal"/>
      <w:pStyle w:val="107"/>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7"/>
      <w:suff w:val="nothing"/>
      <w:lvlText w:val="%1%2.%3.%4　"/>
      <w:lvlJc w:val="left"/>
      <w:pPr>
        <w:ind w:left="0" w:firstLine="0"/>
      </w:pPr>
      <w:rPr>
        <w:rFonts w:hint="eastAsia" w:ascii="黑体" w:eastAsia="黑体"/>
        <w:b w:val="0"/>
        <w:i w:val="0"/>
        <w:sz w:val="21"/>
      </w:rPr>
    </w:lvl>
    <w:lvl w:ilvl="4" w:tentative="0">
      <w:start w:val="1"/>
      <w:numFmt w:val="decimal"/>
      <w:pStyle w:val="96"/>
      <w:suff w:val="nothing"/>
      <w:lvlText w:val="%1%2.%3.%4.%5　"/>
      <w:lvlJc w:val="left"/>
      <w:pPr>
        <w:ind w:left="284" w:firstLine="0"/>
      </w:pPr>
      <w:rPr>
        <w:rFonts w:hint="eastAsia" w:ascii="黑体" w:eastAsia="黑体"/>
        <w:b w:val="0"/>
        <w:i w:val="0"/>
        <w:sz w:val="21"/>
      </w:rPr>
    </w:lvl>
    <w:lvl w:ilvl="5" w:tentative="0">
      <w:start w:val="1"/>
      <w:numFmt w:val="decimal"/>
      <w:pStyle w:val="100"/>
      <w:suff w:val="nothing"/>
      <w:lvlText w:val="%1%2.%3.%4.%5.%6　"/>
      <w:lvlJc w:val="left"/>
      <w:pPr>
        <w:ind w:left="2127" w:firstLine="0"/>
      </w:pPr>
      <w:rPr>
        <w:rFonts w:hint="eastAsia" w:ascii="黑体" w:eastAsia="黑体"/>
        <w:b w:val="0"/>
        <w:i w:val="0"/>
        <w:sz w:val="21"/>
      </w:rPr>
    </w:lvl>
    <w:lvl w:ilvl="6" w:tentative="0">
      <w:start w:val="1"/>
      <w:numFmt w:val="decimal"/>
      <w:pStyle w:val="105"/>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1"/>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7"/>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1"/>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bordersDoNotSurroundHeader w:val="1"/>
  <w:bordersDoNotSurroundFooter w:val="1"/>
  <w:documentProtection w:edit="forms"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666A84"/>
    <w:rsid w:val="0000040A"/>
    <w:rsid w:val="00000A94"/>
    <w:rsid w:val="00001972"/>
    <w:rsid w:val="00001D9A"/>
    <w:rsid w:val="00007B3A"/>
    <w:rsid w:val="000107E0"/>
    <w:rsid w:val="00011FDE"/>
    <w:rsid w:val="00012FFD"/>
    <w:rsid w:val="00014162"/>
    <w:rsid w:val="00014340"/>
    <w:rsid w:val="00014476"/>
    <w:rsid w:val="00016A9C"/>
    <w:rsid w:val="00022184"/>
    <w:rsid w:val="00022762"/>
    <w:rsid w:val="000238E0"/>
    <w:rsid w:val="000249DB"/>
    <w:rsid w:val="0002595E"/>
    <w:rsid w:val="000303C3"/>
    <w:rsid w:val="000331D3"/>
    <w:rsid w:val="000346A5"/>
    <w:rsid w:val="000359C3"/>
    <w:rsid w:val="00035A7D"/>
    <w:rsid w:val="00040B23"/>
    <w:rsid w:val="000410E8"/>
    <w:rsid w:val="0004249A"/>
    <w:rsid w:val="00043282"/>
    <w:rsid w:val="00043B6D"/>
    <w:rsid w:val="00044286"/>
    <w:rsid w:val="00047F28"/>
    <w:rsid w:val="00047F8C"/>
    <w:rsid w:val="000503AA"/>
    <w:rsid w:val="000506A1"/>
    <w:rsid w:val="000515DD"/>
    <w:rsid w:val="0005265A"/>
    <w:rsid w:val="000539DD"/>
    <w:rsid w:val="00053BD3"/>
    <w:rsid w:val="00054FE3"/>
    <w:rsid w:val="000556ED"/>
    <w:rsid w:val="00055FE2"/>
    <w:rsid w:val="0005616F"/>
    <w:rsid w:val="00060C2E"/>
    <w:rsid w:val="00061033"/>
    <w:rsid w:val="000619E9"/>
    <w:rsid w:val="000622D4"/>
    <w:rsid w:val="0006357D"/>
    <w:rsid w:val="0006700F"/>
    <w:rsid w:val="00067F1E"/>
    <w:rsid w:val="00071CC0"/>
    <w:rsid w:val="00073C8C"/>
    <w:rsid w:val="00077B64"/>
    <w:rsid w:val="00080A1C"/>
    <w:rsid w:val="00082317"/>
    <w:rsid w:val="00083D2C"/>
    <w:rsid w:val="00086AA1"/>
    <w:rsid w:val="00087A77"/>
    <w:rsid w:val="00090CA6"/>
    <w:rsid w:val="0009265E"/>
    <w:rsid w:val="000929FC"/>
    <w:rsid w:val="00092AEF"/>
    <w:rsid w:val="00092B8A"/>
    <w:rsid w:val="00092FB0"/>
    <w:rsid w:val="000934C5"/>
    <w:rsid w:val="00093D25"/>
    <w:rsid w:val="00093DAB"/>
    <w:rsid w:val="00094D73"/>
    <w:rsid w:val="00096D63"/>
    <w:rsid w:val="00096DBF"/>
    <w:rsid w:val="000A0B60"/>
    <w:rsid w:val="000A0EB8"/>
    <w:rsid w:val="000A19FC"/>
    <w:rsid w:val="000A296B"/>
    <w:rsid w:val="000A5DA8"/>
    <w:rsid w:val="000A7311"/>
    <w:rsid w:val="000B060F"/>
    <w:rsid w:val="000B1592"/>
    <w:rsid w:val="000B1FF2"/>
    <w:rsid w:val="000B3CDA"/>
    <w:rsid w:val="000B6A0B"/>
    <w:rsid w:val="000C0F6C"/>
    <w:rsid w:val="000C11DB"/>
    <w:rsid w:val="000C1492"/>
    <w:rsid w:val="000C2FBD"/>
    <w:rsid w:val="000C4B41"/>
    <w:rsid w:val="000C57D6"/>
    <w:rsid w:val="000C7666"/>
    <w:rsid w:val="000D0A9C"/>
    <w:rsid w:val="000D1795"/>
    <w:rsid w:val="000D2F41"/>
    <w:rsid w:val="000D329A"/>
    <w:rsid w:val="000D4B9C"/>
    <w:rsid w:val="000D4EB6"/>
    <w:rsid w:val="000D753B"/>
    <w:rsid w:val="000E4C9E"/>
    <w:rsid w:val="000E6FD7"/>
    <w:rsid w:val="000F06E1"/>
    <w:rsid w:val="000F0E3C"/>
    <w:rsid w:val="000F19D5"/>
    <w:rsid w:val="000F3B4E"/>
    <w:rsid w:val="000F3DD0"/>
    <w:rsid w:val="000F4AEA"/>
    <w:rsid w:val="000F67E9"/>
    <w:rsid w:val="000F795D"/>
    <w:rsid w:val="00104926"/>
    <w:rsid w:val="00113B1E"/>
    <w:rsid w:val="00113F26"/>
    <w:rsid w:val="0011711C"/>
    <w:rsid w:val="00122270"/>
    <w:rsid w:val="00124E4F"/>
    <w:rsid w:val="001260B7"/>
    <w:rsid w:val="001265CB"/>
    <w:rsid w:val="00131219"/>
    <w:rsid w:val="001321C6"/>
    <w:rsid w:val="001325C4"/>
    <w:rsid w:val="00133010"/>
    <w:rsid w:val="001338EE"/>
    <w:rsid w:val="00133AAE"/>
    <w:rsid w:val="00135323"/>
    <w:rsid w:val="001356C4"/>
    <w:rsid w:val="00141114"/>
    <w:rsid w:val="00142969"/>
    <w:rsid w:val="001457E7"/>
    <w:rsid w:val="00145D9D"/>
    <w:rsid w:val="00146388"/>
    <w:rsid w:val="001529E5"/>
    <w:rsid w:val="00153C7E"/>
    <w:rsid w:val="00156B25"/>
    <w:rsid w:val="00156E1A"/>
    <w:rsid w:val="00157B55"/>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0AB4"/>
    <w:rsid w:val="001913C4"/>
    <w:rsid w:val="0019348F"/>
    <w:rsid w:val="00193A07"/>
    <w:rsid w:val="00194C95"/>
    <w:rsid w:val="00194F49"/>
    <w:rsid w:val="00195C34"/>
    <w:rsid w:val="001A1A53"/>
    <w:rsid w:val="001A234A"/>
    <w:rsid w:val="001B06E8"/>
    <w:rsid w:val="001B193E"/>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7E4"/>
    <w:rsid w:val="001E1B6A"/>
    <w:rsid w:val="001E2484"/>
    <w:rsid w:val="001E3CC4"/>
    <w:rsid w:val="001E4882"/>
    <w:rsid w:val="001E73AB"/>
    <w:rsid w:val="001F092D"/>
    <w:rsid w:val="001F143A"/>
    <w:rsid w:val="001F1605"/>
    <w:rsid w:val="001F2508"/>
    <w:rsid w:val="001F3E00"/>
    <w:rsid w:val="001F4816"/>
    <w:rsid w:val="001F69B4"/>
    <w:rsid w:val="001F77C7"/>
    <w:rsid w:val="00200183"/>
    <w:rsid w:val="0020107D"/>
    <w:rsid w:val="00202AA4"/>
    <w:rsid w:val="002031F7"/>
    <w:rsid w:val="002040E6"/>
    <w:rsid w:val="0020527B"/>
    <w:rsid w:val="00205F2C"/>
    <w:rsid w:val="00210B15"/>
    <w:rsid w:val="00211080"/>
    <w:rsid w:val="002142EA"/>
    <w:rsid w:val="00215B20"/>
    <w:rsid w:val="002204BB"/>
    <w:rsid w:val="00221B79"/>
    <w:rsid w:val="00221C6B"/>
    <w:rsid w:val="00224596"/>
    <w:rsid w:val="002253A1"/>
    <w:rsid w:val="00225CF8"/>
    <w:rsid w:val="0022718D"/>
    <w:rsid w:val="0022794E"/>
    <w:rsid w:val="00233AA9"/>
    <w:rsid w:val="00233D64"/>
    <w:rsid w:val="00234784"/>
    <w:rsid w:val="0023482A"/>
    <w:rsid w:val="002359CB"/>
    <w:rsid w:val="00243540"/>
    <w:rsid w:val="0024497B"/>
    <w:rsid w:val="0024515B"/>
    <w:rsid w:val="00246021"/>
    <w:rsid w:val="0024666E"/>
    <w:rsid w:val="00247F52"/>
    <w:rsid w:val="00250B25"/>
    <w:rsid w:val="00250BBE"/>
    <w:rsid w:val="002515C2"/>
    <w:rsid w:val="0025194F"/>
    <w:rsid w:val="00255288"/>
    <w:rsid w:val="002567D2"/>
    <w:rsid w:val="0026148A"/>
    <w:rsid w:val="00261A18"/>
    <w:rsid w:val="00262696"/>
    <w:rsid w:val="002634BC"/>
    <w:rsid w:val="002643C3"/>
    <w:rsid w:val="00264A0C"/>
    <w:rsid w:val="00267EF4"/>
    <w:rsid w:val="00270CB8"/>
    <w:rsid w:val="00272B08"/>
    <w:rsid w:val="00281BB8"/>
    <w:rsid w:val="00281E9E"/>
    <w:rsid w:val="00285170"/>
    <w:rsid w:val="00285361"/>
    <w:rsid w:val="00292872"/>
    <w:rsid w:val="00292D6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23E3"/>
    <w:rsid w:val="002B4508"/>
    <w:rsid w:val="002B5779"/>
    <w:rsid w:val="002B7332"/>
    <w:rsid w:val="002B7F51"/>
    <w:rsid w:val="002C09E7"/>
    <w:rsid w:val="002C3F07"/>
    <w:rsid w:val="002C5278"/>
    <w:rsid w:val="002C7EBB"/>
    <w:rsid w:val="002D06C1"/>
    <w:rsid w:val="002D1D72"/>
    <w:rsid w:val="002D42B5"/>
    <w:rsid w:val="002D4F1A"/>
    <w:rsid w:val="002D6DA6"/>
    <w:rsid w:val="002D6EC6"/>
    <w:rsid w:val="002D79AC"/>
    <w:rsid w:val="002E039D"/>
    <w:rsid w:val="002E4D5A"/>
    <w:rsid w:val="002E6326"/>
    <w:rsid w:val="002F23CC"/>
    <w:rsid w:val="002F30E0"/>
    <w:rsid w:val="002F35E4"/>
    <w:rsid w:val="002F3730"/>
    <w:rsid w:val="002F38E1"/>
    <w:rsid w:val="002F7AF6"/>
    <w:rsid w:val="00300E63"/>
    <w:rsid w:val="00302D4E"/>
    <w:rsid w:val="00302F5F"/>
    <w:rsid w:val="0030441D"/>
    <w:rsid w:val="00306063"/>
    <w:rsid w:val="00313B85"/>
    <w:rsid w:val="00317988"/>
    <w:rsid w:val="003221B4"/>
    <w:rsid w:val="00322E62"/>
    <w:rsid w:val="00324EDD"/>
    <w:rsid w:val="00326855"/>
    <w:rsid w:val="003331E4"/>
    <w:rsid w:val="00336C64"/>
    <w:rsid w:val="00337162"/>
    <w:rsid w:val="0034194F"/>
    <w:rsid w:val="00342DB8"/>
    <w:rsid w:val="00344605"/>
    <w:rsid w:val="00346A43"/>
    <w:rsid w:val="003474AA"/>
    <w:rsid w:val="00350D1D"/>
    <w:rsid w:val="00351901"/>
    <w:rsid w:val="00352C83"/>
    <w:rsid w:val="00356594"/>
    <w:rsid w:val="003615D2"/>
    <w:rsid w:val="0036429C"/>
    <w:rsid w:val="00364A53"/>
    <w:rsid w:val="003654CB"/>
    <w:rsid w:val="00365F86"/>
    <w:rsid w:val="00365F87"/>
    <w:rsid w:val="003705F4"/>
    <w:rsid w:val="00370D58"/>
    <w:rsid w:val="00371316"/>
    <w:rsid w:val="00372E3F"/>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74EB"/>
    <w:rsid w:val="00397CC5"/>
    <w:rsid w:val="003A1582"/>
    <w:rsid w:val="003A4077"/>
    <w:rsid w:val="003B09AD"/>
    <w:rsid w:val="003B0BD9"/>
    <w:rsid w:val="003B1F18"/>
    <w:rsid w:val="003B5BF0"/>
    <w:rsid w:val="003B60BF"/>
    <w:rsid w:val="003B6BE3"/>
    <w:rsid w:val="003C010C"/>
    <w:rsid w:val="003C0A6C"/>
    <w:rsid w:val="003C2859"/>
    <w:rsid w:val="003C56A1"/>
    <w:rsid w:val="003C5A43"/>
    <w:rsid w:val="003D0519"/>
    <w:rsid w:val="003D0FF6"/>
    <w:rsid w:val="003D262C"/>
    <w:rsid w:val="003D6D61"/>
    <w:rsid w:val="003E091D"/>
    <w:rsid w:val="003E1C53"/>
    <w:rsid w:val="003E2A69"/>
    <w:rsid w:val="003E2D49"/>
    <w:rsid w:val="003E2FD4"/>
    <w:rsid w:val="003E49F6"/>
    <w:rsid w:val="003F0841"/>
    <w:rsid w:val="003F23D3"/>
    <w:rsid w:val="003F3F08"/>
    <w:rsid w:val="003F49F1"/>
    <w:rsid w:val="003F5240"/>
    <w:rsid w:val="003F6272"/>
    <w:rsid w:val="003F72A3"/>
    <w:rsid w:val="00400E72"/>
    <w:rsid w:val="00401400"/>
    <w:rsid w:val="004023B5"/>
    <w:rsid w:val="00404869"/>
    <w:rsid w:val="00405884"/>
    <w:rsid w:val="00407D39"/>
    <w:rsid w:val="0041477A"/>
    <w:rsid w:val="004167A3"/>
    <w:rsid w:val="00424E15"/>
    <w:rsid w:val="00427303"/>
    <w:rsid w:val="00432DAA"/>
    <w:rsid w:val="00434305"/>
    <w:rsid w:val="00435DF7"/>
    <w:rsid w:val="0044040C"/>
    <w:rsid w:val="0044083F"/>
    <w:rsid w:val="00441AE7"/>
    <w:rsid w:val="00445574"/>
    <w:rsid w:val="004467FB"/>
    <w:rsid w:val="00452D6B"/>
    <w:rsid w:val="00454484"/>
    <w:rsid w:val="0045517B"/>
    <w:rsid w:val="004563CD"/>
    <w:rsid w:val="00463B77"/>
    <w:rsid w:val="00463C7B"/>
    <w:rsid w:val="00463F02"/>
    <w:rsid w:val="004644A6"/>
    <w:rsid w:val="004659BD"/>
    <w:rsid w:val="00466D9A"/>
    <w:rsid w:val="00470775"/>
    <w:rsid w:val="004715BD"/>
    <w:rsid w:val="004746B1"/>
    <w:rsid w:val="0047583F"/>
    <w:rsid w:val="00484936"/>
    <w:rsid w:val="00485C89"/>
    <w:rsid w:val="00486BE3"/>
    <w:rsid w:val="004905E4"/>
    <w:rsid w:val="00490A89"/>
    <w:rsid w:val="00490AB4"/>
    <w:rsid w:val="00490E8D"/>
    <w:rsid w:val="004920D8"/>
    <w:rsid w:val="00492F02"/>
    <w:rsid w:val="004939AE"/>
    <w:rsid w:val="004A12DF"/>
    <w:rsid w:val="004A1BA8"/>
    <w:rsid w:val="004A4B57"/>
    <w:rsid w:val="004A63FA"/>
    <w:rsid w:val="004B0272"/>
    <w:rsid w:val="004B2701"/>
    <w:rsid w:val="004B2E1B"/>
    <w:rsid w:val="004B3E93"/>
    <w:rsid w:val="004C1FBC"/>
    <w:rsid w:val="004C3F1D"/>
    <w:rsid w:val="004C458D"/>
    <w:rsid w:val="004C7556"/>
    <w:rsid w:val="004C7E9D"/>
    <w:rsid w:val="004C7F67"/>
    <w:rsid w:val="004D076D"/>
    <w:rsid w:val="004D0EF1"/>
    <w:rsid w:val="004D189E"/>
    <w:rsid w:val="004D2253"/>
    <w:rsid w:val="004D4406"/>
    <w:rsid w:val="004D7C42"/>
    <w:rsid w:val="004E0465"/>
    <w:rsid w:val="004E127B"/>
    <w:rsid w:val="004E1C0A"/>
    <w:rsid w:val="004E3014"/>
    <w:rsid w:val="004E30C5"/>
    <w:rsid w:val="004E4AA5"/>
    <w:rsid w:val="004E4AEE"/>
    <w:rsid w:val="004E59E3"/>
    <w:rsid w:val="004E67C0"/>
    <w:rsid w:val="004F391A"/>
    <w:rsid w:val="004F3CFB"/>
    <w:rsid w:val="004F5099"/>
    <w:rsid w:val="004F6456"/>
    <w:rsid w:val="004F696E"/>
    <w:rsid w:val="004F6C71"/>
    <w:rsid w:val="00501139"/>
    <w:rsid w:val="00502991"/>
    <w:rsid w:val="0050363E"/>
    <w:rsid w:val="005039BC"/>
    <w:rsid w:val="005043BB"/>
    <w:rsid w:val="00504A3D"/>
    <w:rsid w:val="00505767"/>
    <w:rsid w:val="005073F0"/>
    <w:rsid w:val="00510A7B"/>
    <w:rsid w:val="00512F6E"/>
    <w:rsid w:val="00513038"/>
    <w:rsid w:val="00514174"/>
    <w:rsid w:val="00516088"/>
    <w:rsid w:val="00516B0B"/>
    <w:rsid w:val="005207F4"/>
    <w:rsid w:val="005220EC"/>
    <w:rsid w:val="00523F95"/>
    <w:rsid w:val="00523FEB"/>
    <w:rsid w:val="00524D65"/>
    <w:rsid w:val="0052591B"/>
    <w:rsid w:val="00525B16"/>
    <w:rsid w:val="0052682D"/>
    <w:rsid w:val="00533D04"/>
    <w:rsid w:val="00534804"/>
    <w:rsid w:val="00534BDF"/>
    <w:rsid w:val="005354EA"/>
    <w:rsid w:val="00535EC4"/>
    <w:rsid w:val="00535ED9"/>
    <w:rsid w:val="0053692B"/>
    <w:rsid w:val="00541853"/>
    <w:rsid w:val="00542BD8"/>
    <w:rsid w:val="00543BDA"/>
    <w:rsid w:val="005441CC"/>
    <w:rsid w:val="005479DA"/>
    <w:rsid w:val="00547BCC"/>
    <w:rsid w:val="0055013B"/>
    <w:rsid w:val="00551F6F"/>
    <w:rsid w:val="00552628"/>
    <w:rsid w:val="00555044"/>
    <w:rsid w:val="005570B1"/>
    <w:rsid w:val="00561475"/>
    <w:rsid w:val="0056487B"/>
    <w:rsid w:val="00564FB9"/>
    <w:rsid w:val="00566A4A"/>
    <w:rsid w:val="00573D9E"/>
    <w:rsid w:val="00576145"/>
    <w:rsid w:val="005801E3"/>
    <w:rsid w:val="00581802"/>
    <w:rsid w:val="005836A8"/>
    <w:rsid w:val="0058409C"/>
    <w:rsid w:val="00584262"/>
    <w:rsid w:val="00586630"/>
    <w:rsid w:val="00587ADD"/>
    <w:rsid w:val="00593544"/>
    <w:rsid w:val="00596160"/>
    <w:rsid w:val="005966E2"/>
    <w:rsid w:val="00597007"/>
    <w:rsid w:val="005A0966"/>
    <w:rsid w:val="005A11B7"/>
    <w:rsid w:val="005A260B"/>
    <w:rsid w:val="005A4A1B"/>
    <w:rsid w:val="005A6A62"/>
    <w:rsid w:val="005A7830"/>
    <w:rsid w:val="005A7FCE"/>
    <w:rsid w:val="005B0F3F"/>
    <w:rsid w:val="005B4903"/>
    <w:rsid w:val="005B51CE"/>
    <w:rsid w:val="005B5885"/>
    <w:rsid w:val="005B5CD7"/>
    <w:rsid w:val="005B6CF6"/>
    <w:rsid w:val="005B7422"/>
    <w:rsid w:val="005C29B8"/>
    <w:rsid w:val="005C3BA3"/>
    <w:rsid w:val="005C57C1"/>
    <w:rsid w:val="005C5F21"/>
    <w:rsid w:val="005C7156"/>
    <w:rsid w:val="005D0C75"/>
    <w:rsid w:val="005D1E63"/>
    <w:rsid w:val="005D4171"/>
    <w:rsid w:val="005D6A95"/>
    <w:rsid w:val="005D6B2C"/>
    <w:rsid w:val="005D6D9C"/>
    <w:rsid w:val="005E2335"/>
    <w:rsid w:val="005E2ED4"/>
    <w:rsid w:val="005E3339"/>
    <w:rsid w:val="005E34CA"/>
    <w:rsid w:val="005E3C18"/>
    <w:rsid w:val="005E6318"/>
    <w:rsid w:val="005E6812"/>
    <w:rsid w:val="005E6918"/>
    <w:rsid w:val="005E761D"/>
    <w:rsid w:val="005E7829"/>
    <w:rsid w:val="005E7881"/>
    <w:rsid w:val="005E78E0"/>
    <w:rsid w:val="005F0D9C"/>
    <w:rsid w:val="005F284E"/>
    <w:rsid w:val="006015CE"/>
    <w:rsid w:val="00604784"/>
    <w:rsid w:val="00606419"/>
    <w:rsid w:val="00607D29"/>
    <w:rsid w:val="00610EC1"/>
    <w:rsid w:val="00612952"/>
    <w:rsid w:val="00612A56"/>
    <w:rsid w:val="00614CC1"/>
    <w:rsid w:val="00615A9D"/>
    <w:rsid w:val="00617387"/>
    <w:rsid w:val="006252D8"/>
    <w:rsid w:val="006259BC"/>
    <w:rsid w:val="0062636B"/>
    <w:rsid w:val="00632182"/>
    <w:rsid w:val="00632AE0"/>
    <w:rsid w:val="00633C17"/>
    <w:rsid w:val="00636E3E"/>
    <w:rsid w:val="006379F7"/>
    <w:rsid w:val="00637E4D"/>
    <w:rsid w:val="00640620"/>
    <w:rsid w:val="00641A1F"/>
    <w:rsid w:val="0064528D"/>
    <w:rsid w:val="006453E9"/>
    <w:rsid w:val="00645904"/>
    <w:rsid w:val="00651ACB"/>
    <w:rsid w:val="00651C47"/>
    <w:rsid w:val="00652AB2"/>
    <w:rsid w:val="00654EC0"/>
    <w:rsid w:val="0065525B"/>
    <w:rsid w:val="00655D4F"/>
    <w:rsid w:val="006640E5"/>
    <w:rsid w:val="0066422F"/>
    <w:rsid w:val="006646F1"/>
    <w:rsid w:val="00664929"/>
    <w:rsid w:val="00664F62"/>
    <w:rsid w:val="006655E1"/>
    <w:rsid w:val="00666A84"/>
    <w:rsid w:val="00670D37"/>
    <w:rsid w:val="00672060"/>
    <w:rsid w:val="00672BFD"/>
    <w:rsid w:val="006770F4"/>
    <w:rsid w:val="00677A84"/>
    <w:rsid w:val="0068026D"/>
    <w:rsid w:val="00680A27"/>
    <w:rsid w:val="006811C9"/>
    <w:rsid w:val="006816A4"/>
    <w:rsid w:val="006819B8"/>
    <w:rsid w:val="006840A6"/>
    <w:rsid w:val="006850CD"/>
    <w:rsid w:val="00685AAB"/>
    <w:rsid w:val="006A07AA"/>
    <w:rsid w:val="006A25E5"/>
    <w:rsid w:val="006A2B46"/>
    <w:rsid w:val="006A336D"/>
    <w:rsid w:val="006A37B9"/>
    <w:rsid w:val="006B2672"/>
    <w:rsid w:val="006B54BF"/>
    <w:rsid w:val="006B5F44"/>
    <w:rsid w:val="006B5F90"/>
    <w:rsid w:val="006B62E4"/>
    <w:rsid w:val="006B7562"/>
    <w:rsid w:val="006C1BBA"/>
    <w:rsid w:val="006C2079"/>
    <w:rsid w:val="006C317D"/>
    <w:rsid w:val="006C5A62"/>
    <w:rsid w:val="006C5D68"/>
    <w:rsid w:val="006C6976"/>
    <w:rsid w:val="006C6DD0"/>
    <w:rsid w:val="006D04EA"/>
    <w:rsid w:val="006D16C4"/>
    <w:rsid w:val="006D3E96"/>
    <w:rsid w:val="006D4515"/>
    <w:rsid w:val="006D4BB1"/>
    <w:rsid w:val="006D6593"/>
    <w:rsid w:val="006D686E"/>
    <w:rsid w:val="006E09BD"/>
    <w:rsid w:val="006F03A8"/>
    <w:rsid w:val="006F0AB2"/>
    <w:rsid w:val="006F126C"/>
    <w:rsid w:val="006F2ACA"/>
    <w:rsid w:val="006F2ADC"/>
    <w:rsid w:val="006F2BFE"/>
    <w:rsid w:val="006F31E9"/>
    <w:rsid w:val="006F36E4"/>
    <w:rsid w:val="006F56E5"/>
    <w:rsid w:val="006F6284"/>
    <w:rsid w:val="007002C5"/>
    <w:rsid w:val="0070348B"/>
    <w:rsid w:val="00704387"/>
    <w:rsid w:val="00707669"/>
    <w:rsid w:val="00711CBA"/>
    <w:rsid w:val="00711FB5"/>
    <w:rsid w:val="00712A01"/>
    <w:rsid w:val="00714F58"/>
    <w:rsid w:val="00722765"/>
    <w:rsid w:val="00722FBF"/>
    <w:rsid w:val="00722FC2"/>
    <w:rsid w:val="00725949"/>
    <w:rsid w:val="00727FA2"/>
    <w:rsid w:val="00732080"/>
    <w:rsid w:val="007322D9"/>
    <w:rsid w:val="00732BC0"/>
    <w:rsid w:val="00732F4E"/>
    <w:rsid w:val="0073720F"/>
    <w:rsid w:val="00737796"/>
    <w:rsid w:val="0074165C"/>
    <w:rsid w:val="00742C35"/>
    <w:rsid w:val="007432CA"/>
    <w:rsid w:val="007439EB"/>
    <w:rsid w:val="00743CB4"/>
    <w:rsid w:val="00743F0A"/>
    <w:rsid w:val="007444E8"/>
    <w:rsid w:val="0074548E"/>
    <w:rsid w:val="00745773"/>
    <w:rsid w:val="00746800"/>
    <w:rsid w:val="00747CF0"/>
    <w:rsid w:val="007501A8"/>
    <w:rsid w:val="007503FB"/>
    <w:rsid w:val="00750EE1"/>
    <w:rsid w:val="00752B4D"/>
    <w:rsid w:val="00755402"/>
    <w:rsid w:val="00756B26"/>
    <w:rsid w:val="00756EDF"/>
    <w:rsid w:val="00760D0C"/>
    <w:rsid w:val="007646F5"/>
    <w:rsid w:val="00765C43"/>
    <w:rsid w:val="00765EFB"/>
    <w:rsid w:val="007671CA"/>
    <w:rsid w:val="0076744F"/>
    <w:rsid w:val="00767C61"/>
    <w:rsid w:val="0077008A"/>
    <w:rsid w:val="0077202E"/>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2AB6"/>
    <w:rsid w:val="007B2CD6"/>
    <w:rsid w:val="007B5A3D"/>
    <w:rsid w:val="007B5B95"/>
    <w:rsid w:val="007B68EA"/>
    <w:rsid w:val="007B7453"/>
    <w:rsid w:val="007C2D89"/>
    <w:rsid w:val="007C4593"/>
    <w:rsid w:val="007C5309"/>
    <w:rsid w:val="007C6069"/>
    <w:rsid w:val="007D06C4"/>
    <w:rsid w:val="007D1352"/>
    <w:rsid w:val="007D2508"/>
    <w:rsid w:val="007D346A"/>
    <w:rsid w:val="007D426F"/>
    <w:rsid w:val="007D6030"/>
    <w:rsid w:val="007D6518"/>
    <w:rsid w:val="007D76BD"/>
    <w:rsid w:val="007E0BF1"/>
    <w:rsid w:val="007E0D02"/>
    <w:rsid w:val="007E258B"/>
    <w:rsid w:val="007F0ED8"/>
    <w:rsid w:val="007F0F63"/>
    <w:rsid w:val="007F2CC6"/>
    <w:rsid w:val="007F3748"/>
    <w:rsid w:val="007F75CE"/>
    <w:rsid w:val="008013A4"/>
    <w:rsid w:val="00801D6A"/>
    <w:rsid w:val="008027CE"/>
    <w:rsid w:val="00802F42"/>
    <w:rsid w:val="00804383"/>
    <w:rsid w:val="00804BB7"/>
    <w:rsid w:val="00810257"/>
    <w:rsid w:val="008104F5"/>
    <w:rsid w:val="00811072"/>
    <w:rsid w:val="00811369"/>
    <w:rsid w:val="00815419"/>
    <w:rsid w:val="008163C8"/>
    <w:rsid w:val="008164A1"/>
    <w:rsid w:val="00817325"/>
    <w:rsid w:val="008209E6"/>
    <w:rsid w:val="00822233"/>
    <w:rsid w:val="00823303"/>
    <w:rsid w:val="008233B2"/>
    <w:rsid w:val="00823A9F"/>
    <w:rsid w:val="00823C85"/>
    <w:rsid w:val="00825138"/>
    <w:rsid w:val="008269DD"/>
    <w:rsid w:val="00830621"/>
    <w:rsid w:val="0083348C"/>
    <w:rsid w:val="008373D3"/>
    <w:rsid w:val="00840617"/>
    <w:rsid w:val="00842A47"/>
    <w:rsid w:val="00843C13"/>
    <w:rsid w:val="008454F8"/>
    <w:rsid w:val="0085173A"/>
    <w:rsid w:val="00854343"/>
    <w:rsid w:val="00860297"/>
    <w:rsid w:val="008603CE"/>
    <w:rsid w:val="008620FC"/>
    <w:rsid w:val="008627A5"/>
    <w:rsid w:val="00863E05"/>
    <w:rsid w:val="0086431E"/>
    <w:rsid w:val="00865ACA"/>
    <w:rsid w:val="00865D28"/>
    <w:rsid w:val="00865F85"/>
    <w:rsid w:val="00867C10"/>
    <w:rsid w:val="00870439"/>
    <w:rsid w:val="00870A80"/>
    <w:rsid w:val="00870DA1"/>
    <w:rsid w:val="008740CC"/>
    <w:rsid w:val="00883F93"/>
    <w:rsid w:val="00884DB3"/>
    <w:rsid w:val="00885A9D"/>
    <w:rsid w:val="008864F6"/>
    <w:rsid w:val="0089049D"/>
    <w:rsid w:val="008928C9"/>
    <w:rsid w:val="008938DC"/>
    <w:rsid w:val="00893FD1"/>
    <w:rsid w:val="00894836"/>
    <w:rsid w:val="00895172"/>
    <w:rsid w:val="00895680"/>
    <w:rsid w:val="00896DFF"/>
    <w:rsid w:val="0089762C"/>
    <w:rsid w:val="008A1893"/>
    <w:rsid w:val="008A769A"/>
    <w:rsid w:val="008B0C9C"/>
    <w:rsid w:val="008B166D"/>
    <w:rsid w:val="008B17F4"/>
    <w:rsid w:val="008B3615"/>
    <w:rsid w:val="008B4AC4"/>
    <w:rsid w:val="008B50C8"/>
    <w:rsid w:val="008B5281"/>
    <w:rsid w:val="008B7E05"/>
    <w:rsid w:val="008C1797"/>
    <w:rsid w:val="008C219C"/>
    <w:rsid w:val="008C475E"/>
    <w:rsid w:val="008C4767"/>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232"/>
    <w:rsid w:val="008F4C29"/>
    <w:rsid w:val="008F58DC"/>
    <w:rsid w:val="008F70BD"/>
    <w:rsid w:val="008F788F"/>
    <w:rsid w:val="008F7A4D"/>
    <w:rsid w:val="008F7EA2"/>
    <w:rsid w:val="008F7F4D"/>
    <w:rsid w:val="00902722"/>
    <w:rsid w:val="009027BC"/>
    <w:rsid w:val="009062E6"/>
    <w:rsid w:val="00910196"/>
    <w:rsid w:val="00911BE5"/>
    <w:rsid w:val="00913CA9"/>
    <w:rsid w:val="009145AE"/>
    <w:rsid w:val="009146CE"/>
    <w:rsid w:val="00914CA7"/>
    <w:rsid w:val="00915C3E"/>
    <w:rsid w:val="009161A8"/>
    <w:rsid w:val="009245F5"/>
    <w:rsid w:val="009249EC"/>
    <w:rsid w:val="009273B3"/>
    <w:rsid w:val="009278CA"/>
    <w:rsid w:val="009305B5"/>
    <w:rsid w:val="0093795B"/>
    <w:rsid w:val="00941FA3"/>
    <w:rsid w:val="009429D5"/>
    <w:rsid w:val="00942BF1"/>
    <w:rsid w:val="00945180"/>
    <w:rsid w:val="00945428"/>
    <w:rsid w:val="0094607B"/>
    <w:rsid w:val="00951E1A"/>
    <w:rsid w:val="00952147"/>
    <w:rsid w:val="00953604"/>
    <w:rsid w:val="0095496B"/>
    <w:rsid w:val="00956AE0"/>
    <w:rsid w:val="009610DC"/>
    <w:rsid w:val="00961490"/>
    <w:rsid w:val="0096381A"/>
    <w:rsid w:val="00965E04"/>
    <w:rsid w:val="009674AD"/>
    <w:rsid w:val="00970CDC"/>
    <w:rsid w:val="00977010"/>
    <w:rsid w:val="00977D02"/>
    <w:rsid w:val="009809BB"/>
    <w:rsid w:val="0098364B"/>
    <w:rsid w:val="009911AF"/>
    <w:rsid w:val="00991875"/>
    <w:rsid w:val="00991F92"/>
    <w:rsid w:val="0099233F"/>
    <w:rsid w:val="00992985"/>
    <w:rsid w:val="00993889"/>
    <w:rsid w:val="00994782"/>
    <w:rsid w:val="0099551B"/>
    <w:rsid w:val="00996203"/>
    <w:rsid w:val="00997BF1"/>
    <w:rsid w:val="009A049C"/>
    <w:rsid w:val="009A089C"/>
    <w:rsid w:val="009A118E"/>
    <w:rsid w:val="009A21CD"/>
    <w:rsid w:val="009A278C"/>
    <w:rsid w:val="009A2BC2"/>
    <w:rsid w:val="009A42C1"/>
    <w:rsid w:val="009A5429"/>
    <w:rsid w:val="009A72AD"/>
    <w:rsid w:val="009B09E0"/>
    <w:rsid w:val="009B0BC5"/>
    <w:rsid w:val="009B1247"/>
    <w:rsid w:val="009B6029"/>
    <w:rsid w:val="009B6464"/>
    <w:rsid w:val="009B6971"/>
    <w:rsid w:val="009C27F1"/>
    <w:rsid w:val="009C2B0B"/>
    <w:rsid w:val="009C3152"/>
    <w:rsid w:val="009C36E4"/>
    <w:rsid w:val="009C4CFA"/>
    <w:rsid w:val="009C5070"/>
    <w:rsid w:val="009D112C"/>
    <w:rsid w:val="009D47FA"/>
    <w:rsid w:val="009D50D2"/>
    <w:rsid w:val="009D6BCA"/>
    <w:rsid w:val="009D72B9"/>
    <w:rsid w:val="009E0F62"/>
    <w:rsid w:val="009E1848"/>
    <w:rsid w:val="009E26B3"/>
    <w:rsid w:val="009E4A58"/>
    <w:rsid w:val="009E5A2D"/>
    <w:rsid w:val="009E5AB2"/>
    <w:rsid w:val="009E6219"/>
    <w:rsid w:val="009E6A9E"/>
    <w:rsid w:val="009F03B3"/>
    <w:rsid w:val="009F38D9"/>
    <w:rsid w:val="009F4F60"/>
    <w:rsid w:val="00A01757"/>
    <w:rsid w:val="00A028C0"/>
    <w:rsid w:val="00A02BAE"/>
    <w:rsid w:val="00A04709"/>
    <w:rsid w:val="00A05AA6"/>
    <w:rsid w:val="00A063DB"/>
    <w:rsid w:val="00A06A6B"/>
    <w:rsid w:val="00A07E47"/>
    <w:rsid w:val="00A129D0"/>
    <w:rsid w:val="00A12C33"/>
    <w:rsid w:val="00A138BA"/>
    <w:rsid w:val="00A14C8E"/>
    <w:rsid w:val="00A153D9"/>
    <w:rsid w:val="00A15F09"/>
    <w:rsid w:val="00A169B6"/>
    <w:rsid w:val="00A2271D"/>
    <w:rsid w:val="00A237D5"/>
    <w:rsid w:val="00A26DF6"/>
    <w:rsid w:val="00A30EFC"/>
    <w:rsid w:val="00A31984"/>
    <w:rsid w:val="00A32D73"/>
    <w:rsid w:val="00A3367B"/>
    <w:rsid w:val="00A3597D"/>
    <w:rsid w:val="00A4006C"/>
    <w:rsid w:val="00A40091"/>
    <w:rsid w:val="00A4030F"/>
    <w:rsid w:val="00A41C79"/>
    <w:rsid w:val="00A41CB5"/>
    <w:rsid w:val="00A42CDF"/>
    <w:rsid w:val="00A4307B"/>
    <w:rsid w:val="00A4452E"/>
    <w:rsid w:val="00A4472C"/>
    <w:rsid w:val="00A44E69"/>
    <w:rsid w:val="00A4661E"/>
    <w:rsid w:val="00A5583A"/>
    <w:rsid w:val="00A55BD6"/>
    <w:rsid w:val="00A55D50"/>
    <w:rsid w:val="00A57142"/>
    <w:rsid w:val="00A610A0"/>
    <w:rsid w:val="00A61D48"/>
    <w:rsid w:val="00A648CD"/>
    <w:rsid w:val="00A6537A"/>
    <w:rsid w:val="00A65CCF"/>
    <w:rsid w:val="00A6623E"/>
    <w:rsid w:val="00A67866"/>
    <w:rsid w:val="00A70B07"/>
    <w:rsid w:val="00A723F8"/>
    <w:rsid w:val="00A73A03"/>
    <w:rsid w:val="00A77CCB"/>
    <w:rsid w:val="00A83D8D"/>
    <w:rsid w:val="00A83E19"/>
    <w:rsid w:val="00A8446B"/>
    <w:rsid w:val="00A8473F"/>
    <w:rsid w:val="00A862D6"/>
    <w:rsid w:val="00A8715E"/>
    <w:rsid w:val="00A87647"/>
    <w:rsid w:val="00A9295B"/>
    <w:rsid w:val="00A93B09"/>
    <w:rsid w:val="00A93FEB"/>
    <w:rsid w:val="00A952D7"/>
    <w:rsid w:val="00A963F7"/>
    <w:rsid w:val="00A96AD8"/>
    <w:rsid w:val="00AA0380"/>
    <w:rsid w:val="00AA052C"/>
    <w:rsid w:val="00AA10A4"/>
    <w:rsid w:val="00AA1E45"/>
    <w:rsid w:val="00AA30E6"/>
    <w:rsid w:val="00AA4286"/>
    <w:rsid w:val="00AA456B"/>
    <w:rsid w:val="00AA57F5"/>
    <w:rsid w:val="00AA672E"/>
    <w:rsid w:val="00AA6EC9"/>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D5D89"/>
    <w:rsid w:val="00AD6148"/>
    <w:rsid w:val="00AE070A"/>
    <w:rsid w:val="00AE101C"/>
    <w:rsid w:val="00AE232F"/>
    <w:rsid w:val="00AE5EB4"/>
    <w:rsid w:val="00AF0C18"/>
    <w:rsid w:val="00AF47C5"/>
    <w:rsid w:val="00AF5398"/>
    <w:rsid w:val="00B049AF"/>
    <w:rsid w:val="00B07242"/>
    <w:rsid w:val="00B10534"/>
    <w:rsid w:val="00B113DB"/>
    <w:rsid w:val="00B11D8A"/>
    <w:rsid w:val="00B12981"/>
    <w:rsid w:val="00B12F64"/>
    <w:rsid w:val="00B147DD"/>
    <w:rsid w:val="00B156FD"/>
    <w:rsid w:val="00B208A6"/>
    <w:rsid w:val="00B21F61"/>
    <w:rsid w:val="00B261F1"/>
    <w:rsid w:val="00B265BC"/>
    <w:rsid w:val="00B31FB1"/>
    <w:rsid w:val="00B33952"/>
    <w:rsid w:val="00B33C5E"/>
    <w:rsid w:val="00B342F4"/>
    <w:rsid w:val="00B34369"/>
    <w:rsid w:val="00B34DC2"/>
    <w:rsid w:val="00B378E5"/>
    <w:rsid w:val="00B4346D"/>
    <w:rsid w:val="00B440F4"/>
    <w:rsid w:val="00B44432"/>
    <w:rsid w:val="00B447A5"/>
    <w:rsid w:val="00B4654C"/>
    <w:rsid w:val="00B47293"/>
    <w:rsid w:val="00B50E50"/>
    <w:rsid w:val="00B52120"/>
    <w:rsid w:val="00B54ABC"/>
    <w:rsid w:val="00B560DF"/>
    <w:rsid w:val="00B56AE1"/>
    <w:rsid w:val="00B56FBE"/>
    <w:rsid w:val="00B62B58"/>
    <w:rsid w:val="00B62D37"/>
    <w:rsid w:val="00B65149"/>
    <w:rsid w:val="00B66567"/>
    <w:rsid w:val="00B66F52"/>
    <w:rsid w:val="00B66FE5"/>
    <w:rsid w:val="00B72880"/>
    <w:rsid w:val="00B758BF"/>
    <w:rsid w:val="00B827A6"/>
    <w:rsid w:val="00B831CE"/>
    <w:rsid w:val="00B8584E"/>
    <w:rsid w:val="00B85BF2"/>
    <w:rsid w:val="00B86677"/>
    <w:rsid w:val="00B87131"/>
    <w:rsid w:val="00B939B1"/>
    <w:rsid w:val="00B96D40"/>
    <w:rsid w:val="00B97386"/>
    <w:rsid w:val="00B978DB"/>
    <w:rsid w:val="00BA263B"/>
    <w:rsid w:val="00BA42B2"/>
    <w:rsid w:val="00BA58D4"/>
    <w:rsid w:val="00BA5B9E"/>
    <w:rsid w:val="00BA7C9A"/>
    <w:rsid w:val="00BB5F8F"/>
    <w:rsid w:val="00BB657A"/>
    <w:rsid w:val="00BC1A4E"/>
    <w:rsid w:val="00BC5DC7"/>
    <w:rsid w:val="00BC6B41"/>
    <w:rsid w:val="00BC6B8B"/>
    <w:rsid w:val="00BC73D8"/>
    <w:rsid w:val="00BD52D7"/>
    <w:rsid w:val="00BD5AD2"/>
    <w:rsid w:val="00BE22F3"/>
    <w:rsid w:val="00BE5B52"/>
    <w:rsid w:val="00BE7B8D"/>
    <w:rsid w:val="00BF0993"/>
    <w:rsid w:val="00BF10A9"/>
    <w:rsid w:val="00BF1703"/>
    <w:rsid w:val="00BF21F7"/>
    <w:rsid w:val="00BF231C"/>
    <w:rsid w:val="00BF51E5"/>
    <w:rsid w:val="00BF74A6"/>
    <w:rsid w:val="00BF7718"/>
    <w:rsid w:val="00C013AD"/>
    <w:rsid w:val="00C020FB"/>
    <w:rsid w:val="00C04904"/>
    <w:rsid w:val="00C056B3"/>
    <w:rsid w:val="00C103E5"/>
    <w:rsid w:val="00C11160"/>
    <w:rsid w:val="00C13319"/>
    <w:rsid w:val="00C13EE9"/>
    <w:rsid w:val="00C15921"/>
    <w:rsid w:val="00C21540"/>
    <w:rsid w:val="00C21906"/>
    <w:rsid w:val="00C21BFA"/>
    <w:rsid w:val="00C23A1C"/>
    <w:rsid w:val="00C24C8D"/>
    <w:rsid w:val="00C25FE2"/>
    <w:rsid w:val="00C260F4"/>
    <w:rsid w:val="00C26B53"/>
    <w:rsid w:val="00C279B2"/>
    <w:rsid w:val="00C33E50"/>
    <w:rsid w:val="00C34C20"/>
    <w:rsid w:val="00C35A3E"/>
    <w:rsid w:val="00C36F61"/>
    <w:rsid w:val="00C42130"/>
    <w:rsid w:val="00C423A4"/>
    <w:rsid w:val="00C44BF5"/>
    <w:rsid w:val="00C521D6"/>
    <w:rsid w:val="00C55232"/>
    <w:rsid w:val="00C553A4"/>
    <w:rsid w:val="00C55A06"/>
    <w:rsid w:val="00C55D03"/>
    <w:rsid w:val="00C601BC"/>
    <w:rsid w:val="00C6329F"/>
    <w:rsid w:val="00C63340"/>
    <w:rsid w:val="00C643F9"/>
    <w:rsid w:val="00C64E95"/>
    <w:rsid w:val="00C71372"/>
    <w:rsid w:val="00C72369"/>
    <w:rsid w:val="00C72410"/>
    <w:rsid w:val="00C7287F"/>
    <w:rsid w:val="00C80CB8"/>
    <w:rsid w:val="00C819F8"/>
    <w:rsid w:val="00C8248C"/>
    <w:rsid w:val="00C82613"/>
    <w:rsid w:val="00C84E33"/>
    <w:rsid w:val="00C86D6F"/>
    <w:rsid w:val="00C905FC"/>
    <w:rsid w:val="00C92D03"/>
    <w:rsid w:val="00C9319C"/>
    <w:rsid w:val="00C9435D"/>
    <w:rsid w:val="00C96741"/>
    <w:rsid w:val="00CA2D1B"/>
    <w:rsid w:val="00CA662A"/>
    <w:rsid w:val="00CA7AFD"/>
    <w:rsid w:val="00CA7C3C"/>
    <w:rsid w:val="00CB0189"/>
    <w:rsid w:val="00CB0BA2"/>
    <w:rsid w:val="00CB1A42"/>
    <w:rsid w:val="00CB1B0C"/>
    <w:rsid w:val="00CB2C0B"/>
    <w:rsid w:val="00CB517D"/>
    <w:rsid w:val="00CC038D"/>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EEF"/>
    <w:rsid w:val="00CD7426"/>
    <w:rsid w:val="00CE0C4F"/>
    <w:rsid w:val="00CE1E36"/>
    <w:rsid w:val="00CE30EA"/>
    <w:rsid w:val="00CF048A"/>
    <w:rsid w:val="00CF155A"/>
    <w:rsid w:val="00CF2947"/>
    <w:rsid w:val="00CF4E76"/>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4F7C"/>
    <w:rsid w:val="00D25E37"/>
    <w:rsid w:val="00D2661A"/>
    <w:rsid w:val="00D27582"/>
    <w:rsid w:val="00D31CBD"/>
    <w:rsid w:val="00D32719"/>
    <w:rsid w:val="00D33333"/>
    <w:rsid w:val="00D34CB7"/>
    <w:rsid w:val="00D352A2"/>
    <w:rsid w:val="00D4162B"/>
    <w:rsid w:val="00D4514F"/>
    <w:rsid w:val="00D451E2"/>
    <w:rsid w:val="00D45C52"/>
    <w:rsid w:val="00D45E89"/>
    <w:rsid w:val="00D45E8D"/>
    <w:rsid w:val="00D466AE"/>
    <w:rsid w:val="00D4734F"/>
    <w:rsid w:val="00D51BF3"/>
    <w:rsid w:val="00D54B98"/>
    <w:rsid w:val="00D56D85"/>
    <w:rsid w:val="00D66846"/>
    <w:rsid w:val="00D675FB"/>
    <w:rsid w:val="00D71F25"/>
    <w:rsid w:val="00D7215A"/>
    <w:rsid w:val="00D77031"/>
    <w:rsid w:val="00D81136"/>
    <w:rsid w:val="00D84941"/>
    <w:rsid w:val="00D84FA1"/>
    <w:rsid w:val="00D851F0"/>
    <w:rsid w:val="00D86DB7"/>
    <w:rsid w:val="00D9060C"/>
    <w:rsid w:val="00D9177A"/>
    <w:rsid w:val="00D926D0"/>
    <w:rsid w:val="00D93030"/>
    <w:rsid w:val="00D950E1"/>
    <w:rsid w:val="00D952A6"/>
    <w:rsid w:val="00D97F99"/>
    <w:rsid w:val="00DA116A"/>
    <w:rsid w:val="00DA1E08"/>
    <w:rsid w:val="00DA24F8"/>
    <w:rsid w:val="00DA28E8"/>
    <w:rsid w:val="00DA38D3"/>
    <w:rsid w:val="00DA3932"/>
    <w:rsid w:val="00DA3AFC"/>
    <w:rsid w:val="00DA4209"/>
    <w:rsid w:val="00DA64F8"/>
    <w:rsid w:val="00DA6C15"/>
    <w:rsid w:val="00DB38EE"/>
    <w:rsid w:val="00DB498B"/>
    <w:rsid w:val="00DB66CA"/>
    <w:rsid w:val="00DB6858"/>
    <w:rsid w:val="00DB6BCA"/>
    <w:rsid w:val="00DB7113"/>
    <w:rsid w:val="00DC0321"/>
    <w:rsid w:val="00DC1BC5"/>
    <w:rsid w:val="00DC3067"/>
    <w:rsid w:val="00DC370B"/>
    <w:rsid w:val="00DC38C9"/>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323B"/>
    <w:rsid w:val="00DF44DE"/>
    <w:rsid w:val="00DF4A10"/>
    <w:rsid w:val="00E01138"/>
    <w:rsid w:val="00E02DFB"/>
    <w:rsid w:val="00E030F9"/>
    <w:rsid w:val="00E0311A"/>
    <w:rsid w:val="00E03138"/>
    <w:rsid w:val="00E06404"/>
    <w:rsid w:val="00E11A85"/>
    <w:rsid w:val="00E12495"/>
    <w:rsid w:val="00E15CCD"/>
    <w:rsid w:val="00E15D9E"/>
    <w:rsid w:val="00E202EF"/>
    <w:rsid w:val="00E210B5"/>
    <w:rsid w:val="00E2552F"/>
    <w:rsid w:val="00E3137A"/>
    <w:rsid w:val="00E32213"/>
    <w:rsid w:val="00E32CCF"/>
    <w:rsid w:val="00E33542"/>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2FF9"/>
    <w:rsid w:val="00E635D6"/>
    <w:rsid w:val="00E639BC"/>
    <w:rsid w:val="00E664CC"/>
    <w:rsid w:val="00E70388"/>
    <w:rsid w:val="00E70B15"/>
    <w:rsid w:val="00E70F92"/>
    <w:rsid w:val="00E7264B"/>
    <w:rsid w:val="00E72A3D"/>
    <w:rsid w:val="00E74C54"/>
    <w:rsid w:val="00E77A03"/>
    <w:rsid w:val="00E822E8"/>
    <w:rsid w:val="00E82554"/>
    <w:rsid w:val="00E82606"/>
    <w:rsid w:val="00E846C8"/>
    <w:rsid w:val="00E84957"/>
    <w:rsid w:val="00E84A55"/>
    <w:rsid w:val="00E85BFF"/>
    <w:rsid w:val="00E90391"/>
    <w:rsid w:val="00E906C2"/>
    <w:rsid w:val="00E9070B"/>
    <w:rsid w:val="00E9311F"/>
    <w:rsid w:val="00E934D1"/>
    <w:rsid w:val="00E93538"/>
    <w:rsid w:val="00E93991"/>
    <w:rsid w:val="00E94AF0"/>
    <w:rsid w:val="00E95D13"/>
    <w:rsid w:val="00E95DD3"/>
    <w:rsid w:val="00E969D5"/>
    <w:rsid w:val="00EA0022"/>
    <w:rsid w:val="00EA58D1"/>
    <w:rsid w:val="00EA61BC"/>
    <w:rsid w:val="00EA681A"/>
    <w:rsid w:val="00EA735B"/>
    <w:rsid w:val="00EB093D"/>
    <w:rsid w:val="00EB1E69"/>
    <w:rsid w:val="00EB2086"/>
    <w:rsid w:val="00EB5EDF"/>
    <w:rsid w:val="00EB60FE"/>
    <w:rsid w:val="00EB74DB"/>
    <w:rsid w:val="00EC5359"/>
    <w:rsid w:val="00EC562A"/>
    <w:rsid w:val="00ED067A"/>
    <w:rsid w:val="00ED2B50"/>
    <w:rsid w:val="00EE0350"/>
    <w:rsid w:val="00EE0719"/>
    <w:rsid w:val="00EE0E80"/>
    <w:rsid w:val="00EE3330"/>
    <w:rsid w:val="00EE613F"/>
    <w:rsid w:val="00EE7295"/>
    <w:rsid w:val="00EE7869"/>
    <w:rsid w:val="00EF0453"/>
    <w:rsid w:val="00EF054A"/>
    <w:rsid w:val="00EF3235"/>
    <w:rsid w:val="00EF7E72"/>
    <w:rsid w:val="00F01542"/>
    <w:rsid w:val="00F06D37"/>
    <w:rsid w:val="00F07B9D"/>
    <w:rsid w:val="00F10926"/>
    <w:rsid w:val="00F11586"/>
    <w:rsid w:val="00F1183B"/>
    <w:rsid w:val="00F11C9F"/>
    <w:rsid w:val="00F12263"/>
    <w:rsid w:val="00F1409D"/>
    <w:rsid w:val="00F14214"/>
    <w:rsid w:val="00F14ECE"/>
    <w:rsid w:val="00F157A9"/>
    <w:rsid w:val="00F2150B"/>
    <w:rsid w:val="00F25BB6"/>
    <w:rsid w:val="00F26726"/>
    <w:rsid w:val="00F26B7E"/>
    <w:rsid w:val="00F27A3B"/>
    <w:rsid w:val="00F33817"/>
    <w:rsid w:val="00F3447F"/>
    <w:rsid w:val="00F40B78"/>
    <w:rsid w:val="00F420D5"/>
    <w:rsid w:val="00F451EA"/>
    <w:rsid w:val="00F45447"/>
    <w:rsid w:val="00F456C6"/>
    <w:rsid w:val="00F4577B"/>
    <w:rsid w:val="00F46496"/>
    <w:rsid w:val="00F46820"/>
    <w:rsid w:val="00F474D0"/>
    <w:rsid w:val="00F50179"/>
    <w:rsid w:val="00F50F2A"/>
    <w:rsid w:val="00F517B8"/>
    <w:rsid w:val="00F56511"/>
    <w:rsid w:val="00F6194E"/>
    <w:rsid w:val="00F623AC"/>
    <w:rsid w:val="00F6412A"/>
    <w:rsid w:val="00F65893"/>
    <w:rsid w:val="00F66A4A"/>
    <w:rsid w:val="00F71E22"/>
    <w:rsid w:val="00F72142"/>
    <w:rsid w:val="00F72AE7"/>
    <w:rsid w:val="00F77D98"/>
    <w:rsid w:val="00F824B9"/>
    <w:rsid w:val="00F833BA"/>
    <w:rsid w:val="00F84FD0"/>
    <w:rsid w:val="00F859A8"/>
    <w:rsid w:val="00F907BF"/>
    <w:rsid w:val="00F9108B"/>
    <w:rsid w:val="00F91349"/>
    <w:rsid w:val="00F93A8A"/>
    <w:rsid w:val="00F95248"/>
    <w:rsid w:val="00F956A9"/>
    <w:rsid w:val="00F963ED"/>
    <w:rsid w:val="00F966CF"/>
    <w:rsid w:val="00F96CAE"/>
    <w:rsid w:val="00F97AE3"/>
    <w:rsid w:val="00F97C99"/>
    <w:rsid w:val="00FA662D"/>
    <w:rsid w:val="00FA6730"/>
    <w:rsid w:val="00FA73B1"/>
    <w:rsid w:val="00FB0CB9"/>
    <w:rsid w:val="00FB0FD3"/>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46CF570F"/>
    <w:rsid w:val="49AC2C7D"/>
    <w:rsid w:val="64FB27EC"/>
    <w:rsid w:val="7CD78C4A"/>
    <w:rsid w:val="7EFF0E47"/>
    <w:rsid w:val="D9EF712C"/>
    <w:rsid w:val="F9DBC879"/>
    <w:rsid w:val="F9EDDED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6"/>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7"/>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8"/>
    <w:qFormat/>
    <w:uiPriority w:val="0"/>
    <w:pPr>
      <w:keepNext/>
      <w:keepLines/>
      <w:spacing w:before="260" w:after="260" w:line="416" w:lineRule="auto"/>
      <w:outlineLvl w:val="2"/>
    </w:pPr>
    <w:rPr>
      <w:b/>
      <w:bCs/>
      <w:sz w:val="32"/>
      <w:szCs w:val="32"/>
    </w:rPr>
  </w:style>
  <w:style w:type="paragraph" w:styleId="5">
    <w:name w:val="heading 4"/>
    <w:basedOn w:val="1"/>
    <w:next w:val="1"/>
    <w:link w:val="39"/>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40"/>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1"/>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2"/>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3"/>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4"/>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34">
    <w:name w:val="Normal Table"/>
    <w:semiHidden/>
    <w:unhideWhenUsed/>
    <w:qFormat/>
    <w:uiPriority w:val="99"/>
    <w:tblPr>
      <w:tblLayout w:type="fixed"/>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Document Map"/>
    <w:basedOn w:val="1"/>
    <w:link w:val="232"/>
    <w:semiHidden/>
    <w:unhideWhenUsed/>
    <w:qFormat/>
    <w:uiPriority w:val="99"/>
    <w:rPr>
      <w:rFonts w:ascii="宋体"/>
      <w:sz w:val="18"/>
      <w:szCs w:val="18"/>
    </w:rPr>
  </w:style>
  <w:style w:type="paragraph" w:styleId="14">
    <w:name w:val="Body Text"/>
    <w:basedOn w:val="1"/>
    <w:link w:val="88"/>
    <w:qFormat/>
    <w:uiPriority w:val="0"/>
    <w:pPr>
      <w:spacing w:after="120"/>
    </w:pPr>
  </w:style>
  <w:style w:type="paragraph" w:styleId="15">
    <w:name w:val="toc 5"/>
    <w:basedOn w:val="1"/>
    <w:next w:val="1"/>
    <w:unhideWhenUsed/>
    <w:qFormat/>
    <w:uiPriority w:val="39"/>
    <w:pPr>
      <w:ind w:left="839"/>
    </w:pPr>
    <w:rPr>
      <w:rFonts w:ascii="宋体"/>
    </w:rPr>
  </w:style>
  <w:style w:type="paragraph" w:styleId="16">
    <w:name w:val="toc 3"/>
    <w:basedOn w:val="1"/>
    <w:next w:val="1"/>
    <w:unhideWhenUsed/>
    <w:qFormat/>
    <w:uiPriority w:val="39"/>
    <w:pPr>
      <w:spacing w:line="300" w:lineRule="exact"/>
      <w:ind w:left="420"/>
    </w:pPr>
    <w:rPr>
      <w:rFonts w:ascii="宋体"/>
    </w:rPr>
  </w:style>
  <w:style w:type="paragraph" w:styleId="17">
    <w:name w:val="Balloon Text"/>
    <w:basedOn w:val="1"/>
    <w:link w:val="47"/>
    <w:semiHidden/>
    <w:unhideWhenUsed/>
    <w:qFormat/>
    <w:uiPriority w:val="99"/>
    <w:rPr>
      <w:sz w:val="18"/>
      <w:szCs w:val="18"/>
    </w:rPr>
  </w:style>
  <w:style w:type="paragraph" w:styleId="18">
    <w:name w:val="footer"/>
    <w:basedOn w:val="1"/>
    <w:link w:val="46"/>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5"/>
    <w:qFormat/>
    <w:uiPriority w:val="99"/>
    <w:pPr>
      <w:tabs>
        <w:tab w:val="center" w:pos="4153"/>
        <w:tab w:val="right" w:pos="8306"/>
      </w:tabs>
      <w:adjustRightInd/>
      <w:snapToGrid w:val="0"/>
      <w:jc w:val="center"/>
    </w:pPr>
    <w:rPr>
      <w:sz w:val="18"/>
      <w:szCs w:val="18"/>
    </w:rPr>
  </w:style>
  <w:style w:type="paragraph" w:styleId="20">
    <w:name w:val="toc 1"/>
    <w:basedOn w:val="1"/>
    <w:next w:val="1"/>
    <w:unhideWhenUsed/>
    <w:qFormat/>
    <w:uiPriority w:val="39"/>
    <w:rPr>
      <w:rFonts w:ascii="宋体"/>
    </w:rPr>
  </w:style>
  <w:style w:type="paragraph" w:styleId="21">
    <w:name w:val="toc 4"/>
    <w:basedOn w:val="1"/>
    <w:next w:val="1"/>
    <w:unhideWhenUsed/>
    <w:qFormat/>
    <w:uiPriority w:val="39"/>
    <w:pPr>
      <w:tabs>
        <w:tab w:val="right" w:leader="dot" w:pos="9344"/>
      </w:tabs>
      <w:spacing w:line="300" w:lineRule="exact"/>
      <w:ind w:left="629"/>
    </w:pPr>
    <w:rPr>
      <w:rFonts w:ascii="宋体"/>
    </w:rPr>
  </w:style>
  <w:style w:type="paragraph" w:styleId="22">
    <w:name w:val="footnote text"/>
    <w:basedOn w:val="1"/>
    <w:next w:val="1"/>
    <w:link w:val="101"/>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unhideWhenUsed/>
    <w:qFormat/>
    <w:uiPriority w:val="39"/>
    <w:pPr>
      <w:spacing w:line="300" w:lineRule="exact"/>
      <w:ind w:left="1049"/>
    </w:pPr>
    <w:rPr>
      <w:rFonts w:ascii="宋体"/>
    </w:rPr>
  </w:style>
  <w:style w:type="paragraph" w:styleId="24">
    <w:name w:val="table of figures"/>
    <w:basedOn w:val="1"/>
    <w:next w:val="1"/>
    <w:semiHidden/>
    <w:qFormat/>
    <w:uiPriority w:val="0"/>
    <w:pPr>
      <w:adjustRightInd/>
      <w:spacing w:line="240" w:lineRule="auto"/>
      <w:jc w:val="left"/>
    </w:pPr>
    <w:rPr>
      <w:szCs w:val="24"/>
    </w:rPr>
  </w:style>
  <w:style w:type="paragraph" w:styleId="25">
    <w:name w:val="toc 2"/>
    <w:basedOn w:val="1"/>
    <w:next w:val="1"/>
    <w:unhideWhenUsed/>
    <w:qFormat/>
    <w:uiPriority w:val="39"/>
    <w:pPr>
      <w:tabs>
        <w:tab w:val="right" w:leader="dot" w:pos="9344"/>
      </w:tabs>
      <w:spacing w:line="300" w:lineRule="exact"/>
      <w:ind w:left="210"/>
    </w:pPr>
    <w:rPr>
      <w:rFonts w:ascii="宋体"/>
    </w:rPr>
  </w:style>
  <w:style w:type="paragraph" w:styleId="26">
    <w:name w:val="Normal (Web)"/>
    <w:basedOn w:val="1"/>
    <w:unhideWhenUsed/>
    <w:qFormat/>
    <w:uiPriority w:val="99"/>
    <w:pPr>
      <w:widowControl/>
      <w:adjustRightInd/>
      <w:spacing w:before="100" w:beforeAutospacing="1" w:after="100" w:afterAutospacing="1" w:line="240" w:lineRule="auto"/>
      <w:jc w:val="left"/>
    </w:pPr>
    <w:rPr>
      <w:rFonts w:ascii="宋体" w:hAnsi="宋体" w:cs="宋体"/>
      <w:kern w:val="0"/>
      <w:sz w:val="24"/>
      <w:szCs w:val="24"/>
    </w:rPr>
  </w:style>
  <w:style w:type="paragraph" w:styleId="27">
    <w:name w:val="Title"/>
    <w:basedOn w:val="1"/>
    <w:link w:val="50"/>
    <w:qFormat/>
    <w:uiPriority w:val="0"/>
    <w:pPr>
      <w:spacing w:before="240" w:after="60"/>
      <w:jc w:val="center"/>
      <w:outlineLvl w:val="0"/>
    </w:pPr>
    <w:rPr>
      <w:rFonts w:ascii="Arial" w:hAnsi="Arial" w:cs="Arial"/>
      <w:b/>
      <w:bCs/>
      <w:sz w:val="32"/>
      <w:szCs w:val="32"/>
    </w:r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table" w:styleId="35">
    <w:name w:val="Table Grid"/>
    <w:basedOn w:val="34"/>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36">
    <w:name w:val="标题 1 Char"/>
    <w:link w:val="2"/>
    <w:qFormat/>
    <w:uiPriority w:val="0"/>
    <w:rPr>
      <w:b/>
      <w:bCs/>
      <w:kern w:val="44"/>
      <w:sz w:val="44"/>
      <w:szCs w:val="44"/>
    </w:rPr>
  </w:style>
  <w:style w:type="character" w:customStyle="1" w:styleId="37">
    <w:name w:val="标题 2 Char"/>
    <w:link w:val="3"/>
    <w:qFormat/>
    <w:uiPriority w:val="0"/>
    <w:rPr>
      <w:rFonts w:ascii="Arial" w:hAnsi="Arial" w:eastAsia="黑体"/>
      <w:b/>
      <w:bCs/>
      <w:kern w:val="2"/>
      <w:sz w:val="32"/>
      <w:szCs w:val="32"/>
    </w:rPr>
  </w:style>
  <w:style w:type="character" w:customStyle="1" w:styleId="38">
    <w:name w:val="标题 3 Char"/>
    <w:link w:val="4"/>
    <w:qFormat/>
    <w:uiPriority w:val="0"/>
    <w:rPr>
      <w:b/>
      <w:bCs/>
      <w:kern w:val="2"/>
      <w:sz w:val="32"/>
      <w:szCs w:val="32"/>
    </w:rPr>
  </w:style>
  <w:style w:type="character" w:customStyle="1" w:styleId="39">
    <w:name w:val="标题 4 Char"/>
    <w:link w:val="5"/>
    <w:qFormat/>
    <w:uiPriority w:val="0"/>
    <w:rPr>
      <w:rFonts w:ascii="Arial" w:hAnsi="Arial" w:eastAsia="黑体"/>
      <w:b/>
      <w:bCs/>
      <w:kern w:val="2"/>
      <w:sz w:val="28"/>
      <w:szCs w:val="28"/>
    </w:rPr>
  </w:style>
  <w:style w:type="character" w:customStyle="1" w:styleId="40">
    <w:name w:val="标题 5 Char"/>
    <w:link w:val="6"/>
    <w:qFormat/>
    <w:uiPriority w:val="0"/>
    <w:rPr>
      <w:b/>
      <w:bCs/>
      <w:kern w:val="2"/>
      <w:sz w:val="28"/>
      <w:szCs w:val="28"/>
    </w:rPr>
  </w:style>
  <w:style w:type="character" w:customStyle="1" w:styleId="41">
    <w:name w:val="标题 6 Char"/>
    <w:link w:val="7"/>
    <w:qFormat/>
    <w:uiPriority w:val="0"/>
    <w:rPr>
      <w:rFonts w:ascii="Arial" w:hAnsi="Arial" w:eastAsia="黑体"/>
      <w:b/>
      <w:bCs/>
      <w:kern w:val="2"/>
      <w:sz w:val="24"/>
      <w:szCs w:val="24"/>
    </w:rPr>
  </w:style>
  <w:style w:type="character" w:customStyle="1" w:styleId="42">
    <w:name w:val="标题 7 Char"/>
    <w:link w:val="8"/>
    <w:qFormat/>
    <w:uiPriority w:val="0"/>
    <w:rPr>
      <w:b/>
      <w:bCs/>
      <w:kern w:val="2"/>
      <w:sz w:val="24"/>
      <w:szCs w:val="24"/>
    </w:rPr>
  </w:style>
  <w:style w:type="character" w:customStyle="1" w:styleId="43">
    <w:name w:val="标题 8 Char"/>
    <w:link w:val="9"/>
    <w:qFormat/>
    <w:uiPriority w:val="0"/>
    <w:rPr>
      <w:rFonts w:ascii="Arial" w:hAnsi="Arial" w:eastAsia="黑体"/>
      <w:kern w:val="2"/>
      <w:sz w:val="24"/>
      <w:szCs w:val="24"/>
    </w:rPr>
  </w:style>
  <w:style w:type="character" w:customStyle="1" w:styleId="44">
    <w:name w:val="标题 9 Char"/>
    <w:link w:val="10"/>
    <w:qFormat/>
    <w:uiPriority w:val="0"/>
    <w:rPr>
      <w:rFonts w:ascii="Arial" w:hAnsi="Arial" w:eastAsia="黑体"/>
      <w:kern w:val="2"/>
      <w:sz w:val="21"/>
      <w:szCs w:val="21"/>
    </w:rPr>
  </w:style>
  <w:style w:type="character" w:customStyle="1" w:styleId="45">
    <w:name w:val="页眉 Char"/>
    <w:link w:val="19"/>
    <w:qFormat/>
    <w:uiPriority w:val="99"/>
    <w:rPr>
      <w:kern w:val="2"/>
      <w:sz w:val="18"/>
      <w:szCs w:val="18"/>
    </w:rPr>
  </w:style>
  <w:style w:type="character" w:customStyle="1" w:styleId="46">
    <w:name w:val="页脚 Char"/>
    <w:link w:val="18"/>
    <w:qFormat/>
    <w:uiPriority w:val="99"/>
    <w:rPr>
      <w:rFonts w:ascii="宋体"/>
      <w:kern w:val="2"/>
      <w:sz w:val="18"/>
      <w:szCs w:val="18"/>
    </w:rPr>
  </w:style>
  <w:style w:type="character" w:customStyle="1" w:styleId="47">
    <w:name w:val="批注框文本 Char"/>
    <w:link w:val="17"/>
    <w:semiHidden/>
    <w:qFormat/>
    <w:uiPriority w:val="99"/>
    <w:rPr>
      <w:kern w:val="2"/>
      <w:sz w:val="18"/>
      <w:szCs w:val="18"/>
    </w:rPr>
  </w:style>
  <w:style w:type="paragraph" w:styleId="48">
    <w:name w:val="Quote"/>
    <w:basedOn w:val="1"/>
    <w:next w:val="1"/>
    <w:link w:val="49"/>
    <w:qFormat/>
    <w:uiPriority w:val="29"/>
    <w:rPr>
      <w:i/>
      <w:iCs/>
      <w:color w:val="000000"/>
    </w:rPr>
  </w:style>
  <w:style w:type="character" w:customStyle="1" w:styleId="49">
    <w:name w:val="引用 Char"/>
    <w:link w:val="48"/>
    <w:qFormat/>
    <w:uiPriority w:val="29"/>
    <w:rPr>
      <w:i/>
      <w:iCs/>
      <w:color w:val="000000"/>
      <w:kern w:val="2"/>
      <w:sz w:val="21"/>
      <w:szCs w:val="21"/>
    </w:rPr>
  </w:style>
  <w:style w:type="character" w:customStyle="1" w:styleId="50">
    <w:name w:val="标题 Char"/>
    <w:link w:val="27"/>
    <w:qFormat/>
    <w:uiPriority w:val="0"/>
    <w:rPr>
      <w:rFonts w:ascii="Arial" w:hAnsi="Arial" w:cs="Arial"/>
      <w:b/>
      <w:bCs/>
      <w:kern w:val="2"/>
      <w:sz w:val="32"/>
      <w:szCs w:val="32"/>
    </w:rPr>
  </w:style>
  <w:style w:type="paragraph" w:customStyle="1" w:styleId="51">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2">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3">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4">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5">
    <w:name w:val="标准书眉一"/>
    <w:qFormat/>
    <w:uiPriority w:val="0"/>
    <w:pPr>
      <w:jc w:val="both"/>
    </w:pPr>
    <w:rPr>
      <w:rFonts w:ascii="Times New Roman" w:hAnsi="Times New Roman" w:eastAsia="宋体" w:cs="Times New Roman"/>
      <w:lang w:val="en-US" w:eastAsia="zh-CN" w:bidi="ar-SA"/>
    </w:rPr>
  </w:style>
  <w:style w:type="paragraph" w:customStyle="1" w:styleId="56">
    <w:name w:val="标准文件_ICS"/>
    <w:basedOn w:val="1"/>
    <w:qFormat/>
    <w:uiPriority w:val="0"/>
    <w:pPr>
      <w:spacing w:line="0" w:lineRule="atLeast"/>
    </w:pPr>
    <w:rPr>
      <w:rFonts w:ascii="黑体" w:hAnsi="宋体" w:eastAsia="黑体"/>
    </w:rPr>
  </w:style>
  <w:style w:type="paragraph" w:customStyle="1" w:styleId="57">
    <w:name w:val="标准文件_标准正文"/>
    <w:basedOn w:val="1"/>
    <w:next w:val="58"/>
    <w:qFormat/>
    <w:uiPriority w:val="0"/>
    <w:pPr>
      <w:snapToGrid w:val="0"/>
      <w:ind w:firstLine="200" w:firstLineChars="200"/>
    </w:pPr>
    <w:rPr>
      <w:kern w:val="0"/>
    </w:rPr>
  </w:style>
  <w:style w:type="paragraph" w:customStyle="1" w:styleId="58">
    <w:name w:val="标准文件_段"/>
    <w:link w:val="186"/>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9">
    <w:name w:val="标准文件_版本"/>
    <w:basedOn w:val="57"/>
    <w:qFormat/>
    <w:uiPriority w:val="0"/>
    <w:pPr>
      <w:adjustRightInd/>
      <w:snapToGrid/>
      <w:ind w:firstLine="0" w:firstLineChars="0"/>
    </w:pPr>
    <w:rPr>
      <w:rFonts w:ascii="宋体" w:hAnsi="宋体"/>
      <w:kern w:val="2"/>
    </w:rPr>
  </w:style>
  <w:style w:type="paragraph" w:customStyle="1" w:styleId="60">
    <w:name w:val="标准文件_标准部门"/>
    <w:basedOn w:val="1"/>
    <w:qFormat/>
    <w:uiPriority w:val="0"/>
    <w:pPr>
      <w:jc w:val="center"/>
    </w:pPr>
    <w:rPr>
      <w:rFonts w:ascii="黑体" w:eastAsia="黑体"/>
      <w:kern w:val="0"/>
      <w:sz w:val="44"/>
    </w:rPr>
  </w:style>
  <w:style w:type="paragraph" w:customStyle="1" w:styleId="61">
    <w:name w:val="标准文件_标准代替"/>
    <w:basedOn w:val="1"/>
    <w:next w:val="1"/>
    <w:qFormat/>
    <w:uiPriority w:val="0"/>
    <w:pPr>
      <w:spacing w:line="310" w:lineRule="exact"/>
      <w:jc w:val="right"/>
    </w:pPr>
    <w:rPr>
      <w:rFonts w:ascii="宋体" w:hAnsi="宋体"/>
      <w:kern w:val="0"/>
    </w:rPr>
  </w:style>
  <w:style w:type="paragraph" w:customStyle="1" w:styleId="62">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3">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4">
    <w:name w:val="标准文件_页眉偶数页"/>
    <w:basedOn w:val="63"/>
    <w:next w:val="1"/>
    <w:qFormat/>
    <w:uiPriority w:val="0"/>
    <w:pPr>
      <w:jc w:val="left"/>
    </w:pPr>
  </w:style>
  <w:style w:type="paragraph" w:customStyle="1" w:styleId="65">
    <w:name w:val="标准文件_参考文献标题"/>
    <w:basedOn w:val="1"/>
    <w:next w:val="1"/>
    <w:qFormat/>
    <w:uiPriority w:val="0"/>
    <w:pPr>
      <w:widowControl/>
      <w:shd w:val="clear" w:color="FFFFFF" w:fill="FFFFFF"/>
      <w:adjustRightInd/>
      <w:spacing w:before="560" w:afterLines="50" w:line="240" w:lineRule="auto"/>
      <w:jc w:val="center"/>
      <w:outlineLvl w:val="0"/>
    </w:pPr>
    <w:rPr>
      <w:rFonts w:ascii="黑体" w:eastAsia="黑体"/>
      <w:kern w:val="0"/>
    </w:rPr>
  </w:style>
  <w:style w:type="paragraph" w:customStyle="1" w:styleId="66">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7">
    <w:name w:val="标准文件_二级条标题"/>
    <w:next w:val="58"/>
    <w:qFormat/>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68">
    <w:name w:val="标准文件_发布"/>
    <w:qFormat/>
    <w:uiPriority w:val="0"/>
    <w:rPr>
      <w:rFonts w:ascii="黑体" w:eastAsia="黑体"/>
      <w:spacing w:val="0"/>
      <w:w w:val="100"/>
      <w:position w:val="3"/>
      <w:sz w:val="28"/>
    </w:rPr>
  </w:style>
  <w:style w:type="paragraph" w:customStyle="1" w:styleId="69">
    <w:name w:val="标准文件_方框数字列项"/>
    <w:basedOn w:val="58"/>
    <w:qFormat/>
    <w:uiPriority w:val="0"/>
    <w:pPr>
      <w:numPr>
        <w:ilvl w:val="0"/>
        <w:numId w:val="3"/>
      </w:numPr>
      <w:ind w:firstLine="0" w:firstLineChars="0"/>
    </w:pPr>
  </w:style>
  <w:style w:type="paragraph" w:customStyle="1" w:styleId="70">
    <w:name w:val="标准文件_封面标准编号"/>
    <w:basedOn w:val="1"/>
    <w:next w:val="61"/>
    <w:qFormat/>
    <w:uiPriority w:val="0"/>
    <w:pPr>
      <w:spacing w:line="310" w:lineRule="exact"/>
      <w:jc w:val="right"/>
    </w:pPr>
    <w:rPr>
      <w:rFonts w:ascii="黑体" w:eastAsia="黑体"/>
      <w:kern w:val="0"/>
      <w:sz w:val="28"/>
    </w:rPr>
  </w:style>
  <w:style w:type="paragraph" w:customStyle="1" w:styleId="71">
    <w:name w:val="标准文件_封面标准分类号"/>
    <w:basedOn w:val="1"/>
    <w:qFormat/>
    <w:uiPriority w:val="0"/>
    <w:rPr>
      <w:rFonts w:ascii="黑体" w:eastAsia="黑体"/>
      <w:b/>
      <w:kern w:val="0"/>
      <w:sz w:val="28"/>
    </w:rPr>
  </w:style>
  <w:style w:type="paragraph" w:customStyle="1" w:styleId="72">
    <w:name w:val="标准文件_封面标准名称"/>
    <w:basedOn w:val="1"/>
    <w:qFormat/>
    <w:uiPriority w:val="0"/>
    <w:pPr>
      <w:spacing w:line="240" w:lineRule="auto"/>
      <w:jc w:val="center"/>
    </w:pPr>
    <w:rPr>
      <w:rFonts w:ascii="黑体" w:eastAsia="黑体"/>
      <w:kern w:val="0"/>
      <w:sz w:val="52"/>
    </w:rPr>
  </w:style>
  <w:style w:type="paragraph" w:customStyle="1" w:styleId="73">
    <w:name w:val="标准文件_封面标准英文名称"/>
    <w:basedOn w:val="1"/>
    <w:qFormat/>
    <w:uiPriority w:val="0"/>
    <w:pPr>
      <w:spacing w:line="240" w:lineRule="auto"/>
      <w:jc w:val="center"/>
    </w:pPr>
    <w:rPr>
      <w:rFonts w:ascii="黑体" w:eastAsia="黑体"/>
      <w:b/>
      <w:sz w:val="28"/>
    </w:rPr>
  </w:style>
  <w:style w:type="paragraph" w:customStyle="1" w:styleId="74">
    <w:name w:val="标准文件_封面发布日期"/>
    <w:basedOn w:val="1"/>
    <w:qFormat/>
    <w:uiPriority w:val="0"/>
    <w:pPr>
      <w:spacing w:line="310" w:lineRule="exact"/>
    </w:pPr>
    <w:rPr>
      <w:rFonts w:ascii="黑体" w:eastAsia="黑体"/>
      <w:kern w:val="0"/>
      <w:sz w:val="28"/>
    </w:rPr>
  </w:style>
  <w:style w:type="paragraph" w:customStyle="1" w:styleId="75">
    <w:name w:val="标准文件_封面密级"/>
    <w:basedOn w:val="1"/>
    <w:qFormat/>
    <w:uiPriority w:val="0"/>
    <w:rPr>
      <w:rFonts w:eastAsia="黑体"/>
      <w:sz w:val="32"/>
    </w:rPr>
  </w:style>
  <w:style w:type="paragraph" w:customStyle="1" w:styleId="76">
    <w:name w:val="标准文件_封面实施日期"/>
    <w:basedOn w:val="1"/>
    <w:qFormat/>
    <w:uiPriority w:val="0"/>
    <w:pPr>
      <w:spacing w:line="310" w:lineRule="exact"/>
      <w:jc w:val="right"/>
    </w:pPr>
    <w:rPr>
      <w:rFonts w:ascii="黑体" w:eastAsia="黑体"/>
      <w:sz w:val="28"/>
    </w:rPr>
  </w:style>
  <w:style w:type="paragraph" w:customStyle="1" w:styleId="77">
    <w:name w:val="标准文件_封面抬头"/>
    <w:basedOn w:val="58"/>
    <w:qFormat/>
    <w:uiPriority w:val="0"/>
    <w:pPr>
      <w:adjustRightInd w:val="0"/>
      <w:spacing w:line="800" w:lineRule="exact"/>
      <w:ind w:firstLine="0" w:firstLineChars="0"/>
      <w:jc w:val="distribute"/>
    </w:pPr>
    <w:rPr>
      <w:rFonts w:ascii="黑体" w:eastAsia="黑体"/>
      <w:b/>
      <w:sz w:val="64"/>
    </w:rPr>
  </w:style>
  <w:style w:type="paragraph" w:customStyle="1" w:styleId="78">
    <w:name w:val="标准文件_附录标识"/>
    <w:next w:val="58"/>
    <w:qFormat/>
    <w:uiPriority w:val="0"/>
    <w:pPr>
      <w:numPr>
        <w:ilvl w:val="0"/>
        <w:numId w:val="4"/>
      </w:numPr>
      <w:shd w:val="clear" w:color="FFFFFF" w:fill="FFFFFF"/>
      <w:tabs>
        <w:tab w:val="left" w:pos="6406"/>
      </w:tabs>
      <w:spacing w:before="560" w:afterLines="50"/>
      <w:jc w:val="center"/>
      <w:outlineLvl w:val="0"/>
    </w:pPr>
    <w:rPr>
      <w:rFonts w:ascii="黑体" w:hAnsi="Times New Roman" w:eastAsia="黑体" w:cs="Times New Roman"/>
      <w:sz w:val="21"/>
      <w:lang w:val="en-US" w:eastAsia="zh-CN" w:bidi="ar-SA"/>
    </w:rPr>
  </w:style>
  <w:style w:type="paragraph" w:customStyle="1" w:styleId="79">
    <w:name w:val="标准文件_附录表标题"/>
    <w:next w:val="58"/>
    <w:qFormat/>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80">
    <w:name w:val="标准文件_附录一级条标题"/>
    <w:next w:val="58"/>
    <w:qFormat/>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1">
    <w:name w:val="标准文件_附录二级条标题"/>
    <w:basedOn w:val="80"/>
    <w:next w:val="58"/>
    <w:qFormat/>
    <w:uiPriority w:val="0"/>
    <w:pPr>
      <w:widowControl/>
      <w:numPr>
        <w:ilvl w:val="2"/>
      </w:numPr>
      <w:wordWrap w:val="0"/>
      <w:overflowPunct w:val="0"/>
      <w:autoSpaceDE w:val="0"/>
      <w:autoSpaceDN w:val="0"/>
      <w:textAlignment w:val="baseline"/>
      <w:outlineLvl w:val="3"/>
    </w:pPr>
  </w:style>
  <w:style w:type="paragraph" w:customStyle="1" w:styleId="82">
    <w:name w:val="标准文件_附录公式"/>
    <w:basedOn w:val="57"/>
    <w:next w:val="57"/>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3">
    <w:name w:val="标准文件_附录三级条标题"/>
    <w:next w:val="58"/>
    <w:qFormat/>
    <w:uiPriority w:val="0"/>
    <w:pPr>
      <w:widowControl w:val="0"/>
      <w:numPr>
        <w:ilvl w:val="3"/>
        <w:numId w:val="4"/>
      </w:numPr>
      <w:spacing w:beforeLines="50" w:afterLines="50"/>
      <w:ind w:left="0"/>
      <w:jc w:val="both"/>
      <w:outlineLvl w:val="4"/>
    </w:pPr>
    <w:rPr>
      <w:rFonts w:ascii="黑体" w:hAnsi="Times New Roman" w:eastAsia="黑体" w:cs="Times New Roman"/>
      <w:kern w:val="21"/>
      <w:sz w:val="21"/>
      <w:lang w:val="en-US" w:eastAsia="zh-CN" w:bidi="ar-SA"/>
    </w:rPr>
  </w:style>
  <w:style w:type="paragraph" w:customStyle="1" w:styleId="84">
    <w:name w:val="标准文件_附录四级条标题"/>
    <w:next w:val="58"/>
    <w:qFormat/>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85">
    <w:name w:val="标准文件_附录图标题"/>
    <w:next w:val="58"/>
    <w:qFormat/>
    <w:uiPriority w:val="0"/>
    <w:pPr>
      <w:numPr>
        <w:ilvl w:val="1"/>
        <w:numId w:val="6"/>
      </w:numPr>
      <w:adjustRightInd w:val="0"/>
      <w:snapToGrid w:val="0"/>
      <w:spacing w:beforeLines="50" w:afterLines="50"/>
      <w:jc w:val="center"/>
    </w:pPr>
    <w:rPr>
      <w:rFonts w:ascii="黑体" w:hAnsi="Times New Roman" w:eastAsia="黑体" w:cs="Times New Roman"/>
      <w:sz w:val="21"/>
      <w:lang w:val="en-US" w:eastAsia="zh-CN" w:bidi="ar-SA"/>
    </w:rPr>
  </w:style>
  <w:style w:type="paragraph" w:customStyle="1" w:styleId="86">
    <w:name w:val="标准文件_附录五级条标题"/>
    <w:next w:val="58"/>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87">
    <w:name w:val="标准文件_附录英文标识"/>
    <w:next w:val="14"/>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8">
    <w:name w:val="正文文本 Char"/>
    <w:link w:val="14"/>
    <w:qFormat/>
    <w:uiPriority w:val="0"/>
    <w:rPr>
      <w:kern w:val="2"/>
      <w:sz w:val="21"/>
      <w:szCs w:val="21"/>
    </w:rPr>
  </w:style>
  <w:style w:type="paragraph" w:customStyle="1" w:styleId="89">
    <w:name w:val="标准文件_附录章标题"/>
    <w:next w:val="58"/>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90">
    <w:name w:val="标准文件_公式后的破折号"/>
    <w:basedOn w:val="58"/>
    <w:next w:val="58"/>
    <w:qFormat/>
    <w:uiPriority w:val="0"/>
    <w:pPr>
      <w:ind w:left="488" w:leftChars="200" w:hanging="289" w:hangingChars="290"/>
    </w:pPr>
  </w:style>
  <w:style w:type="paragraph" w:customStyle="1" w:styleId="91">
    <w:name w:val="标准文件_前言、引言标题"/>
    <w:next w:val="1"/>
    <w:qFormat/>
    <w:uiPriority w:val="0"/>
    <w:pPr>
      <w:numPr>
        <w:ilvl w:val="0"/>
        <w:numId w:val="8"/>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92">
    <w:name w:val="标准文件_目次、标准名称标题"/>
    <w:basedOn w:val="91"/>
    <w:next w:val="58"/>
    <w:qFormat/>
    <w:uiPriority w:val="0"/>
    <w:pPr>
      <w:spacing w:line="460" w:lineRule="exact"/>
      <w:ind w:left="0" w:firstLine="0"/>
    </w:pPr>
  </w:style>
  <w:style w:type="paragraph" w:customStyle="1" w:styleId="93">
    <w:name w:val="标准文件_目录标题"/>
    <w:basedOn w:val="1"/>
    <w:qFormat/>
    <w:uiPriority w:val="0"/>
    <w:pPr>
      <w:spacing w:before="480" w:afterLines="150" w:line="240" w:lineRule="auto"/>
      <w:jc w:val="center"/>
    </w:pPr>
    <w:rPr>
      <w:rFonts w:ascii="黑体" w:eastAsia="黑体"/>
      <w:sz w:val="32"/>
    </w:rPr>
  </w:style>
  <w:style w:type="paragraph" w:customStyle="1" w:styleId="94">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5">
    <w:name w:val="标准文件_破折号列项（二级）"/>
    <w:basedOn w:val="94"/>
    <w:qFormat/>
    <w:uiPriority w:val="0"/>
    <w:pPr>
      <w:numPr>
        <w:numId w:val="10"/>
      </w:numPr>
    </w:pPr>
  </w:style>
  <w:style w:type="paragraph" w:customStyle="1" w:styleId="96">
    <w:name w:val="标准文件_三级条标题"/>
    <w:basedOn w:val="67"/>
    <w:next w:val="58"/>
    <w:qFormat/>
    <w:uiPriority w:val="0"/>
    <w:pPr>
      <w:widowControl/>
      <w:numPr>
        <w:ilvl w:val="4"/>
      </w:numPr>
      <w:outlineLvl w:val="3"/>
    </w:pPr>
  </w:style>
  <w:style w:type="character" w:customStyle="1" w:styleId="97">
    <w:name w:val="不明显参考1"/>
    <w:qFormat/>
    <w:uiPriority w:val="31"/>
    <w:rPr>
      <w:smallCaps/>
      <w:color w:val="C0504D"/>
      <w:u w:val="single"/>
    </w:rPr>
  </w:style>
  <w:style w:type="paragraph" w:customStyle="1" w:styleId="98">
    <w:name w:val="标准文件_示例后续"/>
    <w:basedOn w:val="1"/>
    <w:qFormat/>
    <w:uiPriority w:val="0"/>
    <w:pPr>
      <w:adjustRightInd/>
      <w:spacing w:line="240" w:lineRule="auto"/>
      <w:ind w:firstLine="200" w:firstLineChars="200"/>
    </w:pPr>
    <w:rPr>
      <w:sz w:val="18"/>
      <w:szCs w:val="24"/>
    </w:rPr>
  </w:style>
  <w:style w:type="paragraph" w:customStyle="1" w:styleId="99">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100">
    <w:name w:val="标准文件_四级条标题"/>
    <w:next w:val="58"/>
    <w:qFormat/>
    <w:uiPriority w:val="0"/>
    <w:pPr>
      <w:widowControl w:val="0"/>
      <w:numPr>
        <w:ilvl w:val="5"/>
        <w:numId w:val="2"/>
      </w:numPr>
      <w:spacing w:beforeLines="50" w:afterLines="50"/>
      <w:ind w:left="1985"/>
      <w:jc w:val="both"/>
      <w:outlineLvl w:val="4"/>
    </w:pPr>
    <w:rPr>
      <w:rFonts w:ascii="黑体" w:hAnsi="Times New Roman" w:eastAsia="黑体" w:cs="Times New Roman"/>
      <w:sz w:val="21"/>
      <w:lang w:val="en-US" w:eastAsia="zh-CN" w:bidi="ar-SA"/>
    </w:rPr>
  </w:style>
  <w:style w:type="character" w:customStyle="1" w:styleId="101">
    <w:name w:val="脚注文本 Char"/>
    <w:link w:val="22"/>
    <w:semiHidden/>
    <w:qFormat/>
    <w:uiPriority w:val="0"/>
    <w:rPr>
      <w:rFonts w:ascii="宋体"/>
      <w:kern w:val="2"/>
      <w:sz w:val="18"/>
      <w:szCs w:val="18"/>
    </w:rPr>
  </w:style>
  <w:style w:type="paragraph" w:customStyle="1" w:styleId="102">
    <w:name w:val="标准文件_条文脚注"/>
    <w:basedOn w:val="22"/>
    <w:qFormat/>
    <w:uiPriority w:val="0"/>
    <w:pPr>
      <w:adjustRightInd w:val="0"/>
      <w:spacing w:line="240" w:lineRule="auto"/>
      <w:ind w:left="0" w:leftChars="0" w:firstLine="200" w:firstLineChars="200"/>
      <w:jc w:val="both"/>
    </w:pPr>
    <w:rPr>
      <w:rFonts w:hAnsi="宋体"/>
    </w:rPr>
  </w:style>
  <w:style w:type="paragraph" w:customStyle="1" w:styleId="103">
    <w:name w:val="标准文件_图表脚注"/>
    <w:basedOn w:val="1"/>
    <w:next w:val="58"/>
    <w:qFormat/>
    <w:uiPriority w:val="0"/>
    <w:pPr>
      <w:numPr>
        <w:ilvl w:val="0"/>
        <w:numId w:val="12"/>
      </w:numPr>
      <w:spacing w:line="240" w:lineRule="auto"/>
      <w:jc w:val="left"/>
    </w:pPr>
    <w:rPr>
      <w:rFonts w:ascii="宋体" w:hAnsi="宋体"/>
      <w:sz w:val="18"/>
    </w:rPr>
  </w:style>
  <w:style w:type="character" w:customStyle="1" w:styleId="104">
    <w:name w:val="标准文件_图表脚注内容"/>
    <w:qFormat/>
    <w:uiPriority w:val="0"/>
    <w:rPr>
      <w:rFonts w:ascii="宋体" w:hAnsi="宋体" w:eastAsia="宋体" w:cs="Times New Roman"/>
      <w:spacing w:val="0"/>
      <w:sz w:val="18"/>
      <w:vertAlign w:val="superscript"/>
    </w:rPr>
  </w:style>
  <w:style w:type="paragraph" w:customStyle="1" w:styleId="105">
    <w:name w:val="标准文件_五级条标题"/>
    <w:next w:val="58"/>
    <w:qFormat/>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06">
    <w:name w:val="标准文件_章标题"/>
    <w:next w:val="58"/>
    <w:qFormat/>
    <w:uiPriority w:val="0"/>
    <w:pPr>
      <w:numPr>
        <w:ilvl w:val="1"/>
        <w:numId w:val="2"/>
      </w:numPr>
      <w:spacing w:beforeLines="100" w:afterLines="100"/>
      <w:ind w:left="0"/>
      <w:jc w:val="both"/>
      <w:outlineLvl w:val="0"/>
    </w:pPr>
    <w:rPr>
      <w:rFonts w:ascii="黑体" w:hAnsi="Times New Roman" w:eastAsia="黑体" w:cs="Times New Roman"/>
      <w:sz w:val="21"/>
      <w:lang w:val="en-US" w:eastAsia="zh-CN" w:bidi="ar-SA"/>
    </w:rPr>
  </w:style>
  <w:style w:type="paragraph" w:customStyle="1" w:styleId="107">
    <w:name w:val="标准文件_一级条标题"/>
    <w:basedOn w:val="106"/>
    <w:next w:val="58"/>
    <w:qFormat/>
    <w:uiPriority w:val="0"/>
    <w:pPr>
      <w:numPr>
        <w:ilvl w:val="2"/>
      </w:numPr>
      <w:spacing w:beforeLines="50" w:afterLines="50"/>
      <w:outlineLvl w:val="1"/>
    </w:pPr>
  </w:style>
  <w:style w:type="paragraph" w:customStyle="1" w:styleId="108">
    <w:name w:val="标准文件_一致程度"/>
    <w:basedOn w:val="1"/>
    <w:qFormat/>
    <w:uiPriority w:val="0"/>
    <w:pPr>
      <w:spacing w:line="440" w:lineRule="exact"/>
      <w:jc w:val="center"/>
    </w:pPr>
    <w:rPr>
      <w:sz w:val="28"/>
    </w:rPr>
  </w:style>
  <w:style w:type="paragraph" w:customStyle="1" w:styleId="109">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10">
    <w:name w:val="标准文件_英文图表脚注"/>
    <w:basedOn w:val="57"/>
    <w:qFormat/>
    <w:uiPriority w:val="0"/>
    <w:pPr>
      <w:widowControl/>
      <w:adjustRightInd/>
      <w:snapToGrid/>
      <w:spacing w:line="240" w:lineRule="auto"/>
      <w:ind w:left="79" w:hanging="79" w:hangingChars="80"/>
    </w:pPr>
    <w:rPr>
      <w:rFonts w:ascii="宋体" w:hAnsi="宋体"/>
    </w:rPr>
  </w:style>
  <w:style w:type="paragraph" w:customStyle="1" w:styleId="111">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2">
    <w:name w:val="标准文件_英文注："/>
    <w:basedOn w:val="1"/>
    <w:next w:val="58"/>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3">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4">
    <w:name w:val="标准文件_正文表标题"/>
    <w:next w:val="58"/>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15">
    <w:name w:val="标准文件_正文公式"/>
    <w:basedOn w:val="1"/>
    <w:next w:val="57"/>
    <w:qFormat/>
    <w:uiPriority w:val="0"/>
    <w:pPr>
      <w:tabs>
        <w:tab w:val="center" w:pos="4678"/>
        <w:tab w:val="right" w:leader="middleDot" w:pos="9356"/>
      </w:tabs>
      <w:spacing w:line="240" w:lineRule="auto"/>
    </w:pPr>
    <w:rPr>
      <w:rFonts w:ascii="宋体" w:hAnsi="宋体"/>
    </w:rPr>
  </w:style>
  <w:style w:type="paragraph" w:customStyle="1" w:styleId="116">
    <w:name w:val="标准文件_正文图标题"/>
    <w:next w:val="58"/>
    <w:qFormat/>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17">
    <w:name w:val="标准文件_正文英文表标题"/>
    <w:next w:val="58"/>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8">
    <w:name w:val="标准文件_正文英文图标题"/>
    <w:next w:val="58"/>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9">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20">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1">
    <w:name w:val="发布部门"/>
    <w:next w:val="58"/>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2">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3">
    <w:name w:val="封面标准代替信息"/>
    <w:basedOn w:val="1"/>
    <w:qFormat/>
    <w:uiPriority w:val="0"/>
    <w:pPr>
      <w:framePr w:w="9138" w:h="1244" w:hRule="exact" w:wrap="around"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4">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5">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6">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7">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8">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9">
    <w:name w:val="封面正文"/>
    <w:qFormat/>
    <w:uiPriority w:val="0"/>
    <w:pPr>
      <w:jc w:val="both"/>
    </w:pPr>
    <w:rPr>
      <w:rFonts w:ascii="Times New Roman" w:hAnsi="Times New Roman" w:eastAsia="宋体" w:cs="Times New Roman"/>
      <w:lang w:val="en-US" w:eastAsia="zh-CN" w:bidi="ar-SA"/>
    </w:rPr>
  </w:style>
  <w:style w:type="paragraph" w:customStyle="1" w:styleId="130">
    <w:name w:val="附录二级无标题条"/>
    <w:basedOn w:val="1"/>
    <w:next w:val="58"/>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1">
    <w:name w:val="附录三级无标题条"/>
    <w:basedOn w:val="130"/>
    <w:next w:val="58"/>
    <w:qFormat/>
    <w:uiPriority w:val="0"/>
    <w:pPr>
      <w:outlineLvl w:val="4"/>
    </w:pPr>
  </w:style>
  <w:style w:type="paragraph" w:customStyle="1" w:styleId="132">
    <w:name w:val="附录四级无标题条"/>
    <w:basedOn w:val="131"/>
    <w:next w:val="58"/>
    <w:qFormat/>
    <w:uiPriority w:val="0"/>
    <w:pPr>
      <w:outlineLvl w:val="5"/>
    </w:pPr>
  </w:style>
  <w:style w:type="paragraph" w:customStyle="1" w:styleId="133">
    <w:name w:val="附录图"/>
    <w:next w:val="58"/>
    <w:qFormat/>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4">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5">
    <w:name w:val="附录五级无标题条"/>
    <w:basedOn w:val="132"/>
    <w:next w:val="58"/>
    <w:qFormat/>
    <w:uiPriority w:val="0"/>
    <w:pPr>
      <w:outlineLvl w:val="6"/>
    </w:pPr>
  </w:style>
  <w:style w:type="paragraph" w:customStyle="1" w:styleId="136">
    <w:name w:val="附录性质"/>
    <w:basedOn w:val="1"/>
    <w:qFormat/>
    <w:uiPriority w:val="0"/>
    <w:pPr>
      <w:widowControl/>
      <w:adjustRightInd/>
      <w:jc w:val="center"/>
    </w:pPr>
    <w:rPr>
      <w:rFonts w:ascii="黑体" w:eastAsia="黑体"/>
    </w:rPr>
  </w:style>
  <w:style w:type="paragraph" w:customStyle="1" w:styleId="137">
    <w:name w:val="附录一级无标题条"/>
    <w:basedOn w:val="89"/>
    <w:next w:val="58"/>
    <w:qFormat/>
    <w:uiPriority w:val="0"/>
    <w:pPr>
      <w:autoSpaceDN w:val="0"/>
      <w:outlineLvl w:val="2"/>
    </w:pPr>
    <w:rPr>
      <w:rFonts w:ascii="宋体" w:hAnsi="宋体" w:eastAsia="宋体"/>
    </w:rPr>
  </w:style>
  <w:style w:type="character" w:customStyle="1" w:styleId="138">
    <w:name w:val="个人答复风格"/>
    <w:qFormat/>
    <w:uiPriority w:val="0"/>
    <w:rPr>
      <w:rFonts w:ascii="Arial" w:hAnsi="Arial" w:eastAsia="宋体" w:cs="Arial"/>
      <w:color w:val="auto"/>
      <w:spacing w:val="0"/>
      <w:sz w:val="20"/>
    </w:rPr>
  </w:style>
  <w:style w:type="character" w:customStyle="1" w:styleId="139">
    <w:name w:val="个人撰写风格"/>
    <w:qFormat/>
    <w:uiPriority w:val="0"/>
    <w:rPr>
      <w:rFonts w:ascii="Arial" w:hAnsi="Arial" w:eastAsia="宋体" w:cs="Arial"/>
      <w:color w:val="auto"/>
      <w:spacing w:val="0"/>
      <w:sz w:val="20"/>
    </w:rPr>
  </w:style>
  <w:style w:type="paragraph" w:customStyle="1" w:styleId="140">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41">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2">
    <w:name w:val="列项·"/>
    <w:basedOn w:val="58"/>
    <w:qFormat/>
    <w:uiPriority w:val="0"/>
    <w:pPr>
      <w:tabs>
        <w:tab w:val="left" w:pos="840"/>
      </w:tabs>
    </w:pPr>
  </w:style>
  <w:style w:type="paragraph" w:customStyle="1" w:styleId="143">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4">
    <w:name w:val="目录 21"/>
    <w:basedOn w:val="1"/>
    <w:next w:val="1"/>
    <w:semiHidden/>
    <w:qFormat/>
    <w:uiPriority w:val="0"/>
    <w:pPr>
      <w:adjustRightInd/>
      <w:spacing w:line="240" w:lineRule="auto"/>
      <w:jc w:val="left"/>
    </w:pPr>
    <w:rPr>
      <w:bCs/>
      <w:iCs/>
    </w:rPr>
  </w:style>
  <w:style w:type="paragraph" w:customStyle="1" w:styleId="145">
    <w:name w:val="目录 31"/>
    <w:basedOn w:val="1"/>
    <w:next w:val="1"/>
    <w:semiHidden/>
    <w:qFormat/>
    <w:uiPriority w:val="0"/>
    <w:pPr>
      <w:spacing w:line="240" w:lineRule="auto"/>
    </w:pPr>
    <w:rPr>
      <w:rFonts w:ascii="宋体" w:hAnsi="宋体"/>
      <w:iCs/>
    </w:rPr>
  </w:style>
  <w:style w:type="paragraph" w:customStyle="1" w:styleId="146">
    <w:name w:val="目录 41"/>
    <w:basedOn w:val="1"/>
    <w:next w:val="1"/>
    <w:semiHidden/>
    <w:qFormat/>
    <w:uiPriority w:val="0"/>
    <w:pPr>
      <w:adjustRightInd/>
      <w:spacing w:line="240" w:lineRule="auto"/>
      <w:jc w:val="left"/>
    </w:pPr>
  </w:style>
  <w:style w:type="paragraph" w:customStyle="1" w:styleId="147">
    <w:name w:val="目录 51"/>
    <w:basedOn w:val="1"/>
    <w:next w:val="1"/>
    <w:semiHidden/>
    <w:qFormat/>
    <w:uiPriority w:val="0"/>
    <w:pPr>
      <w:spacing w:line="240" w:lineRule="auto"/>
    </w:pPr>
    <w:rPr>
      <w:rFonts w:ascii="宋体" w:hAnsi="宋体"/>
    </w:rPr>
  </w:style>
  <w:style w:type="paragraph" w:customStyle="1" w:styleId="148">
    <w:name w:val="目录 61"/>
    <w:basedOn w:val="1"/>
    <w:next w:val="1"/>
    <w:semiHidden/>
    <w:qFormat/>
    <w:uiPriority w:val="0"/>
    <w:pPr>
      <w:adjustRightInd/>
      <w:spacing w:line="240" w:lineRule="auto"/>
      <w:jc w:val="left"/>
    </w:pPr>
  </w:style>
  <w:style w:type="paragraph" w:customStyle="1" w:styleId="149">
    <w:name w:val="目录 71"/>
    <w:basedOn w:val="148"/>
    <w:semiHidden/>
    <w:qFormat/>
    <w:uiPriority w:val="0"/>
    <w:pPr>
      <w:ind w:left="1260"/>
    </w:pPr>
  </w:style>
  <w:style w:type="paragraph" w:customStyle="1" w:styleId="150">
    <w:name w:val="目录 81"/>
    <w:basedOn w:val="149"/>
    <w:semiHidden/>
    <w:qFormat/>
    <w:uiPriority w:val="0"/>
    <w:pPr>
      <w:ind w:left="1470"/>
    </w:pPr>
  </w:style>
  <w:style w:type="paragraph" w:customStyle="1" w:styleId="151">
    <w:name w:val="目录 91"/>
    <w:basedOn w:val="150"/>
    <w:semiHidden/>
    <w:qFormat/>
    <w:uiPriority w:val="0"/>
    <w:pPr>
      <w:ind w:left="1680"/>
    </w:pPr>
  </w:style>
  <w:style w:type="paragraph" w:customStyle="1" w:styleId="152">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3">
    <w:name w:val="其他发布部门"/>
    <w:basedOn w:val="121"/>
    <w:qFormat/>
    <w:uiPriority w:val="0"/>
    <w:pPr>
      <w:spacing w:line="0" w:lineRule="atLeast"/>
    </w:pPr>
    <w:rPr>
      <w:rFonts w:ascii="黑体" w:eastAsia="黑体"/>
      <w:b w:val="0"/>
    </w:rPr>
  </w:style>
  <w:style w:type="paragraph" w:customStyle="1" w:styleId="154">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5">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6">
    <w:name w:val="实施日期"/>
    <w:basedOn w:val="122"/>
    <w:qFormat/>
    <w:uiPriority w:val="0"/>
    <w:pPr>
      <w:framePr w:hSpace="0" w:xAlign="right"/>
      <w:jc w:val="right"/>
    </w:pPr>
  </w:style>
  <w:style w:type="paragraph" w:customStyle="1" w:styleId="157">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8">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9">
    <w:name w:val="无标题条"/>
    <w:next w:val="58"/>
    <w:qFormat/>
    <w:uiPriority w:val="0"/>
    <w:pPr>
      <w:jc w:val="both"/>
    </w:pPr>
    <w:rPr>
      <w:rFonts w:ascii="宋体" w:hAnsi="宋体" w:eastAsia="宋体" w:cs="Times New Roman"/>
      <w:sz w:val="21"/>
      <w:lang w:val="en-US" w:eastAsia="zh-CN" w:bidi="ar-SA"/>
    </w:rPr>
  </w:style>
  <w:style w:type="paragraph" w:customStyle="1" w:styleId="160">
    <w:name w:val="五级无标题条"/>
    <w:basedOn w:val="1"/>
    <w:qFormat/>
    <w:uiPriority w:val="0"/>
    <w:pPr>
      <w:numPr>
        <w:ilvl w:val="6"/>
        <w:numId w:val="20"/>
      </w:numPr>
      <w:adjustRightInd/>
    </w:pPr>
    <w:rPr>
      <w:szCs w:val="24"/>
    </w:rPr>
  </w:style>
  <w:style w:type="paragraph" w:customStyle="1" w:styleId="161">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2">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3">
    <w:name w:val="注×:后续"/>
    <w:basedOn w:val="162"/>
    <w:qFormat/>
    <w:uiPriority w:val="0"/>
    <w:pPr>
      <w:ind w:left="1406" w:leftChars="0" w:hanging="499" w:firstLineChars="0"/>
    </w:pPr>
  </w:style>
  <w:style w:type="paragraph" w:customStyle="1" w:styleId="164">
    <w:name w:val="标准文件_一级无标题"/>
    <w:basedOn w:val="107"/>
    <w:qFormat/>
    <w:uiPriority w:val="0"/>
    <w:pPr>
      <w:spacing w:beforeLines="0" w:afterLines="0"/>
      <w:outlineLvl w:val="9"/>
    </w:pPr>
    <w:rPr>
      <w:rFonts w:ascii="宋体" w:eastAsia="宋体"/>
    </w:rPr>
  </w:style>
  <w:style w:type="paragraph" w:customStyle="1" w:styleId="165">
    <w:name w:val="标准文件_五级无标题"/>
    <w:basedOn w:val="105"/>
    <w:qFormat/>
    <w:uiPriority w:val="0"/>
    <w:pPr>
      <w:spacing w:beforeLines="0" w:afterLines="0"/>
      <w:outlineLvl w:val="9"/>
    </w:pPr>
    <w:rPr>
      <w:rFonts w:ascii="宋体" w:eastAsia="宋体"/>
    </w:rPr>
  </w:style>
  <w:style w:type="paragraph" w:customStyle="1" w:styleId="166">
    <w:name w:val="标准文件_三级无标题"/>
    <w:basedOn w:val="96"/>
    <w:qFormat/>
    <w:uiPriority w:val="0"/>
    <w:pPr>
      <w:spacing w:beforeLines="0" w:afterLines="0"/>
      <w:outlineLvl w:val="9"/>
    </w:pPr>
    <w:rPr>
      <w:rFonts w:ascii="宋体" w:eastAsia="宋体"/>
    </w:rPr>
  </w:style>
  <w:style w:type="paragraph" w:customStyle="1" w:styleId="167">
    <w:name w:val="标准文件_二级无标题"/>
    <w:basedOn w:val="67"/>
    <w:qFormat/>
    <w:uiPriority w:val="0"/>
    <w:pPr>
      <w:spacing w:beforeLines="0" w:afterLines="0"/>
      <w:outlineLvl w:val="9"/>
    </w:pPr>
    <w:rPr>
      <w:rFonts w:ascii="宋体" w:eastAsia="宋体"/>
    </w:rPr>
  </w:style>
  <w:style w:type="paragraph" w:customStyle="1" w:styleId="168">
    <w:name w:val="标准_四级无标题"/>
    <w:basedOn w:val="100"/>
    <w:next w:val="58"/>
    <w:qFormat/>
    <w:uiPriority w:val="0"/>
    <w:rPr>
      <w:rFonts w:eastAsia="宋体"/>
    </w:rPr>
  </w:style>
  <w:style w:type="paragraph" w:customStyle="1" w:styleId="169">
    <w:name w:val="标准文件_四级无标题"/>
    <w:basedOn w:val="100"/>
    <w:qFormat/>
    <w:uiPriority w:val="0"/>
    <w:pPr>
      <w:spacing w:beforeLines="0" w:afterLines="0"/>
      <w:outlineLvl w:val="9"/>
    </w:pPr>
    <w:rPr>
      <w:rFonts w:ascii="宋体" w:hAnsi="黑体" w:eastAsia="宋体"/>
      <w:szCs w:val="52"/>
    </w:rPr>
  </w:style>
  <w:style w:type="paragraph" w:customStyle="1" w:styleId="170">
    <w:name w:val="标准文件_大写罗马数字编号列项"/>
    <w:basedOn w:val="58"/>
    <w:qFormat/>
    <w:uiPriority w:val="0"/>
    <w:pPr>
      <w:numPr>
        <w:ilvl w:val="0"/>
        <w:numId w:val="23"/>
      </w:numPr>
      <w:ind w:firstLine="0" w:firstLineChars="0"/>
    </w:pPr>
    <w:rPr>
      <w:rFonts w:ascii="Times New Roman" w:cs="Arial"/>
      <w:szCs w:val="28"/>
    </w:rPr>
  </w:style>
  <w:style w:type="paragraph" w:customStyle="1" w:styleId="171">
    <w:name w:val="标准文件_小写罗马数字编号列项"/>
    <w:basedOn w:val="58"/>
    <w:qFormat/>
    <w:uiPriority w:val="0"/>
    <w:pPr>
      <w:numPr>
        <w:ilvl w:val="0"/>
        <w:numId w:val="24"/>
      </w:numPr>
      <w:ind w:firstLine="0" w:firstLineChars="0"/>
    </w:pPr>
    <w:rPr>
      <w:rFonts w:cs="Arial"/>
      <w:szCs w:val="28"/>
    </w:rPr>
  </w:style>
  <w:style w:type="paragraph" w:customStyle="1" w:styleId="172">
    <w:name w:val="标准文件_附录标题"/>
    <w:basedOn w:val="78"/>
    <w:qFormat/>
    <w:uiPriority w:val="0"/>
    <w:pPr>
      <w:numPr>
        <w:numId w:val="0"/>
      </w:numPr>
      <w:spacing w:after="280"/>
      <w:outlineLvl w:val="9"/>
    </w:pPr>
  </w:style>
  <w:style w:type="paragraph" w:customStyle="1" w:styleId="173">
    <w:name w:val="标准文件_二级项"/>
    <w:qFormat/>
    <w:uiPriority w:val="0"/>
    <w:rPr>
      <w:rFonts w:ascii="宋体" w:hAnsi="Times New Roman" w:eastAsia="宋体" w:cs="Times New Roman"/>
      <w:sz w:val="21"/>
      <w:lang w:val="en-US" w:eastAsia="zh-CN" w:bidi="ar-SA"/>
    </w:rPr>
  </w:style>
  <w:style w:type="paragraph" w:customStyle="1" w:styleId="174">
    <w:name w:val="标准文件_三级项"/>
    <w:basedOn w:val="1"/>
    <w:qFormat/>
    <w:uiPriority w:val="0"/>
    <w:pPr>
      <w:numPr>
        <w:ilvl w:val="2"/>
        <w:numId w:val="21"/>
      </w:numPr>
      <w:spacing w:line="536870612" w:lineRule="auto"/>
    </w:pPr>
    <w:rPr>
      <w:rFonts w:ascii="Times New Roman" w:hAnsi="Times New Roman"/>
    </w:rPr>
  </w:style>
  <w:style w:type="paragraph" w:customStyle="1" w:styleId="175">
    <w:name w:val="图表脚注说明"/>
    <w:basedOn w:val="1"/>
    <w:next w:val="58"/>
    <w:qFormat/>
    <w:uiPriority w:val="0"/>
    <w:pPr>
      <w:numPr>
        <w:ilvl w:val="0"/>
        <w:numId w:val="25"/>
      </w:numPr>
      <w:adjustRightInd/>
      <w:spacing w:line="240" w:lineRule="auto"/>
    </w:pPr>
    <w:rPr>
      <w:rFonts w:ascii="宋体" w:hAnsi="Times New Roman"/>
      <w:sz w:val="18"/>
      <w:szCs w:val="18"/>
    </w:rPr>
  </w:style>
  <w:style w:type="paragraph" w:customStyle="1" w:styleId="176">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7">
    <w:name w:val="标准文件_索引字母"/>
    <w:next w:val="58"/>
    <w:qFormat/>
    <w:uiPriority w:val="0"/>
    <w:pPr>
      <w:jc w:val="center"/>
    </w:pPr>
    <w:rPr>
      <w:rFonts w:ascii="宋体" w:hAnsi="宋体" w:eastAsia="Times New Roman" w:cs="Times New Roman"/>
      <w:b/>
      <w:kern w:val="2"/>
      <w:sz w:val="21"/>
      <w:lang w:val="en-US" w:eastAsia="zh-CN" w:bidi="ar-SA"/>
    </w:rPr>
  </w:style>
  <w:style w:type="paragraph" w:customStyle="1" w:styleId="178">
    <w:name w:val="标准文件_附录前"/>
    <w:next w:val="58"/>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9">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80">
    <w:name w:val="标准文件_表格"/>
    <w:basedOn w:val="58"/>
    <w:qFormat/>
    <w:uiPriority w:val="0"/>
    <w:pPr>
      <w:ind w:firstLine="0" w:firstLineChars="0"/>
      <w:jc w:val="center"/>
    </w:pPr>
    <w:rPr>
      <w:sz w:val="18"/>
    </w:rPr>
  </w:style>
  <w:style w:type="paragraph" w:customStyle="1" w:styleId="181">
    <w:name w:val="标准文件_注："/>
    <w:next w:val="58"/>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3">
    <w:name w:val="标准文件_示例："/>
    <w:next w:val="184"/>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4">
    <w:name w:val="标准文件_示例内容"/>
    <w:basedOn w:val="58"/>
    <w:qFormat/>
    <w:uiPriority w:val="0"/>
    <w:pPr>
      <w:ind w:firstLine="420"/>
    </w:pPr>
    <w:rPr>
      <w:sz w:val="18"/>
    </w:rPr>
  </w:style>
  <w:style w:type="paragraph" w:customStyle="1" w:styleId="185">
    <w:name w:val="标准文件_示例×："/>
    <w:basedOn w:val="1"/>
    <w:next w:val="184"/>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6">
    <w:name w:val="标准文件_段 Char"/>
    <w:link w:val="58"/>
    <w:qFormat/>
    <w:uiPriority w:val="0"/>
    <w:rPr>
      <w:rFonts w:ascii="宋体" w:hAnsi="Times New Roman"/>
      <w:sz w:val="21"/>
    </w:rPr>
  </w:style>
  <w:style w:type="paragraph" w:customStyle="1" w:styleId="187">
    <w:name w:val="标准文件_表格续"/>
    <w:basedOn w:val="58"/>
    <w:next w:val="58"/>
    <w:qFormat/>
    <w:uiPriority w:val="0"/>
    <w:pPr>
      <w:jc w:val="center"/>
    </w:pPr>
    <w:rPr>
      <w:rFonts w:ascii="黑体" w:hAnsi="黑体" w:eastAsia="黑体"/>
    </w:rPr>
  </w:style>
  <w:style w:type="character" w:styleId="188">
    <w:name w:val="Placeholder Text"/>
    <w:basedOn w:val="28"/>
    <w:semiHidden/>
    <w:qFormat/>
    <w:uiPriority w:val="99"/>
    <w:rPr>
      <w:color w:val="808080"/>
    </w:rPr>
  </w:style>
  <w:style w:type="paragraph" w:customStyle="1" w:styleId="189">
    <w:name w:val="标准文件_二级项2"/>
    <w:basedOn w:val="58"/>
    <w:qFormat/>
    <w:uiPriority w:val="0"/>
    <w:pPr>
      <w:numPr>
        <w:ilvl w:val="1"/>
        <w:numId w:val="21"/>
      </w:numPr>
      <w:ind w:firstLine="0" w:firstLineChars="0"/>
    </w:pPr>
  </w:style>
  <w:style w:type="paragraph" w:customStyle="1" w:styleId="190">
    <w:name w:val="标准文件_三级项2"/>
    <w:basedOn w:val="58"/>
    <w:qFormat/>
    <w:uiPriority w:val="0"/>
    <w:pPr>
      <w:numPr>
        <w:ilvl w:val="0"/>
        <w:numId w:val="30"/>
      </w:numPr>
      <w:spacing w:line="300" w:lineRule="exact"/>
      <w:ind w:firstLineChars="0"/>
    </w:pPr>
    <w:rPr>
      <w:rFonts w:ascii="Times New Roman"/>
    </w:rPr>
  </w:style>
  <w:style w:type="paragraph" w:customStyle="1" w:styleId="191">
    <w:name w:val="标准文件_一级项2"/>
    <w:basedOn w:val="58"/>
    <w:qFormat/>
    <w:uiPriority w:val="0"/>
    <w:pPr>
      <w:numPr>
        <w:ilvl w:val="0"/>
        <w:numId w:val="31"/>
      </w:numPr>
      <w:spacing w:line="300" w:lineRule="exact"/>
      <w:ind w:firstLineChars="0"/>
    </w:pPr>
    <w:rPr>
      <w:rFonts w:ascii="Times New Roman"/>
    </w:rPr>
  </w:style>
  <w:style w:type="paragraph" w:customStyle="1" w:styleId="192">
    <w:name w:val="标准文件_提示"/>
    <w:basedOn w:val="58"/>
    <w:next w:val="58"/>
    <w:qFormat/>
    <w:uiPriority w:val="0"/>
    <w:pPr>
      <w:ind w:firstLine="420"/>
    </w:pPr>
    <w:rPr>
      <w:rFonts w:ascii="黑体" w:eastAsia="黑体"/>
    </w:rPr>
  </w:style>
  <w:style w:type="character" w:customStyle="1" w:styleId="193">
    <w:name w:val="标准文件_来源"/>
    <w:basedOn w:val="28"/>
    <w:qFormat/>
    <w:uiPriority w:val="1"/>
    <w:rPr>
      <w:rFonts w:eastAsia="宋体"/>
      <w:sz w:val="21"/>
    </w:rPr>
  </w:style>
  <w:style w:type="paragraph" w:customStyle="1" w:styleId="194">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5">
    <w:name w:val="其他发布日期"/>
    <w:basedOn w:val="122"/>
    <w:qFormat/>
    <w:uiPriority w:val="0"/>
    <w:pPr>
      <w:framePr w:w="3997" w:h="471" w:hRule="exact" w:hSpace="0" w:vSpace="181" w:vAnchor="page" w:hAnchor="page" w:x="1419" w:y="14097"/>
    </w:pPr>
  </w:style>
  <w:style w:type="paragraph" w:customStyle="1" w:styleId="196">
    <w:name w:val="其他实施日期"/>
    <w:basedOn w:val="156"/>
    <w:qFormat/>
    <w:uiPriority w:val="0"/>
    <w:pPr>
      <w:framePr w:w="3997" w:h="471" w:hRule="exact" w:vSpace="181" w:vAnchor="page" w:hAnchor="page" w:x="7089" w:y="14097"/>
    </w:pPr>
  </w:style>
  <w:style w:type="paragraph" w:customStyle="1" w:styleId="197">
    <w:name w:val="标准文件_文件编号"/>
    <w:basedOn w:val="58"/>
    <w:qFormat/>
    <w:uiPriority w:val="0"/>
    <w:pPr>
      <w:framePr w:w="9356" w:h="624" w:hRule="exact" w:hSpace="181" w:vSpace="181" w:wrap="around" w:vAnchor="page" w:hAnchor="page" w:x="1419" w:y="3284"/>
      <w:wordWrap w:val="0"/>
      <w:spacing w:line="280" w:lineRule="exact"/>
      <w:ind w:firstLine="0" w:firstLineChars="0"/>
      <w:jc w:val="right"/>
    </w:pPr>
    <w:rPr>
      <w:rFonts w:ascii="黑体" w:eastAsia="黑体"/>
      <w:bCs/>
      <w:sz w:val="28"/>
      <w:szCs w:val="28"/>
    </w:rPr>
  </w:style>
  <w:style w:type="paragraph" w:customStyle="1" w:styleId="198">
    <w:name w:val="标准文件_替换文件编号"/>
    <w:basedOn w:val="197"/>
    <w:qFormat/>
    <w:uiPriority w:val="0"/>
    <w:pPr>
      <w:spacing w:before="57"/>
    </w:pPr>
    <w:rPr>
      <w:sz w:val="21"/>
    </w:rPr>
  </w:style>
  <w:style w:type="paragraph" w:customStyle="1" w:styleId="199">
    <w:name w:val="标准文件_文件名称"/>
    <w:basedOn w:val="58"/>
    <w:next w:val="58"/>
    <w:qFormat/>
    <w:uiPriority w:val="0"/>
    <w:pPr>
      <w:framePr w:w="9639" w:h="6976" w:hRule="exact" w:wrap="around" w:vAnchor="page" w:hAnchor="page" w:y="6408"/>
      <w:autoSpaceDE/>
      <w:autoSpaceDN/>
      <w:spacing w:line="700" w:lineRule="exact"/>
      <w:ind w:firstLine="0" w:firstLineChars="0"/>
      <w:jc w:val="center"/>
    </w:pPr>
    <w:rPr>
      <w:rFonts w:ascii="黑体" w:hAnsi="黑体" w:eastAsia="黑体"/>
      <w:bCs/>
      <w:sz w:val="52"/>
    </w:rPr>
  </w:style>
  <w:style w:type="paragraph" w:customStyle="1" w:styleId="200">
    <w:name w:val="标准文件_附录图标号"/>
    <w:basedOn w:val="58"/>
    <w:next w:val="58"/>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1">
    <w:name w:val="标准文件_附录表标号"/>
    <w:basedOn w:val="58"/>
    <w:next w:val="58"/>
    <w:qFormat/>
    <w:uiPriority w:val="0"/>
    <w:pPr>
      <w:numPr>
        <w:ilvl w:val="0"/>
        <w:numId w:val="5"/>
      </w:numPr>
      <w:spacing w:line="14" w:lineRule="exact"/>
      <w:ind w:firstLine="0" w:firstLineChars="0"/>
      <w:jc w:val="center"/>
    </w:pPr>
    <w:rPr>
      <w:rFonts w:eastAsia="黑体"/>
      <w:vanish/>
      <w:sz w:val="2"/>
    </w:rPr>
  </w:style>
  <w:style w:type="paragraph" w:customStyle="1" w:styleId="202">
    <w:name w:val="标准文件_引言一级条标题"/>
    <w:basedOn w:val="58"/>
    <w:next w:val="58"/>
    <w:qFormat/>
    <w:uiPriority w:val="0"/>
    <w:pPr>
      <w:numPr>
        <w:ilvl w:val="1"/>
        <w:numId w:val="8"/>
      </w:numPr>
      <w:spacing w:beforeLines="50" w:afterLines="50"/>
      <w:ind w:firstLineChars="0"/>
    </w:pPr>
    <w:rPr>
      <w:rFonts w:ascii="黑体" w:eastAsia="黑体"/>
    </w:rPr>
  </w:style>
  <w:style w:type="paragraph" w:customStyle="1" w:styleId="203">
    <w:name w:val="标准文件_引言二级条标题"/>
    <w:basedOn w:val="58"/>
    <w:next w:val="58"/>
    <w:qFormat/>
    <w:uiPriority w:val="0"/>
    <w:pPr>
      <w:numPr>
        <w:ilvl w:val="2"/>
        <w:numId w:val="8"/>
      </w:numPr>
      <w:spacing w:beforeLines="50" w:afterLines="50"/>
      <w:ind w:firstLineChars="0"/>
    </w:pPr>
    <w:rPr>
      <w:rFonts w:ascii="黑体" w:eastAsia="黑体"/>
    </w:rPr>
  </w:style>
  <w:style w:type="paragraph" w:customStyle="1" w:styleId="204">
    <w:name w:val="标准文件_引言三级条标题"/>
    <w:basedOn w:val="58"/>
    <w:next w:val="58"/>
    <w:qFormat/>
    <w:uiPriority w:val="0"/>
    <w:pPr>
      <w:numPr>
        <w:ilvl w:val="3"/>
        <w:numId w:val="8"/>
      </w:numPr>
      <w:spacing w:beforeLines="50" w:afterLines="50"/>
      <w:ind w:firstLineChars="0"/>
    </w:pPr>
    <w:rPr>
      <w:rFonts w:ascii="黑体" w:eastAsia="黑体"/>
    </w:rPr>
  </w:style>
  <w:style w:type="paragraph" w:customStyle="1" w:styleId="205">
    <w:name w:val="标准文件_引言四级条标题"/>
    <w:basedOn w:val="58"/>
    <w:next w:val="58"/>
    <w:qFormat/>
    <w:uiPriority w:val="0"/>
    <w:pPr>
      <w:numPr>
        <w:ilvl w:val="4"/>
        <w:numId w:val="8"/>
      </w:numPr>
      <w:spacing w:beforeLines="50" w:afterLines="50"/>
      <w:ind w:firstLineChars="0"/>
    </w:pPr>
    <w:rPr>
      <w:rFonts w:ascii="黑体" w:eastAsia="黑体"/>
    </w:rPr>
  </w:style>
  <w:style w:type="paragraph" w:customStyle="1" w:styleId="206">
    <w:name w:val="标准文件_引言五级条标题"/>
    <w:basedOn w:val="58"/>
    <w:next w:val="58"/>
    <w:qFormat/>
    <w:uiPriority w:val="0"/>
    <w:pPr>
      <w:numPr>
        <w:ilvl w:val="5"/>
        <w:numId w:val="8"/>
      </w:numPr>
      <w:spacing w:beforeLines="50" w:afterLines="50"/>
      <w:ind w:firstLineChars="0"/>
    </w:pPr>
    <w:rPr>
      <w:rFonts w:ascii="黑体" w:eastAsia="黑体"/>
    </w:rPr>
  </w:style>
  <w:style w:type="paragraph" w:customStyle="1" w:styleId="207">
    <w:name w:val="标准文件_注后"/>
    <w:basedOn w:val="58"/>
    <w:qFormat/>
    <w:uiPriority w:val="0"/>
    <w:pPr>
      <w:ind w:left="811" w:firstLine="0" w:firstLineChars="0"/>
    </w:pPr>
    <w:rPr>
      <w:sz w:val="18"/>
    </w:rPr>
  </w:style>
  <w:style w:type="paragraph" w:customStyle="1" w:styleId="208">
    <w:name w:val="标准文件_注X后"/>
    <w:basedOn w:val="58"/>
    <w:qFormat/>
    <w:uiPriority w:val="0"/>
    <w:pPr>
      <w:ind w:left="811" w:firstLine="0" w:firstLineChars="0"/>
    </w:pPr>
    <w:rPr>
      <w:sz w:val="18"/>
    </w:rPr>
  </w:style>
  <w:style w:type="paragraph" w:customStyle="1" w:styleId="209">
    <w:name w:val="标准文件_示例后"/>
    <w:basedOn w:val="58"/>
    <w:qFormat/>
    <w:uiPriority w:val="0"/>
    <w:pPr>
      <w:ind w:left="964" w:firstLine="0" w:firstLineChars="0"/>
    </w:pPr>
    <w:rPr>
      <w:sz w:val="18"/>
    </w:rPr>
  </w:style>
  <w:style w:type="paragraph" w:customStyle="1" w:styleId="210">
    <w:name w:val="标准文件_示例X后"/>
    <w:basedOn w:val="58"/>
    <w:link w:val="211"/>
    <w:qFormat/>
    <w:uiPriority w:val="0"/>
    <w:pPr>
      <w:ind w:left="1049" w:firstLine="0" w:firstLineChars="0"/>
    </w:pPr>
    <w:rPr>
      <w:sz w:val="18"/>
    </w:rPr>
  </w:style>
  <w:style w:type="character" w:customStyle="1" w:styleId="211">
    <w:name w:val="标准文件_示例X后 字符"/>
    <w:basedOn w:val="186"/>
    <w:link w:val="210"/>
    <w:qFormat/>
    <w:uiPriority w:val="0"/>
    <w:rPr>
      <w:rFonts w:ascii="宋体" w:hAnsi="Times New Roman"/>
      <w:sz w:val="18"/>
    </w:rPr>
  </w:style>
  <w:style w:type="paragraph" w:customStyle="1" w:styleId="212">
    <w:name w:val="标准文件_索引项"/>
    <w:basedOn w:val="58"/>
    <w:next w:val="58"/>
    <w:qFormat/>
    <w:uiPriority w:val="0"/>
    <w:pPr>
      <w:tabs>
        <w:tab w:val="right" w:leader="dot" w:pos="9356"/>
      </w:tabs>
      <w:ind w:left="210" w:hanging="210" w:firstLineChars="0"/>
      <w:jc w:val="left"/>
    </w:pPr>
  </w:style>
  <w:style w:type="paragraph" w:customStyle="1" w:styleId="213">
    <w:name w:val="标准文件_附录一级无标题"/>
    <w:basedOn w:val="80"/>
    <w:qFormat/>
    <w:uiPriority w:val="0"/>
    <w:pPr>
      <w:spacing w:beforeLines="0" w:afterLines="0" w:line="276" w:lineRule="auto"/>
      <w:outlineLvl w:val="9"/>
    </w:pPr>
    <w:rPr>
      <w:rFonts w:ascii="宋体" w:eastAsia="宋体"/>
    </w:rPr>
  </w:style>
  <w:style w:type="paragraph" w:customStyle="1" w:styleId="214">
    <w:name w:val="标准文件_附录二级无标题"/>
    <w:basedOn w:val="81"/>
    <w:qFormat/>
    <w:uiPriority w:val="0"/>
    <w:pPr>
      <w:spacing w:beforeLines="0" w:afterLines="0" w:line="276" w:lineRule="auto"/>
      <w:outlineLvl w:val="9"/>
    </w:pPr>
    <w:rPr>
      <w:rFonts w:ascii="宋体" w:eastAsia="宋体"/>
    </w:rPr>
  </w:style>
  <w:style w:type="paragraph" w:customStyle="1" w:styleId="215">
    <w:name w:val="标准文件_附录三级无标题"/>
    <w:basedOn w:val="83"/>
    <w:qFormat/>
    <w:uiPriority w:val="0"/>
    <w:pPr>
      <w:spacing w:beforeLines="0" w:afterLines="0" w:line="276" w:lineRule="auto"/>
      <w:outlineLvl w:val="9"/>
    </w:pPr>
    <w:rPr>
      <w:rFonts w:ascii="宋体" w:eastAsia="宋体"/>
    </w:rPr>
  </w:style>
  <w:style w:type="paragraph" w:customStyle="1" w:styleId="216">
    <w:name w:val="标准文件_附录四级无标题"/>
    <w:basedOn w:val="84"/>
    <w:qFormat/>
    <w:uiPriority w:val="0"/>
    <w:pPr>
      <w:spacing w:beforeLines="0" w:afterLines="0" w:line="276" w:lineRule="auto"/>
      <w:outlineLvl w:val="9"/>
    </w:pPr>
    <w:rPr>
      <w:rFonts w:ascii="宋体" w:eastAsia="宋体"/>
    </w:rPr>
  </w:style>
  <w:style w:type="paragraph" w:customStyle="1" w:styleId="217">
    <w:name w:val="标准文件_附录五级无标题"/>
    <w:basedOn w:val="86"/>
    <w:qFormat/>
    <w:uiPriority w:val="0"/>
    <w:pPr>
      <w:spacing w:beforeLines="0" w:afterLines="0" w:line="276" w:lineRule="auto"/>
      <w:outlineLvl w:val="9"/>
    </w:pPr>
    <w:rPr>
      <w:rFonts w:ascii="宋体" w:eastAsia="宋体"/>
    </w:rPr>
  </w:style>
  <w:style w:type="paragraph" w:customStyle="1" w:styleId="218">
    <w:name w:val="标准文件_引言一级无标题"/>
    <w:basedOn w:val="202"/>
    <w:next w:val="58"/>
    <w:qFormat/>
    <w:uiPriority w:val="0"/>
    <w:pPr>
      <w:spacing w:beforeLines="0" w:afterLines="0" w:line="276" w:lineRule="auto"/>
    </w:pPr>
    <w:rPr>
      <w:rFonts w:ascii="宋体" w:eastAsia="宋体"/>
    </w:rPr>
  </w:style>
  <w:style w:type="paragraph" w:customStyle="1" w:styleId="219">
    <w:name w:val="标准文件_引言二级无标题"/>
    <w:basedOn w:val="203"/>
    <w:next w:val="58"/>
    <w:qFormat/>
    <w:uiPriority w:val="0"/>
    <w:pPr>
      <w:spacing w:beforeLines="0" w:afterLines="0" w:line="276" w:lineRule="auto"/>
    </w:pPr>
    <w:rPr>
      <w:rFonts w:ascii="宋体" w:eastAsia="宋体"/>
    </w:rPr>
  </w:style>
  <w:style w:type="paragraph" w:customStyle="1" w:styleId="220">
    <w:name w:val="标准文件_引言三级无标题"/>
    <w:basedOn w:val="204"/>
    <w:qFormat/>
    <w:uiPriority w:val="0"/>
    <w:pPr>
      <w:spacing w:beforeLines="0" w:afterLines="0" w:line="276" w:lineRule="auto"/>
    </w:pPr>
    <w:rPr>
      <w:rFonts w:ascii="宋体" w:eastAsia="宋体"/>
    </w:rPr>
  </w:style>
  <w:style w:type="paragraph" w:customStyle="1" w:styleId="221">
    <w:name w:val="标准文件_引言四级无标题"/>
    <w:basedOn w:val="205"/>
    <w:next w:val="58"/>
    <w:qFormat/>
    <w:uiPriority w:val="0"/>
    <w:pPr>
      <w:spacing w:beforeLines="0" w:afterLines="0" w:line="276" w:lineRule="auto"/>
    </w:pPr>
    <w:rPr>
      <w:rFonts w:ascii="宋体" w:eastAsia="宋体"/>
    </w:rPr>
  </w:style>
  <w:style w:type="paragraph" w:customStyle="1" w:styleId="222">
    <w:name w:val="标准文件_引言五级无标题"/>
    <w:basedOn w:val="206"/>
    <w:next w:val="58"/>
    <w:qFormat/>
    <w:uiPriority w:val="0"/>
    <w:pPr>
      <w:spacing w:beforeLines="0" w:afterLines="0" w:line="276" w:lineRule="auto"/>
    </w:pPr>
    <w:rPr>
      <w:rFonts w:ascii="宋体" w:eastAsia="宋体"/>
    </w:rPr>
  </w:style>
  <w:style w:type="paragraph" w:customStyle="1" w:styleId="223">
    <w:name w:val="标准文件_索引标题"/>
    <w:basedOn w:val="65"/>
    <w:next w:val="58"/>
    <w:qFormat/>
    <w:uiPriority w:val="0"/>
    <w:rPr>
      <w:rFonts w:hAnsi="黑体"/>
    </w:rPr>
  </w:style>
  <w:style w:type="paragraph" w:customStyle="1" w:styleId="224">
    <w:name w:val="标准文件_脚注内容"/>
    <w:basedOn w:val="58"/>
    <w:qFormat/>
    <w:uiPriority w:val="0"/>
    <w:pPr>
      <w:ind w:left="400" w:leftChars="200" w:hanging="200" w:hangingChars="200"/>
    </w:pPr>
    <w:rPr>
      <w:sz w:val="15"/>
    </w:rPr>
  </w:style>
  <w:style w:type="paragraph" w:customStyle="1" w:styleId="225">
    <w:name w:val="标准文件_术语条一"/>
    <w:basedOn w:val="164"/>
    <w:next w:val="58"/>
    <w:qFormat/>
    <w:uiPriority w:val="0"/>
  </w:style>
  <w:style w:type="paragraph" w:customStyle="1" w:styleId="226">
    <w:name w:val="标准文件_术语条二"/>
    <w:basedOn w:val="167"/>
    <w:next w:val="58"/>
    <w:qFormat/>
    <w:uiPriority w:val="0"/>
  </w:style>
  <w:style w:type="paragraph" w:customStyle="1" w:styleId="227">
    <w:name w:val="标准文件_术语条三"/>
    <w:basedOn w:val="166"/>
    <w:next w:val="58"/>
    <w:qFormat/>
    <w:uiPriority w:val="0"/>
  </w:style>
  <w:style w:type="paragraph" w:customStyle="1" w:styleId="228">
    <w:name w:val="标准文件_术语条四"/>
    <w:basedOn w:val="169"/>
    <w:next w:val="58"/>
    <w:qFormat/>
    <w:uiPriority w:val="0"/>
  </w:style>
  <w:style w:type="paragraph" w:customStyle="1" w:styleId="229">
    <w:name w:val="标准文件_术语条五"/>
    <w:basedOn w:val="165"/>
    <w:next w:val="58"/>
    <w:qFormat/>
    <w:uiPriority w:val="0"/>
  </w:style>
  <w:style w:type="paragraph" w:customStyle="1" w:styleId="230">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1">
    <w:name w:val="发布"/>
    <w:basedOn w:val="28"/>
    <w:qFormat/>
    <w:uiPriority w:val="0"/>
    <w:rPr>
      <w:rFonts w:ascii="黑体" w:eastAsia="黑体"/>
      <w:spacing w:val="85"/>
      <w:w w:val="100"/>
      <w:position w:val="3"/>
      <w:sz w:val="28"/>
      <w:szCs w:val="28"/>
    </w:rPr>
  </w:style>
  <w:style w:type="character" w:customStyle="1" w:styleId="232">
    <w:name w:val="文档结构图 Char"/>
    <w:basedOn w:val="28"/>
    <w:link w:val="13"/>
    <w:semiHidden/>
    <w:qFormat/>
    <w:uiPriority w:val="99"/>
    <w:rPr>
      <w:rFonts w:ascii="宋体"/>
      <w:kern w:val="2"/>
      <w:sz w:val="18"/>
      <w:szCs w:val="18"/>
    </w:rPr>
  </w:style>
  <w:style w:type="character" w:customStyle="1" w:styleId="233">
    <w:name w:val="段 Char"/>
    <w:link w:val="234"/>
    <w:qFormat/>
    <w:locked/>
    <w:uiPriority w:val="0"/>
    <w:rPr>
      <w:rFonts w:ascii="宋体" w:hAnsi="Times New Roman"/>
      <w:sz w:val="21"/>
    </w:rPr>
  </w:style>
  <w:style w:type="paragraph" w:customStyle="1" w:styleId="234">
    <w:name w:val="段"/>
    <w:link w:val="233"/>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235">
    <w:name w:val="列项——（一级）"/>
    <w:qFormat/>
    <w:uiPriority w:val="0"/>
    <w:pPr>
      <w:widowControl w:val="0"/>
      <w:ind w:left="833" w:hanging="408"/>
      <w:jc w:val="both"/>
    </w:pPr>
    <w:rPr>
      <w:rFonts w:ascii="宋体" w:hAnsi="Times New Roman" w:eastAsia="宋体" w:cs="Times New Roman"/>
      <w:sz w:val="21"/>
      <w:lang w:val="en-US" w:eastAsia="zh-CN" w:bidi="ar-SA"/>
    </w:rPr>
  </w:style>
  <w:style w:type="paragraph" w:customStyle="1" w:styleId="236">
    <w:name w:val="修订1"/>
    <w:hidden/>
    <w:semiHidden/>
    <w:qFormat/>
    <w:uiPriority w:val="99"/>
    <w:rPr>
      <w:rFonts w:ascii="Calibri" w:hAnsi="Calibri"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8" Type="http://schemas.openxmlformats.org/officeDocument/2006/relationships/glossaryDocument" Target="glossary/document.xml"/><Relationship Id="rId77" Type="http://schemas.openxmlformats.org/officeDocument/2006/relationships/fontTable" Target="fontTable.xml"/><Relationship Id="rId76" Type="http://schemas.openxmlformats.org/officeDocument/2006/relationships/numbering" Target="numbering.xml"/><Relationship Id="rId75" Type="http://schemas.openxmlformats.org/officeDocument/2006/relationships/customXml" Target="../customXml/item1.xml"/><Relationship Id="rId74" Type="http://schemas.openxmlformats.org/officeDocument/2006/relationships/image" Target="media/image62.jpeg"/><Relationship Id="rId73" Type="http://schemas.openxmlformats.org/officeDocument/2006/relationships/image" Target="media/image61.png"/><Relationship Id="rId72" Type="http://schemas.openxmlformats.org/officeDocument/2006/relationships/image" Target="media/image60.jpeg"/><Relationship Id="rId71" Type="http://schemas.openxmlformats.org/officeDocument/2006/relationships/image" Target="media/image59.png"/><Relationship Id="rId70" Type="http://schemas.openxmlformats.org/officeDocument/2006/relationships/image" Target="media/image58.png"/><Relationship Id="rId7" Type="http://schemas.openxmlformats.org/officeDocument/2006/relationships/footer" Target="footer2.xml"/><Relationship Id="rId69" Type="http://schemas.openxmlformats.org/officeDocument/2006/relationships/image" Target="media/image57.png"/><Relationship Id="rId68" Type="http://schemas.openxmlformats.org/officeDocument/2006/relationships/image" Target="media/image56.png"/><Relationship Id="rId67" Type="http://schemas.openxmlformats.org/officeDocument/2006/relationships/image" Target="media/image55.png"/><Relationship Id="rId66" Type="http://schemas.openxmlformats.org/officeDocument/2006/relationships/image" Target="media/image54.png"/><Relationship Id="rId65" Type="http://schemas.openxmlformats.org/officeDocument/2006/relationships/image" Target="media/image53.png"/><Relationship Id="rId64" Type="http://schemas.openxmlformats.org/officeDocument/2006/relationships/image" Target="media/image52.png"/><Relationship Id="rId63" Type="http://schemas.openxmlformats.org/officeDocument/2006/relationships/image" Target="media/image51.png"/><Relationship Id="rId62" Type="http://schemas.openxmlformats.org/officeDocument/2006/relationships/image" Target="media/image50.png"/><Relationship Id="rId61" Type="http://schemas.openxmlformats.org/officeDocument/2006/relationships/image" Target="media/image49.png"/><Relationship Id="rId60" Type="http://schemas.openxmlformats.org/officeDocument/2006/relationships/image" Target="media/image48.png"/><Relationship Id="rId6" Type="http://schemas.openxmlformats.org/officeDocument/2006/relationships/footer" Target="footer1.xml"/><Relationship Id="rId59" Type="http://schemas.openxmlformats.org/officeDocument/2006/relationships/image" Target="media/image47.png"/><Relationship Id="rId58" Type="http://schemas.openxmlformats.org/officeDocument/2006/relationships/image" Target="media/image46.png"/><Relationship Id="rId57" Type="http://schemas.openxmlformats.org/officeDocument/2006/relationships/image" Target="media/image45.png"/><Relationship Id="rId56" Type="http://schemas.openxmlformats.org/officeDocument/2006/relationships/image" Target="media/image44.png"/><Relationship Id="rId55" Type="http://schemas.openxmlformats.org/officeDocument/2006/relationships/image" Target="media/image43.png"/><Relationship Id="rId54" Type="http://schemas.openxmlformats.org/officeDocument/2006/relationships/image" Target="media/image42.png"/><Relationship Id="rId53" Type="http://schemas.openxmlformats.org/officeDocument/2006/relationships/image" Target="media/image41.png"/><Relationship Id="rId52" Type="http://schemas.openxmlformats.org/officeDocument/2006/relationships/image" Target="media/image40.png"/><Relationship Id="rId51" Type="http://schemas.openxmlformats.org/officeDocument/2006/relationships/image" Target="media/image39.png"/><Relationship Id="rId50" Type="http://schemas.openxmlformats.org/officeDocument/2006/relationships/image" Target="media/image38.png"/><Relationship Id="rId5" Type="http://schemas.openxmlformats.org/officeDocument/2006/relationships/header" Target="header3.xml"/><Relationship Id="rId49" Type="http://schemas.openxmlformats.org/officeDocument/2006/relationships/image" Target="media/image37.png"/><Relationship Id="rId48" Type="http://schemas.openxmlformats.org/officeDocument/2006/relationships/image" Target="media/image36.png"/><Relationship Id="rId47" Type="http://schemas.openxmlformats.org/officeDocument/2006/relationships/image" Target="media/image35.png"/><Relationship Id="rId46" Type="http://schemas.openxmlformats.org/officeDocument/2006/relationships/image" Target="media/image34.png"/><Relationship Id="rId45" Type="http://schemas.openxmlformats.org/officeDocument/2006/relationships/image" Target="media/image33.png"/><Relationship Id="rId44" Type="http://schemas.openxmlformats.org/officeDocument/2006/relationships/image" Target="media/image32.png"/><Relationship Id="rId43" Type="http://schemas.openxmlformats.org/officeDocument/2006/relationships/image" Target="media/image31.png"/><Relationship Id="rId42" Type="http://schemas.openxmlformats.org/officeDocument/2006/relationships/image" Target="media/image30.png"/><Relationship Id="rId41" Type="http://schemas.openxmlformats.org/officeDocument/2006/relationships/image" Target="media/image29.png"/><Relationship Id="rId40" Type="http://schemas.openxmlformats.org/officeDocument/2006/relationships/image" Target="media/image28.png"/><Relationship Id="rId4" Type="http://schemas.openxmlformats.org/officeDocument/2006/relationships/header" Target="header2.xml"/><Relationship Id="rId39" Type="http://schemas.openxmlformats.org/officeDocument/2006/relationships/image" Target="media/image27.png"/><Relationship Id="rId38" Type="http://schemas.openxmlformats.org/officeDocument/2006/relationships/image" Target="media/image26.png"/><Relationship Id="rId37" Type="http://schemas.openxmlformats.org/officeDocument/2006/relationships/image" Target="media/image25.png"/><Relationship Id="rId36" Type="http://schemas.openxmlformats.org/officeDocument/2006/relationships/image" Target="media/image24.png"/><Relationship Id="rId35" Type="http://schemas.openxmlformats.org/officeDocument/2006/relationships/image" Target="media/image23.png"/><Relationship Id="rId34" Type="http://schemas.openxmlformats.org/officeDocument/2006/relationships/image" Target="media/image22.png"/><Relationship Id="rId33" Type="http://schemas.openxmlformats.org/officeDocument/2006/relationships/image" Target="media/image21.png"/><Relationship Id="rId32" Type="http://schemas.openxmlformats.org/officeDocument/2006/relationships/image" Target="media/image20.png"/><Relationship Id="rId31" Type="http://schemas.openxmlformats.org/officeDocument/2006/relationships/image" Target="media/image19.png"/><Relationship Id="rId30" Type="http://schemas.openxmlformats.org/officeDocument/2006/relationships/image" Target="media/image18.png"/><Relationship Id="rId3" Type="http://schemas.openxmlformats.org/officeDocument/2006/relationships/header" Target="header1.xml"/><Relationship Id="rId29" Type="http://schemas.openxmlformats.org/officeDocument/2006/relationships/image" Target="media/image17.png"/><Relationship Id="rId28" Type="http://schemas.openxmlformats.org/officeDocument/2006/relationships/image" Target="media/image16.png"/><Relationship Id="rId27" Type="http://schemas.openxmlformats.org/officeDocument/2006/relationships/image" Target="media/image15.png"/><Relationship Id="rId26" Type="http://schemas.openxmlformats.org/officeDocument/2006/relationships/image" Target="media/image14.pn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png"/><Relationship Id="rId22" Type="http://schemas.openxmlformats.org/officeDocument/2006/relationships/image" Target="media/image10.png"/><Relationship Id="rId21" Type="http://schemas.openxmlformats.org/officeDocument/2006/relationships/image" Target="media/image9.png"/><Relationship Id="rId20" Type="http://schemas.openxmlformats.org/officeDocument/2006/relationships/image" Target="media/image8.pn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png"/><Relationship Id="rId12" Type="http://schemas.openxmlformats.org/officeDocument/2006/relationships/theme" Target="theme/theme1.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120126ACA27F4FEDA10EFAF4CF6556DD"/>
        <w:style w:val=""/>
        <w:category>
          <w:name w:val="常规"/>
          <w:gallery w:val="placeholder"/>
        </w:category>
        <w:types>
          <w:type w:val="bbPlcHdr"/>
        </w:types>
        <w:behaviors>
          <w:behavior w:val="content"/>
        </w:behaviors>
        <w:description w:val=""/>
        <w:guid w:val="{8291A9BF-70BA-483F-8822-F6F05C650A5C}"/>
      </w:docPartPr>
      <w:docPartBody>
        <w:p>
          <w:pPr>
            <w:pStyle w:val="5"/>
          </w:pPr>
          <w:r>
            <w:rPr>
              <w:rStyle w:val="4"/>
              <w:rFonts w:hint="eastAsia"/>
            </w:rPr>
            <w:t>单击或点击此处输入文字。</w:t>
          </w:r>
        </w:p>
      </w:docPartBody>
    </w:docPart>
    <w:docPart>
      <w:docPartPr>
        <w:name w:val="7C5E4FFB1CD64485A9FF24A6EA885D87"/>
        <w:style w:val=""/>
        <w:category>
          <w:name w:val="常规"/>
          <w:gallery w:val="placeholder"/>
        </w:category>
        <w:types>
          <w:type w:val="bbPlcHdr"/>
        </w:types>
        <w:behaviors>
          <w:behavior w:val="content"/>
        </w:behaviors>
        <w:description w:val=""/>
        <w:guid w:val="{1010E8C7-3878-42F0-B848-F5EDD35C5413}"/>
      </w:docPartPr>
      <w:docPartBody>
        <w:p>
          <w:pPr>
            <w:pStyle w:val="6"/>
          </w:pPr>
          <w:r>
            <w:rPr>
              <w:rStyle w:val="4"/>
              <w:rFonts w:hint="eastAsia"/>
            </w:rPr>
            <w:t>选择一项。</w:t>
          </w:r>
        </w:p>
      </w:docPartBody>
    </w:docPart>
    <w:docPart>
      <w:docPartPr>
        <w:name w:val="5C792DA1FF6D4CD59500CE10E3DCBB93"/>
        <w:style w:val=""/>
        <w:category>
          <w:name w:val="常规"/>
          <w:gallery w:val="placeholder"/>
        </w:category>
        <w:types>
          <w:type w:val="bbPlcHdr"/>
        </w:types>
        <w:behaviors>
          <w:behavior w:val="content"/>
        </w:behaviors>
        <w:description w:val=""/>
        <w:guid w:val="{4435E02D-7546-49E9-B485-C92549B6A139}"/>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DejaVu Sans">
    <w:panose1 w:val="020B0603030804020204"/>
    <w:charset w:val="00"/>
    <w:family w:val="roman"/>
    <w:pitch w:val="default"/>
    <w:sig w:usb0="E7006EFF" w:usb1="D200FDFF" w:usb2="0A246029" w:usb3="0400200C" w:csb0="600001FF" w:csb1="DFFF0000"/>
  </w:font>
  <w:font w:name="方正书宋_GBK">
    <w:panose1 w:val="02000000000000000000"/>
    <w:charset w:val="86"/>
    <w:family w:val="auto"/>
    <w:pitch w:val="default"/>
    <w:sig w:usb0="00000001" w:usb1="08000000" w:usb2="00000000" w:usb3="00000000" w:csb0="00040000" w:csb1="00000000"/>
  </w:font>
  <w:font w:name="方正黑体_GBK">
    <w:panose1 w:val="02000000000000000000"/>
    <w:charset w:val="86"/>
    <w:family w:val="auto"/>
    <w:pitch w:val="default"/>
    <w:sig w:usb0="00000001" w:usb1="08000000" w:usb2="00000000" w:usb3="00000000" w:csb0="00040000" w:csb1="00000000"/>
  </w:font>
  <w:font w:name="Calibri">
    <w:altName w:val="DejaVu Sans"/>
    <w:panose1 w:val="020F0502020204030204"/>
    <w:charset w:val="00"/>
    <w:family w:val="swiss"/>
    <w:pitch w:val="default"/>
    <w:sig w:usb0="00000000" w:usb1="00000000" w:usb2="00000001" w:usb3="00000000" w:csb0="0000019F" w:csb1="00000000"/>
  </w:font>
  <w:font w:name="等线">
    <w:altName w:val="仿宋"/>
    <w:panose1 w:val="00000000000000000000"/>
    <w:charset w:val="86"/>
    <w:family w:val="auto"/>
    <w:pitch w:val="default"/>
    <w:sig w:usb0="00000000" w:usb1="00000000" w:usb2="00000000" w:usb3="00000000" w:csb0="00000000" w:csb1="00000000"/>
  </w:font>
  <w:font w:name="等线">
    <w:altName w:val="仿宋"/>
    <w:panose1 w:val="00000000000000000000"/>
    <w:charset w:val="86"/>
    <w:family w:val="auto"/>
    <w:pitch w:val="default"/>
    <w:sig w:usb0="00000000" w:usb1="00000000" w:usb2="00000000" w:usb3="00000000" w:csb0="00000000" w:csb1="00000000"/>
  </w:font>
  <w:font w:name="等线">
    <w:altName w:val="PakType Naskh Basic"/>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E95FAD"/>
    <w:rsid w:val="00077020"/>
    <w:rsid w:val="00136375"/>
    <w:rsid w:val="003D714A"/>
    <w:rsid w:val="00457BEA"/>
    <w:rsid w:val="005F52A3"/>
    <w:rsid w:val="0061469D"/>
    <w:rsid w:val="00665595"/>
    <w:rsid w:val="00745306"/>
    <w:rsid w:val="00810119"/>
    <w:rsid w:val="00A14E37"/>
    <w:rsid w:val="00AE74AC"/>
    <w:rsid w:val="00B41581"/>
    <w:rsid w:val="00B65240"/>
    <w:rsid w:val="00BA3ED9"/>
    <w:rsid w:val="00C43606"/>
    <w:rsid w:val="00C57EB3"/>
    <w:rsid w:val="00C63E34"/>
    <w:rsid w:val="00CE48CF"/>
    <w:rsid w:val="00D84DE9"/>
    <w:rsid w:val="00E95FAD"/>
    <w:rsid w:val="00F07A51"/>
    <w:rsid w:val="00F440D0"/>
    <w:rsid w:val="00F968C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qFormat/>
    <w:uiPriority w:val="1"/>
  </w:style>
  <w:style w:type="table" w:default="1" w:styleId="3">
    <w:name w:val="Normal Table"/>
    <w:semiHidden/>
    <w:unhideWhenUsed/>
    <w:qFormat/>
    <w:uiPriority w:val="99"/>
    <w:tblPr>
      <w:tblLayout w:type="fixed"/>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120126ACA27F4FEDA10EFAF4CF6556DD"/>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7C5E4FFB1CD64485A9FF24A6EA885D87"/>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5C792DA1FF6D4CD59500CE10E3DCBB93"/>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F8FAFD"/>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7"/>
    <customShpInfo spid="_x0000_s1026"/>
    <customShpInfo spid="_x0000_s1079"/>
    <customShpInfo spid="_x0000_s1078"/>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PCMI</Company>
  <Pages>38</Pages>
  <Words>2229</Words>
  <Characters>12710</Characters>
  <Lines>105</Lines>
  <Paragraphs>29</Paragraphs>
  <TotalTime>44</TotalTime>
  <ScaleCrop>false</ScaleCrop>
  <LinksUpToDate>false</LinksUpToDate>
  <CharactersWithSpaces>14910</CharactersWithSpaces>
  <Application>WPS Office_10.1.0.7323_F1E327BC-269C-435d-A152-05C5408002CA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2023-05-21T23:35:00Z</dcterms:created>
  <dc:creator>1234</dc:creator>
  <cp:lastModifiedBy>聂明学:返回拟稿人</cp:lastModifiedBy>
  <cp:lastPrinted>2023-07-21T00:51:00Z</cp:lastPrinted>
  <dcterms:modified xsi:type="dcterms:W3CDTF">2023-07-24T11:10:13Z</dcterms:modified>
  <dc:title>行业标准</dc:title>
  <cp:revision>42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行业标准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2052-10.1.0.7323</vt:lpwstr>
  </property>
</Properties>
</file>