
<file path=[Content_Types].xml><?xml version="1.0" encoding="utf-8"?>
<Types xmlns="http://schemas.openxmlformats.org/package/2006/content-types">
  <Default Extension="xml" ContentType="application/xml"/>
  <Default Extension="wmf" ContentType="image/x-wmf"/>
  <Default Extension="png" ContentType="image/png"/>
  <Default Extension="tiff" ContentType="image/tif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207" w:y="499"/>
              <w:tabs>
                <w:tab w:val="clear" w:pos="4153"/>
                <w:tab w:val="clear" w:pos="8306"/>
              </w:tabs>
              <w:spacing w:line="240" w:lineRule="auto"/>
              <w:jc w:val="left"/>
              <w:rPr>
                <w:rFonts w:ascii="黑体" w:hAnsi="黑体" w:eastAsia="黑体"/>
                <w:sz w:val="21"/>
                <w:szCs w:val="21"/>
              </w:rPr>
            </w:pPr>
            <w:r>
              <w:rPr>
                <w:rFonts w:ascii="黑体" w:hAnsi="黑体" w:eastAsia="黑体"/>
                <w:sz w:val="21"/>
                <w:szCs w:val="21"/>
              </w:rPr>
              <w:t xml:space="preserve">ICS  </w:t>
            </w:r>
          </w:p>
        </w:tc>
        <w:tc>
          <w:tcPr>
            <w:tcW w:w="8855" w:type="dxa"/>
          </w:tcPr>
          <w:p>
            <w:pPr>
              <w:pStyle w:val="20"/>
              <w:framePr w:wrap="notBeside" w:vAnchor="page" w:hAnchor="page" w:x="1207" w:y="499"/>
              <w:tabs>
                <w:tab w:val="clear" w:pos="4153"/>
                <w:tab w:val="clear" w:pos="8306"/>
              </w:tabs>
              <w:spacing w:line="240" w:lineRule="auto"/>
              <w:ind w:left="2"/>
              <w:jc w:val="both"/>
              <w:rPr>
                <w:rFonts w:ascii="黑体" w:hAnsi="黑体" w:eastAsia="黑体"/>
                <w:sz w:val="21"/>
                <w:szCs w:val="21"/>
              </w:rPr>
            </w:pPr>
            <w:r>
              <w:rPr>
                <w:rFonts w:ascii="黑体" w:hAnsi="黑体" w:eastAsia="黑体"/>
                <w:sz w:val="21"/>
                <w:szCs w:val="21"/>
              </w:rPr>
              <w:t>91.060.01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207" w:y="499"/>
              <w:tabs>
                <w:tab w:val="clear" w:pos="4153"/>
                <w:tab w:val="clear" w:pos="8306"/>
              </w:tabs>
              <w:spacing w:before="35" w:line="240" w:lineRule="auto"/>
              <w:jc w:val="left"/>
              <w:rPr>
                <w:rFonts w:ascii="黑体" w:hAnsi="黑体" w:eastAsia="黑体"/>
                <w:sz w:val="21"/>
                <w:szCs w:val="21"/>
              </w:rPr>
            </w:pPr>
            <w:r>
              <w:rPr>
                <w:rFonts w:ascii="黑体" w:hAnsi="黑体" w:eastAsia="黑体"/>
                <w:sz w:val="21"/>
                <w:szCs w:val="21"/>
              </w:rPr>
              <w:t xml:space="preserve">CCS  </w:t>
            </w:r>
          </w:p>
        </w:tc>
        <w:tc>
          <w:tcPr>
            <w:tcW w:w="8855" w:type="dxa"/>
          </w:tcPr>
          <w:p>
            <w:pPr>
              <w:pStyle w:val="20"/>
              <w:framePr w:wrap="notBeside" w:vAnchor="page" w:hAnchor="page" w:x="1207" w:y="499"/>
              <w:tabs>
                <w:tab w:val="clear" w:pos="4153"/>
                <w:tab w:val="clear" w:pos="8306"/>
              </w:tabs>
              <w:spacing w:before="35"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Q 70"/>
                  </w:textInput>
                </w:ffData>
              </w:fldChar>
            </w:r>
            <w:r>
              <w:rPr>
                <w:rFonts w:ascii="黑体" w:hAnsi="黑体" w:eastAsia="黑体"/>
                <w:sz w:val="21"/>
                <w:szCs w:val="21"/>
              </w:rPr>
              <w:instrText xml:space="preserve"> </w:instrText>
            </w:r>
            <w:bookmarkStart w:id="0" w:name="CSDN"/>
            <w:r>
              <w:rPr>
                <w:rFonts w:ascii="黑体" w:hAnsi="黑体" w:eastAsia="黑体"/>
                <w:sz w:val="21"/>
                <w:szCs w:val="21"/>
              </w:rPr>
              <w:instrText xml:space="preserve">FORMTEXT </w:instrText>
            </w:r>
            <w:r>
              <w:rPr>
                <w:rFonts w:ascii="黑体" w:hAnsi="黑体" w:eastAsia="黑体"/>
                <w:sz w:val="21"/>
                <w:szCs w:val="21"/>
              </w:rPr>
              <w:fldChar w:fldCharType="separate"/>
            </w:r>
            <w:r>
              <w:rPr>
                <w:rFonts w:ascii="黑体" w:hAnsi="黑体" w:eastAsia="黑体"/>
                <w:sz w:val="21"/>
                <w:szCs w:val="21"/>
              </w:rPr>
              <w:t>Q 70</w:t>
            </w:r>
            <w:r>
              <w:rPr>
                <w:rFonts w:ascii="黑体" w:hAnsi="黑体" w:eastAsia="黑体"/>
                <w:sz w:val="21"/>
                <w:szCs w:val="21"/>
              </w:rPr>
              <w:fldChar w:fldCharType="end"/>
            </w:r>
            <w:bookmarkEnd w:id="0"/>
          </w:p>
        </w:tc>
      </w:tr>
    </w:tbl>
    <w:p>
      <w:pPr>
        <w:pStyle w:val="56"/>
        <w:framePr w:w="9583" w:h="601" w:hRule="exact" w:hSpace="159" w:vSpace="159" w:wrap="around" w:hAnchor="page" w:x="1246" w:y="1981"/>
      </w:pPr>
      <w:bookmarkStart w:id="1" w:name="_Hlk26473981"/>
      <w:r>
        <w:rPr>
          <w:rFonts w:hint="eastAsia"/>
        </w:rPr>
        <w:t>中华人民共和国国家标准</w:t>
      </w:r>
    </w:p>
    <w:bookmarkEnd w:id="1"/>
    <w:p>
      <w:pPr>
        <w:pStyle w:val="201"/>
        <w:framePr/>
        <w:rPr>
          <w:lang w:val="fr-FR"/>
        </w:rPr>
      </w:pPr>
      <w:r>
        <w:fldChar w:fldCharType="begin">
          <w:ffData>
            <w:name w:val="文字1"/>
            <w:enabled/>
            <w:calcOnExit w:val="0"/>
            <w:textInput>
              <w:default w:val="GB/T"/>
            </w:textInput>
          </w:ffData>
        </w:fldChar>
      </w:r>
      <w:bookmarkStart w:id="2" w:name="文字1"/>
      <w:r>
        <w:rPr>
          <w:lang w:val="fr-FR"/>
        </w:rPr>
        <w:instrText xml:space="preserve"> FORMTEXT </w:instrText>
      </w:r>
      <w:r>
        <w:fldChar w:fldCharType="separate"/>
      </w:r>
      <w:r>
        <w:rPr>
          <w:lang w:val="fr-FR"/>
        </w:rPr>
        <w:t>GB/T</w:t>
      </w:r>
      <w:r>
        <w:fldChar w:fldCharType="end"/>
      </w:r>
      <w:bookmarkEnd w:id="2"/>
      <w:r>
        <w:rPr>
          <w:lang w:val="fr-FR"/>
        </w:rPr>
        <w:t xml:space="preserve"> </w:t>
      </w:r>
      <w:r>
        <w:fldChar w:fldCharType="begin">
          <w:ffData>
            <w:name w:val="NSTD_CODE_F"/>
            <w:enabled/>
            <w:calcOnExit w:val="0"/>
            <w:textInput>
              <w:default w:val="XXXXX"/>
            </w:textInput>
          </w:ffData>
        </w:fldChar>
      </w:r>
      <w:bookmarkStart w:id="3" w:name="NSTD_CODE_F"/>
      <w:r>
        <w:rPr>
          <w:lang w:val="fr-FR"/>
        </w:rPr>
        <w:instrText xml:space="preserve"> FORMTEXT </w:instrText>
      </w:r>
      <w:r>
        <w:fldChar w:fldCharType="separate"/>
      </w:r>
      <w:r>
        <w:t>37267</w:t>
      </w:r>
      <w:r>
        <w:fldChar w:fldCharType="end"/>
      </w:r>
      <w:bookmarkEnd w:id="3"/>
      <w:r>
        <w:rPr>
          <w:rFonts w:hAnsi="黑体"/>
          <w:lang w:val="fr-FR"/>
        </w:rPr>
        <w:t>—</w:t>
      </w:r>
      <w:r>
        <w:fldChar w:fldCharType="begin">
          <w:ffData>
            <w:name w:val="NSTD_CODE_B"/>
            <w:enabled/>
            <w:calcOnExit w:val="0"/>
            <w:textInput>
              <w:default w:val="XXXX"/>
            </w:textInput>
          </w:ffData>
        </w:fldChar>
      </w:r>
      <w:bookmarkStart w:id="4" w:name="NSTD_CODE_B"/>
      <w:r>
        <w:rPr>
          <w:lang w:val="fr-FR"/>
        </w:rPr>
        <w:instrText xml:space="preserve"> FORMTEXT </w:instrText>
      </w:r>
      <w:r>
        <w:fldChar w:fldCharType="separate"/>
      </w:r>
      <w:r>
        <w:t>XXXX</w:t>
      </w:r>
      <w:r>
        <w:fldChar w:fldCharType="end"/>
      </w:r>
      <w:bookmarkEnd w:id="4"/>
    </w:p>
    <w:p>
      <w:pPr>
        <w:pStyle w:val="202"/>
        <w:framePr/>
        <w:rPr>
          <w:rFonts w:hAnsi="黑体"/>
        </w:rPr>
      </w:pPr>
      <w:r>
        <w:rPr>
          <w:rFonts w:hAnsi="黑体"/>
        </w:rPr>
        <w:t>代替</w:t>
      </w:r>
      <w:r>
        <w:rPr>
          <w:rFonts w:hint="eastAsia" w:hAnsi="黑体"/>
        </w:rPr>
        <w:t>G</w:t>
      </w:r>
      <w:r>
        <w:rPr>
          <w:rFonts w:hAnsi="黑体"/>
        </w:rPr>
        <w:t>B/T 37267</w:t>
      </w:r>
      <w:r>
        <w:rPr>
          <w:rFonts w:hAnsi="黑体"/>
          <w:lang w:val="fr-FR"/>
        </w:rPr>
        <w:t>—</w:t>
      </w:r>
      <w:r>
        <w:rPr>
          <w:rFonts w:hAnsi="黑体"/>
        </w:rPr>
        <w:t>2018</w:t>
      </w:r>
    </w:p>
    <w:p>
      <w:pPr>
        <w:spacing w:line="240" w:lineRule="auto"/>
        <w:ind w:left="8080"/>
        <w:rPr>
          <w:rFonts w:ascii="黑体" w:hAnsi="黑体" w:eastAsia="黑体"/>
          <w:kern w:val="0"/>
          <w:sz w:val="52"/>
          <w:szCs w:val="20"/>
        </w:rPr>
      </w:pPr>
      <w:r>
        <w:rPr>
          <w:rFonts w:ascii="黑体" w:hAnsi="黑体" w:eastAsia="黑体"/>
          <w:kern w:val="0"/>
          <w:sz w:val="52"/>
          <w:szCs w:val="20"/>
        </w:rPr>
        <w:drawing>
          <wp:anchor distT="0" distB="0" distL="114300" distR="114300" simplePos="0" relativeHeight="251659264" behindDoc="0" locked="0" layoutInCell="1" allowOverlap="0">
            <wp:simplePos x="0" y="0"/>
            <wp:positionH relativeFrom="page">
              <wp:posOffset>5066030</wp:posOffset>
            </wp:positionH>
            <wp:positionV relativeFrom="page">
              <wp:posOffset>494665</wp:posOffset>
            </wp:positionV>
            <wp:extent cx="1326515" cy="671830"/>
            <wp:effectExtent l="0" t="0" r="698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34210" cy="67573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2700020</wp:posOffset>
                </wp:positionV>
                <wp:extent cx="6120130" cy="0"/>
                <wp:effectExtent l="0" t="0" r="33020" b="1905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pt;height:0pt;width:481.9pt;mso-position-horizontal-relative:page;mso-position-vertical-relative:page;z-index:251660288;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iPM2AAA&#10;AAwBAAAPAAAAAAAAAAEAIAAAACIAAABkcnMvZG93bnJldi54bWxQSwECFAAUAAAACACHTuJA4fvj&#10;GOUBAACsAwAADgAAAAAAAAABACAAAAAnAQAAZHJzL2Uyb0RvYy54bWxQSwUGAAAAAAYABgBZAQAA&#10;fgUAAAAA&#10;">
                <v:fill on="f" focussize="0,0"/>
                <v:stroke color="#000000" joinstyle="round"/>
                <v:imagedata o:title=""/>
                <o:lock v:ext="edit" aspectratio="f"/>
              </v:line>
            </w:pict>
          </mc:Fallback>
        </mc:AlternateContent>
      </w:r>
    </w:p>
    <w:p>
      <w:pPr>
        <w:pStyle w:val="56"/>
        <w:framePr w:w="9639" w:h="6976" w:hRule="exact" w:hSpace="0" w:vSpace="0" w:wrap="around" w:hAnchor="page" w:y="6408"/>
        <w:jc w:val="center"/>
        <w:rPr>
          <w:rFonts w:ascii="黑体" w:hAnsi="黑体" w:eastAsia="黑体"/>
          <w:b w:val="0"/>
          <w:bCs w:val="0"/>
          <w:w w:val="100"/>
        </w:rPr>
      </w:pPr>
    </w:p>
    <w:p>
      <w:pPr>
        <w:pStyle w:val="203"/>
        <w:framePr w:h="6974" w:hRule="exact" w:wrap="around" w:x="1419" w:anchorLock="1"/>
      </w:pPr>
      <w:r>
        <w:fldChar w:fldCharType="begin">
          <w:ffData>
            <w:name w:val="CSTD_NAME"/>
            <w:enabled/>
            <w:calcOnExit w:val="0"/>
            <w:textInput>
              <w:default w:val="点击此处添加标准名称"/>
            </w:textInput>
          </w:ffData>
        </w:fldChar>
      </w:r>
      <w:bookmarkStart w:id="5" w:name="CSTD_NAME"/>
      <w:r>
        <w:instrText xml:space="preserve"> FORMTEXT </w:instrText>
      </w:r>
      <w:r>
        <w:fldChar w:fldCharType="separate"/>
      </w:r>
      <w:r>
        <w:t>建筑抗震支吊架通用技术条件</w:t>
      </w:r>
      <w:r>
        <w:fldChar w:fldCharType="end"/>
      </w:r>
      <w:bookmarkEnd w:id="5"/>
    </w:p>
    <w:p>
      <w:pPr>
        <w:framePr w:w="9639" w:h="6974" w:hRule="exact" w:wrap="around" w:vAnchor="page" w:hAnchor="page" w:x="1419" w:y="6408" w:anchorLock="1"/>
        <w:ind w:left="-1418"/>
      </w:pPr>
    </w:p>
    <w:p>
      <w:pPr>
        <w:pStyle w:val="13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6" w:name="ESTD_NAME"/>
      <w:r>
        <w:rPr>
          <w:rFonts w:eastAsia="黑体"/>
          <w:szCs w:val="28"/>
        </w:rPr>
        <w:instrText xml:space="preserve"> FORMTEXT </w:instrText>
      </w:r>
      <w:r>
        <w:rPr>
          <w:rFonts w:eastAsia="黑体"/>
          <w:szCs w:val="28"/>
        </w:rPr>
        <w:fldChar w:fldCharType="separate"/>
      </w:r>
      <w:r>
        <w:rPr>
          <w:rFonts w:eastAsia="黑体"/>
          <w:szCs w:val="28"/>
        </w:rPr>
        <w:t>General specification of seismic bracing for building</w:t>
      </w:r>
      <w:r>
        <w:rPr>
          <w:rFonts w:eastAsia="黑体"/>
          <w:szCs w:val="28"/>
        </w:rPr>
        <w:fldChar w:fldCharType="end"/>
      </w:r>
      <w:bookmarkEnd w:id="6"/>
    </w:p>
    <w:p>
      <w:pPr>
        <w:framePr w:w="9639" w:h="6974" w:hRule="exact" w:wrap="around" w:vAnchor="page" w:hAnchor="page" w:x="1419" w:y="6408" w:anchorLock="1"/>
        <w:spacing w:line="760" w:lineRule="exact"/>
        <w:ind w:left="-1418"/>
      </w:pPr>
    </w:p>
    <w:p>
      <w:pPr>
        <w:pStyle w:val="131"/>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7"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7"/>
    </w:p>
    <w:p>
      <w:pPr>
        <w:pStyle w:val="131"/>
        <w:framePr w:w="9639" w:h="6974" w:hRule="exact" w:wrap="around" w:vAnchor="page" w:hAnchor="page" w:x="1419" w:y="6408" w:anchorLock="1"/>
        <w:spacing w:before="440" w:after="160"/>
        <w:textAlignment w:val="bottom"/>
        <w:rPr>
          <w:sz w:val="24"/>
          <w:szCs w:val="28"/>
        </w:rPr>
      </w:pPr>
      <w:bookmarkStart w:id="8" w:name="下拉1"/>
      <w:r>
        <w:rPr>
          <w:rFonts w:hint="eastAsia" w:cs="Times New Roman"/>
          <w:sz w:val="24"/>
          <w:szCs w:val="28"/>
          <w:lang w:val="en-US" w:eastAsia="zh-CN" w:bidi="ar-SA"/>
        </w:rPr>
        <w:t>（修订征求意见稿</w:t>
      </w:r>
      <w:bookmarkStart w:id="152" w:name="_GoBack"/>
      <w:bookmarkEnd w:id="152"/>
      <w:r>
        <w:rPr>
          <w:rFonts w:hint="eastAsia" w:cs="Times New Roman"/>
          <w:sz w:val="24"/>
          <w:szCs w:val="28"/>
          <w:lang w:val="en-US" w:eastAsia="zh-CN" w:bidi="ar-SA"/>
        </w:rPr>
        <w:t>）</w:t>
      </w:r>
      <w:r>
        <w:rPr>
          <w:rFonts w:ascii="Times New Roman" w:hAnsi="Times New Roman" w:eastAsia="宋体" w:cs="Times New Roman"/>
          <w:sz w:val="24"/>
          <w:szCs w:val="28"/>
          <w:lang w:val="en-US" w:eastAsia="zh-CN" w:bidi="ar-SA"/>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listEntry w:val="（修订征求意见稿）"/>
            </w:ddList>
          </w:ffData>
        </w:fldChar>
      </w:r>
      <w:r>
        <w:rPr>
          <w:rFonts w:ascii="Times New Roman" w:hAnsi="Times New Roman" w:eastAsia="宋体" w:cs="Times New Roman"/>
          <w:sz w:val="24"/>
          <w:szCs w:val="28"/>
          <w:lang w:val="en-US" w:eastAsia="zh-CN" w:bidi="ar-SA"/>
        </w:rPr>
        <w:instrText xml:space="preserve">FORMDROPDOWN</w:instrText>
      </w:r>
      <w:r>
        <w:rPr>
          <w:rFonts w:ascii="Times New Roman" w:hAnsi="Times New Roman" w:eastAsia="宋体" w:cs="Times New Roman"/>
          <w:sz w:val="24"/>
          <w:szCs w:val="28"/>
          <w:lang w:val="en-US" w:eastAsia="zh-CN" w:bidi="ar-SA"/>
        </w:rPr>
        <w:fldChar w:fldCharType="separate"/>
      </w:r>
      <w:r>
        <w:rPr>
          <w:rFonts w:ascii="Times New Roman" w:hAnsi="Times New Roman" w:eastAsia="宋体" w:cs="Times New Roman"/>
          <w:sz w:val="24"/>
          <w:szCs w:val="28"/>
          <w:lang w:val="en-US" w:eastAsia="zh-CN" w:bidi="ar-SA"/>
        </w:rPr>
        <w:fldChar w:fldCharType="end"/>
      </w:r>
      <w:bookmarkEnd w:id="8"/>
    </w:p>
    <w:p>
      <w:pPr>
        <w:pStyle w:val="13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9"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9"/>
    </w:p>
    <w:p>
      <w:pPr>
        <w:pStyle w:val="131"/>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0" w:name="下拉2"/>
      <w:r>
        <w:rPr>
          <w:b/>
          <w:sz w:val="21"/>
          <w:szCs w:val="28"/>
        </w:rPr>
        <w:instrText xml:space="preserve"> FORMDROPDOWN </w:instrText>
      </w:r>
      <w:r>
        <w:rPr>
          <w:b/>
          <w:sz w:val="21"/>
          <w:szCs w:val="28"/>
        </w:rPr>
        <w:fldChar w:fldCharType="separate"/>
      </w:r>
      <w:r>
        <w:rPr>
          <w:b/>
          <w:sz w:val="21"/>
          <w:szCs w:val="28"/>
        </w:rPr>
        <w:fldChar w:fldCharType="end"/>
      </w:r>
      <w:bookmarkEnd w:id="10"/>
    </w:p>
    <w:p>
      <w:pPr>
        <w:pStyle w:val="199"/>
        <w:framePr w:wrap="around" w:y="14176"/>
      </w:pPr>
      <w:r>
        <w:rPr>
          <w:rFonts w:ascii="黑体"/>
        </w:rPr>
        <w:fldChar w:fldCharType="begin">
          <w:ffData>
            <w:name w:val="PLSH_DATE_Y"/>
            <w:enabled/>
            <w:calcOnExit w:val="0"/>
            <w:textInput>
              <w:default w:val="XXXX"/>
              <w:maxLength w:val="4"/>
            </w:textInput>
          </w:ffData>
        </w:fldChar>
      </w:r>
      <w:bookmarkStart w:id="11"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发布</w:t>
      </w:r>
    </w:p>
    <w:p>
      <w:pPr>
        <w:pStyle w:val="200"/>
        <w:framePr w:wrap="around" w:y="14176"/>
      </w:pPr>
      <w:r>
        <w:rPr>
          <w:rFonts w:ascii="黑体"/>
        </w:rPr>
        <w:fldChar w:fldCharType="begin">
          <w:ffData>
            <w:name w:val="CROT_DATE_Y"/>
            <w:enabled/>
            <w:calcOnExit w:val="0"/>
            <w:textInput>
              <w:default w:val="XXXX"/>
              <w:maxLength w:val="4"/>
            </w:textInput>
          </w:ffData>
        </w:fldChar>
      </w:r>
      <w:bookmarkStart w:id="14"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5"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6"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实施</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9252585</wp:posOffset>
                </wp:positionV>
                <wp:extent cx="6120130" cy="0"/>
                <wp:effectExtent l="0" t="0" r="33020" b="19050"/>
                <wp:wrapNone/>
                <wp:docPr id="67"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5" o:spid="_x0000_s1026" o:spt="20" style="position:absolute;left:0pt;margin-left:70.85pt;margin-top:728.55pt;height:0pt;width:481.9pt;mso-position-horizontal-relative:page;mso-position-vertical-relative:page;z-index:251661312;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nRi9cAAAAO&#10;AQAADwAAAAAAAAABACAAAAAiAAAAZHJzL2Rvd25yZXYueG1sUEsBAhQAFAAAAAgAh07iQKp592jk&#10;AQAAqwMAAA4AAAAAAAAAAQAgAAAAJgEAAGRycy9lMm9Eb2MueG1sUEsFBgAAAAAGAAYAWQEAAHwF&#10;AA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97"/>
        <w:spacing w:after="468"/>
      </w:pPr>
      <w:bookmarkStart w:id="17" w:name="BookMark1"/>
      <w:bookmarkStart w:id="18" w:name="_Toc81322404"/>
      <w:bookmarkStart w:id="19" w:name="_Toc90303263"/>
      <w:bookmarkStart w:id="20" w:name="_Toc128552128"/>
      <w:bookmarkStart w:id="21" w:name="_Toc81322357"/>
      <w:r>
        <w:rPr>
          <w:rFonts w:hint="eastAsia"/>
          <w:spacing w:val="320"/>
        </w:rPr>
        <w:t>目</w:t>
      </w:r>
      <w:r>
        <w:rPr>
          <w:rFonts w:hint="eastAsia"/>
        </w:rPr>
        <w:t>次</w:t>
      </w:r>
    </w:p>
    <w:p>
      <w:pPr>
        <w:pStyle w:val="21"/>
        <w:rPr>
          <w:rFonts w:ascii="Times New Roman" w:hAnsi="Times New Roman" w:eastAsiaTheme="minorEastAsia"/>
          <w:szCs w:val="22"/>
        </w:rPr>
      </w:pPr>
      <w:r>
        <w:rPr>
          <w:rFonts w:ascii="Times New Roman" w:hAnsi="Times New Roman"/>
        </w:rPr>
        <w:fldChar w:fldCharType="begin"/>
      </w:r>
      <w:r>
        <w:rPr>
          <w:rFonts w:ascii="Times New Roman" w:hAnsi="Times New Roman"/>
        </w:rPr>
        <w:instrText xml:space="preserve"> TOC \o "1-1" \h </w:instrText>
      </w:r>
      <w:r>
        <w:rPr>
          <w:rFonts w:ascii="Times New Roman" w:hAnsi="Times New Roman"/>
        </w:rPr>
        <w:fldChar w:fldCharType="separate"/>
      </w:r>
      <w:r>
        <w:fldChar w:fldCharType="begin"/>
      </w:r>
      <w:r>
        <w:instrText xml:space="preserve"> HYPERLINK \l "_Toc135225123" </w:instrText>
      </w:r>
      <w:r>
        <w:fldChar w:fldCharType="separate"/>
      </w:r>
      <w:r>
        <w:rPr>
          <w:rStyle w:val="37"/>
          <w:rFonts w:ascii="Times New Roman"/>
        </w:rPr>
        <w:t>前言</w:t>
      </w:r>
      <w:r>
        <w:rPr>
          <w:rFonts w:ascii="Times New Roman" w:hAnsi="Times New Roman"/>
        </w:rPr>
        <w:tab/>
      </w:r>
      <w:r>
        <w:rPr>
          <w:rFonts w:ascii="Times New Roman" w:hAnsi="Times New Roman"/>
        </w:rPr>
        <w:t>Ⅱ</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"_Toc135225124" </w:instrText>
      </w:r>
      <w:r>
        <w:fldChar w:fldCharType="separate"/>
      </w:r>
      <w:r>
        <w:rPr>
          <w:rStyle w:val="37"/>
          <w:rFonts w:ascii="Times New Roman"/>
        </w:rPr>
        <w:t>1  范围</w:t>
      </w:r>
      <w:r>
        <w:rPr>
          <w:rFonts w:ascii="Times New Roman" w:hAnsi="Times New Roman"/>
        </w:rPr>
        <w:tab/>
      </w:r>
      <w:r>
        <w:rPr>
          <w:rFonts w:ascii="Times New Roman" w:hAnsi="Times New Roman"/>
        </w:rPr>
        <w:fldChar w:fldCharType="end"/>
      </w:r>
      <w:r>
        <w:rPr>
          <w:rFonts w:ascii="Times New Roman" w:hAnsi="Times New Roman"/>
        </w:rPr>
        <w:t>1</w:t>
      </w:r>
    </w:p>
    <w:p>
      <w:pPr>
        <w:pStyle w:val="21"/>
        <w:rPr>
          <w:rFonts w:ascii="Times New Roman" w:hAnsi="Times New Roman" w:eastAsiaTheme="minorEastAsia"/>
          <w:szCs w:val="22"/>
        </w:rPr>
      </w:pPr>
      <w:r>
        <w:fldChar w:fldCharType="begin"/>
      </w:r>
      <w:r>
        <w:instrText xml:space="preserve"> HYPERLINK \l "_Toc135225125" </w:instrText>
      </w:r>
      <w:r>
        <w:fldChar w:fldCharType="separate"/>
      </w:r>
      <w:r>
        <w:rPr>
          <w:rStyle w:val="37"/>
          <w:rFonts w:ascii="Times New Roman"/>
        </w:rPr>
        <w:t>2  规范性引用文件</w:t>
      </w:r>
      <w:r>
        <w:rPr>
          <w:rFonts w:ascii="Times New Roman" w:hAnsi="Times New Roman"/>
        </w:rPr>
        <w:tab/>
      </w:r>
      <w:r>
        <w:rPr>
          <w:rFonts w:ascii="Times New Roman" w:hAnsi="Times New Roman"/>
        </w:rPr>
        <w:t>1</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"_Toc135225126" </w:instrText>
      </w:r>
      <w:r>
        <w:fldChar w:fldCharType="separate"/>
      </w:r>
      <w:r>
        <w:rPr>
          <w:rStyle w:val="37"/>
          <w:rFonts w:ascii="Times New Roman"/>
        </w:rPr>
        <w:t>3  术语和定义</w:t>
      </w:r>
      <w:r>
        <w:rPr>
          <w:rFonts w:ascii="Times New Roman" w:hAnsi="Times New Roman"/>
        </w:rPr>
        <w:tab/>
      </w:r>
      <w:r>
        <w:rPr>
          <w:rFonts w:ascii="Times New Roman" w:hAnsi="Times New Roman"/>
        </w:rPr>
        <w:t>2</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"_Toc135225127" </w:instrText>
      </w:r>
      <w:r>
        <w:fldChar w:fldCharType="separate"/>
      </w:r>
      <w:r>
        <w:rPr>
          <w:rStyle w:val="37"/>
          <w:rFonts w:ascii="Times New Roman"/>
        </w:rPr>
        <w:t>4  分类和标记</w:t>
      </w:r>
      <w:r>
        <w:rPr>
          <w:rFonts w:ascii="Times New Roman" w:hAnsi="Times New Roman"/>
        </w:rPr>
        <w:tab/>
      </w:r>
      <w:r>
        <w:rPr>
          <w:rFonts w:ascii="Times New Roman" w:hAnsi="Times New Roman"/>
        </w:rPr>
        <w:t>2</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"_Toc135225128" </w:instrText>
      </w:r>
      <w:r>
        <w:fldChar w:fldCharType="separate"/>
      </w:r>
      <w:r>
        <w:rPr>
          <w:rStyle w:val="37"/>
          <w:rFonts w:ascii="Times New Roman"/>
        </w:rPr>
        <w:t>5  通用要求</w:t>
      </w:r>
      <w:r>
        <w:rPr>
          <w:rFonts w:ascii="Times New Roman" w:hAnsi="Times New Roman"/>
        </w:rPr>
        <w:tab/>
      </w:r>
      <w:r>
        <w:rPr>
          <w:rFonts w:ascii="Times New Roman" w:hAnsi="Times New Roman"/>
        </w:rPr>
        <w:t>4</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"_Toc135225129" </w:instrText>
      </w:r>
      <w:r>
        <w:fldChar w:fldCharType="separate"/>
      </w:r>
      <w:r>
        <w:rPr>
          <w:rStyle w:val="37"/>
          <w:rFonts w:ascii="Times New Roman"/>
        </w:rPr>
        <w:t>6  要求</w:t>
      </w:r>
      <w:r>
        <w:rPr>
          <w:rFonts w:ascii="Times New Roman" w:hAnsi="Times New Roman"/>
        </w:rPr>
        <w:tab/>
      </w:r>
      <w:r>
        <w:rPr>
          <w:rFonts w:ascii="Times New Roman" w:hAnsi="Times New Roman"/>
        </w:rPr>
        <w:t>5</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"_Toc135225130" </w:instrText>
      </w:r>
      <w:r>
        <w:fldChar w:fldCharType="separate"/>
      </w:r>
      <w:r>
        <w:rPr>
          <w:rStyle w:val="37"/>
          <w:rFonts w:ascii="Times New Roman"/>
        </w:rPr>
        <w:t>7  试验方法</w:t>
      </w:r>
      <w:r>
        <w:rPr>
          <w:rFonts w:ascii="Times New Roman" w:hAnsi="Times New Roman"/>
        </w:rPr>
        <w:tab/>
      </w:r>
      <w:r>
        <w:rPr>
          <w:rFonts w:ascii="Times New Roman" w:hAnsi="Times New Roman"/>
        </w:rPr>
        <w:fldChar w:fldCharType="end"/>
      </w:r>
      <w:r>
        <w:rPr>
          <w:rFonts w:ascii="Times New Roman" w:hAnsi="Times New Roman"/>
        </w:rPr>
        <w:t>9</w:t>
      </w:r>
    </w:p>
    <w:p>
      <w:pPr>
        <w:pStyle w:val="21"/>
        <w:rPr>
          <w:rFonts w:ascii="Times New Roman" w:hAnsi="Times New Roman" w:eastAsiaTheme="minorEastAsia"/>
          <w:szCs w:val="22"/>
        </w:rPr>
      </w:pPr>
      <w:r>
        <w:fldChar w:fldCharType="begin"/>
      </w:r>
      <w:r>
        <w:instrText xml:space="preserve"> HYPERLINK \l "_Toc135225131" </w:instrText>
      </w:r>
      <w:r>
        <w:fldChar w:fldCharType="separate"/>
      </w:r>
      <w:r>
        <w:rPr>
          <w:rStyle w:val="37"/>
          <w:rFonts w:ascii="Times New Roman"/>
        </w:rPr>
        <w:t>8  检验规则</w:t>
      </w:r>
      <w:r>
        <w:rPr>
          <w:rFonts w:ascii="Times New Roman" w:hAnsi="Times New Roman"/>
        </w:rPr>
        <w:tab/>
      </w:r>
      <w:r>
        <w:rPr>
          <w:rFonts w:ascii="Times New Roman" w:hAnsi="Times New Roman"/>
        </w:rPr>
        <w:t>1</w:t>
      </w:r>
      <w:r>
        <w:rPr>
          <w:rFonts w:ascii="Times New Roman" w:hAnsi="Times New Roman"/>
        </w:rPr>
        <w:fldChar w:fldCharType="end"/>
      </w:r>
      <w:r>
        <w:rPr>
          <w:rFonts w:ascii="Times New Roman" w:hAnsi="Times New Roman"/>
        </w:rPr>
        <w:t>5</w:t>
      </w:r>
    </w:p>
    <w:p>
      <w:pPr>
        <w:pStyle w:val="21"/>
        <w:rPr>
          <w:rFonts w:ascii="Times New Roman" w:hAnsi="Times New Roman" w:eastAsiaTheme="minorEastAsia"/>
          <w:szCs w:val="22"/>
        </w:rPr>
      </w:pPr>
      <w:r>
        <w:fldChar w:fldCharType="begin"/>
      </w:r>
      <w:r>
        <w:instrText xml:space="preserve"> HYPERLINK \l "_Toc135225132" </w:instrText>
      </w:r>
      <w:r>
        <w:fldChar w:fldCharType="separate"/>
      </w:r>
      <w:r>
        <w:rPr>
          <w:rStyle w:val="37"/>
          <w:rFonts w:ascii="Times New Roman"/>
        </w:rPr>
        <w:t>9  标志、包装、运输和贮存</w:t>
      </w:r>
      <w:r>
        <w:rPr>
          <w:rFonts w:ascii="Times New Roman" w:hAnsi="Times New Roman"/>
        </w:rPr>
        <w:tab/>
      </w:r>
      <w:r>
        <w:rPr>
          <w:rFonts w:ascii="Times New Roman" w:hAnsi="Times New Roman"/>
        </w:rPr>
        <w:t>1</w:t>
      </w:r>
      <w:r>
        <w:rPr>
          <w:rFonts w:ascii="Times New Roman" w:hAnsi="Times New Roman"/>
        </w:rPr>
        <w:fldChar w:fldCharType="end"/>
      </w:r>
      <w:r>
        <w:rPr>
          <w:rFonts w:ascii="Times New Roman" w:hAnsi="Times New Roman"/>
        </w:rPr>
        <w:t>6</w:t>
      </w:r>
    </w:p>
    <w:p>
      <w:pPr>
        <w:pStyle w:val="21"/>
        <w:rPr>
          <w:rFonts w:ascii="Times New Roman" w:hAnsi="Times New Roman" w:eastAsiaTheme="minorEastAsia"/>
          <w:szCs w:val="22"/>
        </w:rPr>
      </w:pPr>
      <w:r>
        <w:fldChar w:fldCharType="begin"/>
      </w:r>
      <w:r>
        <w:instrText xml:space="preserve"> HYPERLINK \l "_Toc135225133" </w:instrText>
      </w:r>
      <w:r>
        <w:fldChar w:fldCharType="separate"/>
      </w:r>
      <w:r>
        <w:rPr>
          <w:rStyle w:val="37"/>
          <w:rFonts w:ascii="Times New Roman"/>
        </w:rPr>
        <w:t>附录A（资料性）  抗震连接件结构型式</w:t>
      </w:r>
      <w:r>
        <w:rPr>
          <w:rFonts w:ascii="Times New Roman" w:hAnsi="Times New Roman"/>
        </w:rPr>
        <w:tab/>
      </w:r>
      <w:r>
        <w:rPr>
          <w:rFonts w:ascii="Times New Roman" w:hAnsi="Times New Roman"/>
        </w:rPr>
        <w:t>17</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"_Toc135225134" </w:instrText>
      </w:r>
      <w:r>
        <w:fldChar w:fldCharType="separate"/>
      </w:r>
      <w:r>
        <w:rPr>
          <w:rStyle w:val="37"/>
          <w:rFonts w:ascii="Times New Roman"/>
        </w:rPr>
        <w:t>附录B（资料性）  管道连接件及钢结构固定件结构型式</w:t>
      </w:r>
      <w:r>
        <w:rPr>
          <w:rFonts w:ascii="Times New Roman" w:hAnsi="Times New Roman"/>
        </w:rPr>
        <w:tab/>
      </w:r>
      <w:r>
        <w:rPr>
          <w:rFonts w:ascii="Times New Roman" w:hAnsi="Times New Roman"/>
        </w:rPr>
        <w:fldChar w:fldCharType="end"/>
      </w:r>
      <w:r>
        <w:rPr>
          <w:rFonts w:ascii="Times New Roman" w:hAnsi="Times New Roman"/>
        </w:rPr>
        <w:t>19</w:t>
      </w:r>
    </w:p>
    <w:p>
      <w:pPr>
        <w:pStyle w:val="21"/>
        <w:rPr>
          <w:rFonts w:ascii="Times New Roman" w:hAnsi="Times New Roman" w:eastAsiaTheme="minorEastAsia"/>
          <w:szCs w:val="22"/>
        </w:rPr>
      </w:pPr>
      <w:r>
        <w:fldChar w:fldCharType="begin"/>
      </w:r>
      <w:r>
        <w:instrText xml:space="preserve"> HYPERLINK \l "_Toc135225135" </w:instrText>
      </w:r>
      <w:r>
        <w:fldChar w:fldCharType="separate"/>
      </w:r>
      <w:r>
        <w:rPr>
          <w:rStyle w:val="37"/>
          <w:rFonts w:ascii="Times New Roman"/>
        </w:rPr>
        <w:t xml:space="preserve">附录C（资料性）  </w:t>
      </w:r>
      <w:r>
        <w:rPr>
          <w:rFonts w:ascii="Times New Roman"/>
        </w:rPr>
        <w:t>抗震支吊架斜撑杆件、</w:t>
      </w:r>
      <w:r>
        <w:rPr>
          <w:rFonts w:ascii="Times New Roman"/>
          <w:color w:val="000000"/>
        </w:rPr>
        <w:t>横杆、立杆用带齿C型</w:t>
      </w:r>
      <w:r>
        <w:rPr>
          <w:rFonts w:ascii="Times New Roman"/>
        </w:rPr>
        <w:t>槽钢</w:t>
      </w:r>
      <w:r>
        <w:rPr>
          <w:rFonts w:hint="eastAsia"/>
        </w:rPr>
        <w:t>截面参数</w:t>
      </w:r>
      <w:r>
        <w:rPr>
          <w:rFonts w:ascii="Times New Roman" w:hAnsi="Times New Roman"/>
        </w:rPr>
        <w:tab/>
      </w:r>
      <w:r>
        <w:rPr>
          <w:rFonts w:ascii="Times New Roman" w:hAnsi="Times New Roman"/>
        </w:rPr>
        <w:t>2</w:t>
      </w:r>
      <w:r>
        <w:rPr>
          <w:rFonts w:ascii="Times New Roman" w:hAnsi="Times New Roman"/>
        </w:rPr>
        <w:fldChar w:fldCharType="end"/>
      </w:r>
      <w:r>
        <w:rPr>
          <w:rFonts w:ascii="Times New Roman" w:hAnsi="Times New Roman"/>
        </w:rPr>
        <w:t>1</w:t>
      </w:r>
    </w:p>
    <w:p>
      <w:pPr>
        <w:pStyle w:val="21"/>
        <w:rPr>
          <w:rFonts w:ascii="Times New Roman" w:hAnsi="Times New Roman" w:eastAsiaTheme="minorEastAsia"/>
          <w:szCs w:val="22"/>
        </w:rPr>
      </w:pPr>
      <w:r>
        <w:fldChar w:fldCharType="begin"/>
      </w:r>
      <w:r>
        <w:instrText xml:space="preserve"> HYPERLINK \l "_Toc135225136" </w:instrText>
      </w:r>
      <w:r>
        <w:fldChar w:fldCharType="separate"/>
      </w:r>
      <w:r>
        <w:rPr>
          <w:rStyle w:val="37"/>
          <w:rFonts w:ascii="Times New Roman"/>
        </w:rPr>
        <w:t xml:space="preserve">附录D（资料性）  </w:t>
      </w:r>
      <w:r>
        <w:rPr>
          <w:rFonts w:hint="eastAsia"/>
        </w:rPr>
        <w:t>常用抗震支吊架结构型式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_Toc135225136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r>
        <w:rPr>
          <w:rFonts w:ascii="Times New Roman" w:hAnsi="Times New Roman"/>
        </w:rPr>
        <w:t>2</w:t>
      </w:r>
    </w:p>
    <w:p>
      <w:pPr>
        <w:pStyle w:val="21"/>
        <w:rPr>
          <w:rFonts w:ascii="Times New Roman" w:hAnsi="Times New Roman" w:eastAsiaTheme="minorEastAsia"/>
          <w:szCs w:val="22"/>
        </w:rPr>
      </w:pPr>
      <w:r>
        <w:fldChar w:fldCharType="begin"/>
      </w:r>
      <w:r>
        <w:instrText xml:space="preserve"> HYPERLINK \l "_Toc135225137" </w:instrText>
      </w:r>
      <w:r>
        <w:fldChar w:fldCharType="separate"/>
      </w:r>
      <w:r>
        <w:rPr>
          <w:rStyle w:val="37"/>
          <w:rFonts w:ascii="Times New Roman"/>
        </w:rPr>
        <w:t xml:space="preserve">附录E（规范性）  </w:t>
      </w:r>
      <w:r>
        <w:rPr>
          <w:rStyle w:val="37"/>
          <w:rFonts w:hint="eastAsia" w:ascii="Times New Roman"/>
        </w:rPr>
        <w:t>模拟地震</w:t>
      </w:r>
      <w:r>
        <w:rPr>
          <w:rStyle w:val="37"/>
          <w:rFonts w:ascii="Times New Roman"/>
        </w:rPr>
        <w:t>振动台试验方法</w:t>
      </w:r>
      <w:r>
        <w:rPr>
          <w:rFonts w:ascii="Times New Roman" w:hAnsi="Times New Roman"/>
        </w:rPr>
        <w:tab/>
      </w:r>
      <w:r>
        <w:rPr>
          <w:rFonts w:ascii="Times New Roman" w:hAnsi="Times New Roman"/>
        </w:rPr>
        <w:t>27</w:t>
      </w:r>
      <w:r>
        <w:rPr>
          <w:rFonts w:ascii="Times New Roman" w:hAnsi="Times New Roman"/>
        </w:rPr>
        <w:fldChar w:fldCharType="end"/>
      </w:r>
    </w:p>
    <w:p>
      <w:pPr>
        <w:pStyle w:val="21"/>
        <w:rPr>
          <w:rFonts w:ascii="Times New Roman" w:hAnsi="Times New Roman" w:eastAsiaTheme="minorEastAsia"/>
          <w:szCs w:val="22"/>
        </w:rPr>
      </w:pPr>
      <w:r>
        <w:fldChar w:fldCharType="begin"/>
      </w:r>
      <w:r>
        <w:instrText xml:space="preserve"> HYPERLINK \l "_Toc135225138" </w:instrText>
      </w:r>
      <w:r>
        <w:fldChar w:fldCharType="separate"/>
      </w:r>
      <w:r>
        <w:rPr>
          <w:rStyle w:val="37"/>
          <w:rFonts w:ascii="Times New Roman"/>
        </w:rPr>
        <w:t>附录F（规范性）  试验数据处理</w:t>
      </w:r>
      <w:r>
        <w:rPr>
          <w:rFonts w:ascii="Times New Roman" w:hAnsi="Times New Roman"/>
        </w:rPr>
        <w:tab/>
      </w:r>
      <w:r>
        <w:rPr>
          <w:rFonts w:ascii="Times New Roman" w:hAnsi="Times New Roman"/>
        </w:rPr>
        <w:fldChar w:fldCharType="end"/>
      </w:r>
      <w:r>
        <w:rPr>
          <w:rFonts w:ascii="Times New Roman" w:hAnsi="Times New Roman"/>
        </w:rPr>
        <w:t>30</w:t>
      </w:r>
    </w:p>
    <w:p>
      <w:pPr>
        <w:pStyle w:val="21"/>
        <w:rPr>
          <w:rFonts w:ascii="Times New Roman" w:hAnsi="Times New Roman" w:eastAsiaTheme="minorEastAsia"/>
          <w:szCs w:val="22"/>
        </w:rPr>
      </w:pPr>
      <w:r>
        <w:fldChar w:fldCharType="begin"/>
      </w:r>
      <w:r>
        <w:instrText xml:space="preserve"> HYPERLINK \l "_Toc135225139" </w:instrText>
      </w:r>
      <w:r>
        <w:fldChar w:fldCharType="separate"/>
      </w:r>
      <w:r>
        <w:rPr>
          <w:rStyle w:val="37"/>
          <w:rFonts w:ascii="Times New Roman"/>
        </w:rPr>
        <w:t>附录G（资料性）  抗震支吊架性能说明书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_Toc135225139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r>
        <w:rPr>
          <w:rFonts w:ascii="Times New Roman" w:hAnsi="Times New Roman"/>
        </w:rPr>
        <w:t>1</w:t>
      </w:r>
    </w:p>
    <w:p>
      <w:pPr>
        <w:pStyle w:val="97"/>
        <w:spacing w:after="468"/>
        <w:sectPr>
          <w:headerReference r:id="rId9" w:type="default"/>
          <w:footerReference r:id="rId11" w:type="default"/>
          <w:headerReference r:id="rId10" w:type="even"/>
          <w:pgSz w:w="11906" w:h="16838"/>
          <w:pgMar w:top="2410" w:right="1134" w:bottom="1134" w:left="1134" w:header="1418" w:footer="1134" w:gutter="284"/>
          <w:pgNumType w:fmt="upperRoman" w:start="1"/>
          <w:cols w:space="425" w:num="1"/>
          <w:formProt w:val="0"/>
          <w:docGrid w:type="lines" w:linePitch="312" w:charSpace="0"/>
        </w:sectPr>
      </w:pPr>
      <w:r>
        <w:rPr>
          <w:rFonts w:ascii="Times New Roman" w:hAnsi="Times New Roman"/>
        </w:rPr>
        <w:fldChar w:fldCharType="end"/>
      </w:r>
    </w:p>
    <w:bookmarkEnd w:id="17"/>
    <w:p>
      <w:pPr>
        <w:pStyle w:val="95"/>
        <w:spacing w:after="468"/>
      </w:pPr>
      <w:bookmarkStart w:id="22" w:name="_Toc135225123"/>
      <w:bookmarkStart w:id="23" w:name="BookMark2"/>
      <w:r>
        <w:rPr>
          <w:spacing w:val="320"/>
        </w:rPr>
        <w:t>前</w:t>
      </w:r>
      <w:r>
        <w:t>言</w:t>
      </w:r>
      <w:bookmarkEnd w:id="18"/>
      <w:bookmarkEnd w:id="19"/>
      <w:bookmarkEnd w:id="20"/>
      <w:bookmarkEnd w:id="21"/>
      <w:bookmarkEnd w:id="22"/>
    </w:p>
    <w:p>
      <w:pPr>
        <w:pStyle w:val="62"/>
        <w:ind w:firstLine="420"/>
        <w:rPr>
          <w:rFonts w:ascii="Times New Roman"/>
        </w:rPr>
      </w:pPr>
      <w:r>
        <w:rPr>
          <w:rFonts w:ascii="Times New Roman"/>
        </w:rPr>
        <w:t>本文件按照GB/T 1.1-2020《标准化工作导则  第1部分：标准化文件的结构和起草规则》的规定起草。</w:t>
      </w:r>
    </w:p>
    <w:p>
      <w:pPr>
        <w:ind w:firstLine="422" w:firstLineChars="201"/>
        <w:jc w:val="left"/>
        <w:rPr>
          <w:rFonts w:ascii="Times New Roman" w:hAnsi="Times New Roman"/>
        </w:rPr>
      </w:pPr>
      <w:r>
        <w:rPr>
          <w:rFonts w:ascii="Times New Roman" w:hAnsi="Times New Roman"/>
        </w:rPr>
        <w:t>本文件代替GB/T 37267-2018《建筑抗震支吊架通用技术条件》</w:t>
      </w:r>
      <w:r>
        <w:rPr>
          <w:rFonts w:hint="eastAsia" w:ascii="Times New Roman" w:hAnsi="Times New Roman"/>
        </w:rPr>
        <w:t>，与</w:t>
      </w:r>
      <w:r>
        <w:rPr>
          <w:rFonts w:ascii="Times New Roman" w:hAnsi="Times New Roman"/>
        </w:rPr>
        <w:t>GB/T 37267-2018相比，除结构调整和编辑性改动外</w:t>
      </w:r>
      <w:r>
        <w:rPr>
          <w:rFonts w:hint="eastAsia" w:ascii="Times New Roman" w:hAnsi="Times New Roman"/>
        </w:rPr>
        <w:t>，</w:t>
      </w:r>
      <w:r>
        <w:rPr>
          <w:rFonts w:ascii="Times New Roman" w:hAnsi="Times New Roman"/>
        </w:rPr>
        <w:t>主要技术内容变化如下：</w:t>
      </w:r>
    </w:p>
    <w:p>
      <w:pPr>
        <w:pStyle w:val="180"/>
        <w:numPr>
          <w:ilvl w:val="0"/>
          <w:numId w:val="34"/>
        </w:numPr>
        <w:rPr>
          <w:rFonts w:ascii="Times New Roman"/>
        </w:rPr>
      </w:pPr>
      <w:r>
        <w:rPr>
          <w:rFonts w:hint="eastAsia" w:ascii="Times New Roman"/>
        </w:rPr>
        <w:t>更</w:t>
      </w:r>
      <w:r>
        <w:rPr>
          <w:rFonts w:ascii="Times New Roman"/>
        </w:rPr>
        <w:t>改了术语</w:t>
      </w:r>
      <w:r>
        <w:rPr>
          <w:rFonts w:hint="eastAsia" w:ascii="Times New Roman"/>
        </w:rPr>
        <w:t>和</w:t>
      </w:r>
      <w:r>
        <w:rPr>
          <w:rFonts w:ascii="Times New Roman"/>
        </w:rPr>
        <w:t>定义（见</w:t>
      </w:r>
      <w:r>
        <w:rPr>
          <w:rFonts w:hint="eastAsia" w:ascii="Times New Roman"/>
        </w:rPr>
        <w:t>第3章</w:t>
      </w:r>
      <w:r>
        <w:rPr>
          <w:rFonts w:ascii="Times New Roman"/>
        </w:rPr>
        <w:t>）；</w:t>
      </w:r>
    </w:p>
    <w:p>
      <w:pPr>
        <w:pStyle w:val="180"/>
        <w:numPr>
          <w:ilvl w:val="0"/>
          <w:numId w:val="34"/>
        </w:numPr>
        <w:rPr>
          <w:rFonts w:ascii="Times New Roman"/>
        </w:rPr>
      </w:pPr>
      <w:r>
        <w:rPr>
          <w:rFonts w:ascii="Times New Roman"/>
        </w:rPr>
        <w:t>增加了抗震连接件、管道连接件和钢结构固定件的分类</w:t>
      </w:r>
      <w:r>
        <w:rPr>
          <w:rFonts w:hint="eastAsia" w:ascii="Times New Roman"/>
        </w:rPr>
        <w:t>和</w:t>
      </w:r>
      <w:r>
        <w:rPr>
          <w:rFonts w:ascii="Times New Roman"/>
        </w:rPr>
        <w:t>标记（见</w:t>
      </w:r>
      <w:r>
        <w:rPr>
          <w:rFonts w:hint="eastAsia" w:ascii="Times New Roman"/>
        </w:rPr>
        <w:t>第4章</w:t>
      </w:r>
      <w:r>
        <w:rPr>
          <w:rFonts w:ascii="Times New Roman"/>
        </w:rPr>
        <w:t>）；</w:t>
      </w:r>
    </w:p>
    <w:p>
      <w:pPr>
        <w:pStyle w:val="180"/>
        <w:numPr>
          <w:ilvl w:val="0"/>
          <w:numId w:val="34"/>
        </w:numPr>
        <w:rPr>
          <w:rFonts w:ascii="Times New Roman"/>
        </w:rPr>
      </w:pPr>
      <w:r>
        <w:rPr>
          <w:rFonts w:ascii="Times New Roman"/>
        </w:rPr>
        <w:t xml:space="preserve">增加了抗震支吊架主体材质的种类及化学成分要求（见5.1.1）； </w:t>
      </w:r>
    </w:p>
    <w:p>
      <w:pPr>
        <w:pStyle w:val="180"/>
        <w:numPr>
          <w:ilvl w:val="0"/>
          <w:numId w:val="34"/>
        </w:numPr>
        <w:rPr>
          <w:rFonts w:ascii="Times New Roman"/>
        </w:rPr>
      </w:pPr>
      <w:r>
        <w:rPr>
          <w:rFonts w:ascii="Times New Roman"/>
        </w:rPr>
        <w:t>将对</w:t>
      </w:r>
      <w:r>
        <w:rPr>
          <w:rFonts w:hint="eastAsia" w:ascii="Times New Roman"/>
        </w:rPr>
        <w:t>“</w:t>
      </w:r>
      <w:r>
        <w:rPr>
          <w:rFonts w:ascii="Times New Roman"/>
        </w:rPr>
        <w:t>锚栓的种类要求</w:t>
      </w:r>
      <w:r>
        <w:rPr>
          <w:rFonts w:hint="eastAsia" w:ascii="Times New Roman"/>
        </w:rPr>
        <w:t>”</w:t>
      </w:r>
      <w:r>
        <w:rPr>
          <w:rFonts w:ascii="Times New Roman"/>
        </w:rPr>
        <w:t>更改为</w:t>
      </w:r>
      <w:r>
        <w:rPr>
          <w:rFonts w:hint="eastAsia" w:ascii="Times New Roman"/>
        </w:rPr>
        <w:t>“</w:t>
      </w:r>
      <w:r>
        <w:rPr>
          <w:rFonts w:ascii="Times New Roman"/>
        </w:rPr>
        <w:t>锚栓性能要求</w:t>
      </w:r>
      <w:r>
        <w:rPr>
          <w:rFonts w:hint="eastAsia" w:ascii="Times New Roman"/>
        </w:rPr>
        <w:t>”</w:t>
      </w:r>
      <w:r>
        <w:rPr>
          <w:rFonts w:ascii="Times New Roman"/>
        </w:rPr>
        <w:t>（见5.1.5，2018年版的4.1.3）；</w:t>
      </w:r>
    </w:p>
    <w:p>
      <w:pPr>
        <w:pStyle w:val="180"/>
        <w:numPr>
          <w:ilvl w:val="0"/>
          <w:numId w:val="34"/>
        </w:numPr>
        <w:rPr>
          <w:rFonts w:ascii="Times New Roman"/>
        </w:rPr>
      </w:pPr>
      <w:r>
        <w:rPr>
          <w:rFonts w:ascii="Times New Roman"/>
        </w:rPr>
        <w:t>增加了</w:t>
      </w:r>
      <w:r>
        <w:rPr>
          <w:rFonts w:hint="eastAsia" w:ascii="Times New Roman"/>
        </w:rPr>
        <w:t>C型</w:t>
      </w:r>
      <w:r>
        <w:rPr>
          <w:rFonts w:ascii="Times New Roman"/>
        </w:rPr>
        <w:t>槽钢的截面参数</w:t>
      </w:r>
      <w:r>
        <w:rPr>
          <w:rFonts w:hint="eastAsia" w:ascii="Times New Roman"/>
        </w:rPr>
        <w:t>、</w:t>
      </w:r>
      <w:r>
        <w:rPr>
          <w:rFonts w:ascii="Times New Roman"/>
        </w:rPr>
        <w:t>公差要求（见</w:t>
      </w:r>
      <w:r>
        <w:rPr>
          <w:rFonts w:hint="eastAsia" w:ascii="Times New Roman"/>
        </w:rPr>
        <w:t>5</w:t>
      </w:r>
      <w:r>
        <w:rPr>
          <w:rFonts w:ascii="Times New Roman"/>
        </w:rPr>
        <w:t>.1.6</w:t>
      </w:r>
      <w:r>
        <w:rPr>
          <w:rFonts w:hint="eastAsia" w:ascii="Times New Roman"/>
        </w:rPr>
        <w:t>、</w:t>
      </w:r>
      <w:r>
        <w:rPr>
          <w:rFonts w:ascii="Times New Roman"/>
        </w:rPr>
        <w:t>6.2</w:t>
      </w:r>
      <w:r>
        <w:rPr>
          <w:rFonts w:hint="eastAsia" w:ascii="Times New Roman"/>
        </w:rPr>
        <w:t>.</w:t>
      </w:r>
      <w:r>
        <w:rPr>
          <w:rFonts w:ascii="Times New Roman"/>
        </w:rPr>
        <w:t>2）；</w:t>
      </w:r>
    </w:p>
    <w:p>
      <w:pPr>
        <w:pStyle w:val="180"/>
        <w:numPr>
          <w:ilvl w:val="0"/>
          <w:numId w:val="34"/>
        </w:numPr>
        <w:rPr>
          <w:rFonts w:ascii="Times New Roman"/>
        </w:rPr>
      </w:pPr>
      <w:r>
        <w:rPr>
          <w:rFonts w:ascii="Times New Roman"/>
        </w:rPr>
        <w:t>增加了抗震连接件、</w:t>
      </w:r>
      <w:r>
        <w:rPr>
          <w:rFonts w:hint="eastAsia" w:ascii="Times New Roman"/>
        </w:rPr>
        <w:t>管道连接件、钢结构固定件、C型</w:t>
      </w:r>
      <w:r>
        <w:rPr>
          <w:rFonts w:ascii="Times New Roman"/>
        </w:rPr>
        <w:t>槽钢板材厚度公差的</w:t>
      </w:r>
      <w:r>
        <w:rPr>
          <w:rFonts w:hint="eastAsia" w:ascii="Times New Roman"/>
        </w:rPr>
        <w:t>要求</w:t>
      </w:r>
      <w:r>
        <w:rPr>
          <w:rFonts w:ascii="Times New Roman"/>
        </w:rPr>
        <w:t>（见6.2.1）；</w:t>
      </w:r>
    </w:p>
    <w:p>
      <w:pPr>
        <w:pStyle w:val="180"/>
        <w:numPr>
          <w:ilvl w:val="0"/>
          <w:numId w:val="34"/>
        </w:numPr>
        <w:rPr>
          <w:rFonts w:ascii="Times New Roman"/>
        </w:rPr>
      </w:pPr>
      <w:bookmarkStart w:id="24" w:name="_Hlk57848615"/>
      <w:r>
        <w:rPr>
          <w:rFonts w:ascii="Times New Roman"/>
        </w:rPr>
        <w:t>删除了抗震连接</w:t>
      </w:r>
      <w:r>
        <w:rPr>
          <w:rFonts w:hint="eastAsia" w:ascii="Times New Roman"/>
        </w:rPr>
        <w:t>构件荷载性能、管道连接构件荷载性能要求及试验方法</w:t>
      </w:r>
      <w:r>
        <w:rPr>
          <w:rFonts w:ascii="Times New Roman"/>
        </w:rPr>
        <w:t>（见2018年版的5.3</w:t>
      </w:r>
      <w:r>
        <w:rPr>
          <w:rFonts w:hint="eastAsia" w:ascii="Times New Roman"/>
        </w:rPr>
        <w:t>、</w:t>
      </w:r>
      <w:r>
        <w:rPr>
          <w:rFonts w:ascii="Times New Roman"/>
        </w:rPr>
        <w:t>6.3</w:t>
      </w:r>
      <w:r>
        <w:rPr>
          <w:rFonts w:hint="eastAsia" w:ascii="Times New Roman"/>
        </w:rPr>
        <w:t>，6</w:t>
      </w:r>
      <w:r>
        <w:rPr>
          <w:rFonts w:ascii="Times New Roman"/>
        </w:rPr>
        <w:t>.4）；</w:t>
      </w:r>
    </w:p>
    <w:p>
      <w:pPr>
        <w:pStyle w:val="180"/>
        <w:numPr>
          <w:ilvl w:val="0"/>
          <w:numId w:val="34"/>
        </w:numPr>
        <w:rPr>
          <w:rFonts w:ascii="Times New Roman"/>
        </w:rPr>
      </w:pPr>
      <w:r>
        <w:rPr>
          <w:rFonts w:ascii="Times New Roman"/>
        </w:rPr>
        <w:t>更改</w:t>
      </w:r>
      <w:r>
        <w:rPr>
          <w:rFonts w:hint="eastAsia" w:ascii="Times New Roman"/>
        </w:rPr>
        <w:t>了</w:t>
      </w:r>
      <w:r>
        <w:rPr>
          <w:rFonts w:ascii="Times New Roman"/>
        </w:rPr>
        <w:t>涂层厚度</w:t>
      </w:r>
      <w:r>
        <w:rPr>
          <w:rFonts w:hint="eastAsia" w:ascii="Times New Roman"/>
        </w:rPr>
        <w:t>的</w:t>
      </w:r>
      <w:r>
        <w:rPr>
          <w:rFonts w:ascii="Times New Roman"/>
        </w:rPr>
        <w:t>要求（见6.3，2018年版的5.2.2）</w:t>
      </w:r>
      <w:r>
        <w:rPr>
          <w:rFonts w:hint="eastAsia" w:ascii="Times New Roman"/>
        </w:rPr>
        <w:t>；</w:t>
      </w:r>
    </w:p>
    <w:p>
      <w:pPr>
        <w:pStyle w:val="180"/>
        <w:numPr>
          <w:ilvl w:val="0"/>
          <w:numId w:val="34"/>
        </w:numPr>
        <w:rPr>
          <w:rFonts w:ascii="Times New Roman"/>
        </w:rPr>
      </w:pPr>
      <w:r>
        <w:rPr>
          <w:rFonts w:ascii="Times New Roman"/>
        </w:rPr>
        <w:t>增</w:t>
      </w:r>
      <w:r>
        <w:rPr>
          <w:rFonts w:hint="eastAsia" w:ascii="Times New Roman"/>
        </w:rPr>
        <w:t>加</w:t>
      </w:r>
      <w:r>
        <w:rPr>
          <w:rFonts w:ascii="Times New Roman"/>
        </w:rPr>
        <w:t>了抗震连接件、管道连接件及钢结构固定件等部件的循环加载</w:t>
      </w:r>
      <w:r>
        <w:rPr>
          <w:rFonts w:hint="eastAsia" w:ascii="Times New Roman"/>
        </w:rPr>
        <w:t>性能要求和</w:t>
      </w:r>
      <w:r>
        <w:rPr>
          <w:rFonts w:ascii="Times New Roman"/>
        </w:rPr>
        <w:t>试验方法（见6.4</w:t>
      </w:r>
      <w:r>
        <w:rPr>
          <w:rFonts w:hint="eastAsia" w:ascii="Times New Roman"/>
        </w:rPr>
        <w:t>，</w:t>
      </w:r>
      <w:r>
        <w:rPr>
          <w:rFonts w:ascii="Times New Roman"/>
        </w:rPr>
        <w:t>7.4）；</w:t>
      </w:r>
      <w:bookmarkEnd w:id="24"/>
      <w:bookmarkStart w:id="25" w:name="_Hlk57848352"/>
    </w:p>
    <w:p>
      <w:pPr>
        <w:pStyle w:val="180"/>
        <w:numPr>
          <w:ilvl w:val="0"/>
          <w:numId w:val="34"/>
        </w:numPr>
        <w:rPr>
          <w:rFonts w:ascii="Times New Roman"/>
        </w:rPr>
      </w:pPr>
      <w:r>
        <w:rPr>
          <w:rFonts w:hint="eastAsia" w:ascii="Times New Roman"/>
        </w:rPr>
        <w:t>更改</w:t>
      </w:r>
      <w:r>
        <w:rPr>
          <w:rFonts w:ascii="Times New Roman"/>
        </w:rPr>
        <w:t>了P型、Ω型管夹的荷载性能要求</w:t>
      </w:r>
      <w:r>
        <w:rPr>
          <w:rFonts w:hint="eastAsia" w:ascii="Times New Roman"/>
        </w:rPr>
        <w:t>和试验方法</w:t>
      </w:r>
      <w:r>
        <w:rPr>
          <w:rFonts w:ascii="Times New Roman"/>
        </w:rPr>
        <w:t>（见6.4.2</w:t>
      </w:r>
      <w:r>
        <w:rPr>
          <w:rFonts w:hint="eastAsia" w:ascii="Times New Roman"/>
        </w:rPr>
        <w:t>，7</w:t>
      </w:r>
      <w:r>
        <w:rPr>
          <w:rFonts w:ascii="Times New Roman"/>
        </w:rPr>
        <w:t>.4.2</w:t>
      </w:r>
      <w:r>
        <w:rPr>
          <w:rFonts w:hint="eastAsia" w:ascii="Times New Roman"/>
        </w:rPr>
        <w:t>，2</w:t>
      </w:r>
      <w:r>
        <w:rPr>
          <w:rFonts w:ascii="Times New Roman"/>
        </w:rPr>
        <w:t>018</w:t>
      </w:r>
      <w:r>
        <w:rPr>
          <w:rFonts w:hint="eastAsia" w:ascii="Times New Roman"/>
        </w:rPr>
        <w:t>年版的6</w:t>
      </w:r>
      <w:r>
        <w:rPr>
          <w:rFonts w:ascii="Times New Roman"/>
        </w:rPr>
        <w:t>.4）</w:t>
      </w:r>
      <w:r>
        <w:rPr>
          <w:rFonts w:hint="eastAsia" w:ascii="Times New Roman"/>
        </w:rPr>
        <w:t>；</w:t>
      </w:r>
      <w:bookmarkEnd w:id="25"/>
    </w:p>
    <w:p>
      <w:pPr>
        <w:pStyle w:val="180"/>
        <w:numPr>
          <w:ilvl w:val="0"/>
          <w:numId w:val="34"/>
        </w:numPr>
        <w:rPr>
          <w:rFonts w:ascii="Times New Roman"/>
        </w:rPr>
      </w:pPr>
      <w:r>
        <w:rPr>
          <w:rFonts w:hint="eastAsia" w:ascii="Times New Roman"/>
        </w:rPr>
        <w:t>更</w:t>
      </w:r>
      <w:r>
        <w:rPr>
          <w:rFonts w:ascii="Times New Roman"/>
        </w:rPr>
        <w:t>改了耐火时间要求（见6.6，2018年版的5.4.3）；</w:t>
      </w:r>
    </w:p>
    <w:p>
      <w:pPr>
        <w:pStyle w:val="180"/>
        <w:numPr>
          <w:ilvl w:val="0"/>
          <w:numId w:val="34"/>
        </w:numPr>
        <w:rPr>
          <w:rFonts w:ascii="Times New Roman"/>
        </w:rPr>
      </w:pPr>
      <w:bookmarkStart w:id="26" w:name="_Hlk57848910"/>
      <w:r>
        <w:rPr>
          <w:rFonts w:hint="eastAsia" w:ascii="Times New Roman"/>
        </w:rPr>
        <w:t>更改了</w:t>
      </w:r>
      <w:r>
        <w:rPr>
          <w:rFonts w:ascii="Times New Roman"/>
        </w:rPr>
        <w:t>盐雾时间</w:t>
      </w:r>
      <w:r>
        <w:rPr>
          <w:rFonts w:hint="eastAsia" w:ascii="Times New Roman"/>
        </w:rPr>
        <w:t>的</w:t>
      </w:r>
      <w:r>
        <w:rPr>
          <w:rFonts w:ascii="Times New Roman"/>
        </w:rPr>
        <w:t>要求（见6.7，2018年版的6.8）；</w:t>
      </w:r>
    </w:p>
    <w:bookmarkEnd w:id="26"/>
    <w:p>
      <w:pPr>
        <w:pStyle w:val="180"/>
        <w:numPr>
          <w:ilvl w:val="0"/>
          <w:numId w:val="34"/>
        </w:numPr>
        <w:rPr>
          <w:rFonts w:ascii="Times New Roman"/>
        </w:rPr>
      </w:pPr>
      <w:r>
        <w:rPr>
          <w:rFonts w:ascii="Times New Roman"/>
        </w:rPr>
        <w:t>删除了不锈钢材质盐雾试验</w:t>
      </w:r>
      <w:r>
        <w:rPr>
          <w:rFonts w:hint="eastAsia" w:ascii="Times New Roman"/>
        </w:rPr>
        <w:t>的</w:t>
      </w:r>
      <w:r>
        <w:rPr>
          <w:rFonts w:ascii="Times New Roman"/>
        </w:rPr>
        <w:t>要求（见2018年版的6.8.5）</w:t>
      </w:r>
      <w:r>
        <w:rPr>
          <w:rFonts w:hint="eastAsia" w:ascii="Times New Roman"/>
        </w:rPr>
        <w:t xml:space="preserve">； </w:t>
      </w:r>
    </w:p>
    <w:p>
      <w:pPr>
        <w:pStyle w:val="180"/>
        <w:numPr>
          <w:ilvl w:val="0"/>
          <w:numId w:val="34"/>
        </w:numPr>
        <w:rPr>
          <w:rFonts w:ascii="Times New Roman"/>
        </w:rPr>
      </w:pPr>
      <w:r>
        <w:rPr>
          <w:rFonts w:ascii="Times New Roman"/>
        </w:rPr>
        <w:t>删除了疲劳性能的要求及试验方法（见2018年版的5.4.2，6.6）；</w:t>
      </w:r>
    </w:p>
    <w:p>
      <w:pPr>
        <w:pStyle w:val="180"/>
        <w:numPr>
          <w:ilvl w:val="0"/>
          <w:numId w:val="34"/>
        </w:numPr>
        <w:rPr>
          <w:rFonts w:ascii="Times New Roman"/>
        </w:rPr>
      </w:pPr>
      <w:r>
        <w:rPr>
          <w:rFonts w:hint="eastAsia" w:ascii="Times New Roman"/>
        </w:rPr>
        <w:t>更改</w:t>
      </w:r>
      <w:r>
        <w:rPr>
          <w:rFonts w:ascii="Times New Roman"/>
        </w:rPr>
        <w:t>了组件循环加载</w:t>
      </w:r>
      <w:r>
        <w:rPr>
          <w:rFonts w:hint="eastAsia" w:ascii="Times New Roman"/>
        </w:rPr>
        <w:t>性能</w:t>
      </w:r>
      <w:r>
        <w:rPr>
          <w:rFonts w:ascii="Times New Roman"/>
        </w:rPr>
        <w:t>的</w:t>
      </w:r>
      <w:r>
        <w:rPr>
          <w:rFonts w:hint="eastAsia" w:ascii="Times New Roman"/>
        </w:rPr>
        <w:t>试验方法</w:t>
      </w:r>
      <w:r>
        <w:rPr>
          <w:rFonts w:ascii="Times New Roman"/>
        </w:rPr>
        <w:t>（见7.5.1，7.5.2）；</w:t>
      </w:r>
      <w:bookmarkStart w:id="27" w:name="_Hlk57851829"/>
    </w:p>
    <w:p>
      <w:pPr>
        <w:pStyle w:val="180"/>
        <w:numPr>
          <w:ilvl w:val="0"/>
          <w:numId w:val="34"/>
        </w:numPr>
        <w:rPr>
          <w:rFonts w:ascii="Times New Roman"/>
        </w:rPr>
      </w:pPr>
      <w:r>
        <w:rPr>
          <w:rFonts w:ascii="Times New Roman"/>
        </w:rPr>
        <w:t>增加了抗震连接件与管道连接件为出厂检验项</w:t>
      </w:r>
      <w:r>
        <w:rPr>
          <w:rFonts w:hint="eastAsia" w:ascii="Times New Roman"/>
        </w:rPr>
        <w:t>目</w:t>
      </w:r>
      <w:r>
        <w:rPr>
          <w:rFonts w:ascii="Times New Roman"/>
        </w:rPr>
        <w:t>（见8.2）；</w:t>
      </w:r>
    </w:p>
    <w:p>
      <w:pPr>
        <w:pStyle w:val="180"/>
        <w:numPr>
          <w:ilvl w:val="0"/>
          <w:numId w:val="34"/>
        </w:numPr>
        <w:rPr>
          <w:rFonts w:ascii="Times New Roman"/>
        </w:rPr>
      </w:pPr>
      <w:r>
        <w:rPr>
          <w:rFonts w:hint="eastAsia" w:ascii="Times New Roman"/>
        </w:rPr>
        <w:t>更</w:t>
      </w:r>
      <w:r>
        <w:rPr>
          <w:rFonts w:ascii="Times New Roman"/>
        </w:rPr>
        <w:t>改了型式检验的有效时长（见8.3.1，2018年版的7.1.3.1）；</w:t>
      </w:r>
    </w:p>
    <w:p>
      <w:pPr>
        <w:pStyle w:val="180"/>
        <w:numPr>
          <w:ilvl w:val="0"/>
          <w:numId w:val="34"/>
        </w:numPr>
        <w:rPr>
          <w:rFonts w:ascii="Times New Roman"/>
        </w:rPr>
      </w:pPr>
      <w:r>
        <w:rPr>
          <w:rFonts w:ascii="Times New Roman"/>
        </w:rPr>
        <w:t>增加了做型式检验试验的条件[见8.3.1d）]；</w:t>
      </w:r>
    </w:p>
    <w:bookmarkEnd w:id="27"/>
    <w:p>
      <w:pPr>
        <w:pStyle w:val="180"/>
        <w:numPr>
          <w:ilvl w:val="0"/>
          <w:numId w:val="34"/>
        </w:numPr>
        <w:rPr>
          <w:rFonts w:ascii="Times New Roman"/>
        </w:rPr>
      </w:pPr>
      <w:bookmarkStart w:id="28" w:name="_Hlk57851883"/>
      <w:r>
        <w:rPr>
          <w:rFonts w:ascii="Times New Roman"/>
        </w:rPr>
        <w:t>增加了A、D两种抗震连接件的不同连接型式</w:t>
      </w:r>
      <w:r>
        <w:rPr>
          <w:rFonts w:hint="eastAsia" w:ascii="Times New Roman"/>
        </w:rPr>
        <w:t>（</w:t>
      </w:r>
      <w:r>
        <w:rPr>
          <w:rFonts w:ascii="Times New Roman"/>
        </w:rPr>
        <w:t>见</w:t>
      </w:r>
      <w:r>
        <w:rPr>
          <w:rFonts w:hint="eastAsia" w:ascii="Times New Roman"/>
        </w:rPr>
        <w:t>附录</w:t>
      </w:r>
      <w:r>
        <w:rPr>
          <w:rFonts w:ascii="Times New Roman"/>
        </w:rPr>
        <w:t>A</w:t>
      </w:r>
      <w:r>
        <w:rPr>
          <w:rFonts w:hint="eastAsia" w:ascii="Times New Roman"/>
        </w:rPr>
        <w:t>）</w:t>
      </w:r>
      <w:r>
        <w:rPr>
          <w:rFonts w:ascii="Times New Roman"/>
        </w:rPr>
        <w:t>；</w:t>
      </w:r>
    </w:p>
    <w:p>
      <w:pPr>
        <w:pStyle w:val="180"/>
        <w:numPr>
          <w:ilvl w:val="0"/>
          <w:numId w:val="34"/>
        </w:numPr>
        <w:rPr>
          <w:rFonts w:ascii="Times New Roman"/>
        </w:rPr>
      </w:pPr>
      <w:r>
        <w:rPr>
          <w:rFonts w:ascii="Times New Roman"/>
        </w:rPr>
        <w:t>增加了对管夹侧向和纵向的分类及各类型型式图</w:t>
      </w:r>
      <w:r>
        <w:rPr>
          <w:rFonts w:hint="eastAsia" w:ascii="Times New Roman"/>
        </w:rPr>
        <w:t>（</w:t>
      </w:r>
      <w:r>
        <w:rPr>
          <w:rFonts w:ascii="Times New Roman"/>
        </w:rPr>
        <w:t>见</w:t>
      </w:r>
      <w:r>
        <w:rPr>
          <w:rFonts w:hint="eastAsia" w:ascii="Times New Roman"/>
        </w:rPr>
        <w:t>附录</w:t>
      </w:r>
      <w:r>
        <w:rPr>
          <w:rFonts w:ascii="Times New Roman"/>
        </w:rPr>
        <w:t>B</w:t>
      </w:r>
      <w:r>
        <w:rPr>
          <w:rFonts w:hint="eastAsia" w:ascii="Times New Roman"/>
        </w:rPr>
        <w:t>）</w:t>
      </w:r>
      <w:r>
        <w:rPr>
          <w:rFonts w:ascii="Times New Roman"/>
        </w:rPr>
        <w:t>；</w:t>
      </w:r>
      <w:bookmarkEnd w:id="28"/>
    </w:p>
    <w:p>
      <w:pPr>
        <w:pStyle w:val="180"/>
        <w:numPr>
          <w:ilvl w:val="0"/>
          <w:numId w:val="34"/>
        </w:numPr>
        <w:rPr>
          <w:rFonts w:ascii="Times New Roman"/>
        </w:rPr>
      </w:pPr>
      <w:r>
        <w:rPr>
          <w:rFonts w:ascii="Times New Roman"/>
        </w:rPr>
        <w:t>增加了抗震支吊架斜撑杆件、横杆、立杆用带齿C槽钢截面参数</w:t>
      </w:r>
      <w:r>
        <w:rPr>
          <w:rFonts w:hint="eastAsia" w:ascii="Times New Roman"/>
        </w:rPr>
        <w:t>（</w:t>
      </w:r>
      <w:r>
        <w:rPr>
          <w:rFonts w:ascii="Times New Roman"/>
        </w:rPr>
        <w:t>见</w:t>
      </w:r>
      <w:r>
        <w:rPr>
          <w:rFonts w:hint="eastAsia" w:ascii="Times New Roman"/>
        </w:rPr>
        <w:t>附录</w:t>
      </w:r>
      <w:r>
        <w:rPr>
          <w:rFonts w:ascii="Times New Roman"/>
        </w:rPr>
        <w:t>C</w:t>
      </w:r>
      <w:r>
        <w:rPr>
          <w:rFonts w:hint="eastAsia" w:ascii="Times New Roman"/>
        </w:rPr>
        <w:t>）</w:t>
      </w:r>
      <w:r>
        <w:rPr>
          <w:rFonts w:ascii="Times New Roman"/>
        </w:rPr>
        <w:t>；</w:t>
      </w:r>
    </w:p>
    <w:p>
      <w:pPr>
        <w:pStyle w:val="180"/>
        <w:numPr>
          <w:ilvl w:val="0"/>
          <w:numId w:val="34"/>
        </w:numPr>
        <w:rPr>
          <w:rFonts w:ascii="Times New Roman"/>
        </w:rPr>
      </w:pPr>
      <w:r>
        <w:rPr>
          <w:rFonts w:hint="eastAsia" w:ascii="Times New Roman"/>
        </w:rPr>
        <w:t>更</w:t>
      </w:r>
      <w:r>
        <w:rPr>
          <w:rFonts w:ascii="Times New Roman"/>
        </w:rPr>
        <w:t>改了附录D中支吊架结构型式示意图D.1~D.7</w:t>
      </w:r>
      <w:r>
        <w:rPr>
          <w:rFonts w:hint="eastAsia" w:ascii="Times New Roman"/>
        </w:rPr>
        <w:t>（</w:t>
      </w:r>
      <w:r>
        <w:rPr>
          <w:rFonts w:ascii="Times New Roman"/>
        </w:rPr>
        <w:t>见</w:t>
      </w:r>
      <w:r>
        <w:rPr>
          <w:rFonts w:hint="eastAsia" w:ascii="Times New Roman"/>
        </w:rPr>
        <w:t>附录</w:t>
      </w:r>
      <w:r>
        <w:rPr>
          <w:rFonts w:ascii="Times New Roman"/>
        </w:rPr>
        <w:t>D</w:t>
      </w:r>
      <w:r>
        <w:rPr>
          <w:rFonts w:hint="eastAsia" w:ascii="Times New Roman"/>
        </w:rPr>
        <w:t>）</w:t>
      </w:r>
      <w:r>
        <w:rPr>
          <w:rFonts w:ascii="Times New Roman"/>
        </w:rPr>
        <w:t>；</w:t>
      </w:r>
    </w:p>
    <w:p>
      <w:pPr>
        <w:pStyle w:val="180"/>
        <w:numPr>
          <w:ilvl w:val="0"/>
          <w:numId w:val="34"/>
        </w:numPr>
        <w:rPr>
          <w:rFonts w:ascii="Times New Roman"/>
        </w:rPr>
      </w:pPr>
      <w:r>
        <w:rPr>
          <w:rFonts w:ascii="Times New Roman"/>
        </w:rPr>
        <w:t>增加了模拟地震振动台试验方法</w:t>
      </w:r>
      <w:r>
        <w:rPr>
          <w:rFonts w:hint="eastAsia" w:ascii="Times New Roman"/>
        </w:rPr>
        <w:t>（</w:t>
      </w:r>
      <w:r>
        <w:rPr>
          <w:rFonts w:ascii="Times New Roman"/>
        </w:rPr>
        <w:t>见</w:t>
      </w:r>
      <w:r>
        <w:rPr>
          <w:rFonts w:hint="eastAsia" w:ascii="Times New Roman"/>
        </w:rPr>
        <w:t>附录</w:t>
      </w:r>
      <w:r>
        <w:rPr>
          <w:rFonts w:ascii="Times New Roman"/>
        </w:rPr>
        <w:t>E</w:t>
      </w:r>
      <w:r>
        <w:rPr>
          <w:rFonts w:hint="eastAsia" w:ascii="Times New Roman"/>
        </w:rPr>
        <w:t>）</w:t>
      </w:r>
      <w:r>
        <w:rPr>
          <w:rFonts w:ascii="Times New Roman"/>
        </w:rPr>
        <w:t>；</w:t>
      </w:r>
    </w:p>
    <w:p>
      <w:pPr>
        <w:pStyle w:val="180"/>
        <w:numPr>
          <w:ilvl w:val="0"/>
          <w:numId w:val="34"/>
        </w:numPr>
        <w:rPr>
          <w:rFonts w:ascii="Times New Roman"/>
        </w:rPr>
      </w:pPr>
      <w:r>
        <w:rPr>
          <w:rFonts w:ascii="Times New Roman"/>
        </w:rPr>
        <w:t>增加了对试验数据的处理方法</w:t>
      </w:r>
      <w:r>
        <w:rPr>
          <w:rFonts w:hint="eastAsia" w:ascii="Times New Roman"/>
        </w:rPr>
        <w:t>（</w:t>
      </w:r>
      <w:r>
        <w:rPr>
          <w:rFonts w:ascii="Times New Roman"/>
        </w:rPr>
        <w:t>见</w:t>
      </w:r>
      <w:r>
        <w:rPr>
          <w:rFonts w:hint="eastAsia" w:ascii="Times New Roman"/>
        </w:rPr>
        <w:t>附录</w:t>
      </w:r>
      <w:r>
        <w:rPr>
          <w:rFonts w:ascii="Times New Roman"/>
        </w:rPr>
        <w:t>F</w:t>
      </w:r>
      <w:r>
        <w:rPr>
          <w:rFonts w:hint="eastAsia" w:ascii="Times New Roman"/>
        </w:rPr>
        <w:t>）</w:t>
      </w:r>
      <w:r>
        <w:rPr>
          <w:rFonts w:ascii="Times New Roman"/>
        </w:rPr>
        <w:t>；</w:t>
      </w:r>
    </w:p>
    <w:p>
      <w:pPr>
        <w:pStyle w:val="180"/>
        <w:numPr>
          <w:ilvl w:val="0"/>
          <w:numId w:val="34"/>
        </w:numPr>
        <w:rPr>
          <w:rFonts w:ascii="Times New Roman"/>
        </w:rPr>
      </w:pPr>
      <w:r>
        <w:rPr>
          <w:rFonts w:ascii="Times New Roman"/>
        </w:rPr>
        <w:t>增加了抗震支吊架性能说明书</w:t>
      </w:r>
      <w:r>
        <w:rPr>
          <w:rFonts w:hint="eastAsia" w:ascii="Times New Roman"/>
        </w:rPr>
        <w:t>（</w:t>
      </w:r>
      <w:r>
        <w:rPr>
          <w:rFonts w:ascii="Times New Roman"/>
        </w:rPr>
        <w:t>见</w:t>
      </w:r>
      <w:r>
        <w:rPr>
          <w:rFonts w:hint="eastAsia" w:ascii="Times New Roman"/>
        </w:rPr>
        <w:t>附录</w:t>
      </w:r>
      <w:r>
        <w:rPr>
          <w:rFonts w:ascii="Times New Roman"/>
        </w:rPr>
        <w:t>G</w:t>
      </w:r>
      <w:r>
        <w:rPr>
          <w:rFonts w:hint="eastAsia" w:ascii="Times New Roman"/>
        </w:rPr>
        <w:t>）</w:t>
      </w:r>
      <w:r>
        <w:rPr>
          <w:rFonts w:ascii="Times New Roman"/>
        </w:rPr>
        <w:t>。</w:t>
      </w:r>
    </w:p>
    <w:p>
      <w:pPr>
        <w:pStyle w:val="62"/>
        <w:ind w:firstLine="420"/>
        <w:rPr>
          <w:rFonts w:ascii="Times New Roman"/>
        </w:rPr>
      </w:pPr>
      <w:r>
        <w:rPr>
          <w:rFonts w:ascii="Times New Roman"/>
        </w:rPr>
        <w:t>本文件由</w:t>
      </w:r>
      <w:r>
        <w:rPr>
          <w:rFonts w:ascii="Times New Roman"/>
          <w:szCs w:val="21"/>
        </w:rPr>
        <w:t>中华人民共和国住房和城乡建设部</w:t>
      </w:r>
      <w:r>
        <w:rPr>
          <w:rFonts w:ascii="Times New Roman"/>
        </w:rPr>
        <w:t>提出。</w:t>
      </w:r>
    </w:p>
    <w:p>
      <w:pPr>
        <w:pStyle w:val="62"/>
        <w:ind w:firstLine="420"/>
        <w:rPr>
          <w:rFonts w:ascii="Times New Roman"/>
        </w:rPr>
      </w:pPr>
      <w:r>
        <w:rPr>
          <w:rFonts w:ascii="Times New Roman"/>
        </w:rPr>
        <w:t>本文件由</w:t>
      </w:r>
      <w:r>
        <w:rPr>
          <w:rFonts w:ascii="Times New Roman"/>
          <w:szCs w:val="21"/>
        </w:rPr>
        <w:t>全国建筑构配件标准化技术委员会（SAC/TC 454）</w:t>
      </w:r>
      <w:r>
        <w:rPr>
          <w:rFonts w:ascii="Times New Roman"/>
        </w:rPr>
        <w:t>归口。</w:t>
      </w:r>
    </w:p>
    <w:p>
      <w:pPr>
        <w:pStyle w:val="62"/>
        <w:ind w:firstLine="420"/>
        <w:rPr>
          <w:rFonts w:ascii="Times New Roman"/>
        </w:rPr>
      </w:pPr>
      <w:r>
        <w:rPr>
          <w:rFonts w:ascii="Times New Roman"/>
        </w:rPr>
        <w:t>本文件起草单位：</w:t>
      </w:r>
    </w:p>
    <w:p>
      <w:pPr>
        <w:pStyle w:val="62"/>
        <w:ind w:firstLine="420"/>
        <w:rPr>
          <w:rFonts w:ascii="Times New Roman"/>
        </w:rPr>
      </w:pPr>
      <w:r>
        <w:rPr>
          <w:rFonts w:ascii="Times New Roman"/>
        </w:rPr>
        <w:t>本文件主要起草人：</w:t>
      </w:r>
    </w:p>
    <w:p>
      <w:pPr>
        <w:pStyle w:val="62"/>
        <w:ind w:firstLine="420"/>
        <w:rPr>
          <w:rFonts w:ascii="Times New Roman"/>
        </w:rPr>
      </w:pPr>
      <w:r>
        <w:rPr>
          <w:rFonts w:ascii="Times New Roman"/>
        </w:rPr>
        <w:t>本文件及其所代替文件的历次版本发布情况为：</w:t>
      </w:r>
    </w:p>
    <w:p>
      <w:pPr>
        <w:pStyle w:val="62"/>
        <w:ind w:firstLine="420"/>
        <w:rPr>
          <w:rFonts w:ascii="Times New Roman"/>
        </w:rPr>
      </w:pPr>
      <w:r>
        <w:rPr>
          <w:rFonts w:ascii="Times New Roman"/>
        </w:rPr>
        <w:softHyphen/>
      </w:r>
      <w:r>
        <w:rPr>
          <w:rFonts w:ascii="Times New Roman"/>
        </w:rPr>
        <w:softHyphen/>
      </w:r>
      <w:r>
        <w:rPr>
          <w:rFonts w:ascii="Times New Roman"/>
        </w:rPr>
        <w:softHyphen/>
      </w:r>
      <w:r>
        <w:rPr>
          <w:rFonts w:ascii="Times New Roman"/>
        </w:rPr>
        <w:softHyphen/>
      </w:r>
      <w:r>
        <w:rPr>
          <w:rFonts w:ascii="Times New Roman"/>
        </w:rPr>
        <w:t>──2018年首次发布为GB/T 37267-2018</w:t>
      </w:r>
      <w:r>
        <w:rPr>
          <w:rFonts w:hint="eastAsia" w:ascii="Times New Roman"/>
        </w:rPr>
        <w:t>；</w:t>
      </w:r>
    </w:p>
    <w:p>
      <w:pPr>
        <w:pStyle w:val="62"/>
        <w:ind w:firstLine="420"/>
        <w:rPr>
          <w:rFonts w:ascii="Times New Roman"/>
        </w:rPr>
      </w:pPr>
      <w:r>
        <w:rPr>
          <w:rFonts w:ascii="Times New Roman"/>
        </w:rPr>
        <w:t>──本次为第一次修订。</w:t>
      </w:r>
    </w:p>
    <w:p>
      <w:pPr>
        <w:widowControl/>
        <w:adjustRightInd/>
        <w:spacing w:line="240" w:lineRule="auto"/>
        <w:jc w:val="left"/>
        <w:sectPr>
          <w:footerReference r:id="rId12" w:type="default"/>
          <w:pgSz w:w="11906" w:h="16838"/>
          <w:pgMar w:top="2410" w:right="1134" w:bottom="1134" w:left="1134" w:header="1418" w:footer="1134" w:gutter="284"/>
          <w:pgNumType w:fmt="upperRoman"/>
          <w:cols w:space="425" w:num="1"/>
          <w:formProt w:val="0"/>
          <w:docGrid w:type="lines" w:linePitch="312" w:charSpace="0"/>
        </w:sectPr>
      </w:pPr>
      <w:r>
        <w:br w:type="page"/>
      </w:r>
    </w:p>
    <w:p>
      <w:pPr>
        <w:widowControl/>
        <w:adjustRightInd/>
        <w:spacing w:line="240" w:lineRule="auto"/>
        <w:jc w:val="left"/>
        <w:rPr>
          <w:rFonts w:ascii="宋体" w:hAnsi="Times New Roman"/>
          <w:kern w:val="0"/>
          <w:szCs w:val="20"/>
        </w:rPr>
      </w:pPr>
    </w:p>
    <w:bookmarkEnd w:id="23"/>
    <w:p>
      <w:pPr>
        <w:spacing w:line="20" w:lineRule="exact"/>
        <w:jc w:val="center"/>
        <w:rPr>
          <w:rFonts w:ascii="黑体" w:hAnsi="黑体" w:eastAsia="黑体"/>
          <w:sz w:val="32"/>
          <w:szCs w:val="32"/>
        </w:rPr>
      </w:pPr>
      <w:bookmarkStart w:id="29" w:name="BookMark4"/>
    </w:p>
    <w:p>
      <w:pPr>
        <w:spacing w:line="20" w:lineRule="exact"/>
        <w:jc w:val="center"/>
        <w:rPr>
          <w:rFonts w:ascii="黑体" w:hAnsi="黑体" w:eastAsia="黑体"/>
          <w:sz w:val="32"/>
          <w:szCs w:val="32"/>
        </w:rPr>
      </w:pPr>
    </w:p>
    <w:sdt>
      <w:sdtPr>
        <w:tag w:val="NEW_STAND_NAME"/>
        <w:id w:val="595910757"/>
        <w:lock w:val="sdtLocked"/>
        <w:placeholder>
          <w:docPart w:val="2F1C4F34C0034973A882CF4530140B22"/>
        </w:placeholder>
      </w:sdtPr>
      <w:sdtContent>
        <w:p>
          <w:pPr>
            <w:pStyle w:val="183"/>
            <w:spacing w:before="3" w:beforeLines="1" w:after="686" w:afterLines="220"/>
          </w:pPr>
          <w:bookmarkStart w:id="30" w:name="NEW_STAND_NAME"/>
          <w:r>
            <w:t>建筑抗震支吊架通用技术条件</w:t>
          </w:r>
        </w:p>
      </w:sdtContent>
    </w:sdt>
    <w:bookmarkEnd w:id="30"/>
    <w:p>
      <w:pPr>
        <w:pStyle w:val="110"/>
        <w:spacing w:before="312" w:after="312"/>
        <w:rPr>
          <w:szCs w:val="21"/>
        </w:rPr>
      </w:pPr>
      <w:bookmarkStart w:id="31" w:name="_Toc90303264"/>
      <w:bookmarkStart w:id="32" w:name="_Toc17233325"/>
      <w:bookmarkStart w:id="33" w:name="_Toc24884211"/>
      <w:bookmarkStart w:id="34" w:name="_Toc81322358"/>
      <w:bookmarkStart w:id="35" w:name="_Toc17233333"/>
      <w:bookmarkStart w:id="36" w:name="_Toc26986771"/>
      <w:bookmarkStart w:id="37" w:name="_Toc26986530"/>
      <w:bookmarkStart w:id="38" w:name="_Toc26648465"/>
      <w:bookmarkStart w:id="39" w:name="_Toc26718930"/>
      <w:bookmarkStart w:id="40" w:name="_Toc81322405"/>
      <w:bookmarkStart w:id="41" w:name="_Toc128552129"/>
      <w:bookmarkStart w:id="42" w:name="_Toc135225124"/>
      <w:bookmarkStart w:id="43" w:name="_Toc24884218"/>
      <w:r>
        <w:rPr>
          <w:szCs w:val="21"/>
        </w:rPr>
        <w:t>范围</w:t>
      </w:r>
      <w:bookmarkEnd w:id="31"/>
      <w:bookmarkEnd w:id="32"/>
      <w:bookmarkEnd w:id="33"/>
      <w:bookmarkEnd w:id="34"/>
      <w:bookmarkEnd w:id="35"/>
      <w:bookmarkEnd w:id="36"/>
      <w:bookmarkEnd w:id="37"/>
      <w:bookmarkEnd w:id="38"/>
      <w:bookmarkEnd w:id="39"/>
      <w:bookmarkEnd w:id="40"/>
      <w:bookmarkEnd w:id="41"/>
      <w:bookmarkEnd w:id="42"/>
      <w:bookmarkEnd w:id="43"/>
    </w:p>
    <w:p>
      <w:pPr>
        <w:pStyle w:val="62"/>
        <w:ind w:firstLine="420"/>
        <w:rPr>
          <w:rFonts w:ascii="Times New Roman"/>
        </w:rPr>
      </w:pPr>
      <w:r>
        <w:rPr>
          <w:rFonts w:ascii="Times New Roman"/>
        </w:rPr>
        <w:t>本文件规定了建筑抗震支吊架的分类和标记、通用要求、要求、试验方法、检验规则、标志、包装、运输和贮存。</w:t>
      </w:r>
    </w:p>
    <w:p>
      <w:pPr>
        <w:pStyle w:val="62"/>
        <w:ind w:firstLine="420"/>
        <w:rPr>
          <w:rFonts w:ascii="Times New Roman"/>
        </w:rPr>
      </w:pPr>
      <w:r>
        <w:rPr>
          <w:rFonts w:ascii="Times New Roman"/>
        </w:rPr>
        <w:t>本文件适用于抗震设防烈度为6度至9度地区的建筑给排水、供暖通风与空调、电气、消防、燃气、其他气体等系统用抗震支吊架的产品设计、制造和检验。</w:t>
      </w:r>
    </w:p>
    <w:p>
      <w:pPr>
        <w:pStyle w:val="62"/>
        <w:ind w:firstLine="420"/>
        <w:rPr>
          <w:rFonts w:ascii="Times New Roman"/>
        </w:rPr>
      </w:pPr>
      <w:bookmarkStart w:id="44" w:name="_Toc26648466"/>
      <w:bookmarkStart w:id="45" w:name="_Toc17233326"/>
      <w:bookmarkStart w:id="46" w:name="_Toc17233334"/>
      <w:bookmarkStart w:id="47" w:name="_Toc24884212"/>
      <w:bookmarkStart w:id="48" w:name="_Toc24884219"/>
    </w:p>
    <w:p>
      <w:pPr>
        <w:pStyle w:val="110"/>
        <w:spacing w:before="312" w:after="312"/>
        <w:rPr>
          <w:szCs w:val="21"/>
        </w:rPr>
      </w:pPr>
      <w:bookmarkStart w:id="49" w:name="_Toc81322359"/>
      <w:bookmarkStart w:id="50" w:name="_Toc128552130"/>
      <w:bookmarkStart w:id="51" w:name="_Toc81322406"/>
      <w:bookmarkStart w:id="52" w:name="_Toc90303265"/>
      <w:bookmarkStart w:id="53" w:name="_Toc26986772"/>
      <w:bookmarkStart w:id="54" w:name="_Toc26718931"/>
      <w:bookmarkStart w:id="55" w:name="_Toc26986531"/>
      <w:bookmarkStart w:id="56" w:name="_Toc135225125"/>
      <w:r>
        <w:rPr>
          <w:szCs w:val="21"/>
        </w:rPr>
        <w:t>规范性引用文件</w:t>
      </w:r>
      <w:bookmarkEnd w:id="44"/>
      <w:bookmarkEnd w:id="45"/>
      <w:bookmarkEnd w:id="46"/>
      <w:bookmarkEnd w:id="47"/>
      <w:bookmarkEnd w:id="48"/>
      <w:bookmarkEnd w:id="49"/>
      <w:bookmarkEnd w:id="50"/>
      <w:bookmarkEnd w:id="51"/>
      <w:bookmarkEnd w:id="52"/>
      <w:bookmarkEnd w:id="53"/>
      <w:bookmarkEnd w:id="54"/>
      <w:bookmarkEnd w:id="55"/>
      <w:bookmarkEnd w:id="56"/>
    </w:p>
    <w:p>
      <w:pPr>
        <w:pStyle w:val="62"/>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62"/>
        <w:ind w:firstLine="420"/>
        <w:rPr>
          <w:rFonts w:ascii="Times New Roman"/>
        </w:rPr>
      </w:pPr>
      <w:r>
        <w:rPr>
          <w:rFonts w:ascii="Times New Roman"/>
        </w:rPr>
        <w:t>GB/T 93    标准型弹簧垫圈</w:t>
      </w:r>
    </w:p>
    <w:p>
      <w:pPr>
        <w:pStyle w:val="62"/>
        <w:ind w:firstLine="420"/>
        <w:rPr>
          <w:rFonts w:ascii="Times New Roman"/>
        </w:rPr>
      </w:pPr>
      <w:r>
        <w:rPr>
          <w:rFonts w:ascii="Times New Roman"/>
        </w:rPr>
        <w:t>GB/T 95    平垫圈 C级</w:t>
      </w:r>
    </w:p>
    <w:p>
      <w:pPr>
        <w:pStyle w:val="62"/>
        <w:ind w:firstLine="420"/>
        <w:rPr>
          <w:rFonts w:ascii="Times New Roman"/>
        </w:rPr>
      </w:pPr>
      <w:r>
        <w:rPr>
          <w:rFonts w:ascii="Times New Roman"/>
        </w:rPr>
        <w:t>GB/T 191    包装储运图示标志</w:t>
      </w:r>
    </w:p>
    <w:p>
      <w:pPr>
        <w:pStyle w:val="62"/>
        <w:ind w:firstLine="420"/>
        <w:rPr>
          <w:rFonts w:ascii="Times New Roman"/>
        </w:rPr>
      </w:pPr>
      <w:r>
        <w:rPr>
          <w:rFonts w:ascii="Times New Roman"/>
        </w:rPr>
        <w:t>GB/T 700    碳素结构钢</w:t>
      </w:r>
    </w:p>
    <w:p>
      <w:pPr>
        <w:pStyle w:val="62"/>
        <w:ind w:firstLine="420"/>
        <w:rPr>
          <w:rFonts w:ascii="Times New Roman"/>
        </w:rPr>
      </w:pPr>
      <w:r>
        <w:rPr>
          <w:rFonts w:ascii="Times New Roman"/>
        </w:rPr>
        <w:t>GB/T 709    热轧钢板和钢带的尺寸、外形、重量及允许偏差</w:t>
      </w:r>
    </w:p>
    <w:p>
      <w:pPr>
        <w:pStyle w:val="62"/>
        <w:ind w:firstLine="420"/>
        <w:rPr>
          <w:rFonts w:ascii="Times New Roman"/>
        </w:rPr>
      </w:pPr>
      <w:r>
        <w:rPr>
          <w:rFonts w:ascii="Times New Roman"/>
        </w:rPr>
        <w:t>GB/T 1804    一般公差    未注公差的线性和角度尺寸的公差</w:t>
      </w:r>
    </w:p>
    <w:p>
      <w:pPr>
        <w:pStyle w:val="62"/>
        <w:ind w:firstLine="420"/>
        <w:rPr>
          <w:rFonts w:ascii="Times New Roman"/>
        </w:rPr>
      </w:pPr>
      <w:r>
        <w:rPr>
          <w:rFonts w:ascii="Times New Roman"/>
        </w:rPr>
        <w:t>GB/T 2518    连续热镀锌和锌合金镀层钢板及钢带</w:t>
      </w:r>
    </w:p>
    <w:p>
      <w:pPr>
        <w:pStyle w:val="62"/>
        <w:ind w:firstLine="420"/>
        <w:rPr>
          <w:rFonts w:ascii="Times New Roman"/>
        </w:rPr>
      </w:pPr>
      <w:r>
        <w:rPr>
          <w:rFonts w:ascii="Times New Roman"/>
        </w:rPr>
        <w:t>GB/T 3098.1    紧固件机械性能    螺栓、螺钉和螺柱</w:t>
      </w:r>
    </w:p>
    <w:p>
      <w:pPr>
        <w:pStyle w:val="62"/>
        <w:ind w:firstLine="420"/>
        <w:rPr>
          <w:rFonts w:ascii="Times New Roman"/>
        </w:rPr>
      </w:pPr>
      <w:r>
        <w:rPr>
          <w:rFonts w:ascii="Times New Roman"/>
        </w:rPr>
        <w:t xml:space="preserve">GB/T 3098.2    紧固件机械性能  </w:t>
      </w:r>
      <w:r>
        <w:rPr>
          <w:rFonts w:ascii="Times New Roman"/>
        </w:rPr>
        <w:tab/>
      </w:r>
      <w:r>
        <w:rPr>
          <w:rFonts w:ascii="Times New Roman"/>
        </w:rPr>
        <w:t xml:space="preserve">  螺母</w:t>
      </w:r>
    </w:p>
    <w:p>
      <w:pPr>
        <w:pStyle w:val="62"/>
        <w:ind w:firstLine="420"/>
        <w:rPr>
          <w:rFonts w:ascii="Times New Roman"/>
        </w:rPr>
      </w:pPr>
      <w:r>
        <w:rPr>
          <w:rFonts w:ascii="Times New Roman"/>
        </w:rPr>
        <w:t>GB/T 3098.6    紧固件机械性能    不锈钢螺栓、螺钉和螺柱</w:t>
      </w:r>
    </w:p>
    <w:p>
      <w:pPr>
        <w:pStyle w:val="62"/>
        <w:ind w:firstLine="420"/>
        <w:rPr>
          <w:rFonts w:ascii="Times New Roman"/>
        </w:rPr>
      </w:pPr>
      <w:r>
        <w:rPr>
          <w:rFonts w:ascii="Times New Roman"/>
        </w:rPr>
        <w:t>GB/T 3098.15    紧固件机械性能    不锈钢螺母</w:t>
      </w:r>
    </w:p>
    <w:p>
      <w:pPr>
        <w:pStyle w:val="62"/>
        <w:ind w:firstLine="420"/>
        <w:rPr>
          <w:rFonts w:ascii="Times New Roman"/>
        </w:rPr>
      </w:pPr>
      <w:r>
        <w:rPr>
          <w:rFonts w:ascii="Times New Roman"/>
        </w:rPr>
        <w:t>GB</w:t>
      </w:r>
      <w:r>
        <w:rPr>
          <w:rFonts w:hint="eastAsia" w:ascii="Times New Roman"/>
        </w:rPr>
        <w:t>/</w:t>
      </w:r>
      <w:r>
        <w:rPr>
          <w:rFonts w:ascii="Times New Roman"/>
        </w:rPr>
        <w:t xml:space="preserve">T 3280    </w:t>
      </w:r>
      <w:r>
        <w:rPr>
          <w:rFonts w:hint="eastAsia" w:ascii="Times New Roman"/>
        </w:rPr>
        <w:t>不锈钢冷轧钢板和钢带</w:t>
      </w:r>
    </w:p>
    <w:p>
      <w:pPr>
        <w:pStyle w:val="62"/>
        <w:ind w:firstLine="420"/>
        <w:rPr>
          <w:rFonts w:ascii="Times New Roman"/>
        </w:rPr>
      </w:pPr>
      <w:r>
        <w:rPr>
          <w:rFonts w:ascii="Times New Roman"/>
        </w:rPr>
        <w:t>GB/T 4956    磁性基体上非磁性覆盖层　覆盖层厚度测量　磁性法</w:t>
      </w:r>
    </w:p>
    <w:p>
      <w:pPr>
        <w:pStyle w:val="62"/>
        <w:ind w:firstLine="420"/>
        <w:rPr>
          <w:rFonts w:ascii="Times New Roman"/>
        </w:rPr>
      </w:pPr>
      <w:r>
        <w:rPr>
          <w:rFonts w:ascii="Times New Roman"/>
          <w:color w:val="000000"/>
        </w:rPr>
        <w:t xml:space="preserve">GB/T 9799    </w:t>
      </w:r>
      <w:r>
        <w:rPr>
          <w:rFonts w:hint="eastAsia" w:ascii="Times New Roman"/>
          <w:color w:val="000000"/>
        </w:rPr>
        <w:t xml:space="preserve">金属及其他无机覆盖层 </w:t>
      </w:r>
      <w:r>
        <w:rPr>
          <w:rFonts w:ascii="Times New Roman"/>
          <w:color w:val="000000"/>
        </w:rPr>
        <w:t xml:space="preserve">   </w:t>
      </w:r>
      <w:r>
        <w:rPr>
          <w:rFonts w:hint="eastAsia" w:ascii="Times New Roman"/>
          <w:color w:val="000000"/>
        </w:rPr>
        <w:t>钢铁上经过处理的锌电镀层</w:t>
      </w:r>
    </w:p>
    <w:p>
      <w:pPr>
        <w:pStyle w:val="62"/>
        <w:ind w:firstLine="420"/>
        <w:rPr>
          <w:rFonts w:ascii="Times New Roman"/>
        </w:rPr>
      </w:pPr>
      <w:r>
        <w:rPr>
          <w:rFonts w:ascii="Times New Roman"/>
        </w:rPr>
        <w:t>GB/T 9978.1    建筑构件耐火试验方法</w:t>
      </w:r>
      <w:r>
        <w:rPr>
          <w:rFonts w:hint="eastAsia" w:ascii="Times New Roman"/>
        </w:rPr>
        <w:t xml:space="preserve"> </w:t>
      </w:r>
      <w:r>
        <w:rPr>
          <w:rFonts w:ascii="Times New Roman"/>
        </w:rPr>
        <w:t xml:space="preserve"> </w:t>
      </w:r>
      <w:r>
        <w:rPr>
          <w:rFonts w:hint="eastAsia" w:ascii="Times New Roman"/>
        </w:rPr>
        <w:t xml:space="preserve"> </w:t>
      </w:r>
      <w:r>
        <w:rPr>
          <w:rFonts w:ascii="Times New Roman"/>
        </w:rPr>
        <w:t xml:space="preserve"> 第1部分：通用要求</w:t>
      </w:r>
    </w:p>
    <w:p>
      <w:pPr>
        <w:pStyle w:val="62"/>
        <w:ind w:firstLine="420"/>
        <w:rPr>
          <w:rFonts w:ascii="Times New Roman"/>
        </w:rPr>
      </w:pPr>
      <w:r>
        <w:rPr>
          <w:rFonts w:ascii="Times New Roman"/>
        </w:rPr>
        <w:t>GB/T 10125    人造气氛腐蚀试验    盐雾试验</w:t>
      </w:r>
    </w:p>
    <w:p>
      <w:pPr>
        <w:pStyle w:val="62"/>
        <w:ind w:firstLine="420"/>
        <w:rPr>
          <w:rFonts w:ascii="Times New Roman"/>
        </w:rPr>
      </w:pPr>
      <w:r>
        <w:rPr>
          <w:rFonts w:ascii="Times New Roman"/>
        </w:rPr>
        <w:t xml:space="preserve">GB/T 13912    </w:t>
      </w:r>
      <w:r>
        <w:rPr>
          <w:rFonts w:hint="eastAsia" w:ascii="Times New Roman"/>
        </w:rPr>
        <w:t xml:space="preserve">金属覆盖层 </w:t>
      </w:r>
      <w:r>
        <w:rPr>
          <w:rFonts w:ascii="Times New Roman"/>
        </w:rPr>
        <w:t xml:space="preserve">   </w:t>
      </w:r>
      <w:r>
        <w:rPr>
          <w:rFonts w:hint="eastAsia" w:ascii="Times New Roman"/>
        </w:rPr>
        <w:t xml:space="preserve">钢铁制件热浸镀锌层 </w:t>
      </w:r>
      <w:r>
        <w:rPr>
          <w:rFonts w:ascii="Times New Roman"/>
        </w:rPr>
        <w:t xml:space="preserve">   </w:t>
      </w:r>
      <w:r>
        <w:rPr>
          <w:rFonts w:hint="eastAsia" w:ascii="Times New Roman"/>
        </w:rPr>
        <w:t>技术要求及试验方法</w:t>
      </w:r>
    </w:p>
    <w:p>
      <w:pPr>
        <w:pStyle w:val="62"/>
        <w:ind w:firstLine="420"/>
        <w:rPr>
          <w:rFonts w:ascii="Times New Roman"/>
        </w:rPr>
      </w:pPr>
      <w:r>
        <w:rPr>
          <w:rFonts w:ascii="Times New Roman"/>
        </w:rPr>
        <w:t xml:space="preserve">GB/T 18684    </w:t>
      </w:r>
      <w:r>
        <w:rPr>
          <w:rFonts w:hint="eastAsia" w:ascii="Times New Roman"/>
        </w:rPr>
        <w:t>锌铬涂层 技术条件</w:t>
      </w:r>
    </w:p>
    <w:p>
      <w:pPr>
        <w:pStyle w:val="62"/>
        <w:ind w:firstLine="420"/>
        <w:rPr>
          <w:rFonts w:ascii="Times New Roman"/>
        </w:rPr>
      </w:pPr>
      <w:r>
        <w:rPr>
          <w:rFonts w:ascii="Times New Roman"/>
        </w:rPr>
        <w:t>GB/T 20878    不锈钢和耐热钢    牌号及化学成分</w:t>
      </w:r>
    </w:p>
    <w:p>
      <w:pPr>
        <w:pStyle w:val="62"/>
        <w:ind w:firstLine="420"/>
        <w:rPr>
          <w:rFonts w:ascii="Times New Roman"/>
        </w:rPr>
      </w:pPr>
      <w:r>
        <w:rPr>
          <w:rFonts w:ascii="Times New Roman"/>
        </w:rPr>
        <w:t xml:space="preserve">GB/T 26784    </w:t>
      </w:r>
      <w:r>
        <w:rPr>
          <w:rFonts w:hint="eastAsia" w:ascii="Times New Roman"/>
        </w:rPr>
        <w:t xml:space="preserve">建筑构件耐火试验 </w:t>
      </w:r>
      <w:r>
        <w:rPr>
          <w:rFonts w:ascii="Times New Roman"/>
        </w:rPr>
        <w:t xml:space="preserve">   </w:t>
      </w:r>
      <w:r>
        <w:rPr>
          <w:rFonts w:hint="eastAsia" w:ascii="Times New Roman"/>
        </w:rPr>
        <w:t>可供选择和附加的试验程序</w:t>
      </w:r>
    </w:p>
    <w:p>
      <w:pPr>
        <w:pStyle w:val="62"/>
        <w:ind w:firstLine="420"/>
        <w:rPr>
          <w:rFonts w:ascii="Times New Roman"/>
        </w:rPr>
      </w:pPr>
      <w:r>
        <w:rPr>
          <w:rFonts w:ascii="Times New Roman"/>
        </w:rPr>
        <w:t>GB 50981    建筑机电工程抗震设计</w:t>
      </w:r>
      <w:r>
        <w:rPr>
          <w:rFonts w:hint="eastAsia" w:ascii="Times New Roman"/>
        </w:rPr>
        <w:t>标准</w:t>
      </w:r>
    </w:p>
    <w:p>
      <w:pPr>
        <w:pStyle w:val="62"/>
        <w:ind w:firstLine="420"/>
        <w:rPr>
          <w:rFonts w:ascii="Times New Roman"/>
        </w:rPr>
      </w:pPr>
      <w:r>
        <w:rPr>
          <w:rFonts w:ascii="Times New Roman"/>
        </w:rPr>
        <w:t>JG/T 160    混凝土用机械锚栓</w:t>
      </w:r>
    </w:p>
    <w:p>
      <w:pPr>
        <w:pStyle w:val="62"/>
        <w:ind w:firstLine="420"/>
        <w:rPr>
          <w:rFonts w:ascii="Times New Roman"/>
        </w:rPr>
      </w:pPr>
      <w:r>
        <w:rPr>
          <w:rFonts w:ascii="Times New Roman"/>
        </w:rPr>
        <w:t>JGJ/T 101    建筑抗震试验规程</w:t>
      </w:r>
    </w:p>
    <w:p>
      <w:pPr>
        <w:pStyle w:val="62"/>
        <w:ind w:firstLine="420"/>
        <w:rPr>
          <w:rFonts w:ascii="Times New Roman"/>
        </w:rPr>
        <w:sectPr>
          <w:footerReference r:id="rId13" w:type="default"/>
          <w:type w:val="continuous"/>
          <w:pgSz w:w="11906" w:h="16838"/>
          <w:pgMar w:top="2410" w:right="1134" w:bottom="1134" w:left="1134" w:header="1418" w:footer="1134" w:gutter="284"/>
          <w:pgNumType w:fmt="numberInDash" w:start="1"/>
          <w:cols w:space="425" w:num="1"/>
          <w:formProt w:val="0"/>
          <w:docGrid w:type="lines" w:linePitch="312" w:charSpace="0"/>
        </w:sectPr>
      </w:pPr>
      <w:r>
        <w:rPr>
          <w:rFonts w:ascii="Times New Roman"/>
        </w:rPr>
        <w:t>YB/T 4761    连续热镀锌铝镁合金镀层钢板及钢带</w:t>
      </w:r>
    </w:p>
    <w:p>
      <w:pPr>
        <w:pStyle w:val="110"/>
        <w:spacing w:before="312" w:after="312"/>
      </w:pPr>
      <w:bookmarkStart w:id="57" w:name="_Toc135225126"/>
      <w:bookmarkStart w:id="58" w:name="_Toc81322407"/>
      <w:bookmarkStart w:id="59" w:name="_Toc90303266"/>
      <w:bookmarkStart w:id="60" w:name="_Toc81322360"/>
      <w:bookmarkStart w:id="61" w:name="_Toc128552131"/>
      <w:r>
        <w:rPr>
          <w:rFonts w:hint="eastAsia"/>
          <w:szCs w:val="21"/>
        </w:rPr>
        <w:t>术语和定义</w:t>
      </w:r>
      <w:bookmarkEnd w:id="57"/>
      <w:bookmarkEnd w:id="58"/>
      <w:bookmarkEnd w:id="59"/>
      <w:bookmarkEnd w:id="60"/>
      <w:bookmarkEnd w:id="61"/>
    </w:p>
    <w:sdt>
      <w:sdtPr>
        <w:id w:val="-1909835108"/>
        <w:placeholder>
          <w:docPart w:val="53AC1D7B60D0426880CF2CAEC5BBD84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2"/>
            <w:ind w:firstLine="420"/>
          </w:pPr>
          <w:bookmarkStart w:id="62" w:name="_Toc26986532"/>
          <w:bookmarkEnd w:id="62"/>
          <w:r>
            <w:t>下列术语和定义适用于本文件。</w:t>
          </w:r>
        </w:p>
      </w:sdtContent>
    </w:sdt>
    <w:p>
      <w:pPr>
        <w:rPr>
          <w:rFonts w:ascii="黑体" w:hAnsi="黑体" w:eastAsia="黑体"/>
        </w:rPr>
      </w:pPr>
      <w:r>
        <w:rPr>
          <w:rFonts w:hint="eastAsia" w:ascii="黑体" w:hAnsi="黑体" w:eastAsia="黑体"/>
        </w:rPr>
        <w:t>3</w:t>
      </w:r>
      <w:r>
        <w:rPr>
          <w:rFonts w:ascii="黑体" w:hAnsi="黑体" w:eastAsia="黑体"/>
        </w:rPr>
        <w:t xml:space="preserve">.1 </w:t>
      </w:r>
    </w:p>
    <w:p>
      <w:pPr>
        <w:ind w:firstLine="420" w:firstLineChars="200"/>
        <w:rPr>
          <w:rFonts w:ascii="Times New Roman" w:hAnsi="Times New Roman" w:eastAsia="黑体"/>
        </w:rPr>
      </w:pPr>
      <w:r>
        <w:rPr>
          <w:rFonts w:ascii="Times New Roman" w:hAnsi="Times New Roman" w:eastAsia="黑体"/>
        </w:rPr>
        <w:t>抗震支吊架</w:t>
      </w:r>
      <w:r>
        <w:rPr>
          <w:rFonts w:hint="eastAsia" w:ascii="Times New Roman" w:hAnsi="Times New Roman" w:eastAsia="黑体"/>
        </w:rPr>
        <w:t xml:space="preserve"> </w:t>
      </w:r>
      <w:r>
        <w:rPr>
          <w:rFonts w:ascii="Times New Roman" w:hAnsi="Times New Roman" w:eastAsia="黑体"/>
        </w:rPr>
        <w:t xml:space="preserve">   seismic bracing</w:t>
      </w:r>
    </w:p>
    <w:p>
      <w:pPr>
        <w:pStyle w:val="62"/>
        <w:ind w:firstLine="420"/>
      </w:pPr>
      <w:r>
        <w:rPr>
          <w:rFonts w:hint="eastAsia" w:hAnsi="宋体"/>
        </w:rPr>
        <w:t>与建筑结构体可靠连接，并能</w:t>
      </w:r>
      <w:r>
        <w:rPr>
          <w:rFonts w:hint="eastAsia" w:hAnsi="宋体"/>
          <w:color w:val="000000"/>
        </w:rPr>
        <w:t>承担地震作用的支吊架</w:t>
      </w:r>
      <w:r>
        <w:rPr>
          <w:rFonts w:hint="eastAsia"/>
        </w:rPr>
        <w:t>。</w:t>
      </w:r>
    </w:p>
    <w:p>
      <w:pPr>
        <w:rPr>
          <w:rFonts w:ascii="黑体" w:hAnsi="黑体" w:eastAsia="黑体"/>
        </w:rPr>
      </w:pPr>
      <w:r>
        <w:rPr>
          <w:rFonts w:hint="eastAsia" w:ascii="黑体" w:hAnsi="黑体" w:eastAsia="黑体"/>
        </w:rPr>
        <w:t>3</w:t>
      </w:r>
      <w:r>
        <w:rPr>
          <w:rFonts w:ascii="黑体" w:hAnsi="黑体" w:eastAsia="黑体"/>
        </w:rPr>
        <w:t xml:space="preserve">.2 </w:t>
      </w:r>
    </w:p>
    <w:p>
      <w:pPr>
        <w:ind w:firstLine="420" w:firstLineChars="200"/>
        <w:rPr>
          <w:rFonts w:ascii="Times New Roman" w:hAnsi="Times New Roman" w:eastAsia="黑体"/>
        </w:rPr>
      </w:pPr>
      <w:r>
        <w:rPr>
          <w:rFonts w:ascii="Times New Roman" w:hAnsi="Times New Roman" w:eastAsia="黑体"/>
        </w:rPr>
        <w:t>抗震连接件</w:t>
      </w:r>
      <w:r>
        <w:rPr>
          <w:rFonts w:hint="eastAsia" w:ascii="Times New Roman" w:hAnsi="Times New Roman" w:eastAsia="黑体"/>
        </w:rPr>
        <w:t xml:space="preserve"> </w:t>
      </w:r>
      <w:r>
        <w:rPr>
          <w:rFonts w:ascii="Times New Roman" w:hAnsi="Times New Roman" w:eastAsia="黑体"/>
        </w:rPr>
        <w:t xml:space="preserve">   structure connecting component</w:t>
      </w:r>
    </w:p>
    <w:p>
      <w:pPr>
        <w:pStyle w:val="62"/>
        <w:ind w:firstLine="420"/>
        <w:rPr>
          <w:rFonts w:hAnsi="宋体"/>
          <w:szCs w:val="21"/>
        </w:rPr>
      </w:pPr>
      <w:r>
        <w:rPr>
          <w:rFonts w:hint="eastAsia" w:hAnsi="宋体"/>
          <w:szCs w:val="21"/>
        </w:rPr>
        <w:t>用于连接抗震斜撑的单独或组合的部件。</w:t>
      </w:r>
    </w:p>
    <w:p>
      <w:pPr>
        <w:rPr>
          <w:rFonts w:ascii="黑体" w:hAnsi="宋体" w:eastAsia="黑体"/>
        </w:rPr>
      </w:pPr>
      <w:bookmarkStart w:id="63" w:name="_Toc437519016"/>
      <w:bookmarkStart w:id="64" w:name="_Toc437511314"/>
      <w:bookmarkStart w:id="65" w:name="_Toc410998755"/>
      <w:bookmarkStart w:id="66" w:name="_Toc410981270"/>
      <w:bookmarkStart w:id="67" w:name="_Toc410484456"/>
      <w:bookmarkStart w:id="68" w:name="_Toc410639870"/>
      <w:bookmarkStart w:id="69" w:name="_Toc410485064"/>
      <w:bookmarkStart w:id="70" w:name="_Toc410841393"/>
      <w:bookmarkStart w:id="71" w:name="_Toc410842917"/>
      <w:r>
        <w:rPr>
          <w:rFonts w:hint="eastAsia" w:ascii="黑体" w:hAnsi="宋体" w:eastAsia="黑体"/>
        </w:rPr>
        <w:t>3</w:t>
      </w:r>
      <w:r>
        <w:rPr>
          <w:rFonts w:ascii="黑体" w:hAnsi="宋体" w:eastAsia="黑体"/>
        </w:rPr>
        <w:t>.3</w:t>
      </w:r>
    </w:p>
    <w:p>
      <w:pPr>
        <w:ind w:firstLine="420" w:firstLineChars="200"/>
        <w:rPr>
          <w:rFonts w:ascii="黑体" w:eastAsia="黑体"/>
        </w:rPr>
      </w:pPr>
      <w:r>
        <w:rPr>
          <w:rFonts w:hint="eastAsia" w:ascii="黑体" w:hAnsi="宋体" w:eastAsia="黑体"/>
        </w:rPr>
        <w:t>管道连接件</w:t>
      </w:r>
      <w:bookmarkEnd w:id="63"/>
      <w:bookmarkEnd w:id="64"/>
      <w:bookmarkEnd w:id="65"/>
      <w:bookmarkEnd w:id="66"/>
      <w:bookmarkEnd w:id="67"/>
      <w:bookmarkEnd w:id="68"/>
      <w:bookmarkEnd w:id="69"/>
      <w:bookmarkEnd w:id="70"/>
      <w:bookmarkEnd w:id="71"/>
      <w:r>
        <w:rPr>
          <w:rFonts w:hint="eastAsia" w:ascii="黑体" w:hAnsi="宋体" w:eastAsia="黑体"/>
        </w:rPr>
        <w:t xml:space="preserve"> </w:t>
      </w:r>
      <w:r>
        <w:rPr>
          <w:rFonts w:ascii="黑体" w:hAnsi="宋体" w:eastAsia="黑体"/>
        </w:rPr>
        <w:t xml:space="preserve"> </w:t>
      </w:r>
      <w:r>
        <w:rPr>
          <w:rFonts w:hint="eastAsia" w:ascii="黑体" w:eastAsia="黑体"/>
        </w:rPr>
        <w:t>pipe connecting component</w:t>
      </w:r>
    </w:p>
    <w:p>
      <w:pPr>
        <w:pStyle w:val="62"/>
        <w:ind w:firstLine="420"/>
        <w:rPr>
          <w:rFonts w:hAnsi="宋体"/>
          <w:color w:val="000000"/>
        </w:rPr>
      </w:pPr>
      <w:r>
        <w:rPr>
          <w:rFonts w:hint="eastAsia" w:hAnsi="宋体"/>
          <w:color w:val="000000"/>
        </w:rPr>
        <w:t>通过锁紧管道以防止其在特定方向发生滑脱移动的部件。</w:t>
      </w:r>
    </w:p>
    <w:p>
      <w:r>
        <w:rPr>
          <w:rFonts w:hint="eastAsia"/>
        </w:rPr>
        <w:t>3</w:t>
      </w:r>
      <w:r>
        <w:t>.4</w:t>
      </w:r>
    </w:p>
    <w:p>
      <w:pPr>
        <w:ind w:firstLine="420" w:firstLineChars="200"/>
        <w:rPr>
          <w:rFonts w:ascii="Times New Roman" w:hAnsi="Times New Roman" w:eastAsia="黑体"/>
        </w:rPr>
      </w:pPr>
      <w:r>
        <w:rPr>
          <w:rFonts w:ascii="Times New Roman" w:hAnsi="Times New Roman" w:eastAsia="黑体"/>
        </w:rPr>
        <w:t>钢结构固定件    steel structural fasteners</w:t>
      </w:r>
    </w:p>
    <w:p>
      <w:pPr>
        <w:pStyle w:val="62"/>
        <w:ind w:firstLine="420"/>
      </w:pPr>
      <w:r>
        <w:rPr>
          <w:rFonts w:hint="eastAsia"/>
        </w:rPr>
        <w:t>能够与钢结构（钢柱或钢梁等）牢固连接，为抗震支吊架直接或者间接提供生根点的部件。</w:t>
      </w:r>
    </w:p>
    <w:p>
      <w:pPr>
        <w:rPr>
          <w:rFonts w:ascii="黑体" w:hAnsi="黑体" w:eastAsia="黑体"/>
        </w:rPr>
      </w:pPr>
      <w:r>
        <w:rPr>
          <w:rFonts w:hint="eastAsia" w:ascii="黑体" w:hAnsi="黑体" w:eastAsia="黑体"/>
        </w:rPr>
        <w:t>3</w:t>
      </w:r>
      <w:r>
        <w:rPr>
          <w:rFonts w:ascii="黑体" w:hAnsi="黑体" w:eastAsia="黑体"/>
        </w:rPr>
        <w:t>.5</w:t>
      </w:r>
    </w:p>
    <w:p>
      <w:pPr>
        <w:ind w:firstLine="420" w:firstLineChars="200"/>
        <w:rPr>
          <w:rFonts w:ascii="Times New Roman" w:hAnsi="Times New Roman" w:eastAsia="黑体"/>
          <w:color w:val="000000"/>
        </w:rPr>
      </w:pPr>
      <w:r>
        <w:rPr>
          <w:rFonts w:ascii="Times New Roman" w:hAnsi="Times New Roman" w:eastAsia="黑体"/>
        </w:rPr>
        <w:t xml:space="preserve">抗震斜撑    </w:t>
      </w:r>
      <w:r>
        <w:rPr>
          <w:rFonts w:ascii="Times New Roman" w:hAnsi="Times New Roman" w:eastAsia="黑体"/>
          <w:color w:val="000000"/>
        </w:rPr>
        <w:t>bracing component</w:t>
      </w:r>
    </w:p>
    <w:p>
      <w:pPr>
        <w:pStyle w:val="62"/>
        <w:ind w:firstLine="420"/>
        <w:rPr>
          <w:rFonts w:hAnsi="宋体"/>
          <w:szCs w:val="21"/>
        </w:rPr>
      </w:pPr>
      <w:r>
        <w:rPr>
          <w:rFonts w:hint="eastAsia" w:hAnsi="宋体"/>
          <w:szCs w:val="21"/>
        </w:rPr>
        <w:t>连接建筑附属机电设备与建筑结构，能够将其水平地震作用传递给结构的组件。</w:t>
      </w:r>
    </w:p>
    <w:p>
      <w:pPr>
        <w:rPr>
          <w:rFonts w:ascii="黑体" w:hAnsi="黑体" w:eastAsia="黑体"/>
        </w:rPr>
      </w:pPr>
      <w:r>
        <w:rPr>
          <w:rFonts w:hint="eastAsia" w:ascii="黑体" w:hAnsi="黑体" w:eastAsia="黑体"/>
        </w:rPr>
        <w:t>3</w:t>
      </w:r>
      <w:r>
        <w:rPr>
          <w:rFonts w:ascii="黑体" w:hAnsi="黑体" w:eastAsia="黑体"/>
        </w:rPr>
        <w:t>.6</w:t>
      </w:r>
    </w:p>
    <w:p>
      <w:pPr>
        <w:ind w:firstLine="420" w:firstLineChars="200"/>
        <w:rPr>
          <w:rFonts w:ascii="Times New Roman" w:hAnsi="Times New Roman" w:eastAsia="黑体"/>
        </w:rPr>
      </w:pPr>
      <w:r>
        <w:rPr>
          <w:rFonts w:ascii="Times New Roman" w:hAnsi="Times New Roman" w:eastAsia="黑体"/>
        </w:rPr>
        <w:t>带齿C型槽钢    channel</w:t>
      </w:r>
    </w:p>
    <w:p>
      <w:pPr>
        <w:pStyle w:val="229"/>
        <w:numPr>
          <w:ilvl w:val="0"/>
          <w:numId w:val="0"/>
        </w:numPr>
        <w:ind w:firstLine="420" w:firstLineChars="200"/>
      </w:pPr>
      <w:r>
        <w:rPr>
          <w:rFonts w:hint="eastAsia"/>
        </w:rPr>
        <w:t>一种连续冷弯开口</w:t>
      </w:r>
      <w:r>
        <w:rPr>
          <w:rFonts w:ascii="Times New Roman"/>
        </w:rPr>
        <w:t>C</w:t>
      </w:r>
      <w:r>
        <w:t>型</w:t>
      </w:r>
      <w:r>
        <w:rPr>
          <w:rFonts w:hint="eastAsia"/>
        </w:rPr>
        <w:t>钢，开口面有两条向内平行且对称的带连续齿的短边，用于与槽钢螺母上的齿咬合，连接可沿型钢纵向安装在任意位置。</w:t>
      </w:r>
    </w:p>
    <w:p>
      <w:pPr>
        <w:pStyle w:val="110"/>
        <w:spacing w:before="312" w:after="312"/>
      </w:pPr>
      <w:bookmarkStart w:id="72" w:name="_Toc90303267"/>
      <w:bookmarkStart w:id="73" w:name="_Toc135225127"/>
      <w:bookmarkStart w:id="74" w:name="_Toc128552132"/>
      <w:r>
        <w:rPr>
          <w:rFonts w:hint="eastAsia"/>
        </w:rPr>
        <w:t>分类和标记</w:t>
      </w:r>
      <w:bookmarkEnd w:id="72"/>
      <w:bookmarkEnd w:id="73"/>
      <w:bookmarkEnd w:id="74"/>
    </w:p>
    <w:p>
      <w:pPr>
        <w:spacing w:before="156" w:beforeLines="50" w:after="156" w:afterLines="50"/>
        <w:rPr>
          <w:rFonts w:ascii="黑体" w:hAnsi="Times New Roman" w:eastAsia="黑体"/>
          <w:kern w:val="0"/>
          <w:szCs w:val="20"/>
        </w:rPr>
      </w:pPr>
      <w:r>
        <w:rPr>
          <w:rFonts w:hint="eastAsia" w:ascii="黑体" w:hAnsi="Times New Roman" w:eastAsia="黑体"/>
          <w:kern w:val="0"/>
          <w:szCs w:val="20"/>
        </w:rPr>
        <w:t>4</w:t>
      </w:r>
      <w:r>
        <w:rPr>
          <w:rFonts w:ascii="黑体" w:hAnsi="Times New Roman" w:eastAsia="黑体"/>
          <w:kern w:val="0"/>
          <w:szCs w:val="20"/>
        </w:rPr>
        <w:t xml:space="preserve">.1  </w:t>
      </w:r>
      <w:r>
        <w:rPr>
          <w:rFonts w:hint="eastAsia" w:ascii="黑体" w:hAnsi="Times New Roman" w:eastAsia="黑体"/>
          <w:kern w:val="0"/>
          <w:szCs w:val="20"/>
        </w:rPr>
        <w:t>分类</w:t>
      </w:r>
    </w:p>
    <w:p>
      <w:pPr>
        <w:spacing w:before="156" w:beforeLines="50" w:after="156" w:afterLines="50"/>
        <w:rPr>
          <w:rFonts w:ascii="黑体" w:hAnsi="黑体" w:eastAsia="黑体"/>
        </w:rPr>
      </w:pPr>
      <w:r>
        <w:rPr>
          <w:rFonts w:ascii="黑体" w:hAnsi="黑体" w:eastAsia="黑体"/>
        </w:rPr>
        <w:t xml:space="preserve">4.1.1  </w:t>
      </w:r>
      <w:r>
        <w:rPr>
          <w:rFonts w:hint="eastAsia" w:ascii="黑体" w:hAnsi="黑体" w:eastAsia="黑体"/>
        </w:rPr>
        <w:t>抗震连接件</w:t>
      </w:r>
    </w:p>
    <w:p>
      <w:r>
        <w:rPr>
          <w:rFonts w:hint="eastAsia" w:ascii="黑体" w:hAnsi="黑体" w:eastAsia="黑体"/>
        </w:rPr>
        <w:t>4</w:t>
      </w:r>
      <w:r>
        <w:rPr>
          <w:rFonts w:ascii="黑体" w:hAnsi="黑体" w:eastAsia="黑体"/>
        </w:rPr>
        <w:t xml:space="preserve">.1.1.1  </w:t>
      </w:r>
      <w:r>
        <w:rPr>
          <w:rFonts w:ascii="Times New Roman" w:hAnsi="Times New Roman"/>
        </w:rPr>
        <w:t>抗震连接件具体结构型式见附录A</w:t>
      </w:r>
      <w:r>
        <w:rPr>
          <w:rFonts w:hint="eastAsia" w:ascii="Times New Roman" w:hAnsi="Times New Roman"/>
        </w:rPr>
        <w:t>，</w:t>
      </w:r>
      <w:r>
        <w:rPr>
          <w:rFonts w:ascii="Times New Roman" w:hAnsi="Times New Roman"/>
        </w:rPr>
        <w:t>按照连接方式分为：</w:t>
      </w:r>
      <w:r>
        <w:t xml:space="preserve"> </w:t>
      </w:r>
    </w:p>
    <w:p>
      <w:pPr>
        <w:pStyle w:val="180"/>
        <w:rPr>
          <w:rFonts w:ascii="Times New Roman"/>
        </w:rPr>
      </w:pPr>
      <w:r>
        <w:rPr>
          <w:rFonts w:ascii="Times New Roman"/>
        </w:rPr>
        <w:t>A型连接件</w:t>
      </w:r>
      <w:r>
        <w:rPr>
          <w:rFonts w:hint="eastAsia" w:ascii="Times New Roman"/>
        </w:rPr>
        <w:t>；</w:t>
      </w:r>
    </w:p>
    <w:p>
      <w:pPr>
        <w:pStyle w:val="180"/>
        <w:rPr>
          <w:rFonts w:ascii="Times New Roman"/>
        </w:rPr>
      </w:pPr>
      <w:r>
        <w:rPr>
          <w:rFonts w:ascii="Times New Roman"/>
        </w:rPr>
        <w:t>D型连接件</w:t>
      </w:r>
      <w:r>
        <w:rPr>
          <w:rFonts w:hint="eastAsia" w:ascii="Times New Roman"/>
        </w:rPr>
        <w:t>。</w:t>
      </w:r>
    </w:p>
    <w:p>
      <w:pPr>
        <w:rPr>
          <w:rFonts w:ascii="Times New Roman" w:hAnsi="Times New Roman"/>
        </w:rPr>
      </w:pPr>
      <w:r>
        <w:rPr>
          <w:rFonts w:hint="eastAsia" w:ascii="黑体" w:hAnsi="黑体" w:eastAsia="黑体"/>
        </w:rPr>
        <w:t>4</w:t>
      </w:r>
      <w:r>
        <w:rPr>
          <w:rFonts w:ascii="黑体" w:hAnsi="黑体" w:eastAsia="黑体"/>
        </w:rPr>
        <w:t xml:space="preserve">.1.1.2  </w:t>
      </w:r>
      <w:r>
        <w:rPr>
          <w:rFonts w:ascii="Times New Roman" w:hAnsi="Times New Roman"/>
        </w:rPr>
        <w:t>抗震连接件斜撑45°时，承载力设计值范围见表1</w:t>
      </w:r>
      <w:r>
        <w:rPr>
          <w:rFonts w:hint="eastAsia" w:ascii="Times New Roman" w:hAnsi="Times New Roman"/>
        </w:rPr>
        <w:t>，</w:t>
      </w:r>
      <w:r>
        <w:rPr>
          <w:rFonts w:ascii="Times New Roman" w:hAnsi="Times New Roman"/>
        </w:rPr>
        <w:t>按照水平方向承载力设计值的</w:t>
      </w:r>
      <w:r>
        <w:rPr>
          <w:rFonts w:hint="eastAsia" w:ascii="Times New Roman" w:hAnsi="Times New Roman"/>
        </w:rPr>
        <w:t>大小</w:t>
      </w:r>
      <w:r>
        <w:rPr>
          <w:rFonts w:ascii="Times New Roman" w:hAnsi="Times New Roman"/>
        </w:rPr>
        <w:t>分为：</w:t>
      </w:r>
    </w:p>
    <w:p>
      <w:pPr>
        <w:pStyle w:val="180"/>
        <w:numPr>
          <w:ilvl w:val="0"/>
          <w:numId w:val="35"/>
        </w:numPr>
        <w:rPr>
          <w:rFonts w:ascii="Times New Roman"/>
        </w:rPr>
      </w:pPr>
      <w:r>
        <w:rPr>
          <w:rFonts w:ascii="Times New Roman"/>
        </w:rPr>
        <w:t>W型</w:t>
      </w:r>
      <w:r>
        <w:rPr>
          <w:rFonts w:hint="eastAsia" w:ascii="Times New Roman"/>
        </w:rPr>
        <w:t>，</w:t>
      </w:r>
      <w:r>
        <w:rPr>
          <w:rFonts w:ascii="Times New Roman"/>
        </w:rPr>
        <w:t>代号W</w:t>
      </w:r>
      <w:r>
        <w:rPr>
          <w:rFonts w:hint="eastAsia" w:ascii="Times New Roman"/>
        </w:rPr>
        <w:t>；</w:t>
      </w:r>
    </w:p>
    <w:p>
      <w:pPr>
        <w:pStyle w:val="180"/>
        <w:numPr>
          <w:ilvl w:val="0"/>
          <w:numId w:val="35"/>
        </w:numPr>
        <w:rPr>
          <w:rFonts w:ascii="Times New Roman"/>
        </w:rPr>
      </w:pPr>
      <w:r>
        <w:rPr>
          <w:rFonts w:ascii="Times New Roman"/>
        </w:rPr>
        <w:t>M型</w:t>
      </w:r>
      <w:r>
        <w:rPr>
          <w:rFonts w:hint="eastAsia" w:ascii="Times New Roman"/>
        </w:rPr>
        <w:t>，</w:t>
      </w:r>
      <w:r>
        <w:rPr>
          <w:rFonts w:ascii="Times New Roman"/>
        </w:rPr>
        <w:t>代号M</w:t>
      </w:r>
      <w:r>
        <w:rPr>
          <w:rFonts w:hint="eastAsia" w:ascii="Times New Roman"/>
        </w:rPr>
        <w:t>；</w:t>
      </w:r>
    </w:p>
    <w:p>
      <w:pPr>
        <w:pStyle w:val="180"/>
        <w:numPr>
          <w:ilvl w:val="0"/>
          <w:numId w:val="35"/>
        </w:numPr>
        <w:jc w:val="left"/>
        <w:sectPr>
          <w:footerReference r:id="rId14" w:type="default"/>
          <w:type w:val="continuous"/>
          <w:pgSz w:w="11906" w:h="16838"/>
          <w:pgMar w:top="2410" w:right="1134" w:bottom="1134" w:left="1134" w:header="1418" w:footer="1134" w:gutter="284"/>
          <w:pgNumType w:fmt="numberInDash"/>
          <w:cols w:space="425" w:num="1"/>
          <w:formProt w:val="0"/>
          <w:docGrid w:type="lines" w:linePitch="312" w:charSpace="0"/>
        </w:sectPr>
      </w:pPr>
      <w:r>
        <w:rPr>
          <w:rFonts w:ascii="Times New Roman"/>
        </w:rPr>
        <w:t>H型</w:t>
      </w:r>
      <w:r>
        <w:rPr>
          <w:rFonts w:hint="eastAsia" w:ascii="Times New Roman"/>
        </w:rPr>
        <w:t>，</w:t>
      </w:r>
      <w:r>
        <w:rPr>
          <w:rFonts w:ascii="Times New Roman"/>
        </w:rPr>
        <w:t xml:space="preserve">代号H </w:t>
      </w:r>
      <w:r>
        <w:t xml:space="preserve"> </w:t>
      </w:r>
      <w:r>
        <w:rPr>
          <w:rFonts w:hint="eastAsia"/>
        </w:rPr>
        <w:t>。</w:t>
      </w:r>
      <w:r>
        <w:t xml:space="preserve">  </w:t>
      </w:r>
    </w:p>
    <w:p>
      <w:pPr>
        <w:pStyle w:val="180"/>
        <w:numPr>
          <w:ilvl w:val="0"/>
          <w:numId w:val="0"/>
        </w:numPr>
        <w:ind w:left="425"/>
        <w:jc w:val="right"/>
      </w:pPr>
    </w:p>
    <w:p>
      <w:pPr>
        <w:pStyle w:val="118"/>
        <w:numPr>
          <w:ilvl w:val="0"/>
          <w:numId w:val="0"/>
        </w:numPr>
        <w:spacing w:before="156" w:after="156"/>
        <w:rPr>
          <w:rFonts w:hAnsi="黑体"/>
        </w:rPr>
      </w:pPr>
      <w:r>
        <w:rPr>
          <w:rFonts w:hAnsi="黑体"/>
        </w:rPr>
        <w:t>表1  抗震连接件、钢结构固定件承载力设计值分类</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6"/>
        <w:gridCol w:w="2336"/>
        <w:gridCol w:w="2336"/>
        <w:gridCol w:w="2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35"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类型</w:t>
            </w:r>
          </w:p>
        </w:tc>
        <w:tc>
          <w:tcPr>
            <w:tcW w:w="2333"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W型</w:t>
            </w:r>
          </w:p>
        </w:tc>
        <w:tc>
          <w:tcPr>
            <w:tcW w:w="2333"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M型</w:t>
            </w:r>
          </w:p>
        </w:tc>
        <w:tc>
          <w:tcPr>
            <w:tcW w:w="2333"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H型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6"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承载力设计值</w:t>
            </w:r>
            <w:r>
              <w:rPr>
                <w:rFonts w:hint="eastAsia" w:ascii="Times New Roman"/>
              </w:rPr>
              <w:t>/</w:t>
            </w:r>
            <w:r>
              <w:rPr>
                <w:rFonts w:ascii="Times New Roman"/>
              </w:rPr>
              <w:t xml:space="preserve"> kN</w:t>
            </w:r>
          </w:p>
        </w:tc>
        <w:tc>
          <w:tcPr>
            <w:tcW w:w="2336"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＞2.3且≤4.2</w:t>
            </w:r>
          </w:p>
        </w:tc>
        <w:tc>
          <w:tcPr>
            <w:tcW w:w="2336"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＞4.2且≤7.5</w:t>
            </w:r>
          </w:p>
        </w:tc>
        <w:tc>
          <w:tcPr>
            <w:tcW w:w="2336" w:type="dxa"/>
            <w:tcBorders>
              <w:top w:val="single" w:color="auto" w:sz="8" w:space="0"/>
              <w:bottom w:val="single" w:color="auto" w:sz="8" w:space="0"/>
            </w:tcBorders>
            <w:shd w:val="clear" w:color="auto" w:fill="auto"/>
            <w:vAlign w:val="center"/>
          </w:tcPr>
          <w:p>
            <w:pPr>
              <w:pStyle w:val="184"/>
              <w:rPr>
                <w:rFonts w:ascii="Times New Roman"/>
              </w:rPr>
            </w:pPr>
            <w:r>
              <w:rPr>
                <w:rFonts w:ascii="Times New Roman"/>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4"/>
            <w:tcBorders>
              <w:top w:val="single" w:color="auto" w:sz="8" w:space="0"/>
            </w:tcBorders>
            <w:shd w:val="clear" w:color="auto" w:fill="auto"/>
            <w:vAlign w:val="center"/>
          </w:tcPr>
          <w:p>
            <w:pPr>
              <w:pStyle w:val="185"/>
              <w:rPr>
                <w:rFonts w:ascii="Times New Roman"/>
              </w:rPr>
            </w:pPr>
            <w:r>
              <w:rPr>
                <w:rFonts w:ascii="Times New Roman"/>
              </w:rPr>
              <w:t xml:space="preserve">W型适用于计算荷载不大于4.2kN的地震作用，M型适用于计算荷载不大于7.5kN的地震作用，H型适用于计算荷载大于7.5kN的地震作用，实际应用中也可根据产品的实际认证荷载使用。 </w:t>
            </w:r>
          </w:p>
        </w:tc>
      </w:tr>
    </w:tbl>
    <w:p>
      <w:pPr>
        <w:spacing w:before="312" w:beforeLines="100" w:after="156" w:afterLines="50"/>
      </w:pPr>
      <w:r>
        <w:rPr>
          <w:rFonts w:ascii="黑体" w:hAnsi="黑体" w:eastAsia="黑体"/>
        </w:rPr>
        <w:t>4.1.2  管道连接件</w:t>
      </w:r>
    </w:p>
    <w:p>
      <w:pPr>
        <w:pStyle w:val="62"/>
        <w:ind w:firstLine="420"/>
        <w:rPr>
          <w:rFonts w:ascii="Times New Roman"/>
        </w:rPr>
      </w:pPr>
      <w:r>
        <w:rPr>
          <w:rFonts w:hint="eastAsia" w:ascii="Times New Roman"/>
        </w:rPr>
        <w:t>按</w:t>
      </w:r>
      <w:r>
        <w:rPr>
          <w:rFonts w:ascii="Times New Roman"/>
        </w:rPr>
        <w:t xml:space="preserve">抗震支吊架受力方向分为： </w:t>
      </w:r>
    </w:p>
    <w:p>
      <w:pPr>
        <w:pStyle w:val="180"/>
        <w:numPr>
          <w:ilvl w:val="0"/>
          <w:numId w:val="36"/>
        </w:numPr>
        <w:rPr>
          <w:rFonts w:ascii="Times New Roman"/>
        </w:rPr>
      </w:pPr>
      <w:r>
        <w:rPr>
          <w:rFonts w:ascii="Times New Roman"/>
        </w:rPr>
        <w:tab/>
      </w:r>
      <w:r>
        <w:rPr>
          <w:rFonts w:hint="eastAsia" w:ascii="Times New Roman"/>
        </w:rPr>
        <w:t>侧向抗震支吊架用管道连接件，代号</w:t>
      </w:r>
      <w:r>
        <w:rPr>
          <w:rFonts w:ascii="Times New Roman"/>
        </w:rPr>
        <w:t>T</w:t>
      </w:r>
      <w:r>
        <w:rPr>
          <w:rFonts w:hint="eastAsia" w:ascii="Times New Roman"/>
        </w:rPr>
        <w:t>；</w:t>
      </w:r>
    </w:p>
    <w:p>
      <w:pPr>
        <w:pStyle w:val="180"/>
        <w:numPr>
          <w:ilvl w:val="0"/>
          <w:numId w:val="36"/>
        </w:numPr>
        <w:rPr>
          <w:rFonts w:ascii="Times New Roman"/>
        </w:rPr>
      </w:pPr>
      <w:r>
        <w:rPr>
          <w:rFonts w:ascii="Times New Roman"/>
        </w:rPr>
        <w:t>纵向抗震支吊架用管道连接件，代号L</w:t>
      </w:r>
      <w:r>
        <w:rPr>
          <w:rFonts w:hint="eastAsia" w:ascii="Times New Roman"/>
        </w:rPr>
        <w:t>。</w:t>
      </w:r>
    </w:p>
    <w:p>
      <w:pPr>
        <w:spacing w:before="156" w:beforeLines="50" w:after="156" w:afterLines="50"/>
      </w:pPr>
      <w:r>
        <w:rPr>
          <w:rFonts w:ascii="黑体" w:hAnsi="黑体" w:eastAsia="黑体"/>
        </w:rPr>
        <w:t xml:space="preserve">4.1.3  </w:t>
      </w:r>
      <w:r>
        <w:rPr>
          <w:rFonts w:hint="eastAsia" w:ascii="黑体" w:hAnsi="黑体" w:eastAsia="黑体"/>
        </w:rPr>
        <w:t>钢结构固定件</w:t>
      </w:r>
    </w:p>
    <w:p>
      <w:pPr>
        <w:pStyle w:val="62"/>
        <w:ind w:firstLine="0" w:firstLineChars="0"/>
        <w:rPr>
          <w:rFonts w:ascii="Times New Roman"/>
        </w:rPr>
      </w:pPr>
      <w:r>
        <w:rPr>
          <w:rFonts w:hint="eastAsia" w:ascii="黑体" w:eastAsia="黑体"/>
        </w:rPr>
        <w:t>4</w:t>
      </w:r>
      <w:r>
        <w:rPr>
          <w:rFonts w:ascii="黑体" w:eastAsia="黑体"/>
        </w:rPr>
        <w:t xml:space="preserve">.1.3.1  </w:t>
      </w:r>
      <w:r>
        <w:rPr>
          <w:rFonts w:hint="eastAsia" w:ascii="Times New Roman"/>
        </w:rPr>
        <w:t>按</w:t>
      </w:r>
      <w:r>
        <w:rPr>
          <w:rFonts w:ascii="Times New Roman"/>
        </w:rPr>
        <w:t xml:space="preserve">生根时钢结构固定件开口部所能夹持梁、柱型钢翼缘板厚大小分为： </w:t>
      </w:r>
    </w:p>
    <w:p>
      <w:pPr>
        <w:pStyle w:val="180"/>
        <w:numPr>
          <w:ilvl w:val="0"/>
          <w:numId w:val="37"/>
        </w:numPr>
        <w:rPr>
          <w:rFonts w:ascii="Times New Roman"/>
        </w:rPr>
      </w:pPr>
      <w:r>
        <w:rPr>
          <w:rFonts w:hint="eastAsia" w:ascii="Times New Roman"/>
        </w:rPr>
        <w:t>梁、柱翼缘板厚不大于</w:t>
      </w:r>
      <w:r>
        <w:rPr>
          <w:rFonts w:ascii="Times New Roman"/>
        </w:rPr>
        <w:t>20mm</w:t>
      </w:r>
      <w:r>
        <w:rPr>
          <w:rFonts w:hint="eastAsia" w:ascii="Times New Roman"/>
        </w:rPr>
        <w:t>，代号</w:t>
      </w:r>
      <w:r>
        <w:rPr>
          <w:rFonts w:ascii="Times New Roman"/>
        </w:rPr>
        <w:t>S</w:t>
      </w:r>
      <w:r>
        <w:rPr>
          <w:rFonts w:hint="eastAsia" w:ascii="Times New Roman"/>
        </w:rPr>
        <w:t>；</w:t>
      </w:r>
    </w:p>
    <w:p>
      <w:pPr>
        <w:pStyle w:val="180"/>
        <w:numPr>
          <w:ilvl w:val="0"/>
          <w:numId w:val="36"/>
        </w:numPr>
        <w:rPr>
          <w:rFonts w:ascii="Times New Roman"/>
        </w:rPr>
      </w:pPr>
      <w:r>
        <w:rPr>
          <w:rFonts w:ascii="Times New Roman"/>
        </w:rPr>
        <w:t>梁、柱翼缘板厚</w:t>
      </w:r>
      <w:r>
        <w:rPr>
          <w:rFonts w:hint="eastAsia" w:ascii="Times New Roman"/>
        </w:rPr>
        <w:t>大于</w:t>
      </w:r>
      <w:r>
        <w:rPr>
          <w:rFonts w:ascii="Times New Roman"/>
        </w:rPr>
        <w:t>20mm，代号B</w:t>
      </w:r>
      <w:r>
        <w:rPr>
          <w:rFonts w:hint="eastAsia" w:ascii="Times New Roman"/>
        </w:rPr>
        <w:t>。</w:t>
      </w:r>
    </w:p>
    <w:p>
      <w:pPr>
        <w:pStyle w:val="62"/>
        <w:ind w:firstLine="0" w:firstLineChars="0"/>
        <w:rPr>
          <w:rFonts w:ascii="Times New Roman"/>
        </w:rPr>
      </w:pPr>
      <w:r>
        <w:rPr>
          <w:rFonts w:hint="eastAsia" w:ascii="黑体" w:eastAsia="黑体"/>
        </w:rPr>
        <w:t>4</w:t>
      </w:r>
      <w:r>
        <w:rPr>
          <w:rFonts w:ascii="黑体" w:eastAsia="黑体"/>
        </w:rPr>
        <w:t xml:space="preserve">.1.3.2  </w:t>
      </w:r>
      <w:r>
        <w:rPr>
          <w:rFonts w:ascii="Times New Roman"/>
        </w:rPr>
        <w:t xml:space="preserve">按钢结构固定件受力与钢结构轴向的相对方向分为： </w:t>
      </w:r>
    </w:p>
    <w:p>
      <w:pPr>
        <w:pStyle w:val="180"/>
        <w:numPr>
          <w:ilvl w:val="0"/>
          <w:numId w:val="38"/>
        </w:numPr>
        <w:rPr>
          <w:rFonts w:ascii="Times New Roman"/>
        </w:rPr>
      </w:pPr>
      <w:r>
        <w:rPr>
          <w:rFonts w:ascii="Times New Roman"/>
        </w:rPr>
        <w:t>平行于钢梁、柱轴向，受力相对方向代号P</w:t>
      </w:r>
      <w:r>
        <w:rPr>
          <w:rFonts w:hint="eastAsia" w:ascii="Times New Roman"/>
        </w:rPr>
        <w:t>；</w:t>
      </w:r>
    </w:p>
    <w:p>
      <w:pPr>
        <w:pStyle w:val="180"/>
        <w:numPr>
          <w:ilvl w:val="0"/>
          <w:numId w:val="38"/>
        </w:numPr>
        <w:rPr>
          <w:rFonts w:ascii="Times New Roman"/>
        </w:rPr>
      </w:pPr>
      <w:r>
        <w:rPr>
          <w:rFonts w:ascii="Times New Roman"/>
        </w:rPr>
        <w:t>垂直于钢梁、柱轴向，受力相对方向代号V</w:t>
      </w:r>
      <w:r>
        <w:rPr>
          <w:rFonts w:hint="eastAsia" w:ascii="Times New Roman"/>
        </w:rPr>
        <w:t>。</w:t>
      </w:r>
    </w:p>
    <w:p>
      <w:pPr>
        <w:pStyle w:val="111"/>
        <w:numPr>
          <w:ilvl w:val="1"/>
          <w:numId w:val="39"/>
        </w:numPr>
        <w:spacing w:before="156" w:after="156"/>
      </w:pPr>
      <w:r>
        <w:rPr>
          <w:rFonts w:hint="eastAsia"/>
        </w:rPr>
        <w:t xml:space="preserve"> </w:t>
      </w:r>
      <w:r>
        <w:t xml:space="preserve"> </w:t>
      </w:r>
      <w:r>
        <w:rPr>
          <w:rFonts w:hint="eastAsia"/>
        </w:rPr>
        <w:t>标记</w:t>
      </w:r>
    </w:p>
    <w:p>
      <w:pPr>
        <w:pStyle w:val="71"/>
        <w:numPr>
          <w:ilvl w:val="0"/>
          <w:numId w:val="0"/>
        </w:numPr>
        <w:spacing w:before="156" w:after="156"/>
      </w:pPr>
      <w:r>
        <w:rPr>
          <w:rFonts w:hint="eastAsia"/>
        </w:rPr>
        <w:t>4</w:t>
      </w:r>
      <w:r>
        <w:t>.2.1</w:t>
      </w:r>
      <w:r>
        <w:rPr>
          <w:rFonts w:ascii="宋体" w:hAnsi="宋体" w:eastAsia="宋体"/>
        </w:rPr>
        <w:t xml:space="preserve">  </w:t>
      </w:r>
      <w:r>
        <w:rPr>
          <w:rFonts w:hint="eastAsia" w:ascii="宋体" w:hAnsi="宋体" w:eastAsia="宋体"/>
        </w:rPr>
        <w:t>抗震连接件（</w:t>
      </w:r>
      <w:r>
        <w:rPr>
          <w:rFonts w:ascii="Times New Roman" w:eastAsia="宋体"/>
        </w:rPr>
        <w:t>KJ</w:t>
      </w:r>
      <w:r>
        <w:rPr>
          <w:rFonts w:hint="eastAsia" w:ascii="宋体" w:hAnsi="宋体" w:eastAsia="宋体"/>
        </w:rPr>
        <w:t>）按以下方式标记：</w:t>
      </w:r>
      <w:r>
        <w:rPr>
          <w:rFonts w:ascii="宋体" w:hAnsi="宋体" w:eastAsia="宋体"/>
        </w:rPr>
        <w:t xml:space="preserve"> </w:t>
      </w:r>
    </w:p>
    <w:p>
      <w:pPr>
        <w:pStyle w:val="62"/>
        <w:ind w:firstLine="420"/>
        <w:rPr>
          <w:color w:val="FF0000"/>
        </w:rPr>
      </w:pPr>
      <w:r>
        <w:drawing>
          <wp:inline distT="0" distB="0" distL="0" distR="0">
            <wp:extent cx="2829560" cy="125984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3"/>
                    <a:stretch>
                      <a:fillRect/>
                    </a:stretch>
                  </pic:blipFill>
                  <pic:spPr>
                    <a:xfrm>
                      <a:off x="0" y="0"/>
                      <a:ext cx="2829600" cy="1260000"/>
                    </a:xfrm>
                    <a:prstGeom prst="rect">
                      <a:avLst/>
                    </a:prstGeom>
                  </pic:spPr>
                </pic:pic>
              </a:graphicData>
            </a:graphic>
          </wp:inline>
        </w:drawing>
      </w:r>
    </w:p>
    <w:p>
      <w:pPr>
        <w:pStyle w:val="187"/>
        <w:rPr>
          <w:rFonts w:ascii="Times New Roman"/>
        </w:rPr>
      </w:pPr>
      <w:r>
        <w:rPr>
          <w:rFonts w:hint="eastAsia" w:ascii="Times New Roman"/>
        </w:rPr>
        <w:t>水平方向承载力设计值类型为</w:t>
      </w:r>
      <w:r>
        <w:rPr>
          <w:rFonts w:ascii="Times New Roman"/>
        </w:rPr>
        <w:t>H</w:t>
      </w:r>
      <w:r>
        <w:rPr>
          <w:rFonts w:hint="eastAsia" w:ascii="Times New Roman"/>
        </w:rPr>
        <w:t>型，水平方向承载力设计值为</w:t>
      </w:r>
      <w:r>
        <w:rPr>
          <w:rFonts w:ascii="Times New Roman"/>
        </w:rPr>
        <w:t>8</w:t>
      </w:r>
      <w:r>
        <w:rPr>
          <w:rFonts w:hint="eastAsia" w:ascii="Times New Roman"/>
        </w:rPr>
        <w:t>.</w:t>
      </w:r>
      <w:r>
        <w:rPr>
          <w:rFonts w:ascii="Times New Roman"/>
        </w:rPr>
        <w:t>65 kN</w:t>
      </w:r>
      <w:r>
        <w:rPr>
          <w:rFonts w:hint="eastAsia" w:ascii="Times New Roman"/>
        </w:rPr>
        <w:t>的</w:t>
      </w:r>
      <w:r>
        <w:rPr>
          <w:rFonts w:ascii="Times New Roman"/>
        </w:rPr>
        <w:t>A</w:t>
      </w:r>
      <w:r>
        <w:t>型抗震连接件，标记为：</w:t>
      </w:r>
      <w:r>
        <w:rPr>
          <w:rFonts w:ascii="Times New Roman"/>
        </w:rPr>
        <w:t>KJ-A-H-8.65 -GB/T 37267。</w:t>
      </w:r>
    </w:p>
    <w:p>
      <w:pPr>
        <w:pStyle w:val="71"/>
        <w:numPr>
          <w:ilvl w:val="0"/>
          <w:numId w:val="0"/>
        </w:numPr>
        <w:spacing w:before="156" w:after="156"/>
        <w:rPr>
          <w:rFonts w:ascii="宋体" w:hAnsi="宋体" w:eastAsia="宋体"/>
        </w:rPr>
        <w:sectPr>
          <w:footerReference r:id="rId15" w:type="default"/>
          <w:type w:val="continuous"/>
          <w:pgSz w:w="11906" w:h="16838"/>
          <w:pgMar w:top="2410" w:right="1134" w:bottom="1134" w:left="1134" w:header="1418" w:footer="1134" w:gutter="284"/>
          <w:pgNumType w:fmt="numberInDash"/>
          <w:cols w:space="425" w:num="1"/>
          <w:formProt w:val="0"/>
          <w:docGrid w:type="lines" w:linePitch="312" w:charSpace="0"/>
        </w:sectPr>
      </w:pPr>
      <w:r>
        <w:rPr>
          <w:rFonts w:hint="eastAsia"/>
        </w:rPr>
        <w:t>4</w:t>
      </w:r>
      <w:r>
        <w:t>.2.2</w:t>
      </w:r>
      <w:r>
        <w:rPr>
          <w:rFonts w:ascii="宋体" w:hAnsi="宋体" w:eastAsia="宋体"/>
        </w:rPr>
        <w:t xml:space="preserve">  </w:t>
      </w:r>
      <w:r>
        <w:rPr>
          <w:rFonts w:hint="eastAsia" w:ascii="宋体" w:hAnsi="宋体" w:eastAsia="宋体"/>
        </w:rPr>
        <w:t>管道连接件（</w:t>
      </w:r>
      <w:r>
        <w:rPr>
          <w:rFonts w:ascii="Times New Roman" w:eastAsia="宋体"/>
        </w:rPr>
        <w:t>GJ</w:t>
      </w:r>
      <w:r>
        <w:rPr>
          <w:rFonts w:hint="eastAsia" w:ascii="宋体" w:hAnsi="宋体" w:eastAsia="宋体"/>
        </w:rPr>
        <w:t>）按以下方式标记：</w:t>
      </w:r>
    </w:p>
    <w:p>
      <w:pPr>
        <w:pStyle w:val="62"/>
        <w:ind w:firstLine="0" w:firstLineChars="0"/>
        <w:rPr>
          <w:color w:val="FF0000"/>
        </w:rPr>
      </w:pPr>
      <w:r>
        <w:rPr>
          <w:rFonts w:hint="eastAsia"/>
          <w:color w:val="FF0000"/>
        </w:rPr>
        <w:t xml:space="preserve"> </w:t>
      </w:r>
      <w:r>
        <w:rPr>
          <w:color w:val="FF0000"/>
        </w:rPr>
        <w:t xml:space="preserve">   </w:t>
      </w:r>
      <w:r>
        <w:drawing>
          <wp:inline distT="0" distB="0" distL="0" distR="0">
            <wp:extent cx="2786380" cy="12598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stretch>
                      <a:fillRect/>
                    </a:stretch>
                  </pic:blipFill>
                  <pic:spPr>
                    <a:xfrm>
                      <a:off x="0" y="0"/>
                      <a:ext cx="2786400" cy="1260000"/>
                    </a:xfrm>
                    <a:prstGeom prst="rect">
                      <a:avLst/>
                    </a:prstGeom>
                  </pic:spPr>
                </pic:pic>
              </a:graphicData>
            </a:graphic>
          </wp:inline>
        </w:drawing>
      </w:r>
    </w:p>
    <w:p>
      <w:pPr>
        <w:pStyle w:val="187"/>
      </w:pPr>
      <w:r>
        <w:rPr>
          <w:rFonts w:hint="eastAsia"/>
        </w:rPr>
        <w:t>水平方向承载力设计值为</w:t>
      </w:r>
      <w:r>
        <w:t>4.23 kN</w:t>
      </w:r>
      <w:r>
        <w:rPr>
          <w:rFonts w:hint="eastAsia"/>
        </w:rPr>
        <w:t>，</w:t>
      </w:r>
      <w:r>
        <w:t>DN65侧向管道连接件，标记为：GJ-65-T- 4.23 -GB/T 37267。</w:t>
      </w:r>
    </w:p>
    <w:p>
      <w:pPr>
        <w:pStyle w:val="185"/>
        <w:rPr>
          <w:rFonts w:ascii="Times New Roman"/>
        </w:rPr>
      </w:pPr>
      <w:r>
        <w:rPr>
          <w:rFonts w:ascii="Times New Roman"/>
        </w:rPr>
        <w:t>P型与Ω型管夹为90°时水平承载力设计值</w:t>
      </w:r>
      <w:r>
        <w:rPr>
          <w:rFonts w:hint="eastAsia" w:ascii="Times New Roman"/>
        </w:rPr>
        <w:t>。</w:t>
      </w:r>
    </w:p>
    <w:p>
      <w:pPr>
        <w:widowControl/>
        <w:adjustRightInd/>
        <w:spacing w:line="240" w:lineRule="auto"/>
        <w:jc w:val="left"/>
      </w:pPr>
      <w:r>
        <w:rPr>
          <w:rFonts w:hint="eastAsia"/>
        </w:rPr>
        <w:t>4</w:t>
      </w:r>
      <w:r>
        <w:t>.2.3</w:t>
      </w:r>
      <w:r>
        <w:rPr>
          <w:rFonts w:ascii="宋体" w:hAnsi="宋体"/>
        </w:rPr>
        <w:t xml:space="preserve">  </w:t>
      </w:r>
      <w:r>
        <w:rPr>
          <w:rFonts w:hint="eastAsia" w:ascii="宋体" w:hAnsi="宋体"/>
        </w:rPr>
        <w:t>钢结构固定件</w:t>
      </w:r>
      <w:r>
        <w:rPr>
          <w:rFonts w:ascii="Times New Roman" w:hAnsi="Times New Roman"/>
        </w:rPr>
        <w:t>（GG）</w:t>
      </w:r>
      <w:r>
        <w:rPr>
          <w:rFonts w:hint="eastAsia" w:ascii="宋体" w:hAnsi="宋体"/>
        </w:rPr>
        <w:t>按以下方式标记：</w:t>
      </w:r>
    </w:p>
    <w:p>
      <w:pPr>
        <w:pStyle w:val="62"/>
        <w:ind w:firstLine="420"/>
        <w:rPr>
          <w:color w:val="FF0000"/>
        </w:rPr>
      </w:pPr>
      <w:r>
        <w:t xml:space="preserve"> </w:t>
      </w:r>
      <w:r>
        <w:rPr>
          <w:color w:val="FF0000"/>
        </w:rPr>
        <w:t xml:space="preserve"> </w:t>
      </w:r>
      <w:r>
        <w:drawing>
          <wp:inline distT="0" distB="0" distL="0" distR="0">
            <wp:extent cx="2797175" cy="1367790"/>
            <wp:effectExtent l="0" t="0" r="317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5"/>
                    <a:stretch>
                      <a:fillRect/>
                    </a:stretch>
                  </pic:blipFill>
                  <pic:spPr>
                    <a:xfrm>
                      <a:off x="0" y="0"/>
                      <a:ext cx="2797200" cy="1368000"/>
                    </a:xfrm>
                    <a:prstGeom prst="rect">
                      <a:avLst/>
                    </a:prstGeom>
                  </pic:spPr>
                </pic:pic>
              </a:graphicData>
            </a:graphic>
          </wp:inline>
        </w:drawing>
      </w:r>
    </w:p>
    <w:p>
      <w:pPr>
        <w:pStyle w:val="187"/>
        <w:rPr>
          <w:rFonts w:ascii="Times New Roman"/>
          <w:color w:val="FF0000"/>
        </w:rPr>
      </w:pPr>
      <w:r>
        <w:rPr>
          <w:rFonts w:hint="eastAsia" w:ascii="Times New Roman"/>
        </w:rPr>
        <w:t>水平方向承载力设计值类型为</w:t>
      </w:r>
      <w:r>
        <w:rPr>
          <w:rFonts w:ascii="Times New Roman"/>
        </w:rPr>
        <w:t>H</w:t>
      </w:r>
      <w:r>
        <w:rPr>
          <w:rFonts w:hint="eastAsia" w:ascii="Times New Roman"/>
        </w:rPr>
        <w:t>型，水平方向承载力设计值为</w:t>
      </w:r>
      <w:r>
        <w:rPr>
          <w:rFonts w:ascii="Times New Roman"/>
        </w:rPr>
        <w:t>9.86 kN</w:t>
      </w:r>
      <w:r>
        <w:rPr>
          <w:rFonts w:hint="eastAsia" w:ascii="Times New Roman"/>
        </w:rPr>
        <w:t>，</w:t>
      </w:r>
      <w:r>
        <w:rPr>
          <w:rFonts w:ascii="Times New Roman"/>
        </w:rPr>
        <w:t xml:space="preserve">平行于钢梁的小口径固定件，标记为：GG-S-P-H- 9.86 -GB/T 37267。 </w:t>
      </w:r>
    </w:p>
    <w:p>
      <w:pPr>
        <w:pStyle w:val="110"/>
        <w:numPr>
          <w:ilvl w:val="0"/>
          <w:numId w:val="40"/>
        </w:numPr>
        <w:spacing w:before="312" w:after="312"/>
      </w:pPr>
      <w:r>
        <w:rPr>
          <w:rFonts w:hint="eastAsia"/>
        </w:rPr>
        <w:t>通用要求</w:t>
      </w:r>
    </w:p>
    <w:p>
      <w:pPr>
        <w:pStyle w:val="111"/>
        <w:numPr>
          <w:ilvl w:val="1"/>
          <w:numId w:val="40"/>
        </w:numPr>
        <w:spacing w:before="156" w:after="156"/>
      </w:pPr>
      <w:r>
        <w:rPr>
          <w:rFonts w:hint="eastAsia"/>
        </w:rPr>
        <w:t xml:space="preserve"> </w:t>
      </w:r>
      <w:r>
        <w:t xml:space="preserve"> </w:t>
      </w:r>
      <w:r>
        <w:rPr>
          <w:rFonts w:hint="eastAsia"/>
        </w:rPr>
        <w:t>材料</w:t>
      </w:r>
    </w:p>
    <w:p>
      <w:pPr>
        <w:pStyle w:val="71"/>
        <w:numPr>
          <w:ilvl w:val="0"/>
          <w:numId w:val="0"/>
        </w:numPr>
        <w:spacing w:before="156" w:after="156"/>
        <w:rPr>
          <w:rFonts w:ascii="Times New Roman" w:eastAsia="宋体"/>
        </w:rPr>
      </w:pPr>
      <w:r>
        <w:rPr>
          <w:rFonts w:hint="eastAsia"/>
        </w:rPr>
        <w:t>5</w:t>
      </w:r>
      <w:r>
        <w:t xml:space="preserve">.1.1 </w:t>
      </w:r>
      <w:r>
        <w:rPr>
          <w:rFonts w:ascii="Times New Roman" w:eastAsia="宋体"/>
        </w:rPr>
        <w:t>抗震支吊架用槽钢和连接件</w:t>
      </w:r>
      <w:r>
        <w:rPr>
          <w:rFonts w:hint="eastAsia" w:ascii="Times New Roman" w:eastAsia="宋体"/>
        </w:rPr>
        <w:t>的材料和化学成分应符合下列规定：</w:t>
      </w:r>
    </w:p>
    <w:p>
      <w:pPr>
        <w:pStyle w:val="180"/>
        <w:numPr>
          <w:ilvl w:val="0"/>
          <w:numId w:val="41"/>
        </w:numPr>
        <w:rPr>
          <w:rFonts w:ascii="Times New Roman"/>
        </w:rPr>
      </w:pPr>
      <w:r>
        <w:rPr>
          <w:rFonts w:hint="eastAsia" w:ascii="Times New Roman"/>
        </w:rPr>
        <w:t>当采用碳钢时，其材料性能和化学成分不应低于</w:t>
      </w:r>
      <w:r>
        <w:rPr>
          <w:rFonts w:ascii="Times New Roman"/>
        </w:rPr>
        <w:t>GB/T 700</w:t>
      </w:r>
      <w:r>
        <w:rPr>
          <w:rFonts w:hint="eastAsia" w:ascii="Times New Roman"/>
        </w:rPr>
        <w:t>中</w:t>
      </w:r>
      <w:r>
        <w:rPr>
          <w:rFonts w:ascii="Times New Roman"/>
        </w:rPr>
        <w:t>Q235B</w:t>
      </w:r>
      <w:r>
        <w:rPr>
          <w:rFonts w:hint="eastAsia" w:ascii="Times New Roman"/>
        </w:rPr>
        <w:t>的规定；</w:t>
      </w:r>
    </w:p>
    <w:p>
      <w:pPr>
        <w:pStyle w:val="180"/>
        <w:numPr>
          <w:ilvl w:val="0"/>
          <w:numId w:val="41"/>
        </w:numPr>
        <w:rPr>
          <w:rFonts w:ascii="Times New Roman"/>
        </w:rPr>
      </w:pPr>
      <w:r>
        <w:rPr>
          <w:rFonts w:hint="eastAsia" w:ascii="Times New Roman"/>
        </w:rPr>
        <w:t>当采用连续热镀锌钢板及钢带和连续热镀锌铝镁合金镀层钢板及钢带时，其材料屈服强度不低于</w:t>
      </w:r>
      <w:r>
        <w:rPr>
          <w:rFonts w:ascii="Times New Roman"/>
        </w:rPr>
        <w:t>280MPa</w:t>
      </w:r>
      <w:r>
        <w:rPr>
          <w:rFonts w:hint="eastAsia" w:ascii="Times New Roman"/>
        </w:rPr>
        <w:t>，</w:t>
      </w:r>
      <w:r>
        <w:rPr>
          <w:rFonts w:ascii="Times New Roman"/>
        </w:rPr>
        <w:t>连续热镀锌钢板及钢带</w:t>
      </w:r>
      <w:r>
        <w:rPr>
          <w:rFonts w:hint="eastAsia" w:ascii="Times New Roman"/>
        </w:rPr>
        <w:t>的</w:t>
      </w:r>
      <w:r>
        <w:rPr>
          <w:rFonts w:ascii="Times New Roman"/>
        </w:rPr>
        <w:t>化学成分应符合GB/T 2518的规定，连续热镀锌铝镁合金镀层钢板及钢带</w:t>
      </w:r>
      <w:r>
        <w:rPr>
          <w:rFonts w:hint="eastAsia" w:ascii="Times New Roman"/>
        </w:rPr>
        <w:t>的</w:t>
      </w:r>
      <w:r>
        <w:rPr>
          <w:rFonts w:ascii="Times New Roman"/>
        </w:rPr>
        <w:t>化学成分应符合YB/T 4761的规定</w:t>
      </w:r>
      <w:r>
        <w:rPr>
          <w:rFonts w:hint="eastAsia" w:ascii="Times New Roman"/>
        </w:rPr>
        <w:t>；</w:t>
      </w:r>
    </w:p>
    <w:p>
      <w:pPr>
        <w:pStyle w:val="180"/>
        <w:numPr>
          <w:ilvl w:val="0"/>
          <w:numId w:val="41"/>
        </w:numPr>
        <w:rPr>
          <w:rFonts w:ascii="Times New Roman"/>
        </w:rPr>
      </w:pPr>
      <w:r>
        <w:rPr>
          <w:rFonts w:hint="eastAsia" w:ascii="Times New Roman"/>
        </w:rPr>
        <w:t>当采用不锈钢材料钢板及钢带时，其材料屈服强度不应低于</w:t>
      </w:r>
      <w:r>
        <w:rPr>
          <w:rFonts w:ascii="Times New Roman"/>
        </w:rPr>
        <w:t>205MPa</w:t>
      </w:r>
      <w:r>
        <w:rPr>
          <w:rFonts w:hint="eastAsia" w:ascii="Times New Roman"/>
        </w:rPr>
        <w:t>，不锈钢材料钢板及钢带化学成分应符合</w:t>
      </w:r>
      <w:r>
        <w:rPr>
          <w:rFonts w:ascii="Times New Roman"/>
        </w:rPr>
        <w:t>GB/T 3280</w:t>
      </w:r>
      <w:r>
        <w:rPr>
          <w:rFonts w:hint="eastAsia" w:ascii="Times New Roman"/>
        </w:rPr>
        <w:t>、</w:t>
      </w:r>
      <w:r>
        <w:rPr>
          <w:rFonts w:ascii="Times New Roman"/>
        </w:rPr>
        <w:t xml:space="preserve">GB/T </w:t>
      </w:r>
      <w:r>
        <w:rPr>
          <w:rFonts w:ascii="Times New Roman"/>
          <w:spacing w:val="-2"/>
        </w:rPr>
        <w:t>20878</w:t>
      </w:r>
      <w:r>
        <w:rPr>
          <w:rFonts w:hint="eastAsia" w:ascii="Times New Roman"/>
          <w:spacing w:val="-2"/>
        </w:rPr>
        <w:t>等的规定。</w:t>
      </w:r>
    </w:p>
    <w:p>
      <w:pPr>
        <w:pStyle w:val="71"/>
        <w:numPr>
          <w:ilvl w:val="0"/>
          <w:numId w:val="0"/>
        </w:numPr>
        <w:spacing w:before="156" w:after="156"/>
        <w:rPr>
          <w:rFonts w:ascii="宋体" w:hAnsi="宋体" w:eastAsia="宋体"/>
          <w:spacing w:val="-2"/>
        </w:rPr>
      </w:pPr>
      <w:r>
        <w:rPr>
          <w:rFonts w:hint="eastAsia" w:hAnsi="黑体"/>
          <w:spacing w:val="-2"/>
        </w:rPr>
        <w:t>5</w:t>
      </w:r>
      <w:r>
        <w:rPr>
          <w:rFonts w:hAnsi="黑体"/>
          <w:spacing w:val="-2"/>
        </w:rPr>
        <w:t xml:space="preserve">.1.2 </w:t>
      </w:r>
      <w:r>
        <w:rPr>
          <w:rFonts w:ascii="Times New Roman" w:eastAsia="宋体"/>
        </w:rPr>
        <w:t>抗震连接件及管道连接件用板材公称厚度不宜小于5mm，</w:t>
      </w:r>
      <w:r>
        <w:rPr>
          <w:rFonts w:ascii="Times New Roman" w:eastAsia="宋体"/>
          <w:color w:val="000000"/>
          <w:spacing w:val="-3"/>
        </w:rPr>
        <w:t>抗</w:t>
      </w:r>
      <w:r>
        <w:rPr>
          <w:rFonts w:ascii="Times New Roman" w:eastAsia="宋体"/>
          <w:color w:val="000000"/>
        </w:rPr>
        <w:t>震支吊架</w:t>
      </w:r>
      <w:r>
        <w:rPr>
          <w:rFonts w:ascii="Times New Roman" w:eastAsia="宋体"/>
          <w:color w:val="000000"/>
          <w:spacing w:val="-3"/>
        </w:rPr>
        <w:t>斜</w:t>
      </w:r>
      <w:r>
        <w:rPr>
          <w:rFonts w:ascii="Times New Roman" w:eastAsia="宋体"/>
          <w:color w:val="000000"/>
        </w:rPr>
        <w:t>撑</w:t>
      </w:r>
      <w:r>
        <w:rPr>
          <w:rFonts w:ascii="Times New Roman" w:eastAsia="宋体"/>
          <w:color w:val="000000"/>
          <w:spacing w:val="-3"/>
        </w:rPr>
        <w:t>杆</w:t>
      </w:r>
      <w:r>
        <w:rPr>
          <w:rFonts w:ascii="Times New Roman" w:eastAsia="宋体"/>
          <w:color w:val="000000"/>
        </w:rPr>
        <w:t>件、横杆、立杆用带齿C型</w:t>
      </w:r>
      <w:r>
        <w:rPr>
          <w:rFonts w:ascii="Times New Roman" w:eastAsia="宋体"/>
        </w:rPr>
        <w:t>槽钢公称厚度不应小于2mm。</w:t>
      </w:r>
    </w:p>
    <w:p>
      <w:pPr>
        <w:pStyle w:val="71"/>
        <w:numPr>
          <w:ilvl w:val="0"/>
          <w:numId w:val="0"/>
        </w:numPr>
        <w:spacing w:before="156" w:after="156"/>
        <w:rPr>
          <w:rFonts w:ascii="宋体" w:hAnsi="宋体" w:eastAsia="宋体"/>
        </w:rPr>
      </w:pPr>
      <w:r>
        <w:rPr>
          <w:rFonts w:hint="eastAsia" w:hAnsi="黑体"/>
          <w:spacing w:val="-2"/>
        </w:rPr>
        <w:t>5</w:t>
      </w:r>
      <w:r>
        <w:rPr>
          <w:rFonts w:hAnsi="黑体"/>
          <w:spacing w:val="-2"/>
        </w:rPr>
        <w:t xml:space="preserve">.1.3 </w:t>
      </w:r>
      <w:r>
        <w:rPr>
          <w:rFonts w:ascii="Times New Roman" w:eastAsia="宋体"/>
        </w:rPr>
        <w:t>有绝缘要求时，管道连接件可使用管夹衬垫，衬垫材料宜采用氯化丁基橡胶或三元乙丙橡胶，结构型式见附录B。</w:t>
      </w:r>
    </w:p>
    <w:p>
      <w:pPr>
        <w:pStyle w:val="71"/>
        <w:numPr>
          <w:ilvl w:val="0"/>
          <w:numId w:val="0"/>
        </w:numPr>
        <w:spacing w:before="156" w:after="156"/>
        <w:rPr>
          <w:rFonts w:ascii="宋体" w:hAnsi="宋体" w:eastAsia="宋体"/>
        </w:rPr>
      </w:pPr>
      <w:r>
        <w:rPr>
          <w:rFonts w:hAnsi="黑体"/>
          <w:spacing w:val="-2"/>
        </w:rPr>
        <w:t xml:space="preserve">5.1.4  </w:t>
      </w:r>
      <w:r>
        <w:rPr>
          <w:rFonts w:ascii="Times New Roman" w:eastAsia="宋体"/>
        </w:rPr>
        <w:t>螺栓、螺母可采用普通紧固件，螺栓性能应符合GB/T 3098.1、GB/T 3098.6的规定，螺母性能应符合GB/T 3098.2、 GB/T 3098.15的规定；垫圈性能应符合GB/T 93、GB/T 95的规定。</w:t>
      </w:r>
    </w:p>
    <w:p>
      <w:pPr>
        <w:pStyle w:val="71"/>
        <w:numPr>
          <w:ilvl w:val="0"/>
          <w:numId w:val="0"/>
        </w:numPr>
        <w:spacing w:before="156" w:after="156"/>
        <w:rPr>
          <w:rFonts w:ascii="Times New Roman" w:eastAsia="宋体"/>
        </w:rPr>
      </w:pPr>
      <w:r>
        <w:rPr>
          <w:rFonts w:hAnsi="黑体"/>
          <w:spacing w:val="-2"/>
        </w:rPr>
        <w:t xml:space="preserve">5.1.5  </w:t>
      </w:r>
      <w:r>
        <w:rPr>
          <w:rFonts w:ascii="Times New Roman" w:eastAsia="宋体"/>
        </w:rPr>
        <w:t>锚栓性能应符合JG/T 160中S类锚栓的规定。</w:t>
      </w:r>
    </w:p>
    <w:p>
      <w:pPr>
        <w:pStyle w:val="71"/>
        <w:numPr>
          <w:ilvl w:val="0"/>
          <w:numId w:val="0"/>
        </w:numPr>
        <w:spacing w:before="156" w:after="156"/>
        <w:rPr>
          <w:rFonts w:ascii="Times New Roman" w:eastAsia="宋体"/>
        </w:rPr>
      </w:pPr>
      <w:r>
        <w:rPr>
          <w:rFonts w:hint="eastAsia" w:hAnsi="黑体"/>
          <w:spacing w:val="-2"/>
        </w:rPr>
        <w:t>5</w:t>
      </w:r>
      <w:r>
        <w:rPr>
          <w:rFonts w:hAnsi="黑体"/>
          <w:spacing w:val="-2"/>
        </w:rPr>
        <w:t xml:space="preserve">.1.6  </w:t>
      </w:r>
      <w:r>
        <w:rPr>
          <w:rFonts w:ascii="Times New Roman" w:eastAsia="宋体"/>
        </w:rPr>
        <w:t>抗震支吊架斜撑杆件、</w:t>
      </w:r>
      <w:r>
        <w:rPr>
          <w:rFonts w:ascii="Times New Roman" w:eastAsia="宋体"/>
          <w:color w:val="000000"/>
        </w:rPr>
        <w:t>横杆、立杆用带齿C型</w:t>
      </w:r>
      <w:r>
        <w:rPr>
          <w:rFonts w:ascii="Times New Roman" w:eastAsia="宋体"/>
        </w:rPr>
        <w:t>槽钢的截面尺寸及特性参数见附录C。</w:t>
      </w:r>
    </w:p>
    <w:p>
      <w:pPr>
        <w:pStyle w:val="71"/>
        <w:numPr>
          <w:ilvl w:val="0"/>
          <w:numId w:val="0"/>
        </w:numPr>
        <w:spacing w:before="156" w:after="156"/>
        <w:rPr>
          <w:rFonts w:ascii="Times New Roman" w:eastAsia="宋体"/>
        </w:rPr>
      </w:pPr>
      <w:r>
        <w:rPr>
          <w:rFonts w:hAnsi="黑体"/>
          <w:spacing w:val="-2"/>
        </w:rPr>
        <w:t xml:space="preserve">5.1.7 </w:t>
      </w:r>
      <w:r>
        <w:rPr>
          <w:rFonts w:ascii="Times New Roman" w:eastAsia="宋体"/>
          <w:color w:val="000000"/>
        </w:rPr>
        <w:t>带齿C型</w:t>
      </w:r>
      <w:r>
        <w:rPr>
          <w:rFonts w:ascii="Times New Roman" w:eastAsia="宋体"/>
        </w:rPr>
        <w:t>槽钢表面防腐处理</w:t>
      </w:r>
      <w:r>
        <w:rPr>
          <w:rFonts w:hint="eastAsia" w:ascii="Times New Roman" w:eastAsia="宋体"/>
        </w:rPr>
        <w:t>应符合以下规定：</w:t>
      </w:r>
    </w:p>
    <w:p>
      <w:pPr>
        <w:pStyle w:val="180"/>
        <w:numPr>
          <w:ilvl w:val="0"/>
          <w:numId w:val="42"/>
        </w:numPr>
        <w:rPr>
          <w:rFonts w:ascii="Times New Roman"/>
        </w:rPr>
      </w:pPr>
      <w:r>
        <w:rPr>
          <w:rFonts w:hint="eastAsia" w:ascii="Times New Roman"/>
        </w:rPr>
        <w:t>采用连续热镀锌镀层钢带加工时，应符合</w:t>
      </w:r>
      <w:r>
        <w:rPr>
          <w:rFonts w:ascii="Times New Roman"/>
        </w:rPr>
        <w:t>GB/T 2518</w:t>
      </w:r>
      <w:r>
        <w:rPr>
          <w:rFonts w:hint="eastAsia" w:ascii="Times New Roman"/>
        </w:rPr>
        <w:t>的规定；</w:t>
      </w:r>
    </w:p>
    <w:p>
      <w:pPr>
        <w:pStyle w:val="180"/>
        <w:numPr>
          <w:ilvl w:val="0"/>
          <w:numId w:val="41"/>
        </w:numPr>
        <w:rPr>
          <w:rFonts w:ascii="Times New Roman"/>
        </w:rPr>
      </w:pPr>
      <w:r>
        <w:rPr>
          <w:rFonts w:ascii="Times New Roman"/>
        </w:rPr>
        <w:t>采用连续热镀锌铝镁合金镀层钢带加工时，应符合GB/T 2518</w:t>
      </w:r>
      <w:r>
        <w:rPr>
          <w:rFonts w:hint="eastAsia" w:ascii="Times New Roman"/>
        </w:rPr>
        <w:t>、</w:t>
      </w:r>
      <w:r>
        <w:rPr>
          <w:rFonts w:ascii="Times New Roman"/>
        </w:rPr>
        <w:t>YB/T 4761的规定；</w:t>
      </w:r>
    </w:p>
    <w:p>
      <w:pPr>
        <w:pStyle w:val="180"/>
        <w:numPr>
          <w:ilvl w:val="0"/>
          <w:numId w:val="41"/>
        </w:numPr>
        <w:rPr>
          <w:rFonts w:ascii="Times New Roman"/>
        </w:rPr>
        <w:sectPr>
          <w:footerReference r:id="rId16" w:type="default"/>
          <w:type w:val="continuous"/>
          <w:pgSz w:w="11906" w:h="16838"/>
          <w:pgMar w:top="2410" w:right="1134" w:bottom="1134" w:left="1134" w:header="1418" w:footer="1134" w:gutter="284"/>
          <w:pgNumType w:fmt="numberInDash"/>
          <w:cols w:space="425" w:num="1"/>
          <w:formProt w:val="0"/>
          <w:docGrid w:type="lines" w:linePitch="312" w:charSpace="0"/>
        </w:sectPr>
      </w:pPr>
      <w:r>
        <w:rPr>
          <w:rFonts w:ascii="Times New Roman"/>
        </w:rPr>
        <w:t>采用热浸镀锌处理时，应符合GB/T 13912的</w:t>
      </w:r>
      <w:r>
        <w:rPr>
          <w:rFonts w:hint="eastAsia" w:ascii="Times New Roman"/>
        </w:rPr>
        <w:t>规定</w:t>
      </w:r>
      <w:r>
        <w:rPr>
          <w:rFonts w:ascii="Times New Roman"/>
        </w:rPr>
        <w:t>。</w:t>
      </w:r>
    </w:p>
    <w:p>
      <w:pPr>
        <w:pStyle w:val="111"/>
        <w:numPr>
          <w:ilvl w:val="0"/>
          <w:numId w:val="0"/>
        </w:numPr>
        <w:spacing w:before="156" w:after="156"/>
      </w:pPr>
      <w:r>
        <w:t xml:space="preserve">5.2  </w:t>
      </w:r>
      <w:r>
        <w:rPr>
          <w:rFonts w:hint="eastAsia"/>
        </w:rPr>
        <w:t>部件</w:t>
      </w:r>
    </w:p>
    <w:p>
      <w:pPr>
        <w:rPr>
          <w:rFonts w:ascii="宋体" w:hAnsi="宋体"/>
          <w:color w:val="000000"/>
        </w:rPr>
      </w:pPr>
      <w:r>
        <w:rPr>
          <w:rFonts w:hint="eastAsia" w:ascii="黑体" w:hAnsi="黑体" w:eastAsia="黑体"/>
          <w:color w:val="000000"/>
        </w:rPr>
        <w:t>5</w:t>
      </w:r>
      <w:r>
        <w:rPr>
          <w:rFonts w:ascii="黑体" w:hAnsi="黑体" w:eastAsia="黑体"/>
          <w:color w:val="000000"/>
        </w:rPr>
        <w:t xml:space="preserve">.2.1  </w:t>
      </w:r>
      <w:r>
        <w:rPr>
          <w:rFonts w:ascii="Times New Roman" w:hAnsi="Times New Roman"/>
          <w:color w:val="000000"/>
        </w:rPr>
        <w:t>抗震支吊架应采用成品部件，相关部件具有良好的装配性能，同一型号规格的部件应能满足互换性要求。抗震支吊架结构型式见</w:t>
      </w:r>
      <w:r>
        <w:rPr>
          <w:rFonts w:hint="eastAsia" w:ascii="Times New Roman" w:hAnsi="Times New Roman"/>
          <w:color w:val="000000"/>
        </w:rPr>
        <w:t>附录D</w:t>
      </w:r>
      <w:r>
        <w:rPr>
          <w:rFonts w:ascii="Times New Roman" w:hAnsi="Times New Roman"/>
          <w:color w:val="000000"/>
        </w:rPr>
        <w:t>。</w:t>
      </w:r>
    </w:p>
    <w:p>
      <w:pPr>
        <w:rPr>
          <w:rFonts w:ascii="宋体" w:hAnsi="宋体"/>
          <w:color w:val="000000"/>
        </w:rPr>
      </w:pPr>
      <w:r>
        <w:rPr>
          <w:rFonts w:hint="eastAsia" w:ascii="黑体" w:hAnsi="黑体" w:eastAsia="黑体"/>
          <w:color w:val="000000"/>
        </w:rPr>
        <w:t>5</w:t>
      </w:r>
      <w:r>
        <w:rPr>
          <w:rFonts w:ascii="黑体" w:hAnsi="黑体" w:eastAsia="黑体"/>
          <w:color w:val="000000"/>
        </w:rPr>
        <w:t xml:space="preserve">.2.2  </w:t>
      </w:r>
      <w:r>
        <w:rPr>
          <w:rFonts w:ascii="Times New Roman" w:hAnsi="Times New Roman"/>
          <w:color w:val="000000"/>
        </w:rPr>
        <w:t>A型抗震连接件宜采用扭剪尖头螺栓，安装时螺头应扭断，且与无背孔的带齿C型槽钢连接，D型抗震连接件宜采用槽钢螺母与槽钢齿牙咬合，结构型式见附录A。</w:t>
      </w:r>
    </w:p>
    <w:p>
      <w:pPr>
        <w:tabs>
          <w:tab w:val="right" w:pos="9354"/>
        </w:tabs>
        <w:rPr>
          <w:rFonts w:ascii="Times New Roman" w:hAnsi="Times New Roman"/>
          <w:color w:val="000000"/>
        </w:rPr>
      </w:pPr>
      <w:r>
        <w:rPr>
          <w:rFonts w:hint="eastAsia" w:ascii="黑体" w:hAnsi="黑体" w:eastAsia="黑体"/>
          <w:color w:val="000000"/>
        </w:rPr>
        <w:t>5</w:t>
      </w:r>
      <w:r>
        <w:rPr>
          <w:rFonts w:ascii="黑体" w:hAnsi="黑体" w:eastAsia="黑体"/>
          <w:color w:val="000000"/>
        </w:rPr>
        <w:t xml:space="preserve">.2.3  </w:t>
      </w:r>
      <w:r>
        <w:rPr>
          <w:rFonts w:ascii="Times New Roman" w:hAnsi="Times New Roman"/>
          <w:color w:val="000000"/>
        </w:rPr>
        <w:t>抗震连接件与钢结构连接时，应采用钢结构固定件，钢结构固定件受力方向见附录B。</w:t>
      </w:r>
    </w:p>
    <w:p>
      <w:pPr>
        <w:tabs>
          <w:tab w:val="right" w:pos="9354"/>
        </w:tabs>
        <w:rPr>
          <w:rFonts w:ascii="Times New Roman" w:hAnsi="Times New Roman"/>
          <w:color w:val="000000"/>
        </w:rPr>
        <w:sectPr>
          <w:footerReference r:id="rId17" w:type="default"/>
          <w:type w:val="continuous"/>
          <w:pgSz w:w="11906" w:h="16838"/>
          <w:pgMar w:top="2410" w:right="1134" w:bottom="1134" w:left="1134" w:header="1418" w:footer="1134" w:gutter="284"/>
          <w:pgNumType w:fmt="numberInDash"/>
          <w:cols w:space="425" w:num="1"/>
          <w:formProt w:val="0"/>
          <w:docGrid w:type="lines" w:linePitch="312" w:charSpace="0"/>
        </w:sectPr>
      </w:pPr>
    </w:p>
    <w:p>
      <w:pPr>
        <w:widowControl/>
        <w:adjustRightInd/>
        <w:spacing w:line="240" w:lineRule="auto"/>
        <w:jc w:val="left"/>
        <w:rPr>
          <w:rFonts w:ascii="Times New Roman" w:hAnsi="Times New Roman"/>
        </w:rPr>
        <w:sectPr>
          <w:footerReference r:id="rId18" w:type="default"/>
          <w:type w:val="continuous"/>
          <w:pgSz w:w="11906" w:h="16838"/>
          <w:pgMar w:top="2410" w:right="1134" w:bottom="1134" w:left="1134" w:header="1418" w:footer="1134" w:gutter="284"/>
          <w:pgNumType w:fmt="numberInDash"/>
          <w:cols w:space="425" w:num="1"/>
          <w:formProt w:val="0"/>
          <w:docGrid w:type="lines" w:linePitch="312" w:charSpace="0"/>
        </w:sectPr>
      </w:pPr>
      <w:r>
        <w:rPr>
          <w:rFonts w:ascii="黑体" w:hAnsi="黑体" w:eastAsia="黑体"/>
          <w:color w:val="000000"/>
        </w:rPr>
        <w:t xml:space="preserve">5.2.4  </w:t>
      </w:r>
      <w:r>
        <w:rPr>
          <w:rFonts w:ascii="Times New Roman" w:hAnsi="Times New Roman"/>
          <w:color w:val="000000"/>
        </w:rPr>
        <w:t>部件表面防腐处理采用电镀锌处理时，应符合GB/T 9799的规定；采用热浸镀锌处理时，应符合GB/T 13912的规定；采用锌铬涂层处理时，应符合GB/T 18684的规定</w:t>
      </w:r>
      <w:r>
        <w:rPr>
          <w:rFonts w:hint="eastAsia" w:ascii="Times New Roman" w:hAnsi="Times New Roman"/>
          <w:color w:val="000000"/>
        </w:rPr>
        <w:t>。</w:t>
      </w:r>
      <w:r>
        <w:rPr>
          <w:rFonts w:ascii="Times New Roman" w:hAnsi="Times New Roman"/>
        </w:rPr>
        <w:t xml:space="preserve"> </w:t>
      </w:r>
    </w:p>
    <w:p>
      <w:pPr>
        <w:pStyle w:val="111"/>
        <w:numPr>
          <w:ilvl w:val="0"/>
          <w:numId w:val="0"/>
        </w:numPr>
        <w:spacing w:before="156" w:after="156"/>
      </w:pPr>
      <w:r>
        <w:rPr>
          <w:rFonts w:hint="eastAsia"/>
        </w:rPr>
        <w:t>5.3</w:t>
      </w:r>
      <w:r>
        <w:t xml:space="preserve">  </w:t>
      </w:r>
      <w:r>
        <w:rPr>
          <w:rFonts w:hint="eastAsia"/>
        </w:rPr>
        <w:t>组件</w:t>
      </w:r>
    </w:p>
    <w:p>
      <w:pPr>
        <w:pStyle w:val="171"/>
        <w:numPr>
          <w:ilvl w:val="0"/>
          <w:numId w:val="0"/>
        </w:numPr>
        <w:ind w:left="142" w:firstLine="420" w:firstLineChars="200"/>
        <w:rPr>
          <w:rFonts w:ascii="Times New Roman"/>
        </w:rPr>
      </w:pPr>
      <w:r>
        <w:rPr>
          <w:rFonts w:hint="eastAsia" w:ascii="Times New Roman"/>
        </w:rPr>
        <w:t>当位于高烈度设防地区或地震重点监视防御区的新建工程有模拟地震振动台试验要求时应按附录</w:t>
      </w:r>
      <w:r>
        <w:rPr>
          <w:rFonts w:ascii="Times New Roman"/>
        </w:rPr>
        <w:t>E</w:t>
      </w:r>
      <w:r>
        <w:rPr>
          <w:rFonts w:hint="eastAsia" w:ascii="Times New Roman"/>
        </w:rPr>
        <w:t>进行。试验后组件不应出现脱离、脱落和分离等现象，水平位移量不应超过50mm。</w:t>
      </w:r>
    </w:p>
    <w:p>
      <w:pPr>
        <w:pStyle w:val="110"/>
        <w:numPr>
          <w:ilvl w:val="0"/>
          <w:numId w:val="0"/>
        </w:numPr>
        <w:spacing w:before="312" w:after="312"/>
      </w:pPr>
      <w:bookmarkStart w:id="75" w:name="_Toc81322409"/>
      <w:bookmarkEnd w:id="75"/>
      <w:bookmarkStart w:id="76" w:name="_Toc81322364"/>
      <w:bookmarkEnd w:id="76"/>
      <w:bookmarkStart w:id="77" w:name="_Toc90303269"/>
      <w:bookmarkStart w:id="78" w:name="_Toc128552134"/>
      <w:bookmarkStart w:id="79" w:name="_Toc135225129"/>
      <w:r>
        <w:t xml:space="preserve">6  </w:t>
      </w:r>
      <w:r>
        <w:rPr>
          <w:rFonts w:hint="eastAsia"/>
        </w:rPr>
        <w:t>要求</w:t>
      </w:r>
      <w:bookmarkEnd w:id="77"/>
      <w:bookmarkEnd w:id="78"/>
      <w:bookmarkEnd w:id="79"/>
    </w:p>
    <w:p>
      <w:pPr>
        <w:pStyle w:val="111"/>
        <w:numPr>
          <w:ilvl w:val="0"/>
          <w:numId w:val="0"/>
        </w:numPr>
        <w:spacing w:before="156" w:after="156"/>
      </w:pPr>
      <w:bookmarkStart w:id="80" w:name="_Toc81322365"/>
      <w:r>
        <w:t xml:space="preserve">6.1  </w:t>
      </w:r>
      <w:r>
        <w:rPr>
          <w:rFonts w:hint="eastAsia"/>
        </w:rPr>
        <w:t>外观</w:t>
      </w:r>
      <w:bookmarkEnd w:id="80"/>
      <w:r>
        <w:rPr>
          <w:rFonts w:hint="eastAsia"/>
        </w:rPr>
        <w:t>质量</w:t>
      </w:r>
    </w:p>
    <w:p>
      <w:pPr>
        <w:pStyle w:val="171"/>
        <w:numPr>
          <w:ilvl w:val="0"/>
          <w:numId w:val="0"/>
        </w:numPr>
        <w:ind w:firstLine="420" w:firstLineChars="200"/>
        <w:rPr>
          <w:rFonts w:ascii="Times New Roman"/>
        </w:rPr>
      </w:pPr>
      <w:r>
        <w:rPr>
          <w:rFonts w:ascii="Times New Roman"/>
        </w:rPr>
        <w:t>部件与带齿C型槽钢应表面平整、光洁，不应有锈蚀、折叠、裂纹、分层、滴瘤、粗糙、刺锌、漏镀等缺陷。局部漏镀缺陷</w:t>
      </w:r>
      <w:r>
        <w:rPr>
          <w:rFonts w:hint="eastAsia" w:ascii="Times New Roman"/>
        </w:rPr>
        <w:t>可</w:t>
      </w:r>
      <w:r>
        <w:rPr>
          <w:rFonts w:ascii="Times New Roman"/>
        </w:rPr>
        <w:t>修补，但应保持色泽一致。</w:t>
      </w:r>
    </w:p>
    <w:p>
      <w:pPr>
        <w:pStyle w:val="111"/>
        <w:numPr>
          <w:ilvl w:val="0"/>
          <w:numId w:val="0"/>
        </w:numPr>
        <w:spacing w:before="156" w:after="156"/>
      </w:pPr>
      <w:r>
        <w:t xml:space="preserve">6.2  </w:t>
      </w:r>
      <w:r>
        <w:rPr>
          <w:rFonts w:hint="eastAsia"/>
        </w:rPr>
        <w:t>尺寸及允许偏差</w:t>
      </w:r>
    </w:p>
    <w:p>
      <w:pPr>
        <w:pStyle w:val="171"/>
        <w:numPr>
          <w:ilvl w:val="0"/>
          <w:numId w:val="0"/>
        </w:numPr>
      </w:pPr>
      <w:r>
        <w:rPr>
          <w:rFonts w:ascii="黑体" w:eastAsia="黑体"/>
        </w:rPr>
        <w:t xml:space="preserve">6.2.1 </w:t>
      </w:r>
      <w:r>
        <w:rPr>
          <w:rFonts w:ascii="Times New Roman"/>
        </w:rPr>
        <w:t>抗震连接件、管道连接件及钢结构固定件用板材厚度，在采用Q235B级及以上碳钢时，应符合GB</w:t>
      </w:r>
      <w:r>
        <w:rPr>
          <w:rFonts w:hint="eastAsia" w:ascii="Times New Roman"/>
        </w:rPr>
        <w:t>/</w:t>
      </w:r>
      <w:r>
        <w:rPr>
          <w:rFonts w:ascii="Times New Roman"/>
        </w:rPr>
        <w:t>T 709中对应卷板公称宽度的普通精度</w:t>
      </w:r>
      <w:r>
        <w:rPr>
          <w:rFonts w:hint="eastAsia" w:ascii="Times New Roman"/>
        </w:rPr>
        <w:t>（</w:t>
      </w:r>
      <w:r>
        <w:rPr>
          <w:rFonts w:ascii="Times New Roman"/>
        </w:rPr>
        <w:t>PT.A</w:t>
      </w:r>
      <w:r>
        <w:rPr>
          <w:rFonts w:hint="eastAsia" w:ascii="Times New Roman"/>
        </w:rPr>
        <w:t>）</w:t>
      </w:r>
      <w:r>
        <w:rPr>
          <w:rFonts w:ascii="Times New Roman"/>
        </w:rPr>
        <w:t>的</w:t>
      </w:r>
      <w:r>
        <w:rPr>
          <w:rFonts w:hint="eastAsia" w:ascii="Times New Roman"/>
        </w:rPr>
        <w:t>规定</w:t>
      </w:r>
      <w:r>
        <w:rPr>
          <w:rFonts w:ascii="Times New Roman"/>
        </w:rPr>
        <w:t>；在采用不锈钢冷轧钢板和钢带时，应符合GB</w:t>
      </w:r>
      <w:r>
        <w:rPr>
          <w:rFonts w:hint="eastAsia" w:ascii="Times New Roman"/>
        </w:rPr>
        <w:t>/</w:t>
      </w:r>
      <w:r>
        <w:rPr>
          <w:rFonts w:ascii="Times New Roman"/>
        </w:rPr>
        <w:t>T 3280中对应卷板公称宽度的普通精度</w:t>
      </w:r>
      <w:r>
        <w:rPr>
          <w:rFonts w:hint="eastAsia" w:ascii="Times New Roman"/>
        </w:rPr>
        <w:t>（</w:t>
      </w:r>
      <w:r>
        <w:rPr>
          <w:rFonts w:ascii="Times New Roman"/>
        </w:rPr>
        <w:t>PT.A</w:t>
      </w:r>
      <w:r>
        <w:rPr>
          <w:rFonts w:hint="eastAsia" w:ascii="Times New Roman"/>
        </w:rPr>
        <w:t>）</w:t>
      </w:r>
      <w:r>
        <w:rPr>
          <w:rFonts w:ascii="Times New Roman"/>
        </w:rPr>
        <w:t>的</w:t>
      </w:r>
      <w:r>
        <w:rPr>
          <w:rFonts w:hint="eastAsia" w:ascii="Times New Roman"/>
        </w:rPr>
        <w:t>规定</w:t>
      </w:r>
      <w:r>
        <w:rPr>
          <w:rFonts w:ascii="Times New Roman"/>
        </w:rPr>
        <w:t>；抗震斜撑杆件、横杆、立杆用带齿C型槽钢板材厚度，应符合表2的</w:t>
      </w:r>
      <w:r>
        <w:rPr>
          <w:rFonts w:hint="eastAsia" w:ascii="Times New Roman"/>
        </w:rPr>
        <w:t>规定</w:t>
      </w:r>
      <w:r>
        <w:rPr>
          <w:rFonts w:ascii="Times New Roman"/>
        </w:rPr>
        <w:t>。其</w:t>
      </w:r>
      <w:r>
        <w:rPr>
          <w:rFonts w:hint="eastAsia" w:ascii="Times New Roman"/>
        </w:rPr>
        <w:t>他</w:t>
      </w:r>
      <w:r>
        <w:rPr>
          <w:rFonts w:ascii="Times New Roman"/>
        </w:rPr>
        <w:t>构件尺寸公差应符合GB/T 1804中 “中等m”的规定。</w:t>
      </w:r>
    </w:p>
    <w:p>
      <w:pPr>
        <w:pStyle w:val="171"/>
        <w:numPr>
          <w:ilvl w:val="0"/>
          <w:numId w:val="0"/>
        </w:numPr>
      </w:pPr>
      <w:r>
        <w:rPr>
          <w:rFonts w:ascii="黑体" w:eastAsia="黑体"/>
        </w:rPr>
        <w:t xml:space="preserve">6.2.2  </w:t>
      </w:r>
      <w:r>
        <w:rPr>
          <w:rFonts w:ascii="Times New Roman"/>
        </w:rPr>
        <w:t>带齿C型槽钢应采用内卷边带齿C型槽钢，见图1。尺寸应符合表2的规定。</w:t>
      </w:r>
    </w:p>
    <w:p>
      <w:pPr>
        <w:pStyle w:val="171"/>
        <w:numPr>
          <w:ilvl w:val="0"/>
          <w:numId w:val="0"/>
        </w:numPr>
        <w:ind w:left="567"/>
        <w:jc w:val="center"/>
      </w:pPr>
      <w:r>
        <w:drawing>
          <wp:inline distT="0" distB="0" distL="0" distR="0">
            <wp:extent cx="4074795" cy="1277620"/>
            <wp:effectExtent l="0" t="0" r="190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6"/>
                    <a:stretch>
                      <a:fillRect/>
                    </a:stretch>
                  </pic:blipFill>
                  <pic:spPr>
                    <a:xfrm>
                      <a:off x="0" y="0"/>
                      <a:ext cx="4075200" cy="1278000"/>
                    </a:xfrm>
                    <a:prstGeom prst="rect">
                      <a:avLst/>
                    </a:prstGeom>
                  </pic:spPr>
                </pic:pic>
              </a:graphicData>
            </a:graphic>
          </wp:inline>
        </w:drawing>
      </w:r>
    </w:p>
    <w:p>
      <w:pPr>
        <w:pStyle w:val="171"/>
        <w:numPr>
          <w:ilvl w:val="0"/>
          <w:numId w:val="0"/>
        </w:numPr>
        <w:ind w:left="567"/>
        <w:jc w:val="center"/>
        <w:rPr>
          <w:rFonts w:ascii="黑体" w:hAnsi="黑体" w:eastAsia="黑体"/>
          <w:sz w:val="18"/>
          <w:szCs w:val="18"/>
        </w:rPr>
      </w:pPr>
      <w:r>
        <w:rPr>
          <w:rFonts w:hint="eastAsia" w:ascii="黑体" w:hAnsi="黑体" w:eastAsia="黑体"/>
          <w:sz w:val="18"/>
          <w:szCs w:val="18"/>
        </w:rPr>
        <w:t xml:space="preserve">a） </w:t>
      </w:r>
      <w:r>
        <w:rPr>
          <w:rFonts w:ascii="黑体" w:hAnsi="黑体" w:eastAsia="黑体"/>
          <w:sz w:val="18"/>
          <w:szCs w:val="18"/>
        </w:rPr>
        <w:t xml:space="preserve"> </w:t>
      </w:r>
      <w:r>
        <w:rPr>
          <w:rFonts w:hint="eastAsia" w:ascii="黑体" w:hAnsi="黑体" w:eastAsia="黑体"/>
          <w:sz w:val="18"/>
          <w:szCs w:val="18"/>
        </w:rPr>
        <w:t>带齿C型槽钢正视图</w:t>
      </w:r>
    </w:p>
    <w:p>
      <w:pPr>
        <w:pStyle w:val="171"/>
        <w:numPr>
          <w:ilvl w:val="0"/>
          <w:numId w:val="0"/>
        </w:numPr>
        <w:ind w:left="567"/>
        <w:jc w:val="center"/>
        <w:rPr>
          <w:sz w:val="18"/>
          <w:szCs w:val="18"/>
        </w:rPr>
      </w:pPr>
    </w:p>
    <w:p>
      <w:pPr>
        <w:pStyle w:val="171"/>
        <w:numPr>
          <w:ilvl w:val="0"/>
          <w:numId w:val="0"/>
        </w:numPr>
        <w:ind w:left="567"/>
        <w:jc w:val="center"/>
      </w:pPr>
      <w:r>
        <w:drawing>
          <wp:inline distT="0" distB="0" distL="0" distR="0">
            <wp:extent cx="4265930" cy="1187450"/>
            <wp:effectExtent l="0" t="0" r="127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57"/>
                    <a:stretch>
                      <a:fillRect/>
                    </a:stretch>
                  </pic:blipFill>
                  <pic:spPr>
                    <a:xfrm>
                      <a:off x="0" y="0"/>
                      <a:ext cx="4266000" cy="1188000"/>
                    </a:xfrm>
                    <a:prstGeom prst="rect">
                      <a:avLst/>
                    </a:prstGeom>
                  </pic:spPr>
                </pic:pic>
              </a:graphicData>
            </a:graphic>
          </wp:inline>
        </w:drawing>
      </w:r>
    </w:p>
    <w:p>
      <w:pPr>
        <w:pStyle w:val="171"/>
        <w:numPr>
          <w:ilvl w:val="0"/>
          <w:numId w:val="0"/>
        </w:numPr>
        <w:ind w:left="567"/>
        <w:jc w:val="center"/>
        <w:rPr>
          <w:rFonts w:ascii="黑体" w:hAnsi="黑体" w:eastAsia="黑体"/>
          <w:sz w:val="18"/>
          <w:szCs w:val="18"/>
        </w:rPr>
        <w:sectPr>
          <w:footerReference r:id="rId19" w:type="default"/>
          <w:type w:val="continuous"/>
          <w:pgSz w:w="11906" w:h="16838"/>
          <w:pgMar w:top="2410" w:right="1134" w:bottom="1134" w:left="1134" w:header="1418" w:footer="1134" w:gutter="284"/>
          <w:pgNumType w:fmt="upperRoman"/>
          <w:cols w:space="425" w:num="1"/>
          <w:formProt w:val="0"/>
          <w:docGrid w:type="lines" w:linePitch="312" w:charSpace="0"/>
        </w:sectPr>
      </w:pPr>
      <w:r>
        <w:rPr>
          <w:rFonts w:ascii="黑体" w:hAnsi="黑体" w:eastAsia="黑体"/>
          <w:sz w:val="18"/>
          <w:szCs w:val="18"/>
        </w:rPr>
        <w:t>b</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带背孔槽钢俯视图</w:t>
      </w:r>
    </w:p>
    <w:p>
      <w:pPr>
        <w:pStyle w:val="171"/>
        <w:numPr>
          <w:ilvl w:val="0"/>
          <w:numId w:val="0"/>
        </w:numPr>
        <w:ind w:left="567"/>
        <w:jc w:val="right"/>
        <w:rPr>
          <w:rFonts w:ascii="黑体" w:hAnsi="黑体" w:eastAsia="黑体"/>
          <w:sz w:val="18"/>
          <w:szCs w:val="18"/>
        </w:rPr>
      </w:pPr>
    </w:p>
    <w:p>
      <w:pPr>
        <w:pStyle w:val="171"/>
        <w:numPr>
          <w:ilvl w:val="0"/>
          <w:numId w:val="0"/>
        </w:numPr>
        <w:ind w:left="567"/>
        <w:jc w:val="center"/>
        <w:rPr>
          <w:sz w:val="18"/>
          <w:szCs w:val="18"/>
        </w:rPr>
      </w:pPr>
      <w:r>
        <w:drawing>
          <wp:inline distT="0" distB="0" distL="0" distR="0">
            <wp:extent cx="4114800" cy="1097915"/>
            <wp:effectExtent l="0" t="0" r="0" b="698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58"/>
                    <a:stretch>
                      <a:fillRect/>
                    </a:stretch>
                  </pic:blipFill>
                  <pic:spPr>
                    <a:xfrm>
                      <a:off x="0" y="0"/>
                      <a:ext cx="4114800" cy="1098000"/>
                    </a:xfrm>
                    <a:prstGeom prst="rect">
                      <a:avLst/>
                    </a:prstGeom>
                  </pic:spPr>
                </pic:pic>
              </a:graphicData>
            </a:graphic>
          </wp:inline>
        </w:drawing>
      </w:r>
    </w:p>
    <w:p>
      <w:pPr>
        <w:widowControl/>
        <w:adjustRightInd/>
        <w:spacing w:line="240" w:lineRule="auto"/>
        <w:jc w:val="center"/>
        <w:rPr>
          <w:sz w:val="18"/>
          <w:szCs w:val="18"/>
        </w:rPr>
      </w:pPr>
      <w:r>
        <w:rPr>
          <w:rFonts w:hint="eastAsia"/>
          <w:sz w:val="18"/>
          <w:szCs w:val="18"/>
        </w:rPr>
        <w:t xml:space="preserve"> </w:t>
      </w:r>
      <w:r>
        <w:rPr>
          <w:sz w:val="18"/>
          <w:szCs w:val="18"/>
        </w:rPr>
        <w:t xml:space="preserve">             </w:t>
      </w:r>
      <w:r>
        <w:rPr>
          <w:rFonts w:ascii="黑体" w:hAnsi="黑体" w:eastAsia="黑体"/>
          <w:sz w:val="18"/>
          <w:szCs w:val="18"/>
        </w:rPr>
        <w:t>c</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不带背孔槽钢俯视图</w:t>
      </w:r>
    </w:p>
    <w:p>
      <w:pPr>
        <w:pStyle w:val="171"/>
        <w:numPr>
          <w:ilvl w:val="0"/>
          <w:numId w:val="0"/>
        </w:numPr>
        <w:ind w:left="567"/>
        <w:jc w:val="center"/>
        <w:rPr>
          <w:sz w:val="18"/>
          <w:szCs w:val="18"/>
        </w:rPr>
      </w:pPr>
    </w:p>
    <w:p>
      <w:pPr>
        <w:pStyle w:val="171"/>
        <w:numPr>
          <w:ilvl w:val="0"/>
          <w:numId w:val="0"/>
        </w:numPr>
        <w:ind w:left="567"/>
        <w:jc w:val="center"/>
        <w:rPr>
          <w:sz w:val="18"/>
          <w:szCs w:val="18"/>
        </w:rPr>
        <w:sectPr>
          <w:footerReference r:id="rId20" w:type="default"/>
          <w:type w:val="continuous"/>
          <w:pgSz w:w="11906" w:h="16838"/>
          <w:pgMar w:top="2410" w:right="1134" w:bottom="1134" w:left="1134" w:header="1418" w:footer="1134" w:gutter="284"/>
          <w:pgNumType w:fmt="upperRoman"/>
          <w:cols w:space="425" w:num="1"/>
          <w:formProt w:val="0"/>
          <w:docGrid w:type="lines" w:linePitch="312" w:charSpace="0"/>
        </w:sectPr>
      </w:pPr>
    </w:p>
    <w:p>
      <w:pPr>
        <w:pStyle w:val="171"/>
        <w:numPr>
          <w:ilvl w:val="0"/>
          <w:numId w:val="0"/>
        </w:numPr>
        <w:ind w:left="567"/>
        <w:jc w:val="center"/>
      </w:pPr>
      <w:r>
        <w:drawing>
          <wp:inline distT="0" distB="0" distL="0" distR="0">
            <wp:extent cx="1784985" cy="1979930"/>
            <wp:effectExtent l="0" t="0" r="5715" b="127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59"/>
                    <a:stretch>
                      <a:fillRect/>
                    </a:stretch>
                  </pic:blipFill>
                  <pic:spPr>
                    <a:xfrm>
                      <a:off x="0" y="0"/>
                      <a:ext cx="1785600" cy="1980000"/>
                    </a:xfrm>
                    <a:prstGeom prst="rect">
                      <a:avLst/>
                    </a:prstGeom>
                  </pic:spPr>
                </pic:pic>
              </a:graphicData>
            </a:graphic>
          </wp:inline>
        </w:drawing>
      </w:r>
      <w:r>
        <w:t xml:space="preserve">    </w:t>
      </w:r>
      <w:r>
        <w:rPr>
          <w:rFonts w:hint="eastAsia"/>
        </w:rPr>
        <w:t xml:space="preserve"> </w:t>
      </w:r>
      <w:r>
        <w:drawing>
          <wp:inline distT="0" distB="0" distL="0" distR="0">
            <wp:extent cx="1457960" cy="125984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0"/>
                    <a:stretch>
                      <a:fillRect/>
                    </a:stretch>
                  </pic:blipFill>
                  <pic:spPr>
                    <a:xfrm>
                      <a:off x="0" y="0"/>
                      <a:ext cx="1458000" cy="1260000"/>
                    </a:xfrm>
                    <a:prstGeom prst="rect">
                      <a:avLst/>
                    </a:prstGeom>
                  </pic:spPr>
                </pic:pic>
              </a:graphicData>
            </a:graphic>
          </wp:inline>
        </w:drawing>
      </w:r>
    </w:p>
    <w:p>
      <w:pPr>
        <w:pStyle w:val="171"/>
        <w:numPr>
          <w:ilvl w:val="0"/>
          <w:numId w:val="0"/>
        </w:numPr>
        <w:ind w:left="567" w:firstLine="2520" w:firstLineChars="1400"/>
        <w:jc w:val="left"/>
        <w:rPr>
          <w:sz w:val="18"/>
          <w:szCs w:val="18"/>
        </w:rPr>
      </w:pPr>
      <w:r>
        <w:rPr>
          <w:sz w:val="18"/>
          <w:szCs w:val="18"/>
        </w:rPr>
        <w:t>槽钢截面</w:t>
      </w:r>
      <w:r>
        <w:rPr>
          <w:rFonts w:hint="eastAsia"/>
          <w:sz w:val="18"/>
          <w:szCs w:val="18"/>
        </w:rPr>
        <w:t xml:space="preserve"> </w:t>
      </w:r>
      <w:r>
        <w:t xml:space="preserve">                         </w:t>
      </w:r>
      <w:r>
        <w:rPr>
          <w:rFonts w:ascii="Times New Roman"/>
          <w:sz w:val="18"/>
          <w:szCs w:val="18"/>
        </w:rPr>
        <w:t xml:space="preserve"> I</w:t>
      </w:r>
    </w:p>
    <w:p>
      <w:pPr>
        <w:spacing w:before="156" w:beforeLines="50" w:after="156" w:afterLines="50"/>
        <w:jc w:val="center"/>
        <w:rPr>
          <w:rFonts w:ascii="黑体" w:hAnsi="黑体" w:eastAsia="黑体"/>
        </w:rPr>
      </w:pPr>
      <w:r>
        <w:rPr>
          <w:rFonts w:ascii="黑体" w:hAnsi="黑体" w:eastAsia="黑体"/>
          <w:sz w:val="18"/>
          <w:szCs w:val="18"/>
        </w:rPr>
        <w:t>d</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C型槽钢截面图</w:t>
      </w:r>
    </w:p>
    <w:p>
      <w:pPr>
        <w:spacing w:before="156" w:beforeLines="50" w:after="156" w:afterLines="50"/>
        <w:jc w:val="center"/>
        <w:rPr>
          <w:rFonts w:ascii="黑体" w:hAnsi="黑体" w:eastAsia="黑体"/>
        </w:rPr>
      </w:pPr>
      <w:r>
        <w:rPr>
          <w:rFonts w:ascii="黑体" w:hAnsi="黑体" w:eastAsia="黑体"/>
        </w:rPr>
        <w:t>图1  C型槽钢示意图</w:t>
      </w:r>
    </w:p>
    <w:p>
      <w:pPr>
        <w:spacing w:before="156" w:beforeLines="50" w:after="156" w:afterLines="50"/>
        <w:jc w:val="center"/>
        <w:rPr>
          <w:rFonts w:ascii="黑体" w:hAnsi="黑体" w:eastAsia="黑体"/>
        </w:rPr>
      </w:pPr>
      <w:r>
        <w:rPr>
          <w:rFonts w:ascii="黑体" w:hAnsi="黑体" w:eastAsia="黑体"/>
        </w:rPr>
        <w:t xml:space="preserve">表2  带齿C型槽钢尺寸    </w:t>
      </w:r>
    </w:p>
    <w:tbl>
      <w:tblPr>
        <w:tblStyle w:val="30"/>
        <w:tblW w:w="9351" w:type="dxa"/>
        <w:tblInd w:w="0" w:type="dxa"/>
        <w:tblLayout w:type="autofit"/>
        <w:tblCellMar>
          <w:top w:w="0" w:type="dxa"/>
          <w:left w:w="108" w:type="dxa"/>
          <w:bottom w:w="0" w:type="dxa"/>
          <w:right w:w="108" w:type="dxa"/>
        </w:tblCellMar>
      </w:tblPr>
      <w:tblGrid>
        <w:gridCol w:w="889"/>
        <w:gridCol w:w="705"/>
        <w:gridCol w:w="788"/>
        <w:gridCol w:w="787"/>
        <w:gridCol w:w="792"/>
        <w:gridCol w:w="792"/>
        <w:gridCol w:w="792"/>
        <w:gridCol w:w="935"/>
        <w:gridCol w:w="788"/>
        <w:gridCol w:w="787"/>
        <w:gridCol w:w="1296"/>
      </w:tblGrid>
      <w:tr>
        <w:tblPrEx>
          <w:tblCellMar>
            <w:top w:w="0" w:type="dxa"/>
            <w:left w:w="108" w:type="dxa"/>
            <w:bottom w:w="0" w:type="dxa"/>
            <w:right w:w="108" w:type="dxa"/>
          </w:tblCellMar>
        </w:tblPrEx>
        <w:trPr>
          <w:trHeight w:val="285" w:hRule="atLeast"/>
        </w:trPr>
        <w:tc>
          <w:tcPr>
            <w:tcW w:w="88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规格</w:t>
            </w:r>
          </w:p>
        </w:tc>
        <w:tc>
          <w:tcPr>
            <w:tcW w:w="70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t±0.1 (mm)</w:t>
            </w:r>
          </w:p>
        </w:tc>
        <w:tc>
          <w:tcPr>
            <w:tcW w:w="78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h±0.2 (mm)</w:t>
            </w:r>
          </w:p>
        </w:tc>
        <w:tc>
          <w:tcPr>
            <w:tcW w:w="78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b±0.2 (mm)</w:t>
            </w:r>
          </w:p>
        </w:tc>
        <w:tc>
          <w:tcPr>
            <w:tcW w:w="79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h</w:t>
            </w:r>
            <w:r>
              <w:rPr>
                <w:rFonts w:ascii="Times New Roman" w:hAnsi="Times New Roman"/>
                <w:color w:val="000000"/>
                <w:kern w:val="0"/>
                <w:sz w:val="18"/>
                <w:szCs w:val="18"/>
                <w:vertAlign w:val="subscript"/>
              </w:rPr>
              <w:t>1</w:t>
            </w:r>
            <w:r>
              <w:rPr>
                <w:rFonts w:ascii="Times New Roman" w:hAnsi="Times New Roman"/>
                <w:color w:val="000000"/>
                <w:kern w:val="0"/>
                <w:sz w:val="18"/>
                <w:szCs w:val="18"/>
              </w:rPr>
              <w:t>±0.3 (mm)</w:t>
            </w:r>
          </w:p>
        </w:tc>
        <w:tc>
          <w:tcPr>
            <w:tcW w:w="79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h</w:t>
            </w:r>
            <w:r>
              <w:rPr>
                <w:rFonts w:ascii="Times New Roman" w:hAnsi="Times New Roman"/>
                <w:color w:val="000000"/>
                <w:kern w:val="0"/>
                <w:sz w:val="18"/>
                <w:szCs w:val="18"/>
                <w:vertAlign w:val="subscript"/>
              </w:rPr>
              <w:t>2</w:t>
            </w:r>
            <w:r>
              <w:rPr>
                <w:rFonts w:ascii="Times New Roman" w:hAnsi="Times New Roman"/>
                <w:color w:val="000000"/>
                <w:kern w:val="0"/>
                <w:sz w:val="18"/>
                <w:szCs w:val="18"/>
              </w:rPr>
              <w:t>±0.1 (mm)</w:t>
            </w:r>
          </w:p>
        </w:tc>
        <w:tc>
          <w:tcPr>
            <w:tcW w:w="7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b</w:t>
            </w:r>
            <w:r>
              <w:rPr>
                <w:rFonts w:ascii="Times New Roman" w:hAnsi="Times New Roman"/>
                <w:color w:val="000000"/>
                <w:kern w:val="0"/>
                <w:sz w:val="18"/>
                <w:szCs w:val="18"/>
                <w:vertAlign w:val="subscript"/>
              </w:rPr>
              <w:t>2</w:t>
            </w:r>
            <w:r>
              <w:rPr>
                <w:rFonts w:ascii="Times New Roman" w:hAnsi="Times New Roman"/>
                <w:color w:val="000000"/>
                <w:kern w:val="0"/>
                <w:sz w:val="18"/>
                <w:szCs w:val="18"/>
              </w:rPr>
              <w:t>±0.1 (mm)</w:t>
            </w:r>
          </w:p>
        </w:tc>
        <w:tc>
          <w:tcPr>
            <w:tcW w:w="935" w:type="dxa"/>
            <w:vMerge w:val="restart"/>
            <w:tcBorders>
              <w:top w:val="single" w:color="auto" w:sz="4" w:space="0"/>
              <w:left w:val="nil"/>
              <w:bottom w:val="single" w:color="auto" w:sz="4" w:space="0"/>
              <w:right w:val="nil"/>
            </w:tcBorders>
            <w:shd w:val="clear" w:color="auto" w:fill="auto"/>
            <w:noWrap/>
            <w:vAlign w:val="bottom"/>
          </w:tcPr>
          <w:p>
            <w:pPr>
              <w:widowControl/>
              <w:adjustRightInd/>
              <w:spacing w:line="240" w:lineRule="auto"/>
              <w:jc w:val="left"/>
              <w:rPr>
                <w:rFonts w:ascii="Times New Roman" w:hAnsi="Times New Roman"/>
                <w:color w:val="000000"/>
                <w:kern w:val="0"/>
                <w:sz w:val="18"/>
                <w:szCs w:val="18"/>
              </w:rPr>
            </w:pPr>
            <w:r>
              <w:rPr>
                <w:rFonts w:ascii="Times New Roman" w:hAnsi="Times New Roman"/>
                <w:color w:val="000000"/>
                <w:kern w:val="0"/>
                <w:sz w:val="18"/>
                <w:szCs w:val="18"/>
              </w:rPr>
              <mc:AlternateContent>
                <mc:Choice Requires="wps">
                  <w:drawing>
                    <wp:anchor distT="0" distB="0" distL="114300" distR="114300" simplePos="0" relativeHeight="251663360" behindDoc="0" locked="0" layoutInCell="1" allowOverlap="1">
                      <wp:simplePos x="0" y="0"/>
                      <wp:positionH relativeFrom="column">
                        <wp:posOffset>-62230</wp:posOffset>
                      </wp:positionH>
                      <wp:positionV relativeFrom="paragraph">
                        <wp:posOffset>-393700</wp:posOffset>
                      </wp:positionV>
                      <wp:extent cx="541020" cy="3346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41606" cy="335182"/>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7"/>
                                    <w:spacing w:before="0" w:beforeAutospacing="0" w:after="0" w:afterAutospacing="0" w:line="0" w:lineRule="atLeast"/>
                                    <w:rPr>
                                      <w:rFonts w:ascii="Times New Roman" w:hAnsi="Times New Roman" w:eastAsia="黑体" w:cs="Times New Roman"/>
                                      <w:iCs/>
                                      <w:color w:val="000000" w:themeColor="text1"/>
                                      <w:sz w:val="20"/>
                                      <w:szCs w:val="22"/>
                                      <w14:textFill>
                                        <w14:solidFill>
                                          <w14:schemeClr w14:val="tx1"/>
                                        </w14:solidFill>
                                      </w14:textFill>
                                    </w:rPr>
                                  </w:pPr>
                                  <m:oMathPara>
                                    <m:oMath>
                                      <m:sSubSup>
                                        <m:sSubSupPr>
                                          <m:ctrlPr>
                                            <w:rPr>
                                              <w:rFonts w:ascii="Cambria Math" w:hAnsi="Cambria Math" w:cs="Times New Roman" w:eastAsiaTheme="minorEastAsia"/>
                                              <w:iCs/>
                                              <w:color w:val="000000" w:themeColor="text1"/>
                                              <w:sz w:val="20"/>
                                              <w:szCs w:val="20"/>
                                              <w14:textFill>
                                                <w14:solidFill>
                                                  <w14:schemeClr w14:val="tx1"/>
                                                </w14:solidFill>
                                              </w14:textFill>
                                            </w:rPr>
                                          </m:ctrlPr>
                                        </m:sSubSupPr>
                                        <m:e>
                                          <m:r>
                                            <m:rPr>
                                              <m:sty m:val="p"/>
                                            </m:rPr>
                                            <w:rPr>
                                              <w:rFonts w:ascii="Cambria Math" w:hAnsi="Cambria Math" w:cs="Times New Roman" w:eastAsiaTheme="minorEastAsia"/>
                                              <w:color w:val="000000" w:themeColor="text1"/>
                                              <w:sz w:val="20"/>
                                              <w:szCs w:val="20"/>
                                              <w14:textFill>
                                                <w14:solidFill>
                                                  <w14:schemeClr w14:val="tx1"/>
                                                </w14:solidFill>
                                              </w14:textFill>
                                            </w:rPr>
                                            <m:t>h</m:t>
                                          </m:r>
                                          <m:r>
                                            <m:rPr>
                                              <m:sty m:val="p"/>
                                            </m:rPr>
                                            <w:rPr>
                                              <w:rFonts w:ascii="Cambria Math" w:hAnsi="Cambria Math" w:cs="Times New Roman" w:eastAsiaTheme="minorEastAsia"/>
                                              <w:color w:val="000000" w:themeColor="text1"/>
                                              <w:position w:val="-6"/>
                                              <w:sz w:val="20"/>
                                              <w:szCs w:val="20"/>
                                              <w:vertAlign w:val="subscript"/>
                                              <w14:textFill>
                                                <w14:solidFill>
                                                  <w14:schemeClr w14:val="tx1"/>
                                                </w14:solidFill>
                                              </w14:textFill>
                                            </w:rPr>
                                            <m:t>3</m:t>
                                          </m:r>
                                          <m:ctrlPr>
                                            <w:rPr>
                                              <w:rFonts w:ascii="Cambria Math" w:hAnsi="Cambria Math" w:cs="Times New Roman" w:eastAsiaTheme="minorEastAsia"/>
                                              <w:iCs/>
                                              <w:color w:val="000000" w:themeColor="text1"/>
                                              <w:sz w:val="20"/>
                                              <w:szCs w:val="20"/>
                                              <w14:textFill>
                                                <w14:solidFill>
                                                  <w14:schemeClr w14:val="tx1"/>
                                                </w14:solidFill>
                                              </w14:textFill>
                                            </w:rPr>
                                          </m:ctrlPr>
                                        </m:e>
                                        <m:sub>
                                          <m:r>
                                            <m:rPr>
                                              <m:sty m:val="p"/>
                                            </m:rPr>
                                            <w:rPr>
                                              <w:rFonts w:ascii="Cambria Math" w:hAnsi="Cambria Math" w:cs="Times New Roman" w:eastAsiaTheme="minorEastAsia"/>
                                              <w:color w:val="000000" w:themeColor="text1"/>
                                              <w:sz w:val="20"/>
                                              <w:szCs w:val="20"/>
                                              <w14:textFill>
                                                <w14:solidFill>
                                                  <w14:schemeClr w14:val="tx1"/>
                                                </w14:solidFill>
                                              </w14:textFill>
                                            </w:rPr>
                                            <m:t> 0</m:t>
                                          </m:r>
                                          <m:ctrlPr>
                                            <w:rPr>
                                              <w:rFonts w:ascii="Cambria Math" w:hAnsi="Cambria Math" w:cs="Times New Roman" w:eastAsiaTheme="minorEastAsia"/>
                                              <w:iCs/>
                                              <w:color w:val="000000" w:themeColor="text1"/>
                                              <w:sz w:val="20"/>
                                              <w:szCs w:val="20"/>
                                              <w14:textFill>
                                                <w14:solidFill>
                                                  <w14:schemeClr w14:val="tx1"/>
                                                </w14:solidFill>
                                              </w14:textFill>
                                            </w:rPr>
                                          </m:ctrlPr>
                                        </m:sub>
                                        <m:sup>
                                          <m:r>
                                            <m:rPr>
                                              <m:sty m:val="p"/>
                                            </m:rPr>
                                            <w:rPr>
                                              <w:rFonts w:ascii="Cambria Math" w:hAnsi="Cambria Math" w:cs="Times New Roman" w:eastAsiaTheme="minorEastAsia"/>
                                              <w:color w:val="000000" w:themeColor="text1"/>
                                              <w:sz w:val="20"/>
                                              <w:szCs w:val="20"/>
                                              <w14:textFill>
                                                <w14:solidFill>
                                                  <w14:schemeClr w14:val="tx1"/>
                                                </w14:solidFill>
                                              </w14:textFill>
                                            </w:rPr>
                                            <m:t>+0.5</m:t>
                                          </m:r>
                                          <m:ctrlPr>
                                            <w:rPr>
                                              <w:rFonts w:ascii="Cambria Math" w:hAnsi="Cambria Math" w:cs="Times New Roman" w:eastAsiaTheme="minorEastAsia"/>
                                              <w:iCs/>
                                              <w:color w:val="000000" w:themeColor="text1"/>
                                              <w:sz w:val="20"/>
                                              <w:szCs w:val="20"/>
                                              <w14:textFill>
                                                <w14:solidFill>
                                                  <w14:schemeClr w14:val="tx1"/>
                                                </w14:solidFill>
                                              </w14:textFill>
                                            </w:rPr>
                                          </m:ctrlPr>
                                        </m:sup>
                                      </m:sSubSup>
                                    </m:oMath>
                                  </m:oMathPara>
                                </w:p>
                                <w:p>
                                  <w:pPr>
                                    <w:pStyle w:val="27"/>
                                    <w:spacing w:before="0" w:beforeAutospacing="0" w:after="0" w:afterAutospacing="0" w:line="0" w:lineRule="atLeast"/>
                                    <w:rPr>
                                      <w:rFonts w:ascii="Times New Roman" w:hAnsi="Times New Roman" w:eastAsia="黑体" w:cs="Times New Roman"/>
                                      <w:iCs/>
                                      <w:color w:val="000000" w:themeColor="text1"/>
                                      <w:sz w:val="20"/>
                                      <w:szCs w:val="22"/>
                                      <w14:textFill>
                                        <w14:solidFill>
                                          <w14:schemeClr w14:val="tx1"/>
                                        </w14:solidFill>
                                      </w14:textFill>
                                    </w:rPr>
                                  </w:pPr>
                                  <m:oMathPara>
                                    <m:oMathParaPr>
                                      <m:jc m:val="center"/>
                                    </m:oMathParaPr>
                                    <m:oMath>
                                      <m:r>
                                        <m:rPr>
                                          <m:sty m:val="p"/>
                                        </m:rPr>
                                        <w:rPr>
                                          <w:rFonts w:ascii="Cambria Math" w:hAnsi="Cambria Math" w:cs="Times New Roman" w:eastAsiaTheme="minorEastAsia"/>
                                          <w:color w:val="000000" w:themeColor="text1"/>
                                          <w:sz w:val="20"/>
                                          <w:szCs w:val="22"/>
                                          <w14:textFill>
                                            <w14:solidFill>
                                              <w14:schemeClr w14:val="tx1"/>
                                            </w14:solidFill>
                                          </w14:textFill>
                                        </w:rPr>
                                        <m:t>(mm)</m:t>
                                      </m:r>
                                    </m:oMath>
                                  </m:oMathPara>
                                </w:p>
                              </w:txbxContent>
                            </wps:txbx>
                            <wps:bodyPr vertOverflow="clip" horzOverflow="clip" wrap="square" lIns="0" tIns="0" rIns="0" bIns="0" rtlCol="0" anchor="b">
                              <a:noAutofit/>
                            </wps:bodyPr>
                          </wps:wsp>
                        </a:graphicData>
                      </a:graphic>
                    </wp:anchor>
                  </w:drawing>
                </mc:Choice>
                <mc:Fallback>
                  <w:pict>
                    <v:shape id="_x0000_s1026" o:spid="_x0000_s1026" o:spt="202" type="#_x0000_t202" style="position:absolute;left:0pt;margin-left:-4.9pt;margin-top:-31pt;height:26.35pt;width:42.6pt;z-index:251663360;v-text-anchor:bottom;mso-width-relative:page;mso-height-relative:page;" filled="f" stroked="f" coordsize="21600,21600" o:gfxdata="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8rVELYAAAACAEA&#10;AA8AAAAAAAAAAQAgAAAAIgAAAGRycy9kb3ducmV2LnhtbFBLAQIUABQAAAAIAIdO4kB/UHwU4QEA&#10;ALoDAAAOAAAAAAAAAAEAIAAAACcBAABkcnMvZTJvRG9jLnhtbFBLBQYAAAAABgAGAFkBAAB6BQAA&#10;AAA=&#10;">
                      <v:fill on="f" focussize="0,0"/>
                      <v:stroke on="f"/>
                      <v:imagedata o:title=""/>
                      <o:lock v:ext="edit" aspectratio="f"/>
                      <v:textbox inset="0mm,0mm,0mm,0mm">
                        <w:txbxContent>
                          <w:p>
                            <w:pPr>
                              <w:pStyle w:val="27"/>
                              <w:spacing w:before="0" w:beforeAutospacing="0" w:after="0" w:afterAutospacing="0" w:line="0" w:lineRule="atLeast"/>
                              <w:rPr>
                                <w:rFonts w:ascii="Times New Roman" w:hAnsi="Times New Roman" w:eastAsia="黑体" w:cs="Times New Roman"/>
                                <w:iCs/>
                                <w:color w:val="000000" w:themeColor="text1"/>
                                <w:sz w:val="20"/>
                                <w:szCs w:val="22"/>
                                <w14:textFill>
                                  <w14:solidFill>
                                    <w14:schemeClr w14:val="tx1"/>
                                  </w14:solidFill>
                                </w14:textFill>
                              </w:rPr>
                            </w:pPr>
                            <m:oMathPara>
                              <m:oMath>
                                <m:sSubSup>
                                  <m:sSubSupPr>
                                    <m:ctrlPr>
                                      <w:rPr>
                                        <w:rFonts w:ascii="Cambria Math" w:hAnsi="Cambria Math" w:cs="Times New Roman" w:eastAsiaTheme="minorEastAsia"/>
                                        <w:iCs/>
                                        <w:color w:val="000000" w:themeColor="text1"/>
                                        <w:sz w:val="20"/>
                                        <w:szCs w:val="20"/>
                                        <w14:textFill>
                                          <w14:solidFill>
                                            <w14:schemeClr w14:val="tx1"/>
                                          </w14:solidFill>
                                        </w14:textFill>
                                      </w:rPr>
                                    </m:ctrlPr>
                                  </m:sSubSupPr>
                                  <m:e>
                                    <m:r>
                                      <m:rPr>
                                        <m:sty m:val="p"/>
                                      </m:rPr>
                                      <w:rPr>
                                        <w:rFonts w:ascii="Cambria Math" w:hAnsi="Cambria Math" w:cs="Times New Roman" w:eastAsiaTheme="minorEastAsia"/>
                                        <w:color w:val="000000" w:themeColor="text1"/>
                                        <w:sz w:val="20"/>
                                        <w:szCs w:val="20"/>
                                        <w14:textFill>
                                          <w14:solidFill>
                                            <w14:schemeClr w14:val="tx1"/>
                                          </w14:solidFill>
                                        </w14:textFill>
                                      </w:rPr>
                                      <m:t>h</m:t>
                                    </m:r>
                                    <m:r>
                                      <m:rPr>
                                        <m:sty m:val="p"/>
                                      </m:rPr>
                                      <w:rPr>
                                        <w:rFonts w:ascii="Cambria Math" w:hAnsi="Cambria Math" w:cs="Times New Roman" w:eastAsiaTheme="minorEastAsia"/>
                                        <w:color w:val="000000" w:themeColor="text1"/>
                                        <w:position w:val="-6"/>
                                        <w:sz w:val="20"/>
                                        <w:szCs w:val="20"/>
                                        <w:vertAlign w:val="subscript"/>
                                        <w14:textFill>
                                          <w14:solidFill>
                                            <w14:schemeClr w14:val="tx1"/>
                                          </w14:solidFill>
                                        </w14:textFill>
                                      </w:rPr>
                                      <m:t>3</m:t>
                                    </m:r>
                                    <m:ctrlPr>
                                      <w:rPr>
                                        <w:rFonts w:ascii="Cambria Math" w:hAnsi="Cambria Math" w:cs="Times New Roman" w:eastAsiaTheme="minorEastAsia"/>
                                        <w:iCs/>
                                        <w:color w:val="000000" w:themeColor="text1"/>
                                        <w:sz w:val="20"/>
                                        <w:szCs w:val="20"/>
                                        <w14:textFill>
                                          <w14:solidFill>
                                            <w14:schemeClr w14:val="tx1"/>
                                          </w14:solidFill>
                                        </w14:textFill>
                                      </w:rPr>
                                    </m:ctrlPr>
                                  </m:e>
                                  <m:sub>
                                    <m:r>
                                      <m:rPr>
                                        <m:sty m:val="p"/>
                                      </m:rPr>
                                      <w:rPr>
                                        <w:rFonts w:ascii="Cambria Math" w:hAnsi="Cambria Math" w:cs="Times New Roman" w:eastAsiaTheme="minorEastAsia"/>
                                        <w:color w:val="000000" w:themeColor="text1"/>
                                        <w:sz w:val="20"/>
                                        <w:szCs w:val="20"/>
                                        <w14:textFill>
                                          <w14:solidFill>
                                            <w14:schemeClr w14:val="tx1"/>
                                          </w14:solidFill>
                                        </w14:textFill>
                                      </w:rPr>
                                      <m:t> 0</m:t>
                                    </m:r>
                                    <m:ctrlPr>
                                      <w:rPr>
                                        <w:rFonts w:ascii="Cambria Math" w:hAnsi="Cambria Math" w:cs="Times New Roman" w:eastAsiaTheme="minorEastAsia"/>
                                        <w:iCs/>
                                        <w:color w:val="000000" w:themeColor="text1"/>
                                        <w:sz w:val="20"/>
                                        <w:szCs w:val="20"/>
                                        <w14:textFill>
                                          <w14:solidFill>
                                            <w14:schemeClr w14:val="tx1"/>
                                          </w14:solidFill>
                                        </w14:textFill>
                                      </w:rPr>
                                    </m:ctrlPr>
                                  </m:sub>
                                  <m:sup>
                                    <m:r>
                                      <m:rPr>
                                        <m:sty m:val="p"/>
                                      </m:rPr>
                                      <w:rPr>
                                        <w:rFonts w:ascii="Cambria Math" w:hAnsi="Cambria Math" w:cs="Times New Roman" w:eastAsiaTheme="minorEastAsia"/>
                                        <w:color w:val="000000" w:themeColor="text1"/>
                                        <w:sz w:val="20"/>
                                        <w:szCs w:val="20"/>
                                        <w14:textFill>
                                          <w14:solidFill>
                                            <w14:schemeClr w14:val="tx1"/>
                                          </w14:solidFill>
                                        </w14:textFill>
                                      </w:rPr>
                                      <m:t>+0.5</m:t>
                                    </m:r>
                                    <m:ctrlPr>
                                      <w:rPr>
                                        <w:rFonts w:ascii="Cambria Math" w:hAnsi="Cambria Math" w:cs="Times New Roman" w:eastAsiaTheme="minorEastAsia"/>
                                        <w:iCs/>
                                        <w:color w:val="000000" w:themeColor="text1"/>
                                        <w:sz w:val="20"/>
                                        <w:szCs w:val="20"/>
                                        <w14:textFill>
                                          <w14:solidFill>
                                            <w14:schemeClr w14:val="tx1"/>
                                          </w14:solidFill>
                                        </w14:textFill>
                                      </w:rPr>
                                    </m:ctrlPr>
                                  </m:sup>
                                </m:sSubSup>
                              </m:oMath>
                            </m:oMathPara>
                          </w:p>
                          <w:p>
                            <w:pPr>
                              <w:pStyle w:val="27"/>
                              <w:spacing w:before="0" w:beforeAutospacing="0" w:after="0" w:afterAutospacing="0" w:line="0" w:lineRule="atLeast"/>
                              <w:rPr>
                                <w:rFonts w:ascii="Times New Roman" w:hAnsi="Times New Roman" w:eastAsia="黑体" w:cs="Times New Roman"/>
                                <w:iCs/>
                                <w:color w:val="000000" w:themeColor="text1"/>
                                <w:sz w:val="20"/>
                                <w:szCs w:val="22"/>
                                <w14:textFill>
                                  <w14:solidFill>
                                    <w14:schemeClr w14:val="tx1"/>
                                  </w14:solidFill>
                                </w14:textFill>
                              </w:rPr>
                            </w:pPr>
                            <m:oMathPara>
                              <m:oMathParaPr>
                                <m:jc m:val="center"/>
                              </m:oMathParaPr>
                              <m:oMath>
                                <m:r>
                                  <m:rPr>
                                    <m:sty m:val="p"/>
                                  </m:rPr>
                                  <w:rPr>
                                    <w:rFonts w:ascii="Cambria Math" w:hAnsi="Cambria Math" w:cs="Times New Roman" w:eastAsiaTheme="minorEastAsia"/>
                                    <w:color w:val="000000" w:themeColor="text1"/>
                                    <w:sz w:val="20"/>
                                    <w:szCs w:val="22"/>
                                    <w14:textFill>
                                      <w14:solidFill>
                                        <w14:schemeClr w14:val="tx1"/>
                                      </w14:solidFill>
                                    </w14:textFill>
                                  </w:rPr>
                                  <m:t>(mm)</m:t>
                                </m:r>
                              </m:oMath>
                            </m:oMathPara>
                          </w:p>
                        </w:txbxContent>
                      </v:textbox>
                    </v:shape>
                  </w:pict>
                </mc:Fallback>
              </mc:AlternateContent>
            </w:r>
          </w:p>
        </w:tc>
        <w:tc>
          <w:tcPr>
            <w:tcW w:w="78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|h</w:t>
            </w:r>
            <w:r>
              <w:rPr>
                <w:rFonts w:ascii="Times New Roman" w:hAnsi="Times New Roman"/>
                <w:color w:val="000000"/>
                <w:kern w:val="0"/>
                <w:sz w:val="18"/>
                <w:szCs w:val="18"/>
                <w:vertAlign w:val="subscript"/>
              </w:rPr>
              <w:t>4</w:t>
            </w:r>
            <w:r>
              <w:rPr>
                <w:rFonts w:ascii="Times New Roman" w:hAnsi="Times New Roman"/>
                <w:color w:val="000000"/>
                <w:kern w:val="0"/>
                <w:sz w:val="18"/>
                <w:szCs w:val="18"/>
              </w:rPr>
              <w:t>-h</w:t>
            </w:r>
            <w:r>
              <w:rPr>
                <w:rFonts w:ascii="Times New Roman" w:hAnsi="Times New Roman"/>
                <w:color w:val="000000"/>
                <w:kern w:val="0"/>
                <w:sz w:val="18"/>
                <w:szCs w:val="18"/>
                <w:vertAlign w:val="subscript"/>
              </w:rPr>
              <w:t>5</w:t>
            </w:r>
            <w:r>
              <w:rPr>
                <w:rFonts w:ascii="Times New Roman" w:hAnsi="Times New Roman"/>
                <w:color w:val="000000"/>
                <w:kern w:val="0"/>
                <w:sz w:val="18"/>
                <w:szCs w:val="18"/>
              </w:rPr>
              <w:t>| (mm)</w:t>
            </w:r>
          </w:p>
        </w:tc>
        <w:tc>
          <w:tcPr>
            <w:tcW w:w="7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R±0.5 (mm)</w:t>
            </w:r>
          </w:p>
        </w:tc>
        <w:tc>
          <w:tcPr>
            <w:tcW w:w="12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Φ±1.5°</w:t>
            </w:r>
          </w:p>
        </w:tc>
      </w:tr>
      <w:tr>
        <w:tblPrEx>
          <w:tblCellMar>
            <w:top w:w="0" w:type="dxa"/>
            <w:left w:w="108" w:type="dxa"/>
            <w:bottom w:w="0" w:type="dxa"/>
            <w:right w:w="108" w:type="dxa"/>
          </w:tblCellMar>
        </w:tblPrEx>
        <w:trPr>
          <w:trHeight w:val="384"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05"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88"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87"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92"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92"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935" w:type="dxa"/>
            <w:vMerge w:val="continue"/>
            <w:tcBorders>
              <w:top w:val="single" w:color="auto" w:sz="4" w:space="0"/>
              <w:left w:val="nil"/>
              <w:bottom w:val="single" w:color="auto" w:sz="4" w:space="0"/>
              <w:right w:val="nil"/>
            </w:tcBorders>
            <w:vAlign w:val="center"/>
          </w:tcPr>
          <w:p>
            <w:pPr>
              <w:widowControl/>
              <w:adjustRightInd/>
              <w:spacing w:line="240" w:lineRule="auto"/>
              <w:jc w:val="left"/>
              <w:rPr>
                <w:rFonts w:ascii="Times New Roman" w:hAnsi="Times New Roman"/>
                <w:color w:val="000000"/>
                <w:kern w:val="0"/>
                <w:sz w:val="18"/>
                <w:szCs w:val="18"/>
              </w:rPr>
            </w:pPr>
          </w:p>
        </w:tc>
        <w:tc>
          <w:tcPr>
            <w:tcW w:w="788"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78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345" w:hRule="atLeast"/>
        </w:trPr>
        <w:tc>
          <w:tcPr>
            <w:tcW w:w="88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41×21</w:t>
            </w:r>
          </w:p>
        </w:tc>
        <w:tc>
          <w:tcPr>
            <w:tcW w:w="7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2.0 </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21</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22.3</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79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13.5</w:t>
            </w:r>
          </w:p>
        </w:tc>
        <w:tc>
          <w:tcPr>
            <w:tcW w:w="935"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0.9</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≤0.3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29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r>
      <w:tr>
        <w:tblPrEx>
          <w:tblCellMar>
            <w:top w:w="0" w:type="dxa"/>
            <w:left w:w="108" w:type="dxa"/>
            <w:bottom w:w="0" w:type="dxa"/>
            <w:right w:w="108" w:type="dxa"/>
          </w:tblCellMar>
        </w:tblPrEx>
        <w:trPr>
          <w:trHeight w:val="345" w:hRule="atLeast"/>
        </w:trPr>
        <w:tc>
          <w:tcPr>
            <w:tcW w:w="88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41×41</w:t>
            </w:r>
          </w:p>
        </w:tc>
        <w:tc>
          <w:tcPr>
            <w:tcW w:w="7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2.0 </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22.3</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13.5</w:t>
            </w:r>
          </w:p>
        </w:tc>
        <w:tc>
          <w:tcPr>
            <w:tcW w:w="93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0.9</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≤0.3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29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r>
      <w:tr>
        <w:tblPrEx>
          <w:tblCellMar>
            <w:top w:w="0" w:type="dxa"/>
            <w:left w:w="108" w:type="dxa"/>
            <w:bottom w:w="0" w:type="dxa"/>
            <w:right w:w="108" w:type="dxa"/>
          </w:tblCellMar>
        </w:tblPrEx>
        <w:trPr>
          <w:trHeight w:val="345" w:hRule="atLeast"/>
        </w:trPr>
        <w:tc>
          <w:tcPr>
            <w:tcW w:w="88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41×52</w:t>
            </w:r>
          </w:p>
        </w:tc>
        <w:tc>
          <w:tcPr>
            <w:tcW w:w="7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52</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22.3</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13.5</w:t>
            </w:r>
          </w:p>
        </w:tc>
        <w:tc>
          <w:tcPr>
            <w:tcW w:w="93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0.9</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≤0.3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29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r>
      <w:tr>
        <w:tblPrEx>
          <w:tblCellMar>
            <w:top w:w="0" w:type="dxa"/>
            <w:left w:w="108" w:type="dxa"/>
            <w:bottom w:w="0" w:type="dxa"/>
            <w:right w:w="108" w:type="dxa"/>
          </w:tblCellMar>
        </w:tblPrEx>
        <w:trPr>
          <w:trHeight w:val="345" w:hRule="atLeast"/>
        </w:trPr>
        <w:tc>
          <w:tcPr>
            <w:tcW w:w="88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41×62</w:t>
            </w:r>
          </w:p>
        </w:tc>
        <w:tc>
          <w:tcPr>
            <w:tcW w:w="7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62</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22.3</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13.5</w:t>
            </w:r>
          </w:p>
        </w:tc>
        <w:tc>
          <w:tcPr>
            <w:tcW w:w="93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0.9</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≤0.3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29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r>
      <w:tr>
        <w:tblPrEx>
          <w:tblCellMar>
            <w:top w:w="0" w:type="dxa"/>
            <w:left w:w="108" w:type="dxa"/>
            <w:bottom w:w="0" w:type="dxa"/>
            <w:right w:w="108" w:type="dxa"/>
          </w:tblCellMar>
        </w:tblPrEx>
        <w:trPr>
          <w:trHeight w:val="345" w:hRule="atLeast"/>
        </w:trPr>
        <w:tc>
          <w:tcPr>
            <w:tcW w:w="88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41×72</w:t>
            </w:r>
          </w:p>
        </w:tc>
        <w:tc>
          <w:tcPr>
            <w:tcW w:w="7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72</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22.3</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w:t>
            </w:r>
          </w:p>
        </w:tc>
        <w:tc>
          <w:tcPr>
            <w:tcW w:w="79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13.5</w:t>
            </w:r>
          </w:p>
        </w:tc>
        <w:tc>
          <w:tcPr>
            <w:tcW w:w="93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0.9</w:t>
            </w:r>
          </w:p>
        </w:tc>
        <w:tc>
          <w:tcPr>
            <w:tcW w:w="78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≤0.3</w:t>
            </w:r>
          </w:p>
        </w:tc>
        <w:tc>
          <w:tcPr>
            <w:tcW w:w="787"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1.5</w:t>
            </w:r>
          </w:p>
        </w:tc>
        <w:tc>
          <w:tcPr>
            <w:tcW w:w="129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r>
      <w:tr>
        <w:tblPrEx>
          <w:tblCellMar>
            <w:top w:w="0" w:type="dxa"/>
            <w:left w:w="108" w:type="dxa"/>
            <w:bottom w:w="0" w:type="dxa"/>
            <w:right w:w="108" w:type="dxa"/>
          </w:tblCellMar>
        </w:tblPrEx>
        <w:trPr>
          <w:trHeight w:val="238" w:hRule="atLeast"/>
        </w:trPr>
        <w:tc>
          <w:tcPr>
            <w:tcW w:w="9351" w:type="dxa"/>
            <w:gridSpan w:val="11"/>
            <w:tcBorders>
              <w:top w:val="single" w:color="auto" w:sz="4" w:space="0"/>
              <w:left w:val="single" w:color="auto" w:sz="4" w:space="0"/>
              <w:bottom w:val="single" w:color="auto" w:sz="4" w:space="0"/>
              <w:right w:val="single" w:color="auto" w:sz="4" w:space="0"/>
            </w:tcBorders>
            <w:shd w:val="clear" w:color="auto" w:fill="auto"/>
            <w:noWrap/>
            <w:vAlign w:val="bottom"/>
          </w:tcPr>
          <w:p>
            <w:pPr>
              <w:pStyle w:val="185"/>
            </w:pPr>
            <w:r>
              <w:t>上述尺寸公差适合于无任何表面处理的</w:t>
            </w:r>
            <w:r>
              <w:rPr>
                <w:rFonts w:ascii="Times New Roman"/>
              </w:rPr>
              <w:t>C</w:t>
            </w:r>
            <w:r>
              <w:t>型钢，表面处理后尺寸考虑表面处理带来的尺寸变化。</w:t>
            </w:r>
          </w:p>
        </w:tc>
      </w:tr>
    </w:tbl>
    <w:p>
      <w:pPr>
        <w:pStyle w:val="111"/>
        <w:numPr>
          <w:ilvl w:val="0"/>
          <w:numId w:val="0"/>
        </w:numPr>
        <w:spacing w:before="312" w:beforeLines="100" w:after="156"/>
      </w:pPr>
      <w:r>
        <w:t xml:space="preserve">6.3  </w:t>
      </w:r>
      <w:r>
        <w:rPr>
          <w:rFonts w:hint="eastAsia"/>
        </w:rPr>
        <w:t>涂层厚度</w:t>
      </w:r>
      <w:bookmarkStart w:id="81" w:name="_Toc81322367"/>
      <w:r>
        <w:t xml:space="preserve">  </w:t>
      </w:r>
    </w:p>
    <w:p>
      <w:pPr>
        <w:pStyle w:val="62"/>
        <w:ind w:firstLine="420"/>
      </w:pPr>
      <w:r>
        <w:rPr>
          <w:rFonts w:ascii="Times New Roman"/>
        </w:rPr>
        <w:t>应符合表</w:t>
      </w:r>
      <w:r>
        <w:rPr>
          <w:rFonts w:hint="eastAsia" w:ascii="Times New Roman"/>
        </w:rPr>
        <w:t>3</w:t>
      </w:r>
      <w:r>
        <w:rPr>
          <w:rFonts w:ascii="Times New Roman"/>
        </w:rPr>
        <w:t>的规</w:t>
      </w:r>
      <w:r>
        <w:rPr>
          <w:rFonts w:hint="eastAsia"/>
        </w:rPr>
        <w:t>定。</w:t>
      </w:r>
    </w:p>
    <w:p>
      <w:pPr>
        <w:pStyle w:val="62"/>
        <w:ind w:firstLine="420"/>
      </w:pPr>
    </w:p>
    <w:p>
      <w:pPr>
        <w:pStyle w:val="62"/>
        <w:ind w:firstLine="420"/>
      </w:pPr>
    </w:p>
    <w:p>
      <w:pPr>
        <w:pStyle w:val="62"/>
        <w:ind w:firstLine="420"/>
      </w:pPr>
    </w:p>
    <w:p>
      <w:pPr>
        <w:spacing w:after="156" w:afterLines="50" w:line="240" w:lineRule="auto"/>
        <w:jc w:val="center"/>
        <w:rPr>
          <w:rFonts w:ascii="黑体" w:hAnsi="黑体" w:eastAsia="黑体"/>
        </w:rPr>
      </w:pPr>
      <w:r>
        <w:rPr>
          <w:rFonts w:ascii="黑体" w:hAnsi="黑体" w:eastAsia="黑体"/>
        </w:rPr>
        <w:t>表</w:t>
      </w:r>
      <w:r>
        <w:rPr>
          <w:rFonts w:hint="eastAsia" w:ascii="黑体" w:hAnsi="黑体" w:eastAsia="黑体"/>
        </w:rPr>
        <w:t>3</w:t>
      </w:r>
      <w:r>
        <w:rPr>
          <w:rFonts w:ascii="黑体" w:hAnsi="黑体" w:eastAsia="黑体"/>
        </w:rPr>
        <w:t xml:space="preserve">  </w:t>
      </w:r>
      <w:r>
        <w:rPr>
          <w:rFonts w:hint="eastAsia" w:ascii="黑体" w:hAnsi="黑体" w:eastAsia="黑体"/>
        </w:rPr>
        <w:t>部件与带齿C型槽钢涂层厚度</w:t>
      </w:r>
    </w:p>
    <w:p>
      <w:pPr>
        <w:jc w:val="right"/>
        <w:rPr>
          <w:sz w:val="18"/>
        </w:rPr>
      </w:pPr>
      <w:r>
        <w:rPr>
          <w:rFonts w:hint="eastAsia"/>
          <w:sz w:val="18"/>
        </w:rPr>
        <w:t>单位为微米</w:t>
      </w:r>
    </w:p>
    <w:tbl>
      <w:tblPr>
        <w:tblStyle w:val="3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95"/>
        <w:gridCol w:w="3119"/>
        <w:gridCol w:w="38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2395" w:type="dxa"/>
            <w:tcBorders>
              <w:top w:val="single" w:color="auto" w:sz="12" w:space="0"/>
              <w:left w:val="single" w:color="auto" w:sz="12" w:space="0"/>
              <w:bottom w:val="single" w:color="000000" w:sz="12" w:space="0"/>
              <w:righ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部件与带齿C型槽钢</w:t>
            </w:r>
          </w:p>
        </w:tc>
        <w:tc>
          <w:tcPr>
            <w:tcW w:w="3119" w:type="dxa"/>
            <w:tcBorders>
              <w:top w:val="single" w:color="auto" w:sz="12" w:space="0"/>
              <w:left w:val="single" w:color="auto" w:sz="4" w:space="0"/>
              <w:bottom w:val="single" w:color="000000" w:sz="12" w:space="0"/>
            </w:tcBorders>
            <w:shd w:val="clear" w:color="auto" w:fill="auto"/>
            <w:vAlign w:val="center"/>
          </w:tcPr>
          <w:p>
            <w:pPr>
              <w:jc w:val="center"/>
              <w:rPr>
                <w:rFonts w:ascii="Times New Roman" w:hAnsi="Times New Roman"/>
                <w:sz w:val="18"/>
              </w:rPr>
            </w:pPr>
            <w:r>
              <w:rPr>
                <w:rFonts w:ascii="Times New Roman" w:hAnsi="Times New Roman"/>
                <w:sz w:val="18"/>
              </w:rPr>
              <w:t>表面处理工艺</w:t>
            </w:r>
          </w:p>
        </w:tc>
        <w:tc>
          <w:tcPr>
            <w:tcW w:w="3810" w:type="dxa"/>
            <w:tcBorders>
              <w:top w:val="single" w:color="auto" w:sz="12" w:space="0"/>
              <w:bottom w:val="single" w:color="000000" w:sz="12" w:space="0"/>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涂层厚度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restart"/>
            <w:tcBorders>
              <w:top w:val="single" w:color="000000" w:sz="12" w:space="0"/>
              <w:left w:val="single" w:color="auto" w:sz="12" w:space="0"/>
              <w:right w:val="single" w:color="auto" w:sz="4" w:space="0"/>
            </w:tcBorders>
            <w:shd w:val="clear" w:color="auto" w:fill="auto"/>
            <w:vAlign w:val="center"/>
          </w:tcPr>
          <w:p>
            <w:pPr>
              <w:spacing w:line="240" w:lineRule="auto"/>
              <w:jc w:val="center"/>
              <w:rPr>
                <w:rFonts w:ascii="Times New Roman" w:hAnsi="Times New Roman"/>
                <w:sz w:val="18"/>
              </w:rPr>
            </w:pPr>
            <w:r>
              <w:rPr>
                <w:rFonts w:ascii="Times New Roman" w:hAnsi="Times New Roman"/>
                <w:sz w:val="18"/>
              </w:rPr>
              <w:t>抗震连接件、管道连接件、钢结构固定件</w:t>
            </w:r>
          </w:p>
        </w:tc>
        <w:tc>
          <w:tcPr>
            <w:tcW w:w="3119" w:type="dxa"/>
            <w:tcBorders>
              <w:top w:val="single" w:color="000000" w:sz="12" w:space="0"/>
              <w:lef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电镀锌</w:t>
            </w:r>
          </w:p>
        </w:tc>
        <w:tc>
          <w:tcPr>
            <w:tcW w:w="3810" w:type="dxa"/>
            <w:tcBorders>
              <w:top w:val="single" w:color="000000" w:sz="12" w:space="0"/>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平均厚度≥8，局部厚度≥5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continue"/>
            <w:tcBorders>
              <w:left w:val="single" w:color="auto" w:sz="12" w:space="0"/>
              <w:right w:val="single" w:color="auto" w:sz="4" w:space="0"/>
            </w:tcBorders>
            <w:shd w:val="clear" w:color="auto" w:fill="auto"/>
            <w:vAlign w:val="center"/>
          </w:tcPr>
          <w:p>
            <w:pPr>
              <w:spacing w:line="240" w:lineRule="auto"/>
              <w:jc w:val="center"/>
              <w:rPr>
                <w:rFonts w:ascii="Times New Roman" w:hAnsi="Times New Roman"/>
                <w:sz w:val="18"/>
              </w:rPr>
            </w:pPr>
          </w:p>
        </w:tc>
        <w:tc>
          <w:tcPr>
            <w:tcW w:w="3119" w:type="dxa"/>
            <w:tcBorders>
              <w:lef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热浸镀锌</w:t>
            </w:r>
          </w:p>
        </w:tc>
        <w:tc>
          <w:tcPr>
            <w:tcW w:w="3810" w:type="dxa"/>
            <w:tcBorders>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平均厚度≥70，局部厚度≥55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continue"/>
            <w:tcBorders>
              <w:left w:val="single" w:color="auto" w:sz="12" w:space="0"/>
              <w:right w:val="single" w:color="auto" w:sz="4" w:space="0"/>
            </w:tcBorders>
            <w:shd w:val="clear" w:color="auto" w:fill="auto"/>
            <w:vAlign w:val="center"/>
          </w:tcPr>
          <w:p>
            <w:pPr>
              <w:spacing w:line="240" w:lineRule="auto"/>
              <w:jc w:val="center"/>
              <w:rPr>
                <w:rFonts w:ascii="Times New Roman" w:hAnsi="Times New Roman"/>
                <w:sz w:val="18"/>
              </w:rPr>
            </w:pPr>
          </w:p>
        </w:tc>
        <w:tc>
          <w:tcPr>
            <w:tcW w:w="3119" w:type="dxa"/>
            <w:tcBorders>
              <w:lef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锌铬涂层</w:t>
            </w:r>
          </w:p>
        </w:tc>
        <w:tc>
          <w:tcPr>
            <w:tcW w:w="3810" w:type="dxa"/>
            <w:tcBorders>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平均厚度≥9，局部厚度≥7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restart"/>
            <w:tcBorders>
              <w:left w:val="single" w:color="auto" w:sz="12" w:space="0"/>
              <w:right w:val="single" w:color="auto" w:sz="4" w:space="0"/>
            </w:tcBorders>
            <w:shd w:val="clear" w:color="auto" w:fill="auto"/>
            <w:vAlign w:val="center"/>
          </w:tcPr>
          <w:p>
            <w:pPr>
              <w:spacing w:line="240" w:lineRule="auto"/>
              <w:jc w:val="center"/>
              <w:rPr>
                <w:rFonts w:ascii="Times New Roman" w:hAnsi="Times New Roman"/>
                <w:sz w:val="18"/>
              </w:rPr>
            </w:pPr>
            <w:r>
              <w:rPr>
                <w:rFonts w:ascii="Times New Roman" w:hAnsi="Times New Roman"/>
                <w:sz w:val="18"/>
              </w:rPr>
              <w:t>带齿C型槽钢</w:t>
            </w:r>
          </w:p>
        </w:tc>
        <w:tc>
          <w:tcPr>
            <w:tcW w:w="3119" w:type="dxa"/>
            <w:tcBorders>
              <w:lef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连续热镀锌</w:t>
            </w:r>
            <w:r>
              <w:rPr>
                <w:rFonts w:ascii="Times New Roman" w:hAnsi="Times New Roman"/>
                <w:kern w:val="0"/>
                <w:sz w:val="18"/>
                <w:szCs w:val="18"/>
              </w:rPr>
              <w:t>275g/m</w:t>
            </w:r>
            <w:r>
              <w:rPr>
                <w:rFonts w:ascii="Times New Roman" w:hAnsi="Times New Roman"/>
                <w:kern w:val="0"/>
                <w:sz w:val="18"/>
                <w:szCs w:val="18"/>
                <w:vertAlign w:val="superscript"/>
              </w:rPr>
              <w:t>2</w:t>
            </w:r>
          </w:p>
        </w:tc>
        <w:tc>
          <w:tcPr>
            <w:tcW w:w="3810" w:type="dxa"/>
            <w:tcBorders>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平均厚度≥19，局部厚度≥16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continue"/>
            <w:tcBorders>
              <w:left w:val="single" w:color="auto" w:sz="12" w:space="0"/>
              <w:right w:val="single" w:color="auto" w:sz="4" w:space="0"/>
            </w:tcBorders>
            <w:shd w:val="clear" w:color="auto" w:fill="auto"/>
            <w:vAlign w:val="center"/>
          </w:tcPr>
          <w:p>
            <w:pPr>
              <w:jc w:val="center"/>
              <w:rPr>
                <w:rFonts w:ascii="Times New Roman" w:hAnsi="Times New Roman"/>
                <w:sz w:val="18"/>
              </w:rPr>
            </w:pPr>
          </w:p>
        </w:tc>
        <w:tc>
          <w:tcPr>
            <w:tcW w:w="3119" w:type="dxa"/>
            <w:tcBorders>
              <w:left w:val="single" w:color="auto" w:sz="4" w:space="0"/>
            </w:tcBorders>
            <w:shd w:val="clear" w:color="auto" w:fill="auto"/>
            <w:vAlign w:val="center"/>
          </w:tcPr>
          <w:p>
            <w:pPr>
              <w:jc w:val="center"/>
              <w:rPr>
                <w:rFonts w:ascii="Times New Roman" w:hAnsi="Times New Roman"/>
                <w:sz w:val="18"/>
              </w:rPr>
            </w:pPr>
            <w:r>
              <w:rPr>
                <w:rFonts w:ascii="Times New Roman" w:hAnsi="Times New Roman"/>
                <w:sz w:val="18"/>
              </w:rPr>
              <w:t>连续热镀锌铝镁合金</w:t>
            </w:r>
            <w:r>
              <w:rPr>
                <w:rFonts w:ascii="Times New Roman" w:hAnsi="Times New Roman"/>
                <w:kern w:val="0"/>
                <w:sz w:val="18"/>
                <w:szCs w:val="18"/>
              </w:rPr>
              <w:t>275g/m</w:t>
            </w:r>
            <w:r>
              <w:rPr>
                <w:rFonts w:ascii="Times New Roman" w:hAnsi="Times New Roman"/>
                <w:kern w:val="0"/>
                <w:sz w:val="18"/>
                <w:szCs w:val="18"/>
                <w:vertAlign w:val="superscript"/>
              </w:rPr>
              <w:t>2</w:t>
            </w:r>
          </w:p>
        </w:tc>
        <w:tc>
          <w:tcPr>
            <w:tcW w:w="3810" w:type="dxa"/>
            <w:tcBorders>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平均厚度≥19，局部厚度≥16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395" w:type="dxa"/>
            <w:vMerge w:val="continue"/>
            <w:tcBorders>
              <w:left w:val="single" w:color="auto" w:sz="12" w:space="0"/>
              <w:bottom w:val="single" w:color="auto" w:sz="12" w:space="0"/>
              <w:right w:val="single" w:color="auto" w:sz="4" w:space="0"/>
            </w:tcBorders>
            <w:shd w:val="clear" w:color="auto" w:fill="auto"/>
            <w:vAlign w:val="center"/>
          </w:tcPr>
          <w:p>
            <w:pPr>
              <w:jc w:val="center"/>
              <w:rPr>
                <w:rFonts w:ascii="Times New Roman" w:hAnsi="Times New Roman"/>
                <w:sz w:val="18"/>
              </w:rPr>
            </w:pPr>
          </w:p>
        </w:tc>
        <w:tc>
          <w:tcPr>
            <w:tcW w:w="3119" w:type="dxa"/>
            <w:tcBorders>
              <w:left w:val="single" w:color="auto" w:sz="4" w:space="0"/>
              <w:bottom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热浸镀锌</w:t>
            </w:r>
          </w:p>
        </w:tc>
        <w:tc>
          <w:tcPr>
            <w:tcW w:w="3810" w:type="dxa"/>
            <w:tcBorders>
              <w:bottom w:val="single" w:color="auto" w:sz="12" w:space="0"/>
              <w:right w:val="single" w:color="auto" w:sz="12" w:space="0"/>
            </w:tcBorders>
            <w:shd w:val="clear" w:color="auto" w:fill="auto"/>
            <w:vAlign w:val="center"/>
          </w:tcPr>
          <w:p>
            <w:pPr>
              <w:jc w:val="center"/>
              <w:rPr>
                <w:rFonts w:ascii="Times New Roman" w:hAnsi="Times New Roman"/>
                <w:sz w:val="18"/>
              </w:rPr>
            </w:pPr>
            <w:r>
              <w:rPr>
                <w:rFonts w:ascii="Times New Roman" w:hAnsi="Times New Roman"/>
                <w:sz w:val="18"/>
              </w:rPr>
              <w:t>平均厚度≥55，局部厚度≥45</w:t>
            </w:r>
          </w:p>
        </w:tc>
      </w:tr>
    </w:tbl>
    <w:p>
      <w:pPr>
        <w:widowControl/>
        <w:adjustRightInd/>
        <w:spacing w:line="240" w:lineRule="auto"/>
        <w:jc w:val="left"/>
        <w:rPr>
          <w:rFonts w:ascii="Times New Roman"/>
        </w:rPr>
        <w:sectPr>
          <w:footerReference r:id="rId21" w:type="default"/>
          <w:type w:val="continuous"/>
          <w:pgSz w:w="11906" w:h="16838"/>
          <w:pgMar w:top="2410" w:right="1134" w:bottom="1134" w:left="1134" w:header="1418" w:footer="1134" w:gutter="284"/>
          <w:pgNumType w:start="7"/>
          <w:cols w:space="425" w:num="1"/>
          <w:formProt w:val="0"/>
          <w:docGrid w:type="lines" w:linePitch="312" w:charSpace="0"/>
        </w:sectPr>
      </w:pPr>
    </w:p>
    <w:p>
      <w:pPr>
        <w:pStyle w:val="111"/>
        <w:numPr>
          <w:ilvl w:val="1"/>
          <w:numId w:val="43"/>
        </w:numPr>
        <w:spacing w:before="156" w:after="156"/>
      </w:pPr>
      <w:r>
        <w:rPr>
          <w:rFonts w:hint="eastAsia"/>
        </w:rPr>
        <w:t xml:space="preserve"> </w:t>
      </w:r>
      <w:r>
        <w:t xml:space="preserve"> </w:t>
      </w:r>
      <w:r>
        <w:rPr>
          <w:rFonts w:hint="eastAsia"/>
        </w:rPr>
        <w:t>部件性能</w:t>
      </w:r>
    </w:p>
    <w:p>
      <w:pPr>
        <w:pStyle w:val="71"/>
        <w:numPr>
          <w:ilvl w:val="2"/>
          <w:numId w:val="43"/>
        </w:numPr>
        <w:spacing w:before="156" w:after="156"/>
      </w:pPr>
      <w:r>
        <w:rPr>
          <w:rFonts w:hint="eastAsia"/>
        </w:rPr>
        <w:t>部件循环加载性能</w:t>
      </w:r>
    </w:p>
    <w:p>
      <w:pPr>
        <w:pStyle w:val="62"/>
        <w:ind w:firstLine="420"/>
        <w:rPr>
          <w:rFonts w:ascii="Times New Roman"/>
        </w:rPr>
      </w:pPr>
      <w:r>
        <w:rPr>
          <w:rFonts w:hint="eastAsia" w:ascii="Times New Roman"/>
        </w:rPr>
        <w:tab/>
      </w:r>
      <w:r>
        <w:rPr>
          <w:rFonts w:hint="eastAsia" w:ascii="Times New Roman"/>
        </w:rPr>
        <w:t>部件循环加载性能应符合以下规定：</w:t>
      </w:r>
    </w:p>
    <w:p>
      <w:pPr>
        <w:pStyle w:val="62"/>
        <w:numPr>
          <w:ilvl w:val="0"/>
          <w:numId w:val="44"/>
        </w:numPr>
        <w:ind w:firstLineChars="0"/>
        <w:rPr>
          <w:rFonts w:ascii="Times New Roman"/>
        </w:rPr>
      </w:pPr>
      <w:r>
        <w:rPr>
          <w:rFonts w:ascii="Times New Roman"/>
        </w:rPr>
        <w:t>抗震连接件、管道连接件、钢结构固定件等部件应采用循环加载的方式进行测试</w:t>
      </w:r>
      <w:r>
        <w:rPr>
          <w:rFonts w:hint="eastAsia" w:ascii="Times New Roman"/>
        </w:rPr>
        <w:t>。</w:t>
      </w:r>
    </w:p>
    <w:p>
      <w:pPr>
        <w:pStyle w:val="62"/>
        <w:numPr>
          <w:ilvl w:val="0"/>
          <w:numId w:val="44"/>
        </w:numPr>
        <w:ind w:firstLineChars="0"/>
      </w:pPr>
      <w:r>
        <w:rPr>
          <w:rFonts w:hint="eastAsia" w:ascii="Times New Roman"/>
        </w:rPr>
        <w:t>斜撑角度</w:t>
      </w:r>
      <w:r>
        <w:rPr>
          <w:rFonts w:ascii="Times New Roman"/>
        </w:rPr>
        <w:t>θ为30°~90°</w:t>
      </w:r>
      <w:r>
        <w:rPr>
          <w:rFonts w:hint="eastAsia" w:ascii="Times New Roman"/>
        </w:rPr>
        <w:t>，</w:t>
      </w:r>
      <w:r>
        <w:rPr>
          <w:rFonts w:ascii="Times New Roman"/>
        </w:rPr>
        <w:t>见图</w:t>
      </w:r>
      <w:r>
        <w:rPr>
          <w:rFonts w:hint="eastAsia" w:ascii="Times New Roman"/>
        </w:rPr>
        <w:t>2，推荐测试角度</w:t>
      </w:r>
      <w:r>
        <w:rPr>
          <w:rFonts w:ascii="Times New Roman"/>
        </w:rPr>
        <w:t>θ</w:t>
      </w:r>
      <w:r>
        <w:rPr>
          <w:rFonts w:hint="eastAsia" w:ascii="Times New Roman"/>
        </w:rPr>
        <w:t>为45°；当工程应用中斜撑角度不在4</w:t>
      </w:r>
      <w:r>
        <w:rPr>
          <w:rFonts w:ascii="Times New Roman"/>
        </w:rPr>
        <w:t>5°</w:t>
      </w:r>
      <w:r>
        <w:rPr>
          <w:rFonts w:hint="eastAsia" w:ascii="Times New Roman"/>
        </w:rPr>
        <w:t>~</w:t>
      </w:r>
      <w:r>
        <w:rPr>
          <w:rFonts w:ascii="Times New Roman"/>
        </w:rPr>
        <w:t>59°范围</w:t>
      </w:r>
      <w:r>
        <w:rPr>
          <w:rFonts w:hint="eastAsia" w:ascii="Times New Roman"/>
        </w:rPr>
        <w:t>时，应再进行循环加载测试以确定部件在该角度范围内的承载力设计值，</w:t>
      </w:r>
      <w:r>
        <w:rPr>
          <w:rFonts w:ascii="Times New Roman"/>
        </w:rPr>
        <w:t>不同</w:t>
      </w:r>
      <w:r>
        <w:rPr>
          <w:rFonts w:hint="eastAsia" w:ascii="Times New Roman"/>
        </w:rPr>
        <w:t>斜撑</w:t>
      </w:r>
      <w:r>
        <w:rPr>
          <w:rFonts w:ascii="Times New Roman"/>
        </w:rPr>
        <w:t>角度</w:t>
      </w:r>
      <w:r>
        <w:rPr>
          <w:rFonts w:hint="eastAsia" w:ascii="Times New Roman"/>
        </w:rPr>
        <w:t>范围使用</w:t>
      </w:r>
      <w:r>
        <w:rPr>
          <w:rFonts w:ascii="Times New Roman"/>
        </w:rPr>
        <w:t>的测试角度</w:t>
      </w:r>
      <w:r>
        <w:rPr>
          <w:rFonts w:hint="eastAsia" w:ascii="Times New Roman"/>
        </w:rPr>
        <w:t>见</w:t>
      </w:r>
      <w:r>
        <w:rPr>
          <w:rFonts w:ascii="Times New Roman"/>
        </w:rPr>
        <w:t>表4</w:t>
      </w:r>
      <w:r>
        <w:rPr>
          <w:rFonts w:hint="eastAsia" w:ascii="Times New Roman"/>
        </w:rPr>
        <w:t>。</w:t>
      </w:r>
    </w:p>
    <w:p>
      <w:pPr>
        <w:pStyle w:val="62"/>
        <w:numPr>
          <w:ilvl w:val="0"/>
          <w:numId w:val="44"/>
        </w:numPr>
        <w:ind w:firstLineChars="0"/>
      </w:pPr>
      <w:r>
        <w:rPr>
          <w:rFonts w:ascii="Times New Roman"/>
        </w:rPr>
        <w:t>不同</w:t>
      </w:r>
      <w:r>
        <w:rPr>
          <w:rFonts w:hint="eastAsia" w:ascii="Times New Roman"/>
        </w:rPr>
        <w:t>测试</w:t>
      </w:r>
      <w:r>
        <w:rPr>
          <w:rFonts w:ascii="Times New Roman"/>
        </w:rPr>
        <w:t>角度的水平方向极限变形量应符合表5的规定。</w:t>
      </w:r>
    </w:p>
    <w:bookmarkEnd w:id="81"/>
    <w:p>
      <w:pPr>
        <w:pStyle w:val="158"/>
        <w:numPr>
          <w:ilvl w:val="0"/>
          <w:numId w:val="0"/>
        </w:numPr>
        <w:ind w:left="360"/>
        <w:jc w:val="both"/>
        <w:rPr>
          <w:rFonts w:ascii="宋体" w:eastAsia="宋体"/>
          <w:sz w:val="18"/>
          <w:szCs w:val="18"/>
        </w:rPr>
      </w:pPr>
      <w:r>
        <w:drawing>
          <wp:inline distT="0" distB="0" distL="0" distR="0">
            <wp:extent cx="1972310" cy="2035175"/>
            <wp:effectExtent l="0" t="0" r="8890" b="317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1"/>
                    <a:stretch>
                      <a:fillRect/>
                    </a:stretch>
                  </pic:blipFill>
                  <pic:spPr>
                    <a:xfrm>
                      <a:off x="0" y="0"/>
                      <a:ext cx="1975330" cy="2038340"/>
                    </a:xfrm>
                    <a:prstGeom prst="rect">
                      <a:avLst/>
                    </a:prstGeom>
                  </pic:spPr>
                </pic:pic>
              </a:graphicData>
            </a:graphic>
          </wp:inline>
        </w:drawing>
      </w:r>
      <w:r>
        <w:rPr>
          <w:rFonts w:hint="eastAsia"/>
        </w:rPr>
        <w:t xml:space="preserve"> </w:t>
      </w:r>
      <w:r>
        <w:t xml:space="preserve">     </w:t>
      </w:r>
      <w:r>
        <w:drawing>
          <wp:inline distT="0" distB="0" distL="0" distR="0">
            <wp:extent cx="1934210" cy="2038985"/>
            <wp:effectExtent l="0" t="0" r="889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2"/>
                    <a:stretch>
                      <a:fillRect/>
                    </a:stretch>
                  </pic:blipFill>
                  <pic:spPr>
                    <a:xfrm>
                      <a:off x="0" y="0"/>
                      <a:ext cx="1972093" cy="2078587"/>
                    </a:xfrm>
                    <a:prstGeom prst="rect">
                      <a:avLst/>
                    </a:prstGeom>
                  </pic:spPr>
                </pic:pic>
              </a:graphicData>
            </a:graphic>
          </wp:inline>
        </w:drawing>
      </w:r>
    </w:p>
    <w:p>
      <w:pPr>
        <w:ind w:firstLine="900" w:firstLineChars="500"/>
        <w:rPr>
          <w:rFonts w:ascii="黑体" w:hAnsi="黑体" w:eastAsia="黑体"/>
          <w:kern w:val="0"/>
          <w:sz w:val="18"/>
          <w:szCs w:val="18"/>
        </w:rPr>
      </w:pPr>
      <w:r>
        <w:rPr>
          <w:rFonts w:ascii="黑体" w:hAnsi="黑体" w:eastAsia="黑体"/>
          <w:kern w:val="0"/>
          <w:sz w:val="18"/>
          <w:szCs w:val="18"/>
        </w:rPr>
        <w:t>a</w:t>
      </w:r>
      <w:r>
        <w:rPr>
          <w:rFonts w:hint="eastAsia" w:ascii="黑体" w:hAnsi="黑体" w:eastAsia="黑体"/>
          <w:kern w:val="0"/>
          <w:sz w:val="18"/>
          <w:szCs w:val="18"/>
        </w:rPr>
        <w:t>）</w:t>
      </w:r>
      <w:r>
        <w:rPr>
          <w:rFonts w:ascii="黑体" w:hAnsi="黑体" w:eastAsia="黑体"/>
          <w:kern w:val="0"/>
          <w:sz w:val="18"/>
          <w:szCs w:val="18"/>
        </w:rPr>
        <w:t xml:space="preserve">  </w:t>
      </w:r>
      <w:r>
        <w:rPr>
          <w:rFonts w:hint="eastAsia" w:ascii="黑体" w:hAnsi="黑体" w:eastAsia="黑体"/>
          <w:kern w:val="0"/>
          <w:sz w:val="18"/>
          <w:szCs w:val="18"/>
        </w:rPr>
        <w:t>侧向水平荷载</w:t>
      </w:r>
      <w:r>
        <w:rPr>
          <w:rFonts w:ascii="黑体" w:hAnsi="黑体" w:eastAsia="黑体"/>
        </w:rPr>
        <w:t xml:space="preserve">                             </w:t>
      </w:r>
      <w:r>
        <w:rPr>
          <w:rFonts w:ascii="黑体" w:hAnsi="黑体" w:eastAsia="黑体"/>
          <w:kern w:val="0"/>
          <w:sz w:val="18"/>
          <w:szCs w:val="18"/>
        </w:rPr>
        <w:t>b</w:t>
      </w:r>
      <w:r>
        <w:rPr>
          <w:rFonts w:hint="eastAsia" w:ascii="黑体" w:hAnsi="黑体" w:eastAsia="黑体"/>
          <w:kern w:val="0"/>
          <w:sz w:val="18"/>
          <w:szCs w:val="18"/>
        </w:rPr>
        <w:t xml:space="preserve">） </w:t>
      </w:r>
      <w:r>
        <w:rPr>
          <w:rFonts w:ascii="黑体" w:hAnsi="黑体" w:eastAsia="黑体"/>
          <w:kern w:val="0"/>
          <w:sz w:val="18"/>
          <w:szCs w:val="18"/>
        </w:rPr>
        <w:t xml:space="preserve"> </w:t>
      </w:r>
      <w:r>
        <w:rPr>
          <w:rFonts w:hint="eastAsia" w:ascii="黑体" w:hAnsi="黑体" w:eastAsia="黑体"/>
          <w:kern w:val="0"/>
          <w:sz w:val="18"/>
          <w:szCs w:val="18"/>
        </w:rPr>
        <w:t>纵向水平荷载</w:t>
      </w:r>
    </w:p>
    <w:p>
      <w:pPr>
        <w:rPr>
          <w:rFonts w:ascii="宋体" w:hAnsi="宋体"/>
          <w:kern w:val="0"/>
          <w:sz w:val="18"/>
          <w:szCs w:val="18"/>
        </w:rPr>
      </w:pPr>
      <w:r>
        <w:rPr>
          <w:rFonts w:hint="eastAsia" w:ascii="宋体" w:hAnsi="宋体"/>
          <w:kern w:val="0"/>
          <w:sz w:val="18"/>
          <w:szCs w:val="18"/>
        </w:rPr>
        <w:t>标引序号说明：</w:t>
      </w:r>
    </w:p>
    <w:p>
      <w:pPr>
        <w:rPr>
          <w:rFonts w:ascii="Times New Roman" w:hAnsi="Times New Roman" w:eastAsia="黑体"/>
        </w:rPr>
      </w:pPr>
      <w:r>
        <w:rPr>
          <w:rFonts w:ascii="Times New Roman" w:hAnsi="Times New Roman"/>
          <w:i/>
          <w:sz w:val="18"/>
          <w:szCs w:val="18"/>
        </w:rPr>
        <w:t>θ</w:t>
      </w:r>
      <w:r>
        <w:rPr>
          <w:rFonts w:ascii="Times New Roman" w:hAnsi="Times New Roman"/>
          <w:sz w:val="18"/>
          <w:szCs w:val="18"/>
        </w:rPr>
        <w:t>——斜撑与垂直立杆之间的夹角。</w:t>
      </w:r>
    </w:p>
    <w:p>
      <w:pPr>
        <w:spacing w:before="156" w:beforeLines="50" w:after="156" w:afterLines="50"/>
        <w:jc w:val="center"/>
        <w:rPr>
          <w:rFonts w:ascii="黑体" w:hAnsi="黑体" w:eastAsia="黑体"/>
        </w:rPr>
      </w:pPr>
      <w:r>
        <w:rPr>
          <w:rFonts w:ascii="黑体" w:hAnsi="黑体" w:eastAsia="黑体"/>
        </w:rPr>
        <w:t>图2  斜撑角度示意图</w:t>
      </w:r>
    </w:p>
    <w:p>
      <w:pPr>
        <w:spacing w:before="156" w:beforeLines="50" w:after="156" w:afterLines="50"/>
        <w:jc w:val="center"/>
        <w:rPr>
          <w:rFonts w:ascii="黑体" w:hAnsi="黑体" w:eastAsia="黑体"/>
        </w:rPr>
      </w:pPr>
      <w:r>
        <w:rPr>
          <w:rFonts w:ascii="黑体" w:hAnsi="黑体" w:eastAsia="黑体"/>
        </w:rPr>
        <w:t>表</w:t>
      </w:r>
      <w:r>
        <w:rPr>
          <w:rFonts w:hint="eastAsia" w:ascii="黑体" w:hAnsi="黑体" w:eastAsia="黑体"/>
        </w:rPr>
        <w:t>4</w:t>
      </w:r>
      <w:r>
        <w:rPr>
          <w:rFonts w:ascii="黑体" w:hAnsi="黑体" w:eastAsia="黑体"/>
        </w:rPr>
        <w:t xml:space="preserve">  斜撑角度</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6"/>
        <w:gridCol w:w="2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36" w:type="dxa"/>
            <w:tcBorders>
              <w:bottom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角度范围</w:t>
            </w:r>
          </w:p>
        </w:tc>
        <w:tc>
          <w:tcPr>
            <w:tcW w:w="2336" w:type="dxa"/>
            <w:tcBorders>
              <w:bottom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30°~44°</w:t>
            </w:r>
          </w:p>
        </w:tc>
        <w:tc>
          <w:tcPr>
            <w:tcW w:w="2336" w:type="dxa"/>
            <w:tcBorders>
              <w:bottom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45°~59°</w:t>
            </w:r>
          </w:p>
        </w:tc>
        <w:tc>
          <w:tcPr>
            <w:tcW w:w="2336" w:type="dxa"/>
            <w:tcBorders>
              <w:bottom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60°~90°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336" w:type="dxa"/>
            <w:tcBorders>
              <w:top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测试角度</w:t>
            </w:r>
          </w:p>
        </w:tc>
        <w:tc>
          <w:tcPr>
            <w:tcW w:w="2336" w:type="dxa"/>
            <w:tcBorders>
              <w:top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30°</w:t>
            </w:r>
          </w:p>
        </w:tc>
        <w:tc>
          <w:tcPr>
            <w:tcW w:w="2336" w:type="dxa"/>
            <w:tcBorders>
              <w:top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45°</w:t>
            </w:r>
          </w:p>
        </w:tc>
        <w:tc>
          <w:tcPr>
            <w:tcW w:w="2336" w:type="dxa"/>
            <w:tcBorders>
              <w:top w:val="single" w:color="auto" w:sz="12" w:space="0"/>
            </w:tcBorders>
            <w:vAlign w:val="center"/>
          </w:tcPr>
          <w:p>
            <w:pPr>
              <w:pStyle w:val="62"/>
              <w:ind w:firstLine="0" w:firstLineChars="0"/>
              <w:jc w:val="center"/>
              <w:rPr>
                <w:rFonts w:ascii="Times New Roman"/>
                <w:sz w:val="18"/>
                <w:szCs w:val="18"/>
              </w:rPr>
            </w:pPr>
            <w:r>
              <w:rPr>
                <w:rFonts w:ascii="Times New Roman"/>
                <w:sz w:val="18"/>
                <w:szCs w:val="18"/>
              </w:rPr>
              <w:t>60°</w:t>
            </w:r>
          </w:p>
        </w:tc>
      </w:tr>
    </w:tbl>
    <w:p>
      <w:pPr>
        <w:pStyle w:val="62"/>
        <w:spacing w:before="312" w:beforeLines="100"/>
        <w:ind w:firstLine="420"/>
        <w:jc w:val="left"/>
        <w:rPr>
          <w:rFonts w:ascii="Times New Roman"/>
        </w:rPr>
        <w:sectPr>
          <w:footerReference r:id="rId22" w:type="default"/>
          <w:type w:val="continuous"/>
          <w:pgSz w:w="11906" w:h="16838"/>
          <w:pgMar w:top="2410" w:right="1134" w:bottom="1134" w:left="1134" w:header="1418" w:footer="1134" w:gutter="284"/>
          <w:pgNumType w:fmt="upperRoman"/>
          <w:cols w:space="425" w:num="1"/>
          <w:formProt w:val="0"/>
          <w:docGrid w:type="lines" w:linePitch="312" w:charSpace="0"/>
        </w:sectPr>
      </w:pPr>
    </w:p>
    <w:p>
      <w:pPr>
        <w:spacing w:before="312" w:beforeLines="100" w:after="156" w:afterLines="50"/>
        <w:jc w:val="center"/>
        <w:rPr>
          <w:rFonts w:ascii="黑体" w:hAnsi="黑体" w:eastAsia="黑体"/>
        </w:rPr>
      </w:pPr>
      <w:r>
        <w:rPr>
          <w:rFonts w:ascii="黑体" w:hAnsi="黑体" w:eastAsia="黑体"/>
        </w:rPr>
        <w:t>表</w:t>
      </w:r>
      <w:r>
        <w:rPr>
          <w:rFonts w:hint="eastAsia" w:ascii="黑体" w:hAnsi="黑体" w:eastAsia="黑体"/>
        </w:rPr>
        <w:t>5</w:t>
      </w:r>
      <w:r>
        <w:rPr>
          <w:rFonts w:ascii="黑体" w:hAnsi="黑体" w:eastAsia="黑体"/>
        </w:rPr>
        <w:t xml:space="preserve">  不同斜撑角度的水平方向</w:t>
      </w:r>
      <w:r>
        <w:rPr>
          <w:rFonts w:hint="eastAsia" w:ascii="黑体" w:hAnsi="黑体" w:eastAsia="黑体"/>
        </w:rPr>
        <w:t>极限</w:t>
      </w:r>
      <w:r>
        <w:rPr>
          <w:rFonts w:ascii="黑体" w:hAnsi="黑体" w:eastAsia="黑体"/>
        </w:rPr>
        <w:t>变形量</w:t>
      </w:r>
    </w:p>
    <w:tbl>
      <w:tblPr>
        <w:tblStyle w:val="31"/>
        <w:tblW w:w="93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73"/>
        <w:gridCol w:w="46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 w:hRule="atLeast"/>
          <w:tblHeader/>
          <w:jc w:val="center"/>
        </w:trPr>
        <w:tc>
          <w:tcPr>
            <w:tcW w:w="4673" w:type="dxa"/>
            <w:tcBorders>
              <w:top w:val="single" w:color="auto" w:sz="12" w:space="0"/>
              <w:left w:val="single" w:color="auto" w:sz="12" w:space="0"/>
              <w:bottom w:val="single" w:color="auto" w:sz="12" w:space="0"/>
            </w:tcBorders>
            <w:shd w:val="clear" w:color="auto" w:fill="auto"/>
          </w:tcPr>
          <w:p>
            <w:pPr>
              <w:pStyle w:val="184"/>
              <w:rPr>
                <w:rFonts w:ascii="Times New Roman"/>
                <w:szCs w:val="18"/>
              </w:rPr>
            </w:pPr>
            <w:r>
              <w:rPr>
                <w:rFonts w:ascii="Times New Roman"/>
                <w:bCs/>
                <w:kern w:val="44"/>
                <w:szCs w:val="18"/>
              </w:rPr>
              <w:t>测试角度</w:t>
            </w:r>
          </w:p>
        </w:tc>
        <w:tc>
          <w:tcPr>
            <w:tcW w:w="4673" w:type="dxa"/>
            <w:tcBorders>
              <w:top w:val="single" w:color="auto" w:sz="12" w:space="0"/>
              <w:bottom w:val="single" w:color="auto" w:sz="12" w:space="0"/>
              <w:right w:val="single" w:color="auto" w:sz="12" w:space="0"/>
            </w:tcBorders>
            <w:shd w:val="clear" w:color="auto" w:fill="auto"/>
          </w:tcPr>
          <w:p>
            <w:pPr>
              <w:pStyle w:val="184"/>
              <w:rPr>
                <w:rFonts w:ascii="Times New Roman"/>
                <w:szCs w:val="18"/>
              </w:rPr>
            </w:pPr>
            <w:r>
              <w:rPr>
                <w:rFonts w:ascii="Times New Roman"/>
                <w:bCs/>
                <w:kern w:val="44"/>
                <w:szCs w:val="18"/>
              </w:rPr>
              <w:t>允许最大变形量</w:t>
            </w:r>
            <w:r>
              <w:rPr>
                <w:rFonts w:hint="eastAsia" w:ascii="Times New Roman"/>
                <w:bCs/>
                <w:kern w:val="44"/>
                <w:szCs w:val="18"/>
              </w:rPr>
              <w:t>/</w:t>
            </w:r>
            <w:r>
              <w:rPr>
                <w:rFonts w:ascii="Times New Roman"/>
                <w:bCs/>
                <w:kern w:val="44"/>
                <w:szCs w:val="18"/>
              </w:rPr>
              <w:t xml:space="preserve"> 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673" w:type="dxa"/>
            <w:tcBorders>
              <w:top w:val="single" w:color="auto" w:sz="12" w:space="0"/>
              <w:left w:val="single" w:color="auto" w:sz="12" w:space="0"/>
            </w:tcBorders>
            <w:shd w:val="clear" w:color="auto" w:fill="auto"/>
          </w:tcPr>
          <w:p>
            <w:pPr>
              <w:pStyle w:val="184"/>
              <w:rPr>
                <w:rFonts w:ascii="Times New Roman"/>
                <w:szCs w:val="18"/>
              </w:rPr>
            </w:pPr>
            <w:r>
              <w:rPr>
                <w:rFonts w:ascii="Times New Roman"/>
                <w:bCs/>
                <w:kern w:val="44"/>
                <w:szCs w:val="18"/>
              </w:rPr>
              <w:t>30°</w:t>
            </w:r>
          </w:p>
        </w:tc>
        <w:tc>
          <w:tcPr>
            <w:tcW w:w="4673" w:type="dxa"/>
            <w:tcBorders>
              <w:top w:val="single" w:color="auto" w:sz="12" w:space="0"/>
              <w:right w:val="single" w:color="auto" w:sz="12" w:space="0"/>
            </w:tcBorders>
            <w:shd w:val="clear" w:color="auto" w:fill="auto"/>
          </w:tcPr>
          <w:p>
            <w:pPr>
              <w:pStyle w:val="184"/>
              <w:rPr>
                <w:rFonts w:ascii="Times New Roman"/>
                <w:szCs w:val="18"/>
              </w:rPr>
            </w:pPr>
            <w:r>
              <w:rPr>
                <w:rFonts w:ascii="Times New Roman"/>
                <w:bCs/>
                <w:kern w:val="44"/>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673" w:type="dxa"/>
            <w:tcBorders>
              <w:left w:val="single" w:color="auto" w:sz="12" w:space="0"/>
            </w:tcBorders>
            <w:shd w:val="clear" w:color="auto" w:fill="auto"/>
          </w:tcPr>
          <w:p>
            <w:pPr>
              <w:pStyle w:val="184"/>
              <w:rPr>
                <w:rFonts w:ascii="Times New Roman"/>
                <w:szCs w:val="18"/>
              </w:rPr>
            </w:pPr>
            <w:r>
              <w:rPr>
                <w:rFonts w:ascii="Times New Roman"/>
                <w:bCs/>
                <w:kern w:val="44"/>
                <w:szCs w:val="18"/>
              </w:rPr>
              <w:t>45°</w:t>
            </w:r>
          </w:p>
        </w:tc>
        <w:tc>
          <w:tcPr>
            <w:tcW w:w="4673" w:type="dxa"/>
            <w:tcBorders>
              <w:right w:val="single" w:color="auto" w:sz="12" w:space="0"/>
            </w:tcBorders>
            <w:shd w:val="clear" w:color="auto" w:fill="auto"/>
          </w:tcPr>
          <w:p>
            <w:pPr>
              <w:pStyle w:val="184"/>
              <w:rPr>
                <w:rFonts w:ascii="Times New Roman"/>
                <w:szCs w:val="18"/>
              </w:rPr>
            </w:pPr>
            <w:r>
              <w:rPr>
                <w:rFonts w:ascii="Times New Roman"/>
                <w:bCs/>
                <w:kern w:val="44"/>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673" w:type="dxa"/>
            <w:tcBorders>
              <w:left w:val="single" w:color="auto" w:sz="12" w:space="0"/>
            </w:tcBorders>
            <w:shd w:val="clear" w:color="auto" w:fill="auto"/>
          </w:tcPr>
          <w:p>
            <w:pPr>
              <w:pStyle w:val="184"/>
              <w:rPr>
                <w:rFonts w:ascii="Times New Roman"/>
                <w:szCs w:val="18"/>
              </w:rPr>
            </w:pPr>
            <w:r>
              <w:rPr>
                <w:rFonts w:ascii="Times New Roman"/>
                <w:bCs/>
                <w:kern w:val="44"/>
                <w:szCs w:val="18"/>
              </w:rPr>
              <w:t>60°</w:t>
            </w:r>
          </w:p>
        </w:tc>
        <w:tc>
          <w:tcPr>
            <w:tcW w:w="4673" w:type="dxa"/>
            <w:tcBorders>
              <w:right w:val="single" w:color="auto" w:sz="12" w:space="0"/>
            </w:tcBorders>
            <w:shd w:val="clear" w:color="auto" w:fill="auto"/>
          </w:tcPr>
          <w:p>
            <w:pPr>
              <w:pStyle w:val="184"/>
              <w:rPr>
                <w:rFonts w:ascii="Times New Roman"/>
                <w:szCs w:val="18"/>
              </w:rPr>
            </w:pPr>
            <w:r>
              <w:rPr>
                <w:rFonts w:ascii="Times New Roman"/>
                <w:bCs/>
                <w:kern w:val="44"/>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4673" w:type="dxa"/>
            <w:tcBorders>
              <w:left w:val="single" w:color="auto" w:sz="12" w:space="0"/>
              <w:bottom w:val="single" w:color="auto" w:sz="12" w:space="0"/>
            </w:tcBorders>
            <w:shd w:val="clear" w:color="auto" w:fill="auto"/>
          </w:tcPr>
          <w:p>
            <w:pPr>
              <w:pStyle w:val="184"/>
              <w:rPr>
                <w:rFonts w:ascii="Times New Roman"/>
                <w:szCs w:val="18"/>
              </w:rPr>
            </w:pPr>
            <w:r>
              <w:rPr>
                <w:rFonts w:ascii="Times New Roman"/>
                <w:bCs/>
                <w:kern w:val="44"/>
                <w:szCs w:val="18"/>
              </w:rPr>
              <w:t>90°</w:t>
            </w:r>
          </w:p>
        </w:tc>
        <w:tc>
          <w:tcPr>
            <w:tcW w:w="4673" w:type="dxa"/>
            <w:tcBorders>
              <w:bottom w:val="single" w:color="auto" w:sz="12" w:space="0"/>
              <w:right w:val="single" w:color="auto" w:sz="12" w:space="0"/>
            </w:tcBorders>
            <w:shd w:val="clear" w:color="auto" w:fill="auto"/>
          </w:tcPr>
          <w:p>
            <w:pPr>
              <w:pStyle w:val="184"/>
              <w:rPr>
                <w:rFonts w:ascii="Times New Roman"/>
                <w:szCs w:val="18"/>
              </w:rPr>
            </w:pPr>
            <w:r>
              <w:rPr>
                <w:rFonts w:ascii="Times New Roman"/>
                <w:bCs/>
                <w:kern w:val="44"/>
                <w:szCs w:val="18"/>
              </w:rPr>
              <w:t>25</w:t>
            </w:r>
          </w:p>
        </w:tc>
      </w:tr>
    </w:tbl>
    <w:p>
      <w:pPr>
        <w:pStyle w:val="71"/>
        <w:numPr>
          <w:ilvl w:val="0"/>
          <w:numId w:val="0"/>
        </w:numPr>
        <w:spacing w:before="312" w:beforeLines="100" w:after="156"/>
      </w:pPr>
      <w:r>
        <w:rPr>
          <w:rFonts w:hint="eastAsia"/>
        </w:rPr>
        <w:t>6</w:t>
      </w:r>
      <w:r>
        <w:t xml:space="preserve">.4.2  </w:t>
      </w:r>
      <w:r>
        <w:rPr>
          <w:rFonts w:ascii="Times New Roman"/>
        </w:rPr>
        <w:t>P型和Ω型管夹荷载性能</w:t>
      </w:r>
    </w:p>
    <w:p>
      <w:pPr>
        <w:ind w:firstLine="420" w:firstLineChars="200"/>
        <w:rPr>
          <w:rFonts w:ascii="Times New Roman" w:hAnsi="Times New Roman"/>
          <w:kern w:val="0"/>
          <w:szCs w:val="20"/>
        </w:rPr>
      </w:pPr>
      <w:bookmarkStart w:id="82" w:name="_Toc81322368"/>
      <w:r>
        <w:rPr>
          <w:rFonts w:ascii="Times New Roman" w:hAnsi="Times New Roman"/>
          <w:kern w:val="0"/>
          <w:szCs w:val="20"/>
        </w:rPr>
        <w:t>P型和Ω型管夹装于门型抗震支吊架的横杆上，在无法进行循环加载的情况下，应对水平侧向和水平纵向进行静力测试。P型管夹和Ω型管夹的承载力要求，参照表</w:t>
      </w:r>
      <w:r>
        <w:rPr>
          <w:rFonts w:hint="eastAsia" w:ascii="Times New Roman" w:hAnsi="Times New Roman"/>
          <w:kern w:val="0"/>
          <w:szCs w:val="20"/>
        </w:rPr>
        <w:t>6</w:t>
      </w:r>
      <w:r>
        <w:rPr>
          <w:rFonts w:ascii="Times New Roman" w:hAnsi="Times New Roman"/>
          <w:kern w:val="0"/>
          <w:szCs w:val="20"/>
        </w:rPr>
        <w:t>中推荐的最小承载力设计值。也可采用大于表6中的承载力设计值。</w:t>
      </w:r>
    </w:p>
    <w:p>
      <w:pPr>
        <w:spacing w:before="156" w:beforeLines="50" w:after="156" w:afterLines="50"/>
        <w:jc w:val="center"/>
        <w:rPr>
          <w:rFonts w:ascii="黑体" w:hAnsi="黑体" w:eastAsia="黑体"/>
        </w:rPr>
      </w:pPr>
      <w:r>
        <w:rPr>
          <w:rFonts w:ascii="黑体" w:hAnsi="黑体" w:eastAsia="黑体"/>
        </w:rPr>
        <w:t>表</w:t>
      </w:r>
      <w:r>
        <w:rPr>
          <w:rFonts w:hint="eastAsia" w:ascii="黑体" w:hAnsi="黑体" w:eastAsia="黑体"/>
        </w:rPr>
        <w:t>6</w:t>
      </w:r>
      <w:r>
        <w:rPr>
          <w:rFonts w:ascii="黑体" w:hAnsi="黑体" w:eastAsia="黑体"/>
        </w:rPr>
        <w:t xml:space="preserve">  P型和Ω型管夹最小承载力设计值</w:t>
      </w:r>
    </w:p>
    <w:tbl>
      <w:tblPr>
        <w:tblStyle w:val="30"/>
        <w:tblW w:w="5000" w:type="pct"/>
        <w:jc w:val="center"/>
        <w:tblLayout w:type="autofit"/>
        <w:tblCellMar>
          <w:top w:w="0" w:type="dxa"/>
          <w:left w:w="108" w:type="dxa"/>
          <w:bottom w:w="0" w:type="dxa"/>
          <w:right w:w="108" w:type="dxa"/>
        </w:tblCellMar>
      </w:tblPr>
      <w:tblGrid>
        <w:gridCol w:w="1682"/>
        <w:gridCol w:w="1321"/>
        <w:gridCol w:w="1486"/>
        <w:gridCol w:w="1260"/>
        <w:gridCol w:w="1281"/>
        <w:gridCol w:w="1260"/>
        <w:gridCol w:w="1280"/>
      </w:tblGrid>
      <w:tr>
        <w:tblPrEx>
          <w:tblCellMar>
            <w:top w:w="0" w:type="dxa"/>
            <w:left w:w="108" w:type="dxa"/>
            <w:bottom w:w="0" w:type="dxa"/>
            <w:right w:w="108" w:type="dxa"/>
          </w:tblCellMar>
        </w:tblPrEx>
        <w:trPr>
          <w:trHeight w:val="280" w:hRule="atLeast"/>
          <w:jc w:val="center"/>
        </w:trPr>
        <w:tc>
          <w:tcPr>
            <w:tcW w:w="8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规格</w:t>
            </w:r>
          </w:p>
        </w:tc>
        <w:tc>
          <w:tcPr>
            <w:tcW w:w="147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推荐管夹最小壁厚</w:t>
            </w:r>
            <w:r>
              <w:rPr>
                <w:rFonts w:hint="eastAsia" w:ascii="Times New Roman" w:hAnsi="Times New Roman"/>
                <w:color w:val="000000"/>
                <w:kern w:val="0"/>
                <w:sz w:val="18"/>
                <w:szCs w:val="18"/>
              </w:rPr>
              <w:t>/</w:t>
            </w:r>
            <w:r>
              <w:rPr>
                <w:rFonts w:ascii="Times New Roman" w:hAnsi="Times New Roman"/>
                <w:color w:val="000000"/>
                <w:kern w:val="0"/>
                <w:sz w:val="18"/>
                <w:szCs w:val="18"/>
              </w:rPr>
              <w:t xml:space="preserve"> mm</w:t>
            </w:r>
          </w:p>
        </w:tc>
        <w:tc>
          <w:tcPr>
            <w:tcW w:w="2636" w:type="pct"/>
            <w:gridSpan w:val="4"/>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管夹最小设计值</w:t>
            </w:r>
            <w:r>
              <w:rPr>
                <w:rFonts w:hint="eastAsia" w:ascii="Times New Roman" w:hAnsi="Times New Roman"/>
                <w:color w:val="000000"/>
                <w:kern w:val="0"/>
                <w:sz w:val="18"/>
                <w:szCs w:val="18"/>
              </w:rPr>
              <w:t>/</w:t>
            </w:r>
            <w:r>
              <w:rPr>
                <w:rFonts w:ascii="Times New Roman" w:hAnsi="Times New Roman"/>
                <w:color w:val="000000"/>
                <w:kern w:val="0"/>
                <w:sz w:val="18"/>
                <w:szCs w:val="18"/>
              </w:rPr>
              <w:t xml:space="preserve"> N</w:t>
            </w:r>
          </w:p>
        </w:tc>
      </w:tr>
      <w:tr>
        <w:tblPrEx>
          <w:tblCellMar>
            <w:top w:w="0" w:type="dxa"/>
            <w:left w:w="108" w:type="dxa"/>
            <w:bottom w:w="0" w:type="dxa"/>
            <w:right w:w="108" w:type="dxa"/>
          </w:tblCellMar>
        </w:tblPrEx>
        <w:trPr>
          <w:trHeight w:val="300" w:hRule="atLeast"/>
          <w:jc w:val="center"/>
        </w:trPr>
        <w:tc>
          <w:tcPr>
            <w:tcW w:w="89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147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653"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侧向</w:t>
            </w:r>
          </w:p>
        </w:tc>
        <w:tc>
          <w:tcPr>
            <w:tcW w:w="665"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纵向</w:t>
            </w:r>
          </w:p>
        </w:tc>
        <w:tc>
          <w:tcPr>
            <w:tcW w:w="653"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侧向</w:t>
            </w:r>
          </w:p>
        </w:tc>
        <w:tc>
          <w:tcPr>
            <w:tcW w:w="665"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纵向</w:t>
            </w:r>
          </w:p>
        </w:tc>
      </w:tr>
      <w:tr>
        <w:tblPrEx>
          <w:tblCellMar>
            <w:top w:w="0" w:type="dxa"/>
            <w:left w:w="108" w:type="dxa"/>
            <w:bottom w:w="0" w:type="dxa"/>
            <w:right w:w="108" w:type="dxa"/>
          </w:tblCellMar>
        </w:tblPrEx>
        <w:trPr>
          <w:trHeight w:val="300" w:hRule="atLeast"/>
          <w:jc w:val="center"/>
        </w:trPr>
        <w:tc>
          <w:tcPr>
            <w:tcW w:w="89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Times New Roman" w:hAnsi="Times New Roman"/>
                <w:color w:val="000000"/>
                <w:kern w:val="0"/>
                <w:sz w:val="18"/>
                <w:szCs w:val="18"/>
              </w:rPr>
            </w:pPr>
          </w:p>
        </w:tc>
        <w:tc>
          <w:tcPr>
            <w:tcW w:w="688" w:type="pct"/>
            <w:tcBorders>
              <w:top w:val="nil"/>
              <w:left w:val="nil"/>
              <w:bottom w:val="single" w:color="auto" w:sz="12"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P型</w:t>
            </w:r>
          </w:p>
        </w:tc>
        <w:tc>
          <w:tcPr>
            <w:tcW w:w="782" w:type="pct"/>
            <w:tcBorders>
              <w:top w:val="nil"/>
              <w:left w:val="nil"/>
              <w:bottom w:val="single" w:color="auto" w:sz="12"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Ω型</w:t>
            </w:r>
          </w:p>
        </w:tc>
        <w:tc>
          <w:tcPr>
            <w:tcW w:w="1318" w:type="pct"/>
            <w:gridSpan w:val="2"/>
            <w:tcBorders>
              <w:top w:val="nil"/>
              <w:left w:val="nil"/>
              <w:bottom w:val="single" w:color="auto" w:sz="12"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P型</w:t>
            </w:r>
          </w:p>
        </w:tc>
        <w:tc>
          <w:tcPr>
            <w:tcW w:w="1318" w:type="pct"/>
            <w:gridSpan w:val="2"/>
            <w:tcBorders>
              <w:top w:val="nil"/>
              <w:left w:val="nil"/>
              <w:bottom w:val="single" w:color="auto" w:sz="12" w:space="0"/>
              <w:right w:val="single" w:color="auto" w:sz="4" w:space="0"/>
            </w:tcBorders>
            <w:shd w:val="clear" w:color="auto" w:fill="auto"/>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Ω型</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DN65</w:t>
            </w:r>
          </w:p>
        </w:tc>
        <w:tc>
          <w:tcPr>
            <w:tcW w:w="688"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2"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5.0 </w:t>
            </w:r>
          </w:p>
        </w:tc>
        <w:tc>
          <w:tcPr>
            <w:tcW w:w="653"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310</w:t>
            </w:r>
          </w:p>
        </w:tc>
        <w:tc>
          <w:tcPr>
            <w:tcW w:w="665"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310</w:t>
            </w:r>
          </w:p>
        </w:tc>
        <w:tc>
          <w:tcPr>
            <w:tcW w:w="653"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470</w:t>
            </w:r>
          </w:p>
        </w:tc>
        <w:tc>
          <w:tcPr>
            <w:tcW w:w="665" w:type="pct"/>
            <w:tcBorders>
              <w:top w:val="single" w:color="auto" w:sz="12"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310</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DN80</w:t>
            </w:r>
          </w:p>
        </w:tc>
        <w:tc>
          <w:tcPr>
            <w:tcW w:w="688"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2"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5.0 </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410</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610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410</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DN100</w:t>
            </w:r>
          </w:p>
        </w:tc>
        <w:tc>
          <w:tcPr>
            <w:tcW w:w="688"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2"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5.0 </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590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590</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890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590</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DN125</w:t>
            </w:r>
          </w:p>
        </w:tc>
        <w:tc>
          <w:tcPr>
            <w:tcW w:w="688"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2.5 </w:t>
            </w:r>
          </w:p>
        </w:tc>
        <w:tc>
          <w:tcPr>
            <w:tcW w:w="782"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6.0 </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820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820</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1220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820</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DN150</w:t>
            </w:r>
          </w:p>
        </w:tc>
        <w:tc>
          <w:tcPr>
            <w:tcW w:w="688"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3.0 </w:t>
            </w:r>
          </w:p>
        </w:tc>
        <w:tc>
          <w:tcPr>
            <w:tcW w:w="782"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6.0 </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5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1670</w:t>
            </w:r>
          </w:p>
        </w:tc>
        <w:tc>
          <w:tcPr>
            <w:tcW w:w="66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1120</w:t>
            </w:r>
          </w:p>
        </w:tc>
      </w:tr>
      <w:tr>
        <w:tblPrEx>
          <w:tblCellMar>
            <w:top w:w="0" w:type="dxa"/>
            <w:left w:w="108" w:type="dxa"/>
            <w:bottom w:w="0" w:type="dxa"/>
            <w:right w:w="108" w:type="dxa"/>
          </w:tblCellMar>
        </w:tblPrEx>
        <w:trPr>
          <w:trHeight w:val="280" w:hRule="atLeast"/>
          <w:jc w:val="center"/>
        </w:trPr>
        <w:tc>
          <w:tcPr>
            <w:tcW w:w="8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DN200</w:t>
            </w:r>
          </w:p>
        </w:tc>
        <w:tc>
          <w:tcPr>
            <w:tcW w:w="68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3.0 </w:t>
            </w:r>
          </w:p>
        </w:tc>
        <w:tc>
          <w:tcPr>
            <w:tcW w:w="78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 xml:space="preserve">6.0 </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65"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2950</w:t>
            </w:r>
          </w:p>
        </w:tc>
        <w:tc>
          <w:tcPr>
            <w:tcW w:w="665"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1970</w:t>
            </w:r>
          </w:p>
        </w:tc>
      </w:tr>
      <w:tr>
        <w:tblPrEx>
          <w:tblCellMar>
            <w:top w:w="0" w:type="dxa"/>
            <w:left w:w="108" w:type="dxa"/>
            <w:bottom w:w="0" w:type="dxa"/>
            <w:right w:w="108" w:type="dxa"/>
          </w:tblCellMar>
        </w:tblPrEx>
        <w:trPr>
          <w:trHeight w:val="280"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85"/>
              <w:rPr>
                <w:rFonts w:ascii="Times New Roman"/>
              </w:rPr>
            </w:pPr>
            <w:r>
              <w:rPr>
                <w:rFonts w:ascii="Times New Roman"/>
              </w:rPr>
              <w:t>P型管夹侧向、纵向和Ω型管夹纵向最小承载力设计值是根据图集03S402表1中不保温管道满水管重，按照GB 50981计算4米的作用范围需求的承载力设计值；Ω型管夹侧向最小设计值是计算6米的作用范围需求的承载力设计值。</w:t>
            </w:r>
          </w:p>
        </w:tc>
      </w:tr>
    </w:tbl>
    <w:p>
      <w:pPr>
        <w:pStyle w:val="111"/>
        <w:numPr>
          <w:ilvl w:val="0"/>
          <w:numId w:val="0"/>
        </w:numPr>
        <w:spacing w:before="156" w:after="156"/>
      </w:pPr>
      <w:r>
        <w:rPr>
          <w:rFonts w:hint="eastAsia"/>
        </w:rPr>
        <w:t>6</w:t>
      </w:r>
      <w:r>
        <w:t xml:space="preserve">.5  </w:t>
      </w:r>
      <w:r>
        <w:rPr>
          <w:rFonts w:hint="eastAsia"/>
        </w:rPr>
        <w:t>组件</w:t>
      </w:r>
      <w:bookmarkEnd w:id="82"/>
      <w:r>
        <w:rPr>
          <w:rFonts w:hint="eastAsia"/>
        </w:rPr>
        <w:t>循环加载性能</w:t>
      </w:r>
    </w:p>
    <w:p>
      <w:pPr>
        <w:pStyle w:val="62"/>
        <w:ind w:firstLine="420"/>
        <w:rPr>
          <w:rFonts w:ascii="Times New Roman"/>
        </w:rPr>
      </w:pPr>
      <w:r>
        <w:rPr>
          <w:rFonts w:ascii="Times New Roman"/>
        </w:rPr>
        <w:t>组件循环加载试验后水平位移量不应大于50mm。</w:t>
      </w:r>
    </w:p>
    <w:p>
      <w:pPr>
        <w:pStyle w:val="111"/>
        <w:numPr>
          <w:ilvl w:val="0"/>
          <w:numId w:val="0"/>
        </w:numPr>
        <w:spacing w:before="156" w:after="156"/>
      </w:pPr>
      <w:r>
        <w:rPr>
          <w:rFonts w:hint="eastAsia"/>
        </w:rPr>
        <w:t>6</w:t>
      </w:r>
      <w:r>
        <w:t xml:space="preserve">.6  </w:t>
      </w:r>
      <w:r>
        <w:rPr>
          <w:rFonts w:hint="eastAsia"/>
        </w:rPr>
        <w:t>耐火性能</w:t>
      </w:r>
    </w:p>
    <w:p>
      <w:pPr>
        <w:pStyle w:val="62"/>
        <w:ind w:firstLine="420"/>
        <w:rPr>
          <w:rFonts w:hAnsi="宋体"/>
        </w:rPr>
      </w:pPr>
      <w:r>
        <w:rPr>
          <w:rFonts w:ascii="Times New Roman"/>
        </w:rPr>
        <w:t>耐火时间不低于90min，试验后组件不应出现断裂、脱落等现象</w:t>
      </w:r>
      <w:r>
        <w:rPr>
          <w:rFonts w:hint="eastAsia" w:hAnsi="宋体"/>
        </w:rPr>
        <w:t>。</w:t>
      </w:r>
    </w:p>
    <w:p>
      <w:pPr>
        <w:pStyle w:val="111"/>
        <w:numPr>
          <w:ilvl w:val="0"/>
          <w:numId w:val="0"/>
        </w:numPr>
        <w:spacing w:before="156" w:after="156"/>
      </w:pPr>
      <w:r>
        <w:rPr>
          <w:rFonts w:hint="eastAsia"/>
        </w:rPr>
        <w:t>6</w:t>
      </w:r>
      <w:r>
        <w:t xml:space="preserve">.7  </w:t>
      </w:r>
      <w:r>
        <w:rPr>
          <w:rFonts w:hint="eastAsia"/>
        </w:rPr>
        <w:t>防腐性能</w:t>
      </w:r>
    </w:p>
    <w:p>
      <w:pPr>
        <w:pStyle w:val="62"/>
        <w:ind w:firstLine="420"/>
      </w:pPr>
      <w:r>
        <w:rPr>
          <w:rFonts w:ascii="Times New Roman"/>
        </w:rPr>
        <w:t>防腐性能应符合表</w:t>
      </w:r>
      <w:r>
        <w:rPr>
          <w:rFonts w:hint="eastAsia" w:ascii="Times New Roman"/>
        </w:rPr>
        <w:t>7</w:t>
      </w:r>
      <w:r>
        <w:rPr>
          <w:rFonts w:ascii="Times New Roman"/>
        </w:rPr>
        <w:t>的规</w:t>
      </w:r>
      <w:r>
        <w:rPr>
          <w:rFonts w:hint="eastAsia"/>
        </w:rPr>
        <w:t>定。</w:t>
      </w:r>
    </w:p>
    <w:p>
      <w:pPr>
        <w:spacing w:before="156" w:beforeLines="50" w:after="156" w:afterLines="50"/>
        <w:jc w:val="center"/>
        <w:rPr>
          <w:rFonts w:ascii="黑体" w:hAnsi="黑体" w:eastAsia="黑体"/>
        </w:rPr>
      </w:pPr>
      <w:r>
        <w:rPr>
          <w:rFonts w:ascii="黑体" w:hAnsi="黑体" w:eastAsia="黑体"/>
        </w:rPr>
        <w:t>表</w:t>
      </w:r>
      <w:r>
        <w:rPr>
          <w:rFonts w:hint="eastAsia" w:ascii="黑体" w:hAnsi="黑体" w:eastAsia="黑体"/>
        </w:rPr>
        <w:t>7</w:t>
      </w:r>
      <w:r>
        <w:rPr>
          <w:rFonts w:ascii="黑体" w:hAnsi="黑体" w:eastAsia="黑体"/>
        </w:rPr>
        <w:t xml:space="preserve">  </w:t>
      </w:r>
      <w:r>
        <w:rPr>
          <w:rFonts w:hint="eastAsia" w:ascii="黑体" w:hAnsi="黑体" w:eastAsia="黑体"/>
        </w:rPr>
        <w:t>防腐性能要求</w:t>
      </w:r>
    </w:p>
    <w:tbl>
      <w:tblPr>
        <w:tblStyle w:val="30"/>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962"/>
        <w:gridCol w:w="56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70" w:type="pct"/>
            <w:tcBorders>
              <w:top w:val="single" w:color="000000" w:sz="12" w:space="0"/>
              <w:bottom w:val="single" w:color="000000" w:sz="12" w:space="0"/>
            </w:tcBorders>
            <w:shd w:val="clear" w:color="auto" w:fill="auto"/>
            <w:vAlign w:val="center"/>
          </w:tcPr>
          <w:p>
            <w:pPr>
              <w:spacing w:line="280" w:lineRule="exact"/>
              <w:jc w:val="center"/>
              <w:rPr>
                <w:sz w:val="18"/>
              </w:rPr>
            </w:pPr>
            <w:r>
              <w:rPr>
                <w:rFonts w:hint="eastAsia"/>
                <w:sz w:val="18"/>
              </w:rPr>
              <w:t>表面处理工艺</w:t>
            </w:r>
          </w:p>
        </w:tc>
        <w:tc>
          <w:tcPr>
            <w:tcW w:w="2930" w:type="pct"/>
            <w:tcBorders>
              <w:top w:val="single" w:color="000000" w:sz="12" w:space="0"/>
              <w:bottom w:val="single" w:color="000000" w:sz="12" w:space="0"/>
            </w:tcBorders>
            <w:shd w:val="clear" w:color="auto" w:fill="auto"/>
            <w:vAlign w:val="center"/>
          </w:tcPr>
          <w:p>
            <w:pPr>
              <w:spacing w:line="280" w:lineRule="exact"/>
              <w:jc w:val="center"/>
              <w:rPr>
                <w:sz w:val="18"/>
              </w:rPr>
            </w:pPr>
            <w:r>
              <w:rPr>
                <w:sz w:val="18"/>
              </w:rPr>
              <w:t>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70" w:type="pct"/>
            <w:tcBorders>
              <w:bottom w:val="single" w:color="000000" w:sz="4" w:space="0"/>
            </w:tcBorders>
            <w:shd w:val="clear" w:color="auto" w:fill="auto"/>
            <w:vAlign w:val="center"/>
          </w:tcPr>
          <w:p>
            <w:pPr>
              <w:spacing w:line="280" w:lineRule="exact"/>
              <w:jc w:val="center"/>
              <w:rPr>
                <w:sz w:val="18"/>
              </w:rPr>
            </w:pPr>
            <w:r>
              <w:rPr>
                <w:sz w:val="18"/>
              </w:rPr>
              <w:t>电镀锌</w:t>
            </w:r>
          </w:p>
        </w:tc>
        <w:tc>
          <w:tcPr>
            <w:tcW w:w="2930" w:type="pct"/>
            <w:shd w:val="clear" w:color="auto" w:fill="auto"/>
            <w:vAlign w:val="center"/>
          </w:tcPr>
          <w:p>
            <w:pPr>
              <w:spacing w:line="280" w:lineRule="exact"/>
              <w:jc w:val="center"/>
              <w:rPr>
                <w:sz w:val="18"/>
              </w:rPr>
            </w:pPr>
            <w:r>
              <w:rPr>
                <w:sz w:val="18"/>
              </w:rPr>
              <w:t>中性盐雾试验不低于</w:t>
            </w:r>
            <w:r>
              <w:rPr>
                <w:rFonts w:hint="eastAsia"/>
                <w:sz w:val="18"/>
              </w:rPr>
              <w:t>4</w:t>
            </w:r>
            <w:r>
              <w:rPr>
                <w:sz w:val="18"/>
              </w:rPr>
              <w:t>8h，不出现红锈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70" w:type="pct"/>
            <w:tcBorders>
              <w:top w:val="single" w:color="000000" w:sz="4" w:space="0"/>
              <w:bottom w:val="single" w:color="000000" w:sz="4" w:space="0"/>
            </w:tcBorders>
            <w:shd w:val="clear" w:color="auto" w:fill="auto"/>
            <w:vAlign w:val="center"/>
          </w:tcPr>
          <w:p>
            <w:pPr>
              <w:spacing w:line="280" w:lineRule="exact"/>
              <w:jc w:val="center"/>
              <w:rPr>
                <w:sz w:val="18"/>
              </w:rPr>
            </w:pPr>
            <w:r>
              <w:rPr>
                <w:sz w:val="18"/>
              </w:rPr>
              <w:t>热浸镀锌</w:t>
            </w:r>
          </w:p>
        </w:tc>
        <w:tc>
          <w:tcPr>
            <w:tcW w:w="2930" w:type="pct"/>
            <w:shd w:val="clear" w:color="auto" w:fill="auto"/>
            <w:vAlign w:val="center"/>
          </w:tcPr>
          <w:p>
            <w:pPr>
              <w:spacing w:line="280" w:lineRule="exact"/>
              <w:jc w:val="center"/>
              <w:rPr>
                <w:sz w:val="18"/>
              </w:rPr>
            </w:pPr>
            <w:r>
              <w:rPr>
                <w:sz w:val="18"/>
              </w:rPr>
              <w:t>中性盐雾试验不低于480h，不出现红锈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70" w:type="pct"/>
            <w:tcBorders>
              <w:top w:val="single" w:color="000000" w:sz="4" w:space="0"/>
              <w:bottom w:val="single" w:color="000000" w:sz="4" w:space="0"/>
            </w:tcBorders>
            <w:shd w:val="clear" w:color="auto" w:fill="auto"/>
            <w:vAlign w:val="center"/>
          </w:tcPr>
          <w:p>
            <w:pPr>
              <w:spacing w:line="280" w:lineRule="exact"/>
              <w:jc w:val="center"/>
              <w:rPr>
                <w:sz w:val="18"/>
              </w:rPr>
            </w:pPr>
            <w:r>
              <w:rPr>
                <w:sz w:val="18"/>
              </w:rPr>
              <w:t>锌铬涂层</w:t>
            </w:r>
          </w:p>
        </w:tc>
        <w:tc>
          <w:tcPr>
            <w:tcW w:w="2930" w:type="pct"/>
            <w:shd w:val="clear" w:color="auto" w:fill="auto"/>
            <w:vAlign w:val="center"/>
          </w:tcPr>
          <w:p>
            <w:pPr>
              <w:spacing w:line="280" w:lineRule="exact"/>
              <w:jc w:val="center"/>
              <w:rPr>
                <w:sz w:val="18"/>
              </w:rPr>
            </w:pPr>
            <w:r>
              <w:rPr>
                <w:sz w:val="18"/>
              </w:rPr>
              <w:t>中性盐雾试验不低于</w:t>
            </w:r>
            <w:r>
              <w:rPr>
                <w:rFonts w:hint="eastAsia"/>
                <w:sz w:val="18"/>
              </w:rPr>
              <w:t>6</w:t>
            </w:r>
            <w:r>
              <w:rPr>
                <w:sz w:val="18"/>
              </w:rPr>
              <w:t>00h，不出现红锈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70" w:type="pct"/>
            <w:tcBorders>
              <w:top w:val="single" w:color="000000" w:sz="4" w:space="0"/>
              <w:bottom w:val="single" w:color="000000" w:sz="4" w:space="0"/>
            </w:tcBorders>
            <w:shd w:val="clear" w:color="auto" w:fill="auto"/>
            <w:vAlign w:val="center"/>
          </w:tcPr>
          <w:p>
            <w:pPr>
              <w:spacing w:line="280" w:lineRule="exact"/>
              <w:jc w:val="center"/>
              <w:rPr>
                <w:sz w:val="18"/>
              </w:rPr>
            </w:pPr>
            <w:r>
              <w:rPr>
                <w:rFonts w:hint="eastAsia"/>
                <w:sz w:val="18"/>
              </w:rPr>
              <w:t>连续热镀锌</w:t>
            </w:r>
          </w:p>
        </w:tc>
        <w:tc>
          <w:tcPr>
            <w:tcW w:w="2930" w:type="pct"/>
            <w:shd w:val="clear" w:color="auto" w:fill="auto"/>
            <w:vAlign w:val="center"/>
          </w:tcPr>
          <w:p>
            <w:pPr>
              <w:spacing w:line="280" w:lineRule="exact"/>
              <w:jc w:val="center"/>
              <w:rPr>
                <w:sz w:val="18"/>
              </w:rPr>
            </w:pPr>
            <w:r>
              <w:rPr>
                <w:sz w:val="18"/>
              </w:rPr>
              <w:t>中性盐雾试验不低于</w:t>
            </w:r>
            <w:r>
              <w:rPr>
                <w:rFonts w:hint="eastAsia"/>
                <w:sz w:val="18"/>
              </w:rPr>
              <w:t>2</w:t>
            </w:r>
            <w:r>
              <w:rPr>
                <w:sz w:val="18"/>
              </w:rPr>
              <w:t>40h，不出现红锈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70" w:type="pct"/>
            <w:tcBorders>
              <w:top w:val="single" w:color="000000" w:sz="4" w:space="0"/>
              <w:bottom w:val="single" w:color="000000" w:sz="12" w:space="0"/>
            </w:tcBorders>
            <w:shd w:val="clear" w:color="auto" w:fill="auto"/>
            <w:vAlign w:val="center"/>
          </w:tcPr>
          <w:p>
            <w:pPr>
              <w:spacing w:line="280" w:lineRule="exact"/>
              <w:jc w:val="center"/>
              <w:rPr>
                <w:sz w:val="18"/>
              </w:rPr>
            </w:pPr>
            <w:r>
              <w:rPr>
                <w:rFonts w:hint="eastAsia"/>
                <w:sz w:val="18"/>
              </w:rPr>
              <w:t>连续热镀锌铝镁合金</w:t>
            </w:r>
          </w:p>
        </w:tc>
        <w:tc>
          <w:tcPr>
            <w:tcW w:w="2930" w:type="pct"/>
            <w:tcBorders>
              <w:bottom w:val="single" w:color="000000" w:sz="12" w:space="0"/>
            </w:tcBorders>
            <w:shd w:val="clear" w:color="auto" w:fill="auto"/>
            <w:vAlign w:val="center"/>
          </w:tcPr>
          <w:p>
            <w:pPr>
              <w:spacing w:line="280" w:lineRule="exact"/>
              <w:jc w:val="center"/>
              <w:rPr>
                <w:sz w:val="18"/>
              </w:rPr>
            </w:pPr>
            <w:r>
              <w:rPr>
                <w:sz w:val="18"/>
              </w:rPr>
              <w:t>中性盐雾试验不低于</w:t>
            </w:r>
            <w:r>
              <w:rPr>
                <w:rFonts w:hint="eastAsia"/>
                <w:sz w:val="18"/>
              </w:rPr>
              <w:t>2</w:t>
            </w:r>
            <w:r>
              <w:rPr>
                <w:sz w:val="18"/>
              </w:rPr>
              <w:t>400h</w:t>
            </w:r>
            <w:r>
              <w:rPr>
                <w:rFonts w:hint="eastAsia"/>
                <w:sz w:val="18"/>
              </w:rPr>
              <w:t>或</w:t>
            </w:r>
          </w:p>
          <w:p>
            <w:pPr>
              <w:spacing w:line="280" w:lineRule="exact"/>
              <w:jc w:val="center"/>
              <w:rPr>
                <w:sz w:val="18"/>
              </w:rPr>
            </w:pPr>
            <w:r>
              <w:rPr>
                <w:rFonts w:hint="eastAsia"/>
                <w:sz w:val="18"/>
              </w:rPr>
              <w:t>铜加速乙酸盐雾试验不低于3</w:t>
            </w:r>
            <w:r>
              <w:rPr>
                <w:sz w:val="18"/>
              </w:rPr>
              <w:t>00h</w:t>
            </w:r>
          </w:p>
        </w:tc>
      </w:tr>
    </w:tbl>
    <w:p>
      <w:pPr>
        <w:pStyle w:val="110"/>
        <w:numPr>
          <w:ilvl w:val="0"/>
          <w:numId w:val="0"/>
        </w:numPr>
        <w:spacing w:before="312" w:after="312"/>
      </w:pPr>
      <w:bookmarkStart w:id="83" w:name="_Toc81322369"/>
      <w:bookmarkStart w:id="84" w:name="_Toc128552135"/>
      <w:bookmarkStart w:id="85" w:name="_Toc135225130"/>
      <w:bookmarkStart w:id="86" w:name="_Toc90303270"/>
      <w:bookmarkStart w:id="87" w:name="_Toc81322410"/>
      <w:r>
        <w:rPr>
          <w:rFonts w:hint="eastAsia"/>
        </w:rPr>
        <w:t>7</w:t>
      </w:r>
      <w:r>
        <w:t xml:space="preserve">  </w:t>
      </w:r>
      <w:r>
        <w:rPr>
          <w:rFonts w:hint="eastAsia"/>
        </w:rPr>
        <w:t>试验方法</w:t>
      </w:r>
      <w:bookmarkEnd w:id="83"/>
      <w:bookmarkEnd w:id="84"/>
      <w:bookmarkEnd w:id="85"/>
      <w:bookmarkEnd w:id="86"/>
      <w:bookmarkEnd w:id="87"/>
    </w:p>
    <w:p>
      <w:pPr>
        <w:pStyle w:val="111"/>
        <w:numPr>
          <w:ilvl w:val="0"/>
          <w:numId w:val="0"/>
        </w:numPr>
        <w:spacing w:before="156" w:after="156"/>
        <w:sectPr>
          <w:footerReference r:id="rId23" w:type="default"/>
          <w:type w:val="continuous"/>
          <w:pgSz w:w="11906" w:h="16838"/>
          <w:pgMar w:top="2410" w:right="1134" w:bottom="1134" w:left="1134" w:header="1418" w:footer="1134" w:gutter="284"/>
          <w:pgNumType w:fmt="upperRoman" w:start="8"/>
          <w:cols w:space="425" w:num="1"/>
          <w:formProt w:val="0"/>
          <w:docGrid w:type="lines" w:linePitch="312" w:charSpace="0"/>
        </w:sectPr>
      </w:pPr>
      <w:bookmarkStart w:id="88" w:name="_Toc81322370"/>
      <w:r>
        <w:rPr>
          <w:rFonts w:hint="eastAsia"/>
        </w:rPr>
        <w:t>7</w:t>
      </w:r>
      <w:r>
        <w:t xml:space="preserve">.1  </w:t>
      </w:r>
      <w:r>
        <w:rPr>
          <w:rFonts w:hint="eastAsia"/>
        </w:rPr>
        <w:t>外观</w:t>
      </w:r>
      <w:bookmarkEnd w:id="88"/>
      <w:r>
        <w:rPr>
          <w:rFonts w:hint="eastAsia"/>
        </w:rPr>
        <w:t>质量</w:t>
      </w:r>
    </w:p>
    <w:p>
      <w:pPr>
        <w:pStyle w:val="62"/>
        <w:ind w:firstLine="420"/>
        <w:rPr>
          <w:rFonts w:ascii="Times New Roman"/>
        </w:rPr>
      </w:pPr>
      <w:bookmarkStart w:id="89" w:name="_Hlk81313214"/>
      <w:r>
        <w:rPr>
          <w:rFonts w:ascii="Times New Roman"/>
        </w:rPr>
        <w:t>在日光或充分照明条件下目测</w:t>
      </w:r>
      <w:bookmarkEnd w:id="89"/>
      <w:r>
        <w:rPr>
          <w:rFonts w:ascii="Times New Roman"/>
        </w:rPr>
        <w:t>。</w:t>
      </w:r>
    </w:p>
    <w:p>
      <w:pPr>
        <w:pStyle w:val="111"/>
        <w:numPr>
          <w:ilvl w:val="0"/>
          <w:numId w:val="0"/>
        </w:numPr>
        <w:spacing w:before="156" w:after="156"/>
      </w:pPr>
      <w:bookmarkStart w:id="90" w:name="_Toc81322371"/>
      <w:r>
        <w:rPr>
          <w:rFonts w:hint="eastAsia"/>
        </w:rPr>
        <w:t>7</w:t>
      </w:r>
      <w:r>
        <w:t>.2  尺寸</w:t>
      </w:r>
      <w:bookmarkEnd w:id="90"/>
      <w:r>
        <w:rPr>
          <w:rFonts w:hint="eastAsia"/>
        </w:rPr>
        <w:t>及允许偏差</w:t>
      </w:r>
    </w:p>
    <w:p>
      <w:pPr>
        <w:pStyle w:val="71"/>
        <w:numPr>
          <w:ilvl w:val="0"/>
          <w:numId w:val="0"/>
        </w:numPr>
        <w:spacing w:before="156" w:after="156"/>
        <w:rPr>
          <w:rFonts w:ascii="Times New Roman" w:eastAsia="宋体"/>
        </w:rPr>
      </w:pPr>
      <w:r>
        <w:rPr>
          <w:rFonts w:ascii="宋体" w:eastAsia="宋体"/>
        </w:rPr>
        <w:t xml:space="preserve">    </w:t>
      </w:r>
      <w:r>
        <w:rPr>
          <w:rFonts w:ascii="Times New Roman" w:eastAsia="宋体"/>
        </w:rPr>
        <w:t>抗震连接件、管道连接件、钢结构固定件、带齿C型槽钢尺寸检测应符合下列规定：</w:t>
      </w:r>
    </w:p>
    <w:p>
      <w:pPr>
        <w:pStyle w:val="138"/>
        <w:rPr>
          <w:rFonts w:ascii="Times New Roman"/>
          <w:kern w:val="2"/>
          <w:szCs w:val="21"/>
        </w:rPr>
      </w:pPr>
      <w:r>
        <w:rPr>
          <w:rFonts w:ascii="Times New Roman"/>
          <w:kern w:val="2"/>
          <w:szCs w:val="21"/>
        </w:rPr>
        <w:t>抗震连接件、管道连接件、钢结构固定件厚度检测，应采用精度不低于0.02mm的游标卡尺或金属测厚仪，任意取5个点进行测量，并取最小值</w:t>
      </w:r>
      <w:r>
        <w:rPr>
          <w:rFonts w:hint="eastAsia" w:ascii="Times New Roman"/>
          <w:kern w:val="2"/>
          <w:szCs w:val="21"/>
        </w:rPr>
        <w:t>；</w:t>
      </w:r>
    </w:p>
    <w:p>
      <w:pPr>
        <w:pStyle w:val="138"/>
        <w:rPr>
          <w:rFonts w:ascii="Times New Roman"/>
          <w:kern w:val="2"/>
          <w:szCs w:val="21"/>
        </w:rPr>
        <w:sectPr>
          <w:footerReference r:id="rId24" w:type="default"/>
          <w:type w:val="continuous"/>
          <w:pgSz w:w="11906" w:h="16838"/>
          <w:pgMar w:top="2410" w:right="1134" w:bottom="1134" w:left="1134" w:header="1418" w:footer="1134" w:gutter="284"/>
          <w:pgNumType w:fmt="upperRoman" w:start="8"/>
          <w:cols w:space="425" w:num="1"/>
          <w:formProt w:val="0"/>
          <w:docGrid w:type="lines" w:linePitch="312" w:charSpace="0"/>
        </w:sectPr>
      </w:pPr>
    </w:p>
    <w:p>
      <w:pPr>
        <w:pStyle w:val="138"/>
        <w:rPr>
          <w:rFonts w:ascii="Times New Roman"/>
          <w:kern w:val="2"/>
          <w:szCs w:val="21"/>
        </w:rPr>
      </w:pPr>
      <w:r>
        <w:rPr>
          <w:rFonts w:ascii="Times New Roman"/>
          <w:kern w:val="2"/>
          <w:szCs w:val="21"/>
        </w:rPr>
        <w:t>带齿C型槽钢板材厚度检测，应采用精度不低于0.02mm的游标卡尺或金属测厚仪，在两端及中间点处取三个截面，每个截面取5个测点进行测量，取最小值</w:t>
      </w:r>
      <w:r>
        <w:rPr>
          <w:rFonts w:hint="eastAsia" w:ascii="Times New Roman"/>
          <w:kern w:val="2"/>
          <w:szCs w:val="21"/>
        </w:rPr>
        <w:t>；</w:t>
      </w:r>
    </w:p>
    <w:p>
      <w:pPr>
        <w:pStyle w:val="138"/>
        <w:rPr>
          <w:rFonts w:ascii="Times New Roman"/>
          <w:kern w:val="2"/>
          <w:szCs w:val="21"/>
        </w:rPr>
      </w:pPr>
      <w:r>
        <w:rPr>
          <w:rFonts w:ascii="Times New Roman"/>
          <w:kern w:val="2"/>
          <w:szCs w:val="21"/>
        </w:rPr>
        <w:t>角度及半径检测，采用角度仪及R规，分别在离两端5cm及中间点处取三个截面进行测量，取平均值</w:t>
      </w:r>
      <w:r>
        <w:rPr>
          <w:rFonts w:hint="eastAsia" w:ascii="Times New Roman"/>
          <w:kern w:val="2"/>
          <w:szCs w:val="21"/>
        </w:rPr>
        <w:t>；</w:t>
      </w:r>
    </w:p>
    <w:p>
      <w:pPr>
        <w:pStyle w:val="138"/>
        <w:rPr>
          <w:rFonts w:ascii="Times New Roman"/>
          <w:kern w:val="2"/>
          <w:szCs w:val="21"/>
        </w:rPr>
      </w:pPr>
      <w:r>
        <w:rPr>
          <w:rFonts w:ascii="Times New Roman"/>
          <w:kern w:val="2"/>
          <w:szCs w:val="21"/>
        </w:rPr>
        <w:t>其他尺寸检测，应采用精度不低于0.02mm的游标卡尺，分别在离两端5cm及中间点处取三个截面进行测量，取平均值。</w:t>
      </w:r>
    </w:p>
    <w:p>
      <w:pPr>
        <w:pStyle w:val="111"/>
        <w:numPr>
          <w:ilvl w:val="0"/>
          <w:numId w:val="0"/>
        </w:numPr>
        <w:spacing w:before="156" w:after="156"/>
      </w:pPr>
      <w:r>
        <w:rPr>
          <w:rFonts w:hint="eastAsia"/>
        </w:rPr>
        <w:t>7</w:t>
      </w:r>
      <w:r>
        <w:t xml:space="preserve">.3  </w:t>
      </w:r>
      <w:r>
        <w:rPr>
          <w:rFonts w:hint="eastAsia"/>
        </w:rPr>
        <w:t>涂层厚度</w:t>
      </w:r>
    </w:p>
    <w:p>
      <w:pPr>
        <w:pStyle w:val="62"/>
        <w:ind w:firstLine="420"/>
        <w:rPr>
          <w:rFonts w:ascii="Times New Roman"/>
        </w:rPr>
      </w:pPr>
      <w:r>
        <w:rPr>
          <w:rFonts w:hint="eastAsia" w:ascii="Times New Roman"/>
        </w:rPr>
        <w:t>按</w:t>
      </w:r>
      <w:r>
        <w:rPr>
          <w:rFonts w:ascii="Times New Roman"/>
        </w:rPr>
        <w:t>GB/T 4956</w:t>
      </w:r>
      <w:r>
        <w:rPr>
          <w:rFonts w:hint="eastAsia" w:ascii="Times New Roman"/>
        </w:rPr>
        <w:t>的规定进行，</w:t>
      </w:r>
      <w:r>
        <w:rPr>
          <w:rFonts w:ascii="Times New Roman"/>
        </w:rPr>
        <w:t>采用精度不低于0.5μm的涂层测厚仪检测，同一样品测量5处，同一处测点测量3次，结果取</w:t>
      </w:r>
      <w:r>
        <w:rPr>
          <w:rFonts w:hint="eastAsia" w:ascii="Times New Roman"/>
        </w:rPr>
        <w:t>5处测量值的</w:t>
      </w:r>
      <w:r>
        <w:rPr>
          <w:rFonts w:ascii="Times New Roman"/>
        </w:rPr>
        <w:t>平均值，</w:t>
      </w:r>
      <w:r>
        <w:rPr>
          <w:rFonts w:hint="eastAsia" w:ascii="Times New Roman"/>
        </w:rPr>
        <w:t>精确</w:t>
      </w:r>
      <w:r>
        <w:rPr>
          <w:rFonts w:ascii="Times New Roman"/>
        </w:rPr>
        <w:t>到</w:t>
      </w:r>
      <w:r>
        <w:rPr>
          <w:rFonts w:hint="eastAsia" w:ascii="Times New Roman"/>
        </w:rPr>
        <w:t>1</w:t>
      </w:r>
      <w:r>
        <w:rPr>
          <w:rFonts w:ascii="Times New Roman"/>
        </w:rPr>
        <w:t>μm。每个点涂层的平均厚度及局部厚度均需满足要求。</w:t>
      </w:r>
    </w:p>
    <w:p>
      <w:pPr>
        <w:pStyle w:val="111"/>
        <w:numPr>
          <w:ilvl w:val="0"/>
          <w:numId w:val="0"/>
        </w:numPr>
        <w:spacing w:before="156" w:after="156"/>
      </w:pPr>
      <w:bookmarkStart w:id="91" w:name="_Toc81322372"/>
      <w:r>
        <w:rPr>
          <w:rFonts w:hint="eastAsia"/>
        </w:rPr>
        <w:t>7</w:t>
      </w:r>
      <w:r>
        <w:t xml:space="preserve">.4  </w:t>
      </w:r>
      <w:r>
        <w:rPr>
          <w:rFonts w:hint="eastAsia"/>
        </w:rPr>
        <w:t>部件</w:t>
      </w:r>
      <w:bookmarkEnd w:id="91"/>
      <w:r>
        <w:rPr>
          <w:rFonts w:hint="eastAsia"/>
        </w:rPr>
        <w:t>性能</w:t>
      </w:r>
    </w:p>
    <w:p>
      <w:pPr>
        <w:pStyle w:val="71"/>
        <w:numPr>
          <w:ilvl w:val="0"/>
          <w:numId w:val="0"/>
        </w:numPr>
        <w:spacing w:before="156" w:after="156"/>
      </w:pPr>
      <w:r>
        <w:rPr>
          <w:rFonts w:hint="eastAsia"/>
        </w:rPr>
        <w:t>7</w:t>
      </w:r>
      <w:r>
        <w:t>.4.1  部件循环加载性能</w:t>
      </w:r>
    </w:p>
    <w:p>
      <w:pPr>
        <w:pStyle w:val="100"/>
        <w:numPr>
          <w:ilvl w:val="0"/>
          <w:numId w:val="0"/>
        </w:numPr>
        <w:spacing w:before="156" w:after="156"/>
      </w:pPr>
      <w:r>
        <w:rPr>
          <w:rFonts w:hint="eastAsia"/>
        </w:rPr>
        <w:t>7</w:t>
      </w:r>
      <w:r>
        <w:t xml:space="preserve">.4.1.1  </w:t>
      </w:r>
      <w:r>
        <w:rPr>
          <w:rFonts w:hint="eastAsia"/>
        </w:rPr>
        <w:t>试样数量</w:t>
      </w:r>
    </w:p>
    <w:p>
      <w:pPr>
        <w:pStyle w:val="138"/>
        <w:numPr>
          <w:ilvl w:val="0"/>
          <w:numId w:val="0"/>
        </w:numPr>
        <w:ind w:left="424" w:leftChars="200" w:hanging="4" w:hangingChars="2"/>
        <w:rPr>
          <w:rFonts w:ascii="Times New Roman"/>
        </w:rPr>
      </w:pPr>
      <w:r>
        <w:rPr>
          <w:rFonts w:ascii="Times New Roman"/>
        </w:rPr>
        <w:t>每种部件测试数量不应小于4套，1套用于单调加载试验，不少于3套用于循环加载试验。</w:t>
      </w:r>
    </w:p>
    <w:p>
      <w:pPr>
        <w:pStyle w:val="100"/>
        <w:numPr>
          <w:ilvl w:val="0"/>
          <w:numId w:val="0"/>
        </w:numPr>
        <w:spacing w:before="156" w:after="156"/>
      </w:pPr>
      <w:r>
        <w:rPr>
          <w:rFonts w:hint="eastAsia"/>
        </w:rPr>
        <w:t>7</w:t>
      </w:r>
      <w:r>
        <w:t xml:space="preserve">.4.1.2  </w:t>
      </w:r>
      <w:r>
        <w:rPr>
          <w:rFonts w:hint="eastAsia"/>
        </w:rPr>
        <w:t>试样安装</w:t>
      </w:r>
    </w:p>
    <w:p>
      <w:pPr>
        <w:pStyle w:val="62"/>
        <w:ind w:firstLine="420"/>
        <w:rPr>
          <w:rFonts w:ascii="Times New Roman"/>
        </w:rPr>
      </w:pPr>
      <w:r>
        <w:rPr>
          <w:rFonts w:ascii="Times New Roman"/>
        </w:rPr>
        <w:t>将支吊架部件安装在测试装置内，见图3、图4，按照斜撑角度调整好测试角度，测试角度可负不可正，精度为1°。</w:t>
      </w:r>
    </w:p>
    <w:p>
      <w:pPr>
        <w:pStyle w:val="71"/>
        <w:numPr>
          <w:ilvl w:val="0"/>
          <w:numId w:val="0"/>
        </w:numPr>
        <w:spacing w:before="156" w:after="156"/>
        <w:ind w:left="420" w:leftChars="200"/>
        <w:jc w:val="center"/>
      </w:pPr>
      <w:r>
        <w:drawing>
          <wp:inline distT="0" distB="0" distL="0" distR="0">
            <wp:extent cx="3733800" cy="32734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3"/>
                    <a:stretch>
                      <a:fillRect/>
                    </a:stretch>
                  </pic:blipFill>
                  <pic:spPr>
                    <a:xfrm>
                      <a:off x="0" y="0"/>
                      <a:ext cx="3767737" cy="3303315"/>
                    </a:xfrm>
                    <a:prstGeom prst="rect">
                      <a:avLst/>
                    </a:prstGeom>
                  </pic:spPr>
                </pic:pic>
              </a:graphicData>
            </a:graphic>
          </wp:inline>
        </w:drawing>
      </w:r>
    </w:p>
    <w:p>
      <w:pPr>
        <w:pStyle w:val="62"/>
        <w:ind w:firstLine="420"/>
        <w:jc w:val="center"/>
        <w:rPr>
          <w:rFonts w:ascii="黑体" w:hAnsi="黑体" w:eastAsia="黑体"/>
          <w:szCs w:val="21"/>
        </w:rPr>
        <w:sectPr>
          <w:footerReference r:id="rId25" w:type="default"/>
          <w:type w:val="continuous"/>
          <w:pgSz w:w="11906" w:h="16838"/>
          <w:pgMar w:top="2410" w:right="1134" w:bottom="1134" w:left="1134" w:header="1418" w:footer="1134" w:gutter="284"/>
          <w:pgNumType w:fmt="upperRoman"/>
          <w:cols w:space="425" w:num="1"/>
          <w:formProt w:val="0"/>
          <w:docGrid w:type="lines" w:linePitch="312" w:charSpace="0"/>
        </w:sectPr>
      </w:pPr>
      <w:r>
        <w:rPr>
          <w:rFonts w:ascii="黑体" w:hAnsi="黑体" w:eastAsia="黑体"/>
          <w:szCs w:val="21"/>
        </w:rPr>
        <w:t>图3  部件循环加载机示意图</w:t>
      </w:r>
    </w:p>
    <w:p>
      <w:pPr>
        <w:pStyle w:val="179"/>
        <w:numPr>
          <w:ilvl w:val="0"/>
          <w:numId w:val="0"/>
        </w:numPr>
        <w:ind w:left="-2" w:leftChars="-1"/>
        <w:rPr>
          <w:rFonts w:hAnsi="宋体"/>
          <w:color w:val="000000"/>
        </w:rPr>
      </w:pPr>
      <w:r>
        <w:rPr>
          <w:rFonts w:hint="eastAsia" w:hAnsi="宋体"/>
          <w:color w:val="000000"/>
        </w:rPr>
        <w:t>标引序号说明：</w:t>
      </w:r>
    </w:p>
    <w:p>
      <w:pPr>
        <w:pStyle w:val="179"/>
        <w:numPr>
          <w:ilvl w:val="0"/>
          <w:numId w:val="0"/>
        </w:numPr>
        <w:ind w:left="-2" w:leftChars="-1"/>
        <w:rPr>
          <w:rFonts w:hAnsi="宋体"/>
          <w:color w:val="000000"/>
        </w:rPr>
      </w:pPr>
      <w:r>
        <w:rPr>
          <w:rFonts w:hAnsi="宋体"/>
          <w:color w:val="000000"/>
        </w:rPr>
        <w:t>1</w:t>
      </w:r>
      <w:r>
        <w:rPr>
          <w:rFonts w:hAnsi="宋体"/>
          <w:u w:val="single"/>
          <w:vertAlign w:val="superscript"/>
        </w:rPr>
        <w:t xml:space="preserve">       </w:t>
      </w:r>
      <w:r>
        <w:rPr>
          <w:rFonts w:hint="eastAsia" w:hAnsi="宋体"/>
          <w:color w:val="000000"/>
        </w:rPr>
        <w:t>测试平台；</w:t>
      </w:r>
      <w:r>
        <w:rPr>
          <w:rFonts w:hAnsi="宋体"/>
          <w:color w:val="000000"/>
        </w:rPr>
        <w:t xml:space="preserve"> </w:t>
      </w:r>
    </w:p>
    <w:p>
      <w:pPr>
        <w:pStyle w:val="179"/>
        <w:numPr>
          <w:ilvl w:val="0"/>
          <w:numId w:val="0"/>
        </w:numPr>
        <w:ind w:left="-2" w:leftChars="-1"/>
        <w:rPr>
          <w:rFonts w:hAnsi="宋体"/>
        </w:rPr>
      </w:pPr>
      <w:r>
        <w:rPr>
          <w:rFonts w:hAnsi="宋体"/>
          <w:color w:val="000000"/>
        </w:rPr>
        <w:t>2</w:t>
      </w:r>
      <w:r>
        <w:rPr>
          <w:rFonts w:hAnsi="宋体"/>
          <w:u w:val="single"/>
          <w:vertAlign w:val="superscript"/>
        </w:rPr>
        <w:t xml:space="preserve">       </w:t>
      </w:r>
      <w:r>
        <w:rPr>
          <w:rFonts w:hint="eastAsia" w:hAnsi="宋体"/>
        </w:rPr>
        <w:t>试验安装治具；</w:t>
      </w:r>
      <w:r>
        <w:rPr>
          <w:rFonts w:hAnsi="宋体"/>
        </w:rPr>
        <w:t xml:space="preserve"> </w:t>
      </w:r>
    </w:p>
    <w:p>
      <w:pPr>
        <w:pStyle w:val="179"/>
        <w:numPr>
          <w:ilvl w:val="0"/>
          <w:numId w:val="0"/>
        </w:numPr>
        <w:ind w:left="-2" w:leftChars="-1"/>
        <w:rPr>
          <w:rFonts w:hAnsi="宋体"/>
          <w:color w:val="000000"/>
        </w:rPr>
      </w:pPr>
      <w:r>
        <w:rPr>
          <w:rFonts w:hAnsi="宋体"/>
          <w:color w:val="000000"/>
        </w:rPr>
        <w:t>3</w:t>
      </w:r>
      <w:r>
        <w:rPr>
          <w:rFonts w:hAnsi="宋体"/>
          <w:u w:val="single"/>
          <w:vertAlign w:val="superscript"/>
        </w:rPr>
        <w:t xml:space="preserve">       </w:t>
      </w:r>
      <w:r>
        <w:rPr>
          <w:rFonts w:hint="eastAsia" w:hAnsi="宋体"/>
          <w:color w:val="000000"/>
        </w:rPr>
        <w:t>抗震支吊架部件；</w:t>
      </w:r>
    </w:p>
    <w:p>
      <w:pPr>
        <w:pStyle w:val="179"/>
        <w:numPr>
          <w:ilvl w:val="0"/>
          <w:numId w:val="0"/>
        </w:numPr>
        <w:ind w:left="-2" w:leftChars="-1"/>
        <w:rPr>
          <w:rFonts w:hAnsi="宋体"/>
          <w:color w:val="000000"/>
        </w:rPr>
      </w:pPr>
      <w:r>
        <w:rPr>
          <w:rFonts w:hAnsi="宋体"/>
          <w:color w:val="000000"/>
        </w:rPr>
        <w:t>4</w:t>
      </w:r>
      <w:r>
        <w:rPr>
          <w:rFonts w:hAnsi="宋体"/>
          <w:u w:val="single"/>
          <w:vertAlign w:val="superscript"/>
        </w:rPr>
        <w:t xml:space="preserve">       </w:t>
      </w:r>
      <w:r>
        <w:rPr>
          <w:rFonts w:hint="eastAsia" w:hAnsi="宋体"/>
          <w:color w:val="000000"/>
        </w:rPr>
        <w:t>测试连接杆；</w:t>
      </w:r>
    </w:p>
    <w:p>
      <w:pPr>
        <w:pStyle w:val="179"/>
        <w:numPr>
          <w:ilvl w:val="0"/>
          <w:numId w:val="0"/>
        </w:numPr>
        <w:ind w:left="-2" w:leftChars="-1"/>
        <w:rPr>
          <w:rFonts w:hAnsi="宋体"/>
          <w:color w:val="000000"/>
        </w:rPr>
      </w:pPr>
      <w:r>
        <w:rPr>
          <w:rFonts w:hAnsi="宋体"/>
          <w:color w:val="000000"/>
        </w:rPr>
        <w:t>5</w:t>
      </w:r>
      <w:r>
        <w:rPr>
          <w:rFonts w:hAnsi="宋体"/>
          <w:u w:val="single"/>
          <w:vertAlign w:val="superscript"/>
        </w:rPr>
        <w:t xml:space="preserve">       </w:t>
      </w:r>
      <w:r>
        <w:rPr>
          <w:rFonts w:hint="eastAsia" w:hAnsi="宋体"/>
          <w:color w:val="000000"/>
        </w:rPr>
        <w:t>动力源；</w:t>
      </w:r>
    </w:p>
    <w:p>
      <w:pPr>
        <w:pStyle w:val="179"/>
        <w:numPr>
          <w:ilvl w:val="0"/>
          <w:numId w:val="0"/>
        </w:numPr>
        <w:ind w:left="-2" w:leftChars="-1"/>
        <w:rPr>
          <w:rFonts w:hAnsi="宋体"/>
          <w:color w:val="000000"/>
        </w:rPr>
      </w:pPr>
      <w:r>
        <w:rPr>
          <w:rFonts w:hAnsi="宋体"/>
          <w:color w:val="000000"/>
        </w:rPr>
        <w:t>6</w:t>
      </w:r>
      <w:r>
        <w:rPr>
          <w:rFonts w:hAnsi="宋体"/>
          <w:u w:val="single"/>
          <w:vertAlign w:val="superscript"/>
        </w:rPr>
        <w:t xml:space="preserve">       </w:t>
      </w:r>
      <w:r>
        <w:rPr>
          <w:rFonts w:hint="eastAsia" w:hAnsi="宋体"/>
          <w:color w:val="000000"/>
        </w:rPr>
        <w:t>控制柜；</w:t>
      </w:r>
    </w:p>
    <w:p>
      <w:pPr>
        <w:pStyle w:val="62"/>
        <w:ind w:firstLine="0" w:firstLineChars="0"/>
        <w:jc w:val="left"/>
        <w:rPr>
          <w:rFonts w:hAnsi="宋体"/>
          <w:sz w:val="18"/>
          <w:szCs w:val="18"/>
        </w:rPr>
      </w:pPr>
      <w:r>
        <w:rPr>
          <w:rFonts w:hAnsi="宋体"/>
          <w:color w:val="000000"/>
          <w:sz w:val="18"/>
          <w:szCs w:val="18"/>
        </w:rPr>
        <w:t>F</w:t>
      </w:r>
      <w:r>
        <w:rPr>
          <w:rFonts w:hAnsi="宋体"/>
          <w:sz w:val="18"/>
          <w:szCs w:val="18"/>
          <w:u w:val="single"/>
          <w:vertAlign w:val="superscript"/>
        </w:rPr>
        <w:t xml:space="preserve">       </w:t>
      </w:r>
      <w:r>
        <w:rPr>
          <w:rFonts w:hint="eastAsia" w:hAnsi="宋体"/>
          <w:color w:val="000000"/>
          <w:sz w:val="18"/>
          <w:szCs w:val="18"/>
        </w:rPr>
        <w:t>受力方向。</w:t>
      </w:r>
    </w:p>
    <w:p>
      <w:pPr>
        <w:pStyle w:val="62"/>
        <w:ind w:firstLine="174" w:firstLineChars="83"/>
        <w:jc w:val="left"/>
        <w:rPr>
          <w:rFonts w:ascii="黑体" w:hAnsi="黑体" w:eastAsia="黑体"/>
          <w:sz w:val="24"/>
          <w:szCs w:val="24"/>
        </w:rPr>
      </w:pPr>
      <w:r>
        <w:drawing>
          <wp:inline distT="0" distB="0" distL="0" distR="0">
            <wp:extent cx="1486535" cy="15659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4"/>
                    <a:stretch>
                      <a:fillRect/>
                    </a:stretch>
                  </pic:blipFill>
                  <pic:spPr>
                    <a:xfrm>
                      <a:off x="0" y="0"/>
                      <a:ext cx="1486800" cy="1566000"/>
                    </a:xfrm>
                    <a:prstGeom prst="rect">
                      <a:avLst/>
                    </a:prstGeom>
                  </pic:spPr>
                </pic:pic>
              </a:graphicData>
            </a:graphic>
          </wp:inline>
        </w:drawing>
      </w:r>
      <w:r>
        <w:rPr>
          <w:rFonts w:ascii="黑体" w:hAnsi="黑体" w:eastAsia="黑体"/>
          <w:sz w:val="24"/>
          <w:szCs w:val="24"/>
        </w:rPr>
        <w:t xml:space="preserve">      </w:t>
      </w:r>
      <w:r>
        <w:drawing>
          <wp:inline distT="0" distB="0" distL="0" distR="0">
            <wp:extent cx="1508125" cy="15659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5"/>
                    <a:stretch>
                      <a:fillRect/>
                    </a:stretch>
                  </pic:blipFill>
                  <pic:spPr>
                    <a:xfrm>
                      <a:off x="0" y="0"/>
                      <a:ext cx="1508400" cy="1566000"/>
                    </a:xfrm>
                    <a:prstGeom prst="rect">
                      <a:avLst/>
                    </a:prstGeom>
                  </pic:spPr>
                </pic:pic>
              </a:graphicData>
            </a:graphic>
          </wp:inline>
        </w:drawing>
      </w:r>
      <w:r>
        <w:t xml:space="preserve">       </w:t>
      </w:r>
      <w:r>
        <w:drawing>
          <wp:inline distT="0" distB="0" distL="0" distR="0">
            <wp:extent cx="1771015" cy="1565910"/>
            <wp:effectExtent l="0" t="0" r="635" b="0"/>
            <wp:docPr id="239" name="图片 239" descr="C:\Users\186823~1\AppData\Local\Temp\WeChat Files\0a781d5e01ab28e76660c98df71e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C:\Users\186823~1\AppData\Local\Temp\WeChat Files\0a781d5e01ab28e76660c98df71e6e9.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71200" cy="1566000"/>
                    </a:xfrm>
                    <a:prstGeom prst="rect">
                      <a:avLst/>
                    </a:prstGeom>
                    <a:noFill/>
                    <a:ln>
                      <a:noFill/>
                    </a:ln>
                  </pic:spPr>
                </pic:pic>
              </a:graphicData>
            </a:graphic>
          </wp:inline>
        </w:drawing>
      </w:r>
    </w:p>
    <w:p>
      <w:pPr>
        <w:pStyle w:val="120"/>
        <w:numPr>
          <w:ilvl w:val="4"/>
          <w:numId w:val="21"/>
        </w:numPr>
        <w:spacing w:before="156" w:after="156"/>
        <w:ind w:left="993" w:hanging="284"/>
        <w:jc w:val="both"/>
        <w:rPr>
          <w:rFonts w:hAnsi="黑体"/>
          <w:sz w:val="18"/>
          <w:szCs w:val="18"/>
        </w:rPr>
      </w:pPr>
      <w:r>
        <w:rPr>
          <w:rFonts w:hint="eastAsia" w:hAnsi="黑体"/>
          <w:sz w:val="18"/>
          <w:szCs w:val="18"/>
        </w:rPr>
        <w:t xml:space="preserve"> </w:t>
      </w:r>
      <w:r>
        <w:rPr>
          <w:rFonts w:hAnsi="黑体"/>
          <w:sz w:val="18"/>
          <w:szCs w:val="18"/>
        </w:rPr>
        <w:t xml:space="preserve"> 抗震连接件                 b）</w:t>
      </w:r>
      <w:r>
        <w:rPr>
          <w:rFonts w:hint="eastAsia" w:hAnsi="黑体"/>
          <w:sz w:val="18"/>
          <w:szCs w:val="18"/>
        </w:rPr>
        <w:t xml:space="preserve"> </w:t>
      </w:r>
      <w:r>
        <w:rPr>
          <w:rFonts w:hAnsi="黑体"/>
          <w:sz w:val="18"/>
          <w:szCs w:val="18"/>
        </w:rPr>
        <w:t xml:space="preserve"> 管道连接件侧向Ⅰ             c</w:t>
      </w:r>
      <w:r>
        <w:rPr>
          <w:rFonts w:hint="eastAsia" w:hAnsi="黑体"/>
          <w:sz w:val="18"/>
          <w:szCs w:val="18"/>
        </w:rPr>
        <w:t>）</w:t>
      </w:r>
      <w:r>
        <w:rPr>
          <w:rFonts w:hAnsi="黑体"/>
          <w:sz w:val="18"/>
          <w:szCs w:val="18"/>
        </w:rPr>
        <w:t xml:space="preserve">  管道连接件侧向Ⅱ</w:t>
      </w:r>
    </w:p>
    <w:p>
      <w:pPr>
        <w:pStyle w:val="186"/>
        <w:numPr>
          <w:ilvl w:val="0"/>
          <w:numId w:val="0"/>
        </w:numPr>
        <w:ind w:left="811" w:hanging="448"/>
      </w:pPr>
      <w:r>
        <w:drawing>
          <wp:inline distT="0" distB="0" distL="0" distR="0">
            <wp:extent cx="1594485" cy="1565910"/>
            <wp:effectExtent l="0" t="0" r="571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67"/>
                    <a:stretch>
                      <a:fillRect/>
                    </a:stretch>
                  </pic:blipFill>
                  <pic:spPr>
                    <a:xfrm>
                      <a:off x="0" y="0"/>
                      <a:ext cx="1594800" cy="1566000"/>
                    </a:xfrm>
                    <a:prstGeom prst="rect">
                      <a:avLst/>
                    </a:prstGeom>
                  </pic:spPr>
                </pic:pic>
              </a:graphicData>
            </a:graphic>
          </wp:inline>
        </w:drawing>
      </w:r>
      <w:r>
        <w:t xml:space="preserve">       </w:t>
      </w:r>
      <w:r>
        <w:drawing>
          <wp:inline distT="0" distB="0" distL="0" distR="0">
            <wp:extent cx="1313815" cy="1565910"/>
            <wp:effectExtent l="0" t="0" r="63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8"/>
                    <a:stretch>
                      <a:fillRect/>
                    </a:stretch>
                  </pic:blipFill>
                  <pic:spPr>
                    <a:xfrm>
                      <a:off x="0" y="0"/>
                      <a:ext cx="1314000" cy="1566000"/>
                    </a:xfrm>
                    <a:prstGeom prst="rect">
                      <a:avLst/>
                    </a:prstGeom>
                  </pic:spPr>
                </pic:pic>
              </a:graphicData>
            </a:graphic>
          </wp:inline>
        </w:drawing>
      </w:r>
      <w:r>
        <w:t xml:space="preserve">              </w:t>
      </w:r>
      <w:r>
        <w:drawing>
          <wp:inline distT="0" distB="0" distL="0" distR="0">
            <wp:extent cx="1393190" cy="15659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9"/>
                    <a:stretch>
                      <a:fillRect/>
                    </a:stretch>
                  </pic:blipFill>
                  <pic:spPr>
                    <a:xfrm>
                      <a:off x="0" y="0"/>
                      <a:ext cx="1393200" cy="1566000"/>
                    </a:xfrm>
                    <a:prstGeom prst="rect">
                      <a:avLst/>
                    </a:prstGeom>
                  </pic:spPr>
                </pic:pic>
              </a:graphicData>
            </a:graphic>
          </wp:inline>
        </w:drawing>
      </w:r>
    </w:p>
    <w:p>
      <w:pPr>
        <w:autoSpaceDE w:val="0"/>
        <w:autoSpaceDN w:val="0"/>
        <w:adjustRightInd/>
        <w:spacing w:line="240" w:lineRule="auto"/>
        <w:ind w:firstLine="450" w:firstLineChars="250"/>
        <w:rPr>
          <w:rFonts w:ascii="黑体" w:hAnsi="黑体" w:eastAsia="黑体"/>
          <w:kern w:val="0"/>
          <w:sz w:val="18"/>
          <w:szCs w:val="18"/>
        </w:rPr>
      </w:pPr>
      <w:r>
        <w:rPr>
          <w:rFonts w:ascii="黑体" w:hAnsi="黑体" w:eastAsia="黑体"/>
          <w:kern w:val="0"/>
          <w:sz w:val="18"/>
          <w:szCs w:val="18"/>
        </w:rPr>
        <w:t xml:space="preserve"> d</w:t>
      </w:r>
      <w:r>
        <w:rPr>
          <w:rFonts w:hint="eastAsia" w:ascii="黑体" w:hAnsi="黑体" w:eastAsia="黑体"/>
          <w:kern w:val="0"/>
          <w:sz w:val="18"/>
          <w:szCs w:val="18"/>
        </w:rPr>
        <w:t xml:space="preserve">） </w:t>
      </w:r>
      <w:r>
        <w:rPr>
          <w:rFonts w:ascii="黑体" w:hAnsi="黑体" w:eastAsia="黑体"/>
          <w:kern w:val="0"/>
          <w:sz w:val="18"/>
          <w:szCs w:val="18"/>
        </w:rPr>
        <w:t xml:space="preserve">管道连接件纵向 </w:t>
      </w:r>
      <w:r>
        <w:rPr>
          <w:rFonts w:ascii="黑体" w:hAnsi="黑体" w:eastAsia="黑体"/>
          <w:sz w:val="18"/>
          <w:szCs w:val="18"/>
        </w:rPr>
        <w:t xml:space="preserve">                </w:t>
      </w:r>
      <w:r>
        <w:rPr>
          <w:rFonts w:ascii="黑体" w:hAnsi="黑体" w:eastAsia="黑体"/>
          <w:kern w:val="0"/>
          <w:sz w:val="18"/>
          <w:szCs w:val="18"/>
        </w:rPr>
        <w:t xml:space="preserve">e)  钢结构固定件垂直于钢梁 </w:t>
      </w:r>
      <w:r>
        <w:rPr>
          <w:rFonts w:ascii="黑体" w:hAnsi="黑体" w:eastAsia="黑体"/>
          <w:sz w:val="18"/>
          <w:szCs w:val="18"/>
        </w:rPr>
        <w:t xml:space="preserve">        </w:t>
      </w:r>
      <w:r>
        <w:rPr>
          <w:rFonts w:ascii="黑体" w:hAnsi="黑体" w:eastAsia="黑体"/>
          <w:kern w:val="0"/>
          <w:sz w:val="18"/>
          <w:szCs w:val="18"/>
        </w:rPr>
        <w:t xml:space="preserve"> f)  钢结构固定件平行于钢梁</w:t>
      </w:r>
    </w:p>
    <w:p>
      <w:pPr>
        <w:rPr>
          <w:rFonts w:ascii="Times New Roman" w:hAnsi="Times New Roman"/>
          <w:vanish/>
          <w:kern w:val="0"/>
          <w:sz w:val="18"/>
          <w:szCs w:val="18"/>
        </w:rPr>
      </w:pPr>
    </w:p>
    <w:p>
      <w:pPr>
        <w:pStyle w:val="120"/>
        <w:numPr>
          <w:ilvl w:val="0"/>
          <w:numId w:val="0"/>
        </w:numPr>
        <w:spacing w:before="156" w:after="156"/>
        <w:rPr>
          <w:rFonts w:ascii="Times New Roman"/>
        </w:rPr>
      </w:pPr>
      <w:r>
        <w:rPr>
          <w:rFonts w:ascii="Times New Roman"/>
        </w:rPr>
        <w:t>图4    部件测试装置示意图</w:t>
      </w:r>
    </w:p>
    <w:p>
      <w:pPr>
        <w:pStyle w:val="100"/>
        <w:numPr>
          <w:ilvl w:val="0"/>
          <w:numId w:val="0"/>
        </w:numPr>
        <w:spacing w:before="156" w:after="156"/>
      </w:pPr>
      <w:r>
        <w:rPr>
          <w:rFonts w:hint="eastAsia"/>
        </w:rPr>
        <w:t>7</w:t>
      </w:r>
      <w:r>
        <w:t xml:space="preserve">.4.1.3  </w:t>
      </w:r>
      <w:r>
        <w:rPr>
          <w:rFonts w:hint="eastAsia"/>
        </w:rPr>
        <w:t>测试过程</w:t>
      </w:r>
    </w:p>
    <w:p>
      <w:pPr>
        <w:pStyle w:val="104"/>
        <w:numPr>
          <w:ilvl w:val="0"/>
          <w:numId w:val="0"/>
        </w:numPr>
        <w:spacing w:before="156" w:after="156"/>
      </w:pPr>
      <w:r>
        <w:rPr>
          <w:rFonts w:hint="eastAsia"/>
        </w:rPr>
        <w:t>7</w:t>
      </w:r>
      <w:r>
        <w:t xml:space="preserve">.4.1.3.1  </w:t>
      </w:r>
      <w:r>
        <w:rPr>
          <w:rFonts w:hint="eastAsia"/>
        </w:rPr>
        <w:t>单调加载试验</w:t>
      </w:r>
    </w:p>
    <w:p>
      <w:pPr>
        <w:pStyle w:val="170"/>
        <w:numPr>
          <w:ilvl w:val="0"/>
          <w:numId w:val="0"/>
        </w:numPr>
        <w:ind w:left="142" w:firstLine="420" w:firstLineChars="200"/>
        <w:rPr>
          <w:rFonts w:ascii="Times New Roman"/>
        </w:rPr>
      </w:pPr>
      <w:r>
        <w:rPr>
          <w:rFonts w:ascii="Times New Roman"/>
        </w:rPr>
        <w:t>除P型和Ω型管夹外，对每种类型支吊架部件进行水平单调抗压加载，获得抗压破坏荷载</w:t>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m:t>
            </m:r>
            <m:ctrlPr>
              <w:rPr>
                <w:rFonts w:ascii="Cambria Math" w:hAnsi="Cambria Math"/>
                <w:i/>
                <w:iCs/>
              </w:rPr>
            </m:ctrlPr>
          </m:sub>
        </m:sSub>
      </m:oMath>
      <w:r>
        <w:rPr>
          <w:rFonts w:ascii="Times New Roman"/>
        </w:rPr>
        <w:t>。</w:t>
      </w:r>
    </w:p>
    <w:p>
      <w:pPr>
        <w:pStyle w:val="104"/>
        <w:numPr>
          <w:ilvl w:val="0"/>
          <w:numId w:val="0"/>
        </w:numPr>
        <w:spacing w:before="156" w:after="156"/>
      </w:pPr>
      <w:r>
        <w:rPr>
          <w:rFonts w:hint="eastAsia"/>
        </w:rPr>
        <w:t>7</w:t>
      </w:r>
      <w:r>
        <w:t xml:space="preserve">.4.1.3.2  </w:t>
      </w:r>
      <w:r>
        <w:rPr>
          <w:rFonts w:hint="eastAsia"/>
        </w:rPr>
        <w:t>部件循环加载试验</w:t>
      </w:r>
    </w:p>
    <w:p>
      <w:pPr>
        <w:pStyle w:val="170"/>
        <w:numPr>
          <w:ilvl w:val="0"/>
          <w:numId w:val="0"/>
        </w:numPr>
        <w:rPr>
          <w:rFonts w:ascii="Times New Roman"/>
        </w:rPr>
      </w:pPr>
      <w:r>
        <w:rPr>
          <w:rFonts w:ascii="黑体" w:hAnsi="黑体" w:eastAsia="黑体"/>
        </w:rPr>
        <w:t>7.4.1.3.2.1</w:t>
      </w:r>
      <w:r>
        <w:rPr>
          <w:rFonts w:ascii="Times New Roman"/>
        </w:rPr>
        <w:t xml:space="preserve">    试验开始前应对测试部件进行预加载，并对仪表设备进行调零。</w:t>
      </w:r>
    </w:p>
    <w:p>
      <w:pPr>
        <w:pStyle w:val="170"/>
        <w:numPr>
          <w:ilvl w:val="0"/>
          <w:numId w:val="0"/>
        </w:numPr>
        <w:ind w:left="142"/>
        <w:rPr>
          <w:rFonts w:ascii="Times New Roman"/>
        </w:rPr>
        <w:sectPr>
          <w:footerReference r:id="rId26" w:type="default"/>
          <w:type w:val="continuous"/>
          <w:pgSz w:w="11906" w:h="16838"/>
          <w:pgMar w:top="2410" w:right="1134" w:bottom="1134" w:left="1134" w:header="1418" w:footer="1134" w:gutter="284"/>
          <w:pgNumType w:fmt="upperRoman"/>
          <w:cols w:space="425" w:num="1"/>
          <w:formProt w:val="0"/>
          <w:docGrid w:type="lines" w:linePitch="312" w:charSpace="0"/>
        </w:sectPr>
      </w:pPr>
    </w:p>
    <w:p>
      <w:pPr>
        <w:pStyle w:val="170"/>
        <w:numPr>
          <w:ilvl w:val="0"/>
          <w:numId w:val="0"/>
        </w:numPr>
        <w:rPr>
          <w:rFonts w:ascii="Times New Roman"/>
        </w:rPr>
      </w:pPr>
      <w:r>
        <w:rPr>
          <w:rFonts w:hint="eastAsia" w:ascii="黑体" w:hAnsi="黑体" w:eastAsia="黑体"/>
        </w:rPr>
        <w:t>7</w:t>
      </w:r>
      <w:r>
        <w:rPr>
          <w:rFonts w:ascii="黑体" w:hAnsi="黑体" w:eastAsia="黑体"/>
        </w:rPr>
        <w:t>.4.1.3.2.2</w:t>
      </w:r>
      <w:r>
        <w:rPr>
          <w:rFonts w:ascii="Times New Roman"/>
        </w:rPr>
        <w:t xml:space="preserve">    初始加载力值为1/4</w:t>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m:t>
            </m:r>
            <m:ctrlPr>
              <w:rPr>
                <w:rFonts w:ascii="Cambria Math" w:hAnsi="Cambria Math"/>
                <w:i/>
                <w:iCs/>
              </w:rPr>
            </m:ctrlPr>
          </m:sub>
        </m:sSub>
      </m:oMath>
      <w:r>
        <w:rPr>
          <w:rFonts w:ascii="Times New Roman"/>
        </w:rPr>
        <w:t>，循环加载次数为15次，15次后每次循环加载的力值幅值都是前次循环加载幅值的 (15/14)</w:t>
      </w:r>
      <w:r>
        <w:rPr>
          <w:rFonts w:ascii="Times New Roman"/>
          <w:vertAlign w:val="superscript"/>
        </w:rPr>
        <w:t>1/2</w:t>
      </w:r>
      <w:r>
        <w:rPr>
          <w:rFonts w:ascii="Times New Roman"/>
        </w:rPr>
        <w:t>倍。测量过程中的加载频率为0.1Hz，试验加载历程见图5。</w:t>
      </w:r>
    </w:p>
    <w:p>
      <w:pPr>
        <w:pStyle w:val="170"/>
        <w:numPr>
          <w:ilvl w:val="0"/>
          <w:numId w:val="0"/>
        </w:numPr>
        <w:ind w:left="142"/>
        <w:jc w:val="center"/>
      </w:pPr>
      <w:r>
        <w:drawing>
          <wp:inline distT="0" distB="0" distL="0" distR="0">
            <wp:extent cx="2976880" cy="2519680"/>
            <wp:effectExtent l="0" t="0" r="0" b="0"/>
            <wp:docPr id="249" name="图片 249" descr="C:\Users\186823~1\AppData\Local\Temp\WeChat Files\dc3f1c98a55d8d728fc110054ddd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C:\Users\186823~1\AppData\Local\Temp\WeChat Files\dc3f1c98a55d8d728fc110054ddd88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977200" cy="2520000"/>
                    </a:xfrm>
                    <a:prstGeom prst="rect">
                      <a:avLst/>
                    </a:prstGeom>
                    <a:noFill/>
                    <a:ln>
                      <a:noFill/>
                    </a:ln>
                  </pic:spPr>
                </pic:pic>
              </a:graphicData>
            </a:graphic>
          </wp:inline>
        </w:drawing>
      </w:r>
    </w:p>
    <w:p>
      <w:pPr>
        <w:pStyle w:val="120"/>
        <w:numPr>
          <w:ilvl w:val="0"/>
          <w:numId w:val="0"/>
        </w:numPr>
        <w:spacing w:before="156" w:after="156"/>
        <w:rPr>
          <w:rFonts w:hAnsi="黑体"/>
        </w:rPr>
      </w:pPr>
      <w:r>
        <w:rPr>
          <w:rFonts w:hAnsi="黑体"/>
        </w:rPr>
        <w:t xml:space="preserve">图5  </w:t>
      </w:r>
      <w:r>
        <w:rPr>
          <w:rFonts w:hint="eastAsia" w:hAnsi="黑体"/>
        </w:rPr>
        <w:t>时程曲线</w:t>
      </w:r>
    </w:p>
    <w:p>
      <w:pPr>
        <w:pStyle w:val="170"/>
        <w:numPr>
          <w:ilvl w:val="0"/>
          <w:numId w:val="0"/>
        </w:numPr>
        <w:rPr>
          <w:rFonts w:ascii="Times New Roman"/>
        </w:rPr>
      </w:pPr>
      <w:r>
        <w:rPr>
          <w:rFonts w:hint="eastAsia" w:ascii="黑体" w:hAnsi="黑体" w:eastAsia="黑体"/>
        </w:rPr>
        <w:t>7</w:t>
      </w:r>
      <w:r>
        <w:rPr>
          <w:rFonts w:ascii="黑体" w:hAnsi="黑体" w:eastAsia="黑体"/>
        </w:rPr>
        <w:t xml:space="preserve">.4.1.3.2.3  </w:t>
      </w:r>
      <w:r>
        <w:rPr>
          <w:rFonts w:ascii="Times New Roman"/>
        </w:rPr>
        <w:t>全程加载力按式（1）和式（2）计算</w:t>
      </w:r>
      <w:r>
        <w:rPr>
          <w:rFonts w:hint="eastAsia" w:ascii="Times New Roman"/>
        </w:rPr>
        <w:t>：</w:t>
      </w:r>
    </w:p>
    <w:p>
      <w:pPr>
        <w:pStyle w:val="170"/>
        <w:numPr>
          <w:ilvl w:val="0"/>
          <w:numId w:val="0"/>
        </w:numPr>
        <w:ind w:left="142"/>
        <w:jc w:val="right"/>
        <w:rPr>
          <w:rFonts w:ascii="Times New Roman"/>
        </w:rPr>
      </w:pPr>
      <w:r>
        <w:rPr>
          <w:rFonts w:ascii="Times New Roman"/>
        </w:rPr>
        <w:t>F=X</w:t>
      </w:r>
      <w:r>
        <w:rPr>
          <w:rFonts w:hint="eastAsia" w:ascii="Times New Roman"/>
        </w:rPr>
        <w:t>，</w:t>
      </w:r>
      <w:r>
        <w:rPr>
          <w:rFonts w:ascii="Times New Roman"/>
        </w:rPr>
        <w:t xml:space="preserve">(n≤15)                           </w:t>
      </w:r>
      <w:r>
        <w:rPr>
          <w:rFonts w:hint="eastAsia" w:ascii="Times New Roman"/>
        </w:rPr>
        <w:t>…………………………</w:t>
      </w:r>
      <w:r>
        <w:rPr>
          <w:rFonts w:ascii="Times New Roman"/>
        </w:rPr>
        <w:t>（1）</w:t>
      </w:r>
    </w:p>
    <w:p>
      <w:pPr>
        <w:pStyle w:val="170"/>
        <w:numPr>
          <w:ilvl w:val="0"/>
          <w:numId w:val="0"/>
        </w:numPr>
        <w:ind w:left="142"/>
        <w:jc w:val="right"/>
        <w:rPr>
          <w:rFonts w:ascii="Times New Roman"/>
        </w:rPr>
      </w:pPr>
      <w:r>
        <w:rPr>
          <w:rFonts w:ascii="Times New Roman"/>
        </w:rPr>
        <w:t>F=X</w:t>
      </w:r>
      <w:r>
        <w:rPr>
          <w:rFonts w:hint="eastAsia" w:hAnsi="宋体"/>
        </w:rPr>
        <w:t>×</w:t>
      </w:r>
      <w:r>
        <w:rPr>
          <w:rFonts w:ascii="Times New Roman"/>
        </w:rPr>
        <w:t>(15/14)</w:t>
      </w:r>
      <w:r>
        <w:rPr>
          <w:rFonts w:ascii="Times New Roman"/>
          <w:vertAlign w:val="superscript"/>
        </w:rPr>
        <w:t>(n-15)/2</w:t>
      </w:r>
      <w:r>
        <w:rPr>
          <w:rFonts w:hint="eastAsia" w:ascii="Times New Roman"/>
        </w:rPr>
        <w:t>，</w:t>
      </w:r>
      <w:r>
        <w:rPr>
          <w:rFonts w:ascii="Times New Roman"/>
        </w:rPr>
        <w:t>(15＜n）</w:t>
      </w:r>
      <w:r>
        <w:rPr>
          <w:rFonts w:hint="eastAsia" w:ascii="Times New Roman"/>
        </w:rPr>
        <w:t xml:space="preserve"> </w:t>
      </w:r>
      <w:r>
        <w:rPr>
          <w:rFonts w:ascii="Times New Roman"/>
        </w:rPr>
        <w:t xml:space="preserve">     </w:t>
      </w:r>
      <w:r>
        <w:rPr>
          <w:rFonts w:hint="eastAsia" w:ascii="Times New Roman"/>
        </w:rPr>
        <w:t>…………………………</w:t>
      </w:r>
      <w:r>
        <w:rPr>
          <w:rFonts w:ascii="Times New Roman"/>
        </w:rPr>
        <w:t>（2）</w:t>
      </w:r>
    </w:p>
    <w:p>
      <w:pPr>
        <w:pStyle w:val="241"/>
        <w:rPr>
          <w:rFonts w:ascii="Times New Roman"/>
        </w:rPr>
      </w:pPr>
      <w:r>
        <w:rPr>
          <w:rFonts w:ascii="Times New Roman"/>
        </w:rPr>
        <w:t>式中：</w:t>
      </w:r>
    </w:p>
    <w:p>
      <w:pPr>
        <w:pStyle w:val="241"/>
        <w:rPr>
          <w:rFonts w:ascii="Times New Roman"/>
        </w:rPr>
      </w:pPr>
      <w:r>
        <w:rPr>
          <w:rFonts w:ascii="Times New Roman"/>
        </w:rPr>
        <w:t>F——加载力，单位为千牛（</w:t>
      </w:r>
      <w:r>
        <w:rPr>
          <w:rFonts w:ascii="Times New Roman"/>
          <w:szCs w:val="21"/>
        </w:rPr>
        <w:t>kN</w:t>
      </w:r>
      <w:r>
        <w:rPr>
          <w:rFonts w:ascii="Times New Roman"/>
        </w:rPr>
        <w:t>）</w:t>
      </w:r>
      <w:r>
        <w:rPr>
          <w:rFonts w:ascii="Times New Roman"/>
          <w:szCs w:val="21"/>
        </w:rPr>
        <w:t>；</w:t>
      </w:r>
    </w:p>
    <w:p>
      <w:pPr>
        <w:pStyle w:val="241"/>
        <w:ind w:firstLineChars="0"/>
        <w:rPr>
          <w:rFonts w:ascii="Times New Roman"/>
          <w:szCs w:val="21"/>
        </w:rPr>
      </w:pPr>
      <w:r>
        <w:rPr>
          <w:rFonts w:ascii="Times New Roman"/>
        </w:rPr>
        <w:t>X——初始力，单位为千牛（</w:t>
      </w:r>
      <w:r>
        <w:rPr>
          <w:rFonts w:ascii="Times New Roman"/>
          <w:szCs w:val="21"/>
        </w:rPr>
        <w:t>kN</w:t>
      </w:r>
      <w:r>
        <w:rPr>
          <w:rFonts w:ascii="Times New Roman"/>
        </w:rPr>
        <w:t>）</w:t>
      </w:r>
      <w:r>
        <w:rPr>
          <w:rFonts w:ascii="Times New Roman"/>
          <w:szCs w:val="21"/>
        </w:rPr>
        <w:t>；</w:t>
      </w:r>
    </w:p>
    <w:p>
      <w:pPr>
        <w:pStyle w:val="241"/>
        <w:tabs>
          <w:tab w:val="left" w:pos="851"/>
        </w:tabs>
        <w:rPr>
          <w:rFonts w:ascii="Times New Roman"/>
        </w:rPr>
      </w:pPr>
      <w:r>
        <w:rPr>
          <w:rFonts w:ascii="Times New Roman"/>
        </w:rPr>
        <w:t>n——循环加载次数</w:t>
      </w:r>
      <w:r>
        <w:rPr>
          <w:rFonts w:hint="eastAsia" w:ascii="Times New Roman"/>
        </w:rPr>
        <w:t>。</w:t>
      </w:r>
    </w:p>
    <w:p>
      <w:pPr>
        <w:pStyle w:val="100"/>
        <w:numPr>
          <w:ilvl w:val="0"/>
          <w:numId w:val="0"/>
        </w:numPr>
        <w:spacing w:before="156" w:after="156"/>
        <w:rPr>
          <w:rFonts w:hAnsi="黑体"/>
        </w:rPr>
      </w:pPr>
      <w:r>
        <w:rPr>
          <w:rFonts w:hint="eastAsia" w:hAnsi="黑体"/>
        </w:rPr>
        <w:t>7</w:t>
      </w:r>
      <w:r>
        <w:rPr>
          <w:rFonts w:hAnsi="黑体"/>
        </w:rPr>
        <w:t>.4.1.4  试验</w:t>
      </w:r>
      <w:r>
        <w:rPr>
          <w:rFonts w:hint="eastAsia" w:hAnsi="黑体"/>
        </w:rPr>
        <w:t>取值</w:t>
      </w:r>
    </w:p>
    <w:p>
      <w:pPr>
        <w:pStyle w:val="100"/>
        <w:numPr>
          <w:ilvl w:val="0"/>
          <w:numId w:val="0"/>
        </w:numPr>
        <w:spacing w:before="156" w:after="156"/>
        <w:ind w:firstLine="420" w:firstLineChars="200"/>
        <w:rPr>
          <w:rFonts w:ascii="宋体" w:eastAsia="宋体"/>
        </w:rPr>
      </w:pPr>
      <w:r>
        <w:rPr>
          <w:rFonts w:ascii="Times New Roman" w:eastAsia="宋体"/>
        </w:rPr>
        <w:t>测试样品破坏或超过最大位移极限时结束试验。取样品破坏或超过最大位移极限时的前一次完整的循环的峰值为试验极限承载力值</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m:t>
            </m:r>
            <m:ctrlPr>
              <w:rPr>
                <w:rFonts w:ascii="Cambria Math" w:hAnsi="Cambria Math"/>
                <w:i/>
              </w:rPr>
            </m:ctrlPr>
          </m:sub>
        </m:sSub>
      </m:oMath>
      <w:r>
        <w:rPr>
          <w:rFonts w:ascii="Times New Roman" w:eastAsia="宋体"/>
        </w:rPr>
        <w:t>。</w:t>
      </w:r>
    </w:p>
    <w:p>
      <w:pPr>
        <w:pStyle w:val="100"/>
        <w:numPr>
          <w:ilvl w:val="0"/>
          <w:numId w:val="0"/>
        </w:numPr>
        <w:spacing w:before="156" w:after="156"/>
        <w:rPr>
          <w:rFonts w:hAnsi="黑体"/>
        </w:rPr>
      </w:pPr>
      <w:r>
        <w:rPr>
          <w:rFonts w:hint="eastAsia" w:hAnsi="黑体"/>
        </w:rPr>
        <w:t>7</w:t>
      </w:r>
      <w:r>
        <w:rPr>
          <w:rFonts w:hAnsi="黑体"/>
        </w:rPr>
        <w:t xml:space="preserve">.4.1.5  试验结果处理 </w:t>
      </w:r>
    </w:p>
    <w:p>
      <w:pPr>
        <w:pStyle w:val="100"/>
        <w:numPr>
          <w:ilvl w:val="0"/>
          <w:numId w:val="0"/>
        </w:numPr>
        <w:spacing w:before="156" w:after="156"/>
        <w:ind w:firstLine="420" w:firstLineChars="200"/>
        <w:rPr>
          <w:rFonts w:ascii="宋体" w:hAnsi="宋体" w:eastAsia="宋体"/>
        </w:rPr>
      </w:pPr>
      <w:r>
        <w:rPr>
          <w:rFonts w:ascii="Times New Roman" w:eastAsia="宋体"/>
        </w:rPr>
        <w:t>每种类型的支吊架部件循环加载试验测试数量不应少于3件，数据处理</w:t>
      </w:r>
      <w:r>
        <w:rPr>
          <w:rFonts w:hint="eastAsia" w:ascii="Times New Roman" w:eastAsia="宋体"/>
        </w:rPr>
        <w:t>按</w:t>
      </w:r>
      <w:r>
        <w:rPr>
          <w:rFonts w:ascii="Times New Roman" w:eastAsia="宋体"/>
        </w:rPr>
        <w:t>附录F进行。</w:t>
      </w:r>
    </w:p>
    <w:p>
      <w:pPr>
        <w:pStyle w:val="100"/>
        <w:numPr>
          <w:ilvl w:val="0"/>
          <w:numId w:val="0"/>
        </w:numPr>
        <w:spacing w:before="156" w:after="156"/>
        <w:rPr>
          <w:rFonts w:hAnsi="黑体"/>
        </w:rPr>
      </w:pPr>
      <w:r>
        <w:rPr>
          <w:rFonts w:hint="eastAsia" w:hAnsi="黑体"/>
        </w:rPr>
        <w:t>7</w:t>
      </w:r>
      <w:r>
        <w:rPr>
          <w:rFonts w:hAnsi="黑体"/>
        </w:rPr>
        <w:t xml:space="preserve">.4.1.6  </w:t>
      </w:r>
      <w:r>
        <w:rPr>
          <w:rFonts w:hint="eastAsia" w:hAnsi="黑体"/>
        </w:rPr>
        <w:t>数据</w:t>
      </w:r>
      <w:r>
        <w:rPr>
          <w:rFonts w:hAnsi="黑体"/>
        </w:rPr>
        <w:t>使用</w:t>
      </w:r>
    </w:p>
    <w:p>
      <w:pPr>
        <w:pStyle w:val="100"/>
        <w:numPr>
          <w:ilvl w:val="0"/>
          <w:numId w:val="0"/>
        </w:numPr>
        <w:spacing w:before="156" w:after="156"/>
        <w:ind w:firstLine="420" w:firstLineChars="200"/>
        <w:rPr>
          <w:rFonts w:ascii="宋体" w:eastAsia="宋体"/>
          <w:color w:val="000000"/>
        </w:rPr>
      </w:pPr>
      <w:r>
        <w:rPr>
          <w:rFonts w:ascii="Times New Roman" w:eastAsia="宋体"/>
        </w:rPr>
        <w:t>斜撑杆件宜采用型号为41</w:t>
      </w:r>
      <w:r>
        <w:rPr>
          <w:rFonts w:hint="eastAsia" w:ascii="宋体" w:hAnsi="宋体" w:eastAsia="宋体"/>
        </w:rPr>
        <w:t>×</w:t>
      </w:r>
      <w:r>
        <w:rPr>
          <w:rFonts w:ascii="Times New Roman" w:eastAsia="宋体"/>
        </w:rPr>
        <w:t>41壁厚为2.0mm的带齿C型槽钢，承载力设计值可以用于大于此型号且壁厚大于等于2.0mm的斜撑杆</w:t>
      </w:r>
      <w:r>
        <w:rPr>
          <w:rFonts w:ascii="Times New Roman" w:eastAsia="宋体"/>
          <w:color w:val="000000"/>
        </w:rPr>
        <w:t>件。大壁厚的斜撑杆的测试数据和承载力设计值不应匹配小壁厚的斜撑杆件使用。</w:t>
      </w:r>
    </w:p>
    <w:p>
      <w:pPr>
        <w:pStyle w:val="71"/>
        <w:numPr>
          <w:ilvl w:val="0"/>
          <w:numId w:val="0"/>
        </w:numPr>
        <w:spacing w:before="156" w:after="156"/>
      </w:pPr>
      <w:r>
        <w:rPr>
          <w:rFonts w:hint="eastAsia"/>
        </w:rPr>
        <w:t>7</w:t>
      </w:r>
      <w:r>
        <w:t>.4.2</w:t>
      </w:r>
      <w:r>
        <w:rPr>
          <w:rFonts w:ascii="Times New Roman"/>
        </w:rPr>
        <w:t xml:space="preserve">    P型和Ω型管夹荷载性能</w:t>
      </w:r>
    </w:p>
    <w:p>
      <w:pPr>
        <w:pStyle w:val="62"/>
        <w:ind w:firstLine="0" w:firstLineChars="0"/>
        <w:rPr>
          <w:rFonts w:ascii="Times New Roman"/>
        </w:rPr>
      </w:pPr>
      <w:r>
        <w:rPr>
          <w:rFonts w:ascii="黑体" w:hAnsi="黑体" w:eastAsia="黑体"/>
        </w:rPr>
        <w:t xml:space="preserve">7.4.2.1  </w:t>
      </w:r>
      <w:r>
        <w:rPr>
          <w:rFonts w:ascii="Times New Roman"/>
        </w:rPr>
        <w:t>P型和Ω型管夹及对应规格的管道安装于带齿C型槽钢开口处，管道长度不应</w:t>
      </w:r>
      <w:r>
        <w:rPr>
          <w:rFonts w:hint="eastAsia" w:ascii="Times New Roman"/>
        </w:rPr>
        <w:t>小</w:t>
      </w:r>
      <w:r>
        <w:rPr>
          <w:rFonts w:ascii="Times New Roman"/>
        </w:rPr>
        <w:t>于2倍槽钢宽度，螺纹紧固件插入槽钢开口处并紧固，见图6。</w:t>
      </w:r>
    </w:p>
    <w:p>
      <w:pPr>
        <w:pStyle w:val="62"/>
        <w:ind w:firstLine="0" w:firstLineChars="0"/>
        <w:rPr>
          <w:rFonts w:ascii="Times New Roman"/>
        </w:rPr>
      </w:pPr>
      <w:r>
        <w:rPr>
          <w:rFonts w:hint="eastAsia" w:ascii="黑体" w:hAnsi="黑体" w:eastAsia="黑体"/>
        </w:rPr>
        <w:t>7</w:t>
      </w:r>
      <w:r>
        <w:rPr>
          <w:rFonts w:ascii="黑体" w:hAnsi="黑体" w:eastAsia="黑体"/>
        </w:rPr>
        <w:t xml:space="preserve">.4.2.2  </w:t>
      </w:r>
      <w:r>
        <w:rPr>
          <w:rFonts w:ascii="Times New Roman"/>
        </w:rPr>
        <w:t>试验治具或试验平台应锚固于槽钢构件背部，荷载施加于管道中心，加载速率不应超过3mm/min。检查试验用管道连接件及槽钢的破坏失效和变形情况。水平方向</w:t>
      </w:r>
      <w:r>
        <w:rPr>
          <w:rFonts w:hint="eastAsia" w:ascii="Times New Roman"/>
        </w:rPr>
        <w:t>极限</w:t>
      </w:r>
      <w:r>
        <w:rPr>
          <w:rFonts w:ascii="Times New Roman"/>
        </w:rPr>
        <w:t>变形量见表5，按测试角度90°允许最大变形量控制。取失效时的破坏值或最大变形量对应的力值，作为极限承载力值</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m:t>
            </m:r>
            <m:ctrlPr>
              <w:rPr>
                <w:rFonts w:ascii="Cambria Math" w:hAnsi="Cambria Math"/>
                <w:i/>
              </w:rPr>
            </m:ctrlPr>
          </m:sub>
        </m:sSub>
      </m:oMath>
      <w:r>
        <w:rPr>
          <w:rFonts w:ascii="Times New Roman"/>
        </w:rPr>
        <w:t>。</w:t>
      </w:r>
    </w:p>
    <w:p>
      <w:pPr>
        <w:pStyle w:val="62"/>
        <w:ind w:firstLine="0" w:firstLineChars="0"/>
        <w:rPr>
          <w:rFonts w:ascii="Times New Roman"/>
        </w:rPr>
      </w:pPr>
    </w:p>
    <w:p>
      <w:pPr>
        <w:pStyle w:val="62"/>
        <w:ind w:firstLine="0" w:firstLineChars="0"/>
        <w:jc w:val="center"/>
        <w:rPr>
          <w:rFonts w:ascii="Times New Roman"/>
        </w:rPr>
      </w:pPr>
      <w:r>
        <w:rPr>
          <w:strike/>
        </w:rPr>
        <w:drawing>
          <wp:inline distT="0" distB="0" distL="0" distR="0">
            <wp:extent cx="3319145" cy="2159635"/>
            <wp:effectExtent l="0" t="0" r="0" b="0"/>
            <wp:docPr id="246" name="图片 2" descr="43706567049570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 descr="437065670495705268"/>
                    <pic:cNvPicPr>
                      <a:picLocks noChangeAspect="1" noChangeArrowheads="1"/>
                    </pic:cNvPicPr>
                  </pic:nvPicPr>
                  <pic:blipFill>
                    <a:blip r:embed="rId71" cstate="print">
                      <a:extLst>
                        <a:ext uri="{28A0092B-C50C-407E-A947-70E740481C1C}">
                          <a14:useLocalDpi xmlns:a14="http://schemas.microsoft.com/office/drawing/2010/main" val="0"/>
                        </a:ext>
                      </a:extLst>
                    </a:blip>
                    <a:srcRect b="4383"/>
                    <a:stretch>
                      <a:fillRect/>
                    </a:stretch>
                  </pic:blipFill>
                  <pic:spPr>
                    <a:xfrm>
                      <a:off x="0" y="0"/>
                      <a:ext cx="3319200" cy="2160000"/>
                    </a:xfrm>
                    <a:prstGeom prst="rect">
                      <a:avLst/>
                    </a:prstGeom>
                    <a:noFill/>
                    <a:ln>
                      <a:noFill/>
                    </a:ln>
                  </pic:spPr>
                </pic:pic>
              </a:graphicData>
            </a:graphic>
          </wp:inline>
        </w:drawing>
      </w:r>
    </w:p>
    <w:p>
      <w:pPr>
        <w:pStyle w:val="62"/>
        <w:ind w:firstLine="0" w:firstLineChars="0"/>
        <w:rPr>
          <w:rFonts w:ascii="Times New Roman"/>
        </w:rPr>
        <w:sectPr>
          <w:footerReference r:id="rId27" w:type="default"/>
          <w:type w:val="continuous"/>
          <w:pgSz w:w="11906" w:h="16838"/>
          <w:pgMar w:top="2410" w:right="1134" w:bottom="1134" w:left="1134" w:header="1418" w:footer="1134" w:gutter="284"/>
          <w:pgNumType w:fmt="upperRoman"/>
          <w:cols w:space="425" w:num="1"/>
          <w:formProt w:val="0"/>
          <w:docGrid w:type="lines" w:linePitch="312" w:charSpace="0"/>
        </w:sectPr>
      </w:pPr>
    </w:p>
    <w:p>
      <w:pPr>
        <w:pStyle w:val="241"/>
        <w:ind w:firstLine="0" w:firstLineChars="0"/>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试验治具或试验平台；</w:t>
      </w:r>
      <w:r>
        <w:rPr>
          <w:rFonts w:hAnsi="宋体"/>
          <w:sz w:val="18"/>
          <w:szCs w:val="18"/>
        </w:rPr>
        <w:t xml:space="preserve">   </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管道；</w:t>
      </w:r>
      <w:r>
        <w:rPr>
          <w:rFonts w:hAnsi="宋体"/>
          <w:sz w:val="18"/>
          <w:szCs w:val="18"/>
        </w:rPr>
        <w:t xml:space="preserve"> </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槽钢构件；</w:t>
      </w:r>
      <w:r>
        <w:rPr>
          <w:rFonts w:hAnsi="宋体"/>
          <w:sz w:val="18"/>
          <w:szCs w:val="18"/>
        </w:rPr>
        <w:t xml:space="preserve">  </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Ansi="宋体"/>
          <w:sz w:val="18"/>
          <w:szCs w:val="18"/>
        </w:rPr>
        <w:t>P</w:t>
      </w:r>
      <w:r>
        <w:rPr>
          <w:rFonts w:hint="eastAsia" w:hAnsi="宋体"/>
          <w:sz w:val="18"/>
          <w:szCs w:val="18"/>
        </w:rPr>
        <w:t>型或</w:t>
      </w:r>
      <w:r>
        <w:rPr>
          <w:rFonts w:hAnsi="宋体"/>
          <w:sz w:val="18"/>
          <w:szCs w:val="18"/>
        </w:rPr>
        <w:t>Ω</w:t>
      </w:r>
      <w:r>
        <w:rPr>
          <w:rFonts w:hint="eastAsia" w:hAnsi="宋体"/>
          <w:sz w:val="18"/>
          <w:szCs w:val="18"/>
        </w:rPr>
        <w:t>型管夹；</w:t>
      </w:r>
    </w:p>
    <w:p>
      <w:pPr>
        <w:pStyle w:val="241"/>
        <w:ind w:firstLine="0" w:firstLineChars="0"/>
        <w:rPr>
          <w:rFonts w:hAnsi="宋体"/>
          <w:sz w:val="18"/>
          <w:szCs w:val="18"/>
        </w:rPr>
      </w:pPr>
      <w:r>
        <w:rPr>
          <w:rFonts w:hAnsi="宋体"/>
          <w:sz w:val="18"/>
          <w:szCs w:val="18"/>
        </w:rPr>
        <w:t>F</w:t>
      </w:r>
      <w:r>
        <w:rPr>
          <w:rFonts w:hAnsi="宋体"/>
          <w:sz w:val="18"/>
          <w:szCs w:val="18"/>
          <w:vertAlign w:val="subscript"/>
        </w:rPr>
        <w:t>X</w:t>
      </w:r>
      <w:r>
        <w:rPr>
          <w:rFonts w:hAnsi="宋体"/>
          <w:sz w:val="18"/>
          <w:szCs w:val="18"/>
          <w:u w:val="single"/>
          <w:vertAlign w:val="superscript"/>
        </w:rPr>
        <w:t xml:space="preserve">       </w:t>
      </w:r>
      <w:r>
        <w:rPr>
          <w:rFonts w:hint="eastAsia" w:hAnsi="宋体"/>
          <w:sz w:val="18"/>
          <w:szCs w:val="18"/>
        </w:rPr>
        <w:t>水平侧向受力方向；</w:t>
      </w:r>
    </w:p>
    <w:p>
      <w:pPr>
        <w:pStyle w:val="241"/>
        <w:ind w:firstLine="0" w:firstLineChars="0"/>
        <w:rPr>
          <w:rFonts w:hAnsi="宋体"/>
          <w:sz w:val="18"/>
          <w:szCs w:val="18"/>
        </w:rPr>
      </w:pPr>
      <w:r>
        <w:rPr>
          <w:rFonts w:hAnsi="宋体"/>
          <w:sz w:val="18"/>
          <w:szCs w:val="18"/>
        </w:rPr>
        <w:t>F</w:t>
      </w:r>
      <w:r>
        <w:rPr>
          <w:rFonts w:hAnsi="宋体"/>
          <w:sz w:val="18"/>
          <w:szCs w:val="18"/>
          <w:vertAlign w:val="subscript"/>
        </w:rPr>
        <w:t xml:space="preserve"> Y</w:t>
      </w:r>
      <w:r>
        <w:rPr>
          <w:rFonts w:hAnsi="宋体"/>
          <w:sz w:val="18"/>
          <w:szCs w:val="18"/>
          <w:u w:val="single"/>
          <w:vertAlign w:val="superscript"/>
        </w:rPr>
        <w:t xml:space="preserve">      </w:t>
      </w:r>
      <w:r>
        <w:rPr>
          <w:rFonts w:hint="eastAsia" w:hAnsi="宋体"/>
          <w:sz w:val="18"/>
          <w:szCs w:val="18"/>
        </w:rPr>
        <w:t>水平纵向受力方向；</w:t>
      </w:r>
    </w:p>
    <w:p>
      <w:pPr>
        <w:pStyle w:val="241"/>
        <w:ind w:firstLine="0" w:firstLineChars="0"/>
        <w:rPr>
          <w:rFonts w:hAnsi="宋体"/>
          <w:sz w:val="18"/>
          <w:szCs w:val="18"/>
        </w:rPr>
      </w:pPr>
      <w:r>
        <w:rPr>
          <w:rFonts w:hAnsi="宋体"/>
          <w:sz w:val="18"/>
          <w:szCs w:val="18"/>
        </w:rPr>
        <w:t>F</w:t>
      </w:r>
      <w:r>
        <w:rPr>
          <w:rFonts w:hAnsi="宋体"/>
          <w:sz w:val="18"/>
          <w:szCs w:val="18"/>
          <w:vertAlign w:val="subscript"/>
        </w:rPr>
        <w:t>Z</w:t>
      </w:r>
      <w:r>
        <w:rPr>
          <w:rFonts w:hAnsi="宋体"/>
          <w:sz w:val="18"/>
          <w:szCs w:val="18"/>
          <w:u w:val="single"/>
          <w:vertAlign w:val="superscript"/>
        </w:rPr>
        <w:t xml:space="preserve">       </w:t>
      </w:r>
      <w:r>
        <w:rPr>
          <w:rFonts w:hint="eastAsia" w:hAnsi="宋体"/>
          <w:sz w:val="18"/>
          <w:szCs w:val="18"/>
        </w:rPr>
        <w:t>垂直于地面方向受力方向。</w:t>
      </w:r>
    </w:p>
    <w:p>
      <w:pPr>
        <w:pStyle w:val="171"/>
        <w:numPr>
          <w:ilvl w:val="0"/>
          <w:numId w:val="0"/>
        </w:numPr>
        <w:spacing w:before="156" w:beforeLines="50" w:after="156" w:afterLines="50"/>
        <w:ind w:left="567"/>
        <w:jc w:val="center"/>
        <w:rPr>
          <w:rFonts w:ascii="黑体" w:hAnsi="黑体" w:eastAsia="黑体"/>
        </w:rPr>
      </w:pPr>
      <w:r>
        <w:rPr>
          <w:rFonts w:ascii="黑体" w:hAnsi="黑体" w:eastAsia="黑体"/>
        </w:rPr>
        <w:t>图6  P型或Ω型管夹荷载性能试验示意图</w:t>
      </w:r>
    </w:p>
    <w:p>
      <w:pPr>
        <w:pStyle w:val="111"/>
        <w:numPr>
          <w:ilvl w:val="0"/>
          <w:numId w:val="0"/>
        </w:numPr>
        <w:spacing w:before="156" w:after="156"/>
      </w:pPr>
      <w:bookmarkStart w:id="92" w:name="_Toc81322374"/>
      <w:r>
        <w:rPr>
          <w:rFonts w:hint="eastAsia"/>
        </w:rPr>
        <w:t>7</w:t>
      </w:r>
      <w:r>
        <w:t xml:space="preserve">.5  </w:t>
      </w:r>
      <w:r>
        <w:rPr>
          <w:rFonts w:hint="eastAsia"/>
        </w:rPr>
        <w:t>组件循环加载性能</w:t>
      </w:r>
      <w:bookmarkEnd w:id="92"/>
    </w:p>
    <w:p>
      <w:pPr>
        <w:pStyle w:val="71"/>
        <w:numPr>
          <w:ilvl w:val="0"/>
          <w:numId w:val="0"/>
        </w:numPr>
        <w:spacing w:before="156" w:after="156"/>
      </w:pPr>
      <w:r>
        <w:rPr>
          <w:rFonts w:hint="eastAsia"/>
        </w:rPr>
        <w:t>7</w:t>
      </w:r>
      <w:r>
        <w:t xml:space="preserve">.5.1  </w:t>
      </w:r>
      <w:r>
        <w:rPr>
          <w:rFonts w:hint="eastAsia"/>
        </w:rPr>
        <w:t>试样数量</w:t>
      </w:r>
    </w:p>
    <w:p>
      <w:pPr>
        <w:pStyle w:val="62"/>
        <w:ind w:firstLine="420"/>
        <w:rPr>
          <w:rFonts w:ascii="Times New Roman"/>
          <w:color w:val="000000"/>
        </w:rPr>
      </w:pPr>
      <w:r>
        <w:rPr>
          <w:rFonts w:ascii="Times New Roman"/>
          <w:color w:val="000000"/>
        </w:rPr>
        <w:t>2套抗震支吊架组件，每套组件只包含1个管夹和1套斜撑</w:t>
      </w:r>
      <w:r>
        <w:rPr>
          <w:rFonts w:ascii="Times New Roman"/>
        </w:rPr>
        <w:t>。</w:t>
      </w:r>
    </w:p>
    <w:p>
      <w:pPr>
        <w:pStyle w:val="71"/>
        <w:numPr>
          <w:ilvl w:val="0"/>
          <w:numId w:val="0"/>
        </w:numPr>
        <w:spacing w:before="156" w:after="156"/>
      </w:pPr>
      <w:r>
        <w:rPr>
          <w:rFonts w:hint="eastAsia"/>
        </w:rPr>
        <w:t>7</w:t>
      </w:r>
      <w:r>
        <w:t xml:space="preserve">.5.2  </w:t>
      </w:r>
      <w:r>
        <w:rPr>
          <w:rFonts w:hint="eastAsia"/>
        </w:rPr>
        <w:t>试样安装</w:t>
      </w:r>
    </w:p>
    <w:p>
      <w:pPr>
        <w:pStyle w:val="100"/>
        <w:numPr>
          <w:ilvl w:val="0"/>
          <w:numId w:val="0"/>
        </w:numPr>
        <w:spacing w:before="156" w:after="156"/>
        <w:ind w:firstLine="424" w:firstLineChars="202"/>
        <w:rPr>
          <w:rFonts w:ascii="Times New Roman" w:eastAsia="宋体"/>
        </w:rPr>
      </w:pPr>
      <w:bookmarkStart w:id="93" w:name="_Hlk87546046"/>
      <w:r>
        <w:rPr>
          <w:rFonts w:ascii="Times New Roman" w:eastAsia="宋体"/>
        </w:rPr>
        <w:t>将支吊架组件安装在测试装置内，斜撑与竖杆宜成45°夹角，竖杆长度不小于450mm，测试安装时L</w:t>
      </w:r>
      <w:r>
        <w:rPr>
          <w:rFonts w:ascii="Times New Roman" w:eastAsia="宋体"/>
          <w:vertAlign w:val="subscript"/>
        </w:rPr>
        <w:t>1</w:t>
      </w:r>
      <w:r>
        <w:rPr>
          <w:rFonts w:ascii="Times New Roman" w:eastAsia="宋体"/>
        </w:rPr>
        <w:t>=L</w:t>
      </w:r>
      <w:r>
        <w:rPr>
          <w:rFonts w:ascii="Times New Roman" w:eastAsia="宋体"/>
          <w:vertAlign w:val="subscript"/>
        </w:rPr>
        <w:t>2</w:t>
      </w:r>
      <w:r>
        <w:rPr>
          <w:rFonts w:ascii="Times New Roman" w:eastAsia="宋体"/>
        </w:rPr>
        <w:t>，且L</w:t>
      </w:r>
      <w:r>
        <w:rPr>
          <w:rFonts w:ascii="Times New Roman" w:eastAsia="宋体"/>
          <w:vertAlign w:val="subscript"/>
        </w:rPr>
        <w:t>1</w:t>
      </w:r>
      <w:r>
        <w:rPr>
          <w:rFonts w:ascii="Times New Roman" w:eastAsia="宋体"/>
        </w:rPr>
        <w:t>、L</w:t>
      </w:r>
      <w:r>
        <w:rPr>
          <w:rFonts w:ascii="Times New Roman" w:eastAsia="宋体"/>
          <w:vertAlign w:val="subscript"/>
        </w:rPr>
        <w:t>2</w:t>
      </w:r>
      <w:r>
        <w:rPr>
          <w:rFonts w:ascii="Times New Roman" w:eastAsia="宋体"/>
        </w:rPr>
        <w:t>均不大于1米</w:t>
      </w:r>
      <w:r>
        <w:rPr>
          <w:rFonts w:hint="eastAsia" w:ascii="Times New Roman" w:eastAsia="宋体"/>
        </w:rPr>
        <w:t>，</w:t>
      </w:r>
      <w:r>
        <w:rPr>
          <w:rFonts w:ascii="Times New Roman" w:eastAsia="宋体"/>
        </w:rPr>
        <w:t>见图7</w:t>
      </w:r>
      <w:r>
        <w:rPr>
          <w:rFonts w:hint="eastAsia" w:ascii="Times New Roman" w:eastAsia="宋体"/>
        </w:rPr>
        <w:t>、</w:t>
      </w:r>
      <w:r>
        <w:rPr>
          <w:rFonts w:ascii="Times New Roman" w:eastAsia="宋体"/>
        </w:rPr>
        <w:t>图8。</w:t>
      </w:r>
    </w:p>
    <w:p>
      <w:pPr>
        <w:pStyle w:val="62"/>
        <w:ind w:firstLine="420"/>
      </w:pPr>
    </w:p>
    <w:p>
      <w:pPr>
        <w:pStyle w:val="62"/>
        <w:ind w:firstLine="420"/>
        <w:rPr>
          <w:rFonts w:ascii="Times New Roman"/>
        </w:rPr>
        <w:sectPr>
          <w:footerReference r:id="rId28" w:type="default"/>
          <w:type w:val="continuous"/>
          <w:pgSz w:w="11906" w:h="16838"/>
          <w:pgMar w:top="2410" w:right="1134" w:bottom="1134" w:left="1134" w:header="1418" w:footer="1134" w:gutter="284"/>
          <w:pgNumType w:fmt="upperRoman"/>
          <w:cols w:space="425" w:num="1"/>
          <w:formProt w:val="0"/>
          <w:docGrid w:type="lines" w:linePitch="312" w:charSpace="0"/>
        </w:sectPr>
      </w:pPr>
    </w:p>
    <w:bookmarkEnd w:id="93"/>
    <w:p>
      <w:pPr>
        <w:pStyle w:val="241"/>
        <w:ind w:firstLine="0" w:firstLineChars="0"/>
        <w:jc w:val="center"/>
      </w:pPr>
      <w:r>
        <w:rPr>
          <w:rFonts w:ascii="Times New Roman" w:eastAsia="Times New Roman"/>
          <w:snapToGrid w:val="0"/>
          <w:color w:val="000000"/>
          <w:w w:val="0"/>
          <w:sz w:val="0"/>
          <w:szCs w:val="0"/>
          <w:u w:color="000000"/>
          <w:shd w:val="clear" w:color="000000" w:fill="000000"/>
        </w:rPr>
        <w:drawing>
          <wp:inline distT="0" distB="0" distL="0" distR="0">
            <wp:extent cx="3495675" cy="2171700"/>
            <wp:effectExtent l="0" t="0" r="0" b="0"/>
            <wp:docPr id="10" name="图片 10" descr="C:\Users\186823~1\AppData\Local\Temp\WeChat Files\df2aa9ac2d6f7a1f192f1be2d58eb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86823~1\AppData\Local\Temp\WeChat Files\df2aa9ac2d6f7a1f192f1be2d58eb35.png"/>
                    <pic:cNvPicPr>
                      <a:picLocks noChangeAspect="1" noChangeArrowheads="1"/>
                    </pic:cNvPicPr>
                  </pic:nvPicPr>
                  <pic:blipFill>
                    <a:blip r:embed="rId72" cstate="print">
                      <a:extLst>
                        <a:ext uri="{28A0092B-C50C-407E-A947-70E740481C1C}">
                          <a14:useLocalDpi xmlns:a14="http://schemas.microsoft.com/office/drawing/2010/main" val="0"/>
                        </a:ext>
                      </a:extLst>
                    </a:blip>
                    <a:srcRect l="390"/>
                    <a:stretch>
                      <a:fillRect/>
                    </a:stretch>
                  </pic:blipFill>
                  <pic:spPr>
                    <a:xfrm>
                      <a:off x="0" y="0"/>
                      <a:ext cx="3505631" cy="2178220"/>
                    </a:xfrm>
                    <a:prstGeom prst="rect">
                      <a:avLst/>
                    </a:prstGeom>
                    <a:noFill/>
                    <a:ln>
                      <a:noFill/>
                    </a:ln>
                  </pic:spPr>
                </pic:pic>
              </a:graphicData>
            </a:graphic>
          </wp:inline>
        </w:drawing>
      </w:r>
    </w:p>
    <w:p>
      <w:pPr>
        <w:pStyle w:val="179"/>
        <w:numPr>
          <w:ilvl w:val="0"/>
          <w:numId w:val="0"/>
        </w:numPr>
        <w:ind w:left="-2" w:leftChars="-1"/>
        <w:rPr>
          <w:rFonts w:hAnsi="宋体"/>
          <w:color w:val="000000"/>
        </w:rPr>
      </w:pPr>
      <w:r>
        <w:rPr>
          <w:rFonts w:hint="eastAsia" w:hAnsi="宋体"/>
          <w:color w:val="000000"/>
        </w:rPr>
        <w:t>标引序号说明：</w:t>
      </w:r>
    </w:p>
    <w:p>
      <w:pPr>
        <w:pStyle w:val="179"/>
        <w:numPr>
          <w:ilvl w:val="0"/>
          <w:numId w:val="0"/>
        </w:numPr>
        <w:ind w:left="-2" w:leftChars="-1"/>
        <w:rPr>
          <w:rFonts w:hAnsi="宋体"/>
          <w:color w:val="000000"/>
        </w:rPr>
      </w:pPr>
      <w:r>
        <w:rPr>
          <w:rFonts w:hAnsi="宋体"/>
          <w:color w:val="000000"/>
        </w:rPr>
        <w:t>1</w:t>
      </w:r>
      <w:r>
        <w:rPr>
          <w:rFonts w:hAnsi="宋体"/>
          <w:u w:val="single"/>
          <w:vertAlign w:val="superscript"/>
        </w:rPr>
        <w:t xml:space="preserve">       </w:t>
      </w:r>
      <w:r>
        <w:rPr>
          <w:rFonts w:hint="eastAsia" w:hAnsi="宋体"/>
          <w:color w:val="000000"/>
        </w:rPr>
        <w:t>刚性框架；</w:t>
      </w:r>
      <w:r>
        <w:rPr>
          <w:rFonts w:hAnsi="宋体"/>
          <w:color w:val="000000"/>
        </w:rPr>
        <w:t xml:space="preserve"> </w:t>
      </w:r>
    </w:p>
    <w:p>
      <w:pPr>
        <w:pStyle w:val="179"/>
        <w:numPr>
          <w:ilvl w:val="0"/>
          <w:numId w:val="0"/>
        </w:numPr>
        <w:ind w:left="-2" w:leftChars="-1"/>
        <w:rPr>
          <w:rFonts w:hAnsi="宋体"/>
        </w:rPr>
      </w:pPr>
      <w:r>
        <w:rPr>
          <w:rFonts w:hAnsi="宋体"/>
          <w:color w:val="000000"/>
        </w:rPr>
        <w:t>2</w:t>
      </w:r>
      <w:r>
        <w:rPr>
          <w:rFonts w:hAnsi="宋体"/>
          <w:u w:val="single"/>
          <w:vertAlign w:val="superscript"/>
        </w:rPr>
        <w:t xml:space="preserve">       </w:t>
      </w:r>
      <w:r>
        <w:rPr>
          <w:rFonts w:hint="eastAsia" w:hAnsi="宋体"/>
        </w:rPr>
        <w:t>主吊螺杆；</w:t>
      </w:r>
      <w:r>
        <w:rPr>
          <w:rFonts w:hAnsi="宋体"/>
        </w:rPr>
        <w:t xml:space="preserve"> </w:t>
      </w:r>
    </w:p>
    <w:p>
      <w:pPr>
        <w:pStyle w:val="179"/>
        <w:numPr>
          <w:ilvl w:val="0"/>
          <w:numId w:val="0"/>
        </w:numPr>
        <w:ind w:left="-2" w:leftChars="-1"/>
        <w:rPr>
          <w:rFonts w:hAnsi="宋体"/>
          <w:color w:val="000000"/>
        </w:rPr>
      </w:pPr>
      <w:r>
        <w:rPr>
          <w:rFonts w:hAnsi="宋体"/>
          <w:color w:val="000000"/>
        </w:rPr>
        <w:t>3</w:t>
      </w:r>
      <w:r>
        <w:rPr>
          <w:rFonts w:hAnsi="宋体"/>
          <w:u w:val="single"/>
          <w:vertAlign w:val="superscript"/>
        </w:rPr>
        <w:t xml:space="preserve">       </w:t>
      </w:r>
      <w:r>
        <w:rPr>
          <w:rFonts w:hint="eastAsia" w:hAnsi="宋体"/>
          <w:color w:val="000000"/>
        </w:rPr>
        <w:t>抗震支吊架组件；</w:t>
      </w:r>
    </w:p>
    <w:p>
      <w:pPr>
        <w:pStyle w:val="179"/>
        <w:numPr>
          <w:ilvl w:val="0"/>
          <w:numId w:val="0"/>
        </w:numPr>
        <w:ind w:left="-2" w:leftChars="-1"/>
        <w:rPr>
          <w:rFonts w:hAnsi="宋体"/>
          <w:color w:val="000000"/>
        </w:rPr>
      </w:pPr>
      <w:r>
        <w:rPr>
          <w:rFonts w:hAnsi="宋体"/>
          <w:color w:val="000000"/>
        </w:rPr>
        <w:t>4</w:t>
      </w:r>
      <w:r>
        <w:rPr>
          <w:rFonts w:hAnsi="宋体"/>
          <w:u w:val="single"/>
          <w:vertAlign w:val="superscript"/>
        </w:rPr>
        <w:t xml:space="preserve">       </w:t>
      </w:r>
      <w:r>
        <w:rPr>
          <w:rFonts w:hint="eastAsia" w:hAnsi="宋体"/>
          <w:color w:val="000000"/>
        </w:rPr>
        <w:t>管道；</w:t>
      </w:r>
    </w:p>
    <w:p>
      <w:pPr>
        <w:pStyle w:val="179"/>
        <w:numPr>
          <w:ilvl w:val="0"/>
          <w:numId w:val="0"/>
        </w:numPr>
        <w:ind w:left="-2" w:leftChars="-1"/>
        <w:rPr>
          <w:rFonts w:hAnsi="宋体"/>
          <w:color w:val="000000"/>
        </w:rPr>
      </w:pPr>
      <w:r>
        <w:rPr>
          <w:rFonts w:hAnsi="宋体"/>
          <w:color w:val="000000"/>
        </w:rPr>
        <w:t>5</w:t>
      </w:r>
      <w:r>
        <w:rPr>
          <w:rFonts w:hAnsi="宋体"/>
          <w:u w:val="single"/>
          <w:vertAlign w:val="superscript"/>
        </w:rPr>
        <w:t xml:space="preserve">       </w:t>
      </w:r>
      <w:r>
        <w:rPr>
          <w:rFonts w:hint="eastAsia" w:hAnsi="宋体"/>
          <w:color w:val="000000"/>
        </w:rPr>
        <w:t>测试连接杆；</w:t>
      </w:r>
    </w:p>
    <w:p>
      <w:pPr>
        <w:pStyle w:val="179"/>
        <w:numPr>
          <w:ilvl w:val="0"/>
          <w:numId w:val="0"/>
        </w:numPr>
        <w:ind w:left="-2" w:leftChars="-1"/>
        <w:rPr>
          <w:rFonts w:hAnsi="宋体"/>
          <w:color w:val="000000"/>
        </w:rPr>
      </w:pPr>
      <w:r>
        <w:rPr>
          <w:rFonts w:hAnsi="宋体"/>
          <w:color w:val="000000"/>
        </w:rPr>
        <w:t>6</w:t>
      </w:r>
      <w:r>
        <w:rPr>
          <w:rFonts w:hAnsi="宋体"/>
          <w:u w:val="single"/>
          <w:vertAlign w:val="superscript"/>
        </w:rPr>
        <w:t xml:space="preserve">       </w:t>
      </w:r>
      <w:r>
        <w:rPr>
          <w:rFonts w:hint="eastAsia" w:hAnsi="宋体"/>
          <w:color w:val="000000"/>
        </w:rPr>
        <w:t>动力源；</w:t>
      </w:r>
    </w:p>
    <w:p>
      <w:pPr>
        <w:pStyle w:val="179"/>
        <w:numPr>
          <w:ilvl w:val="0"/>
          <w:numId w:val="0"/>
        </w:numPr>
        <w:ind w:left="-2" w:leftChars="-1"/>
        <w:rPr>
          <w:rFonts w:hAnsi="宋体"/>
          <w:color w:val="000000"/>
        </w:rPr>
      </w:pPr>
      <w:r>
        <w:rPr>
          <w:rFonts w:hAnsi="宋体"/>
          <w:color w:val="000000"/>
        </w:rPr>
        <w:t>7</w:t>
      </w:r>
      <w:r>
        <w:rPr>
          <w:rFonts w:hAnsi="宋体"/>
          <w:u w:val="single"/>
          <w:vertAlign w:val="superscript"/>
        </w:rPr>
        <w:t xml:space="preserve">       </w:t>
      </w:r>
      <w:r>
        <w:rPr>
          <w:rFonts w:hint="eastAsia" w:hAnsi="宋体"/>
          <w:color w:val="000000"/>
        </w:rPr>
        <w:t>控制柜；</w:t>
      </w:r>
      <w:r>
        <w:rPr>
          <w:rFonts w:hAnsi="宋体"/>
          <w:color w:val="000000"/>
        </w:rPr>
        <w:t xml:space="preserve">    </w:t>
      </w:r>
    </w:p>
    <w:p>
      <w:pPr>
        <w:pStyle w:val="179"/>
        <w:numPr>
          <w:ilvl w:val="0"/>
          <w:numId w:val="0"/>
        </w:numPr>
        <w:ind w:left="-2" w:leftChars="-1"/>
        <w:rPr>
          <w:rFonts w:hAnsi="宋体"/>
          <w:color w:val="000000"/>
        </w:rPr>
      </w:pPr>
      <w:r>
        <w:rPr>
          <w:rFonts w:hAnsi="宋体"/>
          <w:color w:val="000000"/>
        </w:rPr>
        <w:t>F</w:t>
      </w:r>
      <w:r>
        <w:rPr>
          <w:rFonts w:hAnsi="宋体"/>
          <w:u w:val="single"/>
          <w:vertAlign w:val="superscript"/>
        </w:rPr>
        <w:t xml:space="preserve">       </w:t>
      </w:r>
      <w:r>
        <w:rPr>
          <w:rFonts w:hint="eastAsia" w:hAnsi="宋体"/>
          <w:color w:val="000000"/>
        </w:rPr>
        <w:t>受力方向。</w:t>
      </w:r>
    </w:p>
    <w:p>
      <w:pPr>
        <w:pStyle w:val="243"/>
        <w:spacing w:before="156" w:after="156"/>
        <w:ind w:left="420"/>
        <w:rPr>
          <w:rFonts w:hAnsi="黑体"/>
        </w:rPr>
      </w:pPr>
      <w:r>
        <w:rPr>
          <w:rFonts w:hAnsi="黑体"/>
        </w:rPr>
        <w:t>图7  支吊架组件试验装置示意图</w:t>
      </w:r>
    </w:p>
    <w:p>
      <w:pPr>
        <w:pStyle w:val="241"/>
      </w:pPr>
    </w:p>
    <w:p>
      <w:pPr>
        <w:pStyle w:val="241"/>
        <w:jc w:val="center"/>
      </w:pPr>
      <w:r>
        <w:rPr>
          <w:rFonts w:hint="eastAsia"/>
        </w:rPr>
        <w:drawing>
          <wp:inline distT="0" distB="0" distL="0" distR="0">
            <wp:extent cx="2634615" cy="21824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51962" cy="2197252"/>
                    </a:xfrm>
                    <a:prstGeom prst="rect">
                      <a:avLst/>
                    </a:prstGeom>
                  </pic:spPr>
                </pic:pic>
              </a:graphicData>
            </a:graphic>
          </wp:inline>
        </w:drawing>
      </w:r>
    </w:p>
    <w:p>
      <w:pPr>
        <w:pStyle w:val="243"/>
        <w:spacing w:before="156" w:after="156"/>
        <w:ind w:left="420"/>
        <w:rPr>
          <w:rFonts w:hAnsi="黑体"/>
        </w:rPr>
      </w:pPr>
      <w:r>
        <w:rPr>
          <w:rFonts w:hAnsi="黑体"/>
        </w:rPr>
        <w:t>图8  支吊架组件试样示意图</w:t>
      </w:r>
    </w:p>
    <w:p>
      <w:pPr>
        <w:pStyle w:val="241"/>
        <w:jc w:val="center"/>
        <w:sectPr>
          <w:footerReference r:id="rId29" w:type="default"/>
          <w:type w:val="continuous"/>
          <w:pgSz w:w="11906" w:h="16838"/>
          <w:pgMar w:top="2410" w:right="1134" w:bottom="1134" w:left="1134" w:header="1418" w:footer="1134" w:gutter="284"/>
          <w:pgNumType w:fmt="upperRoman"/>
          <w:cols w:space="425" w:num="1"/>
          <w:formProt w:val="0"/>
          <w:docGrid w:type="lines" w:linePitch="312" w:charSpace="0"/>
        </w:sectPr>
      </w:pPr>
    </w:p>
    <w:p>
      <w:pPr>
        <w:pStyle w:val="71"/>
        <w:numPr>
          <w:ilvl w:val="0"/>
          <w:numId w:val="0"/>
        </w:numPr>
        <w:spacing w:before="156" w:after="156"/>
      </w:pPr>
      <w:r>
        <w:rPr>
          <w:rFonts w:hint="eastAsia"/>
        </w:rPr>
        <w:t>7</w:t>
      </w:r>
      <w:r>
        <w:t xml:space="preserve">.5.3  </w:t>
      </w:r>
      <w:r>
        <w:rPr>
          <w:rFonts w:hint="eastAsia"/>
        </w:rPr>
        <w:t>测试过程</w:t>
      </w:r>
    </w:p>
    <w:p>
      <w:pPr>
        <w:pStyle w:val="170"/>
        <w:numPr>
          <w:ilvl w:val="0"/>
          <w:numId w:val="0"/>
        </w:numPr>
      </w:pPr>
      <w:r>
        <w:rPr>
          <w:rFonts w:hint="eastAsia" w:ascii="黑体" w:hAnsi="黑体" w:eastAsia="黑体"/>
        </w:rPr>
        <w:t>7</w:t>
      </w:r>
      <w:r>
        <w:rPr>
          <w:rFonts w:ascii="黑体" w:hAnsi="黑体" w:eastAsia="黑体"/>
        </w:rPr>
        <w:t xml:space="preserve">.5.3.1  </w:t>
      </w:r>
      <w:r>
        <w:rPr>
          <w:rFonts w:ascii="Times New Roman"/>
        </w:rPr>
        <w:t>测试前应根据待测组件中各部件的测试极限值确定组件承受荷载值，组件承受荷载值不大于2.25kN的单套支吊架组件，测试时施加的初始荷载应为2.25kN；组件承受荷载能力大于2.25kN的单套支吊架组件，测试时施加的初始荷载应为9kN。</w:t>
      </w:r>
    </w:p>
    <w:p>
      <w:pPr>
        <w:pStyle w:val="170"/>
        <w:numPr>
          <w:ilvl w:val="0"/>
          <w:numId w:val="0"/>
        </w:numPr>
      </w:pPr>
      <w:r>
        <w:rPr>
          <w:rFonts w:hint="eastAsia" w:ascii="黑体" w:hAnsi="黑体" w:eastAsia="黑体"/>
        </w:rPr>
        <w:t>7</w:t>
      </w:r>
      <w:r>
        <w:rPr>
          <w:rFonts w:ascii="黑体" w:hAnsi="黑体" w:eastAsia="黑体"/>
        </w:rPr>
        <w:t xml:space="preserve">.5.3.2  </w:t>
      </w:r>
      <w:r>
        <w:rPr>
          <w:rFonts w:ascii="Times New Roman"/>
        </w:rPr>
        <w:t>按规定的程序进行加载，前15次按初始荷载值进行</w:t>
      </w:r>
      <w:r>
        <w:rPr>
          <w:rFonts w:ascii="Times New Roman"/>
          <w:color w:val="000000"/>
        </w:rPr>
        <w:t>循</w:t>
      </w:r>
      <w:r>
        <w:rPr>
          <w:rFonts w:ascii="Times New Roman"/>
        </w:rPr>
        <w:t>环加载，其后每次循环加载的力值幅值都是前次循环加载幅值的 (15/14)</w:t>
      </w:r>
      <w:r>
        <w:rPr>
          <w:rFonts w:ascii="Times New Roman"/>
          <w:vertAlign w:val="superscript"/>
        </w:rPr>
        <w:t>1/2</w:t>
      </w:r>
      <w:r>
        <w:rPr>
          <w:rFonts w:ascii="Times New Roman"/>
        </w:rPr>
        <w:t>倍，</w:t>
      </w:r>
      <w:r>
        <w:rPr>
          <w:rFonts w:ascii="Times New Roman"/>
          <w:color w:val="000000"/>
        </w:rPr>
        <w:t>测量过程中的加载频率为0.1Hz，</w:t>
      </w:r>
      <w:r>
        <w:rPr>
          <w:rFonts w:ascii="Times New Roman"/>
        </w:rPr>
        <w:t>直至</w:t>
      </w:r>
      <w:r>
        <w:rPr>
          <w:rFonts w:ascii="Times New Roman"/>
          <w:color w:val="000000"/>
        </w:rPr>
        <w:t>试样断裂或产生超过规定的变形</w:t>
      </w:r>
      <w:r>
        <w:rPr>
          <w:rFonts w:ascii="Times New Roman"/>
        </w:rPr>
        <w:t>。试验加载历程见图5。</w:t>
      </w:r>
    </w:p>
    <w:p>
      <w:pPr>
        <w:pStyle w:val="170"/>
        <w:numPr>
          <w:ilvl w:val="0"/>
          <w:numId w:val="0"/>
        </w:numPr>
        <w:rPr>
          <w:rFonts w:ascii="Times New Roman"/>
        </w:rPr>
      </w:pPr>
      <w:r>
        <w:rPr>
          <w:rFonts w:hint="eastAsia" w:ascii="黑体" w:hAnsi="黑体" w:eastAsia="黑体"/>
        </w:rPr>
        <w:t>7</w:t>
      </w:r>
      <w:r>
        <w:rPr>
          <w:rFonts w:ascii="黑体" w:hAnsi="黑体" w:eastAsia="黑体"/>
        </w:rPr>
        <w:t xml:space="preserve">.5.3.3  </w:t>
      </w:r>
      <w:r>
        <w:rPr>
          <w:rFonts w:ascii="Times New Roman"/>
        </w:rPr>
        <w:t>每组测试样品破坏或超过最大位移极限时结束试验。取样品破坏或超过最大位移极限时的前一次完整的循环的峰值为每组试件的极限承载力值</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Ry1</m:t>
            </m:r>
            <m:ctrlPr>
              <w:rPr>
                <w:rFonts w:ascii="Cambria Math" w:hAnsi="Cambria Math"/>
                <w:i/>
              </w:rPr>
            </m:ctrlPr>
          </m:sub>
        </m:sSub>
      </m:oMath>
      <w:r>
        <w:rPr>
          <w:rFonts w:ascii="Times New Roman"/>
        </w:rPr>
        <w:t>。</w:t>
      </w:r>
    </w:p>
    <w:p>
      <w:pPr>
        <w:pStyle w:val="170"/>
        <w:numPr>
          <w:ilvl w:val="0"/>
          <w:numId w:val="0"/>
        </w:numPr>
        <w:rPr>
          <w:rFonts w:ascii="Times New Roman"/>
        </w:rPr>
      </w:pPr>
      <w:r>
        <w:rPr>
          <w:rFonts w:ascii="黑体" w:hAnsi="黑体" w:eastAsia="黑体"/>
        </w:rPr>
        <w:t xml:space="preserve">7.5.3.4  </w:t>
      </w:r>
      <w:r>
        <w:rPr>
          <w:rFonts w:ascii="Times New Roman"/>
        </w:rPr>
        <w:t>每套抗震斜撑的极限承载力</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Ry2</m:t>
            </m:r>
            <m:ctrlPr>
              <w:rPr>
                <w:rFonts w:ascii="Cambria Math" w:hAnsi="Cambria Math"/>
                <w:i/>
              </w:rPr>
            </m:ctrlPr>
          </m:sub>
        </m:sSub>
      </m:oMath>
      <w:r>
        <w:rPr>
          <w:rFonts w:ascii="Times New Roman"/>
        </w:rPr>
        <w:t>，应通过式（3）计算得出</w:t>
      </w:r>
      <w:r>
        <w:rPr>
          <w:rFonts w:hint="eastAsia" w:ascii="Times New Roman"/>
        </w:rPr>
        <w:t>：</w:t>
      </w:r>
      <w:r>
        <w:rPr>
          <w:rFonts w:ascii="Times New Roman"/>
        </w:rPr>
        <w:t xml:space="preserve"> </w:t>
      </w:r>
    </w:p>
    <w:p>
      <w:pPr>
        <w:pStyle w:val="170"/>
        <w:numPr>
          <w:ilvl w:val="0"/>
          <w:numId w:val="0"/>
        </w:numPr>
        <w:ind w:left="142"/>
        <w:jc w:val="right"/>
        <w:rPr>
          <w:rFonts w:ascii="Times New Roman"/>
        </w:rPr>
      </w:pP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Ry2</m:t>
            </m:r>
            <m:ctrlPr>
              <w:rPr>
                <w:rFonts w:ascii="Cambria Math" w:hAnsi="Cambria Math"/>
                <w:i/>
              </w:rPr>
            </m:ctrlPr>
          </m:sub>
        </m:sSub>
      </m:oMath>
      <w:r>
        <w:rPr>
          <w:rFonts w:ascii="Times New Roman"/>
        </w:rPr>
        <w:t>=</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Ry1</m:t>
            </m:r>
            <m:ctrlPr>
              <w:rPr>
                <w:rFonts w:ascii="Cambria Math" w:hAnsi="Cambria Math"/>
                <w:i/>
              </w:rPr>
            </m:ctrlPr>
          </m:sub>
        </m:sSub>
      </m:oMath>
      <w:r>
        <w:rPr>
          <w:rFonts w:ascii="Times New Roman"/>
        </w:rPr>
        <w:t xml:space="preserve"> /n</w:t>
      </w:r>
      <w:r>
        <w:rPr>
          <w:rFonts w:ascii="Times New Roman" w:eastAsia="微软雅黑"/>
        </w:rPr>
        <w:tab/>
      </w:r>
      <w:r>
        <w:rPr>
          <w:rFonts w:ascii="Times New Roman"/>
        </w:rPr>
        <w:t xml:space="preserve">  </w:t>
      </w:r>
      <w:r>
        <w:rPr>
          <w:sz w:val="18"/>
          <w:szCs w:val="18"/>
        </w:rPr>
        <w:t xml:space="preserve">                   </w:t>
      </w:r>
      <w:r>
        <w:rPr>
          <w:rFonts w:hint="eastAsia"/>
          <w:sz w:val="18"/>
          <w:szCs w:val="18"/>
        </w:rPr>
        <w:t>…………………………</w:t>
      </w:r>
      <w:r>
        <w:rPr>
          <w:rFonts w:ascii="Times New Roman"/>
        </w:rPr>
        <w:t>（3）</w:t>
      </w:r>
    </w:p>
    <w:p>
      <w:pPr>
        <w:pStyle w:val="62"/>
        <w:ind w:firstLine="420"/>
        <w:rPr>
          <w:rFonts w:ascii="Times New Roman"/>
        </w:rPr>
      </w:pPr>
      <w:r>
        <w:rPr>
          <w:rFonts w:ascii="Times New Roman"/>
        </w:rPr>
        <w:t>式中</w:t>
      </w:r>
      <w:r>
        <w:rPr>
          <w:rFonts w:hint="eastAsia" w:ascii="Times New Roman"/>
        </w:rPr>
        <w:t>：</w:t>
      </w:r>
    </w:p>
    <w:p>
      <w:pPr>
        <w:pStyle w:val="62"/>
        <w:ind w:firstLine="420"/>
        <w:rPr>
          <w:rFonts w:ascii="Times New Roman"/>
        </w:rPr>
      </w:pPr>
      <m:oMath>
        <m:r>
          <m:rPr/>
          <w:rPr>
            <w:rFonts w:ascii="Cambria Math" w:hAnsi="Cambria Math"/>
          </w:rPr>
          <m:t>n</m:t>
        </m:r>
      </m:oMath>
      <w:r>
        <w:rPr>
          <w:rFonts w:ascii="Times New Roman"/>
        </w:rPr>
        <w:t>——抗震支吊架组件数量，</w:t>
      </w:r>
      <m:oMath>
        <m:r>
          <m:rPr/>
          <w:rPr>
            <w:rFonts w:ascii="Cambria Math" w:hAnsi="Cambria Math"/>
          </w:rPr>
          <m:t>n</m:t>
        </m:r>
      </m:oMath>
      <w:r>
        <w:rPr>
          <w:rFonts w:ascii="Times New Roman"/>
        </w:rPr>
        <w:t>≥2</w:t>
      </w:r>
      <w:r>
        <w:rPr>
          <w:rFonts w:hint="eastAsia" w:ascii="Times New Roman"/>
        </w:rPr>
        <w:t>。</w:t>
      </w:r>
    </w:p>
    <w:p>
      <w:pPr>
        <w:pStyle w:val="71"/>
        <w:numPr>
          <w:ilvl w:val="0"/>
          <w:numId w:val="0"/>
        </w:numPr>
        <w:spacing w:before="156" w:after="156"/>
      </w:pPr>
      <w:r>
        <w:rPr>
          <w:rFonts w:hint="eastAsia"/>
        </w:rPr>
        <w:t>7</w:t>
      </w:r>
      <w:r>
        <w:t xml:space="preserve">.5.4  </w:t>
      </w:r>
      <w:r>
        <w:rPr>
          <w:rFonts w:hint="eastAsia"/>
        </w:rPr>
        <w:t>循环加载次数与判定</w:t>
      </w:r>
    </w:p>
    <w:p>
      <w:pPr>
        <w:pStyle w:val="62"/>
        <w:ind w:firstLine="420"/>
        <w:rPr>
          <w:rFonts w:ascii="Times New Roman"/>
        </w:rPr>
      </w:pPr>
      <w:r>
        <w:rPr>
          <w:rFonts w:ascii="Times New Roman"/>
        </w:rPr>
        <w:t>组件检测在测定位移</w:t>
      </w:r>
      <w:r>
        <w:rPr>
          <w:rFonts w:hint="eastAsia" w:ascii="Times New Roman"/>
        </w:rPr>
        <w:t>量</w:t>
      </w:r>
      <w:r>
        <w:rPr>
          <w:rFonts w:ascii="Times New Roman"/>
        </w:rPr>
        <w:t>超过50mm或者破坏失效时，试验终止。单套组件极限承载力值</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Ry2</m:t>
            </m:r>
            <m:ctrlPr>
              <w:rPr>
                <w:rFonts w:ascii="Cambria Math" w:hAnsi="Cambria Math"/>
                <w:i/>
              </w:rPr>
            </m:ctrlPr>
          </m:sub>
        </m:sSub>
      </m:oMath>
      <w:r>
        <w:rPr>
          <w:rFonts w:ascii="Times New Roman"/>
        </w:rPr>
        <w:t>，不应低于组件中最小部件的设计值0.71倍。</w:t>
      </w:r>
    </w:p>
    <w:p>
      <w:pPr>
        <w:pStyle w:val="111"/>
        <w:numPr>
          <w:ilvl w:val="0"/>
          <w:numId w:val="0"/>
        </w:numPr>
        <w:spacing w:before="156" w:after="156"/>
      </w:pPr>
      <w:r>
        <w:rPr>
          <w:rFonts w:hint="eastAsia"/>
        </w:rPr>
        <w:t>7</w:t>
      </w:r>
      <w:r>
        <w:t xml:space="preserve">.6  </w:t>
      </w:r>
      <w:r>
        <w:rPr>
          <w:rFonts w:hint="eastAsia"/>
        </w:rPr>
        <w:t>耐火性能</w:t>
      </w:r>
    </w:p>
    <w:p>
      <w:pPr>
        <w:ind w:firstLine="420" w:firstLineChars="200"/>
        <w:rPr>
          <w:rFonts w:ascii="Times New Roman" w:hAnsi="Times New Roman"/>
        </w:rPr>
      </w:pPr>
      <w:r>
        <w:rPr>
          <w:rFonts w:ascii="Times New Roman" w:hAnsi="Times New Roman"/>
        </w:rPr>
        <w:t>在每套抗震支吊架固定管线位置处施加200N的荷载。单根水管用抗震支吊架</w:t>
      </w:r>
      <w:r>
        <w:rPr>
          <w:rFonts w:hint="eastAsia" w:ascii="Times New Roman" w:hAnsi="Times New Roman"/>
        </w:rPr>
        <w:t>应</w:t>
      </w:r>
      <w:r>
        <w:rPr>
          <w:rFonts w:ascii="Times New Roman" w:hAnsi="Times New Roman"/>
        </w:rPr>
        <w:t>施加集中荷载；通风、防排烟管道用抗震支吊架和电缆桥架用抗震支吊架宜施加均布荷载。按GB/T 9978.1或GB/T 26784的</w:t>
      </w:r>
      <w:r>
        <w:rPr>
          <w:rFonts w:hint="eastAsia" w:ascii="Times New Roman" w:hAnsi="Times New Roman"/>
        </w:rPr>
        <w:t>规定</w:t>
      </w:r>
      <w:r>
        <w:rPr>
          <w:rFonts w:ascii="Times New Roman" w:hAnsi="Times New Roman"/>
        </w:rPr>
        <w:t>进行升温和控制炉压。</w:t>
      </w:r>
    </w:p>
    <w:p>
      <w:pPr>
        <w:rPr>
          <w:rFonts w:ascii="黑体" w:hAnsi="Times New Roman" w:eastAsia="黑体"/>
          <w:kern w:val="0"/>
          <w:szCs w:val="20"/>
        </w:rPr>
      </w:pPr>
      <w:bookmarkStart w:id="94" w:name="_Toc81322377"/>
      <w:r>
        <w:rPr>
          <w:rFonts w:ascii="黑体" w:hAnsi="Times New Roman" w:eastAsia="黑体"/>
          <w:kern w:val="0"/>
          <w:szCs w:val="20"/>
        </w:rPr>
        <w:t xml:space="preserve">7.7  </w:t>
      </w:r>
      <w:r>
        <w:rPr>
          <w:rFonts w:hint="eastAsia" w:ascii="黑体" w:hAnsi="Times New Roman" w:eastAsia="黑体"/>
          <w:kern w:val="0"/>
          <w:szCs w:val="20"/>
        </w:rPr>
        <w:t>防腐性能</w:t>
      </w:r>
      <w:bookmarkEnd w:id="94"/>
    </w:p>
    <w:p>
      <w:pPr>
        <w:ind w:firstLine="420" w:firstLineChars="200"/>
        <w:rPr>
          <w:rFonts w:ascii="Times New Roman" w:hAnsi="Times New Roman"/>
        </w:rPr>
        <w:sectPr>
          <w:footerReference r:id="rId30" w:type="default"/>
          <w:type w:val="continuous"/>
          <w:pgSz w:w="11906" w:h="16838"/>
          <w:pgMar w:top="2410" w:right="1134" w:bottom="1134" w:left="1134" w:header="1418" w:footer="1134" w:gutter="284"/>
          <w:pgNumType w:fmt="upperRoman"/>
          <w:cols w:space="425" w:num="1"/>
          <w:formProt w:val="0"/>
          <w:docGrid w:type="lines" w:linePitch="312" w:charSpace="0"/>
        </w:sectPr>
      </w:pPr>
      <w:r>
        <w:rPr>
          <w:rFonts w:ascii="Times New Roman" w:hAnsi="Times New Roman"/>
        </w:rPr>
        <w:t>按GB/T 10125</w:t>
      </w:r>
      <w:r>
        <w:rPr>
          <w:rFonts w:hint="eastAsia" w:ascii="Times New Roman" w:hAnsi="Times New Roman"/>
        </w:rPr>
        <w:t>的规定进行</w:t>
      </w:r>
      <w:r>
        <w:rPr>
          <w:rFonts w:ascii="Times New Roman" w:hAnsi="Times New Roman"/>
        </w:rPr>
        <w:t>。</w:t>
      </w:r>
    </w:p>
    <w:p>
      <w:pPr>
        <w:ind w:firstLine="420" w:firstLineChars="200"/>
        <w:rPr>
          <w:rFonts w:ascii="Times New Roman" w:hAnsi="Times New Roman"/>
        </w:rPr>
      </w:pPr>
    </w:p>
    <w:p>
      <w:pPr>
        <w:pStyle w:val="110"/>
        <w:numPr>
          <w:ilvl w:val="0"/>
          <w:numId w:val="0"/>
        </w:numPr>
        <w:spacing w:before="312" w:after="312"/>
      </w:pPr>
      <w:bookmarkStart w:id="95" w:name="_Toc128552136"/>
      <w:bookmarkStart w:id="96" w:name="_Toc135225131"/>
      <w:bookmarkStart w:id="97" w:name="_Toc90303271"/>
      <w:bookmarkStart w:id="98" w:name="_Toc81322378"/>
      <w:bookmarkStart w:id="99" w:name="_Toc81322411"/>
      <w:r>
        <w:rPr>
          <w:rFonts w:hint="eastAsia"/>
        </w:rPr>
        <w:t xml:space="preserve">8 </w:t>
      </w:r>
      <w:r>
        <w:t xml:space="preserve"> </w:t>
      </w:r>
      <w:r>
        <w:rPr>
          <w:rFonts w:hint="eastAsia"/>
        </w:rPr>
        <w:t>检验规则</w:t>
      </w:r>
      <w:bookmarkEnd w:id="95"/>
      <w:bookmarkEnd w:id="96"/>
      <w:bookmarkEnd w:id="97"/>
      <w:bookmarkEnd w:id="98"/>
      <w:bookmarkEnd w:id="99"/>
    </w:p>
    <w:p>
      <w:pPr>
        <w:pStyle w:val="62"/>
        <w:spacing w:before="156" w:beforeLines="50" w:after="156" w:afterLines="50"/>
        <w:ind w:firstLine="0" w:firstLineChars="0"/>
        <w:rPr>
          <w:rFonts w:ascii="黑体" w:eastAsia="黑体"/>
        </w:rPr>
      </w:pPr>
      <w:r>
        <w:rPr>
          <w:rFonts w:hint="eastAsia" w:ascii="黑体" w:eastAsia="黑体"/>
        </w:rPr>
        <w:t>8</w:t>
      </w:r>
      <w:r>
        <w:rPr>
          <w:rFonts w:ascii="黑体" w:eastAsia="黑体"/>
        </w:rPr>
        <w:t xml:space="preserve">.1  </w:t>
      </w:r>
      <w:r>
        <w:rPr>
          <w:rFonts w:hint="eastAsia" w:ascii="黑体" w:eastAsia="黑体"/>
        </w:rPr>
        <w:t>检验分类</w:t>
      </w:r>
    </w:p>
    <w:p>
      <w:pPr>
        <w:pStyle w:val="62"/>
        <w:ind w:firstLine="420"/>
        <w:rPr>
          <w:rFonts w:ascii="Times New Roman"/>
        </w:rPr>
      </w:pPr>
      <w:r>
        <w:rPr>
          <w:rFonts w:ascii="Times New Roman"/>
        </w:rPr>
        <w:t>分为出厂检验和型式检验。</w:t>
      </w:r>
    </w:p>
    <w:p>
      <w:pPr>
        <w:pStyle w:val="71"/>
        <w:numPr>
          <w:ilvl w:val="0"/>
          <w:numId w:val="0"/>
        </w:numPr>
        <w:spacing w:before="156" w:after="156"/>
      </w:pPr>
      <w:r>
        <w:rPr>
          <w:rFonts w:hint="eastAsia"/>
        </w:rPr>
        <w:t>8</w:t>
      </w:r>
      <w:r>
        <w:t xml:space="preserve">.2  </w:t>
      </w:r>
      <w:r>
        <w:rPr>
          <w:rFonts w:hint="eastAsia"/>
        </w:rPr>
        <w:t>出厂检验</w:t>
      </w:r>
    </w:p>
    <w:p>
      <w:pPr>
        <w:pStyle w:val="170"/>
        <w:numPr>
          <w:ilvl w:val="0"/>
          <w:numId w:val="0"/>
        </w:numPr>
        <w:ind w:firstLine="420" w:firstLineChars="200"/>
        <w:rPr>
          <w:rFonts w:ascii="Times New Roman"/>
        </w:rPr>
      </w:pPr>
      <w:bookmarkStart w:id="100" w:name="_Hlk81314471"/>
      <w:r>
        <w:rPr>
          <w:rFonts w:ascii="Times New Roman"/>
        </w:rPr>
        <w:t>出厂检验应根据生产批次抽样检验，检验项目应符合表</w:t>
      </w:r>
      <w:r>
        <w:rPr>
          <w:rFonts w:hint="eastAsia" w:ascii="Times New Roman"/>
        </w:rPr>
        <w:t>8</w:t>
      </w:r>
      <w:r>
        <w:rPr>
          <w:rFonts w:ascii="Times New Roman"/>
        </w:rPr>
        <w:t>的规定</w:t>
      </w:r>
      <w:bookmarkEnd w:id="100"/>
      <w:r>
        <w:rPr>
          <w:rFonts w:ascii="Times New Roman"/>
        </w:rPr>
        <w:t>。</w:t>
      </w:r>
    </w:p>
    <w:p>
      <w:pPr>
        <w:pStyle w:val="170"/>
        <w:numPr>
          <w:ilvl w:val="0"/>
          <w:numId w:val="0"/>
        </w:numPr>
        <w:rPr>
          <w:rFonts w:ascii="Times New Roman"/>
        </w:rPr>
        <w:sectPr>
          <w:footerReference r:id="rId31" w:type="default"/>
          <w:type w:val="continuous"/>
          <w:pgSz w:w="11906" w:h="16838"/>
          <w:pgMar w:top="2410" w:right="1134" w:bottom="1134" w:left="1134" w:header="1418" w:footer="1134" w:gutter="284"/>
          <w:pgNumType w:fmt="upperRoman"/>
          <w:cols w:space="425" w:num="1"/>
          <w:formProt w:val="0"/>
          <w:docGrid w:type="lines" w:linePitch="312" w:charSpace="0"/>
        </w:sectPr>
      </w:pPr>
    </w:p>
    <w:p>
      <w:pPr>
        <w:widowControl/>
        <w:adjustRightInd/>
        <w:spacing w:before="156" w:beforeLines="50" w:after="156" w:afterLines="50" w:line="240" w:lineRule="auto"/>
        <w:ind w:left="142"/>
        <w:jc w:val="center"/>
        <w:rPr>
          <w:rFonts w:ascii="黑体" w:hAnsi="黑体" w:eastAsia="黑体"/>
          <w:color w:val="00B0F0"/>
          <w:kern w:val="0"/>
          <w:szCs w:val="20"/>
        </w:rPr>
      </w:pPr>
      <w:r>
        <w:rPr>
          <w:rFonts w:ascii="黑体" w:hAnsi="黑体" w:eastAsia="黑体"/>
          <w:kern w:val="0"/>
          <w:szCs w:val="20"/>
        </w:rPr>
        <w:t>表</w:t>
      </w:r>
      <w:r>
        <w:rPr>
          <w:rFonts w:hint="eastAsia" w:ascii="黑体" w:hAnsi="黑体" w:eastAsia="黑体"/>
          <w:kern w:val="0"/>
          <w:szCs w:val="20"/>
        </w:rPr>
        <w:t>8</w:t>
      </w:r>
      <w:r>
        <w:rPr>
          <w:rFonts w:ascii="黑体" w:hAnsi="黑体" w:eastAsia="黑体"/>
          <w:kern w:val="0"/>
          <w:szCs w:val="20"/>
        </w:rPr>
        <w:t xml:space="preserve">  出厂检验和型式检验</w:t>
      </w:r>
    </w:p>
    <w:tbl>
      <w:tblPr>
        <w:tblStyle w:val="30"/>
        <w:tblpPr w:leftFromText="180" w:rightFromText="180" w:vertAnchor="text" w:horzAnchor="margin" w:tblpXSpec="center" w:tblpY="200"/>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595"/>
        <w:gridCol w:w="1409"/>
        <w:gridCol w:w="1761"/>
        <w:gridCol w:w="1441"/>
        <w:gridCol w:w="1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82" w:type="pct"/>
            <w:vMerge w:val="restart"/>
            <w:vAlign w:val="center"/>
          </w:tcPr>
          <w:p>
            <w:pPr>
              <w:tabs>
                <w:tab w:val="left" w:pos="1388"/>
              </w:tabs>
              <w:jc w:val="center"/>
              <w:rPr>
                <w:rFonts w:ascii="宋体" w:hAnsi="宋体"/>
                <w:sz w:val="18"/>
                <w:szCs w:val="18"/>
              </w:rPr>
            </w:pPr>
            <w:r>
              <w:rPr>
                <w:rFonts w:ascii="宋体" w:hAnsi="宋体"/>
                <w:sz w:val="18"/>
                <w:szCs w:val="18"/>
              </w:rPr>
              <w:t>序号</w:t>
            </w:r>
          </w:p>
        </w:tc>
        <w:tc>
          <w:tcPr>
            <w:tcW w:w="1356" w:type="pct"/>
            <w:vMerge w:val="restart"/>
            <w:vAlign w:val="center"/>
          </w:tcPr>
          <w:p>
            <w:pPr>
              <w:tabs>
                <w:tab w:val="left" w:pos="1388"/>
              </w:tabs>
              <w:jc w:val="center"/>
              <w:rPr>
                <w:rFonts w:ascii="宋体" w:hAnsi="宋体"/>
                <w:sz w:val="18"/>
                <w:szCs w:val="18"/>
              </w:rPr>
            </w:pPr>
            <w:r>
              <w:rPr>
                <w:rFonts w:ascii="宋体" w:hAnsi="宋体"/>
                <w:sz w:val="18"/>
                <w:szCs w:val="18"/>
              </w:rPr>
              <w:t>检验项目</w:t>
            </w:r>
          </w:p>
        </w:tc>
        <w:tc>
          <w:tcPr>
            <w:tcW w:w="1656" w:type="pct"/>
            <w:gridSpan w:val="2"/>
            <w:vAlign w:val="center"/>
          </w:tcPr>
          <w:p>
            <w:pPr>
              <w:tabs>
                <w:tab w:val="left" w:pos="1388"/>
              </w:tabs>
              <w:jc w:val="center"/>
              <w:rPr>
                <w:rFonts w:ascii="宋体" w:hAnsi="宋体"/>
                <w:sz w:val="18"/>
                <w:szCs w:val="18"/>
              </w:rPr>
            </w:pPr>
            <w:r>
              <w:rPr>
                <w:rFonts w:ascii="宋体" w:hAnsi="宋体"/>
                <w:sz w:val="18"/>
                <w:szCs w:val="18"/>
              </w:rPr>
              <w:t>检验型式</w:t>
            </w:r>
          </w:p>
        </w:tc>
        <w:tc>
          <w:tcPr>
            <w:tcW w:w="753" w:type="pct"/>
            <w:vMerge w:val="restart"/>
            <w:vAlign w:val="center"/>
          </w:tcPr>
          <w:p>
            <w:pPr>
              <w:tabs>
                <w:tab w:val="left" w:pos="1388"/>
              </w:tabs>
              <w:jc w:val="center"/>
              <w:rPr>
                <w:rFonts w:ascii="宋体" w:hAnsi="宋体"/>
                <w:sz w:val="18"/>
                <w:szCs w:val="18"/>
              </w:rPr>
            </w:pPr>
            <w:r>
              <w:rPr>
                <w:rFonts w:ascii="宋体" w:hAnsi="宋体"/>
                <w:sz w:val="18"/>
                <w:szCs w:val="18"/>
              </w:rPr>
              <w:t>要求</w:t>
            </w:r>
          </w:p>
        </w:tc>
        <w:tc>
          <w:tcPr>
            <w:tcW w:w="753" w:type="pct"/>
            <w:vMerge w:val="restart"/>
            <w:vAlign w:val="center"/>
          </w:tcPr>
          <w:p>
            <w:pPr>
              <w:tabs>
                <w:tab w:val="left" w:pos="1388"/>
              </w:tabs>
              <w:jc w:val="center"/>
              <w:rPr>
                <w:rFonts w:ascii="宋体" w:hAnsi="宋体"/>
                <w:sz w:val="18"/>
                <w:szCs w:val="18"/>
              </w:rPr>
            </w:pPr>
            <w:r>
              <w:rPr>
                <w:rFonts w:ascii="宋体" w:hAnsi="宋体"/>
                <w:sz w:val="18"/>
                <w:szCs w:val="18"/>
              </w:rPr>
              <w:t>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2" w:type="pct"/>
            <w:vMerge w:val="continue"/>
            <w:tcBorders>
              <w:bottom w:val="single" w:color="auto" w:sz="12" w:space="0"/>
            </w:tcBorders>
            <w:vAlign w:val="center"/>
          </w:tcPr>
          <w:p>
            <w:pPr>
              <w:widowControl/>
              <w:jc w:val="left"/>
              <w:rPr>
                <w:rFonts w:ascii="宋体" w:hAnsi="宋体"/>
                <w:sz w:val="18"/>
                <w:szCs w:val="18"/>
              </w:rPr>
            </w:pPr>
          </w:p>
        </w:tc>
        <w:tc>
          <w:tcPr>
            <w:tcW w:w="1356" w:type="pct"/>
            <w:vMerge w:val="continue"/>
            <w:tcBorders>
              <w:bottom w:val="single" w:color="auto" w:sz="12" w:space="0"/>
            </w:tcBorders>
            <w:vAlign w:val="center"/>
          </w:tcPr>
          <w:p>
            <w:pPr>
              <w:widowControl/>
              <w:jc w:val="left"/>
              <w:rPr>
                <w:rFonts w:ascii="宋体" w:hAnsi="宋体"/>
                <w:sz w:val="18"/>
                <w:szCs w:val="18"/>
              </w:rPr>
            </w:pPr>
          </w:p>
        </w:tc>
        <w:tc>
          <w:tcPr>
            <w:tcW w:w="736" w:type="pct"/>
            <w:tcBorders>
              <w:bottom w:val="single" w:color="auto" w:sz="12" w:space="0"/>
            </w:tcBorders>
            <w:vAlign w:val="center"/>
          </w:tcPr>
          <w:p>
            <w:pPr>
              <w:tabs>
                <w:tab w:val="left" w:pos="1388"/>
              </w:tabs>
              <w:jc w:val="center"/>
              <w:rPr>
                <w:rFonts w:ascii="宋体" w:hAnsi="宋体"/>
                <w:sz w:val="18"/>
                <w:szCs w:val="18"/>
              </w:rPr>
            </w:pPr>
            <w:r>
              <w:rPr>
                <w:rFonts w:ascii="宋体" w:hAnsi="宋体"/>
                <w:sz w:val="18"/>
                <w:szCs w:val="18"/>
              </w:rPr>
              <w:t>出厂检验</w:t>
            </w:r>
          </w:p>
        </w:tc>
        <w:tc>
          <w:tcPr>
            <w:tcW w:w="920" w:type="pct"/>
            <w:tcBorders>
              <w:bottom w:val="single" w:color="auto" w:sz="12" w:space="0"/>
            </w:tcBorders>
            <w:vAlign w:val="center"/>
          </w:tcPr>
          <w:p>
            <w:pPr>
              <w:tabs>
                <w:tab w:val="left" w:pos="1388"/>
              </w:tabs>
              <w:jc w:val="center"/>
              <w:rPr>
                <w:rFonts w:ascii="宋体" w:hAnsi="宋体"/>
                <w:sz w:val="18"/>
                <w:szCs w:val="18"/>
              </w:rPr>
            </w:pPr>
            <w:r>
              <w:rPr>
                <w:rFonts w:ascii="宋体" w:hAnsi="宋体"/>
                <w:sz w:val="18"/>
                <w:szCs w:val="18"/>
              </w:rPr>
              <w:t>型式检验</w:t>
            </w:r>
          </w:p>
        </w:tc>
        <w:tc>
          <w:tcPr>
            <w:tcW w:w="753" w:type="pct"/>
            <w:vMerge w:val="continue"/>
            <w:tcBorders>
              <w:bottom w:val="single" w:color="auto" w:sz="12" w:space="0"/>
            </w:tcBorders>
            <w:vAlign w:val="center"/>
          </w:tcPr>
          <w:p>
            <w:pPr>
              <w:widowControl/>
              <w:jc w:val="left"/>
              <w:rPr>
                <w:rFonts w:ascii="宋体" w:hAnsi="宋体"/>
                <w:sz w:val="18"/>
                <w:szCs w:val="18"/>
              </w:rPr>
            </w:pPr>
          </w:p>
        </w:tc>
        <w:tc>
          <w:tcPr>
            <w:tcW w:w="753" w:type="pct"/>
            <w:vMerge w:val="continue"/>
            <w:tcBorders>
              <w:bottom w:val="single" w:color="auto" w:sz="12" w:space="0"/>
            </w:tcBorders>
            <w:vAlign w:val="center"/>
          </w:tcPr>
          <w:p>
            <w:pPr>
              <w:widowControl/>
              <w:jc w:val="left"/>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82" w:type="pct"/>
            <w:tcBorders>
              <w:top w:val="single" w:color="auto" w:sz="12" w:space="0"/>
            </w:tcBorders>
            <w:vAlign w:val="center"/>
          </w:tcPr>
          <w:p>
            <w:pPr>
              <w:tabs>
                <w:tab w:val="left" w:pos="1388"/>
              </w:tabs>
              <w:jc w:val="center"/>
              <w:rPr>
                <w:rFonts w:ascii="宋体" w:hAnsi="宋体"/>
                <w:color w:val="000000"/>
                <w:sz w:val="18"/>
                <w:szCs w:val="18"/>
              </w:rPr>
            </w:pPr>
            <w:r>
              <w:rPr>
                <w:rFonts w:ascii="宋体" w:hAnsi="宋体"/>
                <w:color w:val="000000"/>
                <w:sz w:val="18"/>
                <w:szCs w:val="18"/>
              </w:rPr>
              <w:t>1</w:t>
            </w:r>
          </w:p>
        </w:tc>
        <w:tc>
          <w:tcPr>
            <w:tcW w:w="1356" w:type="pct"/>
            <w:tcBorders>
              <w:top w:val="single" w:color="auto" w:sz="12" w:space="0"/>
            </w:tcBorders>
            <w:vAlign w:val="center"/>
          </w:tcPr>
          <w:p>
            <w:pPr>
              <w:tabs>
                <w:tab w:val="left" w:pos="1388"/>
              </w:tabs>
              <w:jc w:val="center"/>
              <w:rPr>
                <w:rFonts w:ascii="宋体" w:hAnsi="宋体"/>
                <w:color w:val="000000"/>
                <w:sz w:val="18"/>
                <w:szCs w:val="18"/>
              </w:rPr>
            </w:pPr>
            <w:r>
              <w:rPr>
                <w:rFonts w:ascii="宋体" w:hAnsi="宋体"/>
                <w:color w:val="000000"/>
                <w:sz w:val="18"/>
                <w:szCs w:val="18"/>
              </w:rPr>
              <w:t>外观质量</w:t>
            </w:r>
          </w:p>
        </w:tc>
        <w:tc>
          <w:tcPr>
            <w:tcW w:w="736" w:type="pct"/>
            <w:tcBorders>
              <w:top w:val="single" w:color="auto" w:sz="12" w:space="0"/>
            </w:tcBorders>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920" w:type="pct"/>
            <w:tcBorders>
              <w:top w:val="single" w:color="auto" w:sz="12" w:space="0"/>
            </w:tcBorders>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tcBorders>
              <w:top w:val="single" w:color="auto" w:sz="12" w:space="0"/>
            </w:tcBorders>
            <w:vAlign w:val="center"/>
          </w:tcPr>
          <w:p>
            <w:pPr>
              <w:tabs>
                <w:tab w:val="left" w:pos="1388"/>
              </w:tabs>
              <w:jc w:val="center"/>
              <w:rPr>
                <w:rFonts w:ascii="宋体" w:hAnsi="宋体"/>
                <w:sz w:val="18"/>
                <w:szCs w:val="18"/>
              </w:rPr>
            </w:pPr>
            <w:r>
              <w:rPr>
                <w:rFonts w:ascii="宋体" w:hAnsi="宋体"/>
                <w:sz w:val="18"/>
                <w:szCs w:val="18"/>
              </w:rPr>
              <w:t>6.1</w:t>
            </w:r>
          </w:p>
        </w:tc>
        <w:tc>
          <w:tcPr>
            <w:tcW w:w="753" w:type="pct"/>
            <w:tcBorders>
              <w:top w:val="single" w:color="auto" w:sz="12" w:space="0"/>
            </w:tcBorders>
          </w:tcPr>
          <w:p>
            <w:pPr>
              <w:tabs>
                <w:tab w:val="left" w:pos="1388"/>
              </w:tabs>
              <w:jc w:val="center"/>
              <w:rPr>
                <w:rFonts w:ascii="宋体" w:hAnsi="宋体"/>
                <w:color w:val="000000"/>
                <w:sz w:val="18"/>
                <w:szCs w:val="18"/>
              </w:rPr>
            </w:pPr>
            <w:r>
              <w:rPr>
                <w:rFonts w:ascii="宋体" w:hAnsi="宋体"/>
                <w:color w:val="000000"/>
                <w:sz w:val="18"/>
                <w:szCs w:val="18"/>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2</w:t>
            </w:r>
          </w:p>
        </w:tc>
        <w:tc>
          <w:tcPr>
            <w:tcW w:w="1356" w:type="pct"/>
            <w:vAlign w:val="center"/>
          </w:tcPr>
          <w:p>
            <w:pPr>
              <w:tabs>
                <w:tab w:val="left" w:pos="1388"/>
              </w:tabs>
              <w:jc w:val="center"/>
              <w:rPr>
                <w:rFonts w:ascii="宋体" w:hAnsi="宋体"/>
                <w:color w:val="000000"/>
                <w:sz w:val="18"/>
                <w:szCs w:val="18"/>
              </w:rPr>
            </w:pPr>
            <w:r>
              <w:rPr>
                <w:rFonts w:ascii="宋体" w:hAnsi="宋体"/>
                <w:color w:val="000000"/>
                <w:sz w:val="18"/>
                <w:szCs w:val="18"/>
              </w:rPr>
              <w:t>尺寸及允许偏差</w:t>
            </w:r>
          </w:p>
        </w:tc>
        <w:tc>
          <w:tcPr>
            <w:tcW w:w="736"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6.2</w:t>
            </w:r>
          </w:p>
        </w:tc>
        <w:tc>
          <w:tcPr>
            <w:tcW w:w="753" w:type="pct"/>
          </w:tcPr>
          <w:p>
            <w:pPr>
              <w:tabs>
                <w:tab w:val="left" w:pos="1388"/>
              </w:tabs>
              <w:jc w:val="center"/>
              <w:rPr>
                <w:rFonts w:ascii="宋体" w:hAnsi="宋体"/>
                <w:color w:val="000000"/>
                <w:sz w:val="18"/>
                <w:szCs w:val="18"/>
              </w:rPr>
            </w:pPr>
            <w:r>
              <w:rPr>
                <w:rFonts w:ascii="宋体" w:hAnsi="宋体"/>
                <w:color w:val="000000"/>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3</w:t>
            </w:r>
          </w:p>
        </w:tc>
        <w:tc>
          <w:tcPr>
            <w:tcW w:w="1356" w:type="pct"/>
            <w:vAlign w:val="center"/>
          </w:tcPr>
          <w:p>
            <w:pPr>
              <w:tabs>
                <w:tab w:val="left" w:pos="1388"/>
              </w:tabs>
              <w:jc w:val="center"/>
              <w:rPr>
                <w:rFonts w:ascii="宋体" w:hAnsi="宋体"/>
                <w:color w:val="000000"/>
                <w:sz w:val="18"/>
                <w:szCs w:val="18"/>
              </w:rPr>
            </w:pPr>
            <w:r>
              <w:rPr>
                <w:rFonts w:ascii="宋体" w:hAnsi="宋体"/>
                <w:color w:val="000000"/>
                <w:sz w:val="18"/>
                <w:szCs w:val="18"/>
              </w:rPr>
              <w:t>涂层厚度</w:t>
            </w:r>
          </w:p>
        </w:tc>
        <w:tc>
          <w:tcPr>
            <w:tcW w:w="736"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6.3</w:t>
            </w:r>
          </w:p>
        </w:tc>
        <w:tc>
          <w:tcPr>
            <w:tcW w:w="753" w:type="pct"/>
          </w:tcPr>
          <w:p>
            <w:pPr>
              <w:tabs>
                <w:tab w:val="left" w:pos="1388"/>
              </w:tabs>
              <w:jc w:val="center"/>
              <w:rPr>
                <w:rFonts w:ascii="宋体" w:hAnsi="宋体"/>
                <w:color w:val="000000"/>
                <w:sz w:val="18"/>
                <w:szCs w:val="18"/>
              </w:rPr>
            </w:pPr>
            <w:r>
              <w:rPr>
                <w:rFonts w:ascii="宋体" w:hAnsi="宋体"/>
                <w:color w:val="000000"/>
                <w:sz w:val="18"/>
                <w:szCs w:val="18"/>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4</w:t>
            </w:r>
          </w:p>
        </w:tc>
        <w:tc>
          <w:tcPr>
            <w:tcW w:w="1356" w:type="pct"/>
            <w:vAlign w:val="center"/>
          </w:tcPr>
          <w:p>
            <w:pPr>
              <w:tabs>
                <w:tab w:val="left" w:pos="1388"/>
              </w:tabs>
              <w:jc w:val="center"/>
              <w:rPr>
                <w:rFonts w:ascii="宋体" w:hAnsi="宋体"/>
                <w:color w:val="000000"/>
                <w:sz w:val="18"/>
                <w:szCs w:val="18"/>
              </w:rPr>
            </w:pPr>
            <w:r>
              <w:rPr>
                <w:rFonts w:hint="eastAsia" w:ascii="宋体" w:hAnsi="宋体"/>
                <w:color w:val="000000"/>
                <w:sz w:val="18"/>
                <w:szCs w:val="18"/>
              </w:rPr>
              <w:t>部件</w:t>
            </w:r>
            <w:r>
              <w:rPr>
                <w:rFonts w:ascii="宋体" w:hAnsi="宋体"/>
                <w:color w:val="000000"/>
                <w:sz w:val="18"/>
                <w:szCs w:val="18"/>
              </w:rPr>
              <w:t>循环加载性能</w:t>
            </w:r>
          </w:p>
        </w:tc>
        <w:tc>
          <w:tcPr>
            <w:tcW w:w="736" w:type="pct"/>
          </w:tcPr>
          <w:p>
            <w:pPr>
              <w:tabs>
                <w:tab w:val="left" w:pos="1388"/>
              </w:tabs>
              <w:jc w:val="center"/>
              <w:rPr>
                <w:rFonts w:ascii="宋体" w:hAnsi="宋体"/>
                <w:color w:val="000000"/>
                <w:sz w:val="18"/>
                <w:szCs w:val="18"/>
              </w:rPr>
            </w:pPr>
            <w:r>
              <w:rPr>
                <w:rFonts w:ascii="宋体" w:hAnsi="宋体"/>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6.4</w:t>
            </w:r>
          </w:p>
        </w:tc>
        <w:tc>
          <w:tcPr>
            <w:tcW w:w="753" w:type="pct"/>
            <w:vAlign w:val="center"/>
          </w:tcPr>
          <w:p>
            <w:pPr>
              <w:tabs>
                <w:tab w:val="left" w:pos="1388"/>
              </w:tabs>
              <w:jc w:val="center"/>
              <w:rPr>
                <w:rFonts w:ascii="宋体" w:hAnsi="宋体"/>
                <w:color w:val="000000"/>
                <w:sz w:val="18"/>
                <w:szCs w:val="18"/>
              </w:rPr>
            </w:pPr>
            <w:r>
              <w:rPr>
                <w:rFonts w:ascii="宋体" w:hAnsi="宋体"/>
                <w:color w:val="000000"/>
                <w:sz w:val="18"/>
                <w:szCs w:val="18"/>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5</w:t>
            </w:r>
          </w:p>
        </w:tc>
        <w:tc>
          <w:tcPr>
            <w:tcW w:w="1356" w:type="pct"/>
            <w:vAlign w:val="center"/>
          </w:tcPr>
          <w:p>
            <w:pPr>
              <w:tabs>
                <w:tab w:val="left" w:pos="1388"/>
              </w:tabs>
              <w:jc w:val="center"/>
              <w:rPr>
                <w:rFonts w:ascii="宋体" w:hAnsi="宋体"/>
                <w:color w:val="000000"/>
                <w:sz w:val="18"/>
                <w:szCs w:val="18"/>
              </w:rPr>
            </w:pPr>
            <w:r>
              <w:rPr>
                <w:rFonts w:hint="eastAsia" w:ascii="宋体" w:hAnsi="宋体"/>
                <w:color w:val="000000"/>
                <w:sz w:val="18"/>
                <w:szCs w:val="18"/>
              </w:rPr>
              <w:t>P型和Ω型管夹荷载性能</w:t>
            </w:r>
          </w:p>
        </w:tc>
        <w:tc>
          <w:tcPr>
            <w:tcW w:w="736" w:type="pct"/>
          </w:tcPr>
          <w:p>
            <w:pPr>
              <w:tabs>
                <w:tab w:val="left" w:pos="1388"/>
              </w:tabs>
              <w:jc w:val="center"/>
              <w:rPr>
                <w:rFonts w:ascii="宋体" w:hAnsi="宋体"/>
                <w:color w:val="000000"/>
                <w:sz w:val="18"/>
                <w:szCs w:val="18"/>
              </w:rPr>
            </w:pPr>
            <w:r>
              <w:rPr>
                <w:rFonts w:ascii="宋体" w:hAnsi="宋体"/>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6.4</w:t>
            </w:r>
          </w:p>
        </w:tc>
        <w:tc>
          <w:tcPr>
            <w:tcW w:w="753" w:type="pct"/>
            <w:vAlign w:val="center"/>
          </w:tcPr>
          <w:p>
            <w:pPr>
              <w:tabs>
                <w:tab w:val="left" w:pos="1388"/>
              </w:tabs>
              <w:jc w:val="center"/>
              <w:rPr>
                <w:rFonts w:ascii="宋体" w:hAnsi="宋体"/>
                <w:color w:val="000000"/>
                <w:sz w:val="18"/>
                <w:szCs w:val="18"/>
              </w:rPr>
            </w:pPr>
            <w:r>
              <w:rPr>
                <w:rFonts w:ascii="宋体" w:hAnsi="宋体"/>
                <w:color w:val="000000"/>
                <w:sz w:val="18"/>
                <w:szCs w:val="18"/>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6</w:t>
            </w:r>
          </w:p>
        </w:tc>
        <w:tc>
          <w:tcPr>
            <w:tcW w:w="1356" w:type="pct"/>
            <w:vAlign w:val="center"/>
          </w:tcPr>
          <w:p>
            <w:pPr>
              <w:tabs>
                <w:tab w:val="left" w:pos="1388"/>
              </w:tabs>
              <w:jc w:val="center"/>
              <w:rPr>
                <w:rFonts w:ascii="宋体" w:hAnsi="宋体"/>
                <w:sz w:val="18"/>
                <w:szCs w:val="18"/>
              </w:rPr>
            </w:pPr>
            <w:r>
              <w:rPr>
                <w:rFonts w:ascii="宋体" w:hAnsi="宋体"/>
                <w:color w:val="000000"/>
                <w:sz w:val="18"/>
                <w:szCs w:val="18"/>
              </w:rPr>
              <w:t>组件循环加载性能</w:t>
            </w:r>
          </w:p>
        </w:tc>
        <w:tc>
          <w:tcPr>
            <w:tcW w:w="736" w:type="pct"/>
            <w:vAlign w:val="center"/>
          </w:tcPr>
          <w:p>
            <w:pPr>
              <w:tabs>
                <w:tab w:val="left" w:pos="1388"/>
              </w:tabs>
              <w:jc w:val="center"/>
              <w:rPr>
                <w:rFonts w:ascii="宋体" w:hAnsi="宋体"/>
                <w:color w:val="000000"/>
                <w:sz w:val="18"/>
                <w:szCs w:val="18"/>
              </w:rPr>
            </w:pPr>
            <w:r>
              <w:rPr>
                <w:rFonts w:hint="eastAsia" w:ascii="宋体" w:hAnsi="宋体"/>
                <w:color w:val="000000"/>
                <w:sz w:val="18"/>
                <w:szCs w:val="18"/>
              </w:rPr>
              <w:t>——</w:t>
            </w:r>
          </w:p>
        </w:tc>
        <w:tc>
          <w:tcPr>
            <w:tcW w:w="920" w:type="pct"/>
            <w:vAlign w:val="center"/>
          </w:tcPr>
          <w:p>
            <w:pPr>
              <w:tabs>
                <w:tab w:val="left" w:pos="1388"/>
              </w:tabs>
              <w:jc w:val="center"/>
              <w:rPr>
                <w:rFonts w:ascii="宋体" w:hAnsi="宋体"/>
                <w:color w:val="000000"/>
                <w:sz w:val="18"/>
                <w:szCs w:val="18"/>
                <w:highlight w:val="yellow"/>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6.5</w:t>
            </w:r>
          </w:p>
        </w:tc>
        <w:tc>
          <w:tcPr>
            <w:tcW w:w="753" w:type="pct"/>
          </w:tcPr>
          <w:p>
            <w:pPr>
              <w:tabs>
                <w:tab w:val="left" w:pos="1388"/>
              </w:tabs>
              <w:jc w:val="center"/>
              <w:rPr>
                <w:rFonts w:ascii="宋体" w:hAnsi="宋体"/>
                <w:color w:val="000000"/>
                <w:sz w:val="18"/>
                <w:szCs w:val="18"/>
              </w:rPr>
            </w:pPr>
            <w:r>
              <w:rPr>
                <w:rFonts w:ascii="宋体" w:hAnsi="宋体"/>
                <w:color w:val="000000"/>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7</w:t>
            </w:r>
          </w:p>
        </w:tc>
        <w:tc>
          <w:tcPr>
            <w:tcW w:w="1356" w:type="pct"/>
            <w:vAlign w:val="center"/>
          </w:tcPr>
          <w:p>
            <w:pPr>
              <w:tabs>
                <w:tab w:val="left" w:pos="1388"/>
              </w:tabs>
              <w:jc w:val="center"/>
              <w:rPr>
                <w:rFonts w:ascii="宋体" w:hAnsi="宋体"/>
                <w:color w:val="000000"/>
                <w:sz w:val="18"/>
                <w:szCs w:val="18"/>
              </w:rPr>
            </w:pPr>
            <w:r>
              <w:rPr>
                <w:rFonts w:ascii="宋体" w:hAnsi="宋体"/>
                <w:color w:val="000000"/>
                <w:sz w:val="18"/>
                <w:szCs w:val="18"/>
              </w:rPr>
              <w:t>耐火性能</w:t>
            </w:r>
          </w:p>
        </w:tc>
        <w:tc>
          <w:tcPr>
            <w:tcW w:w="736" w:type="pct"/>
            <w:vAlign w:val="center"/>
          </w:tcPr>
          <w:p>
            <w:pPr>
              <w:tabs>
                <w:tab w:val="left" w:pos="1388"/>
              </w:tabs>
              <w:jc w:val="center"/>
              <w:rPr>
                <w:rFonts w:ascii="宋体" w:hAnsi="宋体"/>
                <w:color w:val="000000"/>
                <w:sz w:val="18"/>
                <w:szCs w:val="18"/>
              </w:rPr>
            </w:pPr>
            <w:r>
              <w:rPr>
                <w:rFonts w:hint="eastAsia" w:ascii="宋体" w:hAnsi="宋体"/>
                <w:color w:val="000000"/>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6.6</w:t>
            </w:r>
          </w:p>
        </w:tc>
        <w:tc>
          <w:tcPr>
            <w:tcW w:w="753" w:type="pct"/>
          </w:tcPr>
          <w:p>
            <w:pPr>
              <w:tabs>
                <w:tab w:val="left" w:pos="1388"/>
              </w:tabs>
              <w:jc w:val="center"/>
              <w:rPr>
                <w:rFonts w:ascii="宋体" w:hAnsi="宋体"/>
                <w:color w:val="000000"/>
                <w:sz w:val="18"/>
                <w:szCs w:val="18"/>
              </w:rPr>
            </w:pPr>
            <w:r>
              <w:rPr>
                <w:rFonts w:ascii="宋体" w:hAnsi="宋体"/>
                <w:color w:val="000000"/>
                <w:sz w:val="18"/>
                <w:szCs w:val="18"/>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82" w:type="pct"/>
            <w:vAlign w:val="center"/>
          </w:tcPr>
          <w:p>
            <w:pPr>
              <w:tabs>
                <w:tab w:val="left" w:pos="1388"/>
              </w:tabs>
              <w:jc w:val="center"/>
              <w:rPr>
                <w:rFonts w:ascii="宋体" w:hAnsi="宋体"/>
                <w:color w:val="000000"/>
                <w:sz w:val="18"/>
                <w:szCs w:val="18"/>
              </w:rPr>
            </w:pPr>
            <w:r>
              <w:rPr>
                <w:rFonts w:ascii="宋体" w:hAnsi="宋体"/>
                <w:color w:val="000000"/>
                <w:sz w:val="18"/>
                <w:szCs w:val="18"/>
              </w:rPr>
              <w:t>8</w:t>
            </w:r>
          </w:p>
        </w:tc>
        <w:tc>
          <w:tcPr>
            <w:tcW w:w="1356" w:type="pct"/>
            <w:vAlign w:val="center"/>
          </w:tcPr>
          <w:p>
            <w:pPr>
              <w:tabs>
                <w:tab w:val="left" w:pos="1388"/>
              </w:tabs>
              <w:jc w:val="center"/>
              <w:rPr>
                <w:rFonts w:ascii="宋体" w:hAnsi="宋体"/>
                <w:color w:val="000000"/>
                <w:sz w:val="18"/>
                <w:szCs w:val="18"/>
              </w:rPr>
            </w:pPr>
            <w:r>
              <w:rPr>
                <w:rFonts w:ascii="宋体" w:hAnsi="宋体"/>
                <w:color w:val="000000"/>
                <w:sz w:val="18"/>
                <w:szCs w:val="18"/>
              </w:rPr>
              <w:t>防腐性能</w:t>
            </w:r>
          </w:p>
        </w:tc>
        <w:tc>
          <w:tcPr>
            <w:tcW w:w="736" w:type="pct"/>
            <w:vAlign w:val="center"/>
          </w:tcPr>
          <w:p>
            <w:pPr>
              <w:tabs>
                <w:tab w:val="left" w:pos="1388"/>
              </w:tabs>
              <w:jc w:val="center"/>
              <w:rPr>
                <w:rFonts w:ascii="宋体" w:hAnsi="宋体"/>
                <w:color w:val="000000"/>
                <w:sz w:val="18"/>
                <w:szCs w:val="18"/>
              </w:rPr>
            </w:pPr>
            <w:r>
              <w:rPr>
                <w:rFonts w:hint="eastAsia" w:ascii="宋体" w:hAnsi="宋体"/>
                <w:color w:val="000000"/>
                <w:sz w:val="18"/>
                <w:szCs w:val="18"/>
              </w:rPr>
              <w:t>——</w:t>
            </w:r>
          </w:p>
        </w:tc>
        <w:tc>
          <w:tcPr>
            <w:tcW w:w="920" w:type="pct"/>
            <w:vAlign w:val="center"/>
          </w:tcPr>
          <w:p>
            <w:pPr>
              <w:tabs>
                <w:tab w:val="left" w:pos="1388"/>
              </w:tabs>
              <w:jc w:val="center"/>
              <w:rPr>
                <w:rFonts w:ascii="宋体" w:hAnsi="宋体"/>
                <w:color w:val="000000"/>
                <w:sz w:val="18"/>
                <w:szCs w:val="18"/>
              </w:rPr>
            </w:pPr>
            <w:r>
              <w:rPr>
                <w:rFonts w:ascii="宋体" w:hAnsi="宋体"/>
                <w:color w:val="000000"/>
                <w:sz w:val="18"/>
                <w:szCs w:val="18"/>
              </w:rPr>
              <w:t>√</w:t>
            </w:r>
          </w:p>
        </w:tc>
        <w:tc>
          <w:tcPr>
            <w:tcW w:w="753" w:type="pct"/>
            <w:vAlign w:val="center"/>
          </w:tcPr>
          <w:p>
            <w:pPr>
              <w:tabs>
                <w:tab w:val="left" w:pos="1388"/>
              </w:tabs>
              <w:jc w:val="center"/>
              <w:rPr>
                <w:rFonts w:ascii="宋体" w:hAnsi="宋体"/>
                <w:sz w:val="18"/>
                <w:szCs w:val="18"/>
              </w:rPr>
            </w:pPr>
            <w:r>
              <w:rPr>
                <w:rFonts w:ascii="宋体" w:hAnsi="宋体"/>
                <w:sz w:val="18"/>
                <w:szCs w:val="18"/>
              </w:rPr>
              <w:t>6.7</w:t>
            </w:r>
          </w:p>
        </w:tc>
        <w:tc>
          <w:tcPr>
            <w:tcW w:w="753" w:type="pct"/>
          </w:tcPr>
          <w:p>
            <w:pPr>
              <w:tabs>
                <w:tab w:val="left" w:pos="1388"/>
              </w:tabs>
              <w:jc w:val="center"/>
              <w:rPr>
                <w:rFonts w:ascii="宋体" w:hAnsi="宋体"/>
                <w:color w:val="000000"/>
                <w:sz w:val="18"/>
                <w:szCs w:val="18"/>
              </w:rPr>
            </w:pPr>
            <w:r>
              <w:rPr>
                <w:rFonts w:ascii="宋体" w:hAnsi="宋体"/>
                <w:color w:val="000000"/>
                <w:sz w:val="18"/>
                <w:szCs w:val="18"/>
              </w:rPr>
              <w:t>7.7</w:t>
            </w:r>
          </w:p>
        </w:tc>
      </w:tr>
    </w:tbl>
    <w:p>
      <w:pPr>
        <w:pStyle w:val="62"/>
        <w:ind w:firstLine="420"/>
      </w:pPr>
    </w:p>
    <w:p>
      <w:pPr>
        <w:pStyle w:val="71"/>
        <w:numPr>
          <w:ilvl w:val="0"/>
          <w:numId w:val="0"/>
        </w:numPr>
        <w:spacing w:before="156" w:after="156"/>
      </w:pPr>
      <w:r>
        <w:rPr>
          <w:rFonts w:hint="eastAsia"/>
        </w:rPr>
        <w:t>8</w:t>
      </w:r>
      <w:r>
        <w:t xml:space="preserve">.3  </w:t>
      </w:r>
      <w:r>
        <w:rPr>
          <w:rFonts w:hint="eastAsia"/>
        </w:rPr>
        <w:t>型式</w:t>
      </w:r>
      <w:r>
        <w:t>检验</w:t>
      </w:r>
    </w:p>
    <w:p>
      <w:pPr>
        <w:pStyle w:val="170"/>
        <w:numPr>
          <w:ilvl w:val="0"/>
          <w:numId w:val="0"/>
        </w:numPr>
        <w:rPr>
          <w:rFonts w:ascii="Times New Roman"/>
        </w:rPr>
      </w:pPr>
      <w:r>
        <w:rPr>
          <w:rFonts w:hint="eastAsia" w:ascii="黑体" w:hAnsi="黑体" w:eastAsia="黑体"/>
        </w:rPr>
        <w:t>8</w:t>
      </w:r>
      <w:r>
        <w:rPr>
          <w:rFonts w:ascii="黑体" w:hAnsi="黑体" w:eastAsia="黑体"/>
        </w:rPr>
        <w:t>.3.1</w:t>
      </w:r>
      <w:r>
        <w:t xml:space="preserve">  </w:t>
      </w:r>
      <w:r>
        <w:rPr>
          <w:rFonts w:ascii="Times New Roman"/>
        </w:rPr>
        <w:t>有下列情况之一时，应进行型式检验：</w:t>
      </w:r>
    </w:p>
    <w:p>
      <w:pPr>
        <w:pStyle w:val="180"/>
        <w:numPr>
          <w:ilvl w:val="0"/>
          <w:numId w:val="45"/>
        </w:numPr>
        <w:rPr>
          <w:rFonts w:ascii="Times New Roman"/>
        </w:rPr>
      </w:pPr>
      <w:r>
        <w:rPr>
          <w:rFonts w:ascii="Times New Roman"/>
        </w:rPr>
        <w:t>新产品试制定型鉴定时；</w:t>
      </w:r>
    </w:p>
    <w:p>
      <w:pPr>
        <w:pStyle w:val="180"/>
        <w:rPr>
          <w:rFonts w:ascii="Times New Roman"/>
        </w:rPr>
      </w:pPr>
      <w:r>
        <w:rPr>
          <w:rFonts w:ascii="Times New Roman"/>
        </w:rPr>
        <w:t>正式投产后，产品结构﹑材料﹑工艺及关键工序改变时；</w:t>
      </w:r>
    </w:p>
    <w:p>
      <w:pPr>
        <w:pStyle w:val="180"/>
        <w:rPr>
          <w:rFonts w:ascii="Times New Roman"/>
        </w:rPr>
      </w:pPr>
      <w:r>
        <w:rPr>
          <w:rFonts w:ascii="Times New Roman"/>
        </w:rPr>
        <w:t>发生重大质量事故时；</w:t>
      </w:r>
    </w:p>
    <w:p>
      <w:pPr>
        <w:pStyle w:val="180"/>
        <w:rPr>
          <w:rFonts w:ascii="Times New Roman"/>
          <w:color w:val="FF0000"/>
        </w:rPr>
      </w:pPr>
      <w:r>
        <w:rPr>
          <w:rFonts w:ascii="Times New Roman"/>
        </w:rPr>
        <w:t>产品停产一年以上，恢复生产时；</w:t>
      </w:r>
      <w:r>
        <w:rPr>
          <w:rFonts w:ascii="Times New Roman"/>
          <w:color w:val="FF0000"/>
        </w:rPr>
        <w:t xml:space="preserve"> </w:t>
      </w:r>
    </w:p>
    <w:p>
      <w:pPr>
        <w:pStyle w:val="180"/>
        <w:rPr>
          <w:rFonts w:ascii="Times New Roman"/>
        </w:rPr>
      </w:pPr>
      <w:r>
        <w:rPr>
          <w:rFonts w:ascii="Times New Roman"/>
        </w:rPr>
        <w:t>正常生产的产品，每5年定期检验。</w:t>
      </w:r>
    </w:p>
    <w:p>
      <w:pPr>
        <w:pStyle w:val="170"/>
        <w:numPr>
          <w:ilvl w:val="0"/>
          <w:numId w:val="0"/>
        </w:numPr>
        <w:rPr>
          <w:rFonts w:ascii="Times New Roman"/>
        </w:rPr>
      </w:pPr>
      <w:r>
        <w:rPr>
          <w:rFonts w:ascii="黑体" w:hAnsi="黑体" w:eastAsia="黑体"/>
        </w:rPr>
        <w:t>8.3.2</w:t>
      </w:r>
      <w:r>
        <w:rPr>
          <w:rFonts w:ascii="Times New Roman" w:eastAsia="黑体"/>
        </w:rPr>
        <w:t xml:space="preserve">    </w:t>
      </w:r>
      <w:r>
        <w:rPr>
          <w:rFonts w:ascii="Times New Roman"/>
        </w:rPr>
        <w:t>型式检验项目应符合表8的规定</w:t>
      </w:r>
      <w:r>
        <w:rPr>
          <w:rFonts w:hint="eastAsia" w:ascii="Times New Roman"/>
        </w:rPr>
        <w:t>，抗震</w:t>
      </w:r>
      <w:r>
        <w:rPr>
          <w:rFonts w:ascii="Times New Roman"/>
        </w:rPr>
        <w:t>支吊架性能说明书见附录</w:t>
      </w:r>
      <w:r>
        <w:rPr>
          <w:rFonts w:hint="eastAsia" w:ascii="Times New Roman"/>
        </w:rPr>
        <w:t>G</w:t>
      </w:r>
      <w:r>
        <w:rPr>
          <w:rFonts w:ascii="Times New Roman"/>
        </w:rPr>
        <w:t>。</w:t>
      </w:r>
    </w:p>
    <w:p>
      <w:pPr>
        <w:pStyle w:val="111"/>
        <w:numPr>
          <w:ilvl w:val="0"/>
          <w:numId w:val="0"/>
        </w:numPr>
        <w:spacing w:before="156" w:after="156"/>
      </w:pPr>
      <w:bookmarkStart w:id="101" w:name="_Toc81322380"/>
      <w:r>
        <w:rPr>
          <w:rFonts w:hint="eastAsia"/>
        </w:rPr>
        <w:t>8</w:t>
      </w:r>
      <w:r>
        <w:t xml:space="preserve">.4  </w:t>
      </w:r>
      <w:r>
        <w:rPr>
          <w:rFonts w:hint="eastAsia"/>
        </w:rPr>
        <w:t>抽样方法</w:t>
      </w:r>
      <w:bookmarkEnd w:id="101"/>
    </w:p>
    <w:p>
      <w:pPr>
        <w:pStyle w:val="180"/>
        <w:numPr>
          <w:ilvl w:val="0"/>
          <w:numId w:val="0"/>
        </w:numPr>
      </w:pPr>
      <w:bookmarkStart w:id="102" w:name="_Toc81322381"/>
      <w:r>
        <w:rPr>
          <w:rFonts w:hint="eastAsia" w:ascii="黑体" w:hAnsi="黑体" w:eastAsia="黑体"/>
        </w:rPr>
        <w:t>8.</w:t>
      </w:r>
      <w:r>
        <w:rPr>
          <w:rFonts w:ascii="黑体" w:hAnsi="黑体" w:eastAsia="黑体"/>
        </w:rPr>
        <w:t>4</w:t>
      </w:r>
      <w:r>
        <w:rPr>
          <w:rFonts w:hint="eastAsia" w:ascii="黑体" w:hAnsi="黑体" w:eastAsia="黑体"/>
        </w:rPr>
        <w:t>.1</w:t>
      </w:r>
      <w:r>
        <w:t xml:space="preserve">  </w:t>
      </w:r>
      <w:r>
        <w:rPr>
          <w:rFonts w:ascii="Times New Roman"/>
        </w:rPr>
        <w:t>型式检验应采取随机抽样，每种部件抽样基数不应少于5000</w:t>
      </w:r>
      <w:r>
        <w:rPr>
          <w:rFonts w:hint="eastAsia" w:ascii="Times New Roman"/>
        </w:rPr>
        <w:t>件</w:t>
      </w:r>
      <w:r>
        <w:rPr>
          <w:rFonts w:ascii="Times New Roman"/>
        </w:rPr>
        <w:t>。</w:t>
      </w:r>
    </w:p>
    <w:p>
      <w:pPr>
        <w:pStyle w:val="180"/>
        <w:numPr>
          <w:ilvl w:val="0"/>
          <w:numId w:val="0"/>
        </w:numPr>
        <w:jc w:val="left"/>
      </w:pPr>
      <w:r>
        <w:rPr>
          <w:rFonts w:hint="eastAsia" w:ascii="黑体" w:hAnsi="黑体" w:eastAsia="黑体"/>
        </w:rPr>
        <w:t>8.</w:t>
      </w:r>
      <w:r>
        <w:rPr>
          <w:rFonts w:ascii="黑体" w:hAnsi="黑体" w:eastAsia="黑体"/>
        </w:rPr>
        <w:t>4</w:t>
      </w:r>
      <w:r>
        <w:rPr>
          <w:rFonts w:hint="eastAsia" w:ascii="黑体" w:hAnsi="黑体" w:eastAsia="黑体"/>
        </w:rPr>
        <w:t>.2</w:t>
      </w:r>
      <w:r>
        <w:rPr>
          <w:rFonts w:ascii="黑体" w:hAnsi="黑体" w:eastAsia="黑体"/>
        </w:rPr>
        <w:t xml:space="preserve">  </w:t>
      </w:r>
      <w:r>
        <w:rPr>
          <w:rFonts w:ascii="Times New Roman"/>
        </w:rPr>
        <w:t>出厂检验应以一个月内每10000</w:t>
      </w:r>
      <w:r>
        <w:rPr>
          <w:rFonts w:hint="eastAsia" w:ascii="Times New Roman"/>
        </w:rPr>
        <w:t>件</w:t>
      </w:r>
      <w:r>
        <w:rPr>
          <w:rFonts w:ascii="Times New Roman"/>
        </w:rPr>
        <w:t>为一批，每批随机抽取样品数应为6</w:t>
      </w:r>
      <w:r>
        <w:rPr>
          <w:rFonts w:hint="eastAsia" w:ascii="Times New Roman"/>
        </w:rPr>
        <w:t>件</w:t>
      </w:r>
      <w:r>
        <w:rPr>
          <w:rFonts w:ascii="Times New Roman"/>
        </w:rPr>
        <w:t>，样品数量不足10000</w:t>
      </w:r>
      <w:r>
        <w:rPr>
          <w:rFonts w:hint="eastAsia" w:ascii="Times New Roman"/>
        </w:rPr>
        <w:t>件</w:t>
      </w:r>
      <w:r>
        <w:rPr>
          <w:rFonts w:ascii="Times New Roman"/>
        </w:rPr>
        <w:t>时，也应划分为一个检验批。</w:t>
      </w:r>
    </w:p>
    <w:p>
      <w:pPr>
        <w:pStyle w:val="111"/>
        <w:numPr>
          <w:ilvl w:val="0"/>
          <w:numId w:val="0"/>
        </w:numPr>
        <w:tabs>
          <w:tab w:val="right" w:pos="9354"/>
        </w:tabs>
        <w:spacing w:before="156" w:after="156"/>
      </w:pPr>
      <w:r>
        <w:rPr>
          <w:rFonts w:hint="eastAsia"/>
        </w:rPr>
        <w:t>8</w:t>
      </w:r>
      <w:r>
        <w:t xml:space="preserve">.5  </w:t>
      </w:r>
      <w:r>
        <w:rPr>
          <w:rFonts w:hint="eastAsia"/>
        </w:rPr>
        <w:t>判定规则</w:t>
      </w:r>
      <w:bookmarkEnd w:id="102"/>
      <w:r>
        <w:tab/>
      </w:r>
    </w:p>
    <w:p>
      <w:pPr>
        <w:pStyle w:val="171"/>
        <w:numPr>
          <w:ilvl w:val="0"/>
          <w:numId w:val="0"/>
        </w:numPr>
      </w:pPr>
      <w:bookmarkStart w:id="103" w:name="_Toc81322382"/>
      <w:bookmarkStart w:id="104" w:name="_Toc81322412"/>
      <w:bookmarkStart w:id="105" w:name="_Toc90303272"/>
      <w:r>
        <w:rPr>
          <w:rFonts w:hint="eastAsia" w:ascii="黑体" w:hAnsi="黑体" w:eastAsia="黑体"/>
        </w:rPr>
        <w:t>8</w:t>
      </w:r>
      <w:r>
        <w:rPr>
          <w:rFonts w:ascii="黑体" w:hAnsi="黑体" w:eastAsia="黑体"/>
        </w:rPr>
        <w:t>.5.1</w:t>
      </w:r>
      <w:r>
        <w:t xml:space="preserve">  </w:t>
      </w:r>
      <w:r>
        <w:rPr>
          <w:rFonts w:ascii="Times New Roman"/>
        </w:rPr>
        <w:t>型式检验所有项目均符合标准规定时，判定为合格。</w:t>
      </w:r>
    </w:p>
    <w:p>
      <w:pPr>
        <w:pStyle w:val="171"/>
        <w:numPr>
          <w:ilvl w:val="0"/>
          <w:numId w:val="0"/>
        </w:numPr>
        <w:rPr>
          <w:rFonts w:ascii="Times New Roman"/>
        </w:rPr>
        <w:sectPr>
          <w:footerReference r:id="rId32" w:type="default"/>
          <w:type w:val="continuous"/>
          <w:pgSz w:w="11906" w:h="16838"/>
          <w:pgMar w:top="2410" w:right="1134" w:bottom="1134" w:left="1134" w:header="1418" w:footer="1134" w:gutter="284"/>
          <w:pgNumType w:fmt="upperRoman"/>
          <w:cols w:space="425" w:num="1"/>
          <w:formProt w:val="0"/>
          <w:docGrid w:type="lines" w:linePitch="312" w:charSpace="0"/>
        </w:sectPr>
      </w:pPr>
      <w:r>
        <w:rPr>
          <w:rFonts w:hint="eastAsia" w:ascii="黑体" w:hAnsi="黑体" w:eastAsia="黑体"/>
        </w:rPr>
        <w:t>8</w:t>
      </w:r>
      <w:r>
        <w:rPr>
          <w:rFonts w:ascii="黑体" w:hAnsi="黑体" w:eastAsia="黑体"/>
        </w:rPr>
        <w:t>.5.2</w:t>
      </w:r>
      <w:r>
        <w:t xml:space="preserve">  </w:t>
      </w:r>
      <w:r>
        <w:rPr>
          <w:rFonts w:ascii="Times New Roman"/>
        </w:rPr>
        <w:t>出厂检验项目不合格时，允许加倍抽样进行复检。复检全部合格判定该批产品合格；复检不合格判定该批产品不合格。</w:t>
      </w:r>
    </w:p>
    <w:p>
      <w:pPr>
        <w:pStyle w:val="110"/>
        <w:numPr>
          <w:ilvl w:val="0"/>
          <w:numId w:val="0"/>
        </w:numPr>
        <w:tabs>
          <w:tab w:val="right" w:pos="9354"/>
        </w:tabs>
        <w:spacing w:before="312" w:after="312"/>
      </w:pPr>
      <w:bookmarkStart w:id="106" w:name="_Toc135225132"/>
      <w:bookmarkStart w:id="107" w:name="_Toc128552137"/>
      <w:r>
        <w:rPr>
          <w:rFonts w:hint="eastAsia"/>
        </w:rPr>
        <w:t>9</w:t>
      </w:r>
      <w:r>
        <w:t xml:space="preserve">  </w:t>
      </w:r>
      <w:r>
        <w:rPr>
          <w:rFonts w:hint="eastAsia"/>
        </w:rPr>
        <w:t>标志、包装、运输和贮存</w:t>
      </w:r>
      <w:bookmarkEnd w:id="103"/>
      <w:bookmarkEnd w:id="104"/>
      <w:bookmarkEnd w:id="105"/>
      <w:bookmarkEnd w:id="106"/>
      <w:bookmarkEnd w:id="107"/>
      <w:r>
        <w:tab/>
      </w:r>
    </w:p>
    <w:p>
      <w:pPr>
        <w:pStyle w:val="111"/>
        <w:numPr>
          <w:ilvl w:val="0"/>
          <w:numId w:val="0"/>
        </w:numPr>
        <w:spacing w:before="156" w:after="156"/>
      </w:pPr>
      <w:bookmarkStart w:id="108" w:name="_Toc81322383"/>
      <w:r>
        <w:rPr>
          <w:rFonts w:hint="eastAsia"/>
        </w:rPr>
        <w:t>9</w:t>
      </w:r>
      <w:r>
        <w:t xml:space="preserve">.1  </w:t>
      </w:r>
      <w:r>
        <w:rPr>
          <w:rFonts w:hint="eastAsia"/>
        </w:rPr>
        <w:t>标志</w:t>
      </w:r>
      <w:bookmarkEnd w:id="108"/>
    </w:p>
    <w:p>
      <w:pPr>
        <w:pStyle w:val="71"/>
        <w:numPr>
          <w:ilvl w:val="0"/>
          <w:numId w:val="0"/>
        </w:numPr>
        <w:spacing w:before="156" w:after="156"/>
        <w:rPr>
          <w:rFonts w:ascii="Times New Roman" w:eastAsia="宋体"/>
        </w:rPr>
      </w:pPr>
      <w:r>
        <w:rPr>
          <w:rFonts w:hAnsi="黑体"/>
        </w:rPr>
        <w:t xml:space="preserve">    </w:t>
      </w:r>
      <w:r>
        <w:rPr>
          <w:rFonts w:ascii="Times New Roman" w:eastAsia="宋体"/>
        </w:rPr>
        <w:t>产品部件应设清晰耐久性标志，并应至少包括下列内容：</w:t>
      </w:r>
    </w:p>
    <w:p>
      <w:pPr>
        <w:pStyle w:val="180"/>
        <w:numPr>
          <w:ilvl w:val="0"/>
          <w:numId w:val="46"/>
        </w:numPr>
        <w:rPr>
          <w:rFonts w:ascii="Times New Roman"/>
        </w:rPr>
      </w:pPr>
      <w:r>
        <w:rPr>
          <w:rFonts w:ascii="Times New Roman"/>
        </w:rPr>
        <w:t>规格型号；</w:t>
      </w:r>
    </w:p>
    <w:p>
      <w:pPr>
        <w:pStyle w:val="180"/>
        <w:numPr>
          <w:ilvl w:val="0"/>
          <w:numId w:val="46"/>
        </w:numPr>
        <w:rPr>
          <w:rFonts w:ascii="Times New Roman"/>
        </w:rPr>
      </w:pPr>
      <w:r>
        <w:rPr>
          <w:rFonts w:ascii="Times New Roman"/>
        </w:rPr>
        <w:t>制造商名称或商标；</w:t>
      </w:r>
    </w:p>
    <w:p>
      <w:pPr>
        <w:pStyle w:val="180"/>
        <w:numPr>
          <w:ilvl w:val="0"/>
          <w:numId w:val="46"/>
        </w:numPr>
      </w:pPr>
      <w:r>
        <w:rPr>
          <w:rFonts w:ascii="Times New Roman"/>
        </w:rPr>
        <w:t>制造日期或编号。</w:t>
      </w:r>
    </w:p>
    <w:p>
      <w:pPr>
        <w:pStyle w:val="111"/>
        <w:numPr>
          <w:ilvl w:val="0"/>
          <w:numId w:val="0"/>
        </w:numPr>
        <w:spacing w:before="156" w:after="156"/>
      </w:pPr>
      <w:bookmarkStart w:id="109" w:name="_Toc81322384"/>
      <w:r>
        <w:rPr>
          <w:rFonts w:hint="eastAsia"/>
        </w:rPr>
        <w:t>9</w:t>
      </w:r>
      <w:r>
        <w:t xml:space="preserve">.2  </w:t>
      </w:r>
      <w:r>
        <w:rPr>
          <w:rFonts w:hint="eastAsia"/>
        </w:rPr>
        <w:t>包装</w:t>
      </w:r>
      <w:bookmarkEnd w:id="109"/>
    </w:p>
    <w:p>
      <w:pPr>
        <w:pStyle w:val="171"/>
        <w:numPr>
          <w:ilvl w:val="0"/>
          <w:numId w:val="0"/>
        </w:numPr>
        <w:rPr>
          <w:rFonts w:ascii="Times New Roman"/>
        </w:rPr>
      </w:pPr>
      <w:r>
        <w:rPr>
          <w:rFonts w:hint="eastAsia" w:ascii="黑体" w:hAnsi="黑体" w:eastAsia="黑体"/>
        </w:rPr>
        <w:t>9</w:t>
      </w:r>
      <w:r>
        <w:rPr>
          <w:rFonts w:ascii="黑体" w:hAnsi="黑体" w:eastAsia="黑体"/>
        </w:rPr>
        <w:t>.2.1</w:t>
      </w:r>
      <w:r>
        <w:t xml:space="preserve">  </w:t>
      </w:r>
      <w:r>
        <w:rPr>
          <w:rFonts w:ascii="Times New Roman"/>
        </w:rPr>
        <w:t>产品构件应采用包装箱分类包装。</w:t>
      </w:r>
    </w:p>
    <w:p>
      <w:pPr>
        <w:pStyle w:val="171"/>
        <w:numPr>
          <w:ilvl w:val="0"/>
          <w:numId w:val="0"/>
        </w:numPr>
        <w:rPr>
          <w:rFonts w:ascii="Times New Roman"/>
        </w:rPr>
      </w:pPr>
      <w:r>
        <w:rPr>
          <w:rFonts w:ascii="黑体" w:hAnsi="黑体" w:eastAsia="黑体"/>
        </w:rPr>
        <w:t xml:space="preserve">9.2.2  </w:t>
      </w:r>
      <w:r>
        <w:rPr>
          <w:rFonts w:ascii="Times New Roman"/>
        </w:rPr>
        <w:t>产品包装中应附带产品合格证。</w:t>
      </w:r>
    </w:p>
    <w:p>
      <w:pPr>
        <w:pStyle w:val="171"/>
        <w:numPr>
          <w:ilvl w:val="0"/>
          <w:numId w:val="0"/>
        </w:numPr>
        <w:rPr>
          <w:rFonts w:ascii="Times New Roman"/>
        </w:rPr>
      </w:pPr>
      <w:r>
        <w:rPr>
          <w:rFonts w:ascii="黑体" w:hAnsi="黑体" w:eastAsia="黑体"/>
        </w:rPr>
        <w:t xml:space="preserve">9.2.3  </w:t>
      </w:r>
      <w:r>
        <w:rPr>
          <w:rFonts w:ascii="Times New Roman"/>
        </w:rPr>
        <w:t>在包装箱外应标明放置方向、贮存防护条件</w:t>
      </w:r>
      <w:r>
        <w:rPr>
          <w:rFonts w:hint="eastAsia" w:ascii="Times New Roman"/>
        </w:rPr>
        <w:t>、</w:t>
      </w:r>
      <w:r>
        <w:rPr>
          <w:rFonts w:ascii="Times New Roman"/>
        </w:rPr>
        <w:t>生产日期或编号等</w:t>
      </w:r>
      <w:r>
        <w:rPr>
          <w:rFonts w:hint="eastAsia" w:ascii="Times New Roman"/>
        </w:rPr>
        <w:t>，</w:t>
      </w:r>
      <w:r>
        <w:rPr>
          <w:rFonts w:ascii="Times New Roman"/>
        </w:rPr>
        <w:t>包装储运图示标志应符合GB/T 191的规定。</w:t>
      </w:r>
    </w:p>
    <w:p>
      <w:pPr>
        <w:pStyle w:val="111"/>
        <w:numPr>
          <w:ilvl w:val="0"/>
          <w:numId w:val="0"/>
        </w:numPr>
        <w:spacing w:before="156" w:after="156"/>
      </w:pPr>
      <w:bookmarkStart w:id="110" w:name="_Toc81322385"/>
      <w:r>
        <w:rPr>
          <w:rFonts w:hint="eastAsia"/>
        </w:rPr>
        <w:t>9</w:t>
      </w:r>
      <w:r>
        <w:t xml:space="preserve">.3  </w:t>
      </w:r>
      <w:r>
        <w:rPr>
          <w:rFonts w:hint="eastAsia"/>
        </w:rPr>
        <w:t>运输</w:t>
      </w:r>
      <w:bookmarkEnd w:id="110"/>
    </w:p>
    <w:p>
      <w:pPr>
        <w:pStyle w:val="62"/>
        <w:ind w:firstLine="420"/>
        <w:rPr>
          <w:rFonts w:ascii="Times New Roman"/>
        </w:rPr>
      </w:pPr>
      <w:r>
        <w:rPr>
          <w:rFonts w:ascii="Times New Roman"/>
        </w:rPr>
        <w:t>产品运输过程中应防雨防潮，装卸时应防止剧烈撞击。</w:t>
      </w:r>
    </w:p>
    <w:p>
      <w:pPr>
        <w:pStyle w:val="111"/>
        <w:numPr>
          <w:ilvl w:val="1"/>
          <w:numId w:val="47"/>
        </w:numPr>
        <w:spacing w:before="156" w:after="156"/>
      </w:pPr>
      <w:bookmarkStart w:id="111" w:name="_Toc81322386"/>
      <w:r>
        <w:rPr>
          <w:rFonts w:hint="eastAsia"/>
        </w:rPr>
        <w:t xml:space="preserve"> </w:t>
      </w:r>
      <w:r>
        <w:t xml:space="preserve"> </w:t>
      </w:r>
      <w:r>
        <w:rPr>
          <w:rFonts w:hint="eastAsia"/>
        </w:rPr>
        <w:t>贮存</w:t>
      </w:r>
      <w:bookmarkEnd w:id="111"/>
    </w:p>
    <w:p>
      <w:pPr>
        <w:pStyle w:val="171"/>
        <w:numPr>
          <w:ilvl w:val="0"/>
          <w:numId w:val="0"/>
        </w:numPr>
        <w:ind w:firstLine="420" w:firstLineChars="200"/>
        <w:rPr>
          <w:rFonts w:ascii="Times New Roman"/>
        </w:rPr>
      </w:pPr>
      <w:r>
        <w:rPr>
          <w:rFonts w:ascii="Times New Roman"/>
        </w:rPr>
        <w:t>产品应存放在通风干燥的库房内，存放避免与腐蚀性介质接触，贮存温度应为-20℃～+40℃</w:t>
      </w:r>
      <w:r>
        <w:rPr>
          <w:rFonts w:hint="eastAsia" w:ascii="Times New Roman"/>
        </w:rPr>
        <w:t>，</w:t>
      </w:r>
      <w:r>
        <w:rPr>
          <w:rFonts w:ascii="Times New Roman"/>
        </w:rPr>
        <w:t>镀锌产品</w:t>
      </w:r>
      <w:r>
        <w:rPr>
          <w:rFonts w:hint="eastAsia" w:ascii="Times New Roman"/>
        </w:rPr>
        <w:t>宜</w:t>
      </w:r>
      <w:r>
        <w:rPr>
          <w:rFonts w:ascii="Times New Roman"/>
        </w:rPr>
        <w:t>在相对湿度65%以下储存。</w:t>
      </w:r>
    </w:p>
    <w:p>
      <w:pPr>
        <w:pStyle w:val="171"/>
        <w:numPr>
          <w:ilvl w:val="3"/>
          <w:numId w:val="48"/>
        </w:numPr>
        <w:sectPr>
          <w:footerReference r:id="rId33" w:type="default"/>
          <w:type w:val="continuous"/>
          <w:pgSz w:w="11906" w:h="16838"/>
          <w:pgMar w:top="2410" w:right="1134" w:bottom="1134" w:left="1134" w:header="1418" w:footer="1134" w:gutter="284"/>
          <w:pgNumType w:fmt="upperRoman"/>
          <w:cols w:space="425" w:num="1"/>
          <w:formProt w:val="0"/>
          <w:docGrid w:type="lines" w:linePitch="312" w:charSpace="0"/>
        </w:sectPr>
      </w:pPr>
    </w:p>
    <w:bookmarkEnd w:id="29"/>
    <w:p>
      <w:pPr>
        <w:pStyle w:val="204"/>
        <w:rPr>
          <w:vanish w:val="0"/>
        </w:rPr>
      </w:pPr>
      <w:bookmarkStart w:id="112" w:name="BookMark5"/>
    </w:p>
    <w:p>
      <w:pPr>
        <w:pStyle w:val="205"/>
        <w:rPr>
          <w:vanish w:val="0"/>
        </w:rPr>
      </w:pPr>
    </w:p>
    <w:p>
      <w:pPr>
        <w:pStyle w:val="82"/>
        <w:spacing w:before="78" w:after="156"/>
      </w:pPr>
      <w:r>
        <w:br w:type="textWrapping"/>
      </w:r>
      <w:bookmarkStart w:id="113" w:name="_Toc81322414"/>
      <w:bookmarkStart w:id="114" w:name="_Toc81322394"/>
      <w:bookmarkStart w:id="115" w:name="_Toc90303274"/>
      <w:bookmarkStart w:id="116" w:name="_Toc128552139"/>
      <w:bookmarkStart w:id="117" w:name="_Toc135225134"/>
      <w:r>
        <w:rPr>
          <w:rFonts w:hint="eastAsia"/>
        </w:rPr>
        <w:t>（资料性）</w:t>
      </w:r>
      <w:r>
        <w:br w:type="textWrapping"/>
      </w:r>
      <w:r>
        <w:rPr>
          <w:rFonts w:hint="eastAsia"/>
        </w:rPr>
        <w:t>抗震连接件结构型式</w:t>
      </w:r>
      <w:bookmarkEnd w:id="113"/>
      <w:bookmarkEnd w:id="114"/>
      <w:bookmarkEnd w:id="115"/>
      <w:bookmarkEnd w:id="116"/>
      <w:bookmarkEnd w:id="117"/>
    </w:p>
    <w:p>
      <w:pPr>
        <w:pStyle w:val="84"/>
        <w:spacing w:before="312" w:beforeLines="100" w:after="312" w:afterLines="100"/>
        <w:rPr>
          <w:rFonts w:ascii="Times New Roman"/>
        </w:rPr>
      </w:pPr>
      <w:bookmarkStart w:id="118" w:name="_Toc81322395"/>
      <w:r>
        <w:rPr>
          <w:rFonts w:ascii="Times New Roman"/>
        </w:rPr>
        <w:t>A型连接件</w:t>
      </w:r>
      <w:bookmarkEnd w:id="118"/>
    </w:p>
    <w:p>
      <w:pPr>
        <w:pStyle w:val="62"/>
        <w:ind w:firstLine="420"/>
        <w:rPr>
          <w:rFonts w:ascii="Times New Roman"/>
          <w:szCs w:val="21"/>
        </w:rPr>
      </w:pPr>
      <w:r>
        <w:rPr>
          <w:rFonts w:ascii="Times New Roman"/>
          <w:szCs w:val="21"/>
        </w:rPr>
        <w:t>三视图及结构型式见图A.1。</w:t>
      </w:r>
    </w:p>
    <w:p>
      <w:pPr>
        <w:pStyle w:val="62"/>
        <w:ind w:firstLine="420"/>
        <w:rPr>
          <w:rFonts w:ascii="Times New Roman"/>
          <w:szCs w:val="21"/>
        </w:rPr>
      </w:pPr>
    </w:p>
    <w:p>
      <w:pPr>
        <w:pStyle w:val="241"/>
        <w:ind w:firstLine="0" w:firstLineChars="0"/>
        <w:jc w:val="center"/>
      </w:pPr>
      <w:r>
        <w:drawing>
          <wp:inline distT="0" distB="0" distL="0" distR="0">
            <wp:extent cx="1283970" cy="1206500"/>
            <wp:effectExtent l="0" t="0" r="0" b="0"/>
            <wp:docPr id="88" name="图片 88" descr="C:\Users\18682365158\Desktop\抗D左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18682365158\Desktop\抗D左视图.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11503" cy="1232306"/>
                    </a:xfrm>
                    <a:prstGeom prst="rect">
                      <a:avLst/>
                    </a:prstGeom>
                    <a:noFill/>
                    <a:ln>
                      <a:noFill/>
                    </a:ln>
                  </pic:spPr>
                </pic:pic>
              </a:graphicData>
            </a:graphic>
          </wp:inline>
        </w:drawing>
      </w:r>
      <w:r>
        <w:t xml:space="preserve">     </w:t>
      </w:r>
      <w:r>
        <w:drawing>
          <wp:inline distT="0" distB="0" distL="0" distR="0">
            <wp:extent cx="1430020" cy="774700"/>
            <wp:effectExtent l="0" t="0" r="0" b="6350"/>
            <wp:docPr id="89" name="图片 89" descr="C:\Users\18682365158\Desktop\抗D俯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18682365158\Desktop\抗D俯视图.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452709" cy="786732"/>
                    </a:xfrm>
                    <a:prstGeom prst="rect">
                      <a:avLst/>
                    </a:prstGeom>
                    <a:noFill/>
                    <a:ln>
                      <a:noFill/>
                    </a:ln>
                  </pic:spPr>
                </pic:pic>
              </a:graphicData>
            </a:graphic>
          </wp:inline>
        </w:drawing>
      </w:r>
      <w:r>
        <w:t xml:space="preserve">      </w:t>
      </w:r>
      <w:r>
        <w:drawing>
          <wp:inline distT="0" distB="0" distL="0" distR="0">
            <wp:extent cx="1130300" cy="1250315"/>
            <wp:effectExtent l="0" t="0" r="0" b="6985"/>
            <wp:docPr id="90" name="图片 90" descr="C:\Users\18682365158\Desktop\抗D斜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18682365158\Desktop\抗D斜视图.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164327" cy="1288357"/>
                    </a:xfrm>
                    <a:prstGeom prst="rect">
                      <a:avLst/>
                    </a:prstGeom>
                    <a:noFill/>
                    <a:ln>
                      <a:noFill/>
                    </a:ln>
                  </pic:spPr>
                </pic:pic>
              </a:graphicData>
            </a:graphic>
          </wp:inline>
        </w:drawing>
      </w:r>
    </w:p>
    <w:p>
      <w:pPr>
        <w:pStyle w:val="246"/>
        <w:tabs>
          <w:tab w:val="left" w:pos="851"/>
          <w:tab w:val="clear" w:pos="839"/>
        </w:tabs>
        <w:ind w:left="210" w:leftChars="100" w:firstLine="1080" w:firstLineChars="600"/>
        <w:rPr>
          <w:rFonts w:ascii="黑体" w:hAnsi="黑体" w:eastAsia="黑体"/>
          <w:sz w:val="18"/>
          <w:szCs w:val="18"/>
        </w:rPr>
      </w:pPr>
      <w:r>
        <w:rPr>
          <w:rFonts w:ascii="黑体" w:hAnsi="黑体" w:eastAsia="黑体"/>
          <w:sz w:val="18"/>
          <w:szCs w:val="18"/>
        </w:rPr>
        <w:t>a)  主视图                   b）</w:t>
      </w:r>
      <w:r>
        <w:rPr>
          <w:rFonts w:hint="eastAsia" w:ascii="黑体" w:hAnsi="黑体" w:eastAsia="黑体"/>
          <w:sz w:val="18"/>
          <w:szCs w:val="18"/>
        </w:rPr>
        <w:t xml:space="preserve"> </w:t>
      </w:r>
      <w:r>
        <w:rPr>
          <w:rFonts w:ascii="黑体" w:hAnsi="黑体" w:eastAsia="黑体"/>
          <w:sz w:val="18"/>
          <w:szCs w:val="18"/>
        </w:rPr>
        <w:t>俯视图                       c）</w:t>
      </w:r>
      <w:r>
        <w:rPr>
          <w:rFonts w:hint="eastAsia" w:ascii="黑体" w:hAnsi="黑体" w:eastAsia="黑体"/>
          <w:sz w:val="18"/>
          <w:szCs w:val="18"/>
        </w:rPr>
        <w:t xml:space="preserve"> </w:t>
      </w:r>
      <w:r>
        <w:rPr>
          <w:rFonts w:ascii="黑体" w:hAnsi="黑体" w:eastAsia="黑体"/>
          <w:sz w:val="18"/>
          <w:szCs w:val="18"/>
        </w:rPr>
        <w:t xml:space="preserve">轴侧图         </w:t>
      </w:r>
    </w:p>
    <w:p>
      <w:pPr>
        <w:pStyle w:val="62"/>
        <w:ind w:firstLine="0" w:firstLineChars="0"/>
      </w:pPr>
    </w:p>
    <w:p>
      <w:pPr>
        <w:pStyle w:val="62"/>
        <w:ind w:firstLine="420"/>
      </w:pPr>
      <w:r>
        <w:rPr>
          <w:rFonts w:hint="eastAsia"/>
        </w:rPr>
        <w:drawing>
          <wp:inline distT="0" distB="0" distL="0" distR="0">
            <wp:extent cx="1593850" cy="1561465"/>
            <wp:effectExtent l="0" t="0" r="6350" b="635"/>
            <wp:docPr id="84" name="图片 84" descr="C:\Users\18682365158\Desktop\标准图片\抗D截图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18682365158\Desktop\标准图片\抗D截图00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654575" cy="1620596"/>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621155" cy="1582420"/>
            <wp:effectExtent l="0" t="0" r="0" b="0"/>
            <wp:docPr id="86" name="图片 86" descr="C:\Users\18682365158\Desktop\标准图片\抗D背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18682365158\Desktop\标准图片\抗D背装.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73337" cy="1632929"/>
                    </a:xfrm>
                    <a:prstGeom prst="rect">
                      <a:avLst/>
                    </a:prstGeom>
                    <a:noFill/>
                    <a:ln>
                      <a:noFill/>
                    </a:ln>
                  </pic:spPr>
                </pic:pic>
              </a:graphicData>
            </a:graphic>
          </wp:inline>
        </w:drawing>
      </w:r>
      <w:r>
        <w:t xml:space="preserve">         </w:t>
      </w:r>
      <w:r>
        <w:rPr>
          <w:rFonts w:hint="eastAsia"/>
        </w:rPr>
        <w:drawing>
          <wp:inline distT="0" distB="0" distL="0" distR="0">
            <wp:extent cx="1004570" cy="1009015"/>
            <wp:effectExtent l="0" t="0" r="5080" b="635"/>
            <wp:docPr id="87" name="图片 87" descr="C:\Users\18682365158\Desktop\标准图片\抗D尖头剖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18682365158\Desktop\标准图片\抗D尖头剖00.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064932" cy="1069342"/>
                    </a:xfrm>
                    <a:prstGeom prst="rect">
                      <a:avLst/>
                    </a:prstGeom>
                    <a:noFill/>
                    <a:ln>
                      <a:noFill/>
                    </a:ln>
                  </pic:spPr>
                </pic:pic>
              </a:graphicData>
            </a:graphic>
          </wp:inline>
        </w:drawing>
      </w:r>
    </w:p>
    <w:p>
      <w:pPr>
        <w:pStyle w:val="62"/>
        <w:ind w:firstLine="360"/>
        <w:rPr>
          <w:rFonts w:ascii="黑体" w:hAnsi="黑体" w:eastAsia="黑体"/>
          <w:sz w:val="18"/>
          <w:szCs w:val="18"/>
        </w:rPr>
      </w:pPr>
      <w:r>
        <w:rPr>
          <w:rFonts w:ascii="黑体" w:hAnsi="黑体" w:eastAsia="黑体"/>
          <w:sz w:val="18"/>
          <w:szCs w:val="18"/>
        </w:rPr>
        <w:t>d</w:t>
      </w:r>
      <w:r>
        <w:rPr>
          <w:rFonts w:hint="eastAsia" w:ascii="黑体" w:hAnsi="黑体" w:eastAsia="黑体"/>
          <w:sz w:val="18"/>
          <w:szCs w:val="18"/>
        </w:rPr>
        <w:t>） 无背孔斜撑槽钢内背的咬合图</w:t>
      </w:r>
      <w:r>
        <w:rPr>
          <w:rFonts w:ascii="黑体" w:hAnsi="黑体" w:eastAsia="黑体"/>
          <w:sz w:val="18"/>
          <w:szCs w:val="18"/>
        </w:rPr>
        <w:t xml:space="preserve">         </w:t>
      </w:r>
      <w:r>
        <w:rPr>
          <w:rFonts w:hint="eastAsia" w:ascii="黑体" w:hAnsi="黑体" w:eastAsia="黑体"/>
          <w:sz w:val="18"/>
          <w:szCs w:val="18"/>
        </w:rPr>
        <w:t>e） 无背孔斜撑槽钢外背的咬合图</w:t>
      </w:r>
      <w:r>
        <w:rPr>
          <w:rFonts w:ascii="黑体" w:hAnsi="黑体" w:eastAsia="黑体"/>
          <w:sz w:val="18"/>
          <w:szCs w:val="18"/>
        </w:rPr>
        <w:t xml:space="preserve">      f</w:t>
      </w:r>
      <w:r>
        <w:rPr>
          <w:rFonts w:hint="eastAsia" w:ascii="黑体" w:hAnsi="黑体" w:eastAsia="黑体"/>
          <w:sz w:val="18"/>
          <w:szCs w:val="18"/>
        </w:rPr>
        <w:t>） 咬合局部剖视放大图</w:t>
      </w:r>
    </w:p>
    <w:p>
      <w:pPr>
        <w:pStyle w:val="89"/>
        <w:spacing w:before="156" w:after="156"/>
        <w:jc w:val="both"/>
      </w:pPr>
      <w:r>
        <w:rPr>
          <w:rFonts w:hint="eastAsia"/>
        </w:rPr>
        <w:t xml:space="preserve"> </w:t>
      </w:r>
      <w:r>
        <w:t>A型连接件的三视图</w:t>
      </w:r>
      <w:r>
        <w:rPr>
          <w:rFonts w:hint="eastAsia"/>
        </w:rPr>
        <w:t>及结构型式</w:t>
      </w:r>
    </w:p>
    <w:p>
      <w:pPr>
        <w:pStyle w:val="84"/>
        <w:spacing w:before="312" w:beforeLines="100" w:after="312" w:afterLines="100"/>
        <w:rPr>
          <w:rFonts w:ascii="Times New Roman"/>
        </w:rPr>
      </w:pPr>
      <w:r>
        <w:rPr>
          <w:rFonts w:ascii="Times New Roman"/>
        </w:rPr>
        <w:t>D型连接件</w:t>
      </w:r>
    </w:p>
    <w:p>
      <w:pPr>
        <w:pStyle w:val="62"/>
        <w:ind w:firstLine="420"/>
      </w:pPr>
      <w:r>
        <w:rPr>
          <w:rFonts w:ascii="Times New Roman"/>
          <w:szCs w:val="21"/>
        </w:rPr>
        <w:t>三视图及结构型式见图A.2。</w:t>
      </w:r>
    </w:p>
    <w:p>
      <w:pPr>
        <w:pStyle w:val="241"/>
        <w:ind w:firstLine="0" w:firstLineChars="0"/>
        <w:jc w:val="center"/>
      </w:pPr>
      <w:r>
        <w:drawing>
          <wp:inline distT="0" distB="0" distL="0" distR="0">
            <wp:extent cx="1814195" cy="1022350"/>
            <wp:effectExtent l="0" t="0" r="0" b="6350"/>
            <wp:docPr id="202" name="图片 202" descr="C:\Users\18682365158\Desktop\铰链A主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18682365158\Desktop\铰链A主视图.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66290" cy="1051706"/>
                    </a:xfrm>
                    <a:prstGeom prst="rect">
                      <a:avLst/>
                    </a:prstGeom>
                    <a:noFill/>
                    <a:ln>
                      <a:noFill/>
                    </a:ln>
                  </pic:spPr>
                </pic:pic>
              </a:graphicData>
            </a:graphic>
          </wp:inline>
        </w:drawing>
      </w:r>
      <w:r>
        <w:t xml:space="preserve">  </w:t>
      </w:r>
      <w:r>
        <w:drawing>
          <wp:inline distT="0" distB="0" distL="0" distR="0">
            <wp:extent cx="1797050" cy="652145"/>
            <wp:effectExtent l="0" t="0" r="0" b="0"/>
            <wp:docPr id="203" name="图片 203" descr="C:\Users\18682365158\Desktop\铰链A俯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18682365158\Desktop\铰链A俯视图.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78963" cy="682242"/>
                    </a:xfrm>
                    <a:prstGeom prst="rect">
                      <a:avLst/>
                    </a:prstGeom>
                    <a:noFill/>
                    <a:ln>
                      <a:noFill/>
                    </a:ln>
                  </pic:spPr>
                </pic:pic>
              </a:graphicData>
            </a:graphic>
          </wp:inline>
        </w:drawing>
      </w:r>
      <w:r>
        <w:t xml:space="preserve">  </w:t>
      </w:r>
      <w:r>
        <w:drawing>
          <wp:inline distT="0" distB="0" distL="0" distR="0">
            <wp:extent cx="1283335" cy="1168400"/>
            <wp:effectExtent l="0" t="0" r="0" b="0"/>
            <wp:docPr id="204" name="图片 204" descr="C:\Users\18682365158\Desktop\铰链A轴侧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C:\Users\18682365158\Desktop\铰链A轴侧图.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323004" cy="1203934"/>
                    </a:xfrm>
                    <a:prstGeom prst="rect">
                      <a:avLst/>
                    </a:prstGeom>
                    <a:noFill/>
                    <a:ln>
                      <a:noFill/>
                    </a:ln>
                  </pic:spPr>
                </pic:pic>
              </a:graphicData>
            </a:graphic>
          </wp:inline>
        </w:drawing>
      </w:r>
    </w:p>
    <w:p>
      <w:pPr>
        <w:pStyle w:val="246"/>
        <w:tabs>
          <w:tab w:val="left" w:pos="851"/>
          <w:tab w:val="clear" w:pos="839"/>
        </w:tabs>
        <w:ind w:left="210" w:leftChars="100" w:firstLine="1260" w:firstLineChars="700"/>
        <w:rPr>
          <w:rFonts w:ascii="黑体" w:hAnsi="黑体" w:eastAsia="黑体"/>
          <w:sz w:val="18"/>
          <w:szCs w:val="18"/>
        </w:rPr>
      </w:pPr>
      <w:r>
        <w:rPr>
          <w:rFonts w:ascii="黑体" w:hAnsi="黑体" w:eastAsia="黑体"/>
          <w:sz w:val="18"/>
          <w:szCs w:val="18"/>
        </w:rPr>
        <w:t>a）  主视图                           b）</w:t>
      </w:r>
      <w:r>
        <w:rPr>
          <w:rFonts w:hint="eastAsia" w:ascii="黑体" w:hAnsi="黑体" w:eastAsia="黑体"/>
          <w:sz w:val="18"/>
          <w:szCs w:val="18"/>
        </w:rPr>
        <w:t xml:space="preserve"> </w:t>
      </w:r>
      <w:r>
        <w:rPr>
          <w:rFonts w:ascii="黑体" w:hAnsi="黑体" w:eastAsia="黑体"/>
          <w:sz w:val="18"/>
          <w:szCs w:val="18"/>
        </w:rPr>
        <w:t xml:space="preserve"> 俯视图                      c）</w:t>
      </w:r>
      <w:r>
        <w:rPr>
          <w:rFonts w:hint="eastAsia" w:ascii="黑体" w:hAnsi="黑体" w:eastAsia="黑体"/>
          <w:sz w:val="18"/>
          <w:szCs w:val="18"/>
        </w:rPr>
        <w:t xml:space="preserve">  </w:t>
      </w:r>
      <w:r>
        <w:rPr>
          <w:rFonts w:ascii="黑体" w:hAnsi="黑体" w:eastAsia="黑体"/>
          <w:sz w:val="18"/>
          <w:szCs w:val="18"/>
        </w:rPr>
        <w:t xml:space="preserve">轴侧图         </w:t>
      </w:r>
    </w:p>
    <w:p>
      <w:pPr>
        <w:pStyle w:val="62"/>
        <w:ind w:firstLine="0" w:firstLineChars="0"/>
        <w:sectPr>
          <w:footerReference r:id="rId34" w:type="default"/>
          <w:pgSz w:w="11906" w:h="16838"/>
          <w:pgMar w:top="2410" w:right="1134" w:bottom="1134" w:left="1134" w:header="1418" w:footer="1134" w:gutter="284"/>
          <w:cols w:space="425" w:num="1"/>
          <w:formProt w:val="0"/>
          <w:docGrid w:type="lines" w:linePitch="312" w:charSpace="0"/>
        </w:sectPr>
      </w:pPr>
    </w:p>
    <w:p>
      <w:pPr>
        <w:pStyle w:val="62"/>
        <w:ind w:firstLine="0" w:firstLineChars="0"/>
        <w:sectPr>
          <w:type w:val="continuous"/>
          <w:pgSz w:w="11906" w:h="16838"/>
          <w:pgMar w:top="2410" w:right="1134" w:bottom="1134" w:left="1134" w:header="1418" w:footer="1134" w:gutter="284"/>
          <w:cols w:space="425" w:num="1"/>
          <w:formProt w:val="0"/>
          <w:docGrid w:type="lines" w:linePitch="312" w:charSpace="0"/>
        </w:sectPr>
      </w:pPr>
    </w:p>
    <w:p>
      <w:pPr>
        <w:pStyle w:val="62"/>
        <w:ind w:firstLine="0" w:firstLineChars="0"/>
        <w:jc w:val="left"/>
      </w:pPr>
      <w:r>
        <w:rPr>
          <w:rFonts w:hint="eastAsia"/>
        </w:rPr>
        <w:drawing>
          <wp:inline distT="0" distB="0" distL="0" distR="0">
            <wp:extent cx="2251710" cy="1440815"/>
            <wp:effectExtent l="0" t="0" r="0" b="6985"/>
            <wp:docPr id="222" name="图片 222" descr="C:\Users\18682365158\Desktop\标准图片\铰链正视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18682365158\Desktop\标准图片\铰链正视0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7426" cy="1464090"/>
                    </a:xfrm>
                    <a:prstGeom prst="rect">
                      <a:avLst/>
                    </a:prstGeom>
                    <a:noFill/>
                    <a:ln>
                      <a:noFill/>
                    </a:ln>
                  </pic:spPr>
                </pic:pic>
              </a:graphicData>
            </a:graphic>
          </wp:inline>
        </w:drawing>
      </w:r>
      <w:r>
        <w:t xml:space="preserve"> </w:t>
      </w:r>
      <w:r>
        <w:rPr>
          <w:rFonts w:hint="eastAsia"/>
        </w:rPr>
        <w:drawing>
          <wp:inline distT="0" distB="0" distL="0" distR="0">
            <wp:extent cx="2513965" cy="1524000"/>
            <wp:effectExtent l="0" t="0" r="635" b="0"/>
            <wp:docPr id="224" name="图片 224" descr="C:\Users\18682365158\Desktop\标准图片\铰链剖细节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18682365158\Desktop\标准图片\铰链剖细节0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59082" cy="1551175"/>
                    </a:xfrm>
                    <a:prstGeom prst="rect">
                      <a:avLst/>
                    </a:prstGeom>
                    <a:noFill/>
                    <a:ln>
                      <a:noFill/>
                    </a:ln>
                  </pic:spPr>
                </pic:pic>
              </a:graphicData>
            </a:graphic>
          </wp:inline>
        </w:drawing>
      </w:r>
      <w:r>
        <w:t xml:space="preserve"> </w:t>
      </w:r>
      <w:r>
        <w:drawing>
          <wp:inline distT="0" distB="0" distL="0" distR="0">
            <wp:extent cx="1003300" cy="997585"/>
            <wp:effectExtent l="0" t="0" r="6350" b="0"/>
            <wp:docPr id="225" name="图片 225" descr="C:\Users\18682365158\Desktop\标准图片\铰链剖吹泡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18682365158\Desktop\标准图片\铰链剖吹泡0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097233" cy="1091259"/>
                    </a:xfrm>
                    <a:prstGeom prst="rect">
                      <a:avLst/>
                    </a:prstGeom>
                    <a:noFill/>
                    <a:ln>
                      <a:noFill/>
                    </a:ln>
                  </pic:spPr>
                </pic:pic>
              </a:graphicData>
            </a:graphic>
          </wp:inline>
        </w:drawing>
      </w:r>
    </w:p>
    <w:p>
      <w:pPr>
        <w:pStyle w:val="62"/>
        <w:ind w:firstLine="0" w:firstLineChars="0"/>
        <w:rPr>
          <w:rFonts w:ascii="黑体" w:hAnsi="黑体" w:eastAsia="黑体"/>
          <w:sz w:val="18"/>
          <w:szCs w:val="18"/>
        </w:rPr>
      </w:pPr>
      <w:r>
        <w:rPr>
          <w:rFonts w:ascii="黑体" w:hAnsi="黑体" w:eastAsia="黑体"/>
          <w:sz w:val="18"/>
          <w:szCs w:val="18"/>
        </w:rPr>
        <w:t>d</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斜撑槽钢的咬合图</w:t>
      </w:r>
      <w:r>
        <w:rPr>
          <w:rFonts w:ascii="黑体" w:hAnsi="黑体" w:eastAsia="黑体"/>
          <w:sz w:val="18"/>
          <w:szCs w:val="18"/>
        </w:rPr>
        <w:t xml:space="preserve">                  e</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斜撑槽钢的咬合剖视图</w:t>
      </w:r>
      <w:r>
        <w:rPr>
          <w:rFonts w:ascii="黑体" w:hAnsi="黑体" w:eastAsia="黑体"/>
          <w:sz w:val="18"/>
          <w:szCs w:val="18"/>
        </w:rPr>
        <w:t xml:space="preserve">                 f</w:t>
      </w:r>
      <w:r>
        <w:rPr>
          <w:rFonts w:hint="eastAsia" w:ascii="黑体" w:hAnsi="黑体" w:eastAsia="黑体"/>
          <w:sz w:val="18"/>
          <w:szCs w:val="18"/>
        </w:rPr>
        <w:t xml:space="preserve">） </w:t>
      </w:r>
      <w:r>
        <w:rPr>
          <w:rFonts w:ascii="黑体" w:hAnsi="黑体" w:eastAsia="黑体"/>
          <w:sz w:val="18"/>
          <w:szCs w:val="18"/>
        </w:rPr>
        <w:t xml:space="preserve"> </w:t>
      </w:r>
      <w:r>
        <w:rPr>
          <w:rFonts w:hint="eastAsia" w:ascii="黑体" w:hAnsi="黑体" w:eastAsia="黑体"/>
          <w:sz w:val="18"/>
          <w:szCs w:val="18"/>
        </w:rPr>
        <w:t>咬合局部剖视放大图</w:t>
      </w:r>
    </w:p>
    <w:p>
      <w:pPr>
        <w:pStyle w:val="89"/>
        <w:spacing w:before="156" w:after="156"/>
        <w:ind w:left="0"/>
      </w:pPr>
      <w:r>
        <w:rPr>
          <w:rFonts w:hint="eastAsia"/>
        </w:rPr>
        <w:t xml:space="preserve"> </w:t>
      </w:r>
      <w:r>
        <w:t xml:space="preserve"> D型连接件的三视图及结构型式</w:t>
      </w:r>
    </w:p>
    <w:p>
      <w:pPr>
        <w:sectPr>
          <w:footerReference r:id="rId35" w:type="default"/>
          <w:type w:val="continuous"/>
          <w:pgSz w:w="11906" w:h="16838"/>
          <w:pgMar w:top="2410" w:right="1134" w:bottom="1134" w:left="1134" w:header="1418" w:footer="1134" w:gutter="284"/>
          <w:cols w:space="425" w:num="1"/>
          <w:formProt w:val="0"/>
          <w:docGrid w:type="lines" w:linePitch="312" w:charSpace="0"/>
        </w:sectPr>
      </w:pPr>
    </w:p>
    <w:p>
      <w:pPr>
        <w:pStyle w:val="204"/>
        <w:rPr>
          <w:vanish w:val="0"/>
        </w:rPr>
      </w:pPr>
    </w:p>
    <w:p>
      <w:pPr>
        <w:pStyle w:val="205"/>
        <w:rPr>
          <w:vanish w:val="0"/>
        </w:rPr>
      </w:pPr>
    </w:p>
    <w:p>
      <w:pPr>
        <w:pStyle w:val="82"/>
        <w:spacing w:before="78" w:after="156"/>
      </w:pPr>
      <w:r>
        <w:br w:type="textWrapping"/>
      </w:r>
      <w:bookmarkStart w:id="119" w:name="_Toc81322396"/>
      <w:bookmarkStart w:id="120" w:name="_Toc81322415"/>
      <w:bookmarkStart w:id="121" w:name="_Toc90303275"/>
      <w:bookmarkStart w:id="122" w:name="_Toc135225135"/>
      <w:bookmarkStart w:id="123" w:name="_Toc128552140"/>
      <w:r>
        <w:rPr>
          <w:rFonts w:hint="eastAsia"/>
        </w:rPr>
        <w:t>（资料性）</w:t>
      </w:r>
      <w:r>
        <w:br w:type="textWrapping"/>
      </w:r>
      <w:r>
        <w:rPr>
          <w:rFonts w:hint="eastAsia"/>
        </w:rPr>
        <w:t>管道连接件及钢结构固定件结构型式</w:t>
      </w:r>
      <w:bookmarkEnd w:id="119"/>
      <w:bookmarkEnd w:id="120"/>
      <w:bookmarkEnd w:id="121"/>
      <w:bookmarkEnd w:id="122"/>
      <w:bookmarkEnd w:id="123"/>
    </w:p>
    <w:p>
      <w:pPr>
        <w:pStyle w:val="84"/>
        <w:spacing w:before="312" w:beforeLines="100" w:after="312" w:afterLines="100"/>
        <w:rPr>
          <w:rFonts w:ascii="Times New Roman"/>
          <w:szCs w:val="21"/>
        </w:rPr>
      </w:pPr>
      <w:bookmarkStart w:id="124" w:name="_Toc81322397"/>
      <w:r>
        <w:rPr>
          <w:rFonts w:ascii="Times New Roman"/>
          <w:szCs w:val="21"/>
        </w:rPr>
        <w:t>管道连接件</w:t>
      </w:r>
      <w:bookmarkEnd w:id="124"/>
    </w:p>
    <w:p>
      <w:pPr>
        <w:pStyle w:val="62"/>
        <w:ind w:firstLine="420"/>
        <w:rPr>
          <w:rFonts w:ascii="Times New Roman"/>
          <w:szCs w:val="21"/>
        </w:rPr>
      </w:pPr>
      <w:r>
        <w:rPr>
          <w:rFonts w:ascii="Times New Roman"/>
          <w:szCs w:val="21"/>
        </w:rPr>
        <w:t>结构型式见图B.1、图B.2、图B.3。</w:t>
      </w:r>
    </w:p>
    <w:p>
      <w:pPr>
        <w:pStyle w:val="62"/>
        <w:ind w:firstLine="420"/>
        <w:rPr>
          <w:rFonts w:ascii="Times New Roman"/>
          <w:szCs w:val="21"/>
        </w:rPr>
      </w:pPr>
    </w:p>
    <w:p>
      <w:pPr>
        <w:pStyle w:val="241"/>
        <w:ind w:firstLine="0" w:firstLineChars="0"/>
        <w:jc w:val="center"/>
      </w:pPr>
      <w:r>
        <w:drawing>
          <wp:inline distT="0" distB="0" distL="0" distR="0">
            <wp:extent cx="1909445" cy="1329055"/>
            <wp:effectExtent l="0" t="0" r="0" b="4445"/>
            <wp:docPr id="64" name="图片 20" descr="75790228804209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descr="7579022880420917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915546" cy="1333844"/>
                    </a:xfrm>
                    <a:prstGeom prst="rect">
                      <a:avLst/>
                    </a:prstGeom>
                    <a:noFill/>
                    <a:ln>
                      <a:noFill/>
                    </a:ln>
                  </pic:spPr>
                </pic:pic>
              </a:graphicData>
            </a:graphic>
          </wp:inline>
        </w:drawing>
      </w:r>
    </w:p>
    <w:p>
      <w:pPr>
        <w:pStyle w:val="89"/>
        <w:spacing w:before="156" w:after="156"/>
        <w:jc w:val="both"/>
      </w:pPr>
      <w:r>
        <w:t xml:space="preserve"> </w:t>
      </w:r>
      <w:r>
        <w:rPr>
          <w:rFonts w:hint="eastAsia"/>
        </w:rPr>
        <w:t>管夹的结构型式图</w:t>
      </w:r>
    </w:p>
    <w:p>
      <w:pPr>
        <w:pStyle w:val="241"/>
        <w:ind w:firstLine="0" w:firstLineChars="0"/>
        <w:jc w:val="center"/>
      </w:pPr>
    </w:p>
    <w:p>
      <w:pPr>
        <w:pStyle w:val="241"/>
        <w:ind w:firstLine="0" w:firstLineChars="0"/>
        <w:jc w:val="center"/>
      </w:pPr>
      <w:r>
        <w:drawing>
          <wp:inline distT="0" distB="0" distL="0" distR="0">
            <wp:extent cx="1947545" cy="1655445"/>
            <wp:effectExtent l="0" t="0" r="0" b="1905"/>
            <wp:docPr id="80" name="图片 80" descr="C:\Users\18682365158\Desktop\图片(1)\图片\管夹侧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18682365158\Desktop\图片(1)\图片\管夹侧向.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947600" cy="1656000"/>
                    </a:xfrm>
                    <a:prstGeom prst="rect">
                      <a:avLst/>
                    </a:prstGeom>
                    <a:noFill/>
                    <a:ln>
                      <a:noFill/>
                    </a:ln>
                  </pic:spPr>
                </pic:pic>
              </a:graphicData>
            </a:graphic>
          </wp:inline>
        </w:drawing>
      </w:r>
      <w:r>
        <w:drawing>
          <wp:inline distT="0" distB="0" distL="0" distR="0">
            <wp:extent cx="2105660" cy="165544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8"/>
                    <a:stretch>
                      <a:fillRect/>
                    </a:stretch>
                  </pic:blipFill>
                  <pic:spPr>
                    <a:xfrm>
                      <a:off x="0" y="0"/>
                      <a:ext cx="2106000" cy="1656000"/>
                    </a:xfrm>
                    <a:prstGeom prst="rect">
                      <a:avLst/>
                    </a:prstGeom>
                  </pic:spPr>
                </pic:pic>
              </a:graphicData>
            </a:graphic>
          </wp:inline>
        </w:drawing>
      </w:r>
      <w:r>
        <w:drawing>
          <wp:inline distT="0" distB="0" distL="0" distR="0">
            <wp:extent cx="1360170" cy="1655445"/>
            <wp:effectExtent l="0" t="0" r="0" b="1905"/>
            <wp:docPr id="7" name="图片 7" descr="C:\Users\18682365158\Desktop\标准图片\管夹铰链侧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682365158\Desktop\标准图片\管夹铰链侧向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360800" cy="1656000"/>
                    </a:xfrm>
                    <a:prstGeom prst="rect">
                      <a:avLst/>
                    </a:prstGeom>
                    <a:noFill/>
                    <a:ln>
                      <a:noFill/>
                    </a:ln>
                  </pic:spPr>
                </pic:pic>
              </a:graphicData>
            </a:graphic>
          </wp:inline>
        </w:drawing>
      </w:r>
    </w:p>
    <w:p>
      <w:pPr>
        <w:pStyle w:val="89"/>
        <w:spacing w:before="156" w:after="156"/>
        <w:jc w:val="both"/>
      </w:pPr>
      <w:r>
        <w:t xml:space="preserve"> </w:t>
      </w:r>
      <w:r>
        <w:rPr>
          <w:rFonts w:hint="eastAsia"/>
        </w:rPr>
        <w:t>管夹侧向型式图</w:t>
      </w:r>
    </w:p>
    <w:p>
      <w:pPr>
        <w:pStyle w:val="241"/>
        <w:ind w:firstLine="0" w:firstLineChars="0"/>
      </w:pPr>
    </w:p>
    <w:p>
      <w:pPr>
        <w:pStyle w:val="62"/>
        <w:ind w:firstLine="420"/>
        <w:jc w:val="center"/>
      </w:pPr>
      <w:r>
        <w:drawing>
          <wp:inline distT="0" distB="0" distL="0" distR="0">
            <wp:extent cx="2679700" cy="1709420"/>
            <wp:effectExtent l="0" t="0" r="6350" b="5080"/>
            <wp:docPr id="81" name="图片 81" descr="C:\Users\18682365158\Desktop\图片(1)\图片\管夹纵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18682365158\Desktop\图片(1)\图片\管夹纵向.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713119" cy="1731284"/>
                    </a:xfrm>
                    <a:prstGeom prst="rect">
                      <a:avLst/>
                    </a:prstGeom>
                    <a:noFill/>
                    <a:ln>
                      <a:noFill/>
                    </a:ln>
                  </pic:spPr>
                </pic:pic>
              </a:graphicData>
            </a:graphic>
          </wp:inline>
        </w:drawing>
      </w:r>
      <w:r>
        <w:drawing>
          <wp:inline distT="0" distB="0" distL="0" distR="0">
            <wp:extent cx="1943735" cy="1663065"/>
            <wp:effectExtent l="0" t="0" r="0" b="0"/>
            <wp:docPr id="227" name="图片 227" descr="C:\Users\18682365158\Desktop\标准图片\管夹铰链纵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18682365158\Desktop\标准图片\管夹铰链纵向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989087" cy="1701543"/>
                    </a:xfrm>
                    <a:prstGeom prst="rect">
                      <a:avLst/>
                    </a:prstGeom>
                    <a:noFill/>
                    <a:ln>
                      <a:noFill/>
                    </a:ln>
                  </pic:spPr>
                </pic:pic>
              </a:graphicData>
            </a:graphic>
          </wp:inline>
        </w:drawing>
      </w:r>
    </w:p>
    <w:p>
      <w:pPr>
        <w:pStyle w:val="89"/>
        <w:spacing w:before="156" w:after="156"/>
        <w:jc w:val="both"/>
        <w:sectPr>
          <w:footerReference r:id="rId36" w:type="default"/>
          <w:pgSz w:w="11906" w:h="16838"/>
          <w:pgMar w:top="2410" w:right="1134" w:bottom="1134" w:left="1134" w:header="1418" w:footer="1134" w:gutter="284"/>
          <w:cols w:space="425" w:num="1"/>
          <w:formProt w:val="0"/>
          <w:docGrid w:type="lines" w:linePitch="312" w:charSpace="0"/>
        </w:sectPr>
      </w:pPr>
      <w:r>
        <w:t xml:space="preserve"> </w:t>
      </w:r>
      <w:r>
        <w:rPr>
          <w:rFonts w:hint="eastAsia"/>
        </w:rPr>
        <w:t>管夹纵向型式图</w:t>
      </w:r>
    </w:p>
    <w:p>
      <w:pPr>
        <w:pStyle w:val="89"/>
        <w:numPr>
          <w:ilvl w:val="0"/>
          <w:numId w:val="0"/>
        </w:numPr>
        <w:spacing w:before="156" w:after="156"/>
        <w:ind w:left="3827"/>
        <w:jc w:val="right"/>
      </w:pPr>
    </w:p>
    <w:p>
      <w:pPr>
        <w:pStyle w:val="84"/>
        <w:spacing w:before="312" w:beforeLines="100" w:after="312" w:afterLines="100"/>
        <w:rPr>
          <w:rFonts w:hAnsi="宋体"/>
          <w:szCs w:val="21"/>
        </w:rPr>
      </w:pPr>
      <w:r>
        <w:rPr>
          <w:rFonts w:hAnsi="宋体"/>
          <w:szCs w:val="21"/>
        </w:rPr>
        <w:t>钢结构固定件</w:t>
      </w:r>
    </w:p>
    <w:p>
      <w:pPr>
        <w:pStyle w:val="62"/>
        <w:ind w:firstLine="0" w:firstLineChars="0"/>
      </w:pPr>
      <w:r>
        <w:rPr>
          <w:rFonts w:hint="eastAsia"/>
        </w:rPr>
        <w:t xml:space="preserve"> </w:t>
      </w:r>
      <w:r>
        <w:t xml:space="preserve">   </w:t>
      </w:r>
      <w:r>
        <w:rPr>
          <w:rFonts w:ascii="Times New Roman"/>
          <w:szCs w:val="21"/>
        </w:rPr>
        <w:t>结构型式见图</w:t>
      </w:r>
      <w:r>
        <w:rPr>
          <w:rFonts w:hint="eastAsia" w:ascii="Times New Roman"/>
          <w:szCs w:val="21"/>
        </w:rPr>
        <w:t>B</w:t>
      </w:r>
      <w:r>
        <w:rPr>
          <w:rFonts w:ascii="Times New Roman"/>
          <w:szCs w:val="21"/>
        </w:rPr>
        <w:t>.4</w:t>
      </w:r>
      <w:r>
        <w:rPr>
          <w:rFonts w:hint="eastAsia" w:ascii="Times New Roman"/>
          <w:szCs w:val="21"/>
        </w:rPr>
        <w:t>。</w:t>
      </w:r>
    </w:p>
    <w:p>
      <w:pPr>
        <w:pStyle w:val="62"/>
        <w:ind w:firstLine="210" w:firstLineChars="100"/>
      </w:pPr>
      <w:r>
        <w:drawing>
          <wp:inline distT="0" distB="0" distL="0" distR="0">
            <wp:extent cx="2514600" cy="2927350"/>
            <wp:effectExtent l="0" t="0" r="0" b="6350"/>
            <wp:docPr id="18" name="图片 18" descr="C:\Users\18682365158\Desktop\标准图片\垂直于钢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8682365158\Desktop\标准图片\垂直于钢梁.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533318" cy="2948683"/>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2039620" cy="2921000"/>
            <wp:effectExtent l="0" t="0" r="0" b="0"/>
            <wp:docPr id="31" name="图片 31" descr="C:\Users\18682365158\Desktop\标准图片\平行于钢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18682365158\Desktop\标准图片\平行于钢梁.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56591" cy="2944845"/>
                    </a:xfrm>
                    <a:prstGeom prst="rect">
                      <a:avLst/>
                    </a:prstGeom>
                    <a:noFill/>
                    <a:ln>
                      <a:noFill/>
                    </a:ln>
                  </pic:spPr>
                </pic:pic>
              </a:graphicData>
            </a:graphic>
          </wp:inline>
        </w:drawing>
      </w:r>
    </w:p>
    <w:p>
      <w:pPr>
        <w:pStyle w:val="62"/>
        <w:ind w:firstLine="0" w:firstLineChars="0"/>
        <w:jc w:val="center"/>
        <w:rPr>
          <w:rFonts w:ascii="黑体" w:hAnsi="黑体" w:eastAsia="黑体"/>
          <w:sz w:val="18"/>
          <w:szCs w:val="18"/>
        </w:rPr>
      </w:pPr>
      <w:r>
        <w:rPr>
          <w:rFonts w:ascii="黑体" w:hAnsi="黑体" w:eastAsia="黑体"/>
          <w:sz w:val="18"/>
          <w:szCs w:val="18"/>
        </w:rPr>
        <w:t xml:space="preserve">             a</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斜撑垂直于钢梁</w:t>
      </w:r>
      <w:r>
        <w:rPr>
          <w:rFonts w:ascii="黑体" w:hAnsi="黑体" w:eastAsia="黑体"/>
          <w:sz w:val="18"/>
          <w:szCs w:val="18"/>
        </w:rPr>
        <w:t xml:space="preserve">                                  b</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斜撑平行于钢梁</w:t>
      </w:r>
    </w:p>
    <w:p>
      <w:pPr>
        <w:pStyle w:val="62"/>
        <w:ind w:firstLine="0" w:firstLineChars="0"/>
      </w:pPr>
    </w:p>
    <w:p>
      <w:pPr>
        <w:pStyle w:val="89"/>
        <w:spacing w:before="156" w:after="156"/>
        <w:jc w:val="both"/>
      </w:pPr>
      <w:r>
        <w:rPr>
          <w:rFonts w:hint="eastAsia"/>
        </w:rPr>
        <w:t xml:space="preserve"> </w:t>
      </w:r>
      <w:r>
        <w:t>钢结构固定件方向表示图</w:t>
      </w:r>
    </w:p>
    <w:p>
      <w:pPr>
        <w:widowControl/>
        <w:adjustRightInd/>
        <w:spacing w:line="240" w:lineRule="auto"/>
        <w:jc w:val="left"/>
        <w:sectPr>
          <w:footerReference r:id="rId37" w:type="default"/>
          <w:type w:val="continuous"/>
          <w:pgSz w:w="11906" w:h="16838"/>
          <w:pgMar w:top="2410" w:right="1134" w:bottom="1134" w:left="1134" w:header="1418" w:footer="1134" w:gutter="284"/>
          <w:cols w:space="425" w:num="1"/>
          <w:formProt w:val="0"/>
          <w:docGrid w:type="lines" w:linePitch="312" w:charSpace="0"/>
        </w:sectPr>
      </w:pPr>
      <w:r>
        <w:br w:type="page"/>
      </w:r>
    </w:p>
    <w:p>
      <w:pPr>
        <w:widowControl/>
        <w:adjustRightInd/>
        <w:spacing w:line="240" w:lineRule="auto"/>
        <w:jc w:val="left"/>
        <w:rPr>
          <w:rFonts w:ascii="宋体" w:hAnsi="Times New Roman"/>
          <w:kern w:val="0"/>
          <w:szCs w:val="20"/>
        </w:rPr>
      </w:pPr>
    </w:p>
    <w:p>
      <w:pPr>
        <w:pStyle w:val="204"/>
        <w:rPr>
          <w:vanish w:val="0"/>
        </w:rPr>
      </w:pPr>
    </w:p>
    <w:p>
      <w:pPr>
        <w:pStyle w:val="205"/>
        <w:rPr>
          <w:vanish w:val="0"/>
        </w:rPr>
      </w:pPr>
    </w:p>
    <w:p>
      <w:pPr>
        <w:pStyle w:val="82"/>
        <w:spacing w:before="78" w:after="156"/>
      </w:pPr>
      <w:r>
        <w:br w:type="textWrapping"/>
      </w:r>
      <w:bookmarkStart w:id="125" w:name="_Toc135225136"/>
      <w:bookmarkStart w:id="126" w:name="_Toc128552141"/>
      <w:r>
        <w:rPr>
          <w:rFonts w:hint="eastAsia"/>
        </w:rPr>
        <w:t>（资料性）</w:t>
      </w:r>
      <w:r>
        <w:br w:type="textWrapping"/>
      </w:r>
      <w:r>
        <w:rPr>
          <w:rFonts w:ascii="Times New Roman"/>
        </w:rPr>
        <w:t>抗震支吊架斜撑杆件、</w:t>
      </w:r>
      <w:r>
        <w:rPr>
          <w:rFonts w:ascii="Times New Roman"/>
          <w:color w:val="000000"/>
        </w:rPr>
        <w:t>横杆、立杆用带齿C型</w:t>
      </w:r>
      <w:r>
        <w:rPr>
          <w:rFonts w:ascii="Times New Roman"/>
        </w:rPr>
        <w:t>槽钢</w:t>
      </w:r>
      <w:r>
        <w:rPr>
          <w:rFonts w:hint="eastAsia"/>
        </w:rPr>
        <w:t>截面参数</w:t>
      </w:r>
      <w:bookmarkEnd w:id="125"/>
      <w:bookmarkEnd w:id="126"/>
    </w:p>
    <w:p>
      <w:pPr>
        <w:pStyle w:val="62"/>
        <w:ind w:firstLine="420"/>
        <w:rPr>
          <w:rFonts w:ascii="Times New Roman"/>
        </w:rPr>
      </w:pPr>
      <w:r>
        <w:rPr>
          <w:rFonts w:ascii="Times New Roman"/>
        </w:rPr>
        <w:t>抗震支吊架斜撑杆件、</w:t>
      </w:r>
      <w:r>
        <w:rPr>
          <w:rFonts w:ascii="Times New Roman"/>
          <w:color w:val="000000"/>
        </w:rPr>
        <w:t>横杆、立杆用带齿C型</w:t>
      </w:r>
      <w:r>
        <w:rPr>
          <w:rFonts w:ascii="Times New Roman"/>
        </w:rPr>
        <w:t>槽钢的截面尺寸及特性参数</w:t>
      </w:r>
      <w:r>
        <w:rPr>
          <w:rFonts w:hint="eastAsia" w:ascii="Times New Roman"/>
        </w:rPr>
        <w:t>见表</w:t>
      </w:r>
      <w:r>
        <w:rPr>
          <w:rFonts w:ascii="Times New Roman"/>
        </w:rPr>
        <w:t>C.1</w:t>
      </w:r>
      <w:r>
        <w:rPr>
          <w:rFonts w:hint="eastAsia" w:ascii="Times New Roman"/>
        </w:rPr>
        <w:t>。</w:t>
      </w:r>
    </w:p>
    <w:p>
      <w:pPr>
        <w:pStyle w:val="62"/>
        <w:ind w:firstLine="420"/>
        <w:jc w:val="center"/>
        <w:rPr>
          <w:rFonts w:ascii="黑体" w:hAnsi="黑体" w:eastAsia="黑体"/>
        </w:rPr>
      </w:pPr>
      <w:r>
        <w:rPr>
          <w:rFonts w:hint="eastAsia" w:ascii="黑体" w:hAnsi="黑体" w:eastAsia="黑体"/>
        </w:rPr>
        <w:t>表C</w:t>
      </w:r>
      <w:r>
        <w:rPr>
          <w:rFonts w:ascii="黑体" w:hAnsi="黑体" w:eastAsia="黑体"/>
        </w:rPr>
        <w:t xml:space="preserve">.1  </w:t>
      </w:r>
      <w:r>
        <w:rPr>
          <w:rFonts w:hint="eastAsia" w:ascii="黑体" w:hAnsi="黑体" w:eastAsia="黑体"/>
        </w:rPr>
        <w:t>抗震支吊架斜撑杆件、横杆、立杆用带齿C型槽钢的截面尺寸及特性参数</w:t>
      </w:r>
    </w:p>
    <w:p>
      <w:pPr>
        <w:pStyle w:val="62"/>
        <w:ind w:firstLine="0" w:firstLineChars="0"/>
      </w:pPr>
      <w:r>
        <w:drawing>
          <wp:inline distT="0" distB="0" distL="0" distR="0">
            <wp:extent cx="5939790" cy="661352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939790" cy="6614016"/>
                    </a:xfrm>
                    <a:prstGeom prst="rect">
                      <a:avLst/>
                    </a:prstGeom>
                    <a:noFill/>
                    <a:ln>
                      <a:noFill/>
                    </a:ln>
                  </pic:spPr>
                </pic:pic>
              </a:graphicData>
            </a:graphic>
          </wp:inline>
        </w:drawing>
      </w:r>
    </w:p>
    <w:p>
      <w:pPr>
        <w:pStyle w:val="62"/>
        <w:ind w:firstLine="0" w:firstLineChars="0"/>
        <w:sectPr>
          <w:footerReference r:id="rId38" w:type="default"/>
          <w:type w:val="continuous"/>
          <w:pgSz w:w="11906" w:h="16838"/>
          <w:pgMar w:top="2410" w:right="1134" w:bottom="1134" w:left="1134" w:header="1418" w:footer="1134" w:gutter="284"/>
          <w:cols w:space="425" w:num="1"/>
          <w:formProt w:val="0"/>
          <w:docGrid w:type="lines" w:linePitch="312" w:charSpace="0"/>
        </w:sectPr>
      </w:pPr>
    </w:p>
    <w:p>
      <w:pPr>
        <w:pStyle w:val="62"/>
        <w:ind w:firstLine="0" w:firstLineChars="0"/>
        <w:jc w:val="right"/>
      </w:pPr>
    </w:p>
    <w:p>
      <w:pPr>
        <w:pStyle w:val="204"/>
        <w:rPr>
          <w:vanish w:val="0"/>
        </w:rPr>
      </w:pPr>
    </w:p>
    <w:p>
      <w:pPr>
        <w:pStyle w:val="205"/>
        <w:rPr>
          <w:vanish w:val="0"/>
        </w:rPr>
      </w:pPr>
    </w:p>
    <w:p>
      <w:pPr>
        <w:pStyle w:val="205"/>
        <w:rPr>
          <w:strike/>
          <w:vanish w:val="0"/>
        </w:rPr>
      </w:pPr>
    </w:p>
    <w:p>
      <w:pPr>
        <w:pStyle w:val="204"/>
        <w:rPr>
          <w:vanish w:val="0"/>
          <w:color w:val="FF0000"/>
        </w:rPr>
      </w:pPr>
    </w:p>
    <w:p>
      <w:pPr>
        <w:pStyle w:val="205"/>
        <w:rPr>
          <w:vanish w:val="0"/>
          <w:color w:val="FF0000"/>
        </w:rPr>
      </w:pPr>
    </w:p>
    <w:p>
      <w:pPr>
        <w:pStyle w:val="82"/>
        <w:spacing w:before="78" w:after="156"/>
      </w:pPr>
      <w:r>
        <w:br w:type="textWrapping"/>
      </w:r>
      <w:bookmarkStart w:id="127" w:name="_Toc81322413"/>
      <w:bookmarkStart w:id="128" w:name="_Toc135225133"/>
      <w:bookmarkStart w:id="129" w:name="_Toc81322387"/>
      <w:bookmarkStart w:id="130" w:name="_Toc128552138"/>
      <w:bookmarkStart w:id="131" w:name="_Toc90303273"/>
      <w:r>
        <w:rPr>
          <w:rFonts w:hint="eastAsia"/>
        </w:rPr>
        <w:t>（资料性）</w:t>
      </w:r>
      <w:r>
        <w:br w:type="textWrapping"/>
      </w:r>
      <w:r>
        <w:rPr>
          <w:rFonts w:hint="eastAsia"/>
        </w:rPr>
        <w:t>常用抗震支吊架结构型式</w:t>
      </w:r>
      <w:bookmarkEnd w:id="127"/>
      <w:bookmarkEnd w:id="128"/>
      <w:bookmarkEnd w:id="129"/>
      <w:bookmarkEnd w:id="130"/>
      <w:bookmarkEnd w:id="131"/>
    </w:p>
    <w:p>
      <w:pPr>
        <w:pStyle w:val="84"/>
        <w:spacing w:before="312" w:beforeLines="100" w:after="312" w:afterLines="100"/>
        <w:rPr>
          <w:rFonts w:hAnsi="宋体"/>
          <w:szCs w:val="21"/>
        </w:rPr>
      </w:pPr>
      <w:bookmarkStart w:id="132" w:name="_Toc81322388"/>
      <w:r>
        <w:rPr>
          <w:rFonts w:hint="eastAsia" w:hAnsi="宋体"/>
          <w:szCs w:val="21"/>
        </w:rPr>
        <w:t>侧向抗震支吊架结构型式</w:t>
      </w:r>
      <w:bookmarkEnd w:id="132"/>
    </w:p>
    <w:p>
      <w:pPr>
        <w:pStyle w:val="62"/>
        <w:ind w:firstLine="420"/>
        <w:rPr>
          <w:rFonts w:ascii="Times New Roman"/>
        </w:rPr>
      </w:pPr>
      <w:r>
        <w:rPr>
          <w:rFonts w:ascii="Times New Roman"/>
        </w:rPr>
        <w:t>结构型式见图D.1。</w:t>
      </w:r>
    </w:p>
    <w:p>
      <w:pPr>
        <w:pStyle w:val="62"/>
        <w:ind w:firstLine="420"/>
        <w:rPr>
          <w:rFonts w:ascii="Times New Roman"/>
        </w:rPr>
      </w:pPr>
    </w:p>
    <w:p>
      <w:pPr>
        <w:pStyle w:val="62"/>
        <w:ind w:firstLine="420"/>
        <w:jc w:val="center"/>
      </w:pPr>
      <w:r>
        <w:drawing>
          <wp:inline distT="0" distB="0" distL="0" distR="0">
            <wp:extent cx="2828925" cy="2019935"/>
            <wp:effectExtent l="0" t="0" r="0" b="0"/>
            <wp:docPr id="76" name="图片 76" descr="C:\Users\18682365158\Desktop\图片(2)922\图片\单水管侧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18682365158\Desktop\图片(2)922\图片\单水管侧撑.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887630" cy="2062151"/>
                    </a:xfrm>
                    <a:prstGeom prst="rect">
                      <a:avLst/>
                    </a:prstGeom>
                    <a:noFill/>
                    <a:ln>
                      <a:noFill/>
                    </a:ln>
                  </pic:spPr>
                </pic:pic>
              </a:graphicData>
            </a:graphic>
          </wp:inline>
        </w:drawing>
      </w: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锚栓；</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侧向抗震斜撑；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Ansi="宋体"/>
          <w:sz w:val="18"/>
          <w:szCs w:val="18"/>
        </w:rPr>
        <w:t>U</w:t>
      </w:r>
      <w:r>
        <w:rPr>
          <w:rFonts w:hint="eastAsia" w:hAnsi="宋体"/>
          <w:sz w:val="18"/>
          <w:szCs w:val="18"/>
        </w:rPr>
        <w:t>型管夹；</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int="eastAsia" w:hAnsi="宋体"/>
          <w:sz w:val="18"/>
          <w:szCs w:val="18"/>
        </w:rPr>
        <w:t>管道；</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加固吊杆。</w:t>
      </w:r>
    </w:p>
    <w:p>
      <w:pPr>
        <w:pStyle w:val="89"/>
        <w:numPr>
          <w:ilvl w:val="0"/>
          <w:numId w:val="0"/>
        </w:numPr>
        <w:spacing w:before="156" w:after="156"/>
        <w:ind w:left="3827"/>
        <w:jc w:val="both"/>
      </w:pPr>
      <w:r>
        <w:rPr>
          <w:rFonts w:hint="eastAsia"/>
        </w:rPr>
        <w:t>图D.1</w:t>
      </w:r>
      <w:r>
        <w:t xml:space="preserve">  侧向抗震支吊架结构型式示意图</w:t>
      </w:r>
    </w:p>
    <w:p>
      <w:pPr>
        <w:pStyle w:val="84"/>
        <w:spacing w:before="312" w:beforeLines="100" w:after="312" w:afterLines="100"/>
        <w:rPr>
          <w:rFonts w:hAnsi="宋体"/>
          <w:szCs w:val="21"/>
        </w:rPr>
      </w:pPr>
      <w:bookmarkStart w:id="133" w:name="_Toc81322389"/>
      <w:r>
        <w:rPr>
          <w:rFonts w:hint="eastAsia" w:hAnsi="宋体"/>
          <w:szCs w:val="21"/>
        </w:rPr>
        <w:t>纵向抗震支吊架结构型式</w:t>
      </w:r>
      <w:bookmarkEnd w:id="133"/>
    </w:p>
    <w:p>
      <w:pPr>
        <w:pStyle w:val="62"/>
        <w:ind w:firstLine="420"/>
        <w:rPr>
          <w:rFonts w:ascii="Times New Roman"/>
        </w:rPr>
      </w:pPr>
      <w:r>
        <w:rPr>
          <w:rFonts w:ascii="Times New Roman"/>
        </w:rPr>
        <w:t>结构型式见图D.2</w:t>
      </w:r>
      <w:r>
        <w:rPr>
          <w:rFonts w:hint="eastAsia" w:ascii="Times New Roman"/>
        </w:rPr>
        <w:t>。</w:t>
      </w:r>
    </w:p>
    <w:p>
      <w:pPr>
        <w:pStyle w:val="62"/>
        <w:ind w:firstLine="420"/>
        <w:rPr>
          <w:rFonts w:ascii="Times New Roman"/>
        </w:rPr>
      </w:pPr>
    </w:p>
    <w:p>
      <w:pPr>
        <w:pStyle w:val="62"/>
        <w:ind w:firstLine="420"/>
        <w:jc w:val="center"/>
        <w:sectPr>
          <w:footerReference r:id="rId39" w:type="default"/>
          <w:type w:val="continuous"/>
          <w:pgSz w:w="11906" w:h="16838"/>
          <w:pgMar w:top="2410" w:right="1134" w:bottom="1134" w:left="1134" w:header="1418" w:footer="1134" w:gutter="284"/>
          <w:cols w:space="425" w:num="1"/>
          <w:formProt w:val="0"/>
          <w:docGrid w:type="lines" w:linePitch="312" w:charSpace="0"/>
        </w:sectPr>
      </w:pPr>
      <w:r>
        <w:drawing>
          <wp:inline distT="0" distB="0" distL="0" distR="0">
            <wp:extent cx="2675255" cy="1713865"/>
            <wp:effectExtent l="0" t="0" r="0" b="635"/>
            <wp:docPr id="77" name="图片 77" descr="C:\Users\18682365158\Desktop\图片(2)922\图片\单水管纵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18682365158\Desktop\图片(2)922\图片\单水管纵撑.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726967" cy="1747010"/>
                    </a:xfrm>
                    <a:prstGeom prst="rect">
                      <a:avLst/>
                    </a:prstGeom>
                    <a:noFill/>
                    <a:ln>
                      <a:noFill/>
                    </a:ln>
                  </pic:spPr>
                </pic:pic>
              </a:graphicData>
            </a:graphic>
          </wp:inline>
        </w:drawing>
      </w:r>
    </w:p>
    <w:p>
      <w:pPr>
        <w:pStyle w:val="62"/>
        <w:ind w:firstLine="420"/>
        <w:jc w:val="center"/>
      </w:pP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sectPr>
          <w:footerReference r:id="rId40" w:type="default"/>
          <w:type w:val="continuous"/>
          <w:pgSz w:w="11906" w:h="16838"/>
          <w:pgMar w:top="2410" w:right="1134" w:bottom="1134" w:left="1134" w:header="1418" w:footer="1134" w:gutter="284"/>
          <w:cols w:space="425" w:num="1"/>
          <w:formProt w:val="0"/>
          <w:docGrid w:type="lines" w:linePitch="312" w:charSpace="0"/>
        </w:sectPr>
      </w:pPr>
      <w:r>
        <w:rPr>
          <w:rFonts w:hAnsi="宋体"/>
          <w:sz w:val="18"/>
          <w:szCs w:val="18"/>
        </w:rPr>
        <w:t>1</w:t>
      </w:r>
      <w:r>
        <w:rPr>
          <w:rFonts w:hAnsi="宋体"/>
          <w:sz w:val="18"/>
          <w:szCs w:val="18"/>
          <w:u w:val="single"/>
          <w:vertAlign w:val="superscript"/>
        </w:rPr>
        <w:t xml:space="preserve">       </w:t>
      </w:r>
      <w:r>
        <w:rPr>
          <w:rFonts w:hint="eastAsia" w:hAnsi="宋体"/>
          <w:sz w:val="18"/>
          <w:szCs w:val="18"/>
        </w:rPr>
        <w:t>锚栓</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纵向抗震斜撑；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管夹；</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Ansi="宋体"/>
          <w:sz w:val="18"/>
          <w:szCs w:val="18"/>
        </w:rPr>
        <w:t>U</w:t>
      </w:r>
      <w:r>
        <w:rPr>
          <w:rFonts w:hint="eastAsia" w:hAnsi="宋体"/>
          <w:sz w:val="18"/>
          <w:szCs w:val="18"/>
        </w:rPr>
        <w:t>型管夹；</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管道；</w:t>
      </w:r>
    </w:p>
    <w:p>
      <w:pPr>
        <w:pStyle w:val="241"/>
        <w:ind w:firstLine="0" w:firstLineChars="0"/>
        <w:rPr>
          <w:rFonts w:hAnsi="宋体"/>
          <w:sz w:val="18"/>
          <w:szCs w:val="18"/>
        </w:rPr>
      </w:pPr>
      <w:r>
        <w:rPr>
          <w:rFonts w:hAnsi="宋体"/>
          <w:sz w:val="18"/>
          <w:szCs w:val="18"/>
        </w:rPr>
        <w:t>7</w:t>
      </w:r>
      <w:r>
        <w:rPr>
          <w:rFonts w:hAnsi="宋体"/>
          <w:sz w:val="18"/>
          <w:szCs w:val="18"/>
          <w:u w:val="single"/>
          <w:vertAlign w:val="superscript"/>
        </w:rPr>
        <w:t xml:space="preserve">       </w:t>
      </w:r>
      <w:r>
        <w:rPr>
          <w:rFonts w:hint="eastAsia" w:hAnsi="宋体"/>
          <w:sz w:val="18"/>
          <w:szCs w:val="18"/>
        </w:rPr>
        <w:t>加固吊杆。</w:t>
      </w:r>
    </w:p>
    <w:p>
      <w:pPr>
        <w:pStyle w:val="89"/>
        <w:numPr>
          <w:ilvl w:val="0"/>
          <w:numId w:val="0"/>
        </w:numPr>
        <w:spacing w:before="156" w:after="156"/>
        <w:rPr>
          <w:rFonts w:ascii="Times New Roman"/>
        </w:rPr>
      </w:pPr>
      <w:r>
        <w:rPr>
          <w:rFonts w:hint="eastAsia"/>
        </w:rPr>
        <w:t>图D.</w:t>
      </w:r>
      <w:r>
        <w:t xml:space="preserve">2  </w:t>
      </w:r>
      <w:r>
        <w:rPr>
          <w:rFonts w:ascii="Times New Roman"/>
        </w:rPr>
        <w:t>纵向抗震支吊架结构型式示意图</w:t>
      </w:r>
    </w:p>
    <w:p>
      <w:pPr>
        <w:pStyle w:val="84"/>
        <w:spacing w:before="312" w:beforeLines="100" w:after="312" w:afterLines="100"/>
        <w:rPr>
          <w:rFonts w:hAnsi="黑体"/>
        </w:rPr>
      </w:pPr>
      <w:bookmarkStart w:id="134" w:name="_Toc81322390"/>
      <w:r>
        <w:rPr>
          <w:rFonts w:hint="eastAsia" w:hAnsi="黑体"/>
        </w:rPr>
        <w:t>给排水、燃气、消防等管道用抗震支吊架</w:t>
      </w:r>
      <w:bookmarkEnd w:id="134"/>
    </w:p>
    <w:p>
      <w:pPr>
        <w:pStyle w:val="62"/>
        <w:ind w:firstLine="420"/>
        <w:rPr>
          <w:rFonts w:ascii="Times New Roman"/>
        </w:rPr>
      </w:pPr>
      <w:r>
        <w:rPr>
          <w:rFonts w:ascii="Times New Roman"/>
        </w:rPr>
        <w:t>结构型式见图D.3。</w:t>
      </w:r>
    </w:p>
    <w:p>
      <w:pPr>
        <w:pStyle w:val="62"/>
        <w:ind w:firstLine="420"/>
        <w:rPr>
          <w:rFonts w:ascii="Times New Roman"/>
        </w:rPr>
      </w:pPr>
    </w:p>
    <w:p>
      <w:pPr>
        <w:pStyle w:val="62"/>
        <w:ind w:firstLine="20"/>
        <w:jc w:val="center"/>
      </w:pPr>
      <w:r>
        <w:rPr>
          <w:rFonts w:ascii="Times New Roman" w:eastAsia="Times New Roman"/>
          <w:snapToGrid w:val="0"/>
          <w:color w:val="000000"/>
          <w:w w:val="0"/>
          <w:sz w:val="0"/>
          <w:szCs w:val="0"/>
          <w:u w:color="000000"/>
          <w:shd w:val="clear" w:color="000000" w:fill="000000"/>
          <w:lang w:val="zh-CN" w:eastAsia="zh-CN" w:bidi="zh-CN"/>
        </w:rPr>
        <w:t xml:space="preserve"> </w:t>
      </w:r>
      <w:r>
        <w:drawing>
          <wp:inline distT="0" distB="0" distL="0" distR="0">
            <wp:extent cx="2070100" cy="1509395"/>
            <wp:effectExtent l="0" t="0" r="6350" b="0"/>
            <wp:docPr id="29" name="图片 29" descr="C:\Users\18682365158\Desktop\微信图片_2023060210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18682365158\Desktop\微信图片_20230602104712.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112986" cy="1541131"/>
                    </a:xfrm>
                    <a:prstGeom prst="rect">
                      <a:avLst/>
                    </a:prstGeom>
                    <a:noFill/>
                    <a:ln>
                      <a:noFill/>
                    </a:ln>
                  </pic:spPr>
                </pic:pic>
              </a:graphicData>
            </a:graphic>
          </wp:inline>
        </w:drawing>
      </w:r>
    </w:p>
    <w:p>
      <w:pPr>
        <w:pStyle w:val="241"/>
        <w:ind w:firstLine="0" w:firstLineChars="0"/>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锚栓；</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纵向抗震斜撑；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管夹；</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Ansi="宋体"/>
          <w:sz w:val="18"/>
          <w:szCs w:val="18"/>
        </w:rPr>
        <w:t>U</w:t>
      </w:r>
      <w:r>
        <w:rPr>
          <w:rFonts w:hint="eastAsia" w:hAnsi="宋体"/>
          <w:sz w:val="18"/>
          <w:szCs w:val="18"/>
        </w:rPr>
        <w:t>型管夹；</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给排水、燃气、消防管道等；</w:t>
      </w:r>
    </w:p>
    <w:p>
      <w:pPr>
        <w:pStyle w:val="241"/>
        <w:ind w:firstLine="0" w:firstLineChars="0"/>
        <w:rPr>
          <w:rFonts w:hAnsi="宋体"/>
          <w:sz w:val="18"/>
          <w:szCs w:val="18"/>
        </w:rPr>
      </w:pPr>
      <w:r>
        <w:rPr>
          <w:rFonts w:hAnsi="宋体"/>
          <w:sz w:val="18"/>
          <w:szCs w:val="18"/>
        </w:rPr>
        <w:t>7</w:t>
      </w:r>
      <w:r>
        <w:rPr>
          <w:rFonts w:hAnsi="宋体"/>
          <w:sz w:val="18"/>
          <w:szCs w:val="18"/>
          <w:u w:val="single"/>
          <w:vertAlign w:val="superscript"/>
        </w:rPr>
        <w:t xml:space="preserve">       </w:t>
      </w:r>
      <w:r>
        <w:rPr>
          <w:rFonts w:hint="eastAsia" w:hAnsi="宋体"/>
          <w:sz w:val="18"/>
          <w:szCs w:val="18"/>
        </w:rPr>
        <w:t>侧向抗震斜撑；</w:t>
      </w:r>
    </w:p>
    <w:p>
      <w:pPr>
        <w:pStyle w:val="241"/>
        <w:ind w:firstLine="0" w:firstLineChars="0"/>
        <w:jc w:val="left"/>
        <w:rPr>
          <w:rFonts w:hAnsi="宋体"/>
          <w:sz w:val="18"/>
          <w:szCs w:val="18"/>
        </w:rPr>
      </w:pPr>
      <w:r>
        <w:rPr>
          <w:rFonts w:hAnsi="宋体"/>
          <w:sz w:val="18"/>
          <w:szCs w:val="18"/>
        </w:rPr>
        <w:t>8</w:t>
      </w:r>
      <w:r>
        <w:rPr>
          <w:rFonts w:hAnsi="宋体"/>
          <w:sz w:val="18"/>
          <w:szCs w:val="18"/>
          <w:u w:val="single"/>
          <w:vertAlign w:val="superscript"/>
        </w:rPr>
        <w:t xml:space="preserve">       </w:t>
      </w:r>
      <w:r>
        <w:rPr>
          <w:rFonts w:hint="eastAsia" w:hAnsi="宋体"/>
          <w:sz w:val="18"/>
          <w:szCs w:val="18"/>
        </w:rPr>
        <w:t>加固吊杆；</w:t>
      </w:r>
    </w:p>
    <w:p>
      <w:pPr>
        <w:pStyle w:val="241"/>
        <w:ind w:firstLine="0" w:firstLineChars="0"/>
        <w:rPr>
          <w:rFonts w:hAnsi="宋体"/>
          <w:sz w:val="18"/>
          <w:szCs w:val="18"/>
        </w:rPr>
      </w:pPr>
      <w:r>
        <w:rPr>
          <w:rFonts w:hAnsi="宋体"/>
          <w:sz w:val="18"/>
          <w:szCs w:val="18"/>
        </w:rPr>
        <w:t>L</w:t>
      </w:r>
      <w:r>
        <w:rPr>
          <w:rFonts w:hAnsi="宋体"/>
          <w:sz w:val="18"/>
          <w:szCs w:val="18"/>
          <w:u w:val="single"/>
          <w:vertAlign w:val="superscript"/>
        </w:rPr>
        <w:t xml:space="preserve">       </w:t>
      </w:r>
      <w:r>
        <w:rPr>
          <w:rFonts w:hint="eastAsia" w:hAnsi="宋体"/>
          <w:sz w:val="18"/>
          <w:szCs w:val="18"/>
        </w:rPr>
        <w:t>抗震支吊架的斜撑与吊架的距离。</w:t>
      </w:r>
    </w:p>
    <w:p>
      <w:pPr>
        <w:pStyle w:val="89"/>
        <w:numPr>
          <w:ilvl w:val="0"/>
          <w:numId w:val="0"/>
        </w:numPr>
        <w:spacing w:before="156" w:after="156"/>
        <w:rPr>
          <w:rFonts w:ascii="Times New Roman"/>
        </w:rPr>
      </w:pPr>
      <w:r>
        <w:rPr>
          <w:rFonts w:hint="eastAsia"/>
        </w:rPr>
        <w:t>图D.</w:t>
      </w:r>
      <w:r>
        <w:t xml:space="preserve">3  </w:t>
      </w:r>
      <w:r>
        <w:rPr>
          <w:rFonts w:hint="eastAsia" w:hAnsi="黑体"/>
        </w:rPr>
        <w:t>给排水、燃气、消防等</w:t>
      </w:r>
      <w:r>
        <w:rPr>
          <w:rFonts w:ascii="Times New Roman"/>
        </w:rPr>
        <w:t>管道的抗震支吊架结构型式示意图</w:t>
      </w:r>
    </w:p>
    <w:p>
      <w:pPr>
        <w:pStyle w:val="84"/>
        <w:spacing w:before="312" w:beforeLines="100" w:after="312" w:afterLines="100"/>
      </w:pPr>
      <w:bookmarkStart w:id="135" w:name="_Toc81322391"/>
      <w:r>
        <w:rPr>
          <w:rFonts w:hint="eastAsia"/>
        </w:rPr>
        <w:t>电缆线盒、母线槽用抗震支吊架</w:t>
      </w:r>
      <w:bookmarkEnd w:id="135"/>
    </w:p>
    <w:p>
      <w:pPr>
        <w:pStyle w:val="62"/>
        <w:ind w:firstLine="420"/>
        <w:rPr>
          <w:rFonts w:ascii="Times New Roman"/>
        </w:rPr>
        <w:sectPr>
          <w:footerReference r:id="rId41" w:type="default"/>
          <w:type w:val="continuous"/>
          <w:pgSz w:w="11906" w:h="16838"/>
          <w:pgMar w:top="2410" w:right="1134" w:bottom="1134" w:left="1134" w:header="1418" w:footer="1134" w:gutter="284"/>
          <w:cols w:space="425" w:num="1"/>
          <w:formProt w:val="0"/>
          <w:docGrid w:type="lines" w:linePitch="312" w:charSpace="0"/>
        </w:sectPr>
      </w:pPr>
      <w:r>
        <w:rPr>
          <w:rFonts w:ascii="Times New Roman"/>
        </w:rPr>
        <w:t>结构型式见图D.4。</w:t>
      </w:r>
    </w:p>
    <w:p>
      <w:pPr>
        <w:pStyle w:val="62"/>
        <w:ind w:firstLine="420"/>
        <w:rPr>
          <w:rFonts w:hAnsi="宋体"/>
        </w:rPr>
      </w:pPr>
    </w:p>
    <w:p>
      <w:pPr>
        <w:pStyle w:val="62"/>
        <w:ind w:firstLine="420"/>
        <w:jc w:val="center"/>
      </w:pPr>
      <w:r>
        <w:rPr>
          <w:rFonts w:hint="eastAsia"/>
        </w:rPr>
        <w:drawing>
          <wp:inline distT="0" distB="0" distL="0" distR="0">
            <wp:extent cx="3113405" cy="1691640"/>
            <wp:effectExtent l="0" t="0" r="0" b="3810"/>
            <wp:docPr id="255" name="图片 255" descr="C:\Users\18682365158\Desktop\标准图片\桥架刚性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C:\Users\18682365158\Desktop\标准图片\桥架刚性示意图.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161673" cy="1717787"/>
                    </a:xfrm>
                    <a:prstGeom prst="rect">
                      <a:avLst/>
                    </a:prstGeom>
                    <a:noFill/>
                    <a:ln>
                      <a:noFill/>
                    </a:ln>
                  </pic:spPr>
                </pic:pic>
              </a:graphicData>
            </a:graphic>
          </wp:inline>
        </w:drawing>
      </w: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锚栓；</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侧向抗震斜撑；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加固吊杆；</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int="eastAsia" w:hAnsi="宋体"/>
          <w:sz w:val="18"/>
          <w:szCs w:val="18"/>
        </w:rPr>
        <w:t>纵向抗震斜撑；</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电缆线盒、母线槽等；</w:t>
      </w:r>
    </w:p>
    <w:p>
      <w:pPr>
        <w:pStyle w:val="62"/>
        <w:ind w:firstLine="0" w:firstLineChars="0"/>
        <w:rPr>
          <w:rFonts w:hAnsi="宋体"/>
          <w:sz w:val="18"/>
          <w:szCs w:val="18"/>
        </w:rPr>
      </w:pPr>
      <w:r>
        <w:rPr>
          <w:rFonts w:hAnsi="宋体"/>
          <w:sz w:val="18"/>
          <w:szCs w:val="18"/>
        </w:rPr>
        <w:t>7</w:t>
      </w:r>
      <w:r>
        <w:rPr>
          <w:rFonts w:hAnsi="宋体"/>
          <w:sz w:val="18"/>
          <w:szCs w:val="18"/>
          <w:u w:val="single"/>
          <w:vertAlign w:val="superscript"/>
        </w:rPr>
        <w:t xml:space="preserve">       </w:t>
      </w:r>
      <w:r>
        <w:rPr>
          <w:rFonts w:hint="eastAsia" w:hAnsi="宋体"/>
          <w:sz w:val="18"/>
          <w:szCs w:val="18"/>
        </w:rPr>
        <w:t>槽钢横担。</w:t>
      </w:r>
    </w:p>
    <w:p>
      <w:pPr>
        <w:pStyle w:val="89"/>
        <w:numPr>
          <w:ilvl w:val="0"/>
          <w:numId w:val="0"/>
        </w:numPr>
        <w:spacing w:before="156" w:after="156"/>
        <w:ind w:left="360"/>
      </w:pPr>
      <w:r>
        <w:rPr>
          <w:rFonts w:hint="eastAsia"/>
        </w:rPr>
        <w:t>图D.</w:t>
      </w:r>
      <w:r>
        <w:t xml:space="preserve">4  </w:t>
      </w:r>
      <w:r>
        <w:rPr>
          <w:rFonts w:hint="eastAsia"/>
        </w:rPr>
        <w:t>电缆线盒、、母线槽用抗震支吊架结构型式示意图</w:t>
      </w:r>
    </w:p>
    <w:p>
      <w:pPr>
        <w:pStyle w:val="84"/>
        <w:spacing w:before="312" w:beforeLines="100" w:after="312" w:afterLines="100"/>
      </w:pPr>
      <w:bookmarkStart w:id="136" w:name="_Toc81322392"/>
      <w:r>
        <w:rPr>
          <w:rFonts w:hint="eastAsia"/>
        </w:rPr>
        <w:t>空调、防排烟等管道用抗震支吊架</w:t>
      </w:r>
      <w:bookmarkEnd w:id="136"/>
    </w:p>
    <w:p>
      <w:pPr>
        <w:pStyle w:val="62"/>
        <w:ind w:firstLine="420"/>
        <w:rPr>
          <w:rFonts w:ascii="Times New Roman"/>
        </w:rPr>
      </w:pPr>
      <w:r>
        <w:rPr>
          <w:rFonts w:ascii="Times New Roman"/>
        </w:rPr>
        <w:t>结构型式见图D.5。</w:t>
      </w:r>
    </w:p>
    <w:p>
      <w:pPr>
        <w:pStyle w:val="62"/>
        <w:ind w:firstLine="420"/>
        <w:jc w:val="center"/>
      </w:pPr>
      <w:r>
        <w:drawing>
          <wp:inline distT="0" distB="0" distL="0" distR="0">
            <wp:extent cx="2562225" cy="1750060"/>
            <wp:effectExtent l="0" t="0" r="0" b="2540"/>
            <wp:docPr id="82" name="图片 82" descr="C:\Users\18682365158\Desktop\图片(2)922\图片\风管双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18682365158\Desktop\图片(2)922\图片\风管双向.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595700" cy="1773080"/>
                    </a:xfrm>
                    <a:prstGeom prst="rect">
                      <a:avLst/>
                    </a:prstGeom>
                    <a:noFill/>
                    <a:ln>
                      <a:noFill/>
                    </a:ln>
                  </pic:spPr>
                </pic:pic>
              </a:graphicData>
            </a:graphic>
          </wp:inline>
        </w:drawing>
      </w: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锚栓；</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侧向抗震斜撑；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加固吊杆；</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int="eastAsia" w:hAnsi="宋体"/>
          <w:sz w:val="18"/>
          <w:szCs w:val="18"/>
        </w:rPr>
        <w:t>纵向抗震斜撑；</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空调、防排烟等管道；</w:t>
      </w:r>
    </w:p>
    <w:p>
      <w:pPr>
        <w:pStyle w:val="62"/>
        <w:ind w:firstLine="0" w:firstLineChars="0"/>
        <w:rPr>
          <w:rFonts w:hAnsi="宋体"/>
          <w:sz w:val="18"/>
          <w:szCs w:val="18"/>
        </w:rPr>
        <w:sectPr>
          <w:footerReference r:id="rId42" w:type="default"/>
          <w:type w:val="continuous"/>
          <w:pgSz w:w="11906" w:h="16838"/>
          <w:pgMar w:top="2410" w:right="1134" w:bottom="1134" w:left="1134" w:header="1418" w:footer="1134" w:gutter="284"/>
          <w:cols w:space="425" w:num="1"/>
          <w:formProt w:val="0"/>
          <w:docGrid w:type="lines" w:linePitch="312" w:charSpace="0"/>
        </w:sectPr>
      </w:pPr>
      <w:r>
        <w:rPr>
          <w:rFonts w:hAnsi="宋体"/>
          <w:sz w:val="18"/>
          <w:szCs w:val="18"/>
        </w:rPr>
        <w:t>7</w:t>
      </w:r>
      <w:r>
        <w:rPr>
          <w:rFonts w:hAnsi="宋体"/>
          <w:sz w:val="18"/>
          <w:szCs w:val="18"/>
          <w:u w:val="single"/>
          <w:vertAlign w:val="superscript"/>
        </w:rPr>
        <w:t xml:space="preserve">       </w:t>
      </w:r>
      <w:r>
        <w:rPr>
          <w:rFonts w:hint="eastAsia" w:hAnsi="宋体"/>
          <w:sz w:val="18"/>
          <w:szCs w:val="18"/>
        </w:rPr>
        <w:t>槽钢横担。</w:t>
      </w:r>
    </w:p>
    <w:p>
      <w:pPr>
        <w:pStyle w:val="89"/>
        <w:numPr>
          <w:ilvl w:val="0"/>
          <w:numId w:val="0"/>
        </w:numPr>
        <w:spacing w:before="156" w:after="156"/>
        <w:ind w:left="525"/>
      </w:pPr>
      <w:r>
        <w:rPr>
          <w:rFonts w:hint="eastAsia"/>
        </w:rPr>
        <w:t>图D.</w:t>
      </w:r>
      <w:r>
        <w:t xml:space="preserve">5  </w:t>
      </w:r>
      <w:r>
        <w:rPr>
          <w:rFonts w:hint="eastAsia"/>
        </w:rPr>
        <w:t>空调、防排烟等管道用抗震支吊架结构型式示意图</w:t>
      </w:r>
    </w:p>
    <w:p>
      <w:pPr>
        <w:pStyle w:val="255"/>
        <w:numPr>
          <w:ilvl w:val="1"/>
          <w:numId w:val="4"/>
        </w:numPr>
        <w:spacing w:before="312" w:after="312"/>
      </w:pPr>
      <w:r>
        <w:rPr>
          <w:rFonts w:hint="eastAsia"/>
        </w:rPr>
        <w:t>组合多管线用综合抗震支吊架</w:t>
      </w:r>
    </w:p>
    <w:p>
      <w:pPr>
        <w:pStyle w:val="241"/>
        <w:rPr>
          <w:rFonts w:ascii="Times New Roman"/>
          <w:szCs w:val="21"/>
        </w:rPr>
      </w:pPr>
      <w:r>
        <w:rPr>
          <w:rFonts w:ascii="Times New Roman"/>
          <w:szCs w:val="21"/>
        </w:rPr>
        <w:t>结构型式见D.6。</w:t>
      </w:r>
    </w:p>
    <w:p>
      <w:pPr>
        <w:pStyle w:val="241"/>
        <w:jc w:val="center"/>
      </w:pPr>
      <w:r>
        <w:drawing>
          <wp:inline distT="0" distB="0" distL="0" distR="0">
            <wp:extent cx="3348355" cy="1930400"/>
            <wp:effectExtent l="0" t="0" r="4445" b="0"/>
            <wp:docPr id="65" name="图片 65" descr="C:\Users\18682365158\Desktop\标准图片\组合刚性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18682365158\Desktop\标准图片\组合刚性示意图.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369959" cy="1942682"/>
                    </a:xfrm>
                    <a:prstGeom prst="rect">
                      <a:avLst/>
                    </a:prstGeom>
                    <a:noFill/>
                    <a:ln>
                      <a:noFill/>
                    </a:ln>
                  </pic:spPr>
                </pic:pic>
              </a:graphicData>
            </a:graphic>
          </wp:inline>
        </w:drawing>
      </w: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锚固件；</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侧向抗震斜撑；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立杆槽钢；</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int="eastAsia" w:hAnsi="宋体"/>
          <w:sz w:val="18"/>
          <w:szCs w:val="18"/>
        </w:rPr>
        <w:t>纵向抗震斜撑；</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hint="eastAsia" w:hAnsi="宋体"/>
          <w:sz w:val="18"/>
          <w:szCs w:val="18"/>
        </w:rPr>
        <w:t>电缆线盒、母线槽等；</w:t>
      </w:r>
    </w:p>
    <w:p>
      <w:pPr>
        <w:pStyle w:val="241"/>
        <w:ind w:firstLine="0" w:firstLineChars="0"/>
        <w:rPr>
          <w:rFonts w:hAnsi="宋体"/>
          <w:sz w:val="18"/>
          <w:szCs w:val="18"/>
        </w:rPr>
      </w:pPr>
      <w:r>
        <w:rPr>
          <w:rFonts w:hAnsi="宋体"/>
          <w:sz w:val="18"/>
          <w:szCs w:val="18"/>
        </w:rPr>
        <w:t>7</w:t>
      </w:r>
      <w:r>
        <w:rPr>
          <w:rFonts w:hAnsi="宋体"/>
          <w:sz w:val="18"/>
          <w:szCs w:val="18"/>
          <w:u w:val="single"/>
          <w:vertAlign w:val="superscript"/>
        </w:rPr>
        <w:t xml:space="preserve">       </w:t>
      </w:r>
      <w:r>
        <w:rPr>
          <w:rFonts w:hint="eastAsia" w:hAnsi="宋体"/>
          <w:sz w:val="18"/>
          <w:szCs w:val="18"/>
        </w:rPr>
        <w:t>给排水、燃气、消防管道等；</w:t>
      </w:r>
    </w:p>
    <w:p>
      <w:pPr>
        <w:pStyle w:val="241"/>
        <w:ind w:firstLine="0" w:firstLineChars="0"/>
        <w:rPr>
          <w:rFonts w:hAnsi="宋体"/>
          <w:sz w:val="18"/>
          <w:szCs w:val="18"/>
        </w:rPr>
      </w:pPr>
      <w:r>
        <w:rPr>
          <w:rFonts w:hAnsi="宋体"/>
          <w:sz w:val="18"/>
          <w:szCs w:val="18"/>
        </w:rPr>
        <w:t>8</w:t>
      </w:r>
      <w:r>
        <w:rPr>
          <w:rFonts w:hAnsi="宋体"/>
          <w:sz w:val="18"/>
          <w:szCs w:val="18"/>
          <w:u w:val="single"/>
          <w:vertAlign w:val="superscript"/>
        </w:rPr>
        <w:t xml:space="preserve">       </w:t>
      </w:r>
      <w:r>
        <w:rPr>
          <w:rFonts w:hAnsi="宋体"/>
          <w:sz w:val="18"/>
          <w:szCs w:val="18"/>
        </w:rPr>
        <w:t>Ω</w:t>
      </w:r>
      <w:r>
        <w:rPr>
          <w:rFonts w:hint="eastAsia" w:hAnsi="宋体"/>
          <w:sz w:val="18"/>
          <w:szCs w:val="18"/>
        </w:rPr>
        <w:t>型管夹；</w:t>
      </w:r>
    </w:p>
    <w:p>
      <w:pPr>
        <w:pStyle w:val="241"/>
        <w:ind w:firstLine="0" w:firstLineChars="0"/>
        <w:rPr>
          <w:rFonts w:hAnsi="宋体"/>
          <w:sz w:val="18"/>
          <w:szCs w:val="18"/>
        </w:rPr>
        <w:sectPr>
          <w:footerReference r:id="rId43" w:type="default"/>
          <w:type w:val="continuous"/>
          <w:pgSz w:w="11906" w:h="16838"/>
          <w:pgMar w:top="2410" w:right="1134" w:bottom="1134" w:left="1134" w:header="1418" w:footer="1134" w:gutter="284"/>
          <w:cols w:space="425" w:num="1"/>
          <w:formProt w:val="0"/>
          <w:docGrid w:type="lines" w:linePitch="312" w:charSpace="0"/>
        </w:sectPr>
      </w:pPr>
      <w:r>
        <w:rPr>
          <w:rFonts w:hAnsi="宋体"/>
          <w:sz w:val="18"/>
          <w:szCs w:val="18"/>
        </w:rPr>
        <w:t>9</w:t>
      </w:r>
      <w:r>
        <w:rPr>
          <w:rFonts w:hAnsi="宋体"/>
          <w:sz w:val="18"/>
          <w:szCs w:val="18"/>
          <w:u w:val="single"/>
          <w:vertAlign w:val="superscript"/>
        </w:rPr>
        <w:t xml:space="preserve">       </w:t>
      </w:r>
      <w:r>
        <w:rPr>
          <w:rFonts w:hint="eastAsia" w:hAnsi="宋体"/>
          <w:sz w:val="18"/>
          <w:szCs w:val="18"/>
        </w:rPr>
        <w:t>横担槽钢。</w:t>
      </w:r>
    </w:p>
    <w:p>
      <w:pPr>
        <w:pStyle w:val="89"/>
        <w:numPr>
          <w:ilvl w:val="0"/>
          <w:numId w:val="0"/>
        </w:numPr>
        <w:spacing w:before="156" w:after="156"/>
        <w:ind w:left="360"/>
      </w:pPr>
      <w:r>
        <w:rPr>
          <w:rFonts w:hint="eastAsia"/>
        </w:rPr>
        <w:t>图D.</w:t>
      </w:r>
      <w:r>
        <w:t xml:space="preserve">6  </w:t>
      </w:r>
      <w:r>
        <w:rPr>
          <w:rFonts w:hint="eastAsia"/>
        </w:rPr>
        <w:t>组合多管线用综合抗震支吊架结构型式示意图</w:t>
      </w:r>
    </w:p>
    <w:p>
      <w:pPr>
        <w:pStyle w:val="84"/>
        <w:spacing w:before="156" w:after="156"/>
      </w:pPr>
      <w:bookmarkStart w:id="137" w:name="_Toc81322393"/>
      <w:r>
        <w:rPr>
          <w:rFonts w:hint="eastAsia"/>
        </w:rPr>
        <w:t>托臂式抗震支吊架</w:t>
      </w:r>
      <w:bookmarkEnd w:id="137"/>
    </w:p>
    <w:p>
      <w:pPr>
        <w:pStyle w:val="62"/>
        <w:ind w:firstLine="420"/>
        <w:rPr>
          <w:rFonts w:ascii="Times New Roman"/>
          <w:szCs w:val="21"/>
        </w:rPr>
      </w:pPr>
      <w:r>
        <w:rPr>
          <w:rFonts w:ascii="Times New Roman"/>
          <w:szCs w:val="21"/>
        </w:rPr>
        <w:t>结构型式见D.7。</w:t>
      </w:r>
    </w:p>
    <w:p>
      <w:pPr>
        <w:pStyle w:val="62"/>
        <w:ind w:firstLine="20"/>
        <w:jc w:val="center"/>
      </w:pPr>
      <w:r>
        <w:rPr>
          <w:rFonts w:ascii="Times New Roman" w:eastAsia="Times New Roman"/>
          <w:snapToGrid w:val="0"/>
          <w:color w:val="000000"/>
          <w:w w:val="0"/>
          <w:sz w:val="0"/>
          <w:szCs w:val="0"/>
          <w:u w:color="000000"/>
          <w:shd w:val="clear" w:color="000000" w:fill="000000"/>
          <w:lang w:val="zh-CN" w:eastAsia="zh-CN" w:bidi="zh-CN"/>
        </w:rPr>
        <w:t xml:space="preserve"> </w:t>
      </w:r>
      <w:r>
        <w:rPr>
          <w:rFonts w:ascii="Times New Roman" w:eastAsia="Times New Roman"/>
          <w:snapToGrid w:val="0"/>
          <w:color w:val="000000"/>
          <w:w w:val="0"/>
          <w:sz w:val="0"/>
          <w:szCs w:val="0"/>
          <w:u w:color="000000"/>
          <w:shd w:val="clear" w:color="000000" w:fill="000000"/>
        </w:rPr>
        <w:drawing>
          <wp:inline distT="0" distB="0" distL="0" distR="0">
            <wp:extent cx="2501900" cy="2316480"/>
            <wp:effectExtent l="0" t="0" r="0" b="7620"/>
            <wp:docPr id="233" name="图片 233" descr="C:\Users\186823~1\AppData\Local\Temp\WeChat Files\91215b12d534347b40c5769e8c3f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C:\Users\186823~1\AppData\Local\Temp\WeChat Files\91215b12d534347b40c5769e8c3f519.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555058" cy="2365965"/>
                    </a:xfrm>
                    <a:prstGeom prst="rect">
                      <a:avLst/>
                    </a:prstGeom>
                    <a:noFill/>
                    <a:ln>
                      <a:noFill/>
                    </a:ln>
                  </pic:spPr>
                </pic:pic>
              </a:graphicData>
            </a:graphic>
          </wp:inline>
        </w:drawing>
      </w:r>
    </w:p>
    <w:p>
      <w:pPr>
        <w:pStyle w:val="241"/>
        <w:ind w:firstLine="0" w:firstLineChars="0"/>
        <w:jc w:val="left"/>
        <w:rPr>
          <w:rFonts w:hAnsi="宋体"/>
          <w:sz w:val="18"/>
          <w:szCs w:val="18"/>
        </w:rPr>
      </w:pPr>
      <w:r>
        <w:rPr>
          <w:rFonts w:hint="eastAsia" w:hAnsi="宋体"/>
          <w:sz w:val="18"/>
          <w:szCs w:val="18"/>
        </w:rPr>
        <w:t>标引序号说明：</w:t>
      </w:r>
    </w:p>
    <w:p>
      <w:pPr>
        <w:pStyle w:val="241"/>
        <w:ind w:firstLine="0" w:firstLineChars="0"/>
        <w:rPr>
          <w:rFonts w:hAnsi="宋体"/>
          <w:sz w:val="18"/>
          <w:szCs w:val="18"/>
        </w:rPr>
      </w:pPr>
      <w:r>
        <w:rPr>
          <w:rFonts w:hAnsi="宋体"/>
          <w:sz w:val="18"/>
          <w:szCs w:val="18"/>
        </w:rPr>
        <w:t>1</w:t>
      </w:r>
      <w:r>
        <w:rPr>
          <w:rFonts w:hAnsi="宋体"/>
          <w:sz w:val="18"/>
          <w:szCs w:val="18"/>
          <w:u w:val="single"/>
          <w:vertAlign w:val="superscript"/>
        </w:rPr>
        <w:t xml:space="preserve">       </w:t>
      </w:r>
      <w:r>
        <w:rPr>
          <w:rFonts w:hint="eastAsia" w:hAnsi="宋体"/>
          <w:sz w:val="18"/>
          <w:szCs w:val="18"/>
        </w:rPr>
        <w:t>锚固件；</w:t>
      </w:r>
    </w:p>
    <w:p>
      <w:pPr>
        <w:pStyle w:val="241"/>
        <w:ind w:firstLine="0" w:firstLineChars="0"/>
        <w:rPr>
          <w:rFonts w:hAnsi="宋体"/>
          <w:sz w:val="18"/>
          <w:szCs w:val="18"/>
        </w:rPr>
      </w:pPr>
      <w:r>
        <w:rPr>
          <w:rFonts w:hAnsi="宋体"/>
          <w:sz w:val="18"/>
          <w:szCs w:val="18"/>
        </w:rPr>
        <w:t>2</w:t>
      </w:r>
      <w:r>
        <w:rPr>
          <w:rFonts w:hAnsi="宋体"/>
          <w:sz w:val="18"/>
          <w:szCs w:val="18"/>
          <w:u w:val="single"/>
          <w:vertAlign w:val="superscript"/>
        </w:rPr>
        <w:t xml:space="preserve">       </w:t>
      </w:r>
      <w:r>
        <w:rPr>
          <w:rFonts w:hint="eastAsia" w:hAnsi="宋体"/>
          <w:sz w:val="18"/>
          <w:szCs w:val="18"/>
        </w:rPr>
        <w:t>抗震连接构件；</w:t>
      </w:r>
    </w:p>
    <w:p>
      <w:pPr>
        <w:pStyle w:val="241"/>
        <w:ind w:firstLine="0" w:firstLineChars="0"/>
        <w:rPr>
          <w:rFonts w:hAnsi="宋体"/>
          <w:sz w:val="18"/>
          <w:szCs w:val="18"/>
        </w:rPr>
      </w:pPr>
      <w:r>
        <w:rPr>
          <w:rFonts w:hAnsi="宋体"/>
          <w:sz w:val="18"/>
          <w:szCs w:val="18"/>
        </w:rPr>
        <w:t>3</w:t>
      </w:r>
      <w:r>
        <w:rPr>
          <w:rFonts w:hAnsi="宋体"/>
          <w:sz w:val="18"/>
          <w:szCs w:val="18"/>
          <w:u w:val="single"/>
          <w:vertAlign w:val="superscript"/>
        </w:rPr>
        <w:t xml:space="preserve">       </w:t>
      </w:r>
      <w:r>
        <w:rPr>
          <w:rFonts w:hint="eastAsia" w:hAnsi="宋体"/>
          <w:sz w:val="18"/>
          <w:szCs w:val="18"/>
        </w:rPr>
        <w:t>侧向或纵向抗震斜撑；</w:t>
      </w:r>
    </w:p>
    <w:p>
      <w:pPr>
        <w:pStyle w:val="241"/>
        <w:ind w:firstLine="0" w:firstLineChars="0"/>
        <w:rPr>
          <w:rFonts w:hAnsi="宋体"/>
          <w:sz w:val="18"/>
          <w:szCs w:val="18"/>
        </w:rPr>
      </w:pPr>
      <w:r>
        <w:rPr>
          <w:rFonts w:hAnsi="宋体"/>
          <w:sz w:val="18"/>
          <w:szCs w:val="18"/>
        </w:rPr>
        <w:t>4</w:t>
      </w:r>
      <w:r>
        <w:rPr>
          <w:rFonts w:hAnsi="宋体"/>
          <w:sz w:val="18"/>
          <w:szCs w:val="18"/>
          <w:u w:val="single"/>
          <w:vertAlign w:val="superscript"/>
        </w:rPr>
        <w:t xml:space="preserve">       </w:t>
      </w:r>
      <w:r>
        <w:rPr>
          <w:rFonts w:hint="eastAsia" w:hAnsi="宋体"/>
          <w:sz w:val="18"/>
          <w:szCs w:val="18"/>
        </w:rPr>
        <w:t>管道连接件；</w:t>
      </w:r>
    </w:p>
    <w:p>
      <w:pPr>
        <w:pStyle w:val="241"/>
        <w:ind w:firstLine="0" w:firstLineChars="0"/>
        <w:rPr>
          <w:rFonts w:hAnsi="宋体"/>
          <w:sz w:val="18"/>
          <w:szCs w:val="18"/>
        </w:rPr>
      </w:pPr>
      <w:r>
        <w:rPr>
          <w:rFonts w:hAnsi="宋体"/>
          <w:sz w:val="18"/>
          <w:szCs w:val="18"/>
        </w:rPr>
        <w:t>5</w:t>
      </w:r>
      <w:r>
        <w:rPr>
          <w:rFonts w:hAnsi="宋体"/>
          <w:sz w:val="18"/>
          <w:szCs w:val="18"/>
          <w:u w:val="single"/>
          <w:vertAlign w:val="superscript"/>
        </w:rPr>
        <w:t xml:space="preserve">       </w:t>
      </w:r>
      <w:r>
        <w:rPr>
          <w:rFonts w:hint="eastAsia" w:hAnsi="宋体"/>
          <w:sz w:val="18"/>
          <w:szCs w:val="18"/>
        </w:rPr>
        <w:t>给排水、燃气、消防管道等；</w:t>
      </w:r>
    </w:p>
    <w:p>
      <w:pPr>
        <w:pStyle w:val="241"/>
        <w:ind w:firstLine="0" w:firstLineChars="0"/>
        <w:rPr>
          <w:rFonts w:hAnsi="宋体"/>
          <w:sz w:val="18"/>
          <w:szCs w:val="18"/>
        </w:rPr>
      </w:pPr>
      <w:r>
        <w:rPr>
          <w:rFonts w:hAnsi="宋体"/>
          <w:sz w:val="18"/>
          <w:szCs w:val="18"/>
        </w:rPr>
        <w:t>6</w:t>
      </w:r>
      <w:r>
        <w:rPr>
          <w:rFonts w:hAnsi="宋体"/>
          <w:sz w:val="18"/>
          <w:szCs w:val="18"/>
          <w:u w:val="single"/>
          <w:vertAlign w:val="superscript"/>
        </w:rPr>
        <w:t xml:space="preserve">       </w:t>
      </w:r>
      <w:r>
        <w:rPr>
          <w:rFonts w:ascii="Times New Roman"/>
          <w:sz w:val="18"/>
          <w:szCs w:val="18"/>
        </w:rPr>
        <w:t>Ω</w:t>
      </w:r>
      <w:r>
        <w:rPr>
          <w:rFonts w:hint="eastAsia" w:hAnsi="宋体"/>
          <w:sz w:val="18"/>
          <w:szCs w:val="18"/>
        </w:rPr>
        <w:t>型管夹；</w:t>
      </w:r>
    </w:p>
    <w:p>
      <w:pPr>
        <w:pStyle w:val="241"/>
        <w:ind w:firstLine="0" w:firstLineChars="0"/>
        <w:rPr>
          <w:rFonts w:hAnsi="宋体"/>
          <w:sz w:val="18"/>
          <w:szCs w:val="18"/>
        </w:rPr>
      </w:pPr>
      <w:r>
        <w:rPr>
          <w:rFonts w:hAnsi="宋体"/>
          <w:sz w:val="18"/>
          <w:szCs w:val="18"/>
        </w:rPr>
        <w:t>7</w:t>
      </w:r>
      <w:r>
        <w:rPr>
          <w:rFonts w:hAnsi="宋体"/>
          <w:sz w:val="18"/>
          <w:szCs w:val="18"/>
          <w:u w:val="single"/>
          <w:vertAlign w:val="superscript"/>
        </w:rPr>
        <w:t xml:space="preserve">       </w:t>
      </w:r>
      <w:r>
        <w:rPr>
          <w:rFonts w:hint="eastAsia" w:hAnsi="宋体"/>
          <w:sz w:val="18"/>
          <w:szCs w:val="18"/>
        </w:rPr>
        <w:t>横担槽钢；</w:t>
      </w:r>
    </w:p>
    <w:p>
      <w:pPr>
        <w:pStyle w:val="241"/>
        <w:ind w:firstLine="0" w:firstLineChars="0"/>
        <w:rPr>
          <w:rFonts w:hAnsi="宋体"/>
          <w:szCs w:val="21"/>
        </w:rPr>
      </w:pPr>
      <w:r>
        <w:rPr>
          <w:rFonts w:hAnsi="宋体"/>
          <w:sz w:val="18"/>
          <w:szCs w:val="18"/>
        </w:rPr>
        <w:t>L</w:t>
      </w:r>
      <w:r>
        <w:rPr>
          <w:rFonts w:hAnsi="宋体"/>
          <w:sz w:val="18"/>
          <w:szCs w:val="18"/>
          <w:u w:val="single"/>
          <w:vertAlign w:val="superscript"/>
        </w:rPr>
        <w:t xml:space="preserve">       </w:t>
      </w:r>
      <w:r>
        <w:rPr>
          <w:rFonts w:hint="eastAsia" w:hAnsi="宋体"/>
          <w:sz w:val="18"/>
          <w:szCs w:val="18"/>
        </w:rPr>
        <w:t>抗震支吊架的斜撑与托臂的距离；</w:t>
      </w:r>
      <w:r>
        <w:rPr>
          <w:rFonts w:hAnsi="宋体"/>
          <w:szCs w:val="21"/>
        </w:rPr>
        <w:t xml:space="preserve"> </w:t>
      </w:r>
    </w:p>
    <w:p>
      <w:pPr>
        <w:pStyle w:val="89"/>
        <w:numPr>
          <w:ilvl w:val="0"/>
          <w:numId w:val="0"/>
        </w:numPr>
        <w:spacing w:before="156" w:after="156"/>
        <w:ind w:left="360"/>
      </w:pPr>
      <w:r>
        <w:rPr>
          <w:rFonts w:hint="eastAsia"/>
        </w:rPr>
        <w:t>图D.</w:t>
      </w:r>
      <w:r>
        <w:t xml:space="preserve">7  </w:t>
      </w:r>
      <w:r>
        <w:rPr>
          <w:rFonts w:hint="eastAsia"/>
        </w:rPr>
        <w:t>托臂式抗震支吊架结构型式示意图</w:t>
      </w: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pPr>
    </w:p>
    <w:p>
      <w:pPr>
        <w:pStyle w:val="62"/>
        <w:ind w:firstLine="0" w:firstLineChars="0"/>
        <w:sectPr>
          <w:footerReference r:id="rId44" w:type="default"/>
          <w:type w:val="continuous"/>
          <w:pgSz w:w="11906" w:h="16838"/>
          <w:pgMar w:top="2410" w:right="1134" w:bottom="1134" w:left="1134" w:header="1418" w:footer="1134" w:gutter="284"/>
          <w:cols w:space="425" w:num="1"/>
          <w:formProt w:val="0"/>
          <w:docGrid w:type="lines" w:linePitch="312" w:charSpace="0"/>
        </w:sectPr>
      </w:pPr>
    </w:p>
    <w:p>
      <w:pPr>
        <w:pStyle w:val="204"/>
        <w:numPr>
          <w:ilvl w:val="0"/>
          <w:numId w:val="40"/>
        </w:numPr>
        <w:ind w:firstLine="0"/>
        <w:rPr>
          <w:vanish w:val="0"/>
        </w:rPr>
      </w:pPr>
    </w:p>
    <w:p>
      <w:pPr>
        <w:pStyle w:val="205"/>
        <w:rPr>
          <w:vanish w:val="0"/>
        </w:rPr>
      </w:pPr>
    </w:p>
    <w:p>
      <w:pPr>
        <w:pStyle w:val="82"/>
        <w:spacing w:before="78" w:after="156"/>
      </w:pPr>
      <w:r>
        <w:br w:type="textWrapping"/>
      </w:r>
      <w:bookmarkStart w:id="138" w:name="_Toc128552143"/>
      <w:bookmarkStart w:id="139" w:name="_Toc135225138"/>
      <w:r>
        <w:rPr>
          <w:rFonts w:hint="eastAsia"/>
        </w:rPr>
        <w:t>（规范性）</w:t>
      </w:r>
      <w:r>
        <w:br w:type="textWrapping"/>
      </w:r>
      <w:bookmarkEnd w:id="138"/>
      <w:r>
        <w:rPr>
          <w:rFonts w:hint="eastAsia"/>
        </w:rPr>
        <w:t>模拟地震振动台试验方法</w:t>
      </w:r>
      <w:bookmarkEnd w:id="139"/>
    </w:p>
    <w:p>
      <w:pPr>
        <w:pStyle w:val="235"/>
        <w:numPr>
          <w:ilvl w:val="0"/>
          <w:numId w:val="0"/>
        </w:numPr>
        <w:spacing w:before="312" w:beforeLines="100" w:after="312" w:afterLines="100" w:line="320" w:lineRule="exact"/>
        <w:outlineLvl w:val="9"/>
        <w:rPr>
          <w:rFonts w:hAnsi="黑体"/>
        </w:rPr>
      </w:pPr>
      <w:r>
        <w:rPr>
          <w:rFonts w:hAnsi="黑体"/>
        </w:rPr>
        <w:t xml:space="preserve">F.1  </w:t>
      </w:r>
      <w:r>
        <w:rPr>
          <w:rFonts w:hint="eastAsia" w:hAnsi="黑体"/>
        </w:rPr>
        <w:t>试验要求</w:t>
      </w:r>
    </w:p>
    <w:p>
      <w:pPr>
        <w:pStyle w:val="235"/>
        <w:numPr>
          <w:ilvl w:val="0"/>
          <w:numId w:val="0"/>
        </w:numPr>
        <w:spacing w:before="156" w:after="156" w:line="320" w:lineRule="exact"/>
        <w:outlineLvl w:val="9"/>
        <w:rPr>
          <w:rFonts w:hAnsi="黑体"/>
        </w:rPr>
      </w:pPr>
      <w:r>
        <w:rPr>
          <w:rFonts w:hAnsi="黑体"/>
        </w:rPr>
        <w:t>F.1.1  振动台</w:t>
      </w:r>
    </w:p>
    <w:p>
      <w:pPr>
        <w:pStyle w:val="235"/>
        <w:numPr>
          <w:ilvl w:val="0"/>
          <w:numId w:val="0"/>
        </w:numPr>
        <w:spacing w:before="156" w:after="156" w:line="320" w:lineRule="exact"/>
        <w:outlineLvl w:val="9"/>
        <w:rPr>
          <w:rFonts w:ascii="Times New Roman" w:hAnsi="宋体" w:eastAsia="宋体"/>
        </w:rPr>
      </w:pPr>
      <w:r>
        <w:rPr>
          <w:rFonts w:hAnsi="黑体"/>
        </w:rPr>
        <w:t>F.1.1.1</w:t>
      </w:r>
      <w:r>
        <w:rPr>
          <w:rFonts w:ascii="Times New Roman" w:eastAsia="宋体"/>
        </w:rPr>
        <w:t xml:space="preserve">    振动台应符合JGJ/T 101的规定，宜选用具有迭代修正功能的数控式模拟地震振动台。</w:t>
      </w:r>
    </w:p>
    <w:p>
      <w:pPr>
        <w:pStyle w:val="235"/>
        <w:numPr>
          <w:ilvl w:val="0"/>
          <w:numId w:val="0"/>
        </w:numPr>
        <w:spacing w:before="156" w:after="156" w:line="320" w:lineRule="exact"/>
        <w:outlineLvl w:val="9"/>
        <w:rPr>
          <w:rFonts w:ascii="Times New Roman" w:eastAsia="宋体"/>
        </w:rPr>
      </w:pPr>
      <w:r>
        <w:rPr>
          <w:rFonts w:hAnsi="黑体"/>
        </w:rPr>
        <w:t>F.1.1.</w:t>
      </w:r>
      <w:r>
        <w:rPr>
          <w:rFonts w:hint="eastAsia" w:hAnsi="黑体"/>
        </w:rPr>
        <w:t>2</w:t>
      </w:r>
      <w:r>
        <w:rPr>
          <w:rFonts w:ascii="Times New Roman" w:eastAsia="宋体"/>
        </w:rPr>
        <w:t xml:space="preserve">    振动台台面尺寸及空间应满足模拟试验框架及抗震支吊架</w:t>
      </w:r>
      <w:r>
        <w:rPr>
          <w:rFonts w:hint="eastAsia" w:ascii="Times New Roman" w:eastAsia="宋体"/>
        </w:rPr>
        <w:t>组件</w:t>
      </w:r>
      <w:r>
        <w:rPr>
          <w:rFonts w:ascii="Times New Roman" w:eastAsia="宋体"/>
        </w:rPr>
        <w:t>的安装要求。</w:t>
      </w:r>
    </w:p>
    <w:p>
      <w:pPr>
        <w:pStyle w:val="235"/>
        <w:numPr>
          <w:ilvl w:val="0"/>
          <w:numId w:val="0"/>
        </w:numPr>
        <w:spacing w:before="156" w:after="156" w:line="320" w:lineRule="exact"/>
        <w:outlineLvl w:val="9"/>
        <w:rPr>
          <w:rFonts w:ascii="Times New Roman" w:hAnsi="宋体" w:eastAsia="宋体"/>
        </w:rPr>
      </w:pPr>
      <w:r>
        <w:rPr>
          <w:rFonts w:hAnsi="黑体"/>
        </w:rPr>
        <w:t>F.1.1.</w:t>
      </w:r>
      <w:r>
        <w:rPr>
          <w:rFonts w:hint="eastAsia" w:hAnsi="黑体"/>
        </w:rPr>
        <w:t>3</w:t>
      </w:r>
      <w:r>
        <w:rPr>
          <w:rFonts w:ascii="Times New Roman" w:eastAsia="宋体"/>
        </w:rPr>
        <w:t xml:space="preserve">    振动台台面负载及抗倾覆能力应满足试验要求。</w:t>
      </w:r>
    </w:p>
    <w:p>
      <w:pPr>
        <w:pStyle w:val="235"/>
        <w:numPr>
          <w:ilvl w:val="0"/>
          <w:numId w:val="0"/>
        </w:numPr>
        <w:spacing w:before="156" w:after="156" w:line="320" w:lineRule="exact"/>
        <w:outlineLvl w:val="9"/>
        <w:rPr>
          <w:rFonts w:hAnsi="黑体"/>
        </w:rPr>
      </w:pPr>
      <w:r>
        <w:rPr>
          <w:rFonts w:hAnsi="黑体"/>
        </w:rPr>
        <w:t>F.1.2  动态数据采集系统</w:t>
      </w:r>
    </w:p>
    <w:p>
      <w:pPr>
        <w:pStyle w:val="235"/>
        <w:numPr>
          <w:ilvl w:val="0"/>
          <w:numId w:val="0"/>
        </w:numPr>
        <w:spacing w:before="156" w:after="156" w:line="320" w:lineRule="exact"/>
        <w:outlineLvl w:val="9"/>
        <w:rPr>
          <w:rFonts w:ascii="Times New Roman" w:hAnsi="宋体" w:eastAsia="宋体"/>
        </w:rPr>
      </w:pPr>
      <w:r>
        <w:rPr>
          <w:rFonts w:hAnsi="黑体"/>
        </w:rPr>
        <w:t xml:space="preserve">F.1.2.1  </w:t>
      </w:r>
      <w:r>
        <w:rPr>
          <w:rFonts w:ascii="Times New Roman" w:eastAsia="宋体"/>
        </w:rPr>
        <w:t>动态数据采集系统应与模拟地震振动台性能匹配，应具有抗震支吊架</w:t>
      </w:r>
      <w:r>
        <w:rPr>
          <w:rFonts w:hint="eastAsia" w:ascii="Times New Roman" w:eastAsia="宋体"/>
        </w:rPr>
        <w:t>组件</w:t>
      </w:r>
      <w:r>
        <w:rPr>
          <w:rFonts w:ascii="Times New Roman" w:eastAsia="宋体"/>
        </w:rPr>
        <w:t>动力反应以及相关参数的实时采集能力。</w:t>
      </w:r>
    </w:p>
    <w:p>
      <w:pPr>
        <w:pStyle w:val="235"/>
        <w:numPr>
          <w:ilvl w:val="0"/>
          <w:numId w:val="0"/>
        </w:numPr>
        <w:spacing w:before="156" w:after="156" w:line="320" w:lineRule="exact"/>
        <w:outlineLvl w:val="9"/>
        <w:rPr>
          <w:rFonts w:ascii="宋体" w:hAnsi="宋体" w:eastAsia="宋体"/>
        </w:rPr>
      </w:pPr>
      <w:r>
        <w:rPr>
          <w:rFonts w:hAnsi="黑体"/>
        </w:rPr>
        <w:t xml:space="preserve">F.1.2.2  </w:t>
      </w:r>
      <w:r>
        <w:rPr>
          <w:rFonts w:ascii="Times New Roman" w:eastAsia="宋体"/>
        </w:rPr>
        <w:t>动态数据采集系统的使用频率范围，其下限应低于试验用地震记录最低主要频率分量的1/10，上限应大于最高有效频率分量值。</w:t>
      </w:r>
    </w:p>
    <w:p>
      <w:pPr>
        <w:pStyle w:val="235"/>
        <w:numPr>
          <w:ilvl w:val="0"/>
          <w:numId w:val="0"/>
        </w:numPr>
        <w:spacing w:before="156" w:after="156" w:line="320" w:lineRule="exact"/>
        <w:outlineLvl w:val="9"/>
        <w:rPr>
          <w:rFonts w:ascii="宋体" w:hAnsi="宋体" w:eastAsia="宋体"/>
        </w:rPr>
      </w:pPr>
      <w:r>
        <w:rPr>
          <w:rFonts w:hAnsi="黑体"/>
        </w:rPr>
        <w:t xml:space="preserve">F.1.2.3  </w:t>
      </w:r>
      <w:r>
        <w:rPr>
          <w:rFonts w:ascii="Times New Roman" w:eastAsia="宋体"/>
        </w:rPr>
        <w:t>动态数据采集系统的动态范围应大于60dB，信噪比优于-40dB；动态数据采集系统的精度不应低于满量程的0.5%。</w:t>
      </w:r>
    </w:p>
    <w:p>
      <w:pPr>
        <w:pStyle w:val="235"/>
        <w:numPr>
          <w:ilvl w:val="0"/>
          <w:numId w:val="0"/>
        </w:numPr>
        <w:spacing w:before="156" w:after="156" w:line="320" w:lineRule="exact"/>
        <w:outlineLvl w:val="9"/>
        <w:rPr>
          <w:rFonts w:ascii="Times New Roman" w:eastAsia="宋体"/>
        </w:rPr>
      </w:pPr>
      <w:r>
        <w:rPr>
          <w:rFonts w:hAnsi="黑体"/>
        </w:rPr>
        <w:t xml:space="preserve">F.1.2.4  </w:t>
      </w:r>
      <w:r>
        <w:rPr>
          <w:rFonts w:ascii="Times New Roman" w:eastAsia="宋体"/>
        </w:rPr>
        <w:t>测量用传感器及其连接导线应具有良好的机械抗冲击性能，且便于安装和拆卸。传感器的质量和体量不应影响试件的动力特性。</w:t>
      </w:r>
    </w:p>
    <w:p>
      <w:pPr>
        <w:pStyle w:val="235"/>
        <w:numPr>
          <w:ilvl w:val="0"/>
          <w:numId w:val="0"/>
        </w:numPr>
        <w:spacing w:before="156" w:after="156" w:line="320" w:lineRule="exact"/>
        <w:outlineLvl w:val="9"/>
        <w:rPr>
          <w:rFonts w:ascii="Times New Roman" w:eastAsia="宋体"/>
          <w:strike/>
          <w:color w:val="FF0000"/>
        </w:rPr>
      </w:pPr>
      <w:r>
        <w:rPr>
          <w:rFonts w:hAnsi="黑体"/>
        </w:rPr>
        <w:t xml:space="preserve">F.1.2.5  </w:t>
      </w:r>
      <w:r>
        <w:rPr>
          <w:rFonts w:ascii="Times New Roman" w:eastAsia="宋体"/>
        </w:rPr>
        <w:t>测量用传感器的连接导线应采用屏蔽电缆。</w:t>
      </w:r>
    </w:p>
    <w:p>
      <w:pPr>
        <w:pStyle w:val="235"/>
        <w:numPr>
          <w:ilvl w:val="0"/>
          <w:numId w:val="0"/>
        </w:numPr>
        <w:spacing w:before="156" w:after="156" w:line="320" w:lineRule="exact"/>
        <w:outlineLvl w:val="9"/>
        <w:rPr>
          <w:rFonts w:ascii="Times New Roman"/>
        </w:rPr>
      </w:pPr>
      <w:r>
        <w:rPr>
          <w:rFonts w:hAnsi="黑体"/>
        </w:rPr>
        <w:t>F.1.3  模拟试</w:t>
      </w:r>
      <w:r>
        <w:rPr>
          <w:rFonts w:ascii="Times New Roman"/>
        </w:rPr>
        <w:t>验框架</w:t>
      </w:r>
    </w:p>
    <w:p>
      <w:pPr>
        <w:pStyle w:val="235"/>
        <w:numPr>
          <w:ilvl w:val="0"/>
          <w:numId w:val="0"/>
        </w:numPr>
        <w:spacing w:before="156" w:after="156" w:line="320" w:lineRule="exact"/>
        <w:outlineLvl w:val="9"/>
        <w:rPr>
          <w:rFonts w:ascii="Times New Roman" w:eastAsia="宋体"/>
        </w:rPr>
      </w:pPr>
      <w:r>
        <w:rPr>
          <w:rFonts w:hAnsi="黑体"/>
        </w:rPr>
        <w:t xml:space="preserve">F.1.3.1  </w:t>
      </w:r>
      <w:r>
        <w:rPr>
          <w:rFonts w:ascii="Times New Roman" w:eastAsia="宋体"/>
        </w:rPr>
        <w:t>模拟试验框架用于模拟安装抗震支吊架试件的主体结构，应能满足抗震支吊架试件的安装要求及测量要求</w:t>
      </w:r>
      <w:r>
        <w:rPr>
          <w:rFonts w:hint="eastAsia" w:ascii="Times New Roman" w:eastAsia="宋体"/>
        </w:rPr>
        <w:t>，高度不应小于3米</w:t>
      </w:r>
      <w:r>
        <w:rPr>
          <w:rFonts w:ascii="Times New Roman" w:eastAsia="宋体"/>
        </w:rPr>
        <w:t>。抗震支吊架通过螺栓与模拟试验框架进行连接。</w:t>
      </w:r>
    </w:p>
    <w:p>
      <w:pPr>
        <w:pStyle w:val="235"/>
        <w:numPr>
          <w:ilvl w:val="0"/>
          <w:numId w:val="0"/>
        </w:numPr>
        <w:spacing w:before="156" w:after="156" w:line="320" w:lineRule="exact"/>
        <w:outlineLvl w:val="9"/>
        <w:rPr>
          <w:rFonts w:ascii="Times New Roman" w:eastAsia="宋体"/>
        </w:rPr>
      </w:pPr>
      <w:r>
        <w:rPr>
          <w:rFonts w:hAnsi="黑体"/>
        </w:rPr>
        <w:t xml:space="preserve">F.1.3.2  </w:t>
      </w:r>
      <w:r>
        <w:rPr>
          <w:rFonts w:ascii="Times New Roman" w:eastAsia="宋体"/>
        </w:rPr>
        <w:t>模拟试验框架应具有合适的刚度</w:t>
      </w:r>
      <w:r>
        <w:rPr>
          <w:rFonts w:hint="eastAsia" w:ascii="Times New Roman" w:eastAsia="宋体"/>
        </w:rPr>
        <w:t>（自振频率不低于1</w:t>
      </w:r>
      <w:r>
        <w:rPr>
          <w:rFonts w:ascii="Times New Roman" w:eastAsia="宋体"/>
        </w:rPr>
        <w:t>2Hz</w:t>
      </w:r>
      <w:r>
        <w:rPr>
          <w:rFonts w:hint="eastAsia" w:ascii="Times New Roman" w:eastAsia="宋体"/>
        </w:rPr>
        <w:t>）</w:t>
      </w:r>
      <w:r>
        <w:rPr>
          <w:rFonts w:ascii="Times New Roman" w:eastAsia="宋体"/>
        </w:rPr>
        <w:t>和承载能力，在试验过程中宜保持弹性状态。</w:t>
      </w:r>
    </w:p>
    <w:p>
      <w:pPr>
        <w:pStyle w:val="235"/>
        <w:numPr>
          <w:ilvl w:val="0"/>
          <w:numId w:val="0"/>
        </w:numPr>
        <w:spacing w:before="156" w:after="156" w:line="320" w:lineRule="exact"/>
        <w:outlineLvl w:val="9"/>
        <w:rPr>
          <w:rFonts w:ascii="Times New Roman" w:hAnsi="宋体" w:eastAsia="宋体"/>
        </w:rPr>
      </w:pPr>
      <w:r>
        <w:rPr>
          <w:rFonts w:hAnsi="黑体"/>
        </w:rPr>
        <w:t xml:space="preserve">F.1.3.3  </w:t>
      </w:r>
      <w:r>
        <w:rPr>
          <w:rFonts w:ascii="Times New Roman" w:eastAsia="宋体"/>
        </w:rPr>
        <w:t>模拟试验框架应通过螺栓与振动台台面刚性连接。</w:t>
      </w:r>
    </w:p>
    <w:p>
      <w:pPr>
        <w:widowControl/>
        <w:adjustRightInd/>
        <w:spacing w:before="156" w:beforeLines="50" w:after="156" w:afterLines="50" w:line="300" w:lineRule="atLeast"/>
        <w:jc w:val="left"/>
        <w:rPr>
          <w:rFonts w:ascii="Times New Roman" w:hAnsi="Times New Roman" w:eastAsia="黑体"/>
          <w:kern w:val="0"/>
        </w:rPr>
      </w:pPr>
      <w:r>
        <w:rPr>
          <w:rFonts w:ascii="黑体" w:hAnsi="黑体" w:eastAsia="黑体"/>
          <w:kern w:val="0"/>
        </w:rPr>
        <w:t xml:space="preserve">F.1.4  </w:t>
      </w:r>
      <w:r>
        <w:rPr>
          <w:rFonts w:ascii="Times New Roman" w:hAnsi="Times New Roman" w:eastAsia="黑体"/>
          <w:kern w:val="0"/>
        </w:rPr>
        <w:t>抗震支吊架试件</w:t>
      </w:r>
    </w:p>
    <w:p>
      <w:pPr>
        <w:spacing w:line="320" w:lineRule="exact"/>
        <w:rPr>
          <w:rFonts w:ascii="宋体" w:hAnsi="宋体"/>
        </w:rPr>
      </w:pPr>
      <w:r>
        <w:rPr>
          <w:rFonts w:ascii="黑体" w:hAnsi="黑体" w:eastAsia="黑体"/>
        </w:rPr>
        <w:t xml:space="preserve">F.1.4.1  </w:t>
      </w:r>
      <w:r>
        <w:rPr>
          <w:rFonts w:ascii="Times New Roman" w:hAnsi="Times New Roman"/>
        </w:rPr>
        <w:t>抗震支吊架试件应具有工程的代表性，宜为足尺组件。</w:t>
      </w:r>
    </w:p>
    <w:p>
      <w:pPr>
        <w:spacing w:line="320" w:lineRule="exact"/>
        <w:rPr>
          <w:rFonts w:ascii="宋体" w:hAnsi="宋体"/>
        </w:rPr>
      </w:pPr>
      <w:r>
        <w:rPr>
          <w:rFonts w:ascii="黑体" w:hAnsi="黑体" w:eastAsia="黑体"/>
        </w:rPr>
        <w:t>F.1.4.2</w:t>
      </w:r>
      <w:r>
        <w:rPr>
          <w:rFonts w:ascii="宋体" w:hAnsi="宋体"/>
        </w:rPr>
        <w:t xml:space="preserve">  </w:t>
      </w:r>
      <w:r>
        <w:rPr>
          <w:rFonts w:ascii="Times New Roman" w:hAnsi="Times New Roman"/>
        </w:rPr>
        <w:t>抗震支吊架试件应提供2套相同结构型式的组件进行试验。</w:t>
      </w:r>
    </w:p>
    <w:p>
      <w:pPr>
        <w:spacing w:line="320" w:lineRule="exact"/>
        <w:rPr>
          <w:rFonts w:ascii="宋体" w:hAnsi="宋体"/>
        </w:rPr>
      </w:pPr>
      <w:r>
        <w:rPr>
          <w:rFonts w:ascii="黑体" w:hAnsi="黑体" w:eastAsia="黑体"/>
        </w:rPr>
        <w:t xml:space="preserve">F.1.4.3  </w:t>
      </w:r>
      <w:r>
        <w:rPr>
          <w:rFonts w:ascii="Times New Roman" w:hAnsi="Times New Roman"/>
        </w:rPr>
        <w:t>两套抗震支吊架组件安装间距不宜小于6米。</w:t>
      </w:r>
    </w:p>
    <w:p>
      <w:pPr>
        <w:spacing w:line="320" w:lineRule="exact"/>
        <w:jc w:val="left"/>
        <w:rPr>
          <w:rFonts w:ascii="Times New Roman" w:hAnsi="Times New Roman"/>
        </w:rPr>
      </w:pPr>
      <w:r>
        <w:rPr>
          <w:rFonts w:ascii="黑体" w:hAnsi="黑体" w:eastAsia="黑体"/>
        </w:rPr>
        <w:t xml:space="preserve">F.1.4.4  </w:t>
      </w:r>
      <w:r>
        <w:rPr>
          <w:rFonts w:hint="eastAsia" w:ascii="Times New Roman" w:hAnsi="Times New Roman"/>
        </w:rPr>
        <w:t>抗震支吊架组件应按设计承载力安装配重，且配重质量不应小于300kg，当配重质量大于600kg时宜增加设置两套承重支吊架，承重支吊架安装间距不宜小于3米。</w:t>
      </w:r>
    </w:p>
    <w:p>
      <w:pPr>
        <w:pStyle w:val="235"/>
        <w:numPr>
          <w:ilvl w:val="0"/>
          <w:numId w:val="0"/>
        </w:numPr>
        <w:spacing w:before="156" w:after="156"/>
        <w:ind w:left="1260" w:hanging="1260" w:hangingChars="600"/>
        <w:outlineLvl w:val="9"/>
        <w:rPr>
          <w:rFonts w:hAnsi="黑体"/>
        </w:rPr>
        <w:sectPr>
          <w:footerReference r:id="rId45" w:type="default"/>
          <w:type w:val="continuous"/>
          <w:pgSz w:w="11906" w:h="16838"/>
          <w:pgMar w:top="2410" w:right="1134" w:bottom="1134" w:left="1134" w:header="1418" w:footer="1134" w:gutter="284"/>
          <w:cols w:space="425" w:num="1"/>
          <w:formProt w:val="0"/>
          <w:docGrid w:type="lines" w:linePitch="312" w:charSpace="0"/>
        </w:sectPr>
      </w:pPr>
    </w:p>
    <w:p>
      <w:pPr>
        <w:pStyle w:val="235"/>
        <w:numPr>
          <w:ilvl w:val="0"/>
          <w:numId w:val="0"/>
        </w:numPr>
        <w:spacing w:before="156" w:after="156"/>
        <w:ind w:left="1260" w:hanging="1260" w:hangingChars="600"/>
        <w:outlineLvl w:val="9"/>
        <w:rPr>
          <w:rFonts w:hAnsi="黑体"/>
        </w:rPr>
      </w:pPr>
    </w:p>
    <w:p>
      <w:pPr>
        <w:pStyle w:val="235"/>
        <w:numPr>
          <w:ilvl w:val="0"/>
          <w:numId w:val="0"/>
        </w:numPr>
        <w:spacing w:before="312" w:beforeLines="100" w:after="312" w:afterLines="100"/>
        <w:ind w:left="1260" w:hanging="1260" w:hangingChars="600"/>
        <w:outlineLvl w:val="9"/>
        <w:rPr>
          <w:rFonts w:ascii="Times New Roman"/>
        </w:rPr>
      </w:pPr>
      <w:r>
        <w:rPr>
          <w:rFonts w:hAnsi="黑体"/>
        </w:rPr>
        <w:t xml:space="preserve">F.2 </w:t>
      </w:r>
      <w:r>
        <w:rPr>
          <w:rFonts w:ascii="Times New Roman"/>
        </w:rPr>
        <w:t xml:space="preserve"> 试验程序</w:t>
      </w:r>
      <w:r>
        <w:rPr>
          <w:rFonts w:hint="eastAsia" w:ascii="Times New Roman"/>
        </w:rPr>
        <w:t xml:space="preserve"> </w:t>
      </w:r>
    </w:p>
    <w:p>
      <w:pPr>
        <w:widowControl/>
        <w:adjustRightInd/>
        <w:spacing w:line="240" w:lineRule="auto"/>
        <w:jc w:val="left"/>
        <w:rPr>
          <w:rFonts w:ascii="Times New Roman"/>
        </w:rPr>
      </w:pPr>
      <w:r>
        <w:rPr>
          <w:rFonts w:ascii="黑体" w:hAnsi="黑体" w:eastAsia="黑体"/>
        </w:rPr>
        <w:t xml:space="preserve">F.2.1 </w:t>
      </w:r>
      <w:r>
        <w:rPr>
          <w:rFonts w:hint="eastAsia" w:ascii="Times New Roman"/>
        </w:rPr>
        <w:t xml:space="preserve"> </w:t>
      </w:r>
      <w:r>
        <w:rPr>
          <w:rFonts w:hint="eastAsia" w:ascii="黑体" w:hAnsi="黑体" w:eastAsia="黑体"/>
        </w:rPr>
        <w:t>试验准备</w:t>
      </w:r>
    </w:p>
    <w:p>
      <w:pPr>
        <w:pStyle w:val="235"/>
        <w:numPr>
          <w:ilvl w:val="0"/>
          <w:numId w:val="0"/>
        </w:numPr>
        <w:spacing w:before="156" w:after="156" w:line="320" w:lineRule="exact"/>
        <w:outlineLvl w:val="9"/>
        <w:rPr>
          <w:rFonts w:ascii="Times New Roman" w:eastAsia="宋体"/>
        </w:rPr>
      </w:pPr>
      <w:r>
        <w:rPr>
          <w:rFonts w:hAnsi="黑体"/>
        </w:rPr>
        <w:t xml:space="preserve">F.2.1.1  </w:t>
      </w:r>
      <w:r>
        <w:rPr>
          <w:rFonts w:ascii="Times New Roman" w:eastAsia="宋体"/>
        </w:rPr>
        <w:t>应根据需要测量抗震支吊架组件的自振频率、阻尼比等动力特性，及加速度、位移、应变等动力响应。</w:t>
      </w:r>
    </w:p>
    <w:p>
      <w:pPr>
        <w:widowControl/>
        <w:adjustRightInd/>
        <w:spacing w:before="156" w:beforeLines="50" w:after="156" w:afterLines="50" w:line="320" w:lineRule="exact"/>
        <w:jc w:val="left"/>
        <w:rPr>
          <w:rFonts w:ascii="黑体" w:hAnsi="宋体" w:eastAsia="黑体"/>
          <w:kern w:val="0"/>
        </w:rPr>
      </w:pPr>
      <w:r>
        <w:rPr>
          <w:rFonts w:ascii="黑体" w:hAnsi="黑体" w:eastAsia="黑体"/>
          <w:kern w:val="0"/>
        </w:rPr>
        <w:t xml:space="preserve">F.2.1.2  </w:t>
      </w:r>
      <w:r>
        <w:rPr>
          <w:rFonts w:ascii="Times New Roman" w:hAnsi="Times New Roman"/>
          <w:kern w:val="0"/>
        </w:rPr>
        <w:t>加速度传感器、位移传感器、应变片的布置及数量应根据测量需要确定，优先布置在加速度反应较大的部位。</w:t>
      </w:r>
    </w:p>
    <w:p>
      <w:pPr>
        <w:pStyle w:val="235"/>
        <w:numPr>
          <w:ilvl w:val="0"/>
          <w:numId w:val="0"/>
        </w:numPr>
        <w:spacing w:before="156" w:after="156" w:line="320" w:lineRule="exact"/>
        <w:outlineLvl w:val="9"/>
        <w:rPr>
          <w:rFonts w:ascii="Times New Roman" w:eastAsia="宋体"/>
        </w:rPr>
      </w:pPr>
      <w:r>
        <w:rPr>
          <w:rFonts w:hAnsi="黑体"/>
        </w:rPr>
        <w:t>F.2.1.3</w:t>
      </w:r>
      <w:r>
        <w:rPr>
          <w:rFonts w:ascii="Times New Roman" w:eastAsia="宋体"/>
        </w:rPr>
        <w:t xml:space="preserve">    传感器应与试体可靠接触，连接导线应捆绑在试件上。</w:t>
      </w:r>
    </w:p>
    <w:p>
      <w:pPr>
        <w:pStyle w:val="235"/>
        <w:numPr>
          <w:ilvl w:val="0"/>
          <w:numId w:val="0"/>
        </w:numPr>
        <w:spacing w:before="156" w:after="156" w:line="300" w:lineRule="atLeast"/>
        <w:outlineLvl w:val="9"/>
        <w:rPr>
          <w:rFonts w:ascii="Times New Roman"/>
        </w:rPr>
      </w:pPr>
      <w:r>
        <w:rPr>
          <w:rFonts w:hAnsi="黑体"/>
        </w:rPr>
        <w:t xml:space="preserve">F.2.2  </w:t>
      </w:r>
      <w:r>
        <w:rPr>
          <w:rFonts w:ascii="Times New Roman"/>
        </w:rPr>
        <w:t>加载方法</w:t>
      </w:r>
    </w:p>
    <w:p>
      <w:bookmarkStart w:id="140" w:name="_Hlk89973347"/>
      <w:r>
        <w:rPr>
          <w:rFonts w:ascii="黑体" w:hAnsi="黑体" w:eastAsia="黑体"/>
        </w:rPr>
        <w:t xml:space="preserve">F.2.2.1 </w:t>
      </w:r>
      <w:r>
        <w:rPr>
          <w:rFonts w:ascii="Times New Roman" w:hAnsi="Times New Roman"/>
        </w:rPr>
        <w:t>采用白噪声激振法测定组件抗震试验前后的动力特性。白噪声的频率范围宜为0.5Hz~100Hz，应能覆盖组件的自振频率范围，加速度幅值宜取1m/s</w:t>
      </w:r>
      <w:r>
        <w:rPr>
          <w:rFonts w:ascii="Times New Roman" w:hAnsi="Times New Roman"/>
          <w:vertAlign w:val="superscript"/>
        </w:rPr>
        <w:t>2</w:t>
      </w:r>
      <w:r>
        <w:rPr>
          <w:rFonts w:ascii="Times New Roman" w:hAnsi="Times New Roman"/>
        </w:rPr>
        <w:t>，有效持续时间不宜少于120s。台面白噪声激振可采用三向同时加载或单向分别加载。</w:t>
      </w:r>
    </w:p>
    <w:p>
      <w:pPr>
        <w:pStyle w:val="235"/>
        <w:numPr>
          <w:ilvl w:val="0"/>
          <w:numId w:val="0"/>
        </w:numPr>
        <w:spacing w:before="156" w:after="156" w:line="320" w:lineRule="exact"/>
        <w:outlineLvl w:val="9"/>
        <w:rPr>
          <w:rFonts w:ascii="Times New Roman" w:eastAsia="宋体"/>
        </w:rPr>
      </w:pPr>
      <w:r>
        <w:rPr>
          <w:rFonts w:hAnsi="黑体"/>
        </w:rPr>
        <w:t xml:space="preserve">F.2.2.2  </w:t>
      </w:r>
      <w:r>
        <w:rPr>
          <w:rFonts w:ascii="Times New Roman" w:eastAsia="宋体"/>
        </w:rPr>
        <w:t>加载方法应符合下列规定：</w:t>
      </w:r>
    </w:p>
    <w:p>
      <w:pPr>
        <w:pStyle w:val="246"/>
        <w:tabs>
          <w:tab w:val="clear" w:pos="839"/>
        </w:tabs>
        <w:spacing w:before="156" w:after="156"/>
        <w:ind w:left="0" w:firstLine="420" w:firstLineChars="200"/>
        <w:rPr>
          <w:rFonts w:ascii="Times New Roman"/>
        </w:rPr>
      </w:pPr>
      <w:r>
        <w:rPr>
          <w:rFonts w:hint="eastAsia" w:ascii="Times New Roman"/>
        </w:rPr>
        <w:t>振动台输入应根据拟建场地类别、抗震设防烈度和设计地震分组等参数进行选择，应符合场地需求反应谱，阻尼比宜为2％或5％的要求反应谱，宜采用符合场地需求谱的人工波作为输入。加速度时程宜选择根据拟建场地特性拟合的人工地震动。强震段（指从曲线开始达到最大值25%到最后下降到最大值25%的时间历程）的持续时间应大于20s。台面输入加速度峰值不应小于反应谱的零周期加速度（ZPA），三向输入地震动的峰值宜按照1∶0.85∶0.65确定。试验反应谱应基本包络要求反应谱。台面输入加速度峰值应按下式计算</w:t>
      </w:r>
      <w:r>
        <w:rPr>
          <w:rFonts w:ascii="Times New Roman"/>
        </w:rPr>
        <w:t xml:space="preserve">：  </w:t>
      </w:r>
    </w:p>
    <w:p>
      <w:pPr>
        <w:pStyle w:val="246"/>
        <w:tabs>
          <w:tab w:val="clear" w:pos="839"/>
        </w:tabs>
        <w:spacing w:before="156" w:after="156"/>
        <w:ind w:left="0" w:firstLine="0"/>
        <w:jc w:val="right"/>
        <w:rPr>
          <w:rFonts w:ascii="Times New Roman"/>
        </w:rPr>
      </w:pPr>
      <w:r>
        <w:rPr>
          <w:rFonts w:ascii="Times New Roman"/>
          <w:i/>
        </w:rPr>
        <w:t xml:space="preserve">ZPA=ηα </w:t>
      </w:r>
      <w:r>
        <w:rPr>
          <w:rFonts w:ascii="Times New Roman"/>
          <w:iCs/>
        </w:rPr>
        <w:t xml:space="preserve">                     </w:t>
      </w:r>
      <w:r>
        <w:rPr>
          <w:rFonts w:hint="eastAsia" w:ascii="Times New Roman"/>
          <w:iCs/>
        </w:rPr>
        <w:t>…………………………</w:t>
      </w:r>
      <w:r>
        <w:rPr>
          <w:rFonts w:ascii="Times New Roman"/>
          <w:iCs/>
        </w:rPr>
        <w:t>（F. 1）</w:t>
      </w:r>
    </w:p>
    <w:p>
      <w:pPr>
        <w:pStyle w:val="61"/>
        <w:ind w:firstLine="420"/>
        <w:rPr>
          <w:rFonts w:ascii="Times New Roman" w:hAnsi="Times New Roman"/>
          <w:color w:val="FF0000"/>
        </w:rPr>
      </w:pPr>
      <w:r>
        <w:rPr>
          <w:rFonts w:ascii="Times New Roman" w:hAnsi="Times New Roman"/>
        </w:rPr>
        <w:t>式中：</w:t>
      </w:r>
      <w:r>
        <w:rPr>
          <w:rFonts w:ascii="Times New Roman" w:hAnsi="Times New Roman"/>
          <w:color w:val="FF0000"/>
        </w:rPr>
        <w:t xml:space="preserve"> </w:t>
      </w:r>
    </w:p>
    <w:p>
      <w:pPr>
        <w:pStyle w:val="61"/>
        <w:ind w:firstLine="420"/>
        <w:rPr>
          <w:rFonts w:ascii="Times New Roman" w:hAnsi="Times New Roman"/>
        </w:rPr>
      </w:pPr>
      <w:r>
        <w:rPr>
          <w:rFonts w:ascii="Times New Roman" w:hAnsi="Times New Roman"/>
        </w:rPr>
        <w:t>η——</w:t>
      </w:r>
      <w:r>
        <w:rPr>
          <w:rFonts w:hint="eastAsia" w:ascii="Times New Roman" w:hAnsi="Times New Roman"/>
        </w:rPr>
        <w:t>放大系数，当工程无法提供时取1.6</w:t>
      </w:r>
      <w:r>
        <w:rPr>
          <w:rFonts w:ascii="Times New Roman" w:hAnsi="Times New Roman"/>
        </w:rPr>
        <w:t xml:space="preserve">； </w:t>
      </w:r>
    </w:p>
    <w:p>
      <w:pPr>
        <w:pStyle w:val="61"/>
        <w:ind w:firstLine="420"/>
        <w:rPr>
          <w:rFonts w:ascii="Times New Roman" w:hAnsi="Times New Roman"/>
        </w:rPr>
      </w:pPr>
      <w:r>
        <w:rPr>
          <w:rFonts w:ascii="Times New Roman" w:hAnsi="Times New Roman"/>
        </w:rPr>
        <w:t>α——</w:t>
      </w:r>
      <w:r>
        <w:rPr>
          <w:rFonts w:hint="eastAsia" w:ascii="Times New Roman" w:hAnsi="Times New Roman"/>
        </w:rPr>
        <w:t>最大单向加速度峰值，取值见表1。</w:t>
      </w:r>
    </w:p>
    <w:p>
      <w:pPr>
        <w:pStyle w:val="171"/>
        <w:numPr>
          <w:ilvl w:val="0"/>
          <w:numId w:val="0"/>
        </w:numPr>
        <w:spacing w:before="156" w:beforeLines="50" w:after="156" w:afterLines="50"/>
        <w:jc w:val="center"/>
        <w:rPr>
          <w:rFonts w:ascii="黑体" w:hAnsi="黑体" w:eastAsia="黑体"/>
          <w:szCs w:val="21"/>
        </w:rPr>
      </w:pPr>
      <w:r>
        <w:rPr>
          <w:rFonts w:ascii="黑体" w:hAnsi="黑体" w:eastAsia="黑体"/>
          <w:szCs w:val="21"/>
        </w:rPr>
        <w:t>表F.1  振动台输入</w:t>
      </w:r>
      <w:r>
        <w:rPr>
          <w:rFonts w:hint="eastAsia" w:ascii="黑体" w:hAnsi="黑体" w:eastAsia="黑体"/>
          <w:szCs w:val="21"/>
        </w:rPr>
        <w:t>地震加速度时程的最大单向加速度峰值</w:t>
      </w:r>
    </w:p>
    <w:p>
      <w:pPr>
        <w:pStyle w:val="171"/>
        <w:numPr>
          <w:ilvl w:val="0"/>
          <w:numId w:val="0"/>
        </w:numPr>
        <w:jc w:val="right"/>
        <w:rPr>
          <w:rFonts w:hAnsi="宋体"/>
          <w:sz w:val="18"/>
          <w:szCs w:val="18"/>
        </w:rPr>
      </w:pPr>
      <w:r>
        <w:rPr>
          <w:rFonts w:hAnsi="宋体"/>
          <w:sz w:val="18"/>
          <w:szCs w:val="18"/>
        </w:rPr>
        <w:t>单位</w:t>
      </w:r>
      <w:r>
        <w:rPr>
          <w:rFonts w:hint="eastAsia" w:hAnsi="宋体"/>
          <w:sz w:val="18"/>
          <w:szCs w:val="18"/>
        </w:rPr>
        <w:t>为米每平方秒</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地震影响</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7度</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8度</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9度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多遇地震</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0.35（0.55）</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0.70（1.10）</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设防地震</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0.98（1.47）</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1.98（2.94）</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罕遇地震</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2.20（3.10）</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4.00（5.10）</w:t>
            </w:r>
          </w:p>
        </w:tc>
        <w:tc>
          <w:tcPr>
            <w:tcW w:w="2336" w:type="dxa"/>
            <w:vAlign w:val="center"/>
          </w:tcPr>
          <w:p>
            <w:pPr>
              <w:spacing w:before="93" w:line="240" w:lineRule="auto"/>
              <w:jc w:val="center"/>
              <w:rPr>
                <w:rFonts w:ascii="Times New Roman" w:hAnsi="Times New Roman"/>
                <w:kern w:val="0"/>
                <w:sz w:val="18"/>
                <w:szCs w:val="18"/>
              </w:rPr>
            </w:pPr>
            <w:r>
              <w:rPr>
                <w:rFonts w:ascii="Times New Roman" w:hAnsi="Times New Roman"/>
                <w:kern w:val="0"/>
                <w:sz w:val="18"/>
                <w:szCs w:val="18"/>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44" w:type="dxa"/>
            <w:gridSpan w:val="4"/>
            <w:vAlign w:val="center"/>
          </w:tcPr>
          <w:p>
            <w:pPr>
              <w:pStyle w:val="185"/>
              <w:rPr>
                <w:rFonts w:ascii="Times New Roman"/>
              </w:rPr>
            </w:pPr>
            <w:r>
              <w:rPr>
                <w:rFonts w:ascii="Times New Roman"/>
              </w:rPr>
              <w:t>括号内数值为设计基本地震加速度为1.5m/s</w:t>
            </w:r>
            <w:r>
              <w:rPr>
                <w:rFonts w:ascii="Times New Roman"/>
                <w:vertAlign w:val="superscript"/>
              </w:rPr>
              <w:t>2</w:t>
            </w:r>
            <w:r>
              <w:rPr>
                <w:rFonts w:ascii="Times New Roman"/>
              </w:rPr>
              <w:t>（7度）和3m/s</w:t>
            </w:r>
            <w:r>
              <w:rPr>
                <w:rFonts w:ascii="Times New Roman"/>
                <w:vertAlign w:val="superscript"/>
              </w:rPr>
              <w:t>2</w:t>
            </w:r>
            <w:r>
              <w:rPr>
                <w:rFonts w:ascii="Times New Roman"/>
              </w:rPr>
              <w:t>（8度）地区。</w:t>
            </w:r>
          </w:p>
        </w:tc>
      </w:tr>
    </w:tbl>
    <w:p>
      <w:pPr>
        <w:pStyle w:val="62"/>
        <w:ind w:firstLine="420"/>
        <w:jc w:val="center"/>
      </w:pPr>
    </w:p>
    <w:p>
      <w:pPr>
        <w:pStyle w:val="62"/>
        <w:ind w:firstLine="420"/>
        <w:jc w:val="center"/>
        <w:sectPr>
          <w:footerReference r:id="rId46" w:type="default"/>
          <w:type w:val="continuous"/>
          <w:pgSz w:w="11906" w:h="16838"/>
          <w:pgMar w:top="2410" w:right="1134" w:bottom="1134" w:left="1134" w:header="1418" w:footer="1134" w:gutter="284"/>
          <w:cols w:space="425" w:num="1"/>
          <w:formProt w:val="0"/>
          <w:docGrid w:type="lines" w:linePitch="312" w:charSpace="0"/>
        </w:sectPr>
      </w:pPr>
    </w:p>
    <w:bookmarkEnd w:id="140"/>
    <w:p>
      <w:pPr>
        <w:pStyle w:val="235"/>
        <w:numPr>
          <w:ilvl w:val="0"/>
          <w:numId w:val="0"/>
        </w:numPr>
        <w:spacing w:before="156" w:after="156" w:line="300" w:lineRule="atLeast"/>
        <w:outlineLvl w:val="9"/>
        <w:rPr>
          <w:rFonts w:ascii="Times New Roman"/>
        </w:rPr>
      </w:pPr>
      <w:r>
        <w:rPr>
          <w:rFonts w:hAnsi="黑体"/>
        </w:rPr>
        <w:t xml:space="preserve">F.2.3  </w:t>
      </w:r>
      <w:r>
        <w:rPr>
          <w:rFonts w:ascii="Times New Roman"/>
        </w:rPr>
        <w:t>试验观测和动力反应测量</w:t>
      </w:r>
    </w:p>
    <w:p>
      <w:pPr>
        <w:widowControl/>
        <w:adjustRightInd/>
        <w:spacing w:before="156" w:beforeLines="50" w:after="156" w:afterLines="50" w:line="320" w:lineRule="exact"/>
        <w:jc w:val="left"/>
        <w:rPr>
          <w:rFonts w:ascii="黑体" w:hAnsi="Times New Roman" w:eastAsia="黑体"/>
          <w:kern w:val="0"/>
        </w:rPr>
      </w:pPr>
      <w:r>
        <w:rPr>
          <w:rFonts w:ascii="黑体" w:hAnsi="黑体" w:eastAsia="黑体"/>
          <w:kern w:val="0"/>
        </w:rPr>
        <w:t xml:space="preserve">F.2.3.1  </w:t>
      </w:r>
      <w:r>
        <w:rPr>
          <w:rFonts w:ascii="Times New Roman" w:hAnsi="Times New Roman"/>
          <w:kern w:val="0"/>
        </w:rPr>
        <w:t>每个工况试验后，应观测建筑抗震支吊架</w:t>
      </w:r>
      <w:r>
        <w:rPr>
          <w:rFonts w:hint="eastAsia" w:ascii="Times New Roman" w:hAnsi="Times New Roman"/>
          <w:kern w:val="0"/>
        </w:rPr>
        <w:t>组件</w:t>
      </w:r>
      <w:r>
        <w:rPr>
          <w:rFonts w:ascii="Times New Roman" w:hAnsi="Times New Roman"/>
          <w:kern w:val="0"/>
        </w:rPr>
        <w:t>的地震反应，包括断裂、脱落和分离等现象及侧向位移情况。</w:t>
      </w:r>
    </w:p>
    <w:p>
      <w:pPr>
        <w:widowControl/>
        <w:adjustRightInd/>
        <w:spacing w:before="156" w:beforeLines="50" w:after="156" w:afterLines="50" w:line="320" w:lineRule="exact"/>
        <w:jc w:val="left"/>
        <w:rPr>
          <w:rFonts w:ascii="Times New Roman" w:hAnsi="宋体"/>
          <w:kern w:val="0"/>
        </w:rPr>
      </w:pPr>
      <w:r>
        <w:rPr>
          <w:rFonts w:ascii="黑体" w:hAnsi="黑体" w:eastAsia="黑体"/>
          <w:kern w:val="0"/>
        </w:rPr>
        <w:t xml:space="preserve">F.2.3.2  </w:t>
      </w:r>
      <w:r>
        <w:rPr>
          <w:rFonts w:ascii="Times New Roman" w:hAnsi="Times New Roman"/>
          <w:kern w:val="0"/>
        </w:rPr>
        <w:t>试验过程宜采用视频进行实时记录，并对建筑抗震支吊架</w:t>
      </w:r>
      <w:r>
        <w:rPr>
          <w:rFonts w:hint="eastAsia" w:ascii="Times New Roman" w:hAnsi="Times New Roman"/>
          <w:kern w:val="0"/>
        </w:rPr>
        <w:t>组</w:t>
      </w:r>
      <w:r>
        <w:rPr>
          <w:rFonts w:ascii="Times New Roman" w:hAnsi="Times New Roman"/>
          <w:kern w:val="0"/>
        </w:rPr>
        <w:t>件主要部位的断裂、脱落和分离等现象拍摄照片并作记录。</w:t>
      </w:r>
    </w:p>
    <w:p>
      <w:pPr>
        <w:widowControl/>
        <w:adjustRightInd/>
        <w:spacing w:before="156" w:beforeLines="50" w:after="156" w:afterLines="50" w:line="320" w:lineRule="exact"/>
        <w:jc w:val="left"/>
        <w:rPr>
          <w:rFonts w:ascii="Times New Roman" w:hAnsi="Times New Roman"/>
          <w:kern w:val="0"/>
        </w:rPr>
      </w:pPr>
      <w:r>
        <w:rPr>
          <w:rFonts w:ascii="黑体" w:hAnsi="黑体" w:eastAsia="黑体"/>
          <w:kern w:val="0"/>
        </w:rPr>
        <w:t xml:space="preserve">F.2.3.3  </w:t>
      </w:r>
      <w:r>
        <w:rPr>
          <w:rFonts w:ascii="Times New Roman" w:hAnsi="Times New Roman"/>
          <w:kern w:val="0"/>
        </w:rPr>
        <w:t>试验过程中，应实时监测和记录侧向的位移。</w:t>
      </w:r>
    </w:p>
    <w:p>
      <w:pPr>
        <w:widowControl/>
        <w:adjustRightInd/>
        <w:spacing w:line="240" w:lineRule="auto"/>
        <w:jc w:val="left"/>
        <w:rPr>
          <w:rFonts w:ascii="黑体" w:hAnsi="黑体" w:eastAsia="黑体"/>
        </w:rPr>
      </w:pPr>
      <w:r>
        <w:rPr>
          <w:rFonts w:ascii="黑体" w:hAnsi="黑体" w:eastAsia="黑体"/>
        </w:rPr>
        <w:t xml:space="preserve">F.2.4  </w:t>
      </w:r>
      <w:r>
        <w:rPr>
          <w:rFonts w:hint="eastAsia" w:ascii="黑体" w:hAnsi="黑体" w:eastAsia="黑体"/>
        </w:rPr>
        <w:t>安全</w:t>
      </w:r>
      <w:r>
        <w:rPr>
          <w:rFonts w:ascii="黑体" w:hAnsi="黑体" w:eastAsia="黑体"/>
        </w:rPr>
        <w:t>规定</w:t>
      </w:r>
    </w:p>
    <w:p>
      <w:pPr>
        <w:widowControl/>
        <w:adjustRightInd/>
        <w:spacing w:line="240" w:lineRule="auto"/>
        <w:jc w:val="left"/>
        <w:rPr>
          <w:rFonts w:ascii="Times New Roman"/>
        </w:rPr>
      </w:pPr>
      <w:r>
        <w:rPr>
          <w:rFonts w:ascii="黑体" w:hAnsi="黑体" w:eastAsia="黑体"/>
          <w:kern w:val="0"/>
        </w:rPr>
        <w:t xml:space="preserve">F.2.4.1  </w:t>
      </w:r>
      <w:r>
        <w:rPr>
          <w:rFonts w:ascii="Times New Roman"/>
        </w:rPr>
        <w:t>试验时抗震支吊架</w:t>
      </w:r>
      <w:r>
        <w:rPr>
          <w:rFonts w:hint="eastAsia" w:ascii="Times New Roman"/>
        </w:rPr>
        <w:t>组</w:t>
      </w:r>
      <w:r>
        <w:rPr>
          <w:rFonts w:ascii="Times New Roman"/>
        </w:rPr>
        <w:t>件外围应设置安全防护网。</w:t>
      </w:r>
    </w:p>
    <w:p>
      <w:pPr>
        <w:pStyle w:val="235"/>
        <w:numPr>
          <w:ilvl w:val="0"/>
          <w:numId w:val="0"/>
        </w:numPr>
        <w:spacing w:before="156" w:after="156" w:line="320" w:lineRule="exact"/>
        <w:outlineLvl w:val="9"/>
        <w:rPr>
          <w:rFonts w:ascii="Times New Roman" w:hAnsi="宋体" w:eastAsia="宋体"/>
        </w:rPr>
      </w:pPr>
      <w:r>
        <w:rPr>
          <w:rFonts w:hAnsi="黑体"/>
        </w:rPr>
        <w:t xml:space="preserve">F.2.4.2  </w:t>
      </w:r>
      <w:r>
        <w:rPr>
          <w:rFonts w:ascii="Times New Roman" w:eastAsia="宋体"/>
        </w:rPr>
        <w:t>试验时应采取措施防止试体侧翻。可采用吊车吊钩及钢丝绳与模拟试验框架相连，也可在模拟试验框架外围设置防护钢架。</w:t>
      </w:r>
    </w:p>
    <w:p>
      <w:pPr>
        <w:pStyle w:val="235"/>
        <w:numPr>
          <w:ilvl w:val="0"/>
          <w:numId w:val="0"/>
        </w:numPr>
        <w:spacing w:before="156" w:after="156" w:line="320" w:lineRule="exact"/>
        <w:outlineLvl w:val="9"/>
        <w:rPr>
          <w:rFonts w:ascii="Times New Roman" w:hAnsi="宋体" w:eastAsia="宋体"/>
        </w:rPr>
      </w:pPr>
      <w:r>
        <w:rPr>
          <w:rFonts w:hAnsi="黑体"/>
        </w:rPr>
        <w:t xml:space="preserve">F.2.4.3  </w:t>
      </w:r>
      <w:r>
        <w:rPr>
          <w:rFonts w:ascii="Times New Roman" w:eastAsia="宋体"/>
        </w:rPr>
        <w:t>试验过程中，人员不应进入安全防护网范围内。</w:t>
      </w:r>
    </w:p>
    <w:p>
      <w:pPr>
        <w:pStyle w:val="235"/>
        <w:numPr>
          <w:ilvl w:val="0"/>
          <w:numId w:val="0"/>
        </w:numPr>
        <w:spacing w:before="156" w:after="156"/>
        <w:outlineLvl w:val="9"/>
        <w:rPr>
          <w:rFonts w:hAnsi="黑体"/>
        </w:rPr>
      </w:pPr>
      <w:r>
        <w:rPr>
          <w:rFonts w:hAnsi="黑体"/>
        </w:rPr>
        <w:t>F.3  试验数据处理及报告</w:t>
      </w:r>
    </w:p>
    <w:p>
      <w:pPr>
        <w:pStyle w:val="241"/>
        <w:spacing w:before="50" w:after="50"/>
        <w:ind w:firstLine="0" w:firstLineChars="0"/>
        <w:rPr>
          <w:rFonts w:ascii="黑体" w:hAnsi="黑体" w:eastAsia="黑体"/>
          <w:szCs w:val="21"/>
        </w:rPr>
      </w:pPr>
      <w:r>
        <w:rPr>
          <w:rFonts w:ascii="黑体" w:hAnsi="黑体" w:eastAsia="黑体"/>
          <w:szCs w:val="21"/>
        </w:rPr>
        <w:t>F.3.1  数据处理</w:t>
      </w:r>
    </w:p>
    <w:p>
      <w:pPr>
        <w:pStyle w:val="235"/>
        <w:numPr>
          <w:ilvl w:val="0"/>
          <w:numId w:val="0"/>
        </w:numPr>
        <w:spacing w:before="156" w:after="156" w:line="320" w:lineRule="exact"/>
        <w:outlineLvl w:val="9"/>
        <w:rPr>
          <w:rFonts w:ascii="Times New Roman" w:hAnsi="宋体" w:eastAsia="宋体"/>
        </w:rPr>
      </w:pPr>
      <w:r>
        <w:rPr>
          <w:rFonts w:hAnsi="黑体"/>
        </w:rPr>
        <w:t xml:space="preserve">F.3.1.1  </w:t>
      </w:r>
      <w:r>
        <w:rPr>
          <w:rFonts w:ascii="Times New Roman" w:eastAsia="宋体"/>
        </w:rPr>
        <w:t>试验数据采样频率应满足一般信号数值处理的要求。</w:t>
      </w:r>
    </w:p>
    <w:p>
      <w:pPr>
        <w:pStyle w:val="235"/>
        <w:numPr>
          <w:ilvl w:val="0"/>
          <w:numId w:val="0"/>
        </w:numPr>
        <w:spacing w:before="156" w:after="156" w:line="320" w:lineRule="exact"/>
        <w:outlineLvl w:val="9"/>
        <w:rPr>
          <w:rFonts w:ascii="Times New Roman" w:eastAsia="宋体"/>
        </w:rPr>
      </w:pPr>
      <w:r>
        <w:rPr>
          <w:rFonts w:hAnsi="黑体"/>
        </w:rPr>
        <w:t xml:space="preserve">F.3.1.2  </w:t>
      </w:r>
      <w:r>
        <w:rPr>
          <w:rFonts w:ascii="Times New Roman" w:eastAsia="宋体"/>
        </w:rPr>
        <w:t>试验数据分析前，</w:t>
      </w:r>
      <w:r>
        <w:rPr>
          <w:rFonts w:hint="eastAsia" w:ascii="Times New Roman" w:eastAsia="宋体"/>
        </w:rPr>
        <w:t>应</w:t>
      </w:r>
      <w:r>
        <w:rPr>
          <w:rFonts w:ascii="Times New Roman" w:eastAsia="宋体"/>
        </w:rPr>
        <w:t>对数据进行以下处理：</w:t>
      </w:r>
    </w:p>
    <w:p>
      <w:pPr>
        <w:pStyle w:val="246"/>
        <w:numPr>
          <w:ilvl w:val="0"/>
          <w:numId w:val="49"/>
        </w:numPr>
        <w:spacing w:before="156" w:after="156"/>
        <w:rPr>
          <w:rFonts w:ascii="Times New Roman"/>
        </w:rPr>
      </w:pPr>
      <w:r>
        <w:rPr>
          <w:rFonts w:ascii="Times New Roman"/>
        </w:rPr>
        <w:t>根据传感器的标定值及应变计的灵敏系数等对试验数据进行修正</w:t>
      </w:r>
      <w:r>
        <w:rPr>
          <w:rFonts w:hint="eastAsia" w:ascii="Times New Roman"/>
        </w:rPr>
        <w:t>；</w:t>
      </w:r>
    </w:p>
    <w:p>
      <w:pPr>
        <w:pStyle w:val="246"/>
        <w:numPr>
          <w:ilvl w:val="0"/>
          <w:numId w:val="49"/>
        </w:numPr>
        <w:spacing w:before="156" w:after="156"/>
        <w:ind w:left="0" w:firstLine="424" w:firstLineChars="202"/>
        <w:rPr>
          <w:rFonts w:ascii="Times New Roman"/>
        </w:rPr>
      </w:pPr>
      <w:r>
        <w:rPr>
          <w:rFonts w:ascii="Times New Roman"/>
        </w:rPr>
        <w:t>根据试验情况和分析需要，可采用滤波处理、零均值化、消除趋势项等减小测量误差的措施。</w:t>
      </w:r>
    </w:p>
    <w:p>
      <w:pPr>
        <w:pStyle w:val="235"/>
        <w:numPr>
          <w:ilvl w:val="0"/>
          <w:numId w:val="0"/>
        </w:numPr>
        <w:spacing w:before="156" w:after="156" w:line="320" w:lineRule="exact"/>
        <w:outlineLvl w:val="9"/>
        <w:rPr>
          <w:rFonts w:ascii="Times New Roman" w:eastAsia="宋体"/>
          <w:color w:val="0070C0"/>
        </w:rPr>
      </w:pPr>
      <w:r>
        <w:rPr>
          <w:rFonts w:hAnsi="黑体"/>
        </w:rPr>
        <w:t xml:space="preserve">F.3.1.3  </w:t>
      </w:r>
      <w:r>
        <w:rPr>
          <w:rFonts w:ascii="Times New Roman" w:eastAsia="宋体"/>
        </w:rPr>
        <w:t>采用白噪声激振法确定试体的自振频率和阻尼比时，宜通过传递函数分析求得。</w:t>
      </w:r>
    </w:p>
    <w:p>
      <w:pPr>
        <w:pStyle w:val="235"/>
        <w:numPr>
          <w:ilvl w:val="0"/>
          <w:numId w:val="0"/>
        </w:numPr>
        <w:spacing w:before="156" w:after="156" w:line="320" w:lineRule="exact"/>
        <w:outlineLvl w:val="9"/>
        <w:rPr>
          <w:rFonts w:ascii="Times New Roman" w:hAnsi="宋体" w:eastAsia="宋体"/>
        </w:rPr>
      </w:pPr>
      <w:r>
        <w:rPr>
          <w:rFonts w:hAnsi="黑体"/>
        </w:rPr>
        <w:t xml:space="preserve">F.3.1.4  </w:t>
      </w:r>
      <w:r>
        <w:rPr>
          <w:rFonts w:ascii="Times New Roman" w:eastAsia="宋体"/>
        </w:rPr>
        <w:t>处理后的试验数据，应提取测试数据的最大值及其相应时刻、时程反应曲线以及</w:t>
      </w:r>
      <w:r>
        <w:rPr>
          <w:rFonts w:hint="eastAsia" w:ascii="Times New Roman" w:eastAsia="宋体"/>
        </w:rPr>
        <w:t>组</w:t>
      </w:r>
      <w:r>
        <w:rPr>
          <w:rFonts w:ascii="Times New Roman" w:eastAsia="宋体"/>
        </w:rPr>
        <w:t>件的自振频率和阻尼比等数据。</w:t>
      </w:r>
    </w:p>
    <w:p>
      <w:pPr>
        <w:pStyle w:val="241"/>
        <w:spacing w:before="50" w:after="50"/>
        <w:ind w:firstLine="0" w:firstLineChars="0"/>
        <w:rPr>
          <w:rFonts w:ascii="黑体" w:hAnsi="黑体" w:eastAsia="黑体"/>
          <w:szCs w:val="21"/>
        </w:rPr>
      </w:pPr>
      <w:r>
        <w:rPr>
          <w:rFonts w:ascii="黑体" w:hAnsi="黑体" w:eastAsia="黑体"/>
          <w:szCs w:val="21"/>
        </w:rPr>
        <w:t xml:space="preserve">F.3.2  </w:t>
      </w:r>
      <w:r>
        <w:rPr>
          <w:rFonts w:hint="eastAsia" w:ascii="黑体" w:hAnsi="黑体" w:eastAsia="黑体"/>
          <w:szCs w:val="21"/>
        </w:rPr>
        <w:t>试验</w:t>
      </w:r>
      <w:r>
        <w:rPr>
          <w:rFonts w:ascii="黑体" w:hAnsi="黑体" w:eastAsia="黑体"/>
          <w:szCs w:val="21"/>
        </w:rPr>
        <w:t>报告</w:t>
      </w:r>
    </w:p>
    <w:p>
      <w:pPr>
        <w:pStyle w:val="235"/>
        <w:numPr>
          <w:ilvl w:val="0"/>
          <w:numId w:val="0"/>
        </w:numPr>
        <w:spacing w:beforeLines="0" w:afterLines="0"/>
        <w:ind w:firstLine="420" w:firstLineChars="200"/>
        <w:outlineLvl w:val="9"/>
        <w:rPr>
          <w:rFonts w:ascii="Times New Roman" w:eastAsia="宋体"/>
        </w:rPr>
      </w:pPr>
      <w:r>
        <w:rPr>
          <w:rFonts w:ascii="Times New Roman" w:eastAsia="宋体"/>
        </w:rPr>
        <w:t>试验报告至少应包括下列内容：</w:t>
      </w:r>
    </w:p>
    <w:p>
      <w:pPr>
        <w:pStyle w:val="246"/>
        <w:numPr>
          <w:ilvl w:val="0"/>
          <w:numId w:val="50"/>
        </w:numPr>
        <w:spacing w:before="156" w:after="156"/>
        <w:rPr>
          <w:rFonts w:ascii="Times New Roman"/>
        </w:rPr>
      </w:pPr>
      <w:r>
        <w:rPr>
          <w:rFonts w:ascii="Times New Roman"/>
        </w:rPr>
        <w:t>建筑抗震支吊架组件的名称、类型、主要尺寸及图纸；</w:t>
      </w:r>
    </w:p>
    <w:p>
      <w:pPr>
        <w:pStyle w:val="246"/>
        <w:numPr>
          <w:ilvl w:val="0"/>
          <w:numId w:val="50"/>
        </w:numPr>
        <w:spacing w:before="156" w:after="156"/>
        <w:rPr>
          <w:rFonts w:ascii="Times New Roman"/>
        </w:rPr>
      </w:pPr>
      <w:r>
        <w:rPr>
          <w:rFonts w:ascii="Times New Roman"/>
        </w:rPr>
        <w:t>测试方法，试验用的主要测量传感器、仪器设备；</w:t>
      </w:r>
    </w:p>
    <w:p>
      <w:pPr>
        <w:pStyle w:val="246"/>
        <w:numPr>
          <w:ilvl w:val="0"/>
          <w:numId w:val="50"/>
        </w:numPr>
        <w:spacing w:before="156" w:after="156"/>
        <w:rPr>
          <w:rFonts w:ascii="Times New Roman"/>
        </w:rPr>
      </w:pPr>
      <w:r>
        <w:rPr>
          <w:rFonts w:ascii="Times New Roman"/>
        </w:rPr>
        <w:t>试验前及试验后的所有连接安装细节，包括测试设备之间的连接、测试设备与振动台的连接、测试设备与试验支架的连接，都应详细拍照记录；</w:t>
      </w:r>
    </w:p>
    <w:p>
      <w:pPr>
        <w:pStyle w:val="246"/>
        <w:numPr>
          <w:ilvl w:val="0"/>
          <w:numId w:val="50"/>
        </w:numPr>
        <w:tabs>
          <w:tab w:val="clear" w:pos="840"/>
        </w:tabs>
        <w:spacing w:before="156" w:after="156"/>
        <w:rPr>
          <w:rFonts w:ascii="Times New Roman"/>
        </w:rPr>
      </w:pPr>
      <w:r>
        <w:rPr>
          <w:rFonts w:ascii="Times New Roman"/>
        </w:rPr>
        <w:t>应标明测试时使用的地震动时程、频谱和幅值信息；</w:t>
      </w:r>
    </w:p>
    <w:p>
      <w:pPr>
        <w:pStyle w:val="246"/>
        <w:numPr>
          <w:ilvl w:val="0"/>
          <w:numId w:val="50"/>
        </w:numPr>
        <w:tabs>
          <w:tab w:val="clear" w:pos="840"/>
        </w:tabs>
        <w:spacing w:before="156" w:after="156"/>
        <w:rPr>
          <w:rFonts w:ascii="Times New Roman"/>
        </w:rPr>
      </w:pPr>
      <w:r>
        <w:rPr>
          <w:rFonts w:ascii="Times New Roman"/>
        </w:rPr>
        <w:t>测试数据应包括台面实际输出的加速度记录，测试设备关键位置的加速度、位移以及应变反应记录；</w:t>
      </w:r>
    </w:p>
    <w:p>
      <w:pPr>
        <w:pStyle w:val="246"/>
        <w:numPr>
          <w:ilvl w:val="0"/>
          <w:numId w:val="50"/>
        </w:numPr>
        <w:tabs>
          <w:tab w:val="clear" w:pos="840"/>
        </w:tabs>
        <w:spacing w:before="156" w:after="156"/>
        <w:rPr>
          <w:rFonts w:ascii="Times New Roman"/>
        </w:rPr>
      </w:pPr>
      <w:r>
        <w:rPr>
          <w:rFonts w:ascii="Times New Roman"/>
        </w:rPr>
        <w:t>建筑抗震支吊架</w:t>
      </w:r>
      <w:r>
        <w:rPr>
          <w:rFonts w:hint="eastAsia" w:ascii="Times New Roman"/>
        </w:rPr>
        <w:t>组</w:t>
      </w:r>
      <w:r>
        <w:rPr>
          <w:rFonts w:ascii="Times New Roman"/>
        </w:rPr>
        <w:t>件损坏情况及管线位移情况；</w:t>
      </w:r>
    </w:p>
    <w:p>
      <w:pPr>
        <w:pStyle w:val="246"/>
        <w:numPr>
          <w:ilvl w:val="0"/>
          <w:numId w:val="50"/>
        </w:numPr>
        <w:spacing w:before="156" w:after="156"/>
        <w:rPr>
          <w:rFonts w:ascii="Times New Roman"/>
        </w:rPr>
      </w:pPr>
      <w:r>
        <w:rPr>
          <w:rFonts w:ascii="Times New Roman"/>
        </w:rPr>
        <w:t>试验单位、试验日期和试验人员。</w:t>
      </w:r>
    </w:p>
    <w:p>
      <w:pPr>
        <w:pStyle w:val="62"/>
        <w:ind w:firstLine="420"/>
        <w:rPr>
          <w:highlight w:val="red"/>
        </w:rPr>
        <w:sectPr>
          <w:footerReference r:id="rId47" w:type="default"/>
          <w:type w:val="continuous"/>
          <w:pgSz w:w="11906" w:h="16838"/>
          <w:pgMar w:top="2410" w:right="1134" w:bottom="1134" w:left="1134" w:header="1418" w:footer="1134" w:gutter="284"/>
          <w:cols w:space="425" w:num="1"/>
          <w:formProt w:val="0"/>
          <w:docGrid w:type="lines" w:linePitch="312" w:charSpace="0"/>
        </w:sectPr>
      </w:pPr>
    </w:p>
    <w:p>
      <w:pPr>
        <w:pStyle w:val="62"/>
        <w:ind w:firstLine="420"/>
        <w:jc w:val="right"/>
      </w:pPr>
    </w:p>
    <w:p>
      <w:pPr>
        <w:pStyle w:val="204"/>
        <w:numPr>
          <w:ilvl w:val="0"/>
          <w:numId w:val="40"/>
        </w:numPr>
        <w:ind w:firstLine="0"/>
        <w:rPr>
          <w:vanish w:val="0"/>
        </w:rPr>
      </w:pPr>
    </w:p>
    <w:p>
      <w:pPr>
        <w:pStyle w:val="205"/>
        <w:rPr>
          <w:vanish w:val="0"/>
        </w:rPr>
      </w:pPr>
    </w:p>
    <w:p>
      <w:pPr>
        <w:pStyle w:val="82"/>
        <w:spacing w:before="78" w:after="156"/>
      </w:pPr>
      <w:r>
        <w:br w:type="textWrapping"/>
      </w:r>
      <w:bookmarkStart w:id="141" w:name="_Toc81322398"/>
      <w:bookmarkStart w:id="142" w:name="_Toc135225137"/>
      <w:bookmarkStart w:id="143" w:name="_Toc81322416"/>
      <w:bookmarkStart w:id="144" w:name="_Toc128552142"/>
      <w:bookmarkStart w:id="145" w:name="_Toc90303277"/>
      <w:r>
        <w:rPr>
          <w:rFonts w:hint="eastAsia"/>
        </w:rPr>
        <w:t>（规范性）</w:t>
      </w:r>
      <w:r>
        <w:br w:type="textWrapping"/>
      </w:r>
      <w:r>
        <w:rPr>
          <w:rFonts w:hint="eastAsia"/>
        </w:rPr>
        <w:t>试验数据处理</w:t>
      </w:r>
      <w:bookmarkEnd w:id="141"/>
      <w:bookmarkEnd w:id="142"/>
      <w:bookmarkEnd w:id="143"/>
      <w:bookmarkEnd w:id="144"/>
      <w:bookmarkEnd w:id="145"/>
    </w:p>
    <w:p>
      <w:pPr>
        <w:pStyle w:val="84"/>
        <w:spacing w:before="156" w:after="156"/>
        <w:rPr>
          <w:rFonts w:ascii="Times New Roman"/>
        </w:rPr>
      </w:pPr>
      <w:bookmarkStart w:id="146" w:name="_Toc81322399"/>
      <w:r>
        <w:rPr>
          <w:rFonts w:hint="eastAsia" w:ascii="宋体" w:hAnsi="宋体" w:eastAsia="宋体"/>
        </w:rPr>
        <w:t>承载力平均值</w:t>
      </w:r>
      <w:r>
        <w:rPr>
          <w:rFonts w:ascii="宋体" w:hAnsi="宋体" w:eastAsia="宋体"/>
        </w:rPr>
        <w:t>F</w:t>
      </w:r>
      <w:r>
        <w:rPr>
          <w:rFonts w:ascii="宋体" w:hAnsi="宋体" w:eastAsia="宋体"/>
          <w:vertAlign w:val="subscript"/>
        </w:rPr>
        <w:t>Ry</w:t>
      </w:r>
      <w:r>
        <w:rPr>
          <w:rFonts w:hint="eastAsia" w:ascii="宋体" w:hAnsi="宋体" w:eastAsia="宋体"/>
          <w:vertAlign w:val="subscript"/>
        </w:rPr>
        <w:t>，</w:t>
      </w:r>
      <w:r>
        <w:rPr>
          <w:rFonts w:ascii="宋体" w:hAnsi="宋体" w:eastAsia="宋体"/>
          <w:vertAlign w:val="subscript"/>
        </w:rPr>
        <w:t>m</w:t>
      </w:r>
      <w:r>
        <w:rPr>
          <w:rFonts w:hint="eastAsia" w:ascii="宋体" w:hAnsi="宋体" w:eastAsia="宋体"/>
        </w:rPr>
        <w:t>应按式（</w:t>
      </w:r>
      <w:r>
        <w:rPr>
          <w:rFonts w:ascii="宋体" w:hAnsi="宋体" w:eastAsia="宋体"/>
        </w:rPr>
        <w:t>F</w:t>
      </w:r>
      <w:r>
        <w:rPr>
          <w:rFonts w:hint="eastAsia" w:ascii="宋体" w:hAnsi="宋体" w:eastAsia="宋体"/>
        </w:rPr>
        <w:t>.1）计算</w:t>
      </w:r>
      <w:bookmarkEnd w:id="146"/>
      <w:r>
        <w:rPr>
          <w:rFonts w:hint="eastAsia" w:ascii="Times New Roman"/>
        </w:rPr>
        <w:t>：</w:t>
      </w:r>
    </w:p>
    <w:p>
      <w:pPr>
        <w:pStyle w:val="119"/>
        <w:tabs>
          <w:tab w:val="left" w:pos="5669"/>
        </w:tabs>
        <w:jc w:val="right"/>
        <w:rPr>
          <w:rFonts w:ascii="Times New Roman" w:hAnsi="Times New Roman"/>
        </w:rPr>
      </w:pPr>
      <w:r>
        <w:rPr>
          <w:rFonts w:ascii="Times New Roman" w:hAnsi="Times New Roman"/>
        </w:rPr>
        <w:tab/>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Ry，m</m:t>
            </m:r>
            <m:ctrlPr>
              <w:rPr>
                <w:rFonts w:ascii="Cambria Math" w:hAnsi="Cambria Math"/>
                <w:i/>
              </w:rPr>
            </m:ctrlPr>
          </m:sub>
        </m:sSub>
        <m:r>
          <m:rPr/>
          <w:rPr>
            <w:rFonts w:ascii="Cambria Math" w:hAnsi="Cambria Math"/>
          </w:rPr>
          <m:t>=</m:t>
        </m:r>
        <m:f>
          <m:fPr>
            <m:type m:val="lin"/>
            <m:ctrlPr>
              <w:rPr>
                <w:rFonts w:ascii="Cambria Math" w:hAnsi="Cambria Math"/>
                <w:i/>
              </w:rPr>
            </m:ctrlPr>
          </m:fPr>
          <m:num>
            <m:r>
              <m:rPr/>
              <w:rPr>
                <w:rFonts w:ascii="Cambria Math" w:hAnsi="Cambria Math"/>
              </w:rPr>
              <m:t>∑</m:t>
            </m:r>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Ry，i</m:t>
                </m:r>
                <m:ctrlPr>
                  <w:rPr>
                    <w:rFonts w:ascii="Cambria Math" w:hAnsi="Cambria Math"/>
                    <w:i/>
                  </w:rPr>
                </m:ctrlPr>
              </m:sub>
            </m:sSub>
            <m:ctrlPr>
              <w:rPr>
                <w:rFonts w:ascii="Cambria Math" w:hAnsi="Cambria Math"/>
                <w:i/>
              </w:rPr>
            </m:ctrlPr>
          </m:num>
          <m:den>
            <m:r>
              <m:rPr/>
              <w:rPr>
                <w:rFonts w:ascii="Cambria Math" w:hAnsi="Cambria Math"/>
              </w:rPr>
              <m:t>n</m:t>
            </m:r>
            <m:ctrlPr>
              <w:rPr>
                <w:rFonts w:ascii="Cambria Math" w:hAnsi="Cambria Math"/>
                <w:i/>
              </w:rPr>
            </m:ctrlPr>
          </m:den>
        </m:f>
      </m:oMath>
      <w:r>
        <w:rPr>
          <w:rFonts w:hint="eastAsia" w:ascii="Times New Roman" w:hAnsi="Times New Roman"/>
        </w:rPr>
        <w:t xml:space="preserve"> </w:t>
      </w:r>
      <w:r>
        <w:rPr>
          <w:rFonts w:ascii="Times New Roman" w:hAnsi="Times New Roman"/>
        </w:rPr>
        <w:t xml:space="preserve">              </w:t>
      </w:r>
      <w:r>
        <w:rPr>
          <w:rFonts w:hint="eastAsia"/>
        </w:rPr>
        <w:t>…………………………</w:t>
      </w:r>
      <w:r>
        <w:rPr>
          <w:rFonts w:ascii="Times New Roman" w:hAnsi="Times New Roman"/>
        </w:rPr>
        <w:t>(F.</w:t>
      </w:r>
      <w:r>
        <w:rPr>
          <w:rFonts w:ascii="Times New Roman" w:hAnsi="Times New Roman"/>
        </w:rPr>
        <w:fldChar w:fldCharType="begin"/>
      </w:r>
      <w:r>
        <w:rPr>
          <w:rFonts w:ascii="Times New Roman" w:hAnsi="Times New Roman"/>
        </w:rPr>
        <w:instrText xml:space="preserve"> seq fulu_equation_132748732354546654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w:t>
      </w:r>
    </w:p>
    <w:p>
      <w:pPr>
        <w:pStyle w:val="61"/>
        <w:ind w:firstLine="420"/>
        <w:rPr>
          <w:rFonts w:ascii="Times New Roman" w:hAnsi="Times New Roman"/>
        </w:rPr>
      </w:pPr>
      <w:r>
        <w:rPr>
          <w:rFonts w:ascii="Times New Roman" w:hAnsi="Times New Roman"/>
        </w:rPr>
        <w:t>式中：</w:t>
      </w:r>
    </w:p>
    <w:p>
      <w:pPr>
        <w:pStyle w:val="107"/>
        <w:numPr>
          <w:ilvl w:val="0"/>
          <w:numId w:val="0"/>
        </w:numPr>
        <w:ind w:firstLine="420" w:firstLineChars="200"/>
        <w:rPr>
          <w:rFonts w:ascii="Times New Roman" w:hAnsi="Times New Roman"/>
          <w:sz w:val="21"/>
        </w:rPr>
      </w:pPr>
      <m:oMath>
        <m:sSub>
          <w:bookmarkStart w:id="147" w:name="_Hlk88212777"/>
          <m:sSubPr>
            <m:ctrlPr>
              <w:rPr>
                <w:rFonts w:ascii="Cambria Math" w:hAnsi="Cambria Math"/>
                <w:i/>
                <w:sz w:val="21"/>
              </w:rPr>
            </m:ctrlPr>
          </m:sSubPr>
          <m:e>
            <m:r>
              <m:rPr/>
              <w:rPr>
                <w:rFonts w:ascii="Cambria Math" w:hAnsi="Cambria Math"/>
                <w:sz w:val="21"/>
              </w:rPr>
              <m:t>F</m:t>
            </m:r>
            <m:ctrlPr>
              <w:rPr>
                <w:rFonts w:ascii="Cambria Math" w:hAnsi="Cambria Math"/>
                <w:i/>
                <w:sz w:val="21"/>
              </w:rPr>
            </m:ctrlPr>
          </m:e>
          <m:sub>
            <m:r>
              <m:rPr/>
              <w:rPr>
                <w:rFonts w:ascii="Cambria Math" w:hAnsi="Cambria Math"/>
                <w:sz w:val="21"/>
              </w:rPr>
              <m:t>Ry，i</m:t>
            </m:r>
            <m:ctrlPr>
              <w:rPr>
                <w:rFonts w:ascii="Cambria Math" w:hAnsi="Cambria Math"/>
                <w:i/>
                <w:sz w:val="21"/>
              </w:rPr>
            </m:ctrlPr>
          </m:sub>
        </m:sSub>
      </m:oMath>
      <w:bookmarkEnd w:id="147"/>
      <w:r>
        <w:rPr>
          <w:rFonts w:ascii="Times New Roman" w:hAnsi="Times New Roman"/>
          <w:sz w:val="21"/>
        </w:rPr>
        <w:t xml:space="preserve"> </w:t>
      </w:r>
      <w:r>
        <w:rPr>
          <w:rFonts w:ascii="Times New Roman" w:hAnsi="Times New Roman"/>
          <w:iCs/>
          <w:sz w:val="21"/>
        </w:rPr>
        <w:t>——</w:t>
      </w:r>
      <w:r>
        <w:rPr>
          <w:rFonts w:ascii="Times New Roman" w:hAnsi="Times New Roman"/>
          <w:sz w:val="21"/>
        </w:rPr>
        <w:t>第i个试件的试验极限承载力值，按7.3.3.4选取，单位为</w:t>
      </w:r>
      <w:r>
        <w:rPr>
          <w:rFonts w:hint="eastAsia" w:ascii="Times New Roman" w:hAnsi="Times New Roman"/>
          <w:sz w:val="21"/>
        </w:rPr>
        <w:t>千牛</w:t>
      </w:r>
      <w:r>
        <w:rPr>
          <w:rFonts w:ascii="Times New Roman" w:hAnsi="Times New Roman"/>
          <w:sz w:val="21"/>
        </w:rPr>
        <w:t>（kN）；</w:t>
      </w:r>
    </w:p>
    <w:p>
      <w:pPr>
        <w:pStyle w:val="62"/>
        <w:ind w:firstLine="420"/>
        <w:rPr>
          <w:rFonts w:ascii="Times New Roman"/>
        </w:rPr>
      </w:pPr>
      <m:oMath>
        <m:r>
          <m:rPr/>
          <w:rPr>
            <w:rFonts w:ascii="Cambria Math" w:hAnsi="Cambria Math"/>
          </w:rPr>
          <m:t>n</m:t>
        </m:r>
      </m:oMath>
      <w:r>
        <w:rPr>
          <w:rFonts w:ascii="Times New Roman"/>
        </w:rPr>
        <w:t>——试件数量，</w:t>
      </w:r>
      <m:oMath>
        <m:r>
          <m:rPr/>
          <w:rPr>
            <w:rFonts w:ascii="Cambria Math" w:hAnsi="Cambria Math"/>
          </w:rPr>
          <m:t>n</m:t>
        </m:r>
      </m:oMath>
      <w:r>
        <w:rPr>
          <w:rFonts w:ascii="Times New Roman"/>
        </w:rPr>
        <w:t>≥3；</w:t>
      </w:r>
    </w:p>
    <w:p>
      <w:pPr>
        <w:ind w:firstLine="420" w:firstLineChars="200"/>
        <w:rPr>
          <w:rFonts w:ascii="Times New Roman" w:hAnsi="Times New Roman"/>
        </w:rPr>
      </w:pPr>
      <w:r>
        <w:rPr>
          <w:rFonts w:ascii="Times New Roman" w:hAnsi="Times New Roman"/>
        </w:rPr>
        <w:t>I ——第i个试件，i=1~</w:t>
      </w:r>
      <m:oMath>
        <m:r>
          <m:rPr/>
          <w:rPr>
            <w:rFonts w:ascii="Cambria Math" w:hAnsi="Cambria Math"/>
          </w:rPr>
          <m:t xml:space="preserve"> n</m:t>
        </m:r>
      </m:oMath>
      <w:r>
        <w:rPr>
          <w:rFonts w:ascii="Times New Roman" w:hAnsi="Times New Roman"/>
        </w:rPr>
        <w:t>。</w:t>
      </w:r>
    </w:p>
    <w:p>
      <w:pPr>
        <w:pStyle w:val="84"/>
        <w:spacing w:before="156" w:after="156"/>
        <w:rPr>
          <w:rFonts w:ascii="宋体" w:hAnsi="宋体" w:eastAsia="宋体"/>
        </w:rPr>
      </w:pPr>
      <w:bookmarkStart w:id="148" w:name="_Toc81322400"/>
      <w:r>
        <w:rPr>
          <w:rFonts w:hint="eastAsia" w:ascii="宋体" w:hAnsi="宋体" w:eastAsia="宋体"/>
        </w:rPr>
        <w:t>承载力变异系数</w:t>
      </w:r>
      <w:r>
        <w:rPr>
          <w:rFonts w:ascii="宋体" w:hAnsi="宋体" w:eastAsia="宋体"/>
        </w:rPr>
        <w:t>ν</w:t>
      </w:r>
      <w:r>
        <w:rPr>
          <w:rFonts w:hint="eastAsia" w:ascii="宋体" w:hAnsi="宋体" w:eastAsia="宋体"/>
        </w:rPr>
        <w:t>按式（</w:t>
      </w:r>
      <w:r>
        <w:rPr>
          <w:rFonts w:ascii="宋体" w:hAnsi="宋体" w:eastAsia="宋体"/>
        </w:rPr>
        <w:t>F</w:t>
      </w:r>
      <w:r>
        <w:rPr>
          <w:rFonts w:hint="eastAsia" w:ascii="宋体" w:hAnsi="宋体" w:eastAsia="宋体"/>
        </w:rPr>
        <w:t>.2）计算：</w:t>
      </w:r>
      <w:bookmarkEnd w:id="148"/>
    </w:p>
    <w:p>
      <w:pPr>
        <w:pStyle w:val="119"/>
        <w:jc w:val="right"/>
        <w:rPr>
          <w:rFonts w:ascii="Times New Roman" w:hAnsi="Times New Roman"/>
        </w:rPr>
      </w:pPr>
      <w:r>
        <w:rPr>
          <w:rFonts w:ascii="Times New Roman" w:hAnsi="Times New Roman"/>
        </w:rPr>
        <w:tab/>
      </w:r>
      <m:oMath>
        <m:r>
          <m:rPr/>
          <w:rPr>
            <w:rFonts w:ascii="Cambria Math" w:hAnsi="Cambria Math"/>
          </w:rPr>
          <m:t>v=</m:t>
        </m:r>
        <m:f>
          <m:fPr>
            <m:type m:val="lin"/>
            <m:ctrlPr>
              <w:rPr>
                <w:rFonts w:ascii="Cambria Math" w:hAnsi="Cambria Math"/>
                <w:i/>
                <w:iCs/>
              </w:rPr>
            </m:ctrlPr>
          </m:fPr>
          <m:num>
            <m:rad>
              <m:radPr>
                <m:degHide m:val="1"/>
                <m:ctrlPr>
                  <w:rPr>
                    <w:rFonts w:ascii="Cambria Math" w:hAnsi="Cambria Math"/>
                    <w:i/>
                    <w:iCs/>
                  </w:rPr>
                </m:ctrlPr>
              </m:radPr>
              <m:deg>
                <m:ctrlPr>
                  <w:rPr>
                    <w:rFonts w:ascii="Cambria Math" w:hAnsi="Cambria Math"/>
                    <w:i/>
                    <w:iCs/>
                  </w:rPr>
                </m:ctrlPr>
              </m:deg>
              <m:e>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Ry,i</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Ry,m</m:t>
                        </m:r>
                        <m:ctrlPr>
                          <w:rPr>
                            <w:rFonts w:ascii="Cambria Math" w:hAnsi="Cambria Math"/>
                            <w:i/>
                            <w:iCs/>
                          </w:rPr>
                        </m:ctrlPr>
                      </m:sub>
                    </m:sSub>
                    <m:ctrlPr>
                      <w:rPr>
                        <w:rFonts w:ascii="Cambria Math" w:hAnsi="Cambria Math"/>
                        <w:i/>
                        <w:iCs/>
                      </w:rPr>
                    </m:ctrlPr>
                  </m:e>
                </m:d>
                <m:f>
                  <m:fPr>
                    <m:type m:val="skw"/>
                    <m:ctrlPr>
                      <w:rPr>
                        <w:rFonts w:ascii="Cambria Math" w:hAnsi="Cambria Math"/>
                        <w:i/>
                        <w:iCs/>
                      </w:rPr>
                    </m:ctrlPr>
                  </m:fPr>
                  <m:num>
                    <m:r>
                      <m:rPr/>
                      <w:rPr>
                        <w:rFonts w:ascii="Cambria Math" w:hAnsi="Cambria Math"/>
                      </w:rPr>
                      <m:t>2</m:t>
                    </m:r>
                    <m:ctrlPr>
                      <w:rPr>
                        <w:rFonts w:ascii="Cambria Math" w:hAnsi="Cambria Math"/>
                        <w:i/>
                        <w:iCs/>
                      </w:rPr>
                    </m:ctrlPr>
                  </m:num>
                  <m:den>
                    <m:d>
                      <m:dPr>
                        <m:ctrlPr>
                          <w:rPr>
                            <w:rFonts w:ascii="Cambria Math" w:hAnsi="Cambria Math"/>
                            <w:i/>
                            <w:iCs/>
                          </w:rPr>
                        </m:ctrlPr>
                      </m:dPr>
                      <m:e>
                        <m:r>
                          <m:rPr/>
                          <w:rPr>
                            <w:rFonts w:ascii="Cambria Math" w:hAnsi="Cambria Math"/>
                          </w:rPr>
                          <m:t>n−1</m:t>
                        </m:r>
                        <m:ctrlPr>
                          <w:rPr>
                            <w:rFonts w:ascii="Cambria Math" w:hAnsi="Cambria Math"/>
                            <w:i/>
                            <w:iCs/>
                          </w:rPr>
                        </m:ctrlPr>
                      </m:e>
                    </m:d>
                    <m:ctrlPr>
                      <w:rPr>
                        <w:rFonts w:ascii="Cambria Math" w:hAnsi="Cambria Math"/>
                        <w:i/>
                        <w:iCs/>
                      </w:rPr>
                    </m:ctrlPr>
                  </m:den>
                </m:f>
                <m:ctrlPr>
                  <w:rPr>
                    <w:rFonts w:ascii="Cambria Math" w:hAnsi="Cambria Math"/>
                    <w:i/>
                    <w:iCs/>
                  </w:rPr>
                </m:ctrlPr>
              </m:e>
            </m:rad>
            <m:ctrlPr>
              <w:rPr>
                <w:rFonts w:ascii="Cambria Math" w:hAnsi="Cambria Math"/>
                <w:i/>
                <w:iCs/>
              </w:rPr>
            </m:ctrlPr>
          </m:num>
          <m:den>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Ry,m</m:t>
                </m:r>
                <m:ctrlPr>
                  <w:rPr>
                    <w:rFonts w:ascii="Cambria Math" w:hAnsi="Cambria Math"/>
                    <w:i/>
                    <w:iCs/>
                  </w:rPr>
                </m:ctrlPr>
              </m:sub>
            </m:sSub>
            <m:ctrlPr>
              <w:rPr>
                <w:rFonts w:ascii="Cambria Math" w:hAnsi="Cambria Math"/>
                <w:i/>
                <w:iCs/>
              </w:rPr>
            </m:ctrlPr>
          </m:den>
        </m:f>
      </m:oMath>
      <w:r>
        <w:rPr>
          <w:rFonts w:hint="eastAsia"/>
        </w:rPr>
        <w:t xml:space="preserve"> </w:t>
      </w:r>
      <w:r>
        <w:t xml:space="preserve">    </w:t>
      </w:r>
      <w:r>
        <w:rPr>
          <w:rFonts w:hint="eastAsia"/>
        </w:rPr>
        <w:t>…………………………</w:t>
      </w:r>
      <w:r>
        <w:rPr>
          <w:rFonts w:ascii="Times New Roman" w:hAnsi="Times New Roman"/>
        </w:rPr>
        <w:t>(</w:t>
      </w:r>
      <w:r>
        <w:t>F</w:t>
      </w:r>
      <w:r>
        <w:rPr>
          <w:rFonts w:ascii="Times New Roman" w:hAnsi="Times New Roman"/>
        </w:rPr>
        <w:t>.</w:t>
      </w:r>
      <w:r>
        <w:rPr>
          <w:rFonts w:ascii="Times New Roman" w:hAnsi="Times New Roman"/>
        </w:rPr>
        <w:fldChar w:fldCharType="begin"/>
      </w:r>
      <w:r>
        <w:rPr>
          <w:rFonts w:ascii="Times New Roman" w:hAnsi="Times New Roman"/>
        </w:rPr>
        <w:instrText xml:space="preserve">  seq fulu_equation_132748732354546654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p>
    <w:p>
      <w:pPr>
        <w:pStyle w:val="62"/>
        <w:ind w:firstLine="420"/>
        <w:rPr>
          <w:rFonts w:ascii="Times New Roman"/>
          <w:iCs/>
          <w:szCs w:val="21"/>
        </w:rPr>
      </w:pPr>
      <w:r>
        <w:rPr>
          <w:rFonts w:ascii="Times New Roman"/>
          <w:iCs/>
          <w:szCs w:val="21"/>
        </w:rPr>
        <w:t>当变异系数ν值大于0.10，离散程度太大，该组数据不建议使用。</w:t>
      </w:r>
    </w:p>
    <w:p>
      <w:pPr>
        <w:pStyle w:val="84"/>
        <w:spacing w:before="156" w:after="156"/>
        <w:rPr>
          <w:rFonts w:ascii="宋体" w:hAnsi="宋体" w:eastAsia="宋体"/>
        </w:rPr>
      </w:pPr>
      <w:bookmarkStart w:id="149" w:name="_Toc81322401"/>
      <w:r>
        <w:rPr>
          <w:rFonts w:hint="eastAsia" w:ascii="宋体" w:hAnsi="宋体" w:eastAsia="宋体"/>
        </w:rPr>
        <w:t>承载力标准值</w:t>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Rk</m:t>
            </m:r>
            <m:ctrlPr>
              <w:rPr>
                <w:rFonts w:ascii="Cambria Math" w:hAnsi="Cambria Math"/>
                <w:i/>
                <w:iCs/>
              </w:rPr>
            </m:ctrlPr>
          </m:sub>
        </m:sSub>
      </m:oMath>
      <w:r>
        <w:rPr>
          <w:rFonts w:hint="eastAsia" w:ascii="宋体" w:hAnsi="宋体" w:eastAsia="宋体"/>
        </w:rPr>
        <w:t>按式（</w:t>
      </w:r>
      <w:r>
        <w:rPr>
          <w:rFonts w:ascii="宋体" w:hAnsi="宋体" w:eastAsia="宋体"/>
        </w:rPr>
        <w:t>F</w:t>
      </w:r>
      <w:r>
        <w:rPr>
          <w:rFonts w:hint="eastAsia" w:ascii="宋体" w:hAnsi="宋体" w:eastAsia="宋体"/>
        </w:rPr>
        <w:t>.3）计算：</w:t>
      </w:r>
      <w:bookmarkEnd w:id="149"/>
    </w:p>
    <w:p>
      <w:pPr>
        <w:pStyle w:val="119"/>
        <w:jc w:val="right"/>
        <w:rPr>
          <w:rFonts w:ascii="Times New Roman" w:hAnsi="Times New Roman"/>
        </w:rPr>
      </w:pPr>
      <w:r>
        <w:rPr>
          <w:rFonts w:ascii="Times New Roman" w:hAnsi="Times New Roman"/>
        </w:rPr>
        <w:tab/>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Rk</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Ry，m</m:t>
            </m:r>
            <m:ctrlPr>
              <w:rPr>
                <w:rFonts w:ascii="Cambria Math" w:hAnsi="Cambria Math"/>
                <w:i/>
                <w:iCs/>
              </w:rPr>
            </m:ctrlPr>
          </m:sub>
        </m:sSub>
        <m:d>
          <m:dPr>
            <m:ctrlPr>
              <w:rPr>
                <w:rFonts w:ascii="Cambria Math" w:hAnsi="Cambria Math"/>
                <w:i/>
                <w:iCs/>
              </w:rPr>
            </m:ctrlPr>
          </m:dPr>
          <m:e>
            <m:r>
              <m:rPr/>
              <w:rPr>
                <w:rFonts w:ascii="Cambria Math" w:hAnsi="Cambria Math"/>
              </w:rPr>
              <m:t>1−k·v</m:t>
            </m:r>
            <m:ctrlPr>
              <w:rPr>
                <w:rFonts w:ascii="Cambria Math" w:hAnsi="Cambria Math"/>
                <w:i/>
                <w:iCs/>
              </w:rPr>
            </m:ctrlPr>
          </m:e>
        </m:d>
      </m:oMath>
      <w:r>
        <w:rPr>
          <w:rFonts w:hint="eastAsia"/>
        </w:rPr>
        <w:t xml:space="preserve"> </w:t>
      </w:r>
      <w:r>
        <w:t xml:space="preserve">           </w:t>
      </w:r>
      <w:r>
        <w:rPr>
          <w:rFonts w:hint="eastAsia"/>
        </w:rPr>
        <w:t>…………………………</w:t>
      </w:r>
      <w:r>
        <w:rPr>
          <w:rFonts w:ascii="Times New Roman" w:hAnsi="Times New Roman"/>
        </w:rPr>
        <w:t>(</w:t>
      </w:r>
      <w:r>
        <w:t>F</w:t>
      </w:r>
      <w:r>
        <w:rPr>
          <w:rFonts w:ascii="Times New Roman" w:hAnsi="Times New Roman"/>
        </w:rPr>
        <w:t>.</w:t>
      </w:r>
      <w:r>
        <w:rPr>
          <w:rFonts w:ascii="Times New Roman" w:hAnsi="Times New Roman"/>
        </w:rPr>
        <w:fldChar w:fldCharType="begin"/>
      </w:r>
      <w:r>
        <w:rPr>
          <w:rFonts w:ascii="Times New Roman" w:hAnsi="Times New Roman"/>
        </w:rPr>
        <w:instrText xml:space="preserve">  seq fulu_equation_132748732354546654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p>
    <w:p>
      <w:pPr>
        <w:pStyle w:val="61"/>
        <w:ind w:firstLine="420"/>
        <w:rPr>
          <w:rFonts w:ascii="Times New Roman" w:hAnsi="Times New Roman"/>
        </w:rPr>
      </w:pPr>
      <w:r>
        <w:rPr>
          <w:rFonts w:ascii="Times New Roman" w:hAnsi="Times New Roman"/>
        </w:rPr>
        <w:t>式中：</w:t>
      </w:r>
    </w:p>
    <w:p>
      <w:pPr>
        <w:pStyle w:val="62"/>
        <w:ind w:firstLine="420"/>
        <w:rPr>
          <w:rFonts w:ascii="Times New Roman"/>
        </w:rPr>
      </w:pPr>
      <w:r>
        <w:rPr>
          <w:rFonts w:ascii="Times New Roman"/>
          <w:i/>
        </w:rPr>
        <w:t xml:space="preserve">k </w:t>
      </w:r>
      <w:r>
        <w:rPr>
          <w:rFonts w:ascii="Times New Roman"/>
        </w:rPr>
        <w:t>——推定系数</w:t>
      </w:r>
      <w:r>
        <w:rPr>
          <w:rFonts w:hint="eastAsia" w:ascii="Times New Roman"/>
        </w:rPr>
        <w:t>。</w:t>
      </w:r>
    </w:p>
    <w:p>
      <w:pPr>
        <w:pStyle w:val="62"/>
        <w:spacing w:after="156" w:afterLines="50"/>
        <w:ind w:firstLine="420"/>
        <w:jc w:val="center"/>
        <w:rPr>
          <w:rFonts w:ascii="黑体" w:hAnsi="黑体" w:eastAsia="黑体"/>
        </w:rPr>
      </w:pPr>
      <w:r>
        <w:rPr>
          <w:rFonts w:hint="eastAsia" w:ascii="黑体" w:hAnsi="黑体" w:eastAsia="黑体"/>
        </w:rPr>
        <w:t>表</w:t>
      </w:r>
      <w:r>
        <w:rPr>
          <w:rFonts w:ascii="黑体" w:hAnsi="黑体" w:eastAsia="黑体"/>
        </w:rPr>
        <w:t xml:space="preserve">F.1  </w:t>
      </w:r>
      <w:r>
        <w:rPr>
          <w:rFonts w:hint="eastAsia" w:ascii="黑体" w:hAnsi="黑体" w:eastAsia="黑体"/>
        </w:rPr>
        <w:t>试件数量与推定系数</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398"/>
        <w:gridCol w:w="1020"/>
        <w:gridCol w:w="1022"/>
        <w:gridCol w:w="1020"/>
        <w:gridCol w:w="1022"/>
        <w:gridCol w:w="1022"/>
        <w:gridCol w:w="1020"/>
        <w:gridCol w:w="1022"/>
        <w:gridCol w:w="10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4" w:hRule="atLeast"/>
          <w:jc w:val="center"/>
        </w:trPr>
        <w:tc>
          <w:tcPr>
            <w:tcW w:w="730" w:type="pct"/>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试件数量</w:t>
            </w:r>
          </w:p>
        </w:tc>
        <w:tc>
          <w:tcPr>
            <w:tcW w:w="533"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w:t>
            </w:r>
          </w:p>
        </w:tc>
        <w:tc>
          <w:tcPr>
            <w:tcW w:w="534"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w:t>
            </w:r>
          </w:p>
        </w:tc>
        <w:tc>
          <w:tcPr>
            <w:tcW w:w="533"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w:t>
            </w:r>
          </w:p>
        </w:tc>
        <w:tc>
          <w:tcPr>
            <w:tcW w:w="534"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6</w:t>
            </w:r>
          </w:p>
        </w:tc>
        <w:tc>
          <w:tcPr>
            <w:tcW w:w="534"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7</w:t>
            </w:r>
          </w:p>
        </w:tc>
        <w:tc>
          <w:tcPr>
            <w:tcW w:w="533"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w:t>
            </w:r>
          </w:p>
        </w:tc>
        <w:tc>
          <w:tcPr>
            <w:tcW w:w="534"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w:t>
            </w:r>
          </w:p>
        </w:tc>
        <w:tc>
          <w:tcPr>
            <w:tcW w:w="534" w:type="pct"/>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4" w:hRule="atLeast"/>
          <w:jc w:val="center"/>
        </w:trPr>
        <w:tc>
          <w:tcPr>
            <w:tcW w:w="730"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i/>
                <w:iCs/>
                <w:color w:val="000000"/>
                <w:kern w:val="0"/>
                <w:sz w:val="18"/>
                <w:szCs w:val="18"/>
              </w:rPr>
            </w:pPr>
            <w:r>
              <w:rPr>
                <w:rFonts w:ascii="Times New Roman" w:hAnsi="Times New Roman"/>
                <w:color w:val="000000"/>
                <w:kern w:val="0"/>
                <w:sz w:val="18"/>
                <w:szCs w:val="18"/>
              </w:rPr>
              <w:t>推定系数</w:t>
            </w:r>
            <w:r>
              <w:rPr>
                <w:rFonts w:ascii="Times New Roman" w:hAnsi="Times New Roman"/>
                <w:i/>
                <w:iCs/>
                <w:color w:val="000000"/>
                <w:kern w:val="0"/>
                <w:sz w:val="18"/>
                <w:szCs w:val="18"/>
              </w:rPr>
              <w:t>k</w:t>
            </w:r>
          </w:p>
        </w:tc>
        <w:tc>
          <w:tcPr>
            <w:tcW w:w="533"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5.31</w:t>
            </w:r>
          </w:p>
        </w:tc>
        <w:tc>
          <w:tcPr>
            <w:tcW w:w="534"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3.96</w:t>
            </w:r>
          </w:p>
        </w:tc>
        <w:tc>
          <w:tcPr>
            <w:tcW w:w="533"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3.40</w:t>
            </w:r>
          </w:p>
        </w:tc>
        <w:tc>
          <w:tcPr>
            <w:tcW w:w="534"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3.09</w:t>
            </w:r>
          </w:p>
        </w:tc>
        <w:tc>
          <w:tcPr>
            <w:tcW w:w="534"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2.89</w:t>
            </w:r>
          </w:p>
        </w:tc>
        <w:tc>
          <w:tcPr>
            <w:tcW w:w="533"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2.75</w:t>
            </w:r>
          </w:p>
        </w:tc>
        <w:tc>
          <w:tcPr>
            <w:tcW w:w="534"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2.65</w:t>
            </w:r>
          </w:p>
        </w:tc>
        <w:tc>
          <w:tcPr>
            <w:tcW w:w="534" w:type="pct"/>
            <w:tcBorders>
              <w:bottom w:val="single" w:color="auto" w:sz="12" w:space="0"/>
            </w:tcBorders>
            <w:shd w:val="clear" w:color="auto" w:fill="auto"/>
            <w:noWrap/>
            <w:vAlign w:val="center"/>
          </w:tcPr>
          <w:p>
            <w:pPr>
              <w:widowControl/>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2.57</w:t>
            </w:r>
          </w:p>
        </w:tc>
      </w:tr>
    </w:tbl>
    <w:p>
      <w:pPr>
        <w:pStyle w:val="84"/>
        <w:spacing w:before="312" w:beforeLines="100" w:after="156"/>
        <w:rPr>
          <w:rFonts w:ascii="宋体" w:hAnsi="宋体" w:eastAsia="宋体"/>
        </w:rPr>
      </w:pPr>
      <w:bookmarkStart w:id="150" w:name="_Toc81322402"/>
      <w:r>
        <w:rPr>
          <w:rFonts w:hint="eastAsia" w:ascii="宋体" w:hAnsi="宋体" w:eastAsia="宋体"/>
        </w:rPr>
        <w:t>承载力设计值按式（</w:t>
      </w:r>
      <w:r>
        <w:rPr>
          <w:rFonts w:ascii="宋体" w:hAnsi="宋体" w:eastAsia="宋体"/>
          <w:szCs w:val="21"/>
        </w:rPr>
        <w:t>F</w:t>
      </w:r>
      <w:r>
        <w:rPr>
          <w:rFonts w:hint="eastAsia" w:ascii="宋体" w:hAnsi="宋体" w:eastAsia="宋体"/>
        </w:rPr>
        <w:t>.4）计算：</w:t>
      </w:r>
      <w:bookmarkEnd w:id="150"/>
    </w:p>
    <w:p>
      <w:pPr>
        <w:pStyle w:val="119"/>
        <w:ind w:firstLine="3780" w:firstLineChars="1800"/>
        <w:jc w:val="right"/>
        <w:rPr>
          <w:rFonts w:ascii="Times New Roman" w:hAnsi="Times New Roman"/>
        </w:rPr>
      </w:pP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Rd</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Rk</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γ</m:t>
            </m:r>
            <m:ctrlPr>
              <w:rPr>
                <w:rFonts w:ascii="Cambria Math" w:hAnsi="Cambria Math"/>
                <w:i/>
                <w:iCs/>
              </w:rPr>
            </m:ctrlPr>
          </m:e>
          <m:sub>
            <m:r>
              <m:rPr/>
              <w:rPr>
                <w:rFonts w:ascii="Cambria Math" w:hAnsi="Cambria Math"/>
              </w:rPr>
              <m:t>R</m:t>
            </m:r>
            <m:ctrlPr>
              <w:rPr>
                <w:rFonts w:ascii="Cambria Math" w:hAnsi="Cambria Math"/>
                <w:i/>
                <w:iCs/>
              </w:rPr>
            </m:ctrlPr>
          </m:sub>
        </m:sSub>
      </m:oMath>
      <w:r>
        <w:rPr>
          <w:rFonts w:hint="eastAsia"/>
        </w:rPr>
        <w:t xml:space="preserve"> </w:t>
      </w:r>
      <w:r>
        <w:t xml:space="preserve">                </w:t>
      </w:r>
      <w:r>
        <w:rPr>
          <w:rFonts w:hint="eastAsia"/>
        </w:rPr>
        <w:t>…………………………</w:t>
      </w:r>
      <w:r>
        <w:rPr>
          <w:rFonts w:ascii="Times New Roman" w:hAnsi="Times New Roman"/>
        </w:rPr>
        <w:t>(</w:t>
      </w:r>
      <w:r>
        <w:t>F</w:t>
      </w:r>
      <w:r>
        <w:rPr>
          <w:rFonts w:ascii="Times New Roman" w:hAnsi="Times New Roman"/>
        </w:rPr>
        <w:t>.4)</w:t>
      </w:r>
    </w:p>
    <w:p>
      <w:pPr>
        <w:pStyle w:val="61"/>
        <w:ind w:firstLine="420"/>
        <w:rPr>
          <w:rFonts w:ascii="Times New Roman" w:hAnsi="Times New Roman"/>
        </w:rPr>
      </w:pPr>
      <w:r>
        <w:rPr>
          <w:rFonts w:ascii="Times New Roman" w:hAnsi="Times New Roman"/>
        </w:rPr>
        <w:t>式中：</w:t>
      </w:r>
    </w:p>
    <w:p>
      <w:pPr>
        <w:pStyle w:val="61"/>
        <w:ind w:firstLine="420"/>
      </w:pPr>
      <m:oMath>
        <m:sSub>
          <m:sSubPr>
            <m:ctrlPr>
              <w:rPr>
                <w:rFonts w:ascii="Cambria Math" w:hAnsi="Cambria Math"/>
                <w:i/>
                <w:iCs/>
              </w:rPr>
            </m:ctrlPr>
          </m:sSubPr>
          <m:e>
            <m:r>
              <m:rPr/>
              <w:rPr>
                <w:rFonts w:ascii="Cambria Math" w:hAnsi="Cambria Math"/>
              </w:rPr>
              <m:t>γ</m:t>
            </m:r>
            <m:ctrlPr>
              <w:rPr>
                <w:rFonts w:ascii="Cambria Math" w:hAnsi="Cambria Math"/>
                <w:i/>
                <w:iCs/>
              </w:rPr>
            </m:ctrlPr>
          </m:e>
          <m:sub>
            <m:r>
              <m:rPr/>
              <w:rPr>
                <w:rFonts w:ascii="Cambria Math" w:hAnsi="Cambria Math"/>
              </w:rPr>
              <m:t>R</m:t>
            </m:r>
            <m:ctrlPr>
              <w:rPr>
                <w:rFonts w:ascii="Cambria Math" w:hAnsi="Cambria Math"/>
                <w:i/>
                <w:iCs/>
              </w:rPr>
            </m:ctrlPr>
          </m:sub>
        </m:sSub>
      </m:oMath>
      <w:r>
        <w:rPr>
          <w:rFonts w:ascii="Times New Roman" w:hAnsi="Times New Roman"/>
          <w:iCs/>
        </w:rPr>
        <w:t>——分项系数，循环加载取1.0；静力测试取1.3；</w:t>
      </w:r>
      <w:r>
        <w:rPr>
          <w:rFonts w:hint="eastAsia"/>
          <w:iCs/>
        </w:rPr>
        <w:t xml:space="preserve"> </w:t>
      </w:r>
    </w:p>
    <w:p>
      <w:pPr>
        <w:pStyle w:val="61"/>
        <w:ind w:firstLine="420"/>
      </w:pPr>
    </w:p>
    <w:p>
      <w:pPr>
        <w:widowControl/>
        <w:adjustRightInd/>
        <w:spacing w:line="240" w:lineRule="auto"/>
        <w:jc w:val="left"/>
        <w:sectPr>
          <w:footerReference r:id="rId48" w:type="default"/>
          <w:type w:val="continuous"/>
          <w:pgSz w:w="11906" w:h="16838"/>
          <w:pgMar w:top="2410" w:right="1134" w:bottom="1134" w:left="1134" w:header="1418" w:footer="1134" w:gutter="284"/>
          <w:cols w:space="425" w:num="1"/>
          <w:formProt w:val="0"/>
          <w:docGrid w:type="lines" w:linePitch="312" w:charSpace="0"/>
        </w:sectPr>
      </w:pPr>
      <w:r>
        <w:br w:type="page"/>
      </w:r>
    </w:p>
    <w:p>
      <w:pPr>
        <w:pStyle w:val="204"/>
        <w:numPr>
          <w:ilvl w:val="0"/>
          <w:numId w:val="40"/>
        </w:numPr>
        <w:ind w:firstLine="0"/>
        <w:rPr>
          <w:vanish w:val="0"/>
        </w:rPr>
      </w:pPr>
    </w:p>
    <w:p>
      <w:pPr>
        <w:pStyle w:val="205"/>
        <w:rPr>
          <w:vanish w:val="0"/>
        </w:rPr>
      </w:pPr>
    </w:p>
    <w:p>
      <w:pPr>
        <w:pStyle w:val="204"/>
        <w:numPr>
          <w:ilvl w:val="0"/>
          <w:numId w:val="40"/>
        </w:numPr>
        <w:ind w:firstLine="0"/>
        <w:rPr>
          <w:vanish w:val="0"/>
        </w:rPr>
      </w:pPr>
    </w:p>
    <w:p>
      <w:pPr>
        <w:pStyle w:val="205"/>
        <w:numPr>
          <w:ilvl w:val="0"/>
          <w:numId w:val="0"/>
        </w:numPr>
        <w:ind w:left="425"/>
        <w:jc w:val="both"/>
        <w:rPr>
          <w:vanish w:val="0"/>
        </w:rPr>
      </w:pPr>
    </w:p>
    <w:p>
      <w:pPr>
        <w:pStyle w:val="82"/>
        <w:spacing w:before="78" w:after="156"/>
      </w:pPr>
      <w:r>
        <w:br w:type="textWrapping"/>
      </w:r>
      <w:bookmarkStart w:id="151" w:name="_Toc135225139"/>
      <w:r>
        <w:rPr>
          <w:rFonts w:hint="eastAsia"/>
        </w:rPr>
        <w:t>（资料性）</w:t>
      </w:r>
      <w:r>
        <w:br w:type="textWrapping"/>
      </w:r>
      <w:r>
        <w:rPr>
          <w:rFonts w:ascii="Times New Roman"/>
        </w:rPr>
        <w:t>抗震支吊架性能说明书</w:t>
      </w:r>
      <w:bookmarkEnd w:id="151"/>
    </w:p>
    <w:tbl>
      <w:tblPr>
        <w:tblStyle w:val="30"/>
        <w:tblW w:w="0" w:type="auto"/>
        <w:jc w:val="center"/>
        <w:tblLayout w:type="autofit"/>
        <w:tblCellMar>
          <w:top w:w="0" w:type="dxa"/>
          <w:left w:w="108" w:type="dxa"/>
          <w:bottom w:w="0" w:type="dxa"/>
          <w:right w:w="108" w:type="dxa"/>
        </w:tblCellMar>
      </w:tblPr>
      <w:tblGrid>
        <w:gridCol w:w="4530"/>
        <w:gridCol w:w="4531"/>
      </w:tblGrid>
      <w:tr>
        <w:tblPrEx>
          <w:tblCellMar>
            <w:top w:w="0" w:type="dxa"/>
            <w:left w:w="108" w:type="dxa"/>
            <w:bottom w:w="0" w:type="dxa"/>
            <w:right w:w="108" w:type="dxa"/>
          </w:tblCellMar>
        </w:tblPrEx>
        <w:trPr>
          <w:trHeight w:val="1281" w:hRule="atLeast"/>
          <w:jc w:val="center"/>
        </w:trPr>
        <w:tc>
          <w:tcPr>
            <w:tcW w:w="4530" w:type="dxa"/>
          </w:tcPr>
          <w:p>
            <w:pPr>
              <w:spacing w:line="360" w:lineRule="auto"/>
              <w:rPr>
                <w:rFonts w:ascii="Times New Roman" w:hAnsi="Times New Roman"/>
              </w:rPr>
            </w:pPr>
            <w:r>
              <w:rPr>
                <w:rFonts w:ascii="Times New Roman" w:hAnsi="Times New Roman"/>
              </w:rPr>
              <w:t>生产厂家：</w:t>
            </w:r>
          </w:p>
          <w:p>
            <w:pPr>
              <w:spacing w:line="360" w:lineRule="auto"/>
              <w:rPr>
                <w:rFonts w:ascii="Times New Roman" w:hAnsi="Times New Roman"/>
              </w:rPr>
            </w:pPr>
            <w:r>
              <w:rPr>
                <w:rFonts w:ascii="Times New Roman" w:hAnsi="Times New Roman"/>
              </w:rPr>
              <w:t>工厂地址：</w:t>
            </w:r>
          </w:p>
          <w:p>
            <w:pPr>
              <w:spacing w:line="360" w:lineRule="auto"/>
              <w:rPr>
                <w:rFonts w:ascii="Times New Roman" w:hAnsi="Times New Roman"/>
              </w:rPr>
            </w:pPr>
            <w:r>
              <w:rPr>
                <w:rFonts w:ascii="Times New Roman" w:hAnsi="Times New Roman"/>
              </w:rPr>
              <w:t>联系方式：</w:t>
            </w:r>
          </w:p>
        </w:tc>
        <w:tc>
          <w:tcPr>
            <w:tcW w:w="4530" w:type="dxa"/>
          </w:tcPr>
          <w:p>
            <w:pPr>
              <w:spacing w:line="360" w:lineRule="auto"/>
              <w:rPr>
                <w:rFonts w:ascii="Times New Roman" w:hAnsi="Times New Roman"/>
              </w:rPr>
            </w:pPr>
            <w:r>
              <w:rPr>
                <w:rFonts w:ascii="Times New Roman" w:hAnsi="Times New Roman"/>
              </w:rPr>
              <w:t>型检单位：</w:t>
            </w:r>
          </w:p>
          <w:p>
            <w:pPr>
              <w:spacing w:line="360" w:lineRule="auto"/>
              <w:rPr>
                <w:rFonts w:ascii="Times New Roman" w:hAnsi="Times New Roman"/>
              </w:rPr>
            </w:pPr>
            <w:r>
              <w:rPr>
                <w:rFonts w:ascii="Times New Roman" w:hAnsi="Times New Roman"/>
              </w:rPr>
              <w:t>证书编号：</w:t>
            </w:r>
          </w:p>
          <w:p>
            <w:pPr>
              <w:spacing w:line="360" w:lineRule="auto"/>
              <w:rPr>
                <w:rFonts w:ascii="Times New Roman" w:hAnsi="Times New Roman"/>
              </w:rPr>
            </w:pPr>
            <w:r>
              <w:rPr>
                <w:rFonts w:ascii="Times New Roman" w:hAnsi="Times New Roman"/>
              </w:rPr>
              <w:t>检验日期：</w:t>
            </w:r>
          </w:p>
        </w:tc>
      </w:tr>
      <w:tr>
        <w:tblPrEx>
          <w:tblCellMar>
            <w:top w:w="0" w:type="dxa"/>
            <w:left w:w="108" w:type="dxa"/>
            <w:bottom w:w="0" w:type="dxa"/>
            <w:right w:w="108" w:type="dxa"/>
          </w:tblCellMar>
        </w:tblPrEx>
        <w:trPr>
          <w:trHeight w:val="427" w:hRule="atLeast"/>
          <w:jc w:val="center"/>
        </w:trPr>
        <w:tc>
          <w:tcPr>
            <w:tcW w:w="4530" w:type="dxa"/>
          </w:tcPr>
          <w:p>
            <w:pPr>
              <w:spacing w:line="360" w:lineRule="auto"/>
              <w:rPr>
                <w:rFonts w:ascii="Times New Roman" w:hAnsi="Times New Roman"/>
              </w:rPr>
            </w:pPr>
            <w:r>
              <w:rPr>
                <w:rFonts w:ascii="Times New Roman" w:hAnsi="Times New Roman"/>
              </w:rPr>
              <w:t>产品型号：</w:t>
            </w:r>
          </w:p>
        </w:tc>
        <w:tc>
          <w:tcPr>
            <w:tcW w:w="4530" w:type="dxa"/>
          </w:tcPr>
          <w:p>
            <w:pPr>
              <w:spacing w:line="360" w:lineRule="auto"/>
              <w:jc w:val="center"/>
              <w:rPr>
                <w:rFonts w:ascii="Times New Roman" w:hAnsi="Times New Roman"/>
              </w:rPr>
            </w:pPr>
            <w:r>
              <w:rPr>
                <w:rFonts w:ascii="Times New Roman" w:hAnsi="Times New Roman"/>
              </w:rPr>
              <w:t>安装大样</w:t>
            </w:r>
          </w:p>
        </w:tc>
      </w:tr>
      <w:tr>
        <w:tblPrEx>
          <w:tblCellMar>
            <w:top w:w="0" w:type="dxa"/>
            <w:left w:w="108" w:type="dxa"/>
            <w:bottom w:w="0" w:type="dxa"/>
            <w:right w:w="108" w:type="dxa"/>
          </w:tblCellMar>
        </w:tblPrEx>
        <w:trPr>
          <w:trHeight w:val="3448" w:hRule="atLeast"/>
          <w:jc w:val="center"/>
        </w:trPr>
        <w:tc>
          <w:tcPr>
            <w:tcW w:w="4530" w:type="dxa"/>
          </w:tcPr>
          <w:p>
            <w:pPr>
              <w:spacing w:line="360" w:lineRule="auto"/>
              <w:rPr>
                <w:rFonts w:ascii="Times New Roman" w:hAnsi="Times New Roman"/>
              </w:rPr>
            </w:pPr>
            <w:r>
              <w:rPr>
                <w:rFonts w:ascii="Times New Roman" w:hAnsi="Times New Roman"/>
              </w:rPr>
              <w:t>抗震连接件部件型号：</w:t>
            </w:r>
          </w:p>
          <w:p>
            <w:pPr>
              <w:spacing w:line="360" w:lineRule="auto"/>
              <w:rPr>
                <w:rFonts w:ascii="Times New Roman" w:hAnsi="Times New Roman"/>
              </w:rPr>
            </w:pPr>
            <w:r>
              <w:rPr>
                <w:rFonts w:ascii="Times New Roman" w:hAnsi="Times New Roman"/>
              </w:rPr>
              <w:t xml:space="preserve">设计值：  </w:t>
            </w:r>
          </w:p>
          <w:p>
            <w:pPr>
              <w:spacing w:line="360" w:lineRule="auto"/>
              <w:rPr>
                <w:rFonts w:ascii="Times New Roman" w:hAnsi="Times New Roman"/>
              </w:rPr>
            </w:pPr>
            <w:r>
              <w:rPr>
                <w:rFonts w:ascii="Times New Roman" w:hAnsi="Times New Roman"/>
              </w:rPr>
              <w:t>管道连接部件型号：</w:t>
            </w:r>
          </w:p>
          <w:p>
            <w:pPr>
              <w:spacing w:line="360" w:lineRule="auto"/>
              <w:rPr>
                <w:rFonts w:ascii="Times New Roman" w:hAnsi="Times New Roman"/>
              </w:rPr>
            </w:pPr>
            <w:r>
              <w:rPr>
                <w:rFonts w:ascii="Times New Roman" w:hAnsi="Times New Roman"/>
              </w:rPr>
              <w:t>设计值：</w:t>
            </w:r>
          </w:p>
          <w:p>
            <w:pPr>
              <w:spacing w:line="360" w:lineRule="auto"/>
              <w:rPr>
                <w:rFonts w:ascii="Times New Roman" w:hAnsi="Times New Roman"/>
              </w:rPr>
            </w:pPr>
            <w:r>
              <w:rPr>
                <w:rFonts w:ascii="Times New Roman" w:hAnsi="Times New Roman"/>
              </w:rPr>
              <w:t>锚栓或钢结构固定件型号：</w:t>
            </w:r>
          </w:p>
          <w:p>
            <w:pPr>
              <w:spacing w:line="360" w:lineRule="auto"/>
              <w:rPr>
                <w:rFonts w:ascii="Times New Roman" w:hAnsi="Times New Roman"/>
              </w:rPr>
            </w:pPr>
            <w:r>
              <w:rPr>
                <w:rFonts w:ascii="Times New Roman" w:hAnsi="Times New Roman"/>
              </w:rPr>
              <w:t>设计值：</w:t>
            </w:r>
          </w:p>
          <w:p>
            <w:pPr>
              <w:spacing w:line="360" w:lineRule="auto"/>
              <w:rPr>
                <w:rFonts w:ascii="Times New Roman" w:hAnsi="Times New Roman"/>
              </w:rPr>
            </w:pPr>
            <w:r>
              <w:rPr>
                <w:rFonts w:ascii="Times New Roman" w:hAnsi="Times New Roman"/>
              </w:rPr>
              <w:t>斜撑杆件型号：</w:t>
            </w:r>
          </w:p>
          <w:p>
            <w:pPr>
              <w:spacing w:line="360" w:lineRule="auto"/>
              <w:rPr>
                <w:rFonts w:ascii="Times New Roman" w:hAnsi="Times New Roman"/>
              </w:rPr>
            </w:pPr>
            <w:r>
              <w:rPr>
                <w:rFonts w:ascii="Times New Roman" w:hAnsi="Times New Roman"/>
              </w:rPr>
              <w:t>斜撑杆件最大适用长度：（长细比*回转半径）</w:t>
            </w:r>
          </w:p>
          <w:p>
            <w:pPr>
              <w:spacing w:line="360" w:lineRule="auto"/>
              <w:rPr>
                <w:rFonts w:ascii="Times New Roman" w:hAnsi="Times New Roman"/>
              </w:rPr>
            </w:pPr>
            <w:r>
              <w:rPr>
                <w:rFonts w:ascii="Times New Roman" w:hAnsi="Times New Roman"/>
              </w:rPr>
              <w:t>吊杆组件型号：</w:t>
            </w:r>
          </w:p>
          <w:p>
            <w:pPr>
              <w:spacing w:line="360" w:lineRule="auto"/>
              <w:rPr>
                <w:rFonts w:ascii="Times New Roman" w:hAnsi="Times New Roman"/>
              </w:rPr>
            </w:pPr>
            <w:r>
              <w:rPr>
                <w:rFonts w:ascii="Times New Roman" w:hAnsi="Times New Roman"/>
              </w:rPr>
              <w:t>吊杆最大适用长度：（长细比*回转半径）</w:t>
            </w:r>
          </w:p>
        </w:tc>
        <w:tc>
          <w:tcPr>
            <w:tcW w:w="4530" w:type="dxa"/>
          </w:tcPr>
          <w:p>
            <w:pPr>
              <w:spacing w:line="360" w:lineRule="auto"/>
              <w:rPr>
                <w:rFonts w:ascii="Times New Roman" w:hAnsi="Times New Roman"/>
              </w:rPr>
            </w:pPr>
          </w:p>
        </w:tc>
      </w:tr>
      <w:tr>
        <w:tblPrEx>
          <w:tblCellMar>
            <w:top w:w="0" w:type="dxa"/>
            <w:left w:w="108" w:type="dxa"/>
            <w:bottom w:w="0" w:type="dxa"/>
            <w:right w:w="108" w:type="dxa"/>
          </w:tblCellMar>
        </w:tblPrEx>
        <w:trPr>
          <w:trHeight w:val="2888" w:hRule="atLeast"/>
          <w:jc w:val="center"/>
        </w:trPr>
        <w:tc>
          <w:tcPr>
            <w:tcW w:w="9061" w:type="dxa"/>
            <w:gridSpan w:val="2"/>
          </w:tcPr>
          <w:p>
            <w:pPr>
              <w:spacing w:line="360" w:lineRule="auto"/>
              <w:rPr>
                <w:rFonts w:ascii="Times New Roman" w:hAnsi="Times New Roman"/>
              </w:rPr>
            </w:pPr>
            <w:r>
              <w:rPr>
                <w:rFonts w:ascii="Times New Roman" w:hAnsi="Times New Roman"/>
              </w:rPr>
              <w:t>最大设计荷载：</w:t>
            </w:r>
          </w:p>
          <w:p>
            <w:pPr>
              <w:spacing w:line="360" w:lineRule="auto"/>
              <w:jc w:val="center"/>
              <w:rPr>
                <w:rFonts w:ascii="Times New Roman" w:hAnsi="Times New Roman"/>
              </w:rPr>
            </w:pPr>
            <w:r>
              <w:rPr>
                <w:rFonts w:ascii="Times New Roman" w:hAnsi="Times New Roman"/>
              </w:rPr>
              <w:t>侧向   kN   纵向：    kN</w:t>
            </w:r>
          </w:p>
          <w:p>
            <w:pPr>
              <w:spacing w:line="360" w:lineRule="auto"/>
              <w:rPr>
                <w:rFonts w:ascii="Times New Roman" w:hAnsi="Times New Roman"/>
              </w:rPr>
            </w:pPr>
            <w:r>
              <w:rPr>
                <w:rFonts w:ascii="Times New Roman" w:hAnsi="Times New Roman"/>
              </w:rPr>
              <w:t>最大适用范围：以受力范围内管道最大管径计算。</w:t>
            </w:r>
          </w:p>
          <w:tbl>
            <w:tblPr>
              <w:tblStyle w:val="30"/>
              <w:tblW w:w="0" w:type="auto"/>
              <w:tblInd w:w="10" w:type="dxa"/>
              <w:tblLayout w:type="autofit"/>
              <w:tblCellMar>
                <w:top w:w="0" w:type="dxa"/>
                <w:left w:w="108" w:type="dxa"/>
                <w:bottom w:w="0" w:type="dxa"/>
                <w:right w:w="108" w:type="dxa"/>
              </w:tblCellMar>
            </w:tblPr>
            <w:tblGrid>
              <w:gridCol w:w="2938"/>
              <w:gridCol w:w="2938"/>
              <w:gridCol w:w="2938"/>
            </w:tblGrid>
            <w:tr>
              <w:tblPrEx>
                <w:tblCellMar>
                  <w:top w:w="0" w:type="dxa"/>
                  <w:left w:w="108" w:type="dxa"/>
                  <w:bottom w:w="0" w:type="dxa"/>
                  <w:right w:w="108" w:type="dxa"/>
                </w:tblCellMar>
              </w:tblPrEx>
              <w:trPr>
                <w:trHeight w:val="389" w:hRule="atLeast"/>
              </w:trPr>
              <w:tc>
                <w:tcPr>
                  <w:tcW w:w="2938" w:type="dxa"/>
                  <w:vAlign w:val="center"/>
                </w:tcPr>
                <w:p>
                  <w:pPr>
                    <w:spacing w:line="360" w:lineRule="auto"/>
                    <w:jc w:val="center"/>
                    <w:rPr>
                      <w:rFonts w:ascii="Times New Roman" w:hAnsi="Times New Roman"/>
                    </w:rPr>
                  </w:pPr>
                  <w:r>
                    <w:rPr>
                      <w:rFonts w:ascii="Times New Roman" w:hAnsi="Times New Roman"/>
                    </w:rPr>
                    <w:t>设备型号</w:t>
                  </w:r>
                </w:p>
              </w:tc>
              <w:tc>
                <w:tcPr>
                  <w:tcW w:w="2938" w:type="dxa"/>
                  <w:vAlign w:val="center"/>
                </w:tcPr>
                <w:p>
                  <w:pPr>
                    <w:spacing w:line="360" w:lineRule="auto"/>
                    <w:jc w:val="center"/>
                    <w:rPr>
                      <w:rFonts w:ascii="Times New Roman" w:hAnsi="Times New Roman"/>
                    </w:rPr>
                  </w:pPr>
                  <w:r>
                    <w:rPr>
                      <w:rFonts w:ascii="Times New Roman" w:hAnsi="Times New Roman"/>
                      <w:i/>
                      <w:iCs/>
                      <w:kern w:val="0"/>
                    </w:rPr>
                    <w:t>α</w:t>
                  </w:r>
                  <w:r>
                    <w:rPr>
                      <w:rFonts w:ascii="Times New Roman" w:hAnsi="Times New Roman"/>
                      <w:kern w:val="0"/>
                      <w:vertAlign w:val="subscript"/>
                    </w:rPr>
                    <w:t xml:space="preserve">Ek </w:t>
                  </w:r>
                  <w:r>
                    <w:rPr>
                      <w:rFonts w:ascii="Times New Roman" w:hAnsi="Times New Roman"/>
                      <w:kern w:val="0"/>
                    </w:rPr>
                    <w:t xml:space="preserve"> (     )</w:t>
                  </w:r>
                </w:p>
              </w:tc>
              <w:tc>
                <w:tcPr>
                  <w:tcW w:w="2938" w:type="dxa"/>
                  <w:vAlign w:val="center"/>
                </w:tcPr>
                <w:p>
                  <w:pPr>
                    <w:spacing w:line="360" w:lineRule="auto"/>
                    <w:jc w:val="center"/>
                    <w:rPr>
                      <w:rFonts w:ascii="Times New Roman" w:hAnsi="Times New Roman"/>
                    </w:rPr>
                  </w:pPr>
                  <w:r>
                    <w:rPr>
                      <w:rFonts w:ascii="Times New Roman" w:hAnsi="Times New Roman"/>
                    </w:rPr>
                    <w:t>T侧向≤   （m）</w:t>
                  </w:r>
                </w:p>
                <w:p>
                  <w:pPr>
                    <w:spacing w:line="360" w:lineRule="auto"/>
                    <w:jc w:val="center"/>
                    <w:rPr>
                      <w:rFonts w:ascii="Times New Roman" w:hAnsi="Times New Roman"/>
                    </w:rPr>
                  </w:pPr>
                  <w:r>
                    <w:rPr>
                      <w:rFonts w:ascii="Times New Roman" w:hAnsi="Times New Roman"/>
                    </w:rPr>
                    <w:t>L纵向≤   （m）</w:t>
                  </w:r>
                </w:p>
              </w:tc>
            </w:tr>
          </w:tbl>
          <w:p>
            <w:pPr>
              <w:spacing w:line="360" w:lineRule="auto"/>
              <w:rPr>
                <w:rFonts w:ascii="Times New Roman" w:hAnsi="Times New Roman"/>
                <w:sz w:val="18"/>
                <w:szCs w:val="18"/>
              </w:rPr>
            </w:pPr>
            <w:r>
              <w:rPr>
                <w:rFonts w:ascii="Times New Roman" w:hAnsi="Times New Roman"/>
                <w:sz w:val="18"/>
                <w:szCs w:val="18"/>
              </w:rPr>
              <w:t>注：当现场安装角度小于45°且大于30°时，如无30°测试报告数据，应按照45°时最大适用间距除以2.33，产品性能应与试验数据保持一致。</w:t>
            </w:r>
          </w:p>
        </w:tc>
      </w:tr>
      <w:tr>
        <w:tblPrEx>
          <w:tblCellMar>
            <w:top w:w="0" w:type="dxa"/>
            <w:left w:w="108" w:type="dxa"/>
            <w:bottom w:w="0" w:type="dxa"/>
            <w:right w:w="108" w:type="dxa"/>
          </w:tblCellMar>
        </w:tblPrEx>
        <w:trPr>
          <w:trHeight w:val="1686" w:hRule="atLeast"/>
          <w:jc w:val="center"/>
        </w:trPr>
        <w:tc>
          <w:tcPr>
            <w:tcW w:w="9061" w:type="dxa"/>
            <w:gridSpan w:val="2"/>
          </w:tcPr>
          <w:p>
            <w:pPr>
              <w:spacing w:line="360" w:lineRule="auto"/>
              <w:rPr>
                <w:rFonts w:ascii="Times New Roman" w:hAnsi="Times New Roman"/>
              </w:rPr>
            </w:pPr>
            <w:r>
              <w:rPr>
                <w:rFonts w:ascii="Times New Roman" w:hAnsi="Times New Roman"/>
              </w:rPr>
              <w:t>说明：（请注明各部件型号及数量，表面处理工艺。）</w:t>
            </w:r>
          </w:p>
          <w:p>
            <w:pPr>
              <w:spacing w:line="360" w:lineRule="auto"/>
              <w:rPr>
                <w:rFonts w:ascii="Times New Roman" w:hAnsi="Times New Roman"/>
              </w:rPr>
            </w:pPr>
            <w:r>
              <w:rPr>
                <w:rFonts w:ascii="Times New Roman" w:hAnsi="Times New Roman"/>
              </w:rPr>
              <w:t>抗震连接件（型号）：（  ）套，</w:t>
            </w:r>
            <w:r>
              <w:rPr>
                <w:rFonts w:ascii="宋体" w:hAnsi="宋体"/>
              </w:rPr>
              <w:t>□</w:t>
            </w:r>
            <w:r>
              <w:rPr>
                <w:rFonts w:ascii="Times New Roman" w:hAnsi="Times New Roman"/>
              </w:rPr>
              <w:t xml:space="preserve">电镀锌 </w:t>
            </w:r>
            <w:r>
              <w:rPr>
                <w:rFonts w:ascii="宋体" w:hAnsi="宋体"/>
              </w:rPr>
              <w:t>□</w:t>
            </w:r>
            <w:r>
              <w:rPr>
                <w:rFonts w:ascii="Times New Roman" w:hAnsi="Times New Roman"/>
              </w:rPr>
              <w:t xml:space="preserve">热浸锌 </w:t>
            </w:r>
            <w:r>
              <w:rPr>
                <w:rFonts w:ascii="宋体" w:hAnsi="宋体"/>
              </w:rPr>
              <w:t>□</w:t>
            </w:r>
            <w:r>
              <w:rPr>
                <w:rFonts w:ascii="Times New Roman" w:hAnsi="Times New Roman"/>
              </w:rPr>
              <w:t xml:space="preserve">达克罗 </w:t>
            </w:r>
            <w:r>
              <w:rPr>
                <w:rFonts w:ascii="宋体" w:hAnsi="宋体"/>
              </w:rPr>
              <w:t>□</w:t>
            </w:r>
            <w:r>
              <w:rPr>
                <w:rFonts w:ascii="Times New Roman" w:hAnsi="Times New Roman"/>
              </w:rPr>
              <w:t>其他（    ）</w:t>
            </w:r>
          </w:p>
          <w:p>
            <w:pPr>
              <w:spacing w:line="360" w:lineRule="auto"/>
              <w:rPr>
                <w:rFonts w:ascii="Times New Roman" w:hAnsi="Times New Roman"/>
              </w:rPr>
            </w:pPr>
            <w:r>
              <w:rPr>
                <w:rFonts w:ascii="Times New Roman" w:hAnsi="Times New Roman"/>
              </w:rPr>
              <w:t>管道连接件（型号）：（  ）套，</w:t>
            </w:r>
            <w:r>
              <w:rPr>
                <w:rFonts w:ascii="宋体" w:hAnsi="宋体"/>
              </w:rPr>
              <w:t>□</w:t>
            </w:r>
            <w:r>
              <w:rPr>
                <w:rFonts w:ascii="Times New Roman" w:hAnsi="Times New Roman"/>
              </w:rPr>
              <w:t xml:space="preserve">电镀锌 </w:t>
            </w:r>
            <w:r>
              <w:rPr>
                <w:rFonts w:ascii="宋体" w:hAnsi="宋体"/>
              </w:rPr>
              <w:t>□</w:t>
            </w:r>
            <w:r>
              <w:rPr>
                <w:rFonts w:ascii="Times New Roman" w:hAnsi="Times New Roman"/>
              </w:rPr>
              <w:t xml:space="preserve">热浸锌 </w:t>
            </w:r>
            <w:r>
              <w:rPr>
                <w:rFonts w:ascii="宋体" w:hAnsi="宋体"/>
              </w:rPr>
              <w:t>□</w:t>
            </w:r>
            <w:r>
              <w:rPr>
                <w:rFonts w:ascii="Times New Roman" w:hAnsi="Times New Roman"/>
              </w:rPr>
              <w:t xml:space="preserve">达克罗 </w:t>
            </w:r>
            <w:r>
              <w:rPr>
                <w:rFonts w:ascii="宋体" w:hAnsi="宋体"/>
              </w:rPr>
              <w:t>□</w:t>
            </w:r>
            <w:r>
              <w:rPr>
                <w:rFonts w:ascii="Times New Roman" w:hAnsi="Times New Roman"/>
              </w:rPr>
              <w:t>其他（    ）</w:t>
            </w:r>
          </w:p>
          <w:p>
            <w:pPr>
              <w:spacing w:line="360" w:lineRule="auto"/>
              <w:rPr>
                <w:rFonts w:ascii="Times New Roman" w:hAnsi="Times New Roman"/>
              </w:rPr>
            </w:pPr>
            <w:r>
              <w:rPr>
                <w:rFonts w:ascii="Times New Roman" w:hAnsi="Times New Roman"/>
              </w:rPr>
              <w:t>斜撑杆件（型号）：（  ）套，</w:t>
            </w:r>
            <w:r>
              <w:rPr>
                <w:rFonts w:ascii="宋体" w:hAnsi="宋体"/>
              </w:rPr>
              <w:t>□</w:t>
            </w:r>
            <w:r>
              <w:rPr>
                <w:rFonts w:ascii="Times New Roman" w:hAnsi="Times New Roman"/>
              </w:rPr>
              <w:t xml:space="preserve">电镀锌 </w:t>
            </w:r>
            <w:r>
              <w:rPr>
                <w:rFonts w:ascii="宋体" w:hAnsi="宋体"/>
              </w:rPr>
              <w:t>□</w:t>
            </w:r>
            <w:r>
              <w:rPr>
                <w:rFonts w:ascii="Times New Roman" w:hAnsi="Times New Roman"/>
              </w:rPr>
              <w:t xml:space="preserve">热浸锌 </w:t>
            </w:r>
            <w:r>
              <w:rPr>
                <w:rFonts w:ascii="宋体" w:hAnsi="宋体"/>
              </w:rPr>
              <w:t>□</w:t>
            </w:r>
            <w:r>
              <w:rPr>
                <w:rFonts w:ascii="Times New Roman" w:hAnsi="Times New Roman"/>
              </w:rPr>
              <w:t xml:space="preserve">锌镁铝 </w:t>
            </w:r>
            <w:r>
              <w:rPr>
                <w:rFonts w:ascii="宋体" w:hAnsi="宋体"/>
              </w:rPr>
              <w:t>□</w:t>
            </w:r>
            <w:r>
              <w:rPr>
                <w:rFonts w:ascii="Times New Roman" w:hAnsi="Times New Roman"/>
              </w:rPr>
              <w:t>其他（    ）</w:t>
            </w:r>
          </w:p>
          <w:p>
            <w:pPr>
              <w:spacing w:line="360" w:lineRule="auto"/>
              <w:rPr>
                <w:rFonts w:ascii="Times New Roman" w:hAnsi="Times New Roman"/>
              </w:rPr>
            </w:pPr>
            <w:r>
              <w:rPr>
                <w:rFonts w:ascii="Times New Roman" w:hAnsi="Times New Roman"/>
              </w:rPr>
              <w:t>吊杆组件（型号）：（  ）套，</w:t>
            </w:r>
            <w:r>
              <w:rPr>
                <w:rFonts w:ascii="宋体" w:hAnsi="宋体"/>
              </w:rPr>
              <w:t>□</w:t>
            </w:r>
            <w:r>
              <w:rPr>
                <w:rFonts w:ascii="Times New Roman" w:hAnsi="Times New Roman"/>
              </w:rPr>
              <w:t xml:space="preserve">电镀锌 </w:t>
            </w:r>
            <w:r>
              <w:rPr>
                <w:rFonts w:ascii="宋体" w:hAnsi="宋体"/>
              </w:rPr>
              <w:t>□</w:t>
            </w:r>
            <w:r>
              <w:rPr>
                <w:rFonts w:ascii="Times New Roman" w:hAnsi="Times New Roman"/>
              </w:rPr>
              <w:t xml:space="preserve">热浸锌 </w:t>
            </w:r>
            <w:r>
              <w:rPr>
                <w:rFonts w:ascii="宋体" w:hAnsi="宋体"/>
              </w:rPr>
              <w:t>□</w:t>
            </w:r>
            <w:r>
              <w:rPr>
                <w:rFonts w:ascii="Times New Roman" w:hAnsi="Times New Roman"/>
              </w:rPr>
              <w:t xml:space="preserve">锌镁铝 </w:t>
            </w:r>
            <w:r>
              <w:rPr>
                <w:rFonts w:ascii="宋体" w:hAnsi="宋体"/>
              </w:rPr>
              <w:t>□</w:t>
            </w:r>
            <w:r>
              <w:rPr>
                <w:rFonts w:ascii="Times New Roman" w:hAnsi="Times New Roman"/>
              </w:rPr>
              <w:t>其他（    ）</w:t>
            </w:r>
          </w:p>
          <w:p>
            <w:pPr>
              <w:spacing w:line="360" w:lineRule="auto"/>
              <w:rPr>
                <w:rFonts w:ascii="Times New Roman" w:hAnsi="Times New Roman"/>
              </w:rPr>
            </w:pPr>
            <w:r>
              <w:rPr>
                <w:rFonts w:ascii="Times New Roman" w:hAnsi="Times New Roman"/>
              </w:rPr>
              <w:t>锚栓或钢结构固定件（型号）：（  ）套，</w:t>
            </w:r>
            <w:r>
              <w:rPr>
                <w:rFonts w:ascii="宋体" w:hAnsi="宋体"/>
              </w:rPr>
              <w:t>□</w:t>
            </w:r>
            <w:r>
              <w:rPr>
                <w:rFonts w:ascii="Times New Roman" w:hAnsi="Times New Roman"/>
              </w:rPr>
              <w:t xml:space="preserve">电镀锌 </w:t>
            </w:r>
            <w:r>
              <w:rPr>
                <w:rFonts w:ascii="宋体" w:hAnsi="宋体"/>
              </w:rPr>
              <w:t>□</w:t>
            </w:r>
            <w:r>
              <w:rPr>
                <w:rFonts w:ascii="Times New Roman" w:hAnsi="Times New Roman"/>
              </w:rPr>
              <w:t xml:space="preserve">热浸锌 </w:t>
            </w:r>
            <w:r>
              <w:rPr>
                <w:rFonts w:ascii="宋体" w:hAnsi="宋体"/>
              </w:rPr>
              <w:t>□</w:t>
            </w:r>
            <w:r>
              <w:rPr>
                <w:rFonts w:ascii="Times New Roman" w:hAnsi="Times New Roman"/>
              </w:rPr>
              <w:t xml:space="preserve">达克罗 </w:t>
            </w:r>
            <w:r>
              <w:rPr>
                <w:rFonts w:ascii="宋体" w:hAnsi="宋体"/>
              </w:rPr>
              <w:t>□</w:t>
            </w:r>
            <w:r>
              <w:rPr>
                <w:rFonts w:ascii="Times New Roman" w:hAnsi="Times New Roman"/>
              </w:rPr>
              <w:t>其他（    ）</w:t>
            </w:r>
          </w:p>
        </w:tc>
      </w:tr>
      <w:bookmarkEnd w:id="112"/>
    </w:tbl>
    <w:p>
      <w:pPr>
        <w:ind w:right="640"/>
        <w:jc w:val="center"/>
        <w:rPr>
          <w:rFonts w:ascii="黑体" w:hAnsi="黑体" w:eastAsia="黑体"/>
        </w:rPr>
      </w:pPr>
      <w:r>
        <w:rPr>
          <w:rFonts w:hint="eastAsia" w:ascii="黑体" w:hAnsi="黑体" w:eastAsia="黑体"/>
        </w:rPr>
        <w:t xml:space="preserve">——————————————— </w:t>
      </w:r>
      <w:r>
        <w:rPr>
          <w:rFonts w:ascii="黑体" w:hAnsi="黑体" w:eastAsia="黑体"/>
        </w:rPr>
        <w:t xml:space="preserve">  </w:t>
      </w:r>
    </w:p>
    <w:sectPr>
      <w:footerReference r:id="rId49" w:type="default"/>
      <w:type w:val="continuous"/>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5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 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 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rPr>
      <w:t>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8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rPr>
      <w:t>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rPr>
      <w:t>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10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11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13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14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14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15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16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16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17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18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19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fldChar w:fldCharType="begin"/>
    </w:r>
    <w:r>
      <w:instrText xml:space="preserve">PAGE   \* MERGEFORMAT</w:instrText>
    </w:r>
    <w:r>
      <w:fldChar w:fldCharType="separate"/>
    </w:r>
    <w:r>
      <w:rPr>
        <w:lang w:val="zh-CN"/>
      </w:rPr>
      <w:t>I</w: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21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22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23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18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24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25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26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27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28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29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fldChar w:fldCharType="begin"/>
    </w:r>
    <w:r>
      <w:instrText xml:space="preserve">PAGE   \* MERGEFORMAT</w:instrText>
    </w:r>
    <w:r>
      <w:fldChar w:fldCharType="separate"/>
    </w:r>
    <w:r>
      <w:rPr>
        <w:lang w:val="zh-CN"/>
      </w:rPr>
      <w:t>III</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30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31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1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4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t xml:space="preserve">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
      <w:spacing w:after="0"/>
    </w:pPr>
    <w:r>
      <w:fldChar w:fldCharType="begin"/>
    </w:r>
    <w:r>
      <w:instrText xml:space="preserve"> STYLEREF  标准文件_文件编号  \* MERGEFORMAT </w:instrText>
    </w:r>
    <w:r>
      <w:fldChar w:fldCharType="separate"/>
    </w:r>
    <w:r>
      <w:t>GB/T 37267—XXXX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GB/T 37267—XXXX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70"/>
      <w:lvlText w:val="[%1]"/>
      <w:lvlJc w:val="left"/>
      <w:pPr>
        <w:tabs>
          <w:tab w:val="left" w:pos="5474"/>
        </w:tabs>
        <w:ind w:left="5474" w:hanging="648"/>
      </w:pPr>
    </w:lvl>
    <w:lvl w:ilvl="1" w:tentative="0">
      <w:start w:val="1"/>
      <w:numFmt w:val="lowerLetter"/>
      <w:lvlText w:val="%2)"/>
      <w:lvlJc w:val="left"/>
      <w:pPr>
        <w:tabs>
          <w:tab w:val="left" w:pos="5666"/>
        </w:tabs>
        <w:ind w:left="5666" w:hanging="420"/>
      </w:pPr>
    </w:lvl>
    <w:lvl w:ilvl="2" w:tentative="0">
      <w:start w:val="1"/>
      <w:numFmt w:val="lowerRoman"/>
      <w:lvlText w:val="%3."/>
      <w:lvlJc w:val="right"/>
      <w:pPr>
        <w:tabs>
          <w:tab w:val="left" w:pos="6086"/>
        </w:tabs>
        <w:ind w:left="6086" w:hanging="420"/>
      </w:pPr>
    </w:lvl>
    <w:lvl w:ilvl="3" w:tentative="0">
      <w:start w:val="1"/>
      <w:numFmt w:val="decimal"/>
      <w:lvlText w:val="%4."/>
      <w:lvlJc w:val="left"/>
      <w:pPr>
        <w:tabs>
          <w:tab w:val="left" w:pos="6506"/>
        </w:tabs>
        <w:ind w:left="6506" w:hanging="420"/>
      </w:pPr>
    </w:lvl>
    <w:lvl w:ilvl="4" w:tentative="0">
      <w:start w:val="1"/>
      <w:numFmt w:val="lowerLetter"/>
      <w:lvlText w:val="%5)"/>
      <w:lvlJc w:val="left"/>
      <w:pPr>
        <w:tabs>
          <w:tab w:val="left" w:pos="6926"/>
        </w:tabs>
        <w:ind w:left="6926" w:hanging="420"/>
      </w:pPr>
    </w:lvl>
    <w:lvl w:ilvl="5" w:tentative="0">
      <w:start w:val="1"/>
      <w:numFmt w:val="lowerRoman"/>
      <w:lvlText w:val="%6."/>
      <w:lvlJc w:val="right"/>
      <w:pPr>
        <w:tabs>
          <w:tab w:val="left" w:pos="7346"/>
        </w:tabs>
        <w:ind w:left="7346" w:hanging="420"/>
      </w:pPr>
    </w:lvl>
    <w:lvl w:ilvl="6" w:tentative="0">
      <w:start w:val="1"/>
      <w:numFmt w:val="decimal"/>
      <w:lvlText w:val="%7."/>
      <w:lvlJc w:val="left"/>
      <w:pPr>
        <w:tabs>
          <w:tab w:val="left" w:pos="7766"/>
        </w:tabs>
        <w:ind w:left="7766" w:hanging="420"/>
      </w:pPr>
    </w:lvl>
    <w:lvl w:ilvl="7" w:tentative="0">
      <w:start w:val="1"/>
      <w:numFmt w:val="lowerLetter"/>
      <w:lvlText w:val="%8)"/>
      <w:lvlJc w:val="left"/>
      <w:pPr>
        <w:tabs>
          <w:tab w:val="left" w:pos="8186"/>
        </w:tabs>
        <w:ind w:left="8186" w:hanging="420"/>
      </w:pPr>
    </w:lvl>
    <w:lvl w:ilvl="8" w:tentative="0">
      <w:start w:val="1"/>
      <w:numFmt w:val="lowerRoman"/>
      <w:lvlText w:val="%9."/>
      <w:lvlJc w:val="right"/>
      <w:pPr>
        <w:tabs>
          <w:tab w:val="left" w:pos="8606"/>
        </w:tabs>
        <w:ind w:left="8606" w:hanging="420"/>
      </w:pPr>
    </w:lvl>
  </w:abstractNum>
  <w:abstractNum w:abstractNumId="1">
    <w:nsid w:val="02B47251"/>
    <w:multiLevelType w:val="multilevel"/>
    <w:tmpl w:val="02B47251"/>
    <w:lvl w:ilvl="0" w:tentative="0">
      <w:start w:val="4"/>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5"/>
      <w:suff w:val="nothing"/>
      <w:lvlText w:val="%1%2.%3　"/>
      <w:lvlJc w:val="left"/>
      <w:pPr>
        <w:ind w:left="0" w:firstLine="0"/>
      </w:pPr>
    </w:lvl>
    <w:lvl w:ilvl="3" w:tentative="0">
      <w:start w:val="1"/>
      <w:numFmt w:val="decimal"/>
      <w:pStyle w:val="124"/>
      <w:suff w:val="nothing"/>
      <w:lvlText w:val="%1%2.%3.%4　"/>
      <w:lvlJc w:val="left"/>
      <w:pPr>
        <w:ind w:left="0" w:firstLine="0"/>
      </w:pPr>
    </w:lvl>
    <w:lvl w:ilvl="4" w:tentative="0">
      <w:start w:val="1"/>
      <w:numFmt w:val="decimal"/>
      <w:pStyle w:val="159"/>
      <w:suff w:val="nothing"/>
      <w:lvlText w:val="%1%2.%3.%4.%5　"/>
      <w:lvlJc w:val="left"/>
      <w:pPr>
        <w:ind w:left="0" w:firstLine="0"/>
      </w:pPr>
    </w:lvl>
    <w:lvl w:ilvl="5" w:tentative="0">
      <w:start w:val="1"/>
      <w:numFmt w:val="decimal"/>
      <w:pStyle w:val="161"/>
      <w:suff w:val="nothing"/>
      <w:lvlText w:val="%1%2.%3.%4.%5.%6　"/>
      <w:lvlJc w:val="left"/>
      <w:pPr>
        <w:ind w:left="0" w:firstLine="0"/>
      </w:pPr>
    </w:lvl>
    <w:lvl w:ilvl="6" w:tentative="0">
      <w:start w:val="1"/>
      <w:numFmt w:val="decimal"/>
      <w:pStyle w:val="164"/>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6"/>
      <w:suff w:val="nothing"/>
      <w:lvlText w:val="注%1："/>
      <w:lvlJc w:val="left"/>
      <w:pPr>
        <w:ind w:left="1298"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A5672A"/>
    <w:multiLevelType w:val="multilevel"/>
    <w:tmpl w:val="07A5672A"/>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5">
    <w:nsid w:val="07ED3FEA"/>
    <w:multiLevelType w:val="multilevel"/>
    <w:tmpl w:val="07ED3FEA"/>
    <w:lvl w:ilvl="0" w:tentative="0">
      <w:start w:val="1"/>
      <w:numFmt w:val="none"/>
      <w:pStyle w:val="95"/>
      <w:lvlText w:val="%1"/>
      <w:lvlJc w:val="left"/>
      <w:pPr>
        <w:ind w:left="425" w:hanging="425"/>
      </w:pPr>
      <w:rPr>
        <w:rFonts w:hint="eastAsia"/>
      </w:rPr>
    </w:lvl>
    <w:lvl w:ilvl="1" w:tentative="0">
      <w:start w:val="1"/>
      <w:numFmt w:val="decimal"/>
      <w:pStyle w:val="206"/>
      <w:suff w:val="nothing"/>
      <w:lvlText w:val="%10.%2 "/>
      <w:lvlJc w:val="left"/>
      <w:pPr>
        <w:ind w:left="0" w:firstLine="0"/>
      </w:pPr>
      <w:rPr>
        <w:rFonts w:hint="eastAsia" w:ascii="黑体" w:eastAsia="黑体" w:hAnsiTheme="minorHAnsi"/>
        <w:b w:val="0"/>
        <w:i w:val="0"/>
        <w:sz w:val="21"/>
      </w:rPr>
    </w:lvl>
    <w:lvl w:ilvl="2" w:tentative="0">
      <w:start w:val="1"/>
      <w:numFmt w:val="decimal"/>
      <w:pStyle w:val="207"/>
      <w:suff w:val="nothing"/>
      <w:lvlText w:val="%10.%2.%3 "/>
      <w:lvlJc w:val="left"/>
      <w:pPr>
        <w:ind w:left="0" w:firstLine="0"/>
      </w:pPr>
      <w:rPr>
        <w:rFonts w:hint="eastAsia" w:ascii="黑体" w:eastAsia="黑体" w:hAnsiTheme="minorHAnsi"/>
        <w:b w:val="0"/>
        <w:i w:val="0"/>
        <w:sz w:val="21"/>
      </w:rPr>
    </w:lvl>
    <w:lvl w:ilvl="3" w:tentative="0">
      <w:start w:val="1"/>
      <w:numFmt w:val="decimal"/>
      <w:pStyle w:val="208"/>
      <w:suff w:val="nothing"/>
      <w:lvlText w:val="%10.%2.%3.%4 "/>
      <w:lvlJc w:val="left"/>
      <w:pPr>
        <w:ind w:left="0" w:firstLine="0"/>
      </w:pPr>
      <w:rPr>
        <w:rFonts w:hint="eastAsia" w:ascii="黑体" w:eastAsia="黑体" w:hAnsiTheme="minorHAnsi"/>
        <w:b w:val="0"/>
        <w:i w:val="0"/>
        <w:sz w:val="21"/>
      </w:rPr>
    </w:lvl>
    <w:lvl w:ilvl="4" w:tentative="0">
      <w:start w:val="1"/>
      <w:numFmt w:val="decimal"/>
      <w:pStyle w:val="209"/>
      <w:suff w:val="nothing"/>
      <w:lvlText w:val="%10.%2.%3.%4.%5 "/>
      <w:lvlJc w:val="left"/>
      <w:pPr>
        <w:ind w:left="0" w:firstLine="0"/>
      </w:pPr>
      <w:rPr>
        <w:rFonts w:hint="eastAsia" w:ascii="黑体" w:eastAsia="黑体" w:hAnsiTheme="minorHAnsi"/>
        <w:b w:val="0"/>
        <w:i w:val="0"/>
        <w:sz w:val="21"/>
      </w:rPr>
    </w:lvl>
    <w:lvl w:ilvl="5" w:tentative="0">
      <w:start w:val="1"/>
      <w:numFmt w:val="decimal"/>
      <w:pStyle w:val="210"/>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9FB1BF0"/>
    <w:multiLevelType w:val="multilevel"/>
    <w:tmpl w:val="09FB1BF0"/>
    <w:lvl w:ilvl="0" w:tentative="0">
      <w:start w:val="9"/>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7">
    <w:nsid w:val="0AE367E9"/>
    <w:multiLevelType w:val="multilevel"/>
    <w:tmpl w:val="0AE367E9"/>
    <w:lvl w:ilvl="0" w:tentative="0">
      <w:start w:val="1"/>
      <w:numFmt w:val="none"/>
      <w:pStyle w:val="187"/>
      <w:suff w:val="nothing"/>
      <w:lvlText w:val="%1示例："/>
      <w:lvlJc w:val="left"/>
      <w:pPr>
        <w:ind w:left="0" w:firstLine="363"/>
      </w:pPr>
      <w:rPr>
        <w:rFonts w:hint="eastAsia" w:ascii="黑体" w:eastAsia="黑体"/>
        <w:b w:val="0"/>
        <w:i w:val="0"/>
        <w:color w:val="auto"/>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8">
    <w:nsid w:val="0BDC1670"/>
    <w:multiLevelType w:val="multilevel"/>
    <w:tmpl w:val="0BDC1670"/>
    <w:lvl w:ilvl="0" w:tentative="0">
      <w:start w:val="1"/>
      <w:numFmt w:val="decimal"/>
      <w:pStyle w:val="73"/>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D051F45"/>
    <w:multiLevelType w:val="multilevel"/>
    <w:tmpl w:val="0D051F45"/>
    <w:lvl w:ilvl="0" w:tentative="0">
      <w:start w:val="1"/>
      <w:numFmt w:val="low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0">
    <w:nsid w:val="1AD20F90"/>
    <w:multiLevelType w:val="multilevel"/>
    <w:tmpl w:val="1AD20F90"/>
    <w:lvl w:ilvl="0" w:tentative="0">
      <w:start w:val="1"/>
      <w:numFmt w:val="none"/>
      <w:pStyle w:val="116"/>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91"/>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8"/>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1FC91163"/>
    <w:multiLevelType w:val="multilevel"/>
    <w:tmpl w:val="1FC91163"/>
    <w:lvl w:ilvl="0" w:tentative="0">
      <w:start w:val="1"/>
      <w:numFmt w:val="decimal"/>
      <w:pStyle w:val="23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5"/>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37"/>
      <w:suff w:val="nothing"/>
      <w:lvlText w:val="%1.%2.%3　"/>
      <w:lvlJc w:val="left"/>
      <w:pPr>
        <w:ind w:left="284" w:firstLine="0"/>
      </w:pPr>
      <w:rPr>
        <w:rFonts w:hint="eastAsia" w:ascii="黑体" w:hAnsi="Times New Roman" w:eastAsia="黑体"/>
        <w:b w:val="0"/>
        <w:i w:val="0"/>
        <w:sz w:val="21"/>
      </w:rPr>
    </w:lvl>
    <w:lvl w:ilvl="3" w:tentative="0">
      <w:start w:val="1"/>
      <w:numFmt w:val="decimal"/>
      <w:pStyle w:val="238"/>
      <w:suff w:val="nothing"/>
      <w:lvlText w:val="%1.%2.%3.%4　"/>
      <w:lvlJc w:val="left"/>
      <w:pPr>
        <w:ind w:left="142" w:firstLine="0"/>
      </w:pPr>
      <w:rPr>
        <w:rFonts w:hint="eastAsia" w:ascii="黑体" w:hAnsi="Times New Roman" w:eastAsia="黑体"/>
        <w:b w:val="0"/>
        <w:i w:val="0"/>
        <w:sz w:val="21"/>
      </w:rPr>
    </w:lvl>
    <w:lvl w:ilvl="4" w:tentative="0">
      <w:start w:val="1"/>
      <w:numFmt w:val="decimal"/>
      <w:pStyle w:val="239"/>
      <w:suff w:val="nothing"/>
      <w:lvlText w:val="%1.%2.%3.%4.%5　"/>
      <w:lvlJc w:val="left"/>
      <w:pPr>
        <w:ind w:left="0" w:firstLine="0"/>
      </w:pPr>
      <w:rPr>
        <w:rFonts w:hint="eastAsia" w:ascii="黑体" w:hAnsi="Times New Roman" w:eastAsia="黑体"/>
        <w:b w:val="0"/>
        <w:i w:val="0"/>
        <w:sz w:val="21"/>
      </w:rPr>
    </w:lvl>
    <w:lvl w:ilvl="5" w:tentative="0">
      <w:start w:val="1"/>
      <w:numFmt w:val="decimal"/>
      <w:pStyle w:val="24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217F3E0F"/>
    <w:multiLevelType w:val="multilevel"/>
    <w:tmpl w:val="217F3E0F"/>
    <w:lvl w:ilvl="0" w:tentative="0">
      <w:start w:val="1"/>
      <w:numFmt w:val="lowerLetter"/>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5">
    <w:nsid w:val="2A8F7113"/>
    <w:multiLevelType w:val="multilevel"/>
    <w:tmpl w:val="2A8F7113"/>
    <w:lvl w:ilvl="0" w:tentative="0">
      <w:start w:val="1"/>
      <w:numFmt w:val="upperLetter"/>
      <w:pStyle w:val="248"/>
      <w:suff w:val="space"/>
      <w:lvlText w:val="%1"/>
      <w:lvlJc w:val="left"/>
      <w:pPr>
        <w:ind w:left="623" w:hanging="425"/>
      </w:pPr>
      <w:rPr>
        <w:rFonts w:hint="eastAsia"/>
      </w:rPr>
    </w:lvl>
    <w:lvl w:ilvl="1" w:tentative="0">
      <w:start w:val="1"/>
      <w:numFmt w:val="decimal"/>
      <w:pStyle w:val="249"/>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6">
    <w:nsid w:val="2C5917C3"/>
    <w:multiLevelType w:val="multilevel"/>
    <w:tmpl w:val="2C5917C3"/>
    <w:lvl w:ilvl="0" w:tentative="0">
      <w:start w:val="1"/>
      <w:numFmt w:val="none"/>
      <w:pStyle w:val="138"/>
      <w:lvlText w:val="%1——"/>
      <w:lvlJc w:val="left"/>
      <w:pPr>
        <w:tabs>
          <w:tab w:val="left" w:pos="1276"/>
        </w:tabs>
        <w:ind w:left="1276" w:hanging="426"/>
      </w:pPr>
      <w:rPr>
        <w:rFonts w:hint="eastAsia" w:ascii="宋体" w:hAnsi="Times New Roman" w:eastAsia="宋体"/>
        <w:b w:val="0"/>
        <w:i w:val="0"/>
        <w:sz w:val="21"/>
        <w:lang w:val="en-US"/>
      </w:rPr>
    </w:lvl>
    <w:lvl w:ilvl="1" w:tentative="0">
      <w:start w:val="1"/>
      <w:numFmt w:val="none"/>
      <w:pStyle w:val="193"/>
      <w:lvlText w:val=""/>
      <w:lvlJc w:val="left"/>
      <w:pPr>
        <w:ind w:left="850" w:hanging="431"/>
      </w:pPr>
      <w:rPr>
        <w:rFonts w:hint="default" w:ascii="Symbol" w:hAnsi="Symbol"/>
        <w:sz w:val="21"/>
      </w:rPr>
    </w:lvl>
    <w:lvl w:ilvl="2" w:tentative="0">
      <w:start w:val="1"/>
      <w:numFmt w:val="bullet"/>
      <w:pStyle w:val="178"/>
      <w:lvlText w:val=""/>
      <w:lvlJc w:val="left"/>
      <w:pPr>
        <w:ind w:left="850" w:hanging="426"/>
      </w:pPr>
      <w:rPr>
        <w:rFonts w:hint="default" w:ascii="Wingdings" w:hAnsi="Wingdings"/>
        <w:sz w:val="21"/>
      </w:rPr>
    </w:lvl>
    <w:lvl w:ilvl="3" w:tentative="0">
      <w:start w:val="1"/>
      <w:numFmt w:val="decimal"/>
      <w:lvlText w:val="%4."/>
      <w:lvlJc w:val="left"/>
      <w:pPr>
        <w:tabs>
          <w:tab w:val="left" w:pos="2070"/>
        </w:tabs>
        <w:ind w:left="1883" w:hanging="528"/>
      </w:pPr>
      <w:rPr>
        <w:rFonts w:hint="eastAsia"/>
      </w:rPr>
    </w:lvl>
    <w:lvl w:ilvl="4" w:tentative="0">
      <w:start w:val="1"/>
      <w:numFmt w:val="lowerLetter"/>
      <w:lvlText w:val="%5)"/>
      <w:lvlJc w:val="left"/>
      <w:pPr>
        <w:tabs>
          <w:tab w:val="left" w:pos="1141"/>
        </w:tabs>
        <w:ind w:left="954" w:hanging="528"/>
      </w:pPr>
      <w:rPr>
        <w:rFonts w:hint="eastAsia"/>
      </w:rPr>
    </w:lvl>
    <w:lvl w:ilvl="5" w:tentative="0">
      <w:start w:val="1"/>
      <w:numFmt w:val="lowerRoman"/>
      <w:lvlText w:val="%6."/>
      <w:lvlJc w:val="right"/>
      <w:pPr>
        <w:tabs>
          <w:tab w:val="left" w:pos="2694"/>
        </w:tabs>
        <w:ind w:left="2507" w:hanging="528"/>
      </w:pPr>
      <w:rPr>
        <w:rFonts w:hint="eastAsia"/>
      </w:rPr>
    </w:lvl>
    <w:lvl w:ilvl="6" w:tentative="0">
      <w:start w:val="1"/>
      <w:numFmt w:val="decimal"/>
      <w:lvlText w:val="%7."/>
      <w:lvlJc w:val="left"/>
      <w:pPr>
        <w:tabs>
          <w:tab w:val="left" w:pos="3006"/>
        </w:tabs>
        <w:ind w:left="2819" w:hanging="528"/>
      </w:pPr>
      <w:rPr>
        <w:rFonts w:hint="eastAsia"/>
      </w:rPr>
    </w:lvl>
    <w:lvl w:ilvl="7" w:tentative="0">
      <w:start w:val="1"/>
      <w:numFmt w:val="lowerLetter"/>
      <w:lvlText w:val="%8)"/>
      <w:lvlJc w:val="left"/>
      <w:pPr>
        <w:tabs>
          <w:tab w:val="left" w:pos="3318"/>
        </w:tabs>
        <w:ind w:left="3131" w:hanging="528"/>
      </w:pPr>
      <w:rPr>
        <w:rFonts w:hint="eastAsia"/>
      </w:rPr>
    </w:lvl>
    <w:lvl w:ilvl="8" w:tentative="0">
      <w:start w:val="1"/>
      <w:numFmt w:val="lowerRoman"/>
      <w:lvlText w:val="%9."/>
      <w:lvlJc w:val="right"/>
      <w:pPr>
        <w:tabs>
          <w:tab w:val="left" w:pos="3630"/>
        </w:tabs>
        <w:ind w:left="3443" w:hanging="528"/>
      </w:pPr>
      <w:rPr>
        <w:rFonts w:hint="eastAsia"/>
      </w:rPr>
    </w:lvl>
  </w:abstractNum>
  <w:abstractNum w:abstractNumId="17">
    <w:nsid w:val="32F04FB2"/>
    <w:multiLevelType w:val="multilevel"/>
    <w:tmpl w:val="32F04FB2"/>
    <w:lvl w:ilvl="0" w:tentative="0">
      <w:start w:val="1"/>
      <w:numFmt w:val="lowerLetter"/>
      <w:pStyle w:val="10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8">
    <w:nsid w:val="342F379C"/>
    <w:multiLevelType w:val="multilevel"/>
    <w:tmpl w:val="342F379C"/>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9">
    <w:nsid w:val="44C50F90"/>
    <w:multiLevelType w:val="multilevel"/>
    <w:tmpl w:val="44C50F90"/>
    <w:lvl w:ilvl="0" w:tentative="0">
      <w:start w:val="1"/>
      <w:numFmt w:val="lowerLetter"/>
      <w:pStyle w:val="180"/>
      <w:lvlText w:val="%1)"/>
      <w:lvlJc w:val="left"/>
      <w:pPr>
        <w:tabs>
          <w:tab w:val="left" w:pos="851"/>
        </w:tabs>
        <w:ind w:left="851" w:hanging="426"/>
      </w:pPr>
      <w:rPr>
        <w:rFonts w:hint="eastAsia" w:ascii="宋体" w:hAnsi="Times New Roman" w:eastAsia="宋体"/>
        <w:color w:val="auto"/>
        <w:sz w:val="21"/>
      </w:rPr>
    </w:lvl>
    <w:lvl w:ilvl="1" w:tentative="0">
      <w:start w:val="1"/>
      <w:numFmt w:val="decimal"/>
      <w:pStyle w:val="115"/>
      <w:lvlText w:val="%2)"/>
      <w:lvlJc w:val="left"/>
      <w:pPr>
        <w:tabs>
          <w:tab w:val="left" w:pos="1276"/>
        </w:tabs>
        <w:ind w:left="1276" w:hanging="425"/>
      </w:pPr>
      <w:rPr>
        <w:rFonts w:hint="eastAsia" w:ascii="宋体" w:hAnsi="Times New Roman" w:eastAsia="宋体"/>
        <w:sz w:val="21"/>
      </w:rPr>
    </w:lvl>
    <w:lvl w:ilvl="2" w:tentative="0">
      <w:start w:val="1"/>
      <w:numFmt w:val="decimal"/>
      <w:pStyle w:val="123"/>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0">
    <w:nsid w:val="48802D1C"/>
    <w:multiLevelType w:val="multilevel"/>
    <w:tmpl w:val="48802D1C"/>
    <w:lvl w:ilvl="0" w:tentative="0">
      <w:start w:val="1"/>
      <w:numFmt w:val="upperLetter"/>
      <w:pStyle w:val="204"/>
      <w:lvlText w:val="%1"/>
      <w:lvlJc w:val="left"/>
      <w:pPr>
        <w:ind w:left="420" w:hanging="420"/>
      </w:pPr>
      <w:rPr>
        <w:rFonts w:hint="eastAsia"/>
      </w:rPr>
    </w:lvl>
    <w:lvl w:ilvl="1" w:tentative="0">
      <w:start w:val="1"/>
      <w:numFmt w:val="decimal"/>
      <w:pStyle w:val="89"/>
      <w:suff w:val="space"/>
      <w:lvlText w:val="图%1.%2"/>
      <w:lvlJc w:val="center"/>
      <w:pPr>
        <w:ind w:left="3827" w:firstLine="0"/>
      </w:pPr>
      <w:rPr>
        <w:rFonts w:hint="eastAsia" w:ascii="黑体" w:hAnsi="黑体" w:eastAsia="黑体"/>
        <w:lang w:val="en-US"/>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4B733A5F"/>
    <w:multiLevelType w:val="multilevel"/>
    <w:tmpl w:val="4B733A5F"/>
    <w:lvl w:ilvl="0" w:tentative="0">
      <w:start w:val="1"/>
      <w:numFmt w:val="decimal"/>
      <w:pStyle w:val="189"/>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2">
    <w:nsid w:val="4E5D0534"/>
    <w:multiLevelType w:val="multilevel"/>
    <w:tmpl w:val="4E5D0534"/>
    <w:lvl w:ilvl="0" w:tentative="0">
      <w:start w:val="1"/>
      <w:numFmt w:val="decimal"/>
      <w:pStyle w:val="122"/>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3">
    <w:nsid w:val="529602F9"/>
    <w:multiLevelType w:val="multilevel"/>
    <w:tmpl w:val="529602F9"/>
    <w:lvl w:ilvl="0" w:tentative="0">
      <w:start w:val="6"/>
      <w:numFmt w:val="decimal"/>
      <w:lvlText w:val="%1"/>
      <w:lvlJc w:val="left"/>
      <w:pPr>
        <w:ind w:left="525" w:hanging="525"/>
      </w:pPr>
      <w:rPr>
        <w:rFonts w:hint="default"/>
      </w:rPr>
    </w:lvl>
    <w:lvl w:ilvl="1" w:tentative="0">
      <w:start w:val="4"/>
      <w:numFmt w:val="decimal"/>
      <w:lvlText w:val="%1.%2"/>
      <w:lvlJc w:val="left"/>
      <w:pPr>
        <w:ind w:left="525" w:hanging="525"/>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4">
    <w:nsid w:val="54632751"/>
    <w:multiLevelType w:val="multilevel"/>
    <w:tmpl w:val="54632751"/>
    <w:lvl w:ilvl="0" w:tentative="0">
      <w:start w:val="1"/>
      <w:numFmt w:val="none"/>
      <w:pStyle w:val="99"/>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5">
    <w:nsid w:val="557C2AF5"/>
    <w:multiLevelType w:val="multilevel"/>
    <w:tmpl w:val="557C2AF5"/>
    <w:lvl w:ilvl="0" w:tentative="0">
      <w:start w:val="1"/>
      <w:numFmt w:val="decimal"/>
      <w:pStyle w:val="120"/>
      <w:suff w:val="nothing"/>
      <w:lvlText w:val="图%1　"/>
      <w:lvlJc w:val="left"/>
      <w:pPr>
        <w:ind w:left="3402" w:firstLine="0"/>
      </w:pPr>
    </w:lvl>
    <w:lvl w:ilvl="1" w:tentative="0">
      <w:start w:val="1"/>
      <w:numFmt w:val="decimal"/>
      <w:suff w:val="nothing"/>
      <w:lvlText w:val="%1%2　"/>
      <w:lvlJc w:val="left"/>
      <w:pPr>
        <w:ind w:left="3402" w:firstLine="0"/>
      </w:pPr>
    </w:lvl>
    <w:lvl w:ilvl="2" w:tentative="0">
      <w:start w:val="1"/>
      <w:numFmt w:val="decimal"/>
      <w:suff w:val="nothing"/>
      <w:lvlText w:val="%1%2.%3　"/>
      <w:lvlJc w:val="left"/>
      <w:pPr>
        <w:ind w:left="3402" w:firstLine="0"/>
      </w:pPr>
    </w:lvl>
    <w:lvl w:ilvl="3" w:tentative="0">
      <w:start w:val="1"/>
      <w:numFmt w:val="decimal"/>
      <w:suff w:val="nothing"/>
      <w:lvlText w:val="%1%2.%3.%4　"/>
      <w:lvlJc w:val="left"/>
      <w:pPr>
        <w:ind w:left="3402" w:firstLine="0"/>
      </w:pPr>
    </w:lvl>
    <w:lvl w:ilvl="4" w:tentative="0">
      <w:start w:val="1"/>
      <w:numFmt w:val="decimal"/>
      <w:suff w:val="nothing"/>
      <w:lvlText w:val="%1%2.%3.%4.%5　"/>
      <w:lvlJc w:val="left"/>
      <w:pPr>
        <w:ind w:left="3402" w:firstLine="0"/>
      </w:pPr>
    </w:lvl>
    <w:lvl w:ilvl="5" w:tentative="0">
      <w:start w:val="1"/>
      <w:numFmt w:val="decimal"/>
      <w:suff w:val="nothing"/>
      <w:lvlText w:val="%1%2.%3.%4.%5.%6　"/>
      <w:lvlJc w:val="left"/>
      <w:pPr>
        <w:ind w:left="3402" w:firstLine="0"/>
      </w:pPr>
    </w:lvl>
    <w:lvl w:ilvl="6" w:tentative="0">
      <w:start w:val="1"/>
      <w:numFmt w:val="decimal"/>
      <w:suff w:val="nothing"/>
      <w:lvlText w:val="%1%2.%3.%4.%5.%6.%7　"/>
      <w:lvlJc w:val="left"/>
      <w:pPr>
        <w:ind w:left="3402" w:firstLine="0"/>
      </w:pPr>
    </w:lvl>
    <w:lvl w:ilvl="7" w:tentative="0">
      <w:start w:val="1"/>
      <w:numFmt w:val="decimal"/>
      <w:lvlText w:val="%1.%2.%3.%4.%5.%6.%7.%8"/>
      <w:lvlJc w:val="left"/>
      <w:pPr>
        <w:tabs>
          <w:tab w:val="left" w:pos="7750"/>
        </w:tabs>
        <w:ind w:left="7371" w:hanging="1418"/>
      </w:pPr>
    </w:lvl>
    <w:lvl w:ilvl="8" w:tentative="0">
      <w:start w:val="1"/>
      <w:numFmt w:val="decimal"/>
      <w:lvlText w:val="%1.%2.%3.%4.%5.%6.%7.%8.%9"/>
      <w:lvlJc w:val="left"/>
      <w:pPr>
        <w:tabs>
          <w:tab w:val="left" w:pos="8176"/>
        </w:tabs>
        <w:ind w:left="8079" w:hanging="1701"/>
      </w:pPr>
    </w:lvl>
  </w:abstractNum>
  <w:abstractNum w:abstractNumId="26">
    <w:nsid w:val="5603797C"/>
    <w:multiLevelType w:val="multilevel"/>
    <w:tmpl w:val="5603797C"/>
    <w:lvl w:ilvl="0" w:tentative="0">
      <w:start w:val="1"/>
      <w:numFmt w:val="upperLetter"/>
      <w:pStyle w:val="205"/>
      <w:suff w:val="space"/>
      <w:lvlText w:val="%1"/>
      <w:lvlJc w:val="left"/>
      <w:pPr>
        <w:ind w:left="425" w:hanging="425"/>
      </w:pPr>
      <w:rPr>
        <w:rFonts w:hint="eastAsia"/>
      </w:rPr>
    </w:lvl>
    <w:lvl w:ilvl="1" w:tentative="0">
      <w:start w:val="1"/>
      <w:numFmt w:val="decimal"/>
      <w:pStyle w:val="83"/>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564D2089"/>
    <w:multiLevelType w:val="multilevel"/>
    <w:tmpl w:val="564D2089"/>
    <w:lvl w:ilvl="0" w:tentative="0">
      <w:start w:val="1"/>
      <w:numFmt w:val="none"/>
      <w:pStyle w:val="117"/>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D096CE5"/>
    <w:multiLevelType w:val="multilevel"/>
    <w:tmpl w:val="5D096CE5"/>
    <w:lvl w:ilvl="0" w:tentative="0">
      <w:start w:val="1"/>
      <w:numFmt w:val="lowerLetter"/>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61AA0D9E"/>
    <w:multiLevelType w:val="multilevel"/>
    <w:tmpl w:val="61AA0D9E"/>
    <w:lvl w:ilvl="0" w:tentative="0">
      <w:start w:val="6"/>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0">
    <w:nsid w:val="644622F9"/>
    <w:multiLevelType w:val="multilevel"/>
    <w:tmpl w:val="644622F9"/>
    <w:lvl w:ilvl="0" w:tentative="0">
      <w:start w:val="1"/>
      <w:numFmt w:val="upp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31">
    <w:nsid w:val="646260FA"/>
    <w:multiLevelType w:val="multilevel"/>
    <w:tmpl w:val="646260FA"/>
    <w:lvl w:ilvl="0" w:tentative="0">
      <w:start w:val="1"/>
      <w:numFmt w:val="decimal"/>
      <w:pStyle w:val="118"/>
      <w:lvlText w:val="%1."/>
      <w:lvlJc w:val="left"/>
      <w:pPr>
        <w:ind w:left="2976" w:firstLine="0"/>
      </w:pPr>
      <w:rPr>
        <w:color w:val="auto"/>
      </w:rPr>
    </w:lvl>
    <w:lvl w:ilvl="1" w:tentative="0">
      <w:start w:val="1"/>
      <w:numFmt w:val="decimal"/>
      <w:lvlText w:val="%1.%2"/>
      <w:lvlJc w:val="left"/>
      <w:pPr>
        <w:tabs>
          <w:tab w:val="left" w:pos="-1"/>
        </w:tabs>
        <w:ind w:left="-1" w:hanging="567"/>
      </w:pPr>
    </w:lvl>
    <w:lvl w:ilvl="2" w:tentative="0">
      <w:start w:val="1"/>
      <w:numFmt w:val="decimal"/>
      <w:lvlText w:val="%1.%2.%3"/>
      <w:lvlJc w:val="left"/>
      <w:pPr>
        <w:tabs>
          <w:tab w:val="left" w:pos="424"/>
        </w:tabs>
        <w:ind w:left="424" w:hanging="567"/>
      </w:pPr>
    </w:lvl>
    <w:lvl w:ilvl="3" w:tentative="0">
      <w:start w:val="1"/>
      <w:numFmt w:val="decimal"/>
      <w:lvlText w:val="%1.%2.%3.%4"/>
      <w:lvlJc w:val="left"/>
      <w:pPr>
        <w:tabs>
          <w:tab w:val="left" w:pos="991"/>
        </w:tabs>
        <w:ind w:left="991" w:hanging="708"/>
      </w:pPr>
    </w:lvl>
    <w:lvl w:ilvl="4" w:tentative="0">
      <w:start w:val="1"/>
      <w:numFmt w:val="decimal"/>
      <w:lvlText w:val="%1.%2.%3.%4.%5"/>
      <w:lvlJc w:val="left"/>
      <w:pPr>
        <w:tabs>
          <w:tab w:val="left" w:pos="1558"/>
        </w:tabs>
        <w:ind w:left="1558" w:hanging="850"/>
      </w:pPr>
    </w:lvl>
    <w:lvl w:ilvl="5" w:tentative="0">
      <w:start w:val="1"/>
      <w:numFmt w:val="decimal"/>
      <w:lvlText w:val="%1.%2.%3.%4.%5.%6"/>
      <w:lvlJc w:val="left"/>
      <w:pPr>
        <w:tabs>
          <w:tab w:val="left" w:pos="2267"/>
        </w:tabs>
        <w:ind w:left="2267" w:hanging="1134"/>
      </w:pPr>
    </w:lvl>
    <w:lvl w:ilvl="6" w:tentative="0">
      <w:start w:val="1"/>
      <w:numFmt w:val="decimal"/>
      <w:lvlText w:val="%1.%2.%3.%4.%5.%6.%7"/>
      <w:lvlJc w:val="left"/>
      <w:pPr>
        <w:tabs>
          <w:tab w:val="left" w:pos="2834"/>
        </w:tabs>
        <w:ind w:left="2834" w:hanging="1276"/>
      </w:pPr>
    </w:lvl>
    <w:lvl w:ilvl="7" w:tentative="0">
      <w:start w:val="1"/>
      <w:numFmt w:val="decimal"/>
      <w:lvlText w:val="%1.%2.%3.%4.%5.%6.%7.%8"/>
      <w:lvlJc w:val="left"/>
      <w:pPr>
        <w:tabs>
          <w:tab w:val="left" w:pos="3401"/>
        </w:tabs>
        <w:ind w:left="3401" w:hanging="1418"/>
      </w:pPr>
    </w:lvl>
    <w:lvl w:ilvl="8" w:tentative="0">
      <w:start w:val="1"/>
      <w:numFmt w:val="decimal"/>
      <w:lvlText w:val="%1.%2.%3.%4.%5.%6.%7.%8.%9"/>
      <w:lvlJc w:val="left"/>
      <w:pPr>
        <w:tabs>
          <w:tab w:val="left" w:pos="4109"/>
        </w:tabs>
        <w:ind w:left="4109" w:hanging="1700"/>
      </w:pPr>
    </w:lvl>
  </w:abstractNum>
  <w:abstractNum w:abstractNumId="32">
    <w:nsid w:val="654A26C9"/>
    <w:multiLevelType w:val="multilevel"/>
    <w:tmpl w:val="654A26C9"/>
    <w:lvl w:ilvl="0" w:tentative="0">
      <w:start w:val="1"/>
      <w:numFmt w:val="none"/>
      <w:pStyle w:val="195"/>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3">
    <w:nsid w:val="657D3FBC"/>
    <w:multiLevelType w:val="multilevel"/>
    <w:tmpl w:val="657D3FBC"/>
    <w:lvl w:ilvl="0" w:tentative="0">
      <w:start w:val="1"/>
      <w:numFmt w:val="upperLetter"/>
      <w:pStyle w:val="82"/>
      <w:suff w:val="nothing"/>
      <w:lvlText w:val="附录%1"/>
      <w:lvlJc w:val="left"/>
      <w:pPr>
        <w:ind w:left="4961" w:firstLine="0"/>
      </w:pPr>
      <w:rPr>
        <w:rFonts w:hint="eastAsia"/>
        <w:spacing w:val="100"/>
        <w:lang w:val="en-US"/>
      </w:rPr>
    </w:lvl>
    <w:lvl w:ilvl="1" w:tentative="0">
      <w:start w:val="1"/>
      <w:numFmt w:val="decimal"/>
      <w:pStyle w:val="84"/>
      <w:suff w:val="nothing"/>
      <w:lvlText w:val="%1.%2　"/>
      <w:lvlJc w:val="left"/>
      <w:pPr>
        <w:ind w:left="0" w:firstLine="0"/>
      </w:pPr>
      <w:rPr>
        <w:rFonts w:hint="eastAsia" w:ascii="黑体" w:eastAsia="黑体"/>
        <w:b w:val="0"/>
        <w:i w:val="0"/>
        <w:sz w:val="21"/>
      </w:rPr>
    </w:lvl>
    <w:lvl w:ilvl="2" w:tentative="0">
      <w:start w:val="1"/>
      <w:numFmt w:val="decimal"/>
      <w:pStyle w:val="85"/>
      <w:suff w:val="nothing"/>
      <w:lvlText w:val="%1.%2.%3　"/>
      <w:lvlJc w:val="left"/>
      <w:pPr>
        <w:ind w:left="284" w:firstLine="0"/>
      </w:pPr>
      <w:rPr>
        <w:rFonts w:hint="eastAsia" w:ascii="黑体" w:eastAsia="黑体"/>
        <w:b w:val="0"/>
        <w:i w:val="0"/>
        <w:sz w:val="21"/>
      </w:rPr>
    </w:lvl>
    <w:lvl w:ilvl="3" w:tentative="0">
      <w:start w:val="1"/>
      <w:numFmt w:val="decimal"/>
      <w:pStyle w:val="87"/>
      <w:suff w:val="nothing"/>
      <w:lvlText w:val="%1.%2.%3.%4　"/>
      <w:lvlJc w:val="left"/>
      <w:pPr>
        <w:ind w:left="0" w:firstLine="0"/>
      </w:pPr>
      <w:rPr>
        <w:rFonts w:hint="eastAsia" w:ascii="黑体" w:eastAsia="黑体"/>
        <w:b w:val="0"/>
        <w:i w:val="0"/>
        <w:sz w:val="21"/>
      </w:rPr>
    </w:lvl>
    <w:lvl w:ilvl="4" w:tentative="0">
      <w:start w:val="1"/>
      <w:numFmt w:val="decimal"/>
      <w:pStyle w:val="88"/>
      <w:suff w:val="nothing"/>
      <w:lvlText w:val="%1.%2.%3.%4.%5　"/>
      <w:lvlJc w:val="left"/>
      <w:pPr>
        <w:ind w:left="0" w:firstLine="0"/>
      </w:pPr>
      <w:rPr>
        <w:rFonts w:hint="eastAsia" w:ascii="黑体" w:eastAsia="黑体"/>
        <w:b w:val="0"/>
        <w:i w:val="0"/>
        <w:sz w:val="21"/>
      </w:rPr>
    </w:lvl>
    <w:lvl w:ilvl="5" w:tentative="0">
      <w:start w:val="1"/>
      <w:numFmt w:val="decimal"/>
      <w:pStyle w:val="90"/>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506ABF"/>
    <w:multiLevelType w:val="multilevel"/>
    <w:tmpl w:val="69506ABF"/>
    <w:lvl w:ilvl="0" w:tentative="0">
      <w:start w:val="1"/>
      <w:numFmt w:val="bullet"/>
      <w:pStyle w:val="194"/>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5">
    <w:nsid w:val="6CA41985"/>
    <w:multiLevelType w:val="multilevel"/>
    <w:tmpl w:val="6CA41985"/>
    <w:lvl w:ilvl="0" w:tentative="0">
      <w:start w:val="1"/>
      <w:numFmt w:val="decimal"/>
      <w:pStyle w:val="103"/>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6CE42AC1"/>
    <w:multiLevelType w:val="multilevel"/>
    <w:tmpl w:val="6CE42AC1"/>
    <w:lvl w:ilvl="0" w:tentative="0">
      <w:start w:val="1"/>
      <w:numFmt w:val="lowerLetter"/>
      <w:pStyle w:val="17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CEA2025"/>
    <w:multiLevelType w:val="multilevel"/>
    <w:tmpl w:val="6CEA2025"/>
    <w:lvl w:ilvl="0" w:tentative="0">
      <w:start w:val="1"/>
      <w:numFmt w:val="none"/>
      <w:pStyle w:val="158"/>
      <w:suff w:val="nothing"/>
      <w:lvlText w:val="%1"/>
      <w:lvlJc w:val="left"/>
      <w:pPr>
        <w:ind w:left="0" w:firstLine="0"/>
      </w:pPr>
      <w:rPr>
        <w:rFonts w:hint="eastAsia"/>
      </w:rPr>
    </w:lvl>
    <w:lvl w:ilvl="1" w:tentative="0">
      <w:start w:val="1"/>
      <w:numFmt w:val="decimal"/>
      <w:pStyle w:val="110"/>
      <w:suff w:val="nothing"/>
      <w:lvlText w:val="%1%2　"/>
      <w:lvlJc w:val="left"/>
      <w:pPr>
        <w:ind w:left="0" w:firstLine="0"/>
      </w:pPr>
      <w:rPr>
        <w:rFonts w:hint="eastAsia" w:ascii="黑体" w:eastAsia="黑体"/>
        <w:b w:val="0"/>
        <w:i w:val="0"/>
        <w:sz w:val="21"/>
      </w:rPr>
    </w:lvl>
    <w:lvl w:ilvl="2" w:tentative="0">
      <w:start w:val="1"/>
      <w:numFmt w:val="decimal"/>
      <w:pStyle w:val="111"/>
      <w:suff w:val="nothing"/>
      <w:lvlText w:val="%1%2.%3　"/>
      <w:lvlJc w:val="left"/>
      <w:pPr>
        <w:ind w:left="283"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1"/>
      <w:suff w:val="nothing"/>
      <w:lvlText w:val="%1%2.%3.%4　"/>
      <w:lvlJc w:val="left"/>
      <w:pPr>
        <w:ind w:left="0" w:firstLine="0"/>
      </w:pPr>
      <w:rPr>
        <w:rFonts w:hint="eastAsia" w:ascii="黑体" w:eastAsia="黑体"/>
        <w:b w:val="0"/>
        <w:i w:val="0"/>
        <w:color w:val="auto"/>
        <w:sz w:val="21"/>
      </w:rPr>
    </w:lvl>
    <w:lvl w:ilvl="4" w:tentative="0">
      <w:start w:val="1"/>
      <w:numFmt w:val="decimal"/>
      <w:pStyle w:val="100"/>
      <w:suff w:val="nothing"/>
      <w:lvlText w:val="%1%2.%3.%4.%5　"/>
      <w:lvlJc w:val="left"/>
      <w:pPr>
        <w:ind w:left="0" w:firstLine="0"/>
      </w:pPr>
      <w:rPr>
        <w:rFonts w:hint="eastAsia" w:ascii="黑体" w:hAnsi="黑体" w:eastAsia="黑体"/>
        <w:b w:val="0"/>
        <w:i w:val="0"/>
        <w:sz w:val="21"/>
      </w:rPr>
    </w:lvl>
    <w:lvl w:ilvl="5" w:tentative="0">
      <w:start w:val="1"/>
      <w:numFmt w:val="decimal"/>
      <w:pStyle w:val="104"/>
      <w:suff w:val="nothing"/>
      <w:lvlText w:val="%1%2.%3.%4.%5.%6　"/>
      <w:lvlJc w:val="left"/>
      <w:pPr>
        <w:ind w:left="0" w:firstLine="0"/>
      </w:pPr>
      <w:rPr>
        <w:rFonts w:hint="eastAsia" w:ascii="黑体" w:eastAsia="黑体"/>
        <w:b w:val="0"/>
        <w:i w:val="0"/>
        <w:sz w:val="21"/>
      </w:rPr>
    </w:lvl>
    <w:lvl w:ilvl="6" w:tentative="0">
      <w:start w:val="1"/>
      <w:numFmt w:val="decimal"/>
      <w:pStyle w:val="10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8">
    <w:nsid w:val="6DBF04F4"/>
    <w:multiLevelType w:val="multilevel"/>
    <w:tmpl w:val="6DBF04F4"/>
    <w:lvl w:ilvl="0" w:tentative="0">
      <w:start w:val="1"/>
      <w:numFmt w:val="none"/>
      <w:pStyle w:val="185"/>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9">
    <w:nsid w:val="6DF35F19"/>
    <w:multiLevelType w:val="multilevel"/>
    <w:tmpl w:val="6DF35F19"/>
    <w:lvl w:ilvl="0" w:tentative="0">
      <w:start w:val="1"/>
      <w:numFmt w:val="decimal"/>
      <w:pStyle w:val="121"/>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40">
    <w:nsid w:val="76933334"/>
    <w:multiLevelType w:val="multilevel"/>
    <w:tmpl w:val="76933334"/>
    <w:lvl w:ilvl="0" w:tentative="0">
      <w:start w:val="1"/>
      <w:numFmt w:val="none"/>
      <w:pStyle w:val="145"/>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93C5011"/>
    <w:multiLevelType w:val="multilevel"/>
    <w:tmpl w:val="793C5011"/>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0"/>
  </w:num>
  <w:num w:numId="2">
    <w:abstractNumId w:val="37"/>
  </w:num>
  <w:num w:numId="3">
    <w:abstractNumId w:val="8"/>
  </w:num>
  <w:num w:numId="4">
    <w:abstractNumId w:val="33"/>
  </w:num>
  <w:num w:numId="5">
    <w:abstractNumId w:val="26"/>
  </w:num>
  <w:num w:numId="6">
    <w:abstractNumId w:val="20"/>
  </w:num>
  <w:num w:numId="7">
    <w:abstractNumId w:val="11"/>
  </w:num>
  <w:num w:numId="8">
    <w:abstractNumId w:val="5"/>
  </w:num>
  <w:num w:numId="9">
    <w:abstractNumId w:val="12"/>
  </w:num>
  <w:num w:numId="10">
    <w:abstractNumId w:val="24"/>
  </w:num>
  <w:num w:numId="11">
    <w:abstractNumId w:val="35"/>
  </w:num>
  <w:num w:numId="12">
    <w:abstractNumId w:val="17"/>
  </w:num>
  <w:num w:numId="13">
    <w:abstractNumId w:val="19"/>
  </w:num>
  <w:num w:numId="14">
    <w:abstractNumId w:val="10"/>
  </w:num>
  <w:num w:numId="15">
    <w:abstractNumId w:val="27"/>
  </w:num>
  <w:num w:numId="16">
    <w:abstractNumId w:val="31"/>
  </w:num>
  <w:num w:numId="17">
    <w:abstractNumId w:val="25"/>
  </w:num>
  <w:num w:numId="18">
    <w:abstractNumId w:val="39"/>
  </w:num>
  <w:num w:numId="19">
    <w:abstractNumId w:val="22"/>
  </w:num>
  <w:num w:numId="20">
    <w:abstractNumId w:val="2"/>
  </w:num>
  <w:num w:numId="21">
    <w:abstractNumId w:val="16"/>
  </w:num>
  <w:num w:numId="22">
    <w:abstractNumId w:val="40"/>
  </w:num>
  <w:num w:numId="23">
    <w:abstractNumId w:val="30"/>
  </w:num>
  <w:num w:numId="24">
    <w:abstractNumId w:val="9"/>
  </w:num>
  <w:num w:numId="25">
    <w:abstractNumId w:val="36"/>
  </w:num>
  <w:num w:numId="26">
    <w:abstractNumId w:val="38"/>
  </w:num>
  <w:num w:numId="27">
    <w:abstractNumId w:val="3"/>
  </w:num>
  <w:num w:numId="28">
    <w:abstractNumId w:val="7"/>
  </w:num>
  <w:num w:numId="29">
    <w:abstractNumId w:val="21"/>
  </w:num>
  <w:num w:numId="30">
    <w:abstractNumId w:val="34"/>
  </w:num>
  <w:num w:numId="31">
    <w:abstractNumId w:val="32"/>
  </w:num>
  <w:num w:numId="32">
    <w:abstractNumId w:val="13"/>
  </w:num>
  <w:num w:numId="33">
    <w:abstractNumId w:val="15"/>
  </w:num>
  <w:num w:numId="34">
    <w:abstractNumId w:val="14"/>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28"/>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3"/>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attachedTemplate r:id="rId1"/>
  <w:documentProtection w:edit="forms" w:enforcement="0"/>
  <w:defaultTabStop w:val="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jY2RhYTM4ZDQ3MzA2NDhkMWZiMTI4NmM3MDYxYzkifQ=="/>
  </w:docVars>
  <w:rsids>
    <w:rsidRoot w:val="008F76DD"/>
    <w:rsid w:val="0000040A"/>
    <w:rsid w:val="00000A94"/>
    <w:rsid w:val="00001972"/>
    <w:rsid w:val="00001D9A"/>
    <w:rsid w:val="00001E08"/>
    <w:rsid w:val="00002EBE"/>
    <w:rsid w:val="0000453D"/>
    <w:rsid w:val="00005EA5"/>
    <w:rsid w:val="00007B3A"/>
    <w:rsid w:val="000107E0"/>
    <w:rsid w:val="00010993"/>
    <w:rsid w:val="00011FDE"/>
    <w:rsid w:val="00012750"/>
    <w:rsid w:val="00012FFD"/>
    <w:rsid w:val="0001306E"/>
    <w:rsid w:val="00013911"/>
    <w:rsid w:val="00014162"/>
    <w:rsid w:val="00014340"/>
    <w:rsid w:val="00016232"/>
    <w:rsid w:val="000168C8"/>
    <w:rsid w:val="00016A9C"/>
    <w:rsid w:val="00022184"/>
    <w:rsid w:val="00022762"/>
    <w:rsid w:val="00022B86"/>
    <w:rsid w:val="000238E0"/>
    <w:rsid w:val="00024079"/>
    <w:rsid w:val="000249DB"/>
    <w:rsid w:val="00024B99"/>
    <w:rsid w:val="00025044"/>
    <w:rsid w:val="0002595E"/>
    <w:rsid w:val="000269F8"/>
    <w:rsid w:val="00027883"/>
    <w:rsid w:val="000303C3"/>
    <w:rsid w:val="00030567"/>
    <w:rsid w:val="0003084F"/>
    <w:rsid w:val="00031043"/>
    <w:rsid w:val="00032460"/>
    <w:rsid w:val="000331D3"/>
    <w:rsid w:val="000340C8"/>
    <w:rsid w:val="000346A5"/>
    <w:rsid w:val="00034928"/>
    <w:rsid w:val="000359C3"/>
    <w:rsid w:val="00035A7D"/>
    <w:rsid w:val="00036FEB"/>
    <w:rsid w:val="00041630"/>
    <w:rsid w:val="0004249A"/>
    <w:rsid w:val="00042769"/>
    <w:rsid w:val="00043282"/>
    <w:rsid w:val="00044286"/>
    <w:rsid w:val="00046927"/>
    <w:rsid w:val="00047978"/>
    <w:rsid w:val="00047F28"/>
    <w:rsid w:val="000503AA"/>
    <w:rsid w:val="000506A1"/>
    <w:rsid w:val="00050C49"/>
    <w:rsid w:val="00050E3A"/>
    <w:rsid w:val="00050EB4"/>
    <w:rsid w:val="000515DD"/>
    <w:rsid w:val="0005265A"/>
    <w:rsid w:val="00052A7E"/>
    <w:rsid w:val="000539DD"/>
    <w:rsid w:val="00053BD3"/>
    <w:rsid w:val="00053D54"/>
    <w:rsid w:val="000556ED"/>
    <w:rsid w:val="00055FE2"/>
    <w:rsid w:val="0005616F"/>
    <w:rsid w:val="00057D28"/>
    <w:rsid w:val="00057D7C"/>
    <w:rsid w:val="00060C2E"/>
    <w:rsid w:val="00061033"/>
    <w:rsid w:val="000619E9"/>
    <w:rsid w:val="000622D4"/>
    <w:rsid w:val="0006357D"/>
    <w:rsid w:val="00063D80"/>
    <w:rsid w:val="000668DC"/>
    <w:rsid w:val="000669B9"/>
    <w:rsid w:val="00067506"/>
    <w:rsid w:val="00067F1E"/>
    <w:rsid w:val="00070F43"/>
    <w:rsid w:val="00071CC0"/>
    <w:rsid w:val="0007269F"/>
    <w:rsid w:val="00073C8C"/>
    <w:rsid w:val="000766B7"/>
    <w:rsid w:val="00077B64"/>
    <w:rsid w:val="00080286"/>
    <w:rsid w:val="00080A1C"/>
    <w:rsid w:val="00082317"/>
    <w:rsid w:val="00082E50"/>
    <w:rsid w:val="0008326E"/>
    <w:rsid w:val="00083C16"/>
    <w:rsid w:val="00083D2C"/>
    <w:rsid w:val="00084A06"/>
    <w:rsid w:val="00086096"/>
    <w:rsid w:val="000865C0"/>
    <w:rsid w:val="00086AA1"/>
    <w:rsid w:val="00086E5F"/>
    <w:rsid w:val="00087A77"/>
    <w:rsid w:val="00090CA6"/>
    <w:rsid w:val="00092B8A"/>
    <w:rsid w:val="00092CF1"/>
    <w:rsid w:val="00092FB0"/>
    <w:rsid w:val="000934C5"/>
    <w:rsid w:val="00093D25"/>
    <w:rsid w:val="000942DC"/>
    <w:rsid w:val="00094CD3"/>
    <w:rsid w:val="00094D73"/>
    <w:rsid w:val="00096D63"/>
    <w:rsid w:val="000979C2"/>
    <w:rsid w:val="000979EE"/>
    <w:rsid w:val="000A0075"/>
    <w:rsid w:val="000A0A75"/>
    <w:rsid w:val="000A0B60"/>
    <w:rsid w:val="000A0EB8"/>
    <w:rsid w:val="000A19FC"/>
    <w:rsid w:val="000A273A"/>
    <w:rsid w:val="000A296B"/>
    <w:rsid w:val="000A383A"/>
    <w:rsid w:val="000A438B"/>
    <w:rsid w:val="000A48DA"/>
    <w:rsid w:val="000A6C0F"/>
    <w:rsid w:val="000A6E1E"/>
    <w:rsid w:val="000A6F31"/>
    <w:rsid w:val="000A719F"/>
    <w:rsid w:val="000A7311"/>
    <w:rsid w:val="000B021E"/>
    <w:rsid w:val="000B060F"/>
    <w:rsid w:val="000B0C56"/>
    <w:rsid w:val="000B0F81"/>
    <w:rsid w:val="000B120B"/>
    <w:rsid w:val="000B1592"/>
    <w:rsid w:val="000B1FF2"/>
    <w:rsid w:val="000B3CDA"/>
    <w:rsid w:val="000B4758"/>
    <w:rsid w:val="000B573E"/>
    <w:rsid w:val="000B6A0B"/>
    <w:rsid w:val="000B6F5D"/>
    <w:rsid w:val="000B79A7"/>
    <w:rsid w:val="000C0535"/>
    <w:rsid w:val="000C0F6C"/>
    <w:rsid w:val="000C11DB"/>
    <w:rsid w:val="000C2FBD"/>
    <w:rsid w:val="000C3E10"/>
    <w:rsid w:val="000C4B41"/>
    <w:rsid w:val="000C57D6"/>
    <w:rsid w:val="000C6003"/>
    <w:rsid w:val="000C6526"/>
    <w:rsid w:val="000C7531"/>
    <w:rsid w:val="000C7666"/>
    <w:rsid w:val="000D09E9"/>
    <w:rsid w:val="000D0A9C"/>
    <w:rsid w:val="000D0CEF"/>
    <w:rsid w:val="000D0E8C"/>
    <w:rsid w:val="000D1795"/>
    <w:rsid w:val="000D18A9"/>
    <w:rsid w:val="000D2C74"/>
    <w:rsid w:val="000D329A"/>
    <w:rsid w:val="000D47C2"/>
    <w:rsid w:val="000D4B9C"/>
    <w:rsid w:val="000D4EB6"/>
    <w:rsid w:val="000D6080"/>
    <w:rsid w:val="000D753B"/>
    <w:rsid w:val="000E274E"/>
    <w:rsid w:val="000E2A53"/>
    <w:rsid w:val="000E385C"/>
    <w:rsid w:val="000E4AFE"/>
    <w:rsid w:val="000E4C9E"/>
    <w:rsid w:val="000E5540"/>
    <w:rsid w:val="000E6FD7"/>
    <w:rsid w:val="000F06E1"/>
    <w:rsid w:val="000F0E3C"/>
    <w:rsid w:val="000F19D5"/>
    <w:rsid w:val="000F1B2D"/>
    <w:rsid w:val="000F2E41"/>
    <w:rsid w:val="000F41E3"/>
    <w:rsid w:val="000F4AEA"/>
    <w:rsid w:val="000F4C2D"/>
    <w:rsid w:val="000F6501"/>
    <w:rsid w:val="000F67E9"/>
    <w:rsid w:val="000F7B7C"/>
    <w:rsid w:val="001016A7"/>
    <w:rsid w:val="00104926"/>
    <w:rsid w:val="00105475"/>
    <w:rsid w:val="0010560A"/>
    <w:rsid w:val="0010619E"/>
    <w:rsid w:val="00107CC7"/>
    <w:rsid w:val="001105D1"/>
    <w:rsid w:val="001108D4"/>
    <w:rsid w:val="001130E9"/>
    <w:rsid w:val="00113358"/>
    <w:rsid w:val="00113B1E"/>
    <w:rsid w:val="00114007"/>
    <w:rsid w:val="00116950"/>
    <w:rsid w:val="0011711C"/>
    <w:rsid w:val="001202D2"/>
    <w:rsid w:val="00120B54"/>
    <w:rsid w:val="00124E4F"/>
    <w:rsid w:val="001260B7"/>
    <w:rsid w:val="001265CB"/>
    <w:rsid w:val="00127BD6"/>
    <w:rsid w:val="00130F50"/>
    <w:rsid w:val="001321C6"/>
    <w:rsid w:val="001325C4"/>
    <w:rsid w:val="00132FFF"/>
    <w:rsid w:val="00133010"/>
    <w:rsid w:val="0013338F"/>
    <w:rsid w:val="00133601"/>
    <w:rsid w:val="001337A1"/>
    <w:rsid w:val="001338EE"/>
    <w:rsid w:val="00133AAE"/>
    <w:rsid w:val="00133E8B"/>
    <w:rsid w:val="00134ABF"/>
    <w:rsid w:val="001351DC"/>
    <w:rsid w:val="00135323"/>
    <w:rsid w:val="001356C4"/>
    <w:rsid w:val="00136D61"/>
    <w:rsid w:val="00140BE3"/>
    <w:rsid w:val="00141114"/>
    <w:rsid w:val="00142969"/>
    <w:rsid w:val="00142F8A"/>
    <w:rsid w:val="001439F9"/>
    <w:rsid w:val="0014502D"/>
    <w:rsid w:val="001457E7"/>
    <w:rsid w:val="00145D9D"/>
    <w:rsid w:val="00146388"/>
    <w:rsid w:val="00147660"/>
    <w:rsid w:val="00147CAE"/>
    <w:rsid w:val="001507DF"/>
    <w:rsid w:val="001521AA"/>
    <w:rsid w:val="00152769"/>
    <w:rsid w:val="001529E5"/>
    <w:rsid w:val="00153C7E"/>
    <w:rsid w:val="00153E03"/>
    <w:rsid w:val="00154672"/>
    <w:rsid w:val="00155C23"/>
    <w:rsid w:val="001564A7"/>
    <w:rsid w:val="00156B25"/>
    <w:rsid w:val="00156C19"/>
    <w:rsid w:val="00156E1A"/>
    <w:rsid w:val="00157B55"/>
    <w:rsid w:val="0016274D"/>
    <w:rsid w:val="00162A09"/>
    <w:rsid w:val="001642FA"/>
    <w:rsid w:val="001645F2"/>
    <w:rsid w:val="001649EB"/>
    <w:rsid w:val="00164BAF"/>
    <w:rsid w:val="00164FA8"/>
    <w:rsid w:val="00165065"/>
    <w:rsid w:val="00165434"/>
    <w:rsid w:val="0016580B"/>
    <w:rsid w:val="00165974"/>
    <w:rsid w:val="00165E67"/>
    <w:rsid w:val="00165F49"/>
    <w:rsid w:val="00166B88"/>
    <w:rsid w:val="00166D6E"/>
    <w:rsid w:val="0016770A"/>
    <w:rsid w:val="00170804"/>
    <w:rsid w:val="001708E9"/>
    <w:rsid w:val="001716B0"/>
    <w:rsid w:val="00172407"/>
    <w:rsid w:val="0017335D"/>
    <w:rsid w:val="0017340B"/>
    <w:rsid w:val="001736F2"/>
    <w:rsid w:val="00173FB1"/>
    <w:rsid w:val="001753D2"/>
    <w:rsid w:val="001753DF"/>
    <w:rsid w:val="001763F4"/>
    <w:rsid w:val="00176672"/>
    <w:rsid w:val="00176CA2"/>
    <w:rsid w:val="00176DFD"/>
    <w:rsid w:val="00181DA3"/>
    <w:rsid w:val="00183B82"/>
    <w:rsid w:val="00185067"/>
    <w:rsid w:val="001852C9"/>
    <w:rsid w:val="00186B8B"/>
    <w:rsid w:val="00187CC4"/>
    <w:rsid w:val="00190087"/>
    <w:rsid w:val="001910C2"/>
    <w:rsid w:val="001913C4"/>
    <w:rsid w:val="0019190D"/>
    <w:rsid w:val="0019348F"/>
    <w:rsid w:val="00193895"/>
    <w:rsid w:val="00193A07"/>
    <w:rsid w:val="00194C95"/>
    <w:rsid w:val="00195C34"/>
    <w:rsid w:val="001A014C"/>
    <w:rsid w:val="001A0201"/>
    <w:rsid w:val="001A0EEB"/>
    <w:rsid w:val="001A1A53"/>
    <w:rsid w:val="001A234A"/>
    <w:rsid w:val="001A2399"/>
    <w:rsid w:val="001A27DD"/>
    <w:rsid w:val="001A583F"/>
    <w:rsid w:val="001A5E8E"/>
    <w:rsid w:val="001A669C"/>
    <w:rsid w:val="001B06E8"/>
    <w:rsid w:val="001B35B4"/>
    <w:rsid w:val="001B4314"/>
    <w:rsid w:val="001B44C2"/>
    <w:rsid w:val="001B4F29"/>
    <w:rsid w:val="001B71D0"/>
    <w:rsid w:val="001B71EE"/>
    <w:rsid w:val="001B793E"/>
    <w:rsid w:val="001B7F3F"/>
    <w:rsid w:val="001C04A8"/>
    <w:rsid w:val="001C169A"/>
    <w:rsid w:val="001C1AE0"/>
    <w:rsid w:val="001C2C03"/>
    <w:rsid w:val="001C42F7"/>
    <w:rsid w:val="001C47EB"/>
    <w:rsid w:val="001C49E5"/>
    <w:rsid w:val="001C49F1"/>
    <w:rsid w:val="001C680C"/>
    <w:rsid w:val="001C6D28"/>
    <w:rsid w:val="001C7FEA"/>
    <w:rsid w:val="001D0499"/>
    <w:rsid w:val="001D0BBE"/>
    <w:rsid w:val="001D0ED4"/>
    <w:rsid w:val="001D1873"/>
    <w:rsid w:val="001D1C53"/>
    <w:rsid w:val="001D2076"/>
    <w:rsid w:val="001D212F"/>
    <w:rsid w:val="001D29D7"/>
    <w:rsid w:val="001D2DE7"/>
    <w:rsid w:val="001D36E4"/>
    <w:rsid w:val="001D411C"/>
    <w:rsid w:val="001D56A6"/>
    <w:rsid w:val="001D6252"/>
    <w:rsid w:val="001E1B6A"/>
    <w:rsid w:val="001E2484"/>
    <w:rsid w:val="001E3671"/>
    <w:rsid w:val="001E3CC4"/>
    <w:rsid w:val="001E3E75"/>
    <w:rsid w:val="001E3E8A"/>
    <w:rsid w:val="001E4882"/>
    <w:rsid w:val="001E63EB"/>
    <w:rsid w:val="001E6A41"/>
    <w:rsid w:val="001E73AB"/>
    <w:rsid w:val="001F060F"/>
    <w:rsid w:val="001F092D"/>
    <w:rsid w:val="001F143A"/>
    <w:rsid w:val="001F1605"/>
    <w:rsid w:val="001F199B"/>
    <w:rsid w:val="001F2508"/>
    <w:rsid w:val="001F472E"/>
    <w:rsid w:val="001F4816"/>
    <w:rsid w:val="001F4855"/>
    <w:rsid w:val="001F4BCB"/>
    <w:rsid w:val="001F5544"/>
    <w:rsid w:val="001F58E4"/>
    <w:rsid w:val="001F5901"/>
    <w:rsid w:val="001F62EF"/>
    <w:rsid w:val="001F69B4"/>
    <w:rsid w:val="001F77C7"/>
    <w:rsid w:val="001F7BBC"/>
    <w:rsid w:val="001F7DB1"/>
    <w:rsid w:val="00200183"/>
    <w:rsid w:val="0020107D"/>
    <w:rsid w:val="00201163"/>
    <w:rsid w:val="00202AA4"/>
    <w:rsid w:val="002031F7"/>
    <w:rsid w:val="002040E6"/>
    <w:rsid w:val="0020527B"/>
    <w:rsid w:val="002063DC"/>
    <w:rsid w:val="00210B15"/>
    <w:rsid w:val="00210EE6"/>
    <w:rsid w:val="00211456"/>
    <w:rsid w:val="00212E13"/>
    <w:rsid w:val="00213460"/>
    <w:rsid w:val="002142EA"/>
    <w:rsid w:val="002149F3"/>
    <w:rsid w:val="00214AAA"/>
    <w:rsid w:val="00216ECE"/>
    <w:rsid w:val="00217E6C"/>
    <w:rsid w:val="002203CD"/>
    <w:rsid w:val="002204BB"/>
    <w:rsid w:val="00221B79"/>
    <w:rsid w:val="00221C6B"/>
    <w:rsid w:val="00223457"/>
    <w:rsid w:val="00224496"/>
    <w:rsid w:val="002248D8"/>
    <w:rsid w:val="002253A1"/>
    <w:rsid w:val="0022566C"/>
    <w:rsid w:val="00225CF8"/>
    <w:rsid w:val="00227669"/>
    <w:rsid w:val="0022794E"/>
    <w:rsid w:val="0023113A"/>
    <w:rsid w:val="002311E0"/>
    <w:rsid w:val="002320A5"/>
    <w:rsid w:val="00233D64"/>
    <w:rsid w:val="0023482A"/>
    <w:rsid w:val="002357E5"/>
    <w:rsid w:val="002359CB"/>
    <w:rsid w:val="00236019"/>
    <w:rsid w:val="00237730"/>
    <w:rsid w:val="00237A8C"/>
    <w:rsid w:val="00237E99"/>
    <w:rsid w:val="00240144"/>
    <w:rsid w:val="00243540"/>
    <w:rsid w:val="0024497B"/>
    <w:rsid w:val="0024515B"/>
    <w:rsid w:val="00246021"/>
    <w:rsid w:val="0024666E"/>
    <w:rsid w:val="00247F52"/>
    <w:rsid w:val="0025031E"/>
    <w:rsid w:val="00250B25"/>
    <w:rsid w:val="00250BBE"/>
    <w:rsid w:val="0025194F"/>
    <w:rsid w:val="002526BF"/>
    <w:rsid w:val="00255F02"/>
    <w:rsid w:val="00256A62"/>
    <w:rsid w:val="00256DFA"/>
    <w:rsid w:val="00260470"/>
    <w:rsid w:val="00260AC3"/>
    <w:rsid w:val="00260AFC"/>
    <w:rsid w:val="0026148A"/>
    <w:rsid w:val="00262696"/>
    <w:rsid w:val="00263266"/>
    <w:rsid w:val="002643C3"/>
    <w:rsid w:val="00264A0C"/>
    <w:rsid w:val="002650AD"/>
    <w:rsid w:val="00267EF4"/>
    <w:rsid w:val="00270CB8"/>
    <w:rsid w:val="00271E0A"/>
    <w:rsid w:val="0027230E"/>
    <w:rsid w:val="00272B08"/>
    <w:rsid w:val="002779E0"/>
    <w:rsid w:val="00277C67"/>
    <w:rsid w:val="00281BB8"/>
    <w:rsid w:val="00281E9E"/>
    <w:rsid w:val="002835A7"/>
    <w:rsid w:val="00283A9F"/>
    <w:rsid w:val="002847E0"/>
    <w:rsid w:val="00285170"/>
    <w:rsid w:val="00285361"/>
    <w:rsid w:val="002911CC"/>
    <w:rsid w:val="00292652"/>
    <w:rsid w:val="00292D60"/>
    <w:rsid w:val="002942D9"/>
    <w:rsid w:val="002943A2"/>
    <w:rsid w:val="00294D34"/>
    <w:rsid w:val="00294E3B"/>
    <w:rsid w:val="00294F38"/>
    <w:rsid w:val="00296193"/>
    <w:rsid w:val="002966EF"/>
    <w:rsid w:val="00296C66"/>
    <w:rsid w:val="00296EBE"/>
    <w:rsid w:val="00297338"/>
    <w:rsid w:val="00297419"/>
    <w:rsid w:val="002974E3"/>
    <w:rsid w:val="002975F7"/>
    <w:rsid w:val="002A084B"/>
    <w:rsid w:val="002A08BA"/>
    <w:rsid w:val="002A1260"/>
    <w:rsid w:val="002A1589"/>
    <w:rsid w:val="002A1608"/>
    <w:rsid w:val="002A210A"/>
    <w:rsid w:val="002A25DC"/>
    <w:rsid w:val="002A2DEB"/>
    <w:rsid w:val="002A30F5"/>
    <w:rsid w:val="002A3636"/>
    <w:rsid w:val="002A3AAB"/>
    <w:rsid w:val="002A4B1C"/>
    <w:rsid w:val="002A4CEA"/>
    <w:rsid w:val="002A5977"/>
    <w:rsid w:val="002A5A13"/>
    <w:rsid w:val="002A6AED"/>
    <w:rsid w:val="002A6DF2"/>
    <w:rsid w:val="002A7F44"/>
    <w:rsid w:val="002B060A"/>
    <w:rsid w:val="002B0C40"/>
    <w:rsid w:val="002B1966"/>
    <w:rsid w:val="002B2952"/>
    <w:rsid w:val="002B4508"/>
    <w:rsid w:val="002B4893"/>
    <w:rsid w:val="002B5779"/>
    <w:rsid w:val="002B7332"/>
    <w:rsid w:val="002B7F51"/>
    <w:rsid w:val="002C09E7"/>
    <w:rsid w:val="002C173A"/>
    <w:rsid w:val="002C1B28"/>
    <w:rsid w:val="002C1B99"/>
    <w:rsid w:val="002C2120"/>
    <w:rsid w:val="002C2D30"/>
    <w:rsid w:val="002C3266"/>
    <w:rsid w:val="002C3B97"/>
    <w:rsid w:val="002C3F07"/>
    <w:rsid w:val="002C3F34"/>
    <w:rsid w:val="002C448B"/>
    <w:rsid w:val="002C5278"/>
    <w:rsid w:val="002C62E1"/>
    <w:rsid w:val="002C7EBB"/>
    <w:rsid w:val="002D06C1"/>
    <w:rsid w:val="002D0947"/>
    <w:rsid w:val="002D42B5"/>
    <w:rsid w:val="002D4DA8"/>
    <w:rsid w:val="002D4F1A"/>
    <w:rsid w:val="002D5E2A"/>
    <w:rsid w:val="002D6EC6"/>
    <w:rsid w:val="002D79AC"/>
    <w:rsid w:val="002D7E4C"/>
    <w:rsid w:val="002E039D"/>
    <w:rsid w:val="002E4D5A"/>
    <w:rsid w:val="002E6326"/>
    <w:rsid w:val="002F0052"/>
    <w:rsid w:val="002F0514"/>
    <w:rsid w:val="002F30E0"/>
    <w:rsid w:val="002F32EF"/>
    <w:rsid w:val="002F35E4"/>
    <w:rsid w:val="002F3730"/>
    <w:rsid w:val="002F38E1"/>
    <w:rsid w:val="002F439B"/>
    <w:rsid w:val="002F5C44"/>
    <w:rsid w:val="002F62C0"/>
    <w:rsid w:val="002F7AF6"/>
    <w:rsid w:val="00300E63"/>
    <w:rsid w:val="003015DB"/>
    <w:rsid w:val="00301DBA"/>
    <w:rsid w:val="00302569"/>
    <w:rsid w:val="0030287E"/>
    <w:rsid w:val="00302F5F"/>
    <w:rsid w:val="0030374D"/>
    <w:rsid w:val="0030433F"/>
    <w:rsid w:val="0030441D"/>
    <w:rsid w:val="00304BE9"/>
    <w:rsid w:val="00306063"/>
    <w:rsid w:val="003065D0"/>
    <w:rsid w:val="00307259"/>
    <w:rsid w:val="00310FFB"/>
    <w:rsid w:val="00312FE9"/>
    <w:rsid w:val="00313B85"/>
    <w:rsid w:val="00314BDF"/>
    <w:rsid w:val="00315B94"/>
    <w:rsid w:val="00316791"/>
    <w:rsid w:val="003177DF"/>
    <w:rsid w:val="00317988"/>
    <w:rsid w:val="00317C68"/>
    <w:rsid w:val="0032166B"/>
    <w:rsid w:val="003221B4"/>
    <w:rsid w:val="00322E62"/>
    <w:rsid w:val="00323620"/>
    <w:rsid w:val="00324EDD"/>
    <w:rsid w:val="003263FC"/>
    <w:rsid w:val="003278DE"/>
    <w:rsid w:val="0033101C"/>
    <w:rsid w:val="00331784"/>
    <w:rsid w:val="00331B82"/>
    <w:rsid w:val="00331E94"/>
    <w:rsid w:val="00332EAA"/>
    <w:rsid w:val="00334085"/>
    <w:rsid w:val="00334673"/>
    <w:rsid w:val="003351EB"/>
    <w:rsid w:val="00335EA9"/>
    <w:rsid w:val="00336C64"/>
    <w:rsid w:val="00337162"/>
    <w:rsid w:val="00337275"/>
    <w:rsid w:val="0034071B"/>
    <w:rsid w:val="0034194F"/>
    <w:rsid w:val="00342521"/>
    <w:rsid w:val="003429AE"/>
    <w:rsid w:val="00342C5B"/>
    <w:rsid w:val="00344605"/>
    <w:rsid w:val="0034466F"/>
    <w:rsid w:val="00344CAB"/>
    <w:rsid w:val="00346A69"/>
    <w:rsid w:val="003474AA"/>
    <w:rsid w:val="00350D1D"/>
    <w:rsid w:val="0035150F"/>
    <w:rsid w:val="00351F92"/>
    <w:rsid w:val="003522BC"/>
    <w:rsid w:val="00352C83"/>
    <w:rsid w:val="00353BBB"/>
    <w:rsid w:val="00355C2B"/>
    <w:rsid w:val="003603BD"/>
    <w:rsid w:val="003615D2"/>
    <w:rsid w:val="00363E78"/>
    <w:rsid w:val="0036401C"/>
    <w:rsid w:val="0036429C"/>
    <w:rsid w:val="00364A53"/>
    <w:rsid w:val="00364B04"/>
    <w:rsid w:val="003654CB"/>
    <w:rsid w:val="00365F86"/>
    <w:rsid w:val="00365F87"/>
    <w:rsid w:val="00366299"/>
    <w:rsid w:val="00366E8C"/>
    <w:rsid w:val="003671E3"/>
    <w:rsid w:val="0036760E"/>
    <w:rsid w:val="00370135"/>
    <w:rsid w:val="003705F4"/>
    <w:rsid w:val="00370D58"/>
    <w:rsid w:val="00371316"/>
    <w:rsid w:val="00372BD7"/>
    <w:rsid w:val="003737B0"/>
    <w:rsid w:val="003745BC"/>
    <w:rsid w:val="00375995"/>
    <w:rsid w:val="0037617D"/>
    <w:rsid w:val="00376713"/>
    <w:rsid w:val="00377487"/>
    <w:rsid w:val="00381815"/>
    <w:rsid w:val="003819AF"/>
    <w:rsid w:val="003820E9"/>
    <w:rsid w:val="00382DE7"/>
    <w:rsid w:val="003832C6"/>
    <w:rsid w:val="0038445B"/>
    <w:rsid w:val="00384967"/>
    <w:rsid w:val="00384FFC"/>
    <w:rsid w:val="00386D1B"/>
    <w:rsid w:val="003872FC"/>
    <w:rsid w:val="00387594"/>
    <w:rsid w:val="003876E9"/>
    <w:rsid w:val="00387ADC"/>
    <w:rsid w:val="00390020"/>
    <w:rsid w:val="003903D6"/>
    <w:rsid w:val="003906E5"/>
    <w:rsid w:val="003909F7"/>
    <w:rsid w:val="00390EE6"/>
    <w:rsid w:val="0039118F"/>
    <w:rsid w:val="0039122B"/>
    <w:rsid w:val="00392310"/>
    <w:rsid w:val="00392AD7"/>
    <w:rsid w:val="00392C1E"/>
    <w:rsid w:val="00393841"/>
    <w:rsid w:val="003938D9"/>
    <w:rsid w:val="00394376"/>
    <w:rsid w:val="003943FF"/>
    <w:rsid w:val="00395697"/>
    <w:rsid w:val="00396A57"/>
    <w:rsid w:val="003974EB"/>
    <w:rsid w:val="003977F6"/>
    <w:rsid w:val="00397CC5"/>
    <w:rsid w:val="003A0869"/>
    <w:rsid w:val="003A1582"/>
    <w:rsid w:val="003A4077"/>
    <w:rsid w:val="003A548A"/>
    <w:rsid w:val="003A5779"/>
    <w:rsid w:val="003A5E89"/>
    <w:rsid w:val="003A69B6"/>
    <w:rsid w:val="003B09AD"/>
    <w:rsid w:val="003B1A90"/>
    <w:rsid w:val="003B1F18"/>
    <w:rsid w:val="003B2F44"/>
    <w:rsid w:val="003B308D"/>
    <w:rsid w:val="003B5BF0"/>
    <w:rsid w:val="003B60BF"/>
    <w:rsid w:val="003B6BE3"/>
    <w:rsid w:val="003B7BC7"/>
    <w:rsid w:val="003C0101"/>
    <w:rsid w:val="003C010C"/>
    <w:rsid w:val="003C0A6C"/>
    <w:rsid w:val="003C4B00"/>
    <w:rsid w:val="003C4D22"/>
    <w:rsid w:val="003C5A43"/>
    <w:rsid w:val="003D01BF"/>
    <w:rsid w:val="003D0519"/>
    <w:rsid w:val="003D0FF6"/>
    <w:rsid w:val="003D262C"/>
    <w:rsid w:val="003D4E52"/>
    <w:rsid w:val="003D6812"/>
    <w:rsid w:val="003D6D61"/>
    <w:rsid w:val="003D770A"/>
    <w:rsid w:val="003E091D"/>
    <w:rsid w:val="003E0BF4"/>
    <w:rsid w:val="003E1C53"/>
    <w:rsid w:val="003E2A69"/>
    <w:rsid w:val="003E2D49"/>
    <w:rsid w:val="003E2FD4"/>
    <w:rsid w:val="003E37B7"/>
    <w:rsid w:val="003E49A4"/>
    <w:rsid w:val="003E49F6"/>
    <w:rsid w:val="003E4FA1"/>
    <w:rsid w:val="003E57AA"/>
    <w:rsid w:val="003E6968"/>
    <w:rsid w:val="003E7390"/>
    <w:rsid w:val="003E7B0C"/>
    <w:rsid w:val="003F0841"/>
    <w:rsid w:val="003F1266"/>
    <w:rsid w:val="003F23D3"/>
    <w:rsid w:val="003F3CBD"/>
    <w:rsid w:val="003F3F08"/>
    <w:rsid w:val="003F4789"/>
    <w:rsid w:val="003F49F1"/>
    <w:rsid w:val="003F6272"/>
    <w:rsid w:val="003F738C"/>
    <w:rsid w:val="0040080D"/>
    <w:rsid w:val="00400E72"/>
    <w:rsid w:val="00401400"/>
    <w:rsid w:val="004019AD"/>
    <w:rsid w:val="004024CA"/>
    <w:rsid w:val="00404869"/>
    <w:rsid w:val="00405884"/>
    <w:rsid w:val="00406AE1"/>
    <w:rsid w:val="00407D39"/>
    <w:rsid w:val="00407F45"/>
    <w:rsid w:val="004112CD"/>
    <w:rsid w:val="00411DA7"/>
    <w:rsid w:val="00412071"/>
    <w:rsid w:val="0041251D"/>
    <w:rsid w:val="00413011"/>
    <w:rsid w:val="004138AD"/>
    <w:rsid w:val="0041477A"/>
    <w:rsid w:val="00415689"/>
    <w:rsid w:val="00415B14"/>
    <w:rsid w:val="004167A3"/>
    <w:rsid w:val="0041775E"/>
    <w:rsid w:val="00417B57"/>
    <w:rsid w:val="0042084F"/>
    <w:rsid w:val="00424564"/>
    <w:rsid w:val="00430417"/>
    <w:rsid w:val="00431536"/>
    <w:rsid w:val="004325CE"/>
    <w:rsid w:val="00432717"/>
    <w:rsid w:val="00432DAA"/>
    <w:rsid w:val="0043385A"/>
    <w:rsid w:val="00434305"/>
    <w:rsid w:val="004347D3"/>
    <w:rsid w:val="0043489E"/>
    <w:rsid w:val="00435044"/>
    <w:rsid w:val="00435DF7"/>
    <w:rsid w:val="00437602"/>
    <w:rsid w:val="0044083F"/>
    <w:rsid w:val="00441A83"/>
    <w:rsid w:val="00441AE7"/>
    <w:rsid w:val="00441AFF"/>
    <w:rsid w:val="00441EF0"/>
    <w:rsid w:val="00445574"/>
    <w:rsid w:val="004467FB"/>
    <w:rsid w:val="00450688"/>
    <w:rsid w:val="0045106D"/>
    <w:rsid w:val="00451079"/>
    <w:rsid w:val="00451CE6"/>
    <w:rsid w:val="00452C85"/>
    <w:rsid w:val="00452D6B"/>
    <w:rsid w:val="00453F4D"/>
    <w:rsid w:val="00454484"/>
    <w:rsid w:val="0045517B"/>
    <w:rsid w:val="004554A1"/>
    <w:rsid w:val="004606AE"/>
    <w:rsid w:val="00461AC9"/>
    <w:rsid w:val="00463B77"/>
    <w:rsid w:val="00463C7B"/>
    <w:rsid w:val="0046409C"/>
    <w:rsid w:val="004644A6"/>
    <w:rsid w:val="004659BD"/>
    <w:rsid w:val="00466AD9"/>
    <w:rsid w:val="004674F5"/>
    <w:rsid w:val="00470116"/>
    <w:rsid w:val="00470775"/>
    <w:rsid w:val="00470B8B"/>
    <w:rsid w:val="00473F3D"/>
    <w:rsid w:val="004746B1"/>
    <w:rsid w:val="00474A3B"/>
    <w:rsid w:val="0047583F"/>
    <w:rsid w:val="004774F9"/>
    <w:rsid w:val="004823BA"/>
    <w:rsid w:val="00482B7B"/>
    <w:rsid w:val="0048470A"/>
    <w:rsid w:val="00484936"/>
    <w:rsid w:val="00484C80"/>
    <w:rsid w:val="00485C89"/>
    <w:rsid w:val="00485D1C"/>
    <w:rsid w:val="00486BE3"/>
    <w:rsid w:val="00486C0B"/>
    <w:rsid w:val="004905E4"/>
    <w:rsid w:val="00490A89"/>
    <w:rsid w:val="00490AB4"/>
    <w:rsid w:val="00490FD3"/>
    <w:rsid w:val="0049126A"/>
    <w:rsid w:val="00492F02"/>
    <w:rsid w:val="0049396D"/>
    <w:rsid w:val="004939AE"/>
    <w:rsid w:val="00495983"/>
    <w:rsid w:val="00496F02"/>
    <w:rsid w:val="0049790F"/>
    <w:rsid w:val="004A12DF"/>
    <w:rsid w:val="004A1BA8"/>
    <w:rsid w:val="004A241A"/>
    <w:rsid w:val="004A2884"/>
    <w:rsid w:val="004A4B57"/>
    <w:rsid w:val="004A63FA"/>
    <w:rsid w:val="004A78F0"/>
    <w:rsid w:val="004B0DB0"/>
    <w:rsid w:val="004B171A"/>
    <w:rsid w:val="004B2701"/>
    <w:rsid w:val="004B2E1B"/>
    <w:rsid w:val="004B3E93"/>
    <w:rsid w:val="004B3F02"/>
    <w:rsid w:val="004B54E3"/>
    <w:rsid w:val="004B6D3A"/>
    <w:rsid w:val="004C04CE"/>
    <w:rsid w:val="004C1FBC"/>
    <w:rsid w:val="004C309C"/>
    <w:rsid w:val="004C369D"/>
    <w:rsid w:val="004C3F1D"/>
    <w:rsid w:val="004C458D"/>
    <w:rsid w:val="004C4BD9"/>
    <w:rsid w:val="004C63A1"/>
    <w:rsid w:val="004C6B90"/>
    <w:rsid w:val="004C7556"/>
    <w:rsid w:val="004C7E9D"/>
    <w:rsid w:val="004C7F67"/>
    <w:rsid w:val="004D076D"/>
    <w:rsid w:val="004D0EF1"/>
    <w:rsid w:val="004D2253"/>
    <w:rsid w:val="004D2333"/>
    <w:rsid w:val="004D2372"/>
    <w:rsid w:val="004D33BD"/>
    <w:rsid w:val="004D41EE"/>
    <w:rsid w:val="004D432F"/>
    <w:rsid w:val="004D4406"/>
    <w:rsid w:val="004D52CD"/>
    <w:rsid w:val="004D7C42"/>
    <w:rsid w:val="004E0465"/>
    <w:rsid w:val="004E127B"/>
    <w:rsid w:val="004E1C0A"/>
    <w:rsid w:val="004E2302"/>
    <w:rsid w:val="004E2B4E"/>
    <w:rsid w:val="004E30C5"/>
    <w:rsid w:val="004E3775"/>
    <w:rsid w:val="004E3806"/>
    <w:rsid w:val="004E3E8C"/>
    <w:rsid w:val="004E418E"/>
    <w:rsid w:val="004E4AA5"/>
    <w:rsid w:val="004E4AEE"/>
    <w:rsid w:val="004E5690"/>
    <w:rsid w:val="004E59E3"/>
    <w:rsid w:val="004E67C0"/>
    <w:rsid w:val="004E70FA"/>
    <w:rsid w:val="004E7E49"/>
    <w:rsid w:val="004F048C"/>
    <w:rsid w:val="004F1199"/>
    <w:rsid w:val="004F2817"/>
    <w:rsid w:val="004F391A"/>
    <w:rsid w:val="004F3CFB"/>
    <w:rsid w:val="004F5149"/>
    <w:rsid w:val="004F6456"/>
    <w:rsid w:val="004F696E"/>
    <w:rsid w:val="004F6C71"/>
    <w:rsid w:val="004F7281"/>
    <w:rsid w:val="00501139"/>
    <w:rsid w:val="0050124A"/>
    <w:rsid w:val="0050140E"/>
    <w:rsid w:val="00501988"/>
    <w:rsid w:val="005029F3"/>
    <w:rsid w:val="0050363E"/>
    <w:rsid w:val="005039BC"/>
    <w:rsid w:val="005043BB"/>
    <w:rsid w:val="0050496D"/>
    <w:rsid w:val="00504A3D"/>
    <w:rsid w:val="00505767"/>
    <w:rsid w:val="005058AA"/>
    <w:rsid w:val="00505B55"/>
    <w:rsid w:val="005073F0"/>
    <w:rsid w:val="00510A7B"/>
    <w:rsid w:val="00510A8A"/>
    <w:rsid w:val="00510C8A"/>
    <w:rsid w:val="00511576"/>
    <w:rsid w:val="00512F6E"/>
    <w:rsid w:val="00513038"/>
    <w:rsid w:val="00513FDF"/>
    <w:rsid w:val="00514142"/>
    <w:rsid w:val="00514174"/>
    <w:rsid w:val="00514674"/>
    <w:rsid w:val="005147D4"/>
    <w:rsid w:val="00514DF9"/>
    <w:rsid w:val="00516088"/>
    <w:rsid w:val="00516473"/>
    <w:rsid w:val="00516B0B"/>
    <w:rsid w:val="005220EC"/>
    <w:rsid w:val="0052261E"/>
    <w:rsid w:val="00523F95"/>
    <w:rsid w:val="005243CF"/>
    <w:rsid w:val="00524D65"/>
    <w:rsid w:val="0052595B"/>
    <w:rsid w:val="00525B16"/>
    <w:rsid w:val="00527D86"/>
    <w:rsid w:val="00530F54"/>
    <w:rsid w:val="00533D04"/>
    <w:rsid w:val="00534804"/>
    <w:rsid w:val="00534BDF"/>
    <w:rsid w:val="005354EA"/>
    <w:rsid w:val="0053591F"/>
    <w:rsid w:val="00535EC4"/>
    <w:rsid w:val="00535ED9"/>
    <w:rsid w:val="0053692B"/>
    <w:rsid w:val="00537063"/>
    <w:rsid w:val="00537A0E"/>
    <w:rsid w:val="00537D86"/>
    <w:rsid w:val="00541245"/>
    <w:rsid w:val="00541853"/>
    <w:rsid w:val="00541D72"/>
    <w:rsid w:val="005432DF"/>
    <w:rsid w:val="00543509"/>
    <w:rsid w:val="00543BDA"/>
    <w:rsid w:val="005441CC"/>
    <w:rsid w:val="00545815"/>
    <w:rsid w:val="005479DA"/>
    <w:rsid w:val="00547BCC"/>
    <w:rsid w:val="0055013B"/>
    <w:rsid w:val="005510FB"/>
    <w:rsid w:val="00551F6F"/>
    <w:rsid w:val="00552909"/>
    <w:rsid w:val="00555044"/>
    <w:rsid w:val="00556D6C"/>
    <w:rsid w:val="00560F68"/>
    <w:rsid w:val="00561470"/>
    <w:rsid w:val="00561475"/>
    <w:rsid w:val="005633E1"/>
    <w:rsid w:val="0056487B"/>
    <w:rsid w:val="00564A2D"/>
    <w:rsid w:val="00564FB9"/>
    <w:rsid w:val="00572010"/>
    <w:rsid w:val="005727B3"/>
    <w:rsid w:val="005739EB"/>
    <w:rsid w:val="00573D9E"/>
    <w:rsid w:val="00576275"/>
    <w:rsid w:val="00576902"/>
    <w:rsid w:val="005777D2"/>
    <w:rsid w:val="005801E3"/>
    <w:rsid w:val="00581802"/>
    <w:rsid w:val="00582647"/>
    <w:rsid w:val="005836A8"/>
    <w:rsid w:val="00583834"/>
    <w:rsid w:val="00583CC9"/>
    <w:rsid w:val="00584262"/>
    <w:rsid w:val="005857F0"/>
    <w:rsid w:val="00585FC1"/>
    <w:rsid w:val="00586630"/>
    <w:rsid w:val="00586D63"/>
    <w:rsid w:val="00587ADD"/>
    <w:rsid w:val="00591351"/>
    <w:rsid w:val="00592EDA"/>
    <w:rsid w:val="00593E53"/>
    <w:rsid w:val="00594373"/>
    <w:rsid w:val="00595226"/>
    <w:rsid w:val="0059559F"/>
    <w:rsid w:val="00596160"/>
    <w:rsid w:val="005966E2"/>
    <w:rsid w:val="00597007"/>
    <w:rsid w:val="005A039A"/>
    <w:rsid w:val="005A0966"/>
    <w:rsid w:val="005A11B7"/>
    <w:rsid w:val="005A227C"/>
    <w:rsid w:val="005A260B"/>
    <w:rsid w:val="005A2F6C"/>
    <w:rsid w:val="005A4A1B"/>
    <w:rsid w:val="005A56EC"/>
    <w:rsid w:val="005A5FC5"/>
    <w:rsid w:val="005A7351"/>
    <w:rsid w:val="005A7466"/>
    <w:rsid w:val="005A7830"/>
    <w:rsid w:val="005A789C"/>
    <w:rsid w:val="005A79A2"/>
    <w:rsid w:val="005A7FCE"/>
    <w:rsid w:val="005B0F3F"/>
    <w:rsid w:val="005B11A7"/>
    <w:rsid w:val="005B1F9C"/>
    <w:rsid w:val="005B1FC5"/>
    <w:rsid w:val="005B4903"/>
    <w:rsid w:val="005B51CE"/>
    <w:rsid w:val="005B5885"/>
    <w:rsid w:val="005B5CD7"/>
    <w:rsid w:val="005B6CF6"/>
    <w:rsid w:val="005B6F5F"/>
    <w:rsid w:val="005B7422"/>
    <w:rsid w:val="005B776B"/>
    <w:rsid w:val="005C150A"/>
    <w:rsid w:val="005C29B8"/>
    <w:rsid w:val="005C2A2E"/>
    <w:rsid w:val="005C5B04"/>
    <w:rsid w:val="005C5CD3"/>
    <w:rsid w:val="005C5F21"/>
    <w:rsid w:val="005C7156"/>
    <w:rsid w:val="005D04E4"/>
    <w:rsid w:val="005D0639"/>
    <w:rsid w:val="005D0C75"/>
    <w:rsid w:val="005D2675"/>
    <w:rsid w:val="005D347F"/>
    <w:rsid w:val="005D4171"/>
    <w:rsid w:val="005D4B9E"/>
    <w:rsid w:val="005D524E"/>
    <w:rsid w:val="005D6A95"/>
    <w:rsid w:val="005D6B2C"/>
    <w:rsid w:val="005D6D9C"/>
    <w:rsid w:val="005E0512"/>
    <w:rsid w:val="005E0F89"/>
    <w:rsid w:val="005E1C9D"/>
    <w:rsid w:val="005E2335"/>
    <w:rsid w:val="005E2C0F"/>
    <w:rsid w:val="005E34CA"/>
    <w:rsid w:val="005E3C18"/>
    <w:rsid w:val="005E4918"/>
    <w:rsid w:val="005E7881"/>
    <w:rsid w:val="005E78E0"/>
    <w:rsid w:val="005F0017"/>
    <w:rsid w:val="005F02EB"/>
    <w:rsid w:val="005F0D9C"/>
    <w:rsid w:val="005F0E74"/>
    <w:rsid w:val="005F158F"/>
    <w:rsid w:val="005F284E"/>
    <w:rsid w:val="005F5CF9"/>
    <w:rsid w:val="005F6DD7"/>
    <w:rsid w:val="005F711D"/>
    <w:rsid w:val="00600189"/>
    <w:rsid w:val="006002B2"/>
    <w:rsid w:val="006015CE"/>
    <w:rsid w:val="00601A50"/>
    <w:rsid w:val="00604784"/>
    <w:rsid w:val="006054EF"/>
    <w:rsid w:val="00605587"/>
    <w:rsid w:val="00606419"/>
    <w:rsid w:val="00607D29"/>
    <w:rsid w:val="00610872"/>
    <w:rsid w:val="00612952"/>
    <w:rsid w:val="006147B4"/>
    <w:rsid w:val="00614CC1"/>
    <w:rsid w:val="00614E87"/>
    <w:rsid w:val="00615A9D"/>
    <w:rsid w:val="006162BE"/>
    <w:rsid w:val="0061691B"/>
    <w:rsid w:val="00616BBB"/>
    <w:rsid w:val="00617387"/>
    <w:rsid w:val="00617FE4"/>
    <w:rsid w:val="00621D3F"/>
    <w:rsid w:val="0062276A"/>
    <w:rsid w:val="00624E14"/>
    <w:rsid w:val="006252D8"/>
    <w:rsid w:val="006259BC"/>
    <w:rsid w:val="00625FB9"/>
    <w:rsid w:val="006261F7"/>
    <w:rsid w:val="0062636B"/>
    <w:rsid w:val="006263A1"/>
    <w:rsid w:val="00626922"/>
    <w:rsid w:val="00626CF6"/>
    <w:rsid w:val="00626E35"/>
    <w:rsid w:val="00627A9B"/>
    <w:rsid w:val="00630722"/>
    <w:rsid w:val="00632182"/>
    <w:rsid w:val="006324C6"/>
    <w:rsid w:val="00632AE0"/>
    <w:rsid w:val="00633A77"/>
    <w:rsid w:val="00633C17"/>
    <w:rsid w:val="00634AC7"/>
    <w:rsid w:val="006359D5"/>
    <w:rsid w:val="00636760"/>
    <w:rsid w:val="00636E3E"/>
    <w:rsid w:val="006379F7"/>
    <w:rsid w:val="00637D43"/>
    <w:rsid w:val="00637E4D"/>
    <w:rsid w:val="00640620"/>
    <w:rsid w:val="00640F61"/>
    <w:rsid w:val="00641A1F"/>
    <w:rsid w:val="00642C92"/>
    <w:rsid w:val="00642DF6"/>
    <w:rsid w:val="00645904"/>
    <w:rsid w:val="006461A4"/>
    <w:rsid w:val="00650BED"/>
    <w:rsid w:val="00651ACB"/>
    <w:rsid w:val="00651C47"/>
    <w:rsid w:val="00652AB2"/>
    <w:rsid w:val="0065317F"/>
    <w:rsid w:val="0065445D"/>
    <w:rsid w:val="00654EC0"/>
    <w:rsid w:val="0065525B"/>
    <w:rsid w:val="00655D4F"/>
    <w:rsid w:val="00656358"/>
    <w:rsid w:val="006572D3"/>
    <w:rsid w:val="006640E5"/>
    <w:rsid w:val="006646F1"/>
    <w:rsid w:val="00664929"/>
    <w:rsid w:val="006649F2"/>
    <w:rsid w:val="00664F62"/>
    <w:rsid w:val="006655E1"/>
    <w:rsid w:val="00665FF9"/>
    <w:rsid w:val="00666A96"/>
    <w:rsid w:val="00672060"/>
    <w:rsid w:val="00672BFD"/>
    <w:rsid w:val="00675577"/>
    <w:rsid w:val="00675635"/>
    <w:rsid w:val="006760E8"/>
    <w:rsid w:val="00676DC9"/>
    <w:rsid w:val="006770F4"/>
    <w:rsid w:val="006773F7"/>
    <w:rsid w:val="00677A84"/>
    <w:rsid w:val="0068026D"/>
    <w:rsid w:val="00680A27"/>
    <w:rsid w:val="00680F3A"/>
    <w:rsid w:val="006816A4"/>
    <w:rsid w:val="006819B8"/>
    <w:rsid w:val="006838EB"/>
    <w:rsid w:val="006840A6"/>
    <w:rsid w:val="00684416"/>
    <w:rsid w:val="006850CD"/>
    <w:rsid w:val="00685AAB"/>
    <w:rsid w:val="0068608D"/>
    <w:rsid w:val="006865F4"/>
    <w:rsid w:val="006916F3"/>
    <w:rsid w:val="0069206E"/>
    <w:rsid w:val="006920C1"/>
    <w:rsid w:val="00693172"/>
    <w:rsid w:val="00694178"/>
    <w:rsid w:val="0069453C"/>
    <w:rsid w:val="00694E8D"/>
    <w:rsid w:val="00696944"/>
    <w:rsid w:val="006A06DB"/>
    <w:rsid w:val="006A07AA"/>
    <w:rsid w:val="006A12F7"/>
    <w:rsid w:val="006A25E5"/>
    <w:rsid w:val="006A2B46"/>
    <w:rsid w:val="006A2E1C"/>
    <w:rsid w:val="006A336D"/>
    <w:rsid w:val="006A37B9"/>
    <w:rsid w:val="006A782A"/>
    <w:rsid w:val="006B03BC"/>
    <w:rsid w:val="006B2672"/>
    <w:rsid w:val="006B2D7F"/>
    <w:rsid w:val="006B346C"/>
    <w:rsid w:val="006B4C6B"/>
    <w:rsid w:val="006B54BF"/>
    <w:rsid w:val="006B5A68"/>
    <w:rsid w:val="006B5F44"/>
    <w:rsid w:val="006B5F90"/>
    <w:rsid w:val="006B62E4"/>
    <w:rsid w:val="006C0C13"/>
    <w:rsid w:val="006C1BBA"/>
    <w:rsid w:val="006C2079"/>
    <w:rsid w:val="006C2BE4"/>
    <w:rsid w:val="006C33F9"/>
    <w:rsid w:val="006C473F"/>
    <w:rsid w:val="006C5A62"/>
    <w:rsid w:val="006C5D68"/>
    <w:rsid w:val="006C5F16"/>
    <w:rsid w:val="006C6976"/>
    <w:rsid w:val="006C6DD0"/>
    <w:rsid w:val="006C6DFE"/>
    <w:rsid w:val="006C7601"/>
    <w:rsid w:val="006D04EA"/>
    <w:rsid w:val="006D16C4"/>
    <w:rsid w:val="006D3E96"/>
    <w:rsid w:val="006D4511"/>
    <w:rsid w:val="006D4515"/>
    <w:rsid w:val="006D494A"/>
    <w:rsid w:val="006D4A7F"/>
    <w:rsid w:val="006D4BB1"/>
    <w:rsid w:val="006D6593"/>
    <w:rsid w:val="006D7555"/>
    <w:rsid w:val="006E3C32"/>
    <w:rsid w:val="006E6988"/>
    <w:rsid w:val="006E7982"/>
    <w:rsid w:val="006F03A8"/>
    <w:rsid w:val="006F09A4"/>
    <w:rsid w:val="006F2320"/>
    <w:rsid w:val="006F237E"/>
    <w:rsid w:val="006F245F"/>
    <w:rsid w:val="006F2ACA"/>
    <w:rsid w:val="006F2ADC"/>
    <w:rsid w:val="006F2BFE"/>
    <w:rsid w:val="006F2CE7"/>
    <w:rsid w:val="006F30B0"/>
    <w:rsid w:val="006F31E9"/>
    <w:rsid w:val="006F5317"/>
    <w:rsid w:val="006F56EC"/>
    <w:rsid w:val="006F6284"/>
    <w:rsid w:val="007002C5"/>
    <w:rsid w:val="00702EDE"/>
    <w:rsid w:val="00703AE7"/>
    <w:rsid w:val="00704387"/>
    <w:rsid w:val="00704971"/>
    <w:rsid w:val="00706D28"/>
    <w:rsid w:val="00707669"/>
    <w:rsid w:val="00711CBA"/>
    <w:rsid w:val="00711FB5"/>
    <w:rsid w:val="00712A01"/>
    <w:rsid w:val="00713CC0"/>
    <w:rsid w:val="00714F58"/>
    <w:rsid w:val="0071616C"/>
    <w:rsid w:val="007204D2"/>
    <w:rsid w:val="00720AC5"/>
    <w:rsid w:val="00720FB1"/>
    <w:rsid w:val="00720FD8"/>
    <w:rsid w:val="007210DE"/>
    <w:rsid w:val="00721DB2"/>
    <w:rsid w:val="007225FB"/>
    <w:rsid w:val="00722B61"/>
    <w:rsid w:val="00722FBF"/>
    <w:rsid w:val="00722FC2"/>
    <w:rsid w:val="00725949"/>
    <w:rsid w:val="00727FA2"/>
    <w:rsid w:val="0073065E"/>
    <w:rsid w:val="00730990"/>
    <w:rsid w:val="00731DD5"/>
    <w:rsid w:val="0073211E"/>
    <w:rsid w:val="007322D9"/>
    <w:rsid w:val="00732BC0"/>
    <w:rsid w:val="00735473"/>
    <w:rsid w:val="007369A9"/>
    <w:rsid w:val="0073720F"/>
    <w:rsid w:val="007372DF"/>
    <w:rsid w:val="00737796"/>
    <w:rsid w:val="00740470"/>
    <w:rsid w:val="0074165C"/>
    <w:rsid w:val="00742DA6"/>
    <w:rsid w:val="007432CA"/>
    <w:rsid w:val="007439EB"/>
    <w:rsid w:val="00743B68"/>
    <w:rsid w:val="00743C5C"/>
    <w:rsid w:val="00743CB4"/>
    <w:rsid w:val="00743F0A"/>
    <w:rsid w:val="007444E8"/>
    <w:rsid w:val="00744D63"/>
    <w:rsid w:val="0074548E"/>
    <w:rsid w:val="00745773"/>
    <w:rsid w:val="00746800"/>
    <w:rsid w:val="0074756C"/>
    <w:rsid w:val="00747C4E"/>
    <w:rsid w:val="007501A8"/>
    <w:rsid w:val="00750A25"/>
    <w:rsid w:val="00750EE1"/>
    <w:rsid w:val="00751147"/>
    <w:rsid w:val="00752B4D"/>
    <w:rsid w:val="007530E7"/>
    <w:rsid w:val="00753EAA"/>
    <w:rsid w:val="00755402"/>
    <w:rsid w:val="007560AF"/>
    <w:rsid w:val="00756B26"/>
    <w:rsid w:val="00756EDF"/>
    <w:rsid w:val="00757E68"/>
    <w:rsid w:val="00760568"/>
    <w:rsid w:val="007609A2"/>
    <w:rsid w:val="00760B82"/>
    <w:rsid w:val="007615CC"/>
    <w:rsid w:val="00764326"/>
    <w:rsid w:val="007648B1"/>
    <w:rsid w:val="00764C8C"/>
    <w:rsid w:val="00765C43"/>
    <w:rsid w:val="00765EFB"/>
    <w:rsid w:val="007671CA"/>
    <w:rsid w:val="00767C61"/>
    <w:rsid w:val="0077008A"/>
    <w:rsid w:val="00771758"/>
    <w:rsid w:val="007734AB"/>
    <w:rsid w:val="00773C1F"/>
    <w:rsid w:val="0077415C"/>
    <w:rsid w:val="007745E5"/>
    <w:rsid w:val="00774DA4"/>
    <w:rsid w:val="00776599"/>
    <w:rsid w:val="007768D3"/>
    <w:rsid w:val="00776FE5"/>
    <w:rsid w:val="00780352"/>
    <w:rsid w:val="00780921"/>
    <w:rsid w:val="0078114B"/>
    <w:rsid w:val="00781DD2"/>
    <w:rsid w:val="00783ECF"/>
    <w:rsid w:val="0078413A"/>
    <w:rsid w:val="00786CED"/>
    <w:rsid w:val="00787AFD"/>
    <w:rsid w:val="00787E91"/>
    <w:rsid w:val="007903CF"/>
    <w:rsid w:val="00790CA3"/>
    <w:rsid w:val="00791010"/>
    <w:rsid w:val="00791ED5"/>
    <w:rsid w:val="007936EB"/>
    <w:rsid w:val="00793F8B"/>
    <w:rsid w:val="007959E8"/>
    <w:rsid w:val="00795E9C"/>
    <w:rsid w:val="00796D94"/>
    <w:rsid w:val="007975C9"/>
    <w:rsid w:val="007A0521"/>
    <w:rsid w:val="007A061E"/>
    <w:rsid w:val="007A26A6"/>
    <w:rsid w:val="007A2E12"/>
    <w:rsid w:val="007A3475"/>
    <w:rsid w:val="007A41C8"/>
    <w:rsid w:val="007A4B92"/>
    <w:rsid w:val="007A54CE"/>
    <w:rsid w:val="007A7FFA"/>
    <w:rsid w:val="007B04EB"/>
    <w:rsid w:val="007B0D4F"/>
    <w:rsid w:val="007B1B9A"/>
    <w:rsid w:val="007B2A0D"/>
    <w:rsid w:val="007B2B6E"/>
    <w:rsid w:val="007B3D68"/>
    <w:rsid w:val="007B5005"/>
    <w:rsid w:val="007B5A3D"/>
    <w:rsid w:val="007B5B95"/>
    <w:rsid w:val="007B68EA"/>
    <w:rsid w:val="007B6A37"/>
    <w:rsid w:val="007B6F42"/>
    <w:rsid w:val="007C0C5A"/>
    <w:rsid w:val="007C0E71"/>
    <w:rsid w:val="007C110F"/>
    <w:rsid w:val="007C19E8"/>
    <w:rsid w:val="007C1DC6"/>
    <w:rsid w:val="007C2D89"/>
    <w:rsid w:val="007C3566"/>
    <w:rsid w:val="007C3720"/>
    <w:rsid w:val="007C4370"/>
    <w:rsid w:val="007C4402"/>
    <w:rsid w:val="007C4593"/>
    <w:rsid w:val="007C5019"/>
    <w:rsid w:val="007C51CF"/>
    <w:rsid w:val="007C5309"/>
    <w:rsid w:val="007C5CCD"/>
    <w:rsid w:val="007C6018"/>
    <w:rsid w:val="007C6069"/>
    <w:rsid w:val="007D06C4"/>
    <w:rsid w:val="007D110A"/>
    <w:rsid w:val="007D1352"/>
    <w:rsid w:val="007D1DAD"/>
    <w:rsid w:val="007D2395"/>
    <w:rsid w:val="007D2508"/>
    <w:rsid w:val="007D346A"/>
    <w:rsid w:val="007D4E44"/>
    <w:rsid w:val="007D4EC0"/>
    <w:rsid w:val="007D6172"/>
    <w:rsid w:val="007D6518"/>
    <w:rsid w:val="007D6F54"/>
    <w:rsid w:val="007D6F7E"/>
    <w:rsid w:val="007D76BD"/>
    <w:rsid w:val="007D7898"/>
    <w:rsid w:val="007E034A"/>
    <w:rsid w:val="007E0BF1"/>
    <w:rsid w:val="007E0F26"/>
    <w:rsid w:val="007E2332"/>
    <w:rsid w:val="007E362D"/>
    <w:rsid w:val="007E6A07"/>
    <w:rsid w:val="007E6E34"/>
    <w:rsid w:val="007F0B73"/>
    <w:rsid w:val="007F0ED8"/>
    <w:rsid w:val="007F0F63"/>
    <w:rsid w:val="007F152A"/>
    <w:rsid w:val="007F360C"/>
    <w:rsid w:val="007F3E5F"/>
    <w:rsid w:val="007F3F38"/>
    <w:rsid w:val="007F4015"/>
    <w:rsid w:val="007F5078"/>
    <w:rsid w:val="007F63BA"/>
    <w:rsid w:val="007F716C"/>
    <w:rsid w:val="007F75CE"/>
    <w:rsid w:val="008013A4"/>
    <w:rsid w:val="00801E8A"/>
    <w:rsid w:val="008027CE"/>
    <w:rsid w:val="00802F42"/>
    <w:rsid w:val="00804383"/>
    <w:rsid w:val="00804BB7"/>
    <w:rsid w:val="00804C9A"/>
    <w:rsid w:val="00807190"/>
    <w:rsid w:val="00810257"/>
    <w:rsid w:val="008104F5"/>
    <w:rsid w:val="00810A64"/>
    <w:rsid w:val="00811072"/>
    <w:rsid w:val="00811369"/>
    <w:rsid w:val="00811513"/>
    <w:rsid w:val="00814E50"/>
    <w:rsid w:val="00815419"/>
    <w:rsid w:val="008163C8"/>
    <w:rsid w:val="00817325"/>
    <w:rsid w:val="008179D2"/>
    <w:rsid w:val="0082031A"/>
    <w:rsid w:val="008209E6"/>
    <w:rsid w:val="00820AC6"/>
    <w:rsid w:val="00821474"/>
    <w:rsid w:val="00823303"/>
    <w:rsid w:val="008233B2"/>
    <w:rsid w:val="00823A9F"/>
    <w:rsid w:val="00823C85"/>
    <w:rsid w:val="00825138"/>
    <w:rsid w:val="00825FB5"/>
    <w:rsid w:val="008260FB"/>
    <w:rsid w:val="008269DD"/>
    <w:rsid w:val="008279BC"/>
    <w:rsid w:val="00830621"/>
    <w:rsid w:val="0083101D"/>
    <w:rsid w:val="00831EF1"/>
    <w:rsid w:val="0083348C"/>
    <w:rsid w:val="008337DA"/>
    <w:rsid w:val="0083672C"/>
    <w:rsid w:val="00836F23"/>
    <w:rsid w:val="008373D3"/>
    <w:rsid w:val="008402E3"/>
    <w:rsid w:val="00840617"/>
    <w:rsid w:val="00842A47"/>
    <w:rsid w:val="00843C13"/>
    <w:rsid w:val="00843DC6"/>
    <w:rsid w:val="0084413B"/>
    <w:rsid w:val="008454F8"/>
    <w:rsid w:val="0084752E"/>
    <w:rsid w:val="00847A8D"/>
    <w:rsid w:val="00851342"/>
    <w:rsid w:val="0085173A"/>
    <w:rsid w:val="0085251F"/>
    <w:rsid w:val="00853A74"/>
    <w:rsid w:val="00853C1E"/>
    <w:rsid w:val="008557A9"/>
    <w:rsid w:val="00857749"/>
    <w:rsid w:val="008603CE"/>
    <w:rsid w:val="008620FC"/>
    <w:rsid w:val="00862543"/>
    <w:rsid w:val="008627A5"/>
    <w:rsid w:val="0086291F"/>
    <w:rsid w:val="00863ABC"/>
    <w:rsid w:val="00863E05"/>
    <w:rsid w:val="00865ACA"/>
    <w:rsid w:val="00865D28"/>
    <w:rsid w:val="00865F85"/>
    <w:rsid w:val="00866B6A"/>
    <w:rsid w:val="00867C10"/>
    <w:rsid w:val="00870439"/>
    <w:rsid w:val="00870DA1"/>
    <w:rsid w:val="008712F9"/>
    <w:rsid w:val="00871F02"/>
    <w:rsid w:val="00873009"/>
    <w:rsid w:val="008735B1"/>
    <w:rsid w:val="008755E0"/>
    <w:rsid w:val="00875917"/>
    <w:rsid w:val="00876B21"/>
    <w:rsid w:val="00880255"/>
    <w:rsid w:val="00882033"/>
    <w:rsid w:val="008821AB"/>
    <w:rsid w:val="0088234F"/>
    <w:rsid w:val="00883A3A"/>
    <w:rsid w:val="00883F93"/>
    <w:rsid w:val="00884DB3"/>
    <w:rsid w:val="00885A28"/>
    <w:rsid w:val="00885A9D"/>
    <w:rsid w:val="00885AA2"/>
    <w:rsid w:val="00886210"/>
    <w:rsid w:val="008864F6"/>
    <w:rsid w:val="00887316"/>
    <w:rsid w:val="0089049D"/>
    <w:rsid w:val="008906C6"/>
    <w:rsid w:val="00890707"/>
    <w:rsid w:val="00891AAC"/>
    <w:rsid w:val="00891D97"/>
    <w:rsid w:val="008928C9"/>
    <w:rsid w:val="008938DC"/>
    <w:rsid w:val="00893FD1"/>
    <w:rsid w:val="008947D3"/>
    <w:rsid w:val="00894836"/>
    <w:rsid w:val="00895172"/>
    <w:rsid w:val="00895394"/>
    <w:rsid w:val="00895680"/>
    <w:rsid w:val="00895809"/>
    <w:rsid w:val="00896DFF"/>
    <w:rsid w:val="0089762C"/>
    <w:rsid w:val="0089791F"/>
    <w:rsid w:val="008A0C8D"/>
    <w:rsid w:val="008A1893"/>
    <w:rsid w:val="008A2518"/>
    <w:rsid w:val="008A3045"/>
    <w:rsid w:val="008A31A2"/>
    <w:rsid w:val="008A3831"/>
    <w:rsid w:val="008A4820"/>
    <w:rsid w:val="008A769A"/>
    <w:rsid w:val="008A77B2"/>
    <w:rsid w:val="008B00FC"/>
    <w:rsid w:val="008B0C9C"/>
    <w:rsid w:val="008B12A7"/>
    <w:rsid w:val="008B166D"/>
    <w:rsid w:val="008B17F4"/>
    <w:rsid w:val="008B2538"/>
    <w:rsid w:val="008B270E"/>
    <w:rsid w:val="008B33C9"/>
    <w:rsid w:val="008B3615"/>
    <w:rsid w:val="008B4520"/>
    <w:rsid w:val="008B4AC4"/>
    <w:rsid w:val="008B50C8"/>
    <w:rsid w:val="008B5281"/>
    <w:rsid w:val="008B54D7"/>
    <w:rsid w:val="008B60A9"/>
    <w:rsid w:val="008B60D0"/>
    <w:rsid w:val="008B62BF"/>
    <w:rsid w:val="008B6745"/>
    <w:rsid w:val="008B6802"/>
    <w:rsid w:val="008B735B"/>
    <w:rsid w:val="008B759D"/>
    <w:rsid w:val="008B7E05"/>
    <w:rsid w:val="008C1797"/>
    <w:rsid w:val="008C219C"/>
    <w:rsid w:val="008C406C"/>
    <w:rsid w:val="008C435F"/>
    <w:rsid w:val="008C475E"/>
    <w:rsid w:val="008C619A"/>
    <w:rsid w:val="008C7A22"/>
    <w:rsid w:val="008C7CDD"/>
    <w:rsid w:val="008D0CE8"/>
    <w:rsid w:val="008D2D1D"/>
    <w:rsid w:val="008D453D"/>
    <w:rsid w:val="008D53AD"/>
    <w:rsid w:val="008D562B"/>
    <w:rsid w:val="008D5733"/>
    <w:rsid w:val="008D622B"/>
    <w:rsid w:val="008D666C"/>
    <w:rsid w:val="008D7463"/>
    <w:rsid w:val="008D7847"/>
    <w:rsid w:val="008D7B54"/>
    <w:rsid w:val="008E0434"/>
    <w:rsid w:val="008E0C9D"/>
    <w:rsid w:val="008E1279"/>
    <w:rsid w:val="008E13E7"/>
    <w:rsid w:val="008E1648"/>
    <w:rsid w:val="008E1B3E"/>
    <w:rsid w:val="008E2319"/>
    <w:rsid w:val="008E4897"/>
    <w:rsid w:val="008E4BB6"/>
    <w:rsid w:val="008E4F69"/>
    <w:rsid w:val="008E5518"/>
    <w:rsid w:val="008E5FD2"/>
    <w:rsid w:val="008E673D"/>
    <w:rsid w:val="008E6A84"/>
    <w:rsid w:val="008E7D30"/>
    <w:rsid w:val="008F017F"/>
    <w:rsid w:val="008F0CDC"/>
    <w:rsid w:val="008F17A3"/>
    <w:rsid w:val="008F1C04"/>
    <w:rsid w:val="008F1ED3"/>
    <w:rsid w:val="008F37E8"/>
    <w:rsid w:val="008F4C29"/>
    <w:rsid w:val="008F4CED"/>
    <w:rsid w:val="008F6A4E"/>
    <w:rsid w:val="008F70BD"/>
    <w:rsid w:val="008F743C"/>
    <w:rsid w:val="008F76DD"/>
    <w:rsid w:val="008F7798"/>
    <w:rsid w:val="008F788F"/>
    <w:rsid w:val="008F7EA2"/>
    <w:rsid w:val="00902722"/>
    <w:rsid w:val="009027BC"/>
    <w:rsid w:val="0090358F"/>
    <w:rsid w:val="00903DC4"/>
    <w:rsid w:val="009047FA"/>
    <w:rsid w:val="009062E6"/>
    <w:rsid w:val="009070A3"/>
    <w:rsid w:val="00907D4C"/>
    <w:rsid w:val="00910A70"/>
    <w:rsid w:val="00911BE5"/>
    <w:rsid w:val="009123BD"/>
    <w:rsid w:val="00913275"/>
    <w:rsid w:val="00913CA9"/>
    <w:rsid w:val="009145AE"/>
    <w:rsid w:val="009146CE"/>
    <w:rsid w:val="00914CA7"/>
    <w:rsid w:val="009150EC"/>
    <w:rsid w:val="00915245"/>
    <w:rsid w:val="00915C3E"/>
    <w:rsid w:val="00915C90"/>
    <w:rsid w:val="0091614B"/>
    <w:rsid w:val="009161A8"/>
    <w:rsid w:val="0091673D"/>
    <w:rsid w:val="009173D1"/>
    <w:rsid w:val="00917A6C"/>
    <w:rsid w:val="009219DC"/>
    <w:rsid w:val="009230F9"/>
    <w:rsid w:val="009245F5"/>
    <w:rsid w:val="009249EC"/>
    <w:rsid w:val="00925E71"/>
    <w:rsid w:val="00926408"/>
    <w:rsid w:val="009273B3"/>
    <w:rsid w:val="00927551"/>
    <w:rsid w:val="009305B5"/>
    <w:rsid w:val="009305F6"/>
    <w:rsid w:val="00934C12"/>
    <w:rsid w:val="00935703"/>
    <w:rsid w:val="00942103"/>
    <w:rsid w:val="009429D5"/>
    <w:rsid w:val="00942BF1"/>
    <w:rsid w:val="00944AB3"/>
    <w:rsid w:val="00945180"/>
    <w:rsid w:val="00945428"/>
    <w:rsid w:val="0094607B"/>
    <w:rsid w:val="00947042"/>
    <w:rsid w:val="009513A8"/>
    <w:rsid w:val="00952C52"/>
    <w:rsid w:val="00953604"/>
    <w:rsid w:val="00953F0A"/>
    <w:rsid w:val="00953F42"/>
    <w:rsid w:val="00957699"/>
    <w:rsid w:val="009610DC"/>
    <w:rsid w:val="00961490"/>
    <w:rsid w:val="0096381A"/>
    <w:rsid w:val="00965E04"/>
    <w:rsid w:val="00966C82"/>
    <w:rsid w:val="009674AD"/>
    <w:rsid w:val="0097094E"/>
    <w:rsid w:val="00970CDC"/>
    <w:rsid w:val="00970FC0"/>
    <w:rsid w:val="0097126F"/>
    <w:rsid w:val="00974326"/>
    <w:rsid w:val="00977010"/>
    <w:rsid w:val="00977651"/>
    <w:rsid w:val="00977D02"/>
    <w:rsid w:val="009809BB"/>
    <w:rsid w:val="00980AAF"/>
    <w:rsid w:val="00981A21"/>
    <w:rsid w:val="00982349"/>
    <w:rsid w:val="00982D22"/>
    <w:rsid w:val="00983391"/>
    <w:rsid w:val="0098364B"/>
    <w:rsid w:val="00983BF9"/>
    <w:rsid w:val="00985448"/>
    <w:rsid w:val="00987E67"/>
    <w:rsid w:val="009911AF"/>
    <w:rsid w:val="009916E4"/>
    <w:rsid w:val="00991875"/>
    <w:rsid w:val="00991F92"/>
    <w:rsid w:val="00992985"/>
    <w:rsid w:val="00992D25"/>
    <w:rsid w:val="00993878"/>
    <w:rsid w:val="00993889"/>
    <w:rsid w:val="009941B1"/>
    <w:rsid w:val="0099551B"/>
    <w:rsid w:val="00995A00"/>
    <w:rsid w:val="00997158"/>
    <w:rsid w:val="00997BF1"/>
    <w:rsid w:val="009A0852"/>
    <w:rsid w:val="009A089C"/>
    <w:rsid w:val="009A0E68"/>
    <w:rsid w:val="009A118E"/>
    <w:rsid w:val="009A17C9"/>
    <w:rsid w:val="009A21CD"/>
    <w:rsid w:val="009A278C"/>
    <w:rsid w:val="009A2BC2"/>
    <w:rsid w:val="009A3EEC"/>
    <w:rsid w:val="009A3F3A"/>
    <w:rsid w:val="009A3FA9"/>
    <w:rsid w:val="009A42C1"/>
    <w:rsid w:val="009A47C0"/>
    <w:rsid w:val="009A4A51"/>
    <w:rsid w:val="009A5429"/>
    <w:rsid w:val="009A6790"/>
    <w:rsid w:val="009A72AD"/>
    <w:rsid w:val="009A72B7"/>
    <w:rsid w:val="009B09E0"/>
    <w:rsid w:val="009B0BC5"/>
    <w:rsid w:val="009B1247"/>
    <w:rsid w:val="009B1689"/>
    <w:rsid w:val="009B1AE9"/>
    <w:rsid w:val="009B30B6"/>
    <w:rsid w:val="009B340D"/>
    <w:rsid w:val="009B38C6"/>
    <w:rsid w:val="009B6029"/>
    <w:rsid w:val="009B6971"/>
    <w:rsid w:val="009C01AF"/>
    <w:rsid w:val="009C278F"/>
    <w:rsid w:val="009C27F1"/>
    <w:rsid w:val="009C3152"/>
    <w:rsid w:val="009C3ADB"/>
    <w:rsid w:val="009C4B5E"/>
    <w:rsid w:val="009C4CFA"/>
    <w:rsid w:val="009C4F49"/>
    <w:rsid w:val="009C5070"/>
    <w:rsid w:val="009C5CDA"/>
    <w:rsid w:val="009C6F8B"/>
    <w:rsid w:val="009C70E2"/>
    <w:rsid w:val="009C75AD"/>
    <w:rsid w:val="009C7C14"/>
    <w:rsid w:val="009D112C"/>
    <w:rsid w:val="009D2364"/>
    <w:rsid w:val="009D26C9"/>
    <w:rsid w:val="009D2C00"/>
    <w:rsid w:val="009D3252"/>
    <w:rsid w:val="009D4407"/>
    <w:rsid w:val="009D4690"/>
    <w:rsid w:val="009D47FA"/>
    <w:rsid w:val="009D5073"/>
    <w:rsid w:val="009D50D2"/>
    <w:rsid w:val="009D558F"/>
    <w:rsid w:val="009D6BCA"/>
    <w:rsid w:val="009D7279"/>
    <w:rsid w:val="009E0F62"/>
    <w:rsid w:val="009E1ADA"/>
    <w:rsid w:val="009E4A58"/>
    <w:rsid w:val="009E4B2C"/>
    <w:rsid w:val="009E4BFD"/>
    <w:rsid w:val="009E5A2D"/>
    <w:rsid w:val="009E5AB2"/>
    <w:rsid w:val="009E5AD4"/>
    <w:rsid w:val="009E6219"/>
    <w:rsid w:val="009E63B3"/>
    <w:rsid w:val="009E7FC2"/>
    <w:rsid w:val="009F03B3"/>
    <w:rsid w:val="009F22F7"/>
    <w:rsid w:val="009F2D2F"/>
    <w:rsid w:val="009F3F99"/>
    <w:rsid w:val="009F5614"/>
    <w:rsid w:val="00A01757"/>
    <w:rsid w:val="00A01AF0"/>
    <w:rsid w:val="00A0265A"/>
    <w:rsid w:val="00A028C0"/>
    <w:rsid w:val="00A02BAE"/>
    <w:rsid w:val="00A05CA9"/>
    <w:rsid w:val="00A06577"/>
    <w:rsid w:val="00A06634"/>
    <w:rsid w:val="00A068AA"/>
    <w:rsid w:val="00A06A6B"/>
    <w:rsid w:val="00A07E47"/>
    <w:rsid w:val="00A11549"/>
    <w:rsid w:val="00A11F2C"/>
    <w:rsid w:val="00A129D0"/>
    <w:rsid w:val="00A12C33"/>
    <w:rsid w:val="00A12EFA"/>
    <w:rsid w:val="00A138BA"/>
    <w:rsid w:val="00A14C8E"/>
    <w:rsid w:val="00A153D9"/>
    <w:rsid w:val="00A1593A"/>
    <w:rsid w:val="00A15F09"/>
    <w:rsid w:val="00A164A5"/>
    <w:rsid w:val="00A169B6"/>
    <w:rsid w:val="00A20FCF"/>
    <w:rsid w:val="00A212F8"/>
    <w:rsid w:val="00A222DE"/>
    <w:rsid w:val="00A2271D"/>
    <w:rsid w:val="00A235A8"/>
    <w:rsid w:val="00A236E5"/>
    <w:rsid w:val="00A237D5"/>
    <w:rsid w:val="00A24224"/>
    <w:rsid w:val="00A24743"/>
    <w:rsid w:val="00A24F7B"/>
    <w:rsid w:val="00A26545"/>
    <w:rsid w:val="00A30EFC"/>
    <w:rsid w:val="00A31818"/>
    <w:rsid w:val="00A31984"/>
    <w:rsid w:val="00A32D73"/>
    <w:rsid w:val="00A32ECE"/>
    <w:rsid w:val="00A3367B"/>
    <w:rsid w:val="00A33A12"/>
    <w:rsid w:val="00A346E2"/>
    <w:rsid w:val="00A34EB2"/>
    <w:rsid w:val="00A3597D"/>
    <w:rsid w:val="00A368CC"/>
    <w:rsid w:val="00A379C0"/>
    <w:rsid w:val="00A40091"/>
    <w:rsid w:val="00A4030F"/>
    <w:rsid w:val="00A41C79"/>
    <w:rsid w:val="00A41CB5"/>
    <w:rsid w:val="00A42CDF"/>
    <w:rsid w:val="00A42D6F"/>
    <w:rsid w:val="00A436EF"/>
    <w:rsid w:val="00A44492"/>
    <w:rsid w:val="00A4452E"/>
    <w:rsid w:val="00A4472C"/>
    <w:rsid w:val="00A44874"/>
    <w:rsid w:val="00A44E69"/>
    <w:rsid w:val="00A4661E"/>
    <w:rsid w:val="00A47A8C"/>
    <w:rsid w:val="00A511C3"/>
    <w:rsid w:val="00A52834"/>
    <w:rsid w:val="00A53DBB"/>
    <w:rsid w:val="00A55BD6"/>
    <w:rsid w:val="00A55D50"/>
    <w:rsid w:val="00A5619A"/>
    <w:rsid w:val="00A5708A"/>
    <w:rsid w:val="00A57142"/>
    <w:rsid w:val="00A603C3"/>
    <w:rsid w:val="00A60993"/>
    <w:rsid w:val="00A615FA"/>
    <w:rsid w:val="00A61D41"/>
    <w:rsid w:val="00A62151"/>
    <w:rsid w:val="00A62200"/>
    <w:rsid w:val="00A63290"/>
    <w:rsid w:val="00A63A78"/>
    <w:rsid w:val="00A63C54"/>
    <w:rsid w:val="00A648CD"/>
    <w:rsid w:val="00A64C53"/>
    <w:rsid w:val="00A6537A"/>
    <w:rsid w:val="00A667BA"/>
    <w:rsid w:val="00A675B7"/>
    <w:rsid w:val="00A67866"/>
    <w:rsid w:val="00A70B07"/>
    <w:rsid w:val="00A723F8"/>
    <w:rsid w:val="00A72A22"/>
    <w:rsid w:val="00A730F9"/>
    <w:rsid w:val="00A73834"/>
    <w:rsid w:val="00A755A9"/>
    <w:rsid w:val="00A756CD"/>
    <w:rsid w:val="00A76546"/>
    <w:rsid w:val="00A77CCB"/>
    <w:rsid w:val="00A822B7"/>
    <w:rsid w:val="00A82FEB"/>
    <w:rsid w:val="00A83D8D"/>
    <w:rsid w:val="00A8446B"/>
    <w:rsid w:val="00A8473F"/>
    <w:rsid w:val="00A848EB"/>
    <w:rsid w:val="00A85724"/>
    <w:rsid w:val="00A86088"/>
    <w:rsid w:val="00A862D6"/>
    <w:rsid w:val="00A8715E"/>
    <w:rsid w:val="00A87235"/>
    <w:rsid w:val="00A9162F"/>
    <w:rsid w:val="00A927CB"/>
    <w:rsid w:val="00A9295B"/>
    <w:rsid w:val="00A93B09"/>
    <w:rsid w:val="00A952D7"/>
    <w:rsid w:val="00A95595"/>
    <w:rsid w:val="00A963F7"/>
    <w:rsid w:val="00A9643F"/>
    <w:rsid w:val="00A9698E"/>
    <w:rsid w:val="00A96AD8"/>
    <w:rsid w:val="00AA052C"/>
    <w:rsid w:val="00AA1E45"/>
    <w:rsid w:val="00AA2A24"/>
    <w:rsid w:val="00AA2FAE"/>
    <w:rsid w:val="00AA3234"/>
    <w:rsid w:val="00AA4286"/>
    <w:rsid w:val="00AA456B"/>
    <w:rsid w:val="00AA57F5"/>
    <w:rsid w:val="00AA672E"/>
    <w:rsid w:val="00AA6EC9"/>
    <w:rsid w:val="00AB1067"/>
    <w:rsid w:val="00AB133E"/>
    <w:rsid w:val="00AB2F9B"/>
    <w:rsid w:val="00AB6309"/>
    <w:rsid w:val="00AB66B3"/>
    <w:rsid w:val="00AB6C5F"/>
    <w:rsid w:val="00AB7129"/>
    <w:rsid w:val="00AC27A6"/>
    <w:rsid w:val="00AC30F7"/>
    <w:rsid w:val="00AC3208"/>
    <w:rsid w:val="00AC3A5A"/>
    <w:rsid w:val="00AC4D95"/>
    <w:rsid w:val="00AC517F"/>
    <w:rsid w:val="00AC5DF4"/>
    <w:rsid w:val="00AC63A4"/>
    <w:rsid w:val="00AC6662"/>
    <w:rsid w:val="00AC707C"/>
    <w:rsid w:val="00AC7613"/>
    <w:rsid w:val="00AD03E0"/>
    <w:rsid w:val="00AD08B1"/>
    <w:rsid w:val="00AD0AEF"/>
    <w:rsid w:val="00AD0CFF"/>
    <w:rsid w:val="00AD11B7"/>
    <w:rsid w:val="00AD13CC"/>
    <w:rsid w:val="00AD1A94"/>
    <w:rsid w:val="00AD1C05"/>
    <w:rsid w:val="00AD2278"/>
    <w:rsid w:val="00AD2E82"/>
    <w:rsid w:val="00AD3367"/>
    <w:rsid w:val="00AD4126"/>
    <w:rsid w:val="00AD421C"/>
    <w:rsid w:val="00AD44FA"/>
    <w:rsid w:val="00AD64F3"/>
    <w:rsid w:val="00AD779C"/>
    <w:rsid w:val="00AD7A2E"/>
    <w:rsid w:val="00AE070A"/>
    <w:rsid w:val="00AE075E"/>
    <w:rsid w:val="00AE101C"/>
    <w:rsid w:val="00AE18DE"/>
    <w:rsid w:val="00AE28CC"/>
    <w:rsid w:val="00AE3FD8"/>
    <w:rsid w:val="00AE42F2"/>
    <w:rsid w:val="00AE4D64"/>
    <w:rsid w:val="00AE5068"/>
    <w:rsid w:val="00AE6C7C"/>
    <w:rsid w:val="00AF0C18"/>
    <w:rsid w:val="00AF2ECF"/>
    <w:rsid w:val="00AF3703"/>
    <w:rsid w:val="00AF47C5"/>
    <w:rsid w:val="00AF4DDC"/>
    <w:rsid w:val="00AF4F31"/>
    <w:rsid w:val="00AF5398"/>
    <w:rsid w:val="00B007D8"/>
    <w:rsid w:val="00B039D8"/>
    <w:rsid w:val="00B049AF"/>
    <w:rsid w:val="00B04FDB"/>
    <w:rsid w:val="00B07242"/>
    <w:rsid w:val="00B07B50"/>
    <w:rsid w:val="00B1012F"/>
    <w:rsid w:val="00B10534"/>
    <w:rsid w:val="00B10A1D"/>
    <w:rsid w:val="00B113DB"/>
    <w:rsid w:val="00B11D8A"/>
    <w:rsid w:val="00B12981"/>
    <w:rsid w:val="00B13E4F"/>
    <w:rsid w:val="00B147DD"/>
    <w:rsid w:val="00B156FD"/>
    <w:rsid w:val="00B15955"/>
    <w:rsid w:val="00B16139"/>
    <w:rsid w:val="00B17E4A"/>
    <w:rsid w:val="00B21F61"/>
    <w:rsid w:val="00B23045"/>
    <w:rsid w:val="00B23547"/>
    <w:rsid w:val="00B237B1"/>
    <w:rsid w:val="00B24515"/>
    <w:rsid w:val="00B2575C"/>
    <w:rsid w:val="00B261F1"/>
    <w:rsid w:val="00B265BC"/>
    <w:rsid w:val="00B27469"/>
    <w:rsid w:val="00B30B62"/>
    <w:rsid w:val="00B31FB1"/>
    <w:rsid w:val="00B332B9"/>
    <w:rsid w:val="00B335ED"/>
    <w:rsid w:val="00B338F2"/>
    <w:rsid w:val="00B33952"/>
    <w:rsid w:val="00B33C5E"/>
    <w:rsid w:val="00B342F4"/>
    <w:rsid w:val="00B34369"/>
    <w:rsid w:val="00B34DC2"/>
    <w:rsid w:val="00B36B72"/>
    <w:rsid w:val="00B378E5"/>
    <w:rsid w:val="00B41B4E"/>
    <w:rsid w:val="00B4346D"/>
    <w:rsid w:val="00B440F4"/>
    <w:rsid w:val="00B441A0"/>
    <w:rsid w:val="00B447A5"/>
    <w:rsid w:val="00B4654C"/>
    <w:rsid w:val="00B47293"/>
    <w:rsid w:val="00B47450"/>
    <w:rsid w:val="00B47D59"/>
    <w:rsid w:val="00B519B5"/>
    <w:rsid w:val="00B51BDC"/>
    <w:rsid w:val="00B52120"/>
    <w:rsid w:val="00B54ABC"/>
    <w:rsid w:val="00B55074"/>
    <w:rsid w:val="00B5628B"/>
    <w:rsid w:val="00B56CBF"/>
    <w:rsid w:val="00B56FBE"/>
    <w:rsid w:val="00B57535"/>
    <w:rsid w:val="00B615DB"/>
    <w:rsid w:val="00B62B58"/>
    <w:rsid w:val="00B65149"/>
    <w:rsid w:val="00B656D5"/>
    <w:rsid w:val="00B66567"/>
    <w:rsid w:val="00B66F52"/>
    <w:rsid w:val="00B66FE5"/>
    <w:rsid w:val="00B675B7"/>
    <w:rsid w:val="00B72880"/>
    <w:rsid w:val="00B7356B"/>
    <w:rsid w:val="00B73D9C"/>
    <w:rsid w:val="00B758BF"/>
    <w:rsid w:val="00B76AFE"/>
    <w:rsid w:val="00B827A6"/>
    <w:rsid w:val="00B831CE"/>
    <w:rsid w:val="00B83883"/>
    <w:rsid w:val="00B83B49"/>
    <w:rsid w:val="00B851DB"/>
    <w:rsid w:val="00B86511"/>
    <w:rsid w:val="00B86677"/>
    <w:rsid w:val="00B87131"/>
    <w:rsid w:val="00B87AD5"/>
    <w:rsid w:val="00B9127B"/>
    <w:rsid w:val="00B91566"/>
    <w:rsid w:val="00B919C4"/>
    <w:rsid w:val="00B91EC1"/>
    <w:rsid w:val="00B9282B"/>
    <w:rsid w:val="00B92A0B"/>
    <w:rsid w:val="00B9320C"/>
    <w:rsid w:val="00B939B1"/>
    <w:rsid w:val="00B94317"/>
    <w:rsid w:val="00B94CA3"/>
    <w:rsid w:val="00B94FDE"/>
    <w:rsid w:val="00B964A1"/>
    <w:rsid w:val="00B965F2"/>
    <w:rsid w:val="00B96D40"/>
    <w:rsid w:val="00B97386"/>
    <w:rsid w:val="00B978AC"/>
    <w:rsid w:val="00BA263B"/>
    <w:rsid w:val="00BA42B2"/>
    <w:rsid w:val="00BA58D4"/>
    <w:rsid w:val="00BA5B9E"/>
    <w:rsid w:val="00BA7074"/>
    <w:rsid w:val="00BA7C9A"/>
    <w:rsid w:val="00BB04A5"/>
    <w:rsid w:val="00BB10D7"/>
    <w:rsid w:val="00BB1616"/>
    <w:rsid w:val="00BB168D"/>
    <w:rsid w:val="00BB2FFD"/>
    <w:rsid w:val="00BB39F8"/>
    <w:rsid w:val="00BB3C80"/>
    <w:rsid w:val="00BB53ED"/>
    <w:rsid w:val="00BB5F8F"/>
    <w:rsid w:val="00BB657A"/>
    <w:rsid w:val="00BB6887"/>
    <w:rsid w:val="00BC1A4E"/>
    <w:rsid w:val="00BC2443"/>
    <w:rsid w:val="00BC429A"/>
    <w:rsid w:val="00BC4976"/>
    <w:rsid w:val="00BC4C29"/>
    <w:rsid w:val="00BC5DC7"/>
    <w:rsid w:val="00BC6B8B"/>
    <w:rsid w:val="00BC73D8"/>
    <w:rsid w:val="00BC77C9"/>
    <w:rsid w:val="00BD116E"/>
    <w:rsid w:val="00BD14A4"/>
    <w:rsid w:val="00BD52D7"/>
    <w:rsid w:val="00BD5AD2"/>
    <w:rsid w:val="00BD5FED"/>
    <w:rsid w:val="00BD6082"/>
    <w:rsid w:val="00BE12D3"/>
    <w:rsid w:val="00BE22F3"/>
    <w:rsid w:val="00BE49EE"/>
    <w:rsid w:val="00BE5B52"/>
    <w:rsid w:val="00BE7B81"/>
    <w:rsid w:val="00BE7B8D"/>
    <w:rsid w:val="00BF0993"/>
    <w:rsid w:val="00BF0B88"/>
    <w:rsid w:val="00BF10A9"/>
    <w:rsid w:val="00BF1703"/>
    <w:rsid w:val="00BF21CD"/>
    <w:rsid w:val="00BF231C"/>
    <w:rsid w:val="00BF308B"/>
    <w:rsid w:val="00BF344B"/>
    <w:rsid w:val="00BF51E5"/>
    <w:rsid w:val="00BF537D"/>
    <w:rsid w:val="00BF74A6"/>
    <w:rsid w:val="00C00533"/>
    <w:rsid w:val="00C00E37"/>
    <w:rsid w:val="00C00F41"/>
    <w:rsid w:val="00C013AD"/>
    <w:rsid w:val="00C03B27"/>
    <w:rsid w:val="00C03D9A"/>
    <w:rsid w:val="00C0444A"/>
    <w:rsid w:val="00C04904"/>
    <w:rsid w:val="00C056B3"/>
    <w:rsid w:val="00C060B9"/>
    <w:rsid w:val="00C062B1"/>
    <w:rsid w:val="00C06477"/>
    <w:rsid w:val="00C07CBC"/>
    <w:rsid w:val="00C103E5"/>
    <w:rsid w:val="00C10C9C"/>
    <w:rsid w:val="00C11316"/>
    <w:rsid w:val="00C1201F"/>
    <w:rsid w:val="00C12343"/>
    <w:rsid w:val="00C1315B"/>
    <w:rsid w:val="00C13319"/>
    <w:rsid w:val="00C13DD5"/>
    <w:rsid w:val="00C13EE9"/>
    <w:rsid w:val="00C14D87"/>
    <w:rsid w:val="00C16F6D"/>
    <w:rsid w:val="00C21540"/>
    <w:rsid w:val="00C21906"/>
    <w:rsid w:val="00C21BEE"/>
    <w:rsid w:val="00C21BFA"/>
    <w:rsid w:val="00C2368C"/>
    <w:rsid w:val="00C23969"/>
    <w:rsid w:val="00C2435A"/>
    <w:rsid w:val="00C24C8D"/>
    <w:rsid w:val="00C25640"/>
    <w:rsid w:val="00C25995"/>
    <w:rsid w:val="00C25FE2"/>
    <w:rsid w:val="00C2615D"/>
    <w:rsid w:val="00C26579"/>
    <w:rsid w:val="00C26B53"/>
    <w:rsid w:val="00C279B2"/>
    <w:rsid w:val="00C27CF2"/>
    <w:rsid w:val="00C27F12"/>
    <w:rsid w:val="00C31276"/>
    <w:rsid w:val="00C33CFC"/>
    <w:rsid w:val="00C33E50"/>
    <w:rsid w:val="00C34B4F"/>
    <w:rsid w:val="00C34C20"/>
    <w:rsid w:val="00C35A3E"/>
    <w:rsid w:val="00C36D9F"/>
    <w:rsid w:val="00C37358"/>
    <w:rsid w:val="00C42130"/>
    <w:rsid w:val="00C423A4"/>
    <w:rsid w:val="00C43807"/>
    <w:rsid w:val="00C44BF5"/>
    <w:rsid w:val="00C44F93"/>
    <w:rsid w:val="00C4508C"/>
    <w:rsid w:val="00C52C89"/>
    <w:rsid w:val="00C52EF6"/>
    <w:rsid w:val="00C543D0"/>
    <w:rsid w:val="00C55232"/>
    <w:rsid w:val="00C553A4"/>
    <w:rsid w:val="00C55A06"/>
    <w:rsid w:val="00C55AAB"/>
    <w:rsid w:val="00C55D03"/>
    <w:rsid w:val="00C57054"/>
    <w:rsid w:val="00C57676"/>
    <w:rsid w:val="00C601BC"/>
    <w:rsid w:val="00C6020D"/>
    <w:rsid w:val="00C607E3"/>
    <w:rsid w:val="00C62937"/>
    <w:rsid w:val="00C6329F"/>
    <w:rsid w:val="00C632F6"/>
    <w:rsid w:val="00C63340"/>
    <w:rsid w:val="00C6355C"/>
    <w:rsid w:val="00C635A3"/>
    <w:rsid w:val="00C63E0E"/>
    <w:rsid w:val="00C643F9"/>
    <w:rsid w:val="00C64692"/>
    <w:rsid w:val="00C64E95"/>
    <w:rsid w:val="00C64F2F"/>
    <w:rsid w:val="00C655FD"/>
    <w:rsid w:val="00C6630C"/>
    <w:rsid w:val="00C672EF"/>
    <w:rsid w:val="00C71168"/>
    <w:rsid w:val="00C71372"/>
    <w:rsid w:val="00C7203E"/>
    <w:rsid w:val="00C72410"/>
    <w:rsid w:val="00C7287F"/>
    <w:rsid w:val="00C72F0E"/>
    <w:rsid w:val="00C73E61"/>
    <w:rsid w:val="00C76058"/>
    <w:rsid w:val="00C76C86"/>
    <w:rsid w:val="00C76F0D"/>
    <w:rsid w:val="00C80CB8"/>
    <w:rsid w:val="00C819F8"/>
    <w:rsid w:val="00C81B8B"/>
    <w:rsid w:val="00C8248C"/>
    <w:rsid w:val="00C82D5B"/>
    <w:rsid w:val="00C84E33"/>
    <w:rsid w:val="00C86C2D"/>
    <w:rsid w:val="00C86D6F"/>
    <w:rsid w:val="00C905FC"/>
    <w:rsid w:val="00C9095B"/>
    <w:rsid w:val="00C91CFD"/>
    <w:rsid w:val="00C92D03"/>
    <w:rsid w:val="00C9319C"/>
    <w:rsid w:val="00C94103"/>
    <w:rsid w:val="00C9435D"/>
    <w:rsid w:val="00C9488D"/>
    <w:rsid w:val="00C9517F"/>
    <w:rsid w:val="00C95407"/>
    <w:rsid w:val="00C95663"/>
    <w:rsid w:val="00C96741"/>
    <w:rsid w:val="00CA02AD"/>
    <w:rsid w:val="00CA2D1B"/>
    <w:rsid w:val="00CA3FD6"/>
    <w:rsid w:val="00CA43D9"/>
    <w:rsid w:val="00CA662A"/>
    <w:rsid w:val="00CA76BE"/>
    <w:rsid w:val="00CA7AFD"/>
    <w:rsid w:val="00CA7C3C"/>
    <w:rsid w:val="00CB0189"/>
    <w:rsid w:val="00CB0BA2"/>
    <w:rsid w:val="00CB1971"/>
    <w:rsid w:val="00CB1A42"/>
    <w:rsid w:val="00CB1B0C"/>
    <w:rsid w:val="00CB2575"/>
    <w:rsid w:val="00CB2857"/>
    <w:rsid w:val="00CB2C0B"/>
    <w:rsid w:val="00CB3C89"/>
    <w:rsid w:val="00CB4CC7"/>
    <w:rsid w:val="00CB5170"/>
    <w:rsid w:val="00CB517D"/>
    <w:rsid w:val="00CB5F60"/>
    <w:rsid w:val="00CB64CA"/>
    <w:rsid w:val="00CB6CBF"/>
    <w:rsid w:val="00CC038D"/>
    <w:rsid w:val="00CC09AF"/>
    <w:rsid w:val="00CC39FF"/>
    <w:rsid w:val="00CC3C2F"/>
    <w:rsid w:val="00CC42FA"/>
    <w:rsid w:val="00CC4AC8"/>
    <w:rsid w:val="00CC5233"/>
    <w:rsid w:val="00CC5A17"/>
    <w:rsid w:val="00CC5DB4"/>
    <w:rsid w:val="00CC5DE6"/>
    <w:rsid w:val="00CC6E4E"/>
    <w:rsid w:val="00CC6FE8"/>
    <w:rsid w:val="00CC7202"/>
    <w:rsid w:val="00CC741B"/>
    <w:rsid w:val="00CD20D8"/>
    <w:rsid w:val="00CD2808"/>
    <w:rsid w:val="00CD28BF"/>
    <w:rsid w:val="00CD390C"/>
    <w:rsid w:val="00CD4092"/>
    <w:rsid w:val="00CD4803"/>
    <w:rsid w:val="00CD4A20"/>
    <w:rsid w:val="00CD50A1"/>
    <w:rsid w:val="00CD50BC"/>
    <w:rsid w:val="00CD519E"/>
    <w:rsid w:val="00CD5637"/>
    <w:rsid w:val="00CD7034"/>
    <w:rsid w:val="00CE0C4F"/>
    <w:rsid w:val="00CE132D"/>
    <w:rsid w:val="00CE2E5D"/>
    <w:rsid w:val="00CE2F64"/>
    <w:rsid w:val="00CE30EA"/>
    <w:rsid w:val="00CE3BAF"/>
    <w:rsid w:val="00CE4471"/>
    <w:rsid w:val="00CE4D62"/>
    <w:rsid w:val="00CE61DF"/>
    <w:rsid w:val="00CE6576"/>
    <w:rsid w:val="00CE7706"/>
    <w:rsid w:val="00CF00CF"/>
    <w:rsid w:val="00CF0216"/>
    <w:rsid w:val="00CF048A"/>
    <w:rsid w:val="00CF155A"/>
    <w:rsid w:val="00CF1779"/>
    <w:rsid w:val="00CF2947"/>
    <w:rsid w:val="00CF30A7"/>
    <w:rsid w:val="00CF37AE"/>
    <w:rsid w:val="00CF44B1"/>
    <w:rsid w:val="00CF5035"/>
    <w:rsid w:val="00CF686F"/>
    <w:rsid w:val="00CF6E60"/>
    <w:rsid w:val="00CF718E"/>
    <w:rsid w:val="00CF7BCA"/>
    <w:rsid w:val="00D008FD"/>
    <w:rsid w:val="00D0115F"/>
    <w:rsid w:val="00D01317"/>
    <w:rsid w:val="00D0321C"/>
    <w:rsid w:val="00D035EC"/>
    <w:rsid w:val="00D06AB1"/>
    <w:rsid w:val="00D072ED"/>
    <w:rsid w:val="00D07A16"/>
    <w:rsid w:val="00D1067E"/>
    <w:rsid w:val="00D10F50"/>
    <w:rsid w:val="00D11272"/>
    <w:rsid w:val="00D1162C"/>
    <w:rsid w:val="00D126F5"/>
    <w:rsid w:val="00D12720"/>
    <w:rsid w:val="00D1489E"/>
    <w:rsid w:val="00D17157"/>
    <w:rsid w:val="00D17239"/>
    <w:rsid w:val="00D17A8A"/>
    <w:rsid w:val="00D20737"/>
    <w:rsid w:val="00D21B48"/>
    <w:rsid w:val="00D21E81"/>
    <w:rsid w:val="00D220E0"/>
    <w:rsid w:val="00D223DE"/>
    <w:rsid w:val="00D22933"/>
    <w:rsid w:val="00D22EB7"/>
    <w:rsid w:val="00D23BED"/>
    <w:rsid w:val="00D2402F"/>
    <w:rsid w:val="00D25E37"/>
    <w:rsid w:val="00D2661A"/>
    <w:rsid w:val="00D26933"/>
    <w:rsid w:val="00D26BA4"/>
    <w:rsid w:val="00D27582"/>
    <w:rsid w:val="00D27797"/>
    <w:rsid w:val="00D32719"/>
    <w:rsid w:val="00D33333"/>
    <w:rsid w:val="00D333FE"/>
    <w:rsid w:val="00D336ED"/>
    <w:rsid w:val="00D346CB"/>
    <w:rsid w:val="00D352A2"/>
    <w:rsid w:val="00D3741C"/>
    <w:rsid w:val="00D37FF7"/>
    <w:rsid w:val="00D40A83"/>
    <w:rsid w:val="00D40DBA"/>
    <w:rsid w:val="00D4162B"/>
    <w:rsid w:val="00D4514F"/>
    <w:rsid w:val="00D451E2"/>
    <w:rsid w:val="00D4545E"/>
    <w:rsid w:val="00D45E89"/>
    <w:rsid w:val="00D45E8D"/>
    <w:rsid w:val="00D462B0"/>
    <w:rsid w:val="00D466AE"/>
    <w:rsid w:val="00D4734F"/>
    <w:rsid w:val="00D47E01"/>
    <w:rsid w:val="00D50D1A"/>
    <w:rsid w:val="00D51BF3"/>
    <w:rsid w:val="00D5202E"/>
    <w:rsid w:val="00D5415E"/>
    <w:rsid w:val="00D5622E"/>
    <w:rsid w:val="00D56B12"/>
    <w:rsid w:val="00D62452"/>
    <w:rsid w:val="00D63276"/>
    <w:rsid w:val="00D650DA"/>
    <w:rsid w:val="00D667E3"/>
    <w:rsid w:val="00D66846"/>
    <w:rsid w:val="00D66E23"/>
    <w:rsid w:val="00D675FB"/>
    <w:rsid w:val="00D70555"/>
    <w:rsid w:val="00D70EAB"/>
    <w:rsid w:val="00D71847"/>
    <w:rsid w:val="00D71B60"/>
    <w:rsid w:val="00D71F25"/>
    <w:rsid w:val="00D73849"/>
    <w:rsid w:val="00D767B2"/>
    <w:rsid w:val="00D77031"/>
    <w:rsid w:val="00D807F4"/>
    <w:rsid w:val="00D828BD"/>
    <w:rsid w:val="00D84941"/>
    <w:rsid w:val="00D84991"/>
    <w:rsid w:val="00D84A8A"/>
    <w:rsid w:val="00D84F9E"/>
    <w:rsid w:val="00D84FA1"/>
    <w:rsid w:val="00D851F0"/>
    <w:rsid w:val="00D85CE2"/>
    <w:rsid w:val="00D86DB7"/>
    <w:rsid w:val="00D87A3F"/>
    <w:rsid w:val="00D914F1"/>
    <w:rsid w:val="00D91D18"/>
    <w:rsid w:val="00D926D0"/>
    <w:rsid w:val="00D93030"/>
    <w:rsid w:val="00D94EFA"/>
    <w:rsid w:val="00D950E1"/>
    <w:rsid w:val="00D952A6"/>
    <w:rsid w:val="00D965BD"/>
    <w:rsid w:val="00D97F99"/>
    <w:rsid w:val="00DA195A"/>
    <w:rsid w:val="00DA19E7"/>
    <w:rsid w:val="00DA1C86"/>
    <w:rsid w:val="00DA1E08"/>
    <w:rsid w:val="00DA24F8"/>
    <w:rsid w:val="00DA28E8"/>
    <w:rsid w:val="00DA310A"/>
    <w:rsid w:val="00DA3679"/>
    <w:rsid w:val="00DA3781"/>
    <w:rsid w:val="00DA38D3"/>
    <w:rsid w:val="00DA3932"/>
    <w:rsid w:val="00DA5447"/>
    <w:rsid w:val="00DA64F8"/>
    <w:rsid w:val="00DA6C15"/>
    <w:rsid w:val="00DA70D8"/>
    <w:rsid w:val="00DA7370"/>
    <w:rsid w:val="00DA77CE"/>
    <w:rsid w:val="00DB345B"/>
    <w:rsid w:val="00DB38EE"/>
    <w:rsid w:val="00DB498B"/>
    <w:rsid w:val="00DB66CA"/>
    <w:rsid w:val="00DB6BCA"/>
    <w:rsid w:val="00DB726D"/>
    <w:rsid w:val="00DC0321"/>
    <w:rsid w:val="00DC3067"/>
    <w:rsid w:val="00DC370B"/>
    <w:rsid w:val="00DC3EF4"/>
    <w:rsid w:val="00DC54D0"/>
    <w:rsid w:val="00DC5ABF"/>
    <w:rsid w:val="00DC5B90"/>
    <w:rsid w:val="00DD00F2"/>
    <w:rsid w:val="00DD00FF"/>
    <w:rsid w:val="00DD0619"/>
    <w:rsid w:val="00DD07FB"/>
    <w:rsid w:val="00DD08EA"/>
    <w:rsid w:val="00DD0F45"/>
    <w:rsid w:val="00DD25C6"/>
    <w:rsid w:val="00DD511F"/>
    <w:rsid w:val="00DD54B0"/>
    <w:rsid w:val="00DD57EE"/>
    <w:rsid w:val="00DD6BCC"/>
    <w:rsid w:val="00DD74EA"/>
    <w:rsid w:val="00DD7617"/>
    <w:rsid w:val="00DD7B2A"/>
    <w:rsid w:val="00DE06F4"/>
    <w:rsid w:val="00DE0A4B"/>
    <w:rsid w:val="00DE23E5"/>
    <w:rsid w:val="00DE2410"/>
    <w:rsid w:val="00DE2939"/>
    <w:rsid w:val="00DE3274"/>
    <w:rsid w:val="00DE3E8B"/>
    <w:rsid w:val="00DE51F0"/>
    <w:rsid w:val="00DE5ADE"/>
    <w:rsid w:val="00DE5B17"/>
    <w:rsid w:val="00DE6AE1"/>
    <w:rsid w:val="00DE6E81"/>
    <w:rsid w:val="00DE703F"/>
    <w:rsid w:val="00DE7595"/>
    <w:rsid w:val="00DF15BE"/>
    <w:rsid w:val="00DF1961"/>
    <w:rsid w:val="00DF1F9B"/>
    <w:rsid w:val="00DF44DE"/>
    <w:rsid w:val="00DF4736"/>
    <w:rsid w:val="00DF4F71"/>
    <w:rsid w:val="00DF61F8"/>
    <w:rsid w:val="00DF684E"/>
    <w:rsid w:val="00DF748C"/>
    <w:rsid w:val="00E01138"/>
    <w:rsid w:val="00E016F4"/>
    <w:rsid w:val="00E02DFB"/>
    <w:rsid w:val="00E030F9"/>
    <w:rsid w:val="00E0311A"/>
    <w:rsid w:val="00E03138"/>
    <w:rsid w:val="00E04D4A"/>
    <w:rsid w:val="00E06404"/>
    <w:rsid w:val="00E0678D"/>
    <w:rsid w:val="00E0725E"/>
    <w:rsid w:val="00E104D1"/>
    <w:rsid w:val="00E105D8"/>
    <w:rsid w:val="00E107B3"/>
    <w:rsid w:val="00E1087D"/>
    <w:rsid w:val="00E11A85"/>
    <w:rsid w:val="00E12495"/>
    <w:rsid w:val="00E1456B"/>
    <w:rsid w:val="00E15CCD"/>
    <w:rsid w:val="00E1648B"/>
    <w:rsid w:val="00E1714B"/>
    <w:rsid w:val="00E202EF"/>
    <w:rsid w:val="00E210B5"/>
    <w:rsid w:val="00E21A93"/>
    <w:rsid w:val="00E2552F"/>
    <w:rsid w:val="00E2566D"/>
    <w:rsid w:val="00E25AA7"/>
    <w:rsid w:val="00E26AA0"/>
    <w:rsid w:val="00E26AA2"/>
    <w:rsid w:val="00E308FD"/>
    <w:rsid w:val="00E309C0"/>
    <w:rsid w:val="00E3137A"/>
    <w:rsid w:val="00E32CCF"/>
    <w:rsid w:val="00E34A98"/>
    <w:rsid w:val="00E35D1E"/>
    <w:rsid w:val="00E364F9"/>
    <w:rsid w:val="00E365FA"/>
    <w:rsid w:val="00E40C94"/>
    <w:rsid w:val="00E4206A"/>
    <w:rsid w:val="00E42CD1"/>
    <w:rsid w:val="00E4328C"/>
    <w:rsid w:val="00E44A83"/>
    <w:rsid w:val="00E46E13"/>
    <w:rsid w:val="00E502C1"/>
    <w:rsid w:val="00E502DD"/>
    <w:rsid w:val="00E50D3A"/>
    <w:rsid w:val="00E51387"/>
    <w:rsid w:val="00E51E68"/>
    <w:rsid w:val="00E52EFD"/>
    <w:rsid w:val="00E5408A"/>
    <w:rsid w:val="00E55AD7"/>
    <w:rsid w:val="00E56800"/>
    <w:rsid w:val="00E60C30"/>
    <w:rsid w:val="00E60CD7"/>
    <w:rsid w:val="00E61BB3"/>
    <w:rsid w:val="00E62FF9"/>
    <w:rsid w:val="00E6303E"/>
    <w:rsid w:val="00E635D6"/>
    <w:rsid w:val="00E639BC"/>
    <w:rsid w:val="00E63F5B"/>
    <w:rsid w:val="00E661B6"/>
    <w:rsid w:val="00E664CC"/>
    <w:rsid w:val="00E70388"/>
    <w:rsid w:val="00E707C8"/>
    <w:rsid w:val="00E70F92"/>
    <w:rsid w:val="00E73218"/>
    <w:rsid w:val="00E74C54"/>
    <w:rsid w:val="00E74F33"/>
    <w:rsid w:val="00E7580E"/>
    <w:rsid w:val="00E76F5B"/>
    <w:rsid w:val="00E77A03"/>
    <w:rsid w:val="00E77D31"/>
    <w:rsid w:val="00E822E8"/>
    <w:rsid w:val="00E822F1"/>
    <w:rsid w:val="00E82554"/>
    <w:rsid w:val="00E82606"/>
    <w:rsid w:val="00E82887"/>
    <w:rsid w:val="00E833F6"/>
    <w:rsid w:val="00E834EB"/>
    <w:rsid w:val="00E846C8"/>
    <w:rsid w:val="00E84957"/>
    <w:rsid w:val="00E84A55"/>
    <w:rsid w:val="00E85BFF"/>
    <w:rsid w:val="00E86B60"/>
    <w:rsid w:val="00E873B1"/>
    <w:rsid w:val="00E90391"/>
    <w:rsid w:val="00E906C2"/>
    <w:rsid w:val="00E919F3"/>
    <w:rsid w:val="00E91D08"/>
    <w:rsid w:val="00E921A1"/>
    <w:rsid w:val="00E929DE"/>
    <w:rsid w:val="00E92A91"/>
    <w:rsid w:val="00E9311F"/>
    <w:rsid w:val="00E934D1"/>
    <w:rsid w:val="00E9414C"/>
    <w:rsid w:val="00E94AF0"/>
    <w:rsid w:val="00E95845"/>
    <w:rsid w:val="00E95D13"/>
    <w:rsid w:val="00E95DD3"/>
    <w:rsid w:val="00E95EB5"/>
    <w:rsid w:val="00E969D5"/>
    <w:rsid w:val="00EA144F"/>
    <w:rsid w:val="00EA2A56"/>
    <w:rsid w:val="00EA46C7"/>
    <w:rsid w:val="00EA58D1"/>
    <w:rsid w:val="00EA61BC"/>
    <w:rsid w:val="00EA681A"/>
    <w:rsid w:val="00EA735B"/>
    <w:rsid w:val="00EA7962"/>
    <w:rsid w:val="00EB04B0"/>
    <w:rsid w:val="00EB1E69"/>
    <w:rsid w:val="00EB1EDA"/>
    <w:rsid w:val="00EB2086"/>
    <w:rsid w:val="00EB43E3"/>
    <w:rsid w:val="00EB5EDF"/>
    <w:rsid w:val="00EB60FE"/>
    <w:rsid w:val="00EB74DB"/>
    <w:rsid w:val="00EB75A8"/>
    <w:rsid w:val="00EB7BCC"/>
    <w:rsid w:val="00EC0B0D"/>
    <w:rsid w:val="00EC459B"/>
    <w:rsid w:val="00EC4EF0"/>
    <w:rsid w:val="00EC5359"/>
    <w:rsid w:val="00EC562A"/>
    <w:rsid w:val="00EC619D"/>
    <w:rsid w:val="00EC62C1"/>
    <w:rsid w:val="00EC780C"/>
    <w:rsid w:val="00ED01A6"/>
    <w:rsid w:val="00ED058A"/>
    <w:rsid w:val="00ED067A"/>
    <w:rsid w:val="00ED1013"/>
    <w:rsid w:val="00ED25DA"/>
    <w:rsid w:val="00ED2B50"/>
    <w:rsid w:val="00ED600F"/>
    <w:rsid w:val="00EE0198"/>
    <w:rsid w:val="00EE0350"/>
    <w:rsid w:val="00EE0719"/>
    <w:rsid w:val="00EE0E80"/>
    <w:rsid w:val="00EE16AC"/>
    <w:rsid w:val="00EE1BAF"/>
    <w:rsid w:val="00EE1C5E"/>
    <w:rsid w:val="00EE1E69"/>
    <w:rsid w:val="00EE3810"/>
    <w:rsid w:val="00EE3BBA"/>
    <w:rsid w:val="00EE613F"/>
    <w:rsid w:val="00EE673E"/>
    <w:rsid w:val="00EE7295"/>
    <w:rsid w:val="00EE7869"/>
    <w:rsid w:val="00EF054A"/>
    <w:rsid w:val="00EF0878"/>
    <w:rsid w:val="00EF0F0F"/>
    <w:rsid w:val="00EF1683"/>
    <w:rsid w:val="00EF2274"/>
    <w:rsid w:val="00EF2F75"/>
    <w:rsid w:val="00EF3235"/>
    <w:rsid w:val="00EF4E60"/>
    <w:rsid w:val="00EF6E19"/>
    <w:rsid w:val="00EF757B"/>
    <w:rsid w:val="00EF7E72"/>
    <w:rsid w:val="00F0193A"/>
    <w:rsid w:val="00F02403"/>
    <w:rsid w:val="00F02A4A"/>
    <w:rsid w:val="00F04B24"/>
    <w:rsid w:val="00F04DBA"/>
    <w:rsid w:val="00F06D37"/>
    <w:rsid w:val="00F0798C"/>
    <w:rsid w:val="00F07B9D"/>
    <w:rsid w:val="00F11586"/>
    <w:rsid w:val="00F1183B"/>
    <w:rsid w:val="00F11C9F"/>
    <w:rsid w:val="00F12263"/>
    <w:rsid w:val="00F1409D"/>
    <w:rsid w:val="00F14214"/>
    <w:rsid w:val="00F146BD"/>
    <w:rsid w:val="00F157A9"/>
    <w:rsid w:val="00F22883"/>
    <w:rsid w:val="00F22EDE"/>
    <w:rsid w:val="00F2361C"/>
    <w:rsid w:val="00F23C53"/>
    <w:rsid w:val="00F24401"/>
    <w:rsid w:val="00F250AB"/>
    <w:rsid w:val="00F25BB6"/>
    <w:rsid w:val="00F26B7E"/>
    <w:rsid w:val="00F27A3B"/>
    <w:rsid w:val="00F30866"/>
    <w:rsid w:val="00F31795"/>
    <w:rsid w:val="00F33817"/>
    <w:rsid w:val="00F33A9E"/>
    <w:rsid w:val="00F33CDC"/>
    <w:rsid w:val="00F346C7"/>
    <w:rsid w:val="00F36628"/>
    <w:rsid w:val="00F373CB"/>
    <w:rsid w:val="00F403C6"/>
    <w:rsid w:val="00F405CB"/>
    <w:rsid w:val="00F407CB"/>
    <w:rsid w:val="00F4110B"/>
    <w:rsid w:val="00F41993"/>
    <w:rsid w:val="00F420D5"/>
    <w:rsid w:val="00F421F3"/>
    <w:rsid w:val="00F42AC4"/>
    <w:rsid w:val="00F451EA"/>
    <w:rsid w:val="00F45447"/>
    <w:rsid w:val="00F456C6"/>
    <w:rsid w:val="00F4577B"/>
    <w:rsid w:val="00F46496"/>
    <w:rsid w:val="00F474D0"/>
    <w:rsid w:val="00F50179"/>
    <w:rsid w:val="00F50C24"/>
    <w:rsid w:val="00F51FE9"/>
    <w:rsid w:val="00F53481"/>
    <w:rsid w:val="00F53719"/>
    <w:rsid w:val="00F53BB1"/>
    <w:rsid w:val="00F542A7"/>
    <w:rsid w:val="00F553D3"/>
    <w:rsid w:val="00F56511"/>
    <w:rsid w:val="00F56656"/>
    <w:rsid w:val="00F57575"/>
    <w:rsid w:val="00F606D9"/>
    <w:rsid w:val="00F61681"/>
    <w:rsid w:val="00F6194E"/>
    <w:rsid w:val="00F621CE"/>
    <w:rsid w:val="00F623AC"/>
    <w:rsid w:val="00F62E20"/>
    <w:rsid w:val="00F6412A"/>
    <w:rsid w:val="00F65893"/>
    <w:rsid w:val="00F66A4A"/>
    <w:rsid w:val="00F67B9F"/>
    <w:rsid w:val="00F70644"/>
    <w:rsid w:val="00F708A9"/>
    <w:rsid w:val="00F71144"/>
    <w:rsid w:val="00F7122B"/>
    <w:rsid w:val="00F7155E"/>
    <w:rsid w:val="00F71E22"/>
    <w:rsid w:val="00F72142"/>
    <w:rsid w:val="00F72378"/>
    <w:rsid w:val="00F72AE7"/>
    <w:rsid w:val="00F742FD"/>
    <w:rsid w:val="00F74C20"/>
    <w:rsid w:val="00F75FE3"/>
    <w:rsid w:val="00F76636"/>
    <w:rsid w:val="00F76C97"/>
    <w:rsid w:val="00F77B91"/>
    <w:rsid w:val="00F819F7"/>
    <w:rsid w:val="00F81A44"/>
    <w:rsid w:val="00F8276E"/>
    <w:rsid w:val="00F827B8"/>
    <w:rsid w:val="00F84934"/>
    <w:rsid w:val="00F84FD0"/>
    <w:rsid w:val="00F859A8"/>
    <w:rsid w:val="00F85BFE"/>
    <w:rsid w:val="00F9108B"/>
    <w:rsid w:val="00F91349"/>
    <w:rsid w:val="00F91B7A"/>
    <w:rsid w:val="00F93A8A"/>
    <w:rsid w:val="00F95248"/>
    <w:rsid w:val="00F956A9"/>
    <w:rsid w:val="00F963ED"/>
    <w:rsid w:val="00F966CF"/>
    <w:rsid w:val="00F96CAE"/>
    <w:rsid w:val="00F979F1"/>
    <w:rsid w:val="00F97C99"/>
    <w:rsid w:val="00FA157A"/>
    <w:rsid w:val="00FA396F"/>
    <w:rsid w:val="00FA3A14"/>
    <w:rsid w:val="00FA3B7C"/>
    <w:rsid w:val="00FA45F3"/>
    <w:rsid w:val="00FA662D"/>
    <w:rsid w:val="00FA6775"/>
    <w:rsid w:val="00FA73B1"/>
    <w:rsid w:val="00FB086C"/>
    <w:rsid w:val="00FB0CB9"/>
    <w:rsid w:val="00FB3B80"/>
    <w:rsid w:val="00FB45F1"/>
    <w:rsid w:val="00FB4A72"/>
    <w:rsid w:val="00FB54E8"/>
    <w:rsid w:val="00FB695D"/>
    <w:rsid w:val="00FB7054"/>
    <w:rsid w:val="00FC17B7"/>
    <w:rsid w:val="00FC224B"/>
    <w:rsid w:val="00FC2CB7"/>
    <w:rsid w:val="00FC4090"/>
    <w:rsid w:val="00FC55B4"/>
    <w:rsid w:val="00FC5850"/>
    <w:rsid w:val="00FC63DE"/>
    <w:rsid w:val="00FC6CF2"/>
    <w:rsid w:val="00FD00E6"/>
    <w:rsid w:val="00FD09A1"/>
    <w:rsid w:val="00FD0B51"/>
    <w:rsid w:val="00FD2A7C"/>
    <w:rsid w:val="00FD2BB6"/>
    <w:rsid w:val="00FD37CC"/>
    <w:rsid w:val="00FD3ED0"/>
    <w:rsid w:val="00FD5443"/>
    <w:rsid w:val="00FD59EB"/>
    <w:rsid w:val="00FD7299"/>
    <w:rsid w:val="00FE0BAF"/>
    <w:rsid w:val="00FE0CA5"/>
    <w:rsid w:val="00FE1C1F"/>
    <w:rsid w:val="00FE1FBE"/>
    <w:rsid w:val="00FE2110"/>
    <w:rsid w:val="00FE2661"/>
    <w:rsid w:val="00FE2B78"/>
    <w:rsid w:val="00FE3901"/>
    <w:rsid w:val="00FE419A"/>
    <w:rsid w:val="00FE4844"/>
    <w:rsid w:val="00FE4BCE"/>
    <w:rsid w:val="00FE4BE5"/>
    <w:rsid w:val="00FE54AE"/>
    <w:rsid w:val="00FE576A"/>
    <w:rsid w:val="00FE61CF"/>
    <w:rsid w:val="00FE7E79"/>
    <w:rsid w:val="00FF02DF"/>
    <w:rsid w:val="00FF202A"/>
    <w:rsid w:val="00FF2804"/>
    <w:rsid w:val="00FF3E7D"/>
    <w:rsid w:val="00FF441E"/>
    <w:rsid w:val="00FF4533"/>
    <w:rsid w:val="00FF5B99"/>
    <w:rsid w:val="00FF5DE7"/>
    <w:rsid w:val="00FF68BD"/>
    <w:rsid w:val="00FF730C"/>
    <w:rsid w:val="00FF73F4"/>
    <w:rsid w:val="00FF73FB"/>
    <w:rsid w:val="00FF7CE4"/>
    <w:rsid w:val="00FF7E39"/>
    <w:rsid w:val="08FC1B44"/>
    <w:rsid w:val="4F122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2"/>
    <w:qFormat/>
    <w:uiPriority w:val="0"/>
    <w:pPr>
      <w:keepNext/>
      <w:keepLines/>
      <w:spacing w:before="260" w:after="260" w:line="416" w:lineRule="auto"/>
      <w:outlineLvl w:val="2"/>
    </w:pPr>
    <w:rPr>
      <w:b/>
      <w:bCs/>
      <w:sz w:val="32"/>
      <w:szCs w:val="32"/>
    </w:rPr>
  </w:style>
  <w:style w:type="paragraph" w:styleId="5">
    <w:name w:val="heading 4"/>
    <w:basedOn w:val="1"/>
    <w:next w:val="1"/>
    <w:link w:val="4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4"/>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5"/>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6"/>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7"/>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8"/>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59"/>
    <w:semiHidden/>
    <w:unhideWhenUsed/>
    <w:qFormat/>
    <w:uiPriority w:val="99"/>
    <w:pPr>
      <w:jc w:val="left"/>
    </w:pPr>
  </w:style>
  <w:style w:type="paragraph" w:styleId="14">
    <w:name w:val="Body Text"/>
    <w:basedOn w:val="1"/>
    <w:link w:val="92"/>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Date"/>
    <w:basedOn w:val="1"/>
    <w:next w:val="1"/>
    <w:link w:val="263"/>
    <w:semiHidden/>
    <w:unhideWhenUsed/>
    <w:qFormat/>
    <w:uiPriority w:val="99"/>
    <w:pPr>
      <w:ind w:left="100" w:leftChars="2500"/>
    </w:pPr>
  </w:style>
  <w:style w:type="paragraph" w:styleId="18">
    <w:name w:val="Balloon Text"/>
    <w:basedOn w:val="1"/>
    <w:link w:val="51"/>
    <w:semiHidden/>
    <w:unhideWhenUsed/>
    <w:uiPriority w:val="99"/>
    <w:rPr>
      <w:sz w:val="18"/>
      <w:szCs w:val="18"/>
    </w:rPr>
  </w:style>
  <w:style w:type="paragraph" w:styleId="19">
    <w:name w:val="footer"/>
    <w:basedOn w:val="1"/>
    <w:link w:val="50"/>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9"/>
    <w:qFormat/>
    <w:uiPriority w:val="99"/>
    <w:pPr>
      <w:tabs>
        <w:tab w:val="center" w:pos="4153"/>
        <w:tab w:val="right" w:pos="8306"/>
      </w:tabs>
      <w:adjustRightInd/>
      <w:snapToGrid w:val="0"/>
      <w:jc w:val="center"/>
    </w:pPr>
    <w:rPr>
      <w:sz w:val="18"/>
      <w:szCs w:val="18"/>
    </w:rPr>
  </w:style>
  <w:style w:type="paragraph" w:styleId="21">
    <w:name w:val="toc 1"/>
    <w:basedOn w:val="1"/>
    <w:next w:val="1"/>
    <w:unhideWhenUsed/>
    <w:qFormat/>
    <w:uiPriority w:val="39"/>
    <w:pPr>
      <w:tabs>
        <w:tab w:val="right" w:leader="dot" w:pos="9344"/>
      </w:tabs>
    </w:pPr>
    <w:rPr>
      <w:rFonts w:ascii="宋体"/>
    </w:rPr>
  </w:style>
  <w:style w:type="paragraph" w:styleId="22">
    <w:name w:val="toc 4"/>
    <w:basedOn w:val="1"/>
    <w:next w:val="1"/>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5"/>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unhideWhenUsed/>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8">
    <w:name w:val="Title"/>
    <w:basedOn w:val="1"/>
    <w:link w:val="54"/>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60"/>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6">
    <w:name w:val="Emphasis"/>
    <w:qFormat/>
    <w:uiPriority w:val="20"/>
    <w:rPr>
      <w:i/>
      <w:iCs/>
    </w:rPr>
  </w:style>
  <w:style w:type="character" w:styleId="37">
    <w:name w:val="Hyperlink"/>
    <w:qFormat/>
    <w:uiPriority w:val="99"/>
    <w:rPr>
      <w:rFonts w:ascii="宋体" w:hAnsi="Times New Roman" w:eastAsia="宋体"/>
      <w:color w:val="auto"/>
      <w:spacing w:val="0"/>
      <w:w w:val="100"/>
      <w:position w:val="0"/>
      <w:sz w:val="21"/>
      <w:u w:val="none"/>
      <w:vertAlign w:val="baseline"/>
    </w:rPr>
  </w:style>
  <w:style w:type="character" w:styleId="38">
    <w:name w:val="annotation reference"/>
    <w:basedOn w:val="32"/>
    <w:semiHidden/>
    <w:unhideWhenUsed/>
    <w:uiPriority w:val="99"/>
    <w:rPr>
      <w:sz w:val="21"/>
      <w:szCs w:val="21"/>
    </w:rPr>
  </w:style>
  <w:style w:type="character" w:styleId="39">
    <w:name w:val="footnote reference"/>
    <w:semiHidden/>
    <w:qFormat/>
    <w:uiPriority w:val="0"/>
    <w:rPr>
      <w:rFonts w:ascii="宋体" w:hAnsi="宋体" w:eastAsia="宋体" w:cs="Times New Roman"/>
      <w:spacing w:val="0"/>
      <w:sz w:val="18"/>
      <w:vertAlign w:val="superscript"/>
    </w:rPr>
  </w:style>
  <w:style w:type="character" w:customStyle="1" w:styleId="40">
    <w:name w:val="标题 1 Char"/>
    <w:link w:val="2"/>
    <w:qFormat/>
    <w:uiPriority w:val="0"/>
    <w:rPr>
      <w:rFonts w:ascii="Times New Roman" w:hAnsi="Times New Roman" w:eastAsia="宋体" w:cs="Times New Roman"/>
      <w:b/>
      <w:bCs/>
      <w:kern w:val="44"/>
      <w:sz w:val="44"/>
      <w:szCs w:val="44"/>
    </w:rPr>
  </w:style>
  <w:style w:type="character" w:customStyle="1" w:styleId="41">
    <w:name w:val="标题 2 Char"/>
    <w:link w:val="3"/>
    <w:qFormat/>
    <w:uiPriority w:val="0"/>
    <w:rPr>
      <w:rFonts w:ascii="Arial" w:hAnsi="Arial" w:eastAsia="黑体" w:cs="Times New Roman"/>
      <w:b/>
      <w:bCs/>
      <w:sz w:val="32"/>
      <w:szCs w:val="32"/>
    </w:rPr>
  </w:style>
  <w:style w:type="character" w:customStyle="1" w:styleId="42">
    <w:name w:val="标题 3 Char"/>
    <w:link w:val="4"/>
    <w:qFormat/>
    <w:uiPriority w:val="0"/>
    <w:rPr>
      <w:rFonts w:ascii="Times New Roman" w:hAnsi="Times New Roman" w:eastAsia="宋体" w:cs="Times New Roman"/>
      <w:b/>
      <w:bCs/>
      <w:sz w:val="32"/>
      <w:szCs w:val="32"/>
    </w:rPr>
  </w:style>
  <w:style w:type="character" w:customStyle="1" w:styleId="43">
    <w:name w:val="标题 4 Char"/>
    <w:link w:val="5"/>
    <w:qFormat/>
    <w:uiPriority w:val="0"/>
    <w:rPr>
      <w:rFonts w:ascii="Arial" w:hAnsi="Arial" w:eastAsia="黑体" w:cs="Times New Roman"/>
      <w:b/>
      <w:bCs/>
      <w:sz w:val="28"/>
      <w:szCs w:val="28"/>
    </w:rPr>
  </w:style>
  <w:style w:type="character" w:customStyle="1" w:styleId="44">
    <w:name w:val="标题 5 Char"/>
    <w:link w:val="6"/>
    <w:qFormat/>
    <w:uiPriority w:val="0"/>
    <w:rPr>
      <w:rFonts w:ascii="Times New Roman" w:hAnsi="Times New Roman" w:eastAsia="宋体" w:cs="Times New Roman"/>
      <w:b/>
      <w:bCs/>
      <w:sz w:val="28"/>
      <w:szCs w:val="28"/>
    </w:rPr>
  </w:style>
  <w:style w:type="character" w:customStyle="1" w:styleId="45">
    <w:name w:val="标题 6 Char"/>
    <w:link w:val="7"/>
    <w:qFormat/>
    <w:uiPriority w:val="0"/>
    <w:rPr>
      <w:rFonts w:ascii="Arial" w:hAnsi="Arial" w:eastAsia="黑体" w:cs="Times New Roman"/>
      <w:b/>
      <w:bCs/>
      <w:sz w:val="24"/>
      <w:szCs w:val="24"/>
    </w:rPr>
  </w:style>
  <w:style w:type="character" w:customStyle="1" w:styleId="46">
    <w:name w:val="标题 7 Char"/>
    <w:link w:val="8"/>
    <w:qFormat/>
    <w:uiPriority w:val="0"/>
    <w:rPr>
      <w:rFonts w:ascii="Times New Roman" w:hAnsi="Times New Roman" w:eastAsia="宋体" w:cs="Times New Roman"/>
      <w:b/>
      <w:bCs/>
      <w:sz w:val="24"/>
      <w:szCs w:val="24"/>
    </w:rPr>
  </w:style>
  <w:style w:type="character" w:customStyle="1" w:styleId="47">
    <w:name w:val="标题 8 Char"/>
    <w:link w:val="9"/>
    <w:qFormat/>
    <w:uiPriority w:val="0"/>
    <w:rPr>
      <w:rFonts w:ascii="Arial" w:hAnsi="Arial" w:eastAsia="黑体" w:cs="Times New Roman"/>
      <w:sz w:val="24"/>
      <w:szCs w:val="24"/>
    </w:rPr>
  </w:style>
  <w:style w:type="character" w:customStyle="1" w:styleId="48">
    <w:name w:val="标题 9 Char"/>
    <w:link w:val="10"/>
    <w:qFormat/>
    <w:uiPriority w:val="0"/>
    <w:rPr>
      <w:rFonts w:ascii="Arial" w:hAnsi="Arial" w:eastAsia="黑体" w:cs="Times New Roman"/>
      <w:szCs w:val="21"/>
    </w:rPr>
  </w:style>
  <w:style w:type="character" w:customStyle="1" w:styleId="49">
    <w:name w:val="页眉 Char"/>
    <w:link w:val="20"/>
    <w:qFormat/>
    <w:uiPriority w:val="99"/>
    <w:rPr>
      <w:rFonts w:ascii="Times New Roman" w:hAnsi="Times New Roman" w:eastAsia="宋体" w:cs="Times New Roman"/>
      <w:sz w:val="18"/>
      <w:szCs w:val="18"/>
    </w:rPr>
  </w:style>
  <w:style w:type="character" w:customStyle="1" w:styleId="50">
    <w:name w:val="页脚 Char"/>
    <w:link w:val="19"/>
    <w:qFormat/>
    <w:uiPriority w:val="99"/>
    <w:rPr>
      <w:rFonts w:ascii="宋体" w:hAnsi="Times New Roman" w:eastAsia="宋体" w:cs="Times New Roman"/>
      <w:sz w:val="18"/>
      <w:szCs w:val="18"/>
    </w:rPr>
  </w:style>
  <w:style w:type="character" w:customStyle="1" w:styleId="51">
    <w:name w:val="批注框文本 Char"/>
    <w:link w:val="18"/>
    <w:semiHidden/>
    <w:qFormat/>
    <w:uiPriority w:val="99"/>
    <w:rPr>
      <w:sz w:val="18"/>
      <w:szCs w:val="18"/>
    </w:rPr>
  </w:style>
  <w:style w:type="paragraph" w:styleId="52">
    <w:name w:val="Quote"/>
    <w:basedOn w:val="1"/>
    <w:next w:val="1"/>
    <w:link w:val="53"/>
    <w:qFormat/>
    <w:uiPriority w:val="29"/>
    <w:rPr>
      <w:i/>
      <w:iCs/>
      <w:color w:val="000000"/>
    </w:rPr>
  </w:style>
  <w:style w:type="character" w:customStyle="1" w:styleId="53">
    <w:name w:val="引用 Char"/>
    <w:link w:val="52"/>
    <w:qFormat/>
    <w:uiPriority w:val="29"/>
    <w:rPr>
      <w:i/>
      <w:iCs/>
      <w:color w:val="000000"/>
    </w:rPr>
  </w:style>
  <w:style w:type="character" w:customStyle="1" w:styleId="54">
    <w:name w:val="标题 Char"/>
    <w:link w:val="28"/>
    <w:qFormat/>
    <w:uiPriority w:val="0"/>
    <w:rPr>
      <w:rFonts w:ascii="Arial" w:hAnsi="Arial" w:eastAsia="宋体" w:cs="Arial"/>
      <w:b/>
      <w:bCs/>
      <w:sz w:val="32"/>
      <w:szCs w:val="32"/>
    </w:rPr>
  </w:style>
  <w:style w:type="paragraph" w:customStyle="1" w:styleId="5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6">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7">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8">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9">
    <w:name w:val="标准书眉一"/>
    <w:qFormat/>
    <w:uiPriority w:val="0"/>
    <w:pPr>
      <w:jc w:val="both"/>
    </w:pPr>
    <w:rPr>
      <w:rFonts w:ascii="Times New Roman" w:hAnsi="Times New Roman" w:eastAsia="宋体" w:cs="Times New Roman"/>
      <w:lang w:val="en-US" w:eastAsia="zh-CN" w:bidi="ar-SA"/>
    </w:rPr>
  </w:style>
  <w:style w:type="paragraph" w:customStyle="1" w:styleId="60">
    <w:name w:val="标准文件_ICS"/>
    <w:basedOn w:val="1"/>
    <w:qFormat/>
    <w:uiPriority w:val="0"/>
    <w:pPr>
      <w:spacing w:line="0" w:lineRule="atLeast"/>
    </w:pPr>
    <w:rPr>
      <w:rFonts w:ascii="黑体" w:hAnsi="宋体" w:eastAsia="黑体"/>
    </w:rPr>
  </w:style>
  <w:style w:type="paragraph" w:customStyle="1" w:styleId="61">
    <w:name w:val="标准文件_标准正文"/>
    <w:basedOn w:val="1"/>
    <w:next w:val="62"/>
    <w:qFormat/>
    <w:uiPriority w:val="0"/>
    <w:pPr>
      <w:snapToGrid w:val="0"/>
      <w:ind w:firstLine="200" w:firstLineChars="200"/>
    </w:pPr>
    <w:rPr>
      <w:kern w:val="0"/>
    </w:rPr>
  </w:style>
  <w:style w:type="paragraph" w:customStyle="1" w:styleId="62">
    <w:name w:val="标准文件_段"/>
    <w:link w:val="190"/>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标准文件_版本"/>
    <w:basedOn w:val="61"/>
    <w:qFormat/>
    <w:uiPriority w:val="0"/>
    <w:pPr>
      <w:adjustRightInd/>
      <w:snapToGrid/>
      <w:ind w:firstLine="0" w:firstLineChars="0"/>
    </w:pPr>
    <w:rPr>
      <w:rFonts w:ascii="宋体" w:hAnsi="宋体"/>
      <w:kern w:val="2"/>
    </w:rPr>
  </w:style>
  <w:style w:type="paragraph" w:customStyle="1" w:styleId="64">
    <w:name w:val="标准文件_标准部门"/>
    <w:basedOn w:val="1"/>
    <w:qFormat/>
    <w:uiPriority w:val="0"/>
    <w:pPr>
      <w:jc w:val="center"/>
    </w:pPr>
    <w:rPr>
      <w:rFonts w:ascii="黑体" w:eastAsia="黑体"/>
      <w:kern w:val="0"/>
      <w:sz w:val="44"/>
    </w:rPr>
  </w:style>
  <w:style w:type="paragraph" w:customStyle="1" w:styleId="65">
    <w:name w:val="标准文件_标准代替"/>
    <w:basedOn w:val="1"/>
    <w:next w:val="1"/>
    <w:qFormat/>
    <w:uiPriority w:val="0"/>
    <w:pPr>
      <w:spacing w:line="310" w:lineRule="exact"/>
      <w:jc w:val="right"/>
    </w:pPr>
    <w:rPr>
      <w:rFonts w:ascii="宋体" w:hAnsi="宋体"/>
      <w:kern w:val="0"/>
    </w:rPr>
  </w:style>
  <w:style w:type="paragraph" w:customStyle="1" w:styleId="66">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7">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8">
    <w:name w:val="标准文件_页眉偶数页"/>
    <w:basedOn w:val="67"/>
    <w:next w:val="1"/>
    <w:qFormat/>
    <w:uiPriority w:val="0"/>
    <w:pPr>
      <w:jc w:val="left"/>
    </w:pPr>
  </w:style>
  <w:style w:type="paragraph" w:customStyle="1" w:styleId="69">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70">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1">
    <w:name w:val="标准文件_二级条标题"/>
    <w:next w:val="62"/>
    <w:qFormat/>
    <w:uiPriority w:val="99"/>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2">
    <w:name w:val="标准文件_发布"/>
    <w:qFormat/>
    <w:uiPriority w:val="0"/>
    <w:rPr>
      <w:rFonts w:ascii="黑体" w:eastAsia="黑体"/>
      <w:spacing w:val="0"/>
      <w:w w:val="100"/>
      <w:position w:val="3"/>
      <w:sz w:val="28"/>
    </w:rPr>
  </w:style>
  <w:style w:type="paragraph" w:customStyle="1" w:styleId="73">
    <w:name w:val="标准文件_方框数字列项"/>
    <w:basedOn w:val="62"/>
    <w:qFormat/>
    <w:uiPriority w:val="0"/>
    <w:pPr>
      <w:numPr>
        <w:ilvl w:val="0"/>
        <w:numId w:val="3"/>
      </w:numPr>
      <w:ind w:firstLine="0" w:firstLineChars="0"/>
    </w:pPr>
  </w:style>
  <w:style w:type="paragraph" w:customStyle="1" w:styleId="74">
    <w:name w:val="标准文件_封面标准编号"/>
    <w:basedOn w:val="1"/>
    <w:next w:val="65"/>
    <w:qFormat/>
    <w:uiPriority w:val="0"/>
    <w:pPr>
      <w:spacing w:line="310" w:lineRule="exact"/>
      <w:jc w:val="right"/>
    </w:pPr>
    <w:rPr>
      <w:rFonts w:ascii="黑体" w:eastAsia="黑体"/>
      <w:kern w:val="0"/>
      <w:sz w:val="28"/>
    </w:rPr>
  </w:style>
  <w:style w:type="paragraph" w:customStyle="1" w:styleId="75">
    <w:name w:val="标准文件_封面标准分类号"/>
    <w:basedOn w:val="1"/>
    <w:qFormat/>
    <w:uiPriority w:val="0"/>
    <w:rPr>
      <w:rFonts w:ascii="黑体" w:eastAsia="黑体"/>
      <w:b/>
      <w:kern w:val="0"/>
      <w:sz w:val="28"/>
    </w:rPr>
  </w:style>
  <w:style w:type="paragraph" w:customStyle="1" w:styleId="76">
    <w:name w:val="标准文件_封面标准名称"/>
    <w:basedOn w:val="1"/>
    <w:qFormat/>
    <w:uiPriority w:val="0"/>
    <w:pPr>
      <w:spacing w:line="240" w:lineRule="auto"/>
      <w:jc w:val="center"/>
    </w:pPr>
    <w:rPr>
      <w:rFonts w:ascii="黑体" w:eastAsia="黑体"/>
      <w:kern w:val="0"/>
      <w:sz w:val="52"/>
    </w:rPr>
  </w:style>
  <w:style w:type="paragraph" w:customStyle="1" w:styleId="77">
    <w:name w:val="标准文件_封面标准英文名称"/>
    <w:basedOn w:val="1"/>
    <w:qFormat/>
    <w:uiPriority w:val="0"/>
    <w:pPr>
      <w:spacing w:line="240" w:lineRule="auto"/>
      <w:jc w:val="center"/>
    </w:pPr>
    <w:rPr>
      <w:rFonts w:ascii="黑体" w:eastAsia="黑体"/>
      <w:b/>
      <w:sz w:val="28"/>
    </w:rPr>
  </w:style>
  <w:style w:type="paragraph" w:customStyle="1" w:styleId="78">
    <w:name w:val="标准文件_封面发布日期"/>
    <w:basedOn w:val="1"/>
    <w:qFormat/>
    <w:uiPriority w:val="0"/>
    <w:pPr>
      <w:spacing w:line="310" w:lineRule="exact"/>
    </w:pPr>
    <w:rPr>
      <w:rFonts w:ascii="黑体" w:eastAsia="黑体"/>
      <w:kern w:val="0"/>
      <w:sz w:val="28"/>
    </w:rPr>
  </w:style>
  <w:style w:type="paragraph" w:customStyle="1" w:styleId="79">
    <w:name w:val="标准文件_封面密级"/>
    <w:basedOn w:val="1"/>
    <w:qFormat/>
    <w:uiPriority w:val="0"/>
    <w:rPr>
      <w:rFonts w:eastAsia="黑体"/>
      <w:sz w:val="32"/>
    </w:rPr>
  </w:style>
  <w:style w:type="paragraph" w:customStyle="1" w:styleId="80">
    <w:name w:val="标准文件_封面实施日期"/>
    <w:basedOn w:val="1"/>
    <w:qFormat/>
    <w:uiPriority w:val="0"/>
    <w:pPr>
      <w:spacing w:line="310" w:lineRule="exact"/>
      <w:jc w:val="right"/>
    </w:pPr>
    <w:rPr>
      <w:rFonts w:ascii="黑体" w:eastAsia="黑体"/>
      <w:sz w:val="28"/>
    </w:rPr>
  </w:style>
  <w:style w:type="paragraph" w:customStyle="1" w:styleId="81">
    <w:name w:val="标准文件_封面抬头"/>
    <w:basedOn w:val="62"/>
    <w:qFormat/>
    <w:uiPriority w:val="0"/>
    <w:pPr>
      <w:adjustRightInd w:val="0"/>
      <w:spacing w:line="800" w:lineRule="exact"/>
      <w:ind w:firstLine="0" w:firstLineChars="0"/>
      <w:jc w:val="distribute"/>
    </w:pPr>
    <w:rPr>
      <w:rFonts w:ascii="黑体" w:eastAsia="黑体"/>
      <w:b/>
      <w:sz w:val="64"/>
    </w:rPr>
  </w:style>
  <w:style w:type="paragraph" w:customStyle="1" w:styleId="82">
    <w:name w:val="标准文件_附录标识"/>
    <w:next w:val="62"/>
    <w:qFormat/>
    <w:uiPriority w:val="0"/>
    <w:pPr>
      <w:numPr>
        <w:ilvl w:val="0"/>
        <w:numId w:val="4"/>
      </w:numPr>
      <w:shd w:val="clear" w:color="FFFFFF" w:fill="FFFFFF"/>
      <w:tabs>
        <w:tab w:val="left" w:pos="6406"/>
      </w:tabs>
      <w:spacing w:before="25" w:beforeLines="25" w:after="50" w:afterLines="50"/>
      <w:ind w:left="0"/>
      <w:jc w:val="center"/>
      <w:outlineLvl w:val="0"/>
    </w:pPr>
    <w:rPr>
      <w:rFonts w:ascii="黑体" w:hAnsi="Times New Roman" w:eastAsia="黑体" w:cs="Times New Roman"/>
      <w:sz w:val="21"/>
      <w:lang w:val="en-US" w:eastAsia="zh-CN" w:bidi="ar-SA"/>
    </w:rPr>
  </w:style>
  <w:style w:type="paragraph" w:customStyle="1" w:styleId="83">
    <w:name w:val="标准文件_附录表标题"/>
    <w:next w:val="62"/>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4">
    <w:name w:val="标准文件_附录一级条标题"/>
    <w:next w:val="62"/>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5">
    <w:name w:val="标准文件_附录二级条标题"/>
    <w:basedOn w:val="84"/>
    <w:next w:val="62"/>
    <w:qFormat/>
    <w:uiPriority w:val="0"/>
    <w:pPr>
      <w:widowControl/>
      <w:numPr>
        <w:ilvl w:val="2"/>
      </w:numPr>
      <w:wordWrap w:val="0"/>
      <w:overflowPunct w:val="0"/>
      <w:autoSpaceDE w:val="0"/>
      <w:autoSpaceDN w:val="0"/>
      <w:ind w:left="851"/>
      <w:textAlignment w:val="baseline"/>
      <w:outlineLvl w:val="3"/>
    </w:pPr>
  </w:style>
  <w:style w:type="paragraph" w:customStyle="1" w:styleId="86">
    <w:name w:val="标准文件_附录公式"/>
    <w:basedOn w:val="61"/>
    <w:next w:val="61"/>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7">
    <w:name w:val="标准文件_附录三级条标题"/>
    <w:next w:val="62"/>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8">
    <w:name w:val="标准文件_附录四级条标题"/>
    <w:next w:val="62"/>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9">
    <w:name w:val="标准文件_附录图标题"/>
    <w:next w:val="62"/>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90">
    <w:name w:val="标准文件_附录五级条标题"/>
    <w:next w:val="62"/>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1">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2">
    <w:name w:val="正文文本 Char"/>
    <w:link w:val="14"/>
    <w:qFormat/>
    <w:uiPriority w:val="0"/>
    <w:rPr>
      <w:rFonts w:ascii="Times New Roman" w:hAnsi="Times New Roman" w:eastAsia="宋体" w:cs="Times New Roman"/>
      <w:szCs w:val="20"/>
    </w:rPr>
  </w:style>
  <w:style w:type="paragraph" w:customStyle="1" w:styleId="93">
    <w:name w:val="标准文件_附录章标题"/>
    <w:next w:val="62"/>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标准文件_公式后的破折号"/>
    <w:basedOn w:val="62"/>
    <w:next w:val="62"/>
    <w:qFormat/>
    <w:uiPriority w:val="0"/>
    <w:pPr>
      <w:ind w:left="488" w:leftChars="200" w:hanging="289" w:hangingChars="290"/>
    </w:pPr>
  </w:style>
  <w:style w:type="paragraph" w:customStyle="1" w:styleId="95">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6">
    <w:name w:val="标准文件_目次、标准名称标题"/>
    <w:basedOn w:val="95"/>
    <w:next w:val="62"/>
    <w:qFormat/>
    <w:uiPriority w:val="0"/>
    <w:pPr>
      <w:spacing w:line="460" w:lineRule="exact"/>
    </w:pPr>
  </w:style>
  <w:style w:type="paragraph" w:customStyle="1" w:styleId="97">
    <w:name w:val="标准文件_目录标题"/>
    <w:basedOn w:val="1"/>
    <w:qFormat/>
    <w:uiPriority w:val="0"/>
    <w:pPr>
      <w:spacing w:after="150" w:afterLines="150" w:line="240" w:lineRule="auto"/>
      <w:jc w:val="center"/>
    </w:pPr>
    <w:rPr>
      <w:rFonts w:ascii="黑体" w:eastAsia="黑体"/>
      <w:sz w:val="32"/>
    </w:rPr>
  </w:style>
  <w:style w:type="paragraph" w:customStyle="1" w:styleId="98">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9">
    <w:name w:val="标准文件_破折号列项（二级）"/>
    <w:basedOn w:val="98"/>
    <w:qFormat/>
    <w:uiPriority w:val="0"/>
    <w:pPr>
      <w:numPr>
        <w:numId w:val="10"/>
      </w:numPr>
      <w:ind w:left="0" w:firstLine="200"/>
    </w:pPr>
  </w:style>
  <w:style w:type="paragraph" w:customStyle="1" w:styleId="100">
    <w:name w:val="标准文件_三级条标题"/>
    <w:basedOn w:val="71"/>
    <w:next w:val="62"/>
    <w:qFormat/>
    <w:uiPriority w:val="99"/>
    <w:pPr>
      <w:widowControl/>
      <w:numPr>
        <w:ilvl w:val="4"/>
      </w:numPr>
      <w:outlineLvl w:val="3"/>
    </w:pPr>
  </w:style>
  <w:style w:type="character" w:customStyle="1" w:styleId="101">
    <w:name w:val="不明显参考1"/>
    <w:qFormat/>
    <w:uiPriority w:val="31"/>
    <w:rPr>
      <w:smallCaps/>
      <w:color w:val="C0504D"/>
      <w:u w:val="single"/>
    </w:rPr>
  </w:style>
  <w:style w:type="paragraph" w:customStyle="1" w:styleId="102">
    <w:name w:val="标准文件_示例后续"/>
    <w:basedOn w:val="1"/>
    <w:qFormat/>
    <w:uiPriority w:val="0"/>
    <w:pPr>
      <w:adjustRightInd/>
      <w:spacing w:line="240" w:lineRule="auto"/>
      <w:ind w:firstLine="200" w:firstLineChars="200"/>
    </w:pPr>
    <w:rPr>
      <w:sz w:val="18"/>
      <w:szCs w:val="24"/>
    </w:rPr>
  </w:style>
  <w:style w:type="paragraph" w:customStyle="1" w:styleId="103">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4">
    <w:name w:val="标准文件_四级条标题"/>
    <w:next w:val="62"/>
    <w:qFormat/>
    <w:uiPriority w:val="99"/>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5">
    <w:name w:val="脚注文本 Char"/>
    <w:link w:val="23"/>
    <w:semiHidden/>
    <w:qFormat/>
    <w:uiPriority w:val="0"/>
    <w:rPr>
      <w:rFonts w:ascii="宋体" w:hAnsi="Times New Roman" w:eastAsia="宋体" w:cs="Times New Roman"/>
      <w:sz w:val="18"/>
      <w:szCs w:val="18"/>
    </w:rPr>
  </w:style>
  <w:style w:type="paragraph" w:customStyle="1" w:styleId="106">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7">
    <w:name w:val="标准文件_图表脚注"/>
    <w:basedOn w:val="1"/>
    <w:next w:val="62"/>
    <w:qFormat/>
    <w:uiPriority w:val="0"/>
    <w:pPr>
      <w:numPr>
        <w:ilvl w:val="0"/>
        <w:numId w:val="12"/>
      </w:numPr>
      <w:spacing w:line="240" w:lineRule="auto"/>
      <w:jc w:val="left"/>
    </w:pPr>
    <w:rPr>
      <w:rFonts w:ascii="宋体" w:hAnsi="宋体"/>
      <w:sz w:val="18"/>
    </w:rPr>
  </w:style>
  <w:style w:type="character" w:customStyle="1" w:styleId="108">
    <w:name w:val="标准文件_图表脚注内容"/>
    <w:qFormat/>
    <w:uiPriority w:val="0"/>
    <w:rPr>
      <w:rFonts w:ascii="宋体" w:hAnsi="宋体" w:eastAsia="宋体" w:cs="Times New Roman"/>
      <w:spacing w:val="0"/>
      <w:sz w:val="18"/>
      <w:vertAlign w:val="superscript"/>
    </w:rPr>
  </w:style>
  <w:style w:type="paragraph" w:customStyle="1" w:styleId="109">
    <w:name w:val="标准文件_五级条标题"/>
    <w:next w:val="62"/>
    <w:qFormat/>
    <w:uiPriority w:val="99"/>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0">
    <w:name w:val="标准文件_章标题"/>
    <w:next w:val="62"/>
    <w:qFormat/>
    <w:uiPriority w:val="99"/>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1">
    <w:name w:val="标准文件_一级条标题"/>
    <w:basedOn w:val="110"/>
    <w:next w:val="62"/>
    <w:qFormat/>
    <w:uiPriority w:val="99"/>
    <w:pPr>
      <w:numPr>
        <w:ilvl w:val="2"/>
      </w:numPr>
      <w:spacing w:before="50" w:beforeLines="50" w:after="50" w:afterLines="50"/>
      <w:outlineLvl w:val="1"/>
    </w:pPr>
  </w:style>
  <w:style w:type="paragraph" w:customStyle="1" w:styleId="112">
    <w:name w:val="标准文件_一致程度"/>
    <w:basedOn w:val="1"/>
    <w:qFormat/>
    <w:uiPriority w:val="0"/>
    <w:pPr>
      <w:spacing w:line="440" w:lineRule="exact"/>
      <w:jc w:val="center"/>
    </w:pPr>
    <w:rPr>
      <w:sz w:val="28"/>
    </w:rPr>
  </w:style>
  <w:style w:type="paragraph" w:customStyle="1" w:styleId="113">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4">
    <w:name w:val="标准文件_英文图表脚注"/>
    <w:basedOn w:val="61"/>
    <w:qFormat/>
    <w:uiPriority w:val="0"/>
    <w:pPr>
      <w:widowControl/>
      <w:adjustRightInd/>
      <w:snapToGrid/>
      <w:spacing w:line="240" w:lineRule="auto"/>
      <w:ind w:left="79" w:hanging="79" w:hangingChars="80"/>
    </w:pPr>
    <w:rPr>
      <w:rFonts w:ascii="宋体" w:hAnsi="宋体"/>
    </w:rPr>
  </w:style>
  <w:style w:type="paragraph" w:customStyle="1" w:styleId="115">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6">
    <w:name w:val="标准文件_英文注："/>
    <w:basedOn w:val="1"/>
    <w:next w:val="62"/>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7">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8">
    <w:name w:val="标准文件_正文表标题"/>
    <w:next w:val="62"/>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公式"/>
    <w:basedOn w:val="1"/>
    <w:next w:val="61"/>
    <w:qFormat/>
    <w:uiPriority w:val="0"/>
    <w:pPr>
      <w:tabs>
        <w:tab w:val="center" w:pos="4678"/>
        <w:tab w:val="right" w:leader="middleDot" w:pos="9356"/>
      </w:tabs>
      <w:spacing w:line="240" w:lineRule="auto"/>
    </w:pPr>
    <w:rPr>
      <w:rFonts w:ascii="宋体" w:hAnsi="宋体"/>
    </w:rPr>
  </w:style>
  <w:style w:type="paragraph" w:customStyle="1" w:styleId="120">
    <w:name w:val="标准文件_正文图标题"/>
    <w:next w:val="62"/>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1">
    <w:name w:val="标准文件_正文英文表标题"/>
    <w:next w:val="62"/>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2">
    <w:name w:val="标准文件_正文英文图标题"/>
    <w:next w:val="62"/>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3">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4">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5">
    <w:name w:val="发布部门"/>
    <w:next w:val="62"/>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6">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7">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1">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2">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3">
    <w:name w:val="封面正文"/>
    <w:qFormat/>
    <w:uiPriority w:val="0"/>
    <w:pPr>
      <w:jc w:val="both"/>
    </w:pPr>
    <w:rPr>
      <w:rFonts w:ascii="Times New Roman" w:hAnsi="Times New Roman" w:eastAsia="宋体" w:cs="Times New Roman"/>
      <w:lang w:val="en-US" w:eastAsia="zh-CN" w:bidi="ar-SA"/>
    </w:rPr>
  </w:style>
  <w:style w:type="paragraph" w:customStyle="1" w:styleId="134">
    <w:name w:val="附录二级无标题条"/>
    <w:basedOn w:val="1"/>
    <w:next w:val="62"/>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5">
    <w:name w:val="附录三级无标题条"/>
    <w:basedOn w:val="134"/>
    <w:next w:val="62"/>
    <w:qFormat/>
    <w:uiPriority w:val="0"/>
    <w:pPr>
      <w:outlineLvl w:val="4"/>
    </w:pPr>
  </w:style>
  <w:style w:type="paragraph" w:customStyle="1" w:styleId="136">
    <w:name w:val="附录四级无标题条"/>
    <w:basedOn w:val="135"/>
    <w:next w:val="62"/>
    <w:qFormat/>
    <w:uiPriority w:val="0"/>
    <w:pPr>
      <w:outlineLvl w:val="5"/>
    </w:pPr>
  </w:style>
  <w:style w:type="paragraph" w:customStyle="1" w:styleId="137">
    <w:name w:val="附录图"/>
    <w:next w:val="62"/>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8">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9">
    <w:name w:val="附录五级无标题条"/>
    <w:basedOn w:val="136"/>
    <w:next w:val="62"/>
    <w:qFormat/>
    <w:uiPriority w:val="0"/>
    <w:pPr>
      <w:outlineLvl w:val="6"/>
    </w:pPr>
  </w:style>
  <w:style w:type="paragraph" w:customStyle="1" w:styleId="140">
    <w:name w:val="附录性质"/>
    <w:basedOn w:val="1"/>
    <w:qFormat/>
    <w:uiPriority w:val="0"/>
    <w:pPr>
      <w:widowControl/>
      <w:adjustRightInd/>
      <w:jc w:val="center"/>
    </w:pPr>
    <w:rPr>
      <w:rFonts w:ascii="黑体" w:eastAsia="黑体"/>
    </w:rPr>
  </w:style>
  <w:style w:type="paragraph" w:customStyle="1" w:styleId="141">
    <w:name w:val="附录一级无标题条"/>
    <w:basedOn w:val="93"/>
    <w:next w:val="62"/>
    <w:qFormat/>
    <w:uiPriority w:val="0"/>
    <w:pPr>
      <w:autoSpaceDN w:val="0"/>
      <w:outlineLvl w:val="2"/>
    </w:pPr>
    <w:rPr>
      <w:rFonts w:ascii="宋体" w:hAnsi="宋体" w:eastAsia="宋体"/>
    </w:rPr>
  </w:style>
  <w:style w:type="character" w:customStyle="1" w:styleId="142">
    <w:name w:val="个人答复风格"/>
    <w:qFormat/>
    <w:uiPriority w:val="0"/>
    <w:rPr>
      <w:rFonts w:ascii="Arial" w:hAnsi="Arial" w:eastAsia="宋体" w:cs="Arial"/>
      <w:color w:val="auto"/>
      <w:spacing w:val="0"/>
      <w:sz w:val="20"/>
    </w:rPr>
  </w:style>
  <w:style w:type="character" w:customStyle="1" w:styleId="143">
    <w:name w:val="个人撰写风格"/>
    <w:qFormat/>
    <w:uiPriority w:val="0"/>
    <w:rPr>
      <w:rFonts w:ascii="Arial" w:hAnsi="Arial" w:eastAsia="宋体" w:cs="Arial"/>
      <w:color w:val="auto"/>
      <w:spacing w:val="0"/>
      <w:sz w:val="20"/>
    </w:rPr>
  </w:style>
  <w:style w:type="paragraph" w:customStyle="1" w:styleId="144">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5">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6">
    <w:name w:val="列项·"/>
    <w:basedOn w:val="62"/>
    <w:qFormat/>
    <w:uiPriority w:val="0"/>
    <w:pPr>
      <w:tabs>
        <w:tab w:val="left" w:pos="840"/>
      </w:tabs>
    </w:pPr>
  </w:style>
  <w:style w:type="paragraph" w:customStyle="1" w:styleId="14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8">
    <w:name w:val="目录 21"/>
    <w:basedOn w:val="1"/>
    <w:next w:val="1"/>
    <w:semiHidden/>
    <w:qFormat/>
    <w:uiPriority w:val="0"/>
    <w:pPr>
      <w:adjustRightInd/>
      <w:spacing w:line="240" w:lineRule="auto"/>
      <w:jc w:val="left"/>
    </w:pPr>
    <w:rPr>
      <w:bCs/>
      <w:iCs/>
    </w:rPr>
  </w:style>
  <w:style w:type="paragraph" w:customStyle="1" w:styleId="149">
    <w:name w:val="目录 31"/>
    <w:basedOn w:val="1"/>
    <w:next w:val="1"/>
    <w:semiHidden/>
    <w:qFormat/>
    <w:uiPriority w:val="0"/>
    <w:pPr>
      <w:spacing w:line="240" w:lineRule="auto"/>
    </w:pPr>
    <w:rPr>
      <w:rFonts w:ascii="宋体" w:hAnsi="宋体"/>
      <w:iCs/>
    </w:rPr>
  </w:style>
  <w:style w:type="paragraph" w:customStyle="1" w:styleId="150">
    <w:name w:val="目录 41"/>
    <w:basedOn w:val="1"/>
    <w:next w:val="1"/>
    <w:semiHidden/>
    <w:qFormat/>
    <w:uiPriority w:val="0"/>
    <w:pPr>
      <w:adjustRightInd/>
      <w:spacing w:line="240" w:lineRule="auto"/>
      <w:jc w:val="left"/>
    </w:pPr>
  </w:style>
  <w:style w:type="paragraph" w:customStyle="1" w:styleId="151">
    <w:name w:val="目录 51"/>
    <w:basedOn w:val="1"/>
    <w:next w:val="1"/>
    <w:semiHidden/>
    <w:qFormat/>
    <w:uiPriority w:val="0"/>
    <w:pPr>
      <w:spacing w:line="240" w:lineRule="auto"/>
    </w:pPr>
    <w:rPr>
      <w:rFonts w:ascii="宋体" w:hAnsi="宋体"/>
    </w:rPr>
  </w:style>
  <w:style w:type="paragraph" w:customStyle="1" w:styleId="152">
    <w:name w:val="目录 61"/>
    <w:basedOn w:val="1"/>
    <w:next w:val="1"/>
    <w:semiHidden/>
    <w:qFormat/>
    <w:uiPriority w:val="0"/>
    <w:pPr>
      <w:adjustRightInd/>
      <w:spacing w:line="240" w:lineRule="auto"/>
      <w:jc w:val="left"/>
    </w:pPr>
  </w:style>
  <w:style w:type="paragraph" w:customStyle="1" w:styleId="153">
    <w:name w:val="目录 71"/>
    <w:basedOn w:val="152"/>
    <w:semiHidden/>
    <w:qFormat/>
    <w:uiPriority w:val="0"/>
    <w:pPr>
      <w:ind w:left="1260"/>
    </w:pPr>
  </w:style>
  <w:style w:type="paragraph" w:customStyle="1" w:styleId="154">
    <w:name w:val="目录 81"/>
    <w:basedOn w:val="153"/>
    <w:semiHidden/>
    <w:qFormat/>
    <w:uiPriority w:val="0"/>
    <w:pPr>
      <w:ind w:left="1470"/>
    </w:pPr>
  </w:style>
  <w:style w:type="paragraph" w:customStyle="1" w:styleId="155">
    <w:name w:val="目录 91"/>
    <w:basedOn w:val="154"/>
    <w:semiHidden/>
    <w:qFormat/>
    <w:uiPriority w:val="0"/>
    <w:pPr>
      <w:ind w:left="1680"/>
    </w:pPr>
  </w:style>
  <w:style w:type="paragraph" w:customStyle="1" w:styleId="156">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7">
    <w:name w:val="其他发布部门"/>
    <w:basedOn w:val="125"/>
    <w:qFormat/>
    <w:uiPriority w:val="0"/>
    <w:pPr>
      <w:framePr w:wrap="around"/>
      <w:spacing w:line="0" w:lineRule="atLeast"/>
    </w:pPr>
    <w:rPr>
      <w:rFonts w:ascii="黑体" w:eastAsia="黑体"/>
      <w:b w:val="0"/>
    </w:rPr>
  </w:style>
  <w:style w:type="paragraph" w:customStyle="1" w:styleId="158">
    <w:name w:val="前言标题"/>
    <w:next w:val="1"/>
    <w:qFormat/>
    <w:uiPriority w:val="99"/>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9">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0">
    <w:name w:val="实施日期"/>
    <w:basedOn w:val="126"/>
    <w:qFormat/>
    <w:uiPriority w:val="0"/>
    <w:pPr>
      <w:framePr w:hSpace="0" w:wrap="around" w:xAlign="right"/>
      <w:jc w:val="right"/>
    </w:pPr>
  </w:style>
  <w:style w:type="paragraph" w:customStyle="1" w:styleId="161">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2">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3">
    <w:name w:val="无标题条"/>
    <w:next w:val="62"/>
    <w:qFormat/>
    <w:uiPriority w:val="0"/>
    <w:pPr>
      <w:jc w:val="both"/>
    </w:pPr>
    <w:rPr>
      <w:rFonts w:ascii="宋体" w:hAnsi="宋体" w:eastAsia="宋体" w:cs="Times New Roman"/>
      <w:sz w:val="21"/>
      <w:lang w:val="en-US" w:eastAsia="zh-CN" w:bidi="ar-SA"/>
    </w:rPr>
  </w:style>
  <w:style w:type="paragraph" w:customStyle="1" w:styleId="164">
    <w:name w:val="五级无标题条"/>
    <w:basedOn w:val="1"/>
    <w:qFormat/>
    <w:uiPriority w:val="0"/>
    <w:pPr>
      <w:numPr>
        <w:ilvl w:val="6"/>
        <w:numId w:val="20"/>
      </w:numPr>
      <w:adjustRightInd/>
    </w:pPr>
    <w:rPr>
      <w:szCs w:val="24"/>
    </w:rPr>
  </w:style>
  <w:style w:type="paragraph" w:customStyle="1" w:styleId="165">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6">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7">
    <w:name w:val="注×:后续"/>
    <w:basedOn w:val="166"/>
    <w:qFormat/>
    <w:uiPriority w:val="0"/>
    <w:pPr>
      <w:ind w:left="1406" w:leftChars="0" w:hanging="499" w:firstLineChars="0"/>
    </w:pPr>
  </w:style>
  <w:style w:type="paragraph" w:customStyle="1" w:styleId="168">
    <w:name w:val="标准文件_一级无标题"/>
    <w:basedOn w:val="111"/>
    <w:qFormat/>
    <w:uiPriority w:val="0"/>
    <w:pPr>
      <w:spacing w:before="0" w:beforeLines="0" w:after="0" w:afterLines="0"/>
      <w:outlineLvl w:val="9"/>
    </w:pPr>
    <w:rPr>
      <w:rFonts w:ascii="宋体" w:eastAsia="宋体"/>
    </w:rPr>
  </w:style>
  <w:style w:type="paragraph" w:customStyle="1" w:styleId="169">
    <w:name w:val="标准文件_五级无标题"/>
    <w:basedOn w:val="109"/>
    <w:qFormat/>
    <w:uiPriority w:val="0"/>
    <w:pPr>
      <w:spacing w:before="0" w:beforeLines="0" w:after="0" w:afterLines="0"/>
      <w:outlineLvl w:val="9"/>
    </w:pPr>
    <w:rPr>
      <w:rFonts w:ascii="宋体" w:eastAsia="宋体"/>
    </w:rPr>
  </w:style>
  <w:style w:type="paragraph" w:customStyle="1" w:styleId="170">
    <w:name w:val="标准文件_三级无标题"/>
    <w:basedOn w:val="100"/>
    <w:qFormat/>
    <w:uiPriority w:val="99"/>
    <w:pPr>
      <w:spacing w:before="0" w:beforeLines="0" w:after="0" w:afterLines="0"/>
      <w:outlineLvl w:val="9"/>
    </w:pPr>
    <w:rPr>
      <w:rFonts w:ascii="宋体" w:eastAsia="宋体"/>
    </w:rPr>
  </w:style>
  <w:style w:type="paragraph" w:customStyle="1" w:styleId="171">
    <w:name w:val="标准文件_二级无标题"/>
    <w:basedOn w:val="71"/>
    <w:qFormat/>
    <w:uiPriority w:val="99"/>
    <w:pPr>
      <w:spacing w:before="0" w:beforeLines="0" w:after="0" w:afterLines="0"/>
      <w:outlineLvl w:val="9"/>
    </w:pPr>
    <w:rPr>
      <w:rFonts w:ascii="宋体" w:eastAsia="宋体"/>
    </w:rPr>
  </w:style>
  <w:style w:type="paragraph" w:customStyle="1" w:styleId="172">
    <w:name w:val="标准_四级无标题"/>
    <w:basedOn w:val="104"/>
    <w:next w:val="62"/>
    <w:qFormat/>
    <w:uiPriority w:val="0"/>
    <w:rPr>
      <w:rFonts w:eastAsia="宋体"/>
    </w:rPr>
  </w:style>
  <w:style w:type="paragraph" w:customStyle="1" w:styleId="173">
    <w:name w:val="标准文件_四级无标题"/>
    <w:basedOn w:val="104"/>
    <w:qFormat/>
    <w:uiPriority w:val="0"/>
    <w:pPr>
      <w:spacing w:before="0" w:beforeLines="0" w:after="0" w:afterLines="0"/>
      <w:outlineLvl w:val="9"/>
    </w:pPr>
    <w:rPr>
      <w:rFonts w:ascii="宋体" w:hAnsi="黑体" w:eastAsia="宋体"/>
      <w:szCs w:val="52"/>
    </w:rPr>
  </w:style>
  <w:style w:type="paragraph" w:customStyle="1" w:styleId="174">
    <w:name w:val="标准文件_大写罗马数字编号列项"/>
    <w:basedOn w:val="62"/>
    <w:qFormat/>
    <w:uiPriority w:val="0"/>
    <w:pPr>
      <w:numPr>
        <w:ilvl w:val="0"/>
        <w:numId w:val="23"/>
      </w:numPr>
      <w:ind w:firstLine="0" w:firstLineChars="0"/>
    </w:pPr>
    <w:rPr>
      <w:rFonts w:ascii="Times New Roman" w:cs="Arial"/>
      <w:szCs w:val="28"/>
    </w:rPr>
  </w:style>
  <w:style w:type="paragraph" w:customStyle="1" w:styleId="175">
    <w:name w:val="标准文件_小写罗马数字编号列项"/>
    <w:basedOn w:val="62"/>
    <w:qFormat/>
    <w:uiPriority w:val="0"/>
    <w:pPr>
      <w:numPr>
        <w:ilvl w:val="0"/>
        <w:numId w:val="24"/>
      </w:numPr>
      <w:ind w:firstLine="0" w:firstLineChars="0"/>
    </w:pPr>
    <w:rPr>
      <w:rFonts w:cs="Arial"/>
      <w:szCs w:val="28"/>
    </w:rPr>
  </w:style>
  <w:style w:type="paragraph" w:customStyle="1" w:styleId="176">
    <w:name w:val="标准文件_附录标题"/>
    <w:basedOn w:val="82"/>
    <w:qFormat/>
    <w:uiPriority w:val="0"/>
    <w:pPr>
      <w:numPr>
        <w:numId w:val="0"/>
      </w:numPr>
      <w:spacing w:after="280"/>
      <w:outlineLvl w:val="9"/>
    </w:pPr>
  </w:style>
  <w:style w:type="paragraph" w:customStyle="1" w:styleId="177">
    <w:name w:val="标准文件_二级项"/>
    <w:qFormat/>
    <w:uiPriority w:val="0"/>
    <w:rPr>
      <w:rFonts w:ascii="宋体" w:hAnsi="Times New Roman" w:eastAsia="宋体" w:cs="Times New Roman"/>
      <w:sz w:val="21"/>
      <w:lang w:val="en-US" w:eastAsia="zh-CN" w:bidi="ar-SA"/>
    </w:rPr>
  </w:style>
  <w:style w:type="paragraph" w:customStyle="1" w:styleId="178">
    <w:name w:val="标准文件_三级项"/>
    <w:basedOn w:val="1"/>
    <w:qFormat/>
    <w:uiPriority w:val="0"/>
    <w:pPr>
      <w:numPr>
        <w:ilvl w:val="2"/>
        <w:numId w:val="21"/>
      </w:numPr>
      <w:spacing w:line="536870612" w:lineRule="auto"/>
    </w:pPr>
    <w:rPr>
      <w:rFonts w:ascii="Times New Roman" w:hAnsi="Times New Roman"/>
    </w:rPr>
  </w:style>
  <w:style w:type="paragraph" w:customStyle="1" w:styleId="179">
    <w:name w:val="图表脚注说明"/>
    <w:basedOn w:val="1"/>
    <w:next w:val="62"/>
    <w:qFormat/>
    <w:uiPriority w:val="0"/>
    <w:pPr>
      <w:numPr>
        <w:ilvl w:val="0"/>
        <w:numId w:val="25"/>
      </w:numPr>
      <w:adjustRightInd/>
      <w:spacing w:line="240" w:lineRule="auto"/>
      <w:ind w:left="783"/>
    </w:pPr>
    <w:rPr>
      <w:rFonts w:ascii="宋体" w:hAnsi="Times New Roman"/>
      <w:sz w:val="18"/>
      <w:szCs w:val="18"/>
    </w:rPr>
  </w:style>
  <w:style w:type="paragraph" w:customStyle="1" w:styleId="180">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1">
    <w:name w:val="标准文件_索引字母"/>
    <w:next w:val="62"/>
    <w:qFormat/>
    <w:uiPriority w:val="0"/>
    <w:pPr>
      <w:jc w:val="center"/>
    </w:pPr>
    <w:rPr>
      <w:rFonts w:ascii="宋体" w:hAnsi="宋体" w:eastAsia="Times New Roman" w:cs="Times New Roman"/>
      <w:b/>
      <w:kern w:val="2"/>
      <w:sz w:val="21"/>
      <w:lang w:val="en-US" w:eastAsia="zh-CN" w:bidi="ar-SA"/>
    </w:rPr>
  </w:style>
  <w:style w:type="paragraph" w:customStyle="1" w:styleId="182">
    <w:name w:val="标准文件_附录前"/>
    <w:next w:val="62"/>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3">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4">
    <w:name w:val="标准文件_表格"/>
    <w:basedOn w:val="62"/>
    <w:qFormat/>
    <w:uiPriority w:val="0"/>
    <w:pPr>
      <w:ind w:firstLine="0" w:firstLineChars="0"/>
      <w:jc w:val="center"/>
    </w:pPr>
    <w:rPr>
      <w:sz w:val="18"/>
    </w:rPr>
  </w:style>
  <w:style w:type="paragraph" w:customStyle="1" w:styleId="185">
    <w:name w:val="标准文件_注："/>
    <w:next w:val="62"/>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注×："/>
    <w:qFormat/>
    <w:uiPriority w:val="0"/>
    <w:pPr>
      <w:widowControl w:val="0"/>
      <w:numPr>
        <w:ilvl w:val="0"/>
        <w:numId w:val="27"/>
      </w:numPr>
      <w:autoSpaceDE w:val="0"/>
      <w:autoSpaceDN w:val="0"/>
      <w:ind w:left="811"/>
      <w:jc w:val="both"/>
    </w:pPr>
    <w:rPr>
      <w:rFonts w:ascii="宋体" w:hAnsi="Times New Roman" w:eastAsia="宋体" w:cs="Times New Roman"/>
      <w:sz w:val="18"/>
      <w:szCs w:val="18"/>
      <w:lang w:val="en-US" w:eastAsia="zh-CN" w:bidi="ar-SA"/>
    </w:rPr>
  </w:style>
  <w:style w:type="paragraph" w:customStyle="1" w:styleId="187">
    <w:name w:val="标准文件_示例："/>
    <w:next w:val="188"/>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8">
    <w:name w:val="标准文件_示例内容"/>
    <w:basedOn w:val="62"/>
    <w:qFormat/>
    <w:uiPriority w:val="0"/>
    <w:pPr>
      <w:ind w:firstLine="420"/>
    </w:pPr>
    <w:rPr>
      <w:sz w:val="18"/>
    </w:rPr>
  </w:style>
  <w:style w:type="paragraph" w:customStyle="1" w:styleId="189">
    <w:name w:val="标准文件_示例×："/>
    <w:basedOn w:val="1"/>
    <w:next w:val="188"/>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0">
    <w:name w:val="标准文件_段 Char"/>
    <w:link w:val="62"/>
    <w:qFormat/>
    <w:uiPriority w:val="99"/>
    <w:rPr>
      <w:rFonts w:ascii="宋体" w:hAnsi="Times New Roman"/>
      <w:sz w:val="21"/>
    </w:rPr>
  </w:style>
  <w:style w:type="paragraph" w:customStyle="1" w:styleId="191">
    <w:name w:val="标准文件_表格续"/>
    <w:basedOn w:val="62"/>
    <w:next w:val="62"/>
    <w:qFormat/>
    <w:uiPriority w:val="0"/>
    <w:pPr>
      <w:jc w:val="center"/>
    </w:pPr>
    <w:rPr>
      <w:rFonts w:ascii="黑体" w:hAnsi="黑体" w:eastAsia="黑体"/>
    </w:rPr>
  </w:style>
  <w:style w:type="character" w:styleId="192">
    <w:name w:val="Placeholder Text"/>
    <w:basedOn w:val="32"/>
    <w:semiHidden/>
    <w:qFormat/>
    <w:uiPriority w:val="99"/>
    <w:rPr>
      <w:color w:val="808080"/>
    </w:rPr>
  </w:style>
  <w:style w:type="paragraph" w:customStyle="1" w:styleId="193">
    <w:name w:val="标准文件_二级项2"/>
    <w:basedOn w:val="62"/>
    <w:qFormat/>
    <w:uiPriority w:val="0"/>
    <w:pPr>
      <w:numPr>
        <w:ilvl w:val="1"/>
        <w:numId w:val="21"/>
      </w:numPr>
      <w:ind w:left="1271" w:hanging="420" w:firstLineChars="0"/>
    </w:pPr>
  </w:style>
  <w:style w:type="paragraph" w:customStyle="1" w:styleId="194">
    <w:name w:val="标准文件_三级项2"/>
    <w:basedOn w:val="62"/>
    <w:qFormat/>
    <w:uiPriority w:val="0"/>
    <w:pPr>
      <w:numPr>
        <w:ilvl w:val="0"/>
        <w:numId w:val="30"/>
      </w:numPr>
      <w:spacing w:line="300" w:lineRule="exact"/>
      <w:ind w:left="1276" w:hanging="425" w:firstLineChars="0"/>
    </w:pPr>
    <w:rPr>
      <w:rFonts w:ascii="Times New Roman"/>
    </w:rPr>
  </w:style>
  <w:style w:type="paragraph" w:customStyle="1" w:styleId="195">
    <w:name w:val="标准文件_一级项2"/>
    <w:basedOn w:val="62"/>
    <w:qFormat/>
    <w:uiPriority w:val="0"/>
    <w:pPr>
      <w:numPr>
        <w:ilvl w:val="0"/>
        <w:numId w:val="31"/>
      </w:numPr>
      <w:spacing w:line="300" w:lineRule="exact"/>
      <w:ind w:left="1271" w:hanging="420" w:firstLineChars="0"/>
    </w:pPr>
    <w:rPr>
      <w:rFonts w:ascii="Times New Roman"/>
    </w:rPr>
  </w:style>
  <w:style w:type="paragraph" w:customStyle="1" w:styleId="196">
    <w:name w:val="标准文件_提示"/>
    <w:basedOn w:val="62"/>
    <w:next w:val="62"/>
    <w:qFormat/>
    <w:uiPriority w:val="0"/>
    <w:pPr>
      <w:ind w:firstLine="420"/>
    </w:pPr>
    <w:rPr>
      <w:rFonts w:ascii="黑体" w:eastAsia="黑体"/>
    </w:rPr>
  </w:style>
  <w:style w:type="character" w:customStyle="1" w:styleId="197">
    <w:name w:val="标准文件_来源"/>
    <w:basedOn w:val="32"/>
    <w:qFormat/>
    <w:uiPriority w:val="1"/>
    <w:rPr>
      <w:rFonts w:eastAsia="宋体"/>
      <w:sz w:val="21"/>
    </w:rPr>
  </w:style>
  <w:style w:type="paragraph" w:customStyle="1" w:styleId="198">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9">
    <w:name w:val="其他发布日期"/>
    <w:basedOn w:val="126"/>
    <w:qFormat/>
    <w:uiPriority w:val="0"/>
    <w:pPr>
      <w:framePr w:w="3997" w:h="471" w:hRule="exact" w:hSpace="0" w:vSpace="181" w:wrap="around" w:vAnchor="page" w:hAnchor="page" w:x="1419" w:y="14097"/>
    </w:pPr>
  </w:style>
  <w:style w:type="paragraph" w:customStyle="1" w:styleId="200">
    <w:name w:val="其他实施日期"/>
    <w:basedOn w:val="160"/>
    <w:qFormat/>
    <w:uiPriority w:val="0"/>
    <w:pPr>
      <w:framePr w:w="3997" w:h="471" w:hRule="exact" w:vSpace="181" w:wrap="around" w:vAnchor="page" w:hAnchor="page" w:x="7089" w:y="14097"/>
    </w:pPr>
  </w:style>
  <w:style w:type="paragraph" w:customStyle="1" w:styleId="201">
    <w:name w:val="标准文件_文件编号"/>
    <w:basedOn w:val="62"/>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2">
    <w:name w:val="标准文件_替换文件编号"/>
    <w:basedOn w:val="201"/>
    <w:qFormat/>
    <w:uiPriority w:val="0"/>
    <w:pPr>
      <w:framePr/>
      <w:spacing w:before="57"/>
    </w:pPr>
    <w:rPr>
      <w:sz w:val="21"/>
    </w:rPr>
  </w:style>
  <w:style w:type="paragraph" w:customStyle="1" w:styleId="203">
    <w:name w:val="标准文件_文件名称"/>
    <w:basedOn w:val="62"/>
    <w:next w:val="62"/>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4">
    <w:name w:val="标准文件_附录图标号"/>
    <w:basedOn w:val="62"/>
    <w:next w:val="62"/>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5">
    <w:name w:val="标准文件_附录表标号"/>
    <w:basedOn w:val="62"/>
    <w:next w:val="62"/>
    <w:qFormat/>
    <w:uiPriority w:val="0"/>
    <w:pPr>
      <w:numPr>
        <w:ilvl w:val="0"/>
        <w:numId w:val="5"/>
      </w:numPr>
      <w:spacing w:line="14" w:lineRule="exact"/>
      <w:ind w:firstLine="0" w:firstLineChars="0"/>
      <w:jc w:val="center"/>
    </w:pPr>
    <w:rPr>
      <w:rFonts w:eastAsia="黑体"/>
      <w:vanish/>
      <w:sz w:val="2"/>
    </w:rPr>
  </w:style>
  <w:style w:type="paragraph" w:customStyle="1" w:styleId="206">
    <w:name w:val="标准文件_引言一级条标题"/>
    <w:basedOn w:val="62"/>
    <w:next w:val="62"/>
    <w:qFormat/>
    <w:uiPriority w:val="0"/>
    <w:pPr>
      <w:numPr>
        <w:ilvl w:val="1"/>
        <w:numId w:val="8"/>
      </w:numPr>
      <w:spacing w:before="50" w:beforeLines="50" w:after="50" w:afterLines="50"/>
      <w:ind w:firstLineChars="0"/>
    </w:pPr>
    <w:rPr>
      <w:rFonts w:ascii="黑体" w:eastAsia="黑体"/>
    </w:rPr>
  </w:style>
  <w:style w:type="paragraph" w:customStyle="1" w:styleId="207">
    <w:name w:val="标准文件_引言二级条标题"/>
    <w:basedOn w:val="62"/>
    <w:next w:val="62"/>
    <w:qFormat/>
    <w:uiPriority w:val="0"/>
    <w:pPr>
      <w:numPr>
        <w:ilvl w:val="2"/>
        <w:numId w:val="8"/>
      </w:numPr>
      <w:spacing w:before="50" w:beforeLines="50" w:after="50" w:afterLines="50"/>
      <w:ind w:firstLineChars="0"/>
    </w:pPr>
    <w:rPr>
      <w:rFonts w:ascii="黑体" w:eastAsia="黑体"/>
    </w:rPr>
  </w:style>
  <w:style w:type="paragraph" w:customStyle="1" w:styleId="208">
    <w:name w:val="标准文件_引言三级条标题"/>
    <w:basedOn w:val="62"/>
    <w:next w:val="62"/>
    <w:qFormat/>
    <w:uiPriority w:val="0"/>
    <w:pPr>
      <w:numPr>
        <w:ilvl w:val="3"/>
        <w:numId w:val="8"/>
      </w:numPr>
      <w:spacing w:before="50" w:beforeLines="50" w:after="50" w:afterLines="50"/>
      <w:ind w:firstLineChars="0"/>
    </w:pPr>
    <w:rPr>
      <w:rFonts w:ascii="黑体" w:eastAsia="黑体"/>
    </w:rPr>
  </w:style>
  <w:style w:type="paragraph" w:customStyle="1" w:styleId="209">
    <w:name w:val="标准文件_引言四级条标题"/>
    <w:basedOn w:val="62"/>
    <w:next w:val="62"/>
    <w:qFormat/>
    <w:uiPriority w:val="0"/>
    <w:pPr>
      <w:numPr>
        <w:ilvl w:val="4"/>
        <w:numId w:val="8"/>
      </w:numPr>
      <w:spacing w:before="50" w:beforeLines="50" w:after="50" w:afterLines="50"/>
      <w:ind w:firstLineChars="0"/>
    </w:pPr>
    <w:rPr>
      <w:rFonts w:ascii="黑体" w:eastAsia="黑体"/>
    </w:rPr>
  </w:style>
  <w:style w:type="paragraph" w:customStyle="1" w:styleId="210">
    <w:name w:val="标准文件_引言五级条标题"/>
    <w:basedOn w:val="62"/>
    <w:next w:val="62"/>
    <w:qFormat/>
    <w:uiPriority w:val="0"/>
    <w:pPr>
      <w:numPr>
        <w:ilvl w:val="5"/>
        <w:numId w:val="8"/>
      </w:numPr>
      <w:spacing w:before="50" w:beforeLines="50" w:after="50" w:afterLines="50"/>
      <w:ind w:firstLineChars="0"/>
    </w:pPr>
    <w:rPr>
      <w:rFonts w:ascii="黑体" w:eastAsia="黑体"/>
    </w:rPr>
  </w:style>
  <w:style w:type="paragraph" w:customStyle="1" w:styleId="211">
    <w:name w:val="标准文件_注后"/>
    <w:basedOn w:val="62"/>
    <w:qFormat/>
    <w:uiPriority w:val="0"/>
    <w:pPr>
      <w:ind w:left="811" w:firstLine="0" w:firstLineChars="0"/>
    </w:pPr>
    <w:rPr>
      <w:sz w:val="18"/>
    </w:rPr>
  </w:style>
  <w:style w:type="paragraph" w:customStyle="1" w:styleId="212">
    <w:name w:val="标准文件_注X后"/>
    <w:basedOn w:val="62"/>
    <w:qFormat/>
    <w:uiPriority w:val="0"/>
    <w:pPr>
      <w:ind w:left="811" w:firstLine="0" w:firstLineChars="0"/>
    </w:pPr>
    <w:rPr>
      <w:sz w:val="18"/>
    </w:rPr>
  </w:style>
  <w:style w:type="paragraph" w:customStyle="1" w:styleId="213">
    <w:name w:val="标准文件_示例后"/>
    <w:basedOn w:val="62"/>
    <w:qFormat/>
    <w:uiPriority w:val="0"/>
    <w:pPr>
      <w:ind w:left="964" w:firstLine="0" w:firstLineChars="0"/>
    </w:pPr>
    <w:rPr>
      <w:sz w:val="18"/>
    </w:rPr>
  </w:style>
  <w:style w:type="paragraph" w:customStyle="1" w:styleId="214">
    <w:name w:val="标准文件_示例X后"/>
    <w:basedOn w:val="62"/>
    <w:link w:val="215"/>
    <w:qFormat/>
    <w:uiPriority w:val="0"/>
    <w:pPr>
      <w:ind w:left="1049" w:firstLine="0" w:firstLineChars="0"/>
    </w:pPr>
    <w:rPr>
      <w:sz w:val="18"/>
    </w:rPr>
  </w:style>
  <w:style w:type="character" w:customStyle="1" w:styleId="215">
    <w:name w:val="标准文件_示例X后 字符"/>
    <w:basedOn w:val="190"/>
    <w:link w:val="214"/>
    <w:qFormat/>
    <w:uiPriority w:val="0"/>
    <w:rPr>
      <w:rFonts w:ascii="宋体" w:hAnsi="Times New Roman"/>
      <w:sz w:val="18"/>
    </w:rPr>
  </w:style>
  <w:style w:type="paragraph" w:customStyle="1" w:styleId="216">
    <w:name w:val="标准文件_索引项"/>
    <w:basedOn w:val="62"/>
    <w:next w:val="62"/>
    <w:qFormat/>
    <w:uiPriority w:val="0"/>
    <w:pPr>
      <w:tabs>
        <w:tab w:val="right" w:leader="dot" w:pos="9356"/>
      </w:tabs>
      <w:ind w:left="210" w:hanging="210" w:firstLineChars="0"/>
      <w:jc w:val="left"/>
    </w:pPr>
  </w:style>
  <w:style w:type="paragraph" w:customStyle="1" w:styleId="217">
    <w:name w:val="标准文件_附录一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二级无标题"/>
    <w:basedOn w:val="85"/>
    <w:qFormat/>
    <w:uiPriority w:val="0"/>
    <w:pPr>
      <w:spacing w:before="0" w:beforeLines="0" w:after="0" w:afterLines="0" w:line="276" w:lineRule="auto"/>
      <w:outlineLvl w:val="9"/>
    </w:pPr>
    <w:rPr>
      <w:rFonts w:ascii="宋体" w:eastAsia="宋体"/>
    </w:rPr>
  </w:style>
  <w:style w:type="paragraph" w:customStyle="1" w:styleId="219">
    <w:name w:val="标准文件_附录三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四级无标题"/>
    <w:basedOn w:val="88"/>
    <w:qFormat/>
    <w:uiPriority w:val="0"/>
    <w:pPr>
      <w:spacing w:before="0" w:beforeLines="0" w:after="0" w:afterLines="0" w:line="276" w:lineRule="auto"/>
      <w:outlineLvl w:val="9"/>
    </w:pPr>
    <w:rPr>
      <w:rFonts w:ascii="宋体" w:eastAsia="宋体"/>
    </w:rPr>
  </w:style>
  <w:style w:type="paragraph" w:customStyle="1" w:styleId="221">
    <w:name w:val="标准文件_附录五级无标题"/>
    <w:basedOn w:val="90"/>
    <w:qFormat/>
    <w:uiPriority w:val="0"/>
    <w:pPr>
      <w:spacing w:before="0" w:beforeLines="0" w:after="0" w:afterLines="0" w:line="276" w:lineRule="auto"/>
      <w:outlineLvl w:val="9"/>
    </w:pPr>
    <w:rPr>
      <w:rFonts w:ascii="宋体" w:eastAsia="宋体"/>
    </w:rPr>
  </w:style>
  <w:style w:type="paragraph" w:customStyle="1" w:styleId="222">
    <w:name w:val="标准文件_引言一级无标题"/>
    <w:basedOn w:val="206"/>
    <w:next w:val="62"/>
    <w:qFormat/>
    <w:uiPriority w:val="0"/>
    <w:pPr>
      <w:spacing w:before="0" w:beforeLines="0" w:after="0" w:afterLines="0" w:line="276" w:lineRule="auto"/>
    </w:pPr>
    <w:rPr>
      <w:rFonts w:ascii="宋体" w:eastAsia="宋体"/>
    </w:rPr>
  </w:style>
  <w:style w:type="paragraph" w:customStyle="1" w:styleId="223">
    <w:name w:val="标准文件_引言二级无标题"/>
    <w:basedOn w:val="207"/>
    <w:next w:val="62"/>
    <w:qFormat/>
    <w:uiPriority w:val="0"/>
    <w:pPr>
      <w:spacing w:before="0" w:beforeLines="0" w:after="0" w:afterLines="0" w:line="276" w:lineRule="auto"/>
    </w:pPr>
    <w:rPr>
      <w:rFonts w:ascii="宋体" w:eastAsia="宋体"/>
    </w:rPr>
  </w:style>
  <w:style w:type="paragraph" w:customStyle="1" w:styleId="224">
    <w:name w:val="标准文件_引言三级无标题"/>
    <w:basedOn w:val="208"/>
    <w:qFormat/>
    <w:uiPriority w:val="0"/>
    <w:pPr>
      <w:spacing w:before="0" w:beforeLines="0" w:after="0" w:afterLines="0" w:line="276" w:lineRule="auto"/>
    </w:pPr>
    <w:rPr>
      <w:rFonts w:ascii="宋体" w:eastAsia="宋体"/>
    </w:rPr>
  </w:style>
  <w:style w:type="paragraph" w:customStyle="1" w:styleId="225">
    <w:name w:val="标准文件_引言四级无标题"/>
    <w:basedOn w:val="209"/>
    <w:next w:val="62"/>
    <w:qFormat/>
    <w:uiPriority w:val="0"/>
    <w:pPr>
      <w:spacing w:before="0" w:beforeLines="0" w:after="0" w:afterLines="0" w:line="276" w:lineRule="auto"/>
    </w:pPr>
    <w:rPr>
      <w:rFonts w:ascii="宋体" w:eastAsia="宋体"/>
    </w:rPr>
  </w:style>
  <w:style w:type="paragraph" w:customStyle="1" w:styleId="226">
    <w:name w:val="标准文件_引言五级无标题"/>
    <w:basedOn w:val="210"/>
    <w:next w:val="62"/>
    <w:qFormat/>
    <w:uiPriority w:val="0"/>
    <w:pPr>
      <w:spacing w:before="0" w:beforeLines="0" w:after="0" w:afterLines="0" w:line="276" w:lineRule="auto"/>
    </w:pPr>
    <w:rPr>
      <w:rFonts w:ascii="宋体" w:eastAsia="宋体"/>
    </w:rPr>
  </w:style>
  <w:style w:type="paragraph" w:customStyle="1" w:styleId="227">
    <w:name w:val="标准文件_索引标题"/>
    <w:basedOn w:val="69"/>
    <w:next w:val="62"/>
    <w:qFormat/>
    <w:uiPriority w:val="0"/>
    <w:rPr>
      <w:rFonts w:hAnsi="黑体"/>
    </w:rPr>
  </w:style>
  <w:style w:type="paragraph" w:customStyle="1" w:styleId="228">
    <w:name w:val="标准文件_脚注内容"/>
    <w:basedOn w:val="62"/>
    <w:qFormat/>
    <w:uiPriority w:val="0"/>
    <w:pPr>
      <w:ind w:left="400" w:leftChars="200" w:hanging="200" w:hangingChars="200"/>
    </w:pPr>
    <w:rPr>
      <w:sz w:val="15"/>
    </w:rPr>
  </w:style>
  <w:style w:type="paragraph" w:customStyle="1" w:styleId="229">
    <w:name w:val="标准文件_术语条一"/>
    <w:basedOn w:val="168"/>
    <w:next w:val="62"/>
    <w:qFormat/>
    <w:uiPriority w:val="0"/>
  </w:style>
  <w:style w:type="paragraph" w:customStyle="1" w:styleId="230">
    <w:name w:val="标准文件_术语条二"/>
    <w:basedOn w:val="171"/>
    <w:next w:val="62"/>
    <w:qFormat/>
    <w:uiPriority w:val="0"/>
  </w:style>
  <w:style w:type="paragraph" w:customStyle="1" w:styleId="231">
    <w:name w:val="标准文件_术语条三"/>
    <w:basedOn w:val="170"/>
    <w:next w:val="62"/>
    <w:qFormat/>
    <w:uiPriority w:val="0"/>
  </w:style>
  <w:style w:type="paragraph" w:customStyle="1" w:styleId="232">
    <w:name w:val="标准文件_术语条四"/>
    <w:basedOn w:val="173"/>
    <w:next w:val="62"/>
    <w:qFormat/>
    <w:uiPriority w:val="0"/>
  </w:style>
  <w:style w:type="paragraph" w:customStyle="1" w:styleId="233">
    <w:name w:val="标准文件_术语条五"/>
    <w:basedOn w:val="169"/>
    <w:next w:val="62"/>
    <w:qFormat/>
    <w:uiPriority w:val="0"/>
  </w:style>
  <w:style w:type="paragraph" w:customStyle="1" w:styleId="23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5">
    <w:name w:val="一级条标题"/>
    <w:next w:val="1"/>
    <w:qFormat/>
    <w:uiPriority w:val="0"/>
    <w:pPr>
      <w:numPr>
        <w:ilvl w:val="1"/>
        <w:numId w:val="32"/>
      </w:numPr>
      <w:spacing w:beforeLines="50" w:afterLines="50"/>
      <w:outlineLvl w:val="2"/>
    </w:pPr>
    <w:rPr>
      <w:rFonts w:ascii="黑体" w:hAnsi="Times New Roman" w:eastAsia="黑体" w:cs="Times New Roman"/>
      <w:sz w:val="21"/>
      <w:szCs w:val="21"/>
      <w:lang w:val="en-US" w:eastAsia="zh-CN" w:bidi="ar-SA"/>
    </w:rPr>
  </w:style>
  <w:style w:type="paragraph" w:customStyle="1" w:styleId="236">
    <w:name w:val="章标题"/>
    <w:next w:val="1"/>
    <w:qFormat/>
    <w:uiPriority w:val="0"/>
    <w:pPr>
      <w:numPr>
        <w:ilvl w:val="0"/>
        <w:numId w:val="32"/>
      </w:numPr>
      <w:spacing w:beforeLines="100" w:afterLines="100"/>
      <w:jc w:val="both"/>
      <w:outlineLvl w:val="1"/>
    </w:pPr>
    <w:rPr>
      <w:rFonts w:ascii="黑体" w:hAnsi="Times New Roman" w:eastAsia="黑体" w:cs="Times New Roman"/>
      <w:sz w:val="21"/>
      <w:lang w:val="en-US" w:eastAsia="zh-CN" w:bidi="ar-SA"/>
    </w:rPr>
  </w:style>
  <w:style w:type="paragraph" w:customStyle="1" w:styleId="237">
    <w:name w:val="二级条标题"/>
    <w:basedOn w:val="235"/>
    <w:next w:val="1"/>
    <w:qFormat/>
    <w:uiPriority w:val="0"/>
    <w:pPr>
      <w:numPr>
        <w:ilvl w:val="2"/>
      </w:numPr>
      <w:spacing w:before="50" w:after="50"/>
      <w:ind w:left="0"/>
      <w:outlineLvl w:val="3"/>
    </w:pPr>
  </w:style>
  <w:style w:type="paragraph" w:customStyle="1" w:styleId="238">
    <w:name w:val="三级条标题"/>
    <w:basedOn w:val="237"/>
    <w:next w:val="1"/>
    <w:qFormat/>
    <w:uiPriority w:val="0"/>
    <w:pPr>
      <w:numPr>
        <w:ilvl w:val="3"/>
      </w:numPr>
      <w:outlineLvl w:val="4"/>
    </w:pPr>
  </w:style>
  <w:style w:type="paragraph" w:customStyle="1" w:styleId="239">
    <w:name w:val="四级条标题"/>
    <w:basedOn w:val="238"/>
    <w:next w:val="1"/>
    <w:qFormat/>
    <w:uiPriority w:val="0"/>
    <w:pPr>
      <w:numPr>
        <w:ilvl w:val="4"/>
      </w:numPr>
      <w:outlineLvl w:val="5"/>
    </w:pPr>
  </w:style>
  <w:style w:type="paragraph" w:customStyle="1" w:styleId="240">
    <w:name w:val="五级条标题"/>
    <w:basedOn w:val="239"/>
    <w:next w:val="1"/>
    <w:qFormat/>
    <w:uiPriority w:val="0"/>
    <w:pPr>
      <w:numPr>
        <w:ilvl w:val="5"/>
      </w:numPr>
      <w:outlineLvl w:val="6"/>
    </w:pPr>
  </w:style>
  <w:style w:type="paragraph" w:customStyle="1" w:styleId="241">
    <w:name w:val="段"/>
    <w:link w:val="24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42">
    <w:name w:val="段 Char"/>
    <w:link w:val="241"/>
    <w:qFormat/>
    <w:uiPriority w:val="0"/>
    <w:rPr>
      <w:rFonts w:ascii="宋体" w:hAnsi="Times New Roman"/>
      <w:sz w:val="21"/>
    </w:rPr>
  </w:style>
  <w:style w:type="paragraph" w:customStyle="1" w:styleId="243">
    <w:name w:val="正文图标题"/>
    <w:next w:val="241"/>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244">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245">
    <w:name w:val="注："/>
    <w:next w:val="241"/>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246">
    <w:name w:val="字母编号列项（一级）"/>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247">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248">
    <w:name w:val="附录图标号"/>
    <w:basedOn w:val="1"/>
    <w:qFormat/>
    <w:uiPriority w:val="0"/>
    <w:pPr>
      <w:keepNext/>
      <w:pageBreakBefore/>
      <w:widowControl/>
      <w:numPr>
        <w:ilvl w:val="0"/>
        <w:numId w:val="33"/>
      </w:numPr>
      <w:adjustRightInd/>
      <w:spacing w:line="14" w:lineRule="exact"/>
      <w:ind w:left="0" w:firstLine="363"/>
      <w:jc w:val="center"/>
      <w:outlineLvl w:val="0"/>
    </w:pPr>
    <w:rPr>
      <w:rFonts w:ascii="Times New Roman" w:hAnsi="Times New Roman"/>
      <w:color w:val="FFFFFF"/>
      <w:szCs w:val="24"/>
    </w:rPr>
  </w:style>
  <w:style w:type="paragraph" w:customStyle="1" w:styleId="249">
    <w:name w:val="附录图标题"/>
    <w:basedOn w:val="1"/>
    <w:next w:val="241"/>
    <w:qFormat/>
    <w:uiPriority w:val="0"/>
    <w:pPr>
      <w:numPr>
        <w:ilvl w:val="1"/>
        <w:numId w:val="33"/>
      </w:numPr>
      <w:tabs>
        <w:tab w:val="left" w:pos="363"/>
      </w:tabs>
      <w:adjustRightInd/>
      <w:spacing w:beforeLines="50" w:afterLines="50" w:line="240" w:lineRule="auto"/>
      <w:ind w:left="0" w:firstLine="0"/>
      <w:jc w:val="center"/>
    </w:pPr>
    <w:rPr>
      <w:rFonts w:ascii="黑体" w:hAnsi="Times New Roman" w:eastAsia="黑体"/>
    </w:rPr>
  </w:style>
  <w:style w:type="paragraph" w:customStyle="1" w:styleId="250">
    <w:name w:val="附录标识"/>
    <w:basedOn w:val="1"/>
    <w:next w:val="241"/>
    <w:qFormat/>
    <w:uiPriority w:val="0"/>
    <w:pPr>
      <w:keepNext/>
      <w:widowControl/>
      <w:shd w:val="clear" w:color="FFFFFF" w:fill="FFFFFF"/>
      <w:tabs>
        <w:tab w:val="left" w:pos="6405"/>
      </w:tabs>
      <w:adjustRightInd/>
      <w:spacing w:before="640" w:after="280" w:line="240" w:lineRule="auto"/>
      <w:ind w:left="5104"/>
      <w:jc w:val="center"/>
      <w:outlineLvl w:val="0"/>
    </w:pPr>
    <w:rPr>
      <w:rFonts w:ascii="黑体" w:hAnsi="Times New Roman" w:eastAsia="黑体"/>
      <w:kern w:val="0"/>
      <w:szCs w:val="20"/>
    </w:rPr>
  </w:style>
  <w:style w:type="paragraph" w:customStyle="1" w:styleId="251">
    <w:name w:val="附录二级条标题"/>
    <w:basedOn w:val="1"/>
    <w:next w:val="241"/>
    <w:qFormat/>
    <w:uiPriority w:val="0"/>
    <w:pPr>
      <w:widowControl/>
      <w:tabs>
        <w:tab w:val="left" w:pos="360"/>
      </w:tabs>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szCs w:val="20"/>
    </w:rPr>
  </w:style>
  <w:style w:type="paragraph" w:customStyle="1" w:styleId="252">
    <w:name w:val="附录三级条标题"/>
    <w:basedOn w:val="251"/>
    <w:next w:val="241"/>
    <w:qFormat/>
    <w:uiPriority w:val="0"/>
    <w:pPr>
      <w:outlineLvl w:val="4"/>
    </w:pPr>
  </w:style>
  <w:style w:type="paragraph" w:customStyle="1" w:styleId="253">
    <w:name w:val="附录四级条标题"/>
    <w:basedOn w:val="252"/>
    <w:next w:val="241"/>
    <w:qFormat/>
    <w:uiPriority w:val="0"/>
    <w:pPr>
      <w:outlineLvl w:val="5"/>
    </w:pPr>
  </w:style>
  <w:style w:type="paragraph" w:customStyle="1" w:styleId="254">
    <w:name w:val="附录五级条标题"/>
    <w:basedOn w:val="253"/>
    <w:next w:val="241"/>
    <w:qFormat/>
    <w:uiPriority w:val="0"/>
    <w:pPr>
      <w:outlineLvl w:val="6"/>
    </w:pPr>
  </w:style>
  <w:style w:type="paragraph" w:customStyle="1" w:styleId="255">
    <w:name w:val="附录章标题"/>
    <w:next w:val="241"/>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56">
    <w:name w:val="附录一级条标题"/>
    <w:basedOn w:val="255"/>
    <w:next w:val="241"/>
    <w:qFormat/>
    <w:uiPriority w:val="0"/>
    <w:pPr>
      <w:autoSpaceDN w:val="0"/>
      <w:spacing w:beforeLines="50" w:afterLines="50"/>
      <w:outlineLvl w:val="2"/>
    </w:pPr>
  </w:style>
  <w:style w:type="paragraph" w:customStyle="1" w:styleId="257">
    <w:name w:val="修订1"/>
    <w:hidden/>
    <w:semiHidden/>
    <w:qFormat/>
    <w:uiPriority w:val="99"/>
    <w:rPr>
      <w:rFonts w:ascii="Calibri" w:hAnsi="Calibri" w:eastAsia="宋体" w:cs="Times New Roman"/>
      <w:kern w:val="2"/>
      <w:sz w:val="21"/>
      <w:szCs w:val="21"/>
      <w:lang w:val="en-US" w:eastAsia="zh-CN" w:bidi="ar-SA"/>
    </w:rPr>
  </w:style>
  <w:style w:type="paragraph" w:customStyle="1" w:styleId="258">
    <w:name w:val="Revision"/>
    <w:hidden/>
    <w:semiHidden/>
    <w:qFormat/>
    <w:uiPriority w:val="99"/>
    <w:rPr>
      <w:rFonts w:ascii="Calibri" w:hAnsi="Calibri" w:eastAsia="宋体" w:cs="Times New Roman"/>
      <w:kern w:val="2"/>
      <w:sz w:val="21"/>
      <w:szCs w:val="21"/>
      <w:lang w:val="en-US" w:eastAsia="zh-CN" w:bidi="ar-SA"/>
    </w:rPr>
  </w:style>
  <w:style w:type="character" w:customStyle="1" w:styleId="259">
    <w:name w:val="批注文字 Char"/>
    <w:basedOn w:val="32"/>
    <w:link w:val="13"/>
    <w:semiHidden/>
    <w:qFormat/>
    <w:uiPriority w:val="99"/>
    <w:rPr>
      <w:kern w:val="2"/>
      <w:sz w:val="21"/>
      <w:szCs w:val="21"/>
    </w:rPr>
  </w:style>
  <w:style w:type="character" w:customStyle="1" w:styleId="260">
    <w:name w:val="批注主题 Char"/>
    <w:basedOn w:val="259"/>
    <w:link w:val="29"/>
    <w:semiHidden/>
    <w:qFormat/>
    <w:uiPriority w:val="99"/>
    <w:rPr>
      <w:b/>
      <w:bCs/>
      <w:kern w:val="2"/>
      <w:sz w:val="21"/>
      <w:szCs w:val="21"/>
    </w:rPr>
  </w:style>
  <w:style w:type="table" w:customStyle="1" w:styleId="261">
    <w:name w:val="网格型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62">
    <w:name w:val="List Paragraph"/>
    <w:basedOn w:val="1"/>
    <w:uiPriority w:val="99"/>
    <w:pPr>
      <w:ind w:firstLine="420" w:firstLineChars="200"/>
    </w:pPr>
  </w:style>
  <w:style w:type="character" w:customStyle="1" w:styleId="263">
    <w:name w:val="日期 Char"/>
    <w:basedOn w:val="32"/>
    <w:link w:val="17"/>
    <w:semiHidden/>
    <w:qFormat/>
    <w:uiPriority w:val="99"/>
    <w:rPr>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9.png"/><Relationship Id="rId98" Type="http://schemas.openxmlformats.org/officeDocument/2006/relationships/image" Target="media/image48.png"/><Relationship Id="rId97" Type="http://schemas.openxmlformats.org/officeDocument/2006/relationships/image" Target="media/image47.png"/><Relationship Id="rId96" Type="http://schemas.openxmlformats.org/officeDocument/2006/relationships/image" Target="media/image46.png"/><Relationship Id="rId95" Type="http://schemas.openxmlformats.org/officeDocument/2006/relationships/image" Target="media/image45.png"/><Relationship Id="rId94" Type="http://schemas.openxmlformats.org/officeDocument/2006/relationships/image" Target="media/image44.emf"/><Relationship Id="rId93" Type="http://schemas.openxmlformats.org/officeDocument/2006/relationships/image" Target="media/image43.png"/><Relationship Id="rId92" Type="http://schemas.openxmlformats.org/officeDocument/2006/relationships/image" Target="media/image42.png"/><Relationship Id="rId91" Type="http://schemas.openxmlformats.org/officeDocument/2006/relationships/image" Target="media/image41.png"/><Relationship Id="rId90" Type="http://schemas.openxmlformats.org/officeDocument/2006/relationships/image" Target="media/image40.png"/><Relationship Id="rId9" Type="http://schemas.openxmlformats.org/officeDocument/2006/relationships/header" Target="header3.xml"/><Relationship Id="rId89" Type="http://schemas.openxmlformats.org/officeDocument/2006/relationships/image" Target="media/image39.png"/><Relationship Id="rId88" Type="http://schemas.openxmlformats.org/officeDocument/2006/relationships/image" Target="media/image38.png"/><Relationship Id="rId87" Type="http://schemas.openxmlformats.org/officeDocument/2006/relationships/image" Target="media/image37.png"/><Relationship Id="rId86" Type="http://schemas.openxmlformats.org/officeDocument/2006/relationships/image" Target="media/image36.jpeg"/><Relationship Id="rId85" Type="http://schemas.openxmlformats.org/officeDocument/2006/relationships/image" Target="media/image35.png"/><Relationship Id="rId84" Type="http://schemas.openxmlformats.org/officeDocument/2006/relationships/image" Target="media/image34.png"/><Relationship Id="rId83" Type="http://schemas.openxmlformats.org/officeDocument/2006/relationships/image" Target="media/image33.png"/><Relationship Id="rId82" Type="http://schemas.openxmlformats.org/officeDocument/2006/relationships/image" Target="media/image32.png"/><Relationship Id="rId81" Type="http://schemas.openxmlformats.org/officeDocument/2006/relationships/image" Target="media/image31.png"/><Relationship Id="rId80" Type="http://schemas.openxmlformats.org/officeDocument/2006/relationships/image" Target="media/image30.png"/><Relationship Id="rId8" Type="http://schemas.openxmlformats.org/officeDocument/2006/relationships/footer" Target="footer2.xml"/><Relationship Id="rId79" Type="http://schemas.openxmlformats.org/officeDocument/2006/relationships/image" Target="media/image29.png"/><Relationship Id="rId78" Type="http://schemas.openxmlformats.org/officeDocument/2006/relationships/image" Target="media/image28.png"/><Relationship Id="rId77" Type="http://schemas.openxmlformats.org/officeDocument/2006/relationships/image" Target="media/image27.png"/><Relationship Id="rId76" Type="http://schemas.openxmlformats.org/officeDocument/2006/relationships/image" Target="media/image26.png"/><Relationship Id="rId75" Type="http://schemas.openxmlformats.org/officeDocument/2006/relationships/image" Target="media/image25.png"/><Relationship Id="rId74" Type="http://schemas.openxmlformats.org/officeDocument/2006/relationships/image" Target="media/image24.png"/><Relationship Id="rId73" Type="http://schemas.openxmlformats.org/officeDocument/2006/relationships/image" Target="media/image23.png"/><Relationship Id="rId72" Type="http://schemas.openxmlformats.org/officeDocument/2006/relationships/image" Target="media/image22.png"/><Relationship Id="rId71" Type="http://schemas.openxmlformats.org/officeDocument/2006/relationships/image" Target="media/image21.jpeg"/><Relationship Id="rId70" Type="http://schemas.openxmlformats.org/officeDocument/2006/relationships/image" Target="media/image20.png"/><Relationship Id="rId7" Type="http://schemas.openxmlformats.org/officeDocument/2006/relationships/footer" Target="footer1.xml"/><Relationship Id="rId69" Type="http://schemas.openxmlformats.org/officeDocument/2006/relationships/image" Target="media/image19.png"/><Relationship Id="rId68" Type="http://schemas.openxmlformats.org/officeDocument/2006/relationships/image" Target="media/image18.png"/><Relationship Id="rId67" Type="http://schemas.openxmlformats.org/officeDocument/2006/relationships/image" Target="media/image17.png"/><Relationship Id="rId66" Type="http://schemas.openxmlformats.org/officeDocument/2006/relationships/image" Target="media/image16.png"/><Relationship Id="rId65" Type="http://schemas.openxmlformats.org/officeDocument/2006/relationships/image" Target="media/image15.png"/><Relationship Id="rId64" Type="http://schemas.openxmlformats.org/officeDocument/2006/relationships/image" Target="media/image14.png"/><Relationship Id="rId63" Type="http://schemas.openxmlformats.org/officeDocument/2006/relationships/image" Target="media/image13.png"/><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header" Target="header2.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png"/><Relationship Id="rId52" Type="http://schemas.openxmlformats.org/officeDocument/2006/relationships/image" Target="media/image2.tiff"/><Relationship Id="rId51" Type="http://schemas.openxmlformats.org/officeDocument/2006/relationships/image" Target="media/image1.png"/><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4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8" Type="http://schemas.openxmlformats.org/officeDocument/2006/relationships/glossaryDocument" Target="glossary/document.xml"/><Relationship Id="rId107" Type="http://schemas.openxmlformats.org/officeDocument/2006/relationships/fontTable" Target="fontTable.xml"/><Relationship Id="rId106" Type="http://schemas.openxmlformats.org/officeDocument/2006/relationships/customXml" Target="../customXml/item4.xml"/><Relationship Id="rId105" Type="http://schemas.openxmlformats.org/officeDocument/2006/relationships/customXml" Target="../customXml/item3.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51.png"/><Relationship Id="rId100" Type="http://schemas.openxmlformats.org/officeDocument/2006/relationships/image" Target="media/image50.png"/><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F1C4F34C0034973A882CF4530140B22"/>
        <w:style w:val=""/>
        <w:category>
          <w:name w:val="常规"/>
          <w:gallery w:val="placeholder"/>
        </w:category>
        <w:types>
          <w:type w:val="bbPlcHdr"/>
        </w:types>
        <w:behaviors>
          <w:behavior w:val="content"/>
        </w:behaviors>
        <w:description w:val=""/>
        <w:guid w:val="{5E577D40-815D-47E7-BA8D-B94831DE3595}"/>
      </w:docPartPr>
      <w:docPartBody>
        <w:p>
          <w:pPr>
            <w:pStyle w:val="5"/>
          </w:pPr>
          <w:r>
            <w:rPr>
              <w:rStyle w:val="4"/>
              <w:rFonts w:hint="eastAsia"/>
            </w:rPr>
            <w:t>单击或点击此处输入文字。</w:t>
          </w:r>
        </w:p>
      </w:docPartBody>
    </w:docPart>
    <w:docPart>
      <w:docPartPr>
        <w:name w:val="53AC1D7B60D0426880CF2CAEC5BBD847"/>
        <w:style w:val=""/>
        <w:category>
          <w:name w:val="常规"/>
          <w:gallery w:val="placeholder"/>
        </w:category>
        <w:types>
          <w:type w:val="bbPlcHdr"/>
        </w:types>
        <w:behaviors>
          <w:behavior w:val="content"/>
        </w:behaviors>
        <w:description w:val=""/>
        <w:guid w:val="{D8174563-C1A9-487A-A014-6A63E46B40F6}"/>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5D9"/>
    <w:rsid w:val="00013EDB"/>
    <w:rsid w:val="0003634D"/>
    <w:rsid w:val="000413C8"/>
    <w:rsid w:val="00060B21"/>
    <w:rsid w:val="00060C5A"/>
    <w:rsid w:val="0008071D"/>
    <w:rsid w:val="000917C3"/>
    <w:rsid w:val="000945DE"/>
    <w:rsid w:val="00095ABF"/>
    <w:rsid w:val="000A248C"/>
    <w:rsid w:val="000A44FE"/>
    <w:rsid w:val="000A4B04"/>
    <w:rsid w:val="000C6ECC"/>
    <w:rsid w:val="00146A7F"/>
    <w:rsid w:val="001777F2"/>
    <w:rsid w:val="00181B3A"/>
    <w:rsid w:val="00183BD5"/>
    <w:rsid w:val="0019113D"/>
    <w:rsid w:val="001947CA"/>
    <w:rsid w:val="001D34ED"/>
    <w:rsid w:val="001D6647"/>
    <w:rsid w:val="001F4410"/>
    <w:rsid w:val="0020323F"/>
    <w:rsid w:val="0020463B"/>
    <w:rsid w:val="002207F7"/>
    <w:rsid w:val="00243702"/>
    <w:rsid w:val="00251C97"/>
    <w:rsid w:val="00295B43"/>
    <w:rsid w:val="00297E72"/>
    <w:rsid w:val="002A7047"/>
    <w:rsid w:val="002C3642"/>
    <w:rsid w:val="002F0A94"/>
    <w:rsid w:val="002F151C"/>
    <w:rsid w:val="003171E8"/>
    <w:rsid w:val="00395A02"/>
    <w:rsid w:val="003A7522"/>
    <w:rsid w:val="003B4AC0"/>
    <w:rsid w:val="003E5E2D"/>
    <w:rsid w:val="00402890"/>
    <w:rsid w:val="004419CD"/>
    <w:rsid w:val="00450119"/>
    <w:rsid w:val="0045132D"/>
    <w:rsid w:val="00456EC1"/>
    <w:rsid w:val="0048229B"/>
    <w:rsid w:val="00496D2F"/>
    <w:rsid w:val="004D21B9"/>
    <w:rsid w:val="004D25EB"/>
    <w:rsid w:val="00511184"/>
    <w:rsid w:val="00530B01"/>
    <w:rsid w:val="00547227"/>
    <w:rsid w:val="00560BE2"/>
    <w:rsid w:val="005B4EA6"/>
    <w:rsid w:val="005D76F9"/>
    <w:rsid w:val="0060489C"/>
    <w:rsid w:val="006313E6"/>
    <w:rsid w:val="00636DF1"/>
    <w:rsid w:val="00643D10"/>
    <w:rsid w:val="00645E58"/>
    <w:rsid w:val="006575B7"/>
    <w:rsid w:val="006616C1"/>
    <w:rsid w:val="00673679"/>
    <w:rsid w:val="0068480A"/>
    <w:rsid w:val="006C5BF0"/>
    <w:rsid w:val="006E0452"/>
    <w:rsid w:val="007445D9"/>
    <w:rsid w:val="00760BCD"/>
    <w:rsid w:val="007C64E3"/>
    <w:rsid w:val="007E77E3"/>
    <w:rsid w:val="00811CFC"/>
    <w:rsid w:val="008456F6"/>
    <w:rsid w:val="00855565"/>
    <w:rsid w:val="0086515A"/>
    <w:rsid w:val="00876140"/>
    <w:rsid w:val="00876851"/>
    <w:rsid w:val="008A4FAE"/>
    <w:rsid w:val="008E72DB"/>
    <w:rsid w:val="00902992"/>
    <w:rsid w:val="009179ED"/>
    <w:rsid w:val="009210AF"/>
    <w:rsid w:val="00954C9B"/>
    <w:rsid w:val="0096195D"/>
    <w:rsid w:val="009A0045"/>
    <w:rsid w:val="00A04459"/>
    <w:rsid w:val="00A31A31"/>
    <w:rsid w:val="00A34CD9"/>
    <w:rsid w:val="00A4433E"/>
    <w:rsid w:val="00A465EA"/>
    <w:rsid w:val="00A669EA"/>
    <w:rsid w:val="00A678A4"/>
    <w:rsid w:val="00A72BC2"/>
    <w:rsid w:val="00A81F59"/>
    <w:rsid w:val="00A95B31"/>
    <w:rsid w:val="00AA1A58"/>
    <w:rsid w:val="00AA2038"/>
    <w:rsid w:val="00AC59EA"/>
    <w:rsid w:val="00AC760E"/>
    <w:rsid w:val="00AE25C5"/>
    <w:rsid w:val="00B20C4D"/>
    <w:rsid w:val="00B840EC"/>
    <w:rsid w:val="00B9439D"/>
    <w:rsid w:val="00BD15F8"/>
    <w:rsid w:val="00BD35A7"/>
    <w:rsid w:val="00BD5F86"/>
    <w:rsid w:val="00BD7596"/>
    <w:rsid w:val="00BF72BE"/>
    <w:rsid w:val="00C1348C"/>
    <w:rsid w:val="00C87474"/>
    <w:rsid w:val="00CA1DCC"/>
    <w:rsid w:val="00CB10B0"/>
    <w:rsid w:val="00CB388C"/>
    <w:rsid w:val="00CC6AB0"/>
    <w:rsid w:val="00D05094"/>
    <w:rsid w:val="00D2052E"/>
    <w:rsid w:val="00D249EC"/>
    <w:rsid w:val="00D643EA"/>
    <w:rsid w:val="00DB77CB"/>
    <w:rsid w:val="00DD385C"/>
    <w:rsid w:val="00DD5F73"/>
    <w:rsid w:val="00DE4B14"/>
    <w:rsid w:val="00E019AE"/>
    <w:rsid w:val="00E12F54"/>
    <w:rsid w:val="00E43FA2"/>
    <w:rsid w:val="00E90DF5"/>
    <w:rsid w:val="00EA7E35"/>
    <w:rsid w:val="00ED2550"/>
    <w:rsid w:val="00ED2D5D"/>
    <w:rsid w:val="00EE17C4"/>
    <w:rsid w:val="00EE3D7A"/>
    <w:rsid w:val="00EF347D"/>
    <w:rsid w:val="00F240FC"/>
    <w:rsid w:val="00F37C43"/>
    <w:rsid w:val="00F632EE"/>
    <w:rsid w:val="00F67464"/>
    <w:rsid w:val="00F742B6"/>
    <w:rsid w:val="00FA45AC"/>
    <w:rsid w:val="00FA7E30"/>
    <w:rsid w:val="00FB6FC6"/>
    <w:rsid w:val="00FC45EC"/>
    <w:rsid w:val="00FD4B36"/>
    <w:rsid w:val="00FE1F6D"/>
    <w:rsid w:val="00FE6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2F1C4F34C0034973A882CF4530140B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3AC1D7B60D0426880CF2CAEC5BBD847"/>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13749-02CF-4069-92E5-C7A3543B5CEF}">
  <ds:schemaRefs/>
</ds:datastoreItem>
</file>

<file path=customXml/itemProps3.xml><?xml version="1.0" encoding="utf-8"?>
<ds:datastoreItem xmlns:ds="http://schemas.openxmlformats.org/officeDocument/2006/customXml" ds:itemID="{91E69861-8B8A-4564-B76C-C670D16C9651}">
  <ds:schemaRefs/>
</ds:datastoreItem>
</file>

<file path=customXml/itemProps4.xml><?xml version="1.0" encoding="utf-8"?>
<ds:datastoreItem xmlns:ds="http://schemas.openxmlformats.org/officeDocument/2006/customXml" ds:itemID="{C7DFC7CC-E5EA-486A-8C0B-71A018A24AF1}">
  <ds:schemaRefs/>
</ds:datastoreItem>
</file>

<file path=docProps/app.xml><?xml version="1.0" encoding="utf-8"?>
<Properties xmlns="http://schemas.openxmlformats.org/officeDocument/2006/extended-properties" xmlns:vt="http://schemas.openxmlformats.org/officeDocument/2006/docPropsVTypes">
  <Template>国家标准.dotx</Template>
  <Company>PCMI</Company>
  <Pages>35</Pages>
  <Words>11799</Words>
  <Characters>14091</Characters>
  <Lines>129</Lines>
  <Paragraphs>36</Paragraphs>
  <TotalTime>107</TotalTime>
  <ScaleCrop>false</ScaleCrop>
  <LinksUpToDate>false</LinksUpToDate>
  <CharactersWithSpaces>16126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2023-07-03T12:54:00Z</dcterms:created>
  <dc:creator>严丰;18682365158</dc:creator>
  <cp:lastModifiedBy> 鬼浏几道</cp:lastModifiedBy>
  <cp:lastPrinted>2023-07-03T14:51:00Z</cp:lastPrinted>
  <dcterms:modified xsi:type="dcterms:W3CDTF">2023-08-16T01:10:25Z</dcterms:modified>
  <dc:title>国家标准</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2052-11.1.0.14309</vt:lpwstr>
  </property>
  <property fmtid="{D5CDD505-2E9C-101B-9397-08002B2CF9AE}" pid="15" name="ICV">
    <vt:lpwstr>6AF512B4AD534DCFA59F8D162C9BDCCF</vt:lpwstr>
  </property>
</Properties>
</file>