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kern w:val="0"/>
          <w:sz w:val="30"/>
          <w:szCs w:val="30"/>
        </w:rPr>
      </w:pPr>
      <w:bookmarkStart w:id="0" w:name="_Toc28389902"/>
      <w:bookmarkStart w:id="1" w:name="_Toc8193_WPSOffice_Level1"/>
      <w:bookmarkStart w:id="2" w:name="_Toc4025_WPSOffice_Level1"/>
      <w:bookmarkStart w:id="3" w:name="_Toc5399_WPSOffice_Level1"/>
      <w:bookmarkStart w:id="4" w:name="_Toc22356_WPSOffice_Level1"/>
      <w:bookmarkStart w:id="5" w:name="_Toc24220_WPSOffice_Level1"/>
      <w:r>
        <w:rPr>
          <w:b/>
          <w:bCs/>
          <w:kern w:val="0"/>
          <w:sz w:val="30"/>
          <w:szCs w:val="30"/>
        </w:rPr>
        <w:t>UDC</w:t>
      </w:r>
    </w:p>
    <w:p>
      <w:pPr>
        <w:wordWrap w:val="0"/>
        <w:autoSpaceDE w:val="0"/>
        <w:autoSpaceDN w:val="0"/>
        <w:adjustRightInd w:val="0"/>
        <w:jc w:val="right"/>
        <w:rPr>
          <w:rFonts w:eastAsia="黑体"/>
          <w:kern w:val="0"/>
          <w:sz w:val="36"/>
          <w:szCs w:val="36"/>
        </w:rPr>
      </w:pPr>
      <w:r>
        <w:rPr>
          <w:rFonts w:hint="eastAsia" w:eastAsia="黑体"/>
          <w:kern w:val="0"/>
          <w:sz w:val="36"/>
          <w:szCs w:val="36"/>
        </w:rPr>
        <w:t>中华人民共和国国家标准</w:t>
      </w:r>
      <w:r>
        <w:rPr>
          <w:rFonts w:eastAsia="黑体"/>
          <w:kern w:val="0"/>
          <w:sz w:val="36"/>
          <w:szCs w:val="36"/>
        </w:rPr>
        <w:t xml:space="preserve">    </w:t>
      </w:r>
      <w:r>
        <w:rPr>
          <w:rFonts w:eastAsia="黑体"/>
          <w:kern w:val="0"/>
          <w:sz w:val="36"/>
          <w:szCs w:val="36"/>
        </w:rPr>
        <w:drawing>
          <wp:inline distT="0" distB="0" distL="0" distR="0">
            <wp:extent cx="1078230" cy="586740"/>
            <wp:effectExtent l="0" t="0" r="3810" b="762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11">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b/>
          <w:bCs/>
          <w:kern w:val="0"/>
          <w:sz w:val="28"/>
          <w:szCs w:val="28"/>
        </w:rPr>
      </w:pPr>
      <w:r>
        <w:rPr>
          <w:b/>
          <w:bCs/>
          <w:kern w:val="0"/>
          <w:sz w:val="24"/>
        </w:rPr>
        <w:t xml:space="preserve">P                                                 </w:t>
      </w:r>
      <w:r>
        <w:rPr>
          <w:b/>
          <w:bCs/>
          <w:kern w:val="0"/>
          <w:sz w:val="28"/>
          <w:szCs w:val="28"/>
        </w:rPr>
        <w:t>GB 55</w:t>
      </w:r>
      <w:r>
        <w:rPr>
          <w:rFonts w:eastAsia="黑体"/>
          <w:color w:val="FF0000"/>
          <w:kern w:val="0"/>
          <w:sz w:val="24"/>
        </w:rPr>
        <w:t>XXX</w:t>
      </w:r>
      <w:r>
        <w:rPr>
          <w:b/>
          <w:bCs/>
          <w:kern w:val="0"/>
          <w:sz w:val="28"/>
          <w:szCs w:val="28"/>
        </w:rPr>
        <w:t xml:space="preserve"> – 202</w:t>
      </w:r>
      <w: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0" t="9525" r="2540" b="13335"/>
                <wp:wrapNone/>
                <wp:docPr id="9" name="直接连接符 9"/>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vCTd/UAAAA&#10;BwEAAA8AAAAAAAAAAQAgAAAAOAAAAGRycy9kb3ducmV2LnhtbFBLAQIUABQAAAAIAIdO4kCZIa9U&#10;0gEAAG0DAAAOAAAAAAAAAAEAIAAAADkBAABkcnMvZTJvRG9jLnhtbFBLBQYAAAAABgAGAFkBAAB9&#10;BQAAAAA=&#10;">
                <v:fill on="f" focussize="0,0"/>
                <v:stroke weight="1.5pt" color="#000000" joinstyle="round"/>
                <v:imagedata o:title=""/>
                <o:lock v:ext="edit" aspectratio="f"/>
              </v:line>
            </w:pict>
          </mc:Fallback>
        </mc:AlternateContent>
      </w:r>
      <w:r>
        <w:rPr>
          <w:rFonts w:hint="eastAsia"/>
          <w:b/>
          <w:bCs/>
          <w:kern w:val="0"/>
          <w:sz w:val="28"/>
          <w:szCs w:val="28"/>
          <w:lang w:val="en-US" w:eastAsia="zh-CN"/>
        </w:rPr>
        <w:t>X</w:t>
      </w:r>
    </w:p>
    <w:p>
      <w:pPr>
        <w:autoSpaceDE w:val="0"/>
        <w:autoSpaceDN w:val="0"/>
        <w:adjustRightInd w:val="0"/>
        <w:rPr>
          <w:b/>
          <w:bCs/>
          <w:kern w:val="0"/>
          <w:sz w:val="28"/>
          <w:szCs w:val="28"/>
        </w:rPr>
      </w:pPr>
    </w:p>
    <w:p>
      <w:pPr>
        <w:pStyle w:val="31"/>
        <w:spacing w:before="319" w:after="319"/>
        <w:outlineLvl w:val="9"/>
        <w:rPr>
          <w:rFonts w:eastAsia="黑体"/>
          <w:w w:val="95"/>
          <w:sz w:val="48"/>
        </w:rPr>
      </w:pPr>
      <w:r>
        <w:rPr>
          <w:rFonts w:hint="eastAsia" w:eastAsia="黑体"/>
          <w:w w:val="95"/>
          <w:sz w:val="48"/>
        </w:rPr>
        <w:t>电力工程电气装置安装施工及验收</w:t>
      </w:r>
    </w:p>
    <w:p>
      <w:pPr>
        <w:pStyle w:val="31"/>
        <w:spacing w:before="319" w:after="319"/>
        <w:outlineLvl w:val="9"/>
        <w:rPr>
          <w:rFonts w:eastAsia="黑体"/>
          <w:w w:val="95"/>
          <w:sz w:val="48"/>
        </w:rPr>
      </w:pPr>
      <w:r>
        <w:rPr>
          <w:rFonts w:hint="eastAsia" w:eastAsia="黑体"/>
          <w:w w:val="95"/>
          <w:sz w:val="48"/>
        </w:rPr>
        <w:t>通用规范</w:t>
      </w:r>
    </w:p>
    <w:p>
      <w:pPr>
        <w:autoSpaceDE w:val="0"/>
        <w:autoSpaceDN w:val="0"/>
        <w:adjustRightInd w:val="0"/>
        <w:jc w:val="center"/>
        <w:rPr>
          <w:rFonts w:eastAsia="黑体"/>
          <w:w w:val="95"/>
          <w:sz w:val="36"/>
          <w:szCs w:val="36"/>
        </w:rPr>
      </w:pPr>
      <w:r>
        <w:rPr>
          <w:rFonts w:hint="eastAsia" w:eastAsia="黑体"/>
          <w:w w:val="95"/>
          <w:sz w:val="36"/>
          <w:szCs w:val="36"/>
        </w:rPr>
        <w:t>General</w:t>
      </w:r>
      <w:r>
        <w:rPr>
          <w:rFonts w:eastAsia="黑体"/>
          <w:w w:val="95"/>
          <w:sz w:val="36"/>
          <w:szCs w:val="36"/>
        </w:rPr>
        <w:t xml:space="preserve"> code for </w:t>
      </w:r>
      <w:r>
        <w:rPr>
          <w:rFonts w:hint="eastAsia" w:eastAsia="黑体"/>
          <w:w w:val="95"/>
          <w:sz w:val="36"/>
          <w:szCs w:val="36"/>
        </w:rPr>
        <w:t>installation and acceptance of electrical equipment for power engineering</w:t>
      </w:r>
    </w:p>
    <w:p>
      <w:pPr>
        <w:autoSpaceDE w:val="0"/>
        <w:autoSpaceDN w:val="0"/>
        <w:adjustRightInd w:val="0"/>
        <w:jc w:val="center"/>
        <w:rPr>
          <w:rFonts w:hint="eastAsia"/>
          <w:b/>
          <w:bCs/>
          <w:kern w:val="0"/>
          <w:sz w:val="32"/>
          <w:szCs w:val="32"/>
        </w:rPr>
      </w:pPr>
    </w:p>
    <w:p>
      <w:pPr>
        <w:autoSpaceDE w:val="0"/>
        <w:autoSpaceDN w:val="0"/>
        <w:adjustRightInd w:val="0"/>
        <w:jc w:val="center"/>
        <w:rPr>
          <w:b/>
          <w:bCs/>
          <w:kern w:val="0"/>
          <w:sz w:val="32"/>
          <w:szCs w:val="32"/>
        </w:rPr>
      </w:pPr>
      <w:r>
        <w:rPr>
          <w:rFonts w:hint="eastAsia"/>
          <w:b/>
          <w:bCs/>
          <w:kern w:val="0"/>
          <w:sz w:val="32"/>
          <w:szCs w:val="32"/>
        </w:rPr>
        <w:t>（征求意见稿）</w:t>
      </w: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spacing w:after="319" w:afterLines="100"/>
        <w:rPr>
          <w:rFonts w:eastAsia="黑体"/>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0" t="9525" r="2540" b="13335"/>
                <wp:wrapNone/>
                <wp:docPr id="10" name="直接连接符 10"/>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9CZvnX&#10;AAAACQEAAA8AAAAAAAAAAQAgAAAAOAAAAGRycy9kb3ducmV2LnhtbFBLAQIUABQAAAAIAIdO4kAp&#10;u4w10gEAAG8DAAAOAAAAAAAAAAEAIAAAADwBAABkcnMvZTJvRG9jLnhtbFBLBQYAAAAABgAGAFkB&#10;AACABQAAAAA=&#10;">
                <v:fill on="f" focussize="0,0"/>
                <v:stroke weight="1.5pt" color="#000000" joinstyle="round"/>
                <v:imagedata o:title=""/>
                <o:lock v:ext="edit" aspectratio="f"/>
              </v:line>
            </w:pict>
          </mc:Fallback>
        </mc:AlternateContent>
      </w:r>
      <w:r>
        <w:rPr>
          <w:rFonts w:eastAsia="黑体"/>
          <w:kern w:val="0"/>
          <w:sz w:val="28"/>
          <w:szCs w:val="28"/>
        </w:rPr>
        <w:t>2</w:t>
      </w:r>
      <w:r>
        <w:rPr>
          <w:rFonts w:eastAsia="黑体"/>
          <w:color w:val="000000" w:themeColor="text1"/>
          <w:kern w:val="0"/>
          <w:sz w:val="28"/>
          <w:szCs w:val="28"/>
          <w14:textFill>
            <w14:solidFill>
              <w14:schemeClr w14:val="tx1"/>
            </w14:solidFill>
          </w14:textFill>
        </w:rPr>
        <w:t>02</w:t>
      </w:r>
      <w:r>
        <w:rPr>
          <w:rFonts w:hint="eastAsia" w:eastAsia="黑体"/>
          <w:color w:val="000000" w:themeColor="text1"/>
          <w:kern w:val="0"/>
          <w:sz w:val="28"/>
          <w:szCs w:val="28"/>
          <w:lang w:val="en-US" w:eastAsia="zh-CN"/>
          <w14:textFill>
            <w14:solidFill>
              <w14:schemeClr w14:val="tx1"/>
            </w14:solidFill>
          </w14:textFill>
        </w:rPr>
        <w:t>X</w:t>
      </w:r>
      <w:r>
        <w:rPr>
          <w:rFonts w:eastAsia="黑体"/>
          <w:kern w:val="0"/>
          <w:sz w:val="28"/>
          <w:szCs w:val="28"/>
        </w:rPr>
        <w:t xml:space="preserve">– </w:t>
      </w:r>
      <w:r>
        <w:rPr>
          <w:rFonts w:eastAsia="黑体"/>
          <w:color w:val="FF0000"/>
          <w:kern w:val="0"/>
          <w:sz w:val="28"/>
          <w:szCs w:val="28"/>
        </w:rPr>
        <w:t>XX</w:t>
      </w:r>
      <w:r>
        <w:rPr>
          <w:rFonts w:eastAsia="黑体"/>
          <w:kern w:val="0"/>
          <w:sz w:val="28"/>
          <w:szCs w:val="28"/>
        </w:rPr>
        <w:t xml:space="preserve"> –</w:t>
      </w:r>
      <w:r>
        <w:rPr>
          <w:rFonts w:eastAsia="黑体"/>
          <w:color w:val="FF0000"/>
          <w:kern w:val="0"/>
          <w:sz w:val="28"/>
          <w:szCs w:val="28"/>
        </w:rPr>
        <w:t>XX</w:t>
      </w:r>
      <w:r>
        <w:rPr>
          <w:rFonts w:eastAsia="黑体"/>
          <w:kern w:val="0"/>
          <w:sz w:val="28"/>
          <w:szCs w:val="28"/>
        </w:rPr>
        <w:t xml:space="preserve"> </w:t>
      </w:r>
      <w:r>
        <w:rPr>
          <w:rFonts w:hint="eastAsia" w:eastAsia="黑体"/>
          <w:kern w:val="0"/>
          <w:sz w:val="28"/>
          <w:szCs w:val="28"/>
        </w:rPr>
        <w:t>发布</w:t>
      </w:r>
      <w:r>
        <w:rPr>
          <w:rFonts w:eastAsia="黑体"/>
          <w:kern w:val="0"/>
          <w:sz w:val="28"/>
          <w:szCs w:val="28"/>
        </w:rPr>
        <w:t xml:space="preserve">                      202</w:t>
      </w:r>
      <w:r>
        <w:rPr>
          <w:rFonts w:eastAsia="黑体"/>
          <w:color w:val="FF0000"/>
          <w:kern w:val="0"/>
          <w:sz w:val="28"/>
          <w:szCs w:val="28"/>
        </w:rPr>
        <w:t>X</w:t>
      </w:r>
      <w:r>
        <w:rPr>
          <w:rFonts w:eastAsia="黑体"/>
          <w:kern w:val="0"/>
          <w:sz w:val="28"/>
          <w:szCs w:val="28"/>
        </w:rPr>
        <w:t xml:space="preserve"> – </w:t>
      </w:r>
      <w:r>
        <w:rPr>
          <w:rFonts w:eastAsia="黑体"/>
          <w:color w:val="FF0000"/>
          <w:kern w:val="0"/>
          <w:sz w:val="28"/>
          <w:szCs w:val="28"/>
        </w:rPr>
        <w:t>XX</w:t>
      </w:r>
      <w:r>
        <w:rPr>
          <w:rFonts w:eastAsia="黑体"/>
          <w:kern w:val="0"/>
          <w:sz w:val="28"/>
          <w:szCs w:val="28"/>
        </w:rPr>
        <w:t xml:space="preserve"> –</w:t>
      </w:r>
      <w:r>
        <w:rPr>
          <w:rFonts w:hint="eastAsia" w:eastAsia="黑体"/>
          <w:kern w:val="0"/>
          <w:sz w:val="28"/>
          <w:szCs w:val="28"/>
          <w:lang w:val="en-US" w:eastAsia="zh-CN"/>
        </w:rPr>
        <w:t>XX</w:t>
      </w:r>
      <w:r>
        <w:rPr>
          <w:rFonts w:eastAsia="黑体"/>
          <w:kern w:val="0"/>
          <w:sz w:val="28"/>
          <w:szCs w:val="28"/>
        </w:rPr>
        <w:t xml:space="preserve"> </w:t>
      </w:r>
      <w:r>
        <w:rPr>
          <w:rFonts w:hint="eastAsia" w:eastAsia="黑体"/>
          <w:kern w:val="0"/>
          <w:sz w:val="28"/>
          <w:szCs w:val="28"/>
        </w:rPr>
        <w:t>实施</w:t>
      </w:r>
    </w:p>
    <w:tbl>
      <w:tblPr>
        <w:tblStyle w:val="13"/>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spacing w:val="40"/>
                <w:kern w:val="0"/>
                <w:sz w:val="28"/>
                <w:szCs w:val="28"/>
              </w:rPr>
            </w:pPr>
            <w:r>
              <w:rPr>
                <w:rFonts w:hint="eastAsia" w:eastAsia="黑体"/>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kern w:val="0"/>
                <w:sz w:val="28"/>
                <w:szCs w:val="28"/>
              </w:rPr>
            </w:pPr>
            <w:r>
              <w:rPr>
                <w:rFonts w:hint="eastAsia" w:eastAsia="黑体"/>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kern w:val="0"/>
                <w:sz w:val="28"/>
                <w:szCs w:val="28"/>
              </w:rPr>
            </w:pPr>
            <w:r>
              <w:rPr>
                <w:rFonts w:hint="eastAsia" w:eastAsia="黑体"/>
                <w:kern w:val="0"/>
                <w:sz w:val="28"/>
                <w:szCs w:val="28"/>
              </w:rPr>
              <w:t>国家市场监督管理总局</w:t>
            </w:r>
          </w:p>
        </w:tc>
        <w:tc>
          <w:tcPr>
            <w:tcW w:w="2806" w:type="dxa"/>
            <w:vMerge w:val="continue"/>
            <w:vAlign w:val="center"/>
          </w:tcPr>
          <w:p>
            <w:pPr>
              <w:widowControl/>
              <w:jc w:val="left"/>
              <w:rPr>
                <w:kern w:val="0"/>
                <w:sz w:val="28"/>
                <w:szCs w:val="28"/>
              </w:rPr>
            </w:pPr>
          </w:p>
        </w:tc>
      </w:tr>
    </w:tbl>
    <w:p/>
    <w:p>
      <w:pPr>
        <w:widowControl/>
        <w:rPr>
          <w:rFonts w:eastAsia="黑体"/>
          <w:kern w:val="0"/>
          <w:sz w:val="32"/>
          <w:szCs w:val="32"/>
        </w:rPr>
        <w:sectPr>
          <w:footerReference r:id="rId3" w:type="default"/>
          <w:pgSz w:w="11906" w:h="16838"/>
          <w:pgMar w:top="1440" w:right="1803" w:bottom="1440" w:left="1803" w:header="851" w:footer="992" w:gutter="0"/>
          <w:pgNumType w:fmt="decimal"/>
          <w:cols w:space="720" w:num="1"/>
          <w:docGrid w:type="lines" w:linePitch="319" w:charSpace="0"/>
        </w:sectPr>
      </w:pPr>
    </w:p>
    <w:p>
      <w:pPr>
        <w:pStyle w:val="5"/>
        <w:spacing w:after="100" w:line="360" w:lineRule="auto"/>
        <w:rPr>
          <w:b/>
          <w:sz w:val="28"/>
          <w:szCs w:val="28"/>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中华人民共和国国家标准</w:t>
      </w:r>
    </w:p>
    <w:p>
      <w:pPr>
        <w:pStyle w:val="31"/>
        <w:spacing w:beforeLines="0" w:afterLines="0"/>
        <w:outlineLvl w:val="9"/>
        <w:rPr>
          <w:rFonts w:eastAsia="黑体"/>
          <w:w w:val="95"/>
          <w:sz w:val="48"/>
        </w:rPr>
      </w:pPr>
    </w:p>
    <w:p>
      <w:pPr>
        <w:pStyle w:val="31"/>
        <w:spacing w:beforeLines="0" w:afterLines="0"/>
        <w:outlineLvl w:val="9"/>
        <w:rPr>
          <w:rFonts w:eastAsia="黑体"/>
          <w:w w:val="95"/>
          <w:sz w:val="48"/>
        </w:rPr>
      </w:pPr>
      <w:r>
        <w:rPr>
          <w:rFonts w:hint="eastAsia" w:eastAsia="黑体"/>
          <w:w w:val="95"/>
          <w:sz w:val="48"/>
        </w:rPr>
        <w:t>电力工程电气装置安装通用规范</w:t>
      </w:r>
    </w:p>
    <w:p>
      <w:pPr>
        <w:jc w:val="center"/>
        <w:outlineLvl w:val="0"/>
        <w:rPr>
          <w:rFonts w:eastAsia="黑体"/>
          <w:w w:val="95"/>
          <w:sz w:val="36"/>
          <w:szCs w:val="36"/>
        </w:rPr>
      </w:pPr>
    </w:p>
    <w:p>
      <w:pPr>
        <w:jc w:val="center"/>
        <w:outlineLvl w:val="0"/>
        <w:rPr>
          <w:rFonts w:eastAsia="黑体"/>
          <w:sz w:val="30"/>
          <w:szCs w:val="30"/>
        </w:rPr>
      </w:pPr>
      <w:r>
        <w:rPr>
          <w:rFonts w:hint="eastAsia" w:eastAsia="黑体"/>
          <w:w w:val="95"/>
          <w:sz w:val="36"/>
          <w:szCs w:val="36"/>
        </w:rPr>
        <w:t>General</w:t>
      </w:r>
      <w:r>
        <w:rPr>
          <w:rFonts w:eastAsia="黑体"/>
          <w:w w:val="95"/>
          <w:sz w:val="36"/>
          <w:szCs w:val="36"/>
        </w:rPr>
        <w:t xml:space="preserve"> code for </w:t>
      </w:r>
      <w:r>
        <w:rPr>
          <w:rFonts w:hint="eastAsia" w:eastAsia="黑体"/>
          <w:w w:val="95"/>
          <w:sz w:val="36"/>
          <w:szCs w:val="36"/>
        </w:rPr>
        <w:t>installation and acceptance of electrical equipment for power engineerin</w:t>
      </w:r>
      <w:r>
        <w:rPr>
          <w:rFonts w:hint="eastAsia" w:eastAsia="黑体"/>
          <w:w w:val="95"/>
          <w:sz w:val="30"/>
          <w:szCs w:val="30"/>
        </w:rPr>
        <w:t>g</w:t>
      </w:r>
    </w:p>
    <w:p>
      <w:pPr>
        <w:jc w:val="center"/>
        <w:rPr>
          <w:rFonts w:eastAsia="黑体"/>
          <w:b/>
          <w:kern w:val="0"/>
          <w:sz w:val="28"/>
          <w:szCs w:val="28"/>
        </w:rPr>
      </w:pPr>
    </w:p>
    <w:p>
      <w:pPr>
        <w:jc w:val="center"/>
        <w:rPr>
          <w:rFonts w:hint="eastAsia" w:eastAsia="黑体"/>
          <w:b/>
          <w:kern w:val="0"/>
          <w:sz w:val="30"/>
          <w:szCs w:val="30"/>
          <w:lang w:eastAsia="zh-CN"/>
        </w:rPr>
      </w:pPr>
      <w:r>
        <w:rPr>
          <w:rFonts w:eastAsia="黑体"/>
          <w:b/>
          <w:kern w:val="0"/>
          <w:sz w:val="30"/>
          <w:szCs w:val="30"/>
        </w:rPr>
        <w:t>GB</w:t>
      </w:r>
      <w:r>
        <w:rPr>
          <w:rFonts w:hint="eastAsia" w:eastAsia="黑体"/>
          <w:b/>
          <w:kern w:val="0"/>
          <w:sz w:val="30"/>
          <w:szCs w:val="30"/>
        </w:rPr>
        <w:t xml:space="preserve"> 5</w:t>
      </w:r>
      <w:r>
        <w:rPr>
          <w:rFonts w:eastAsia="黑体"/>
          <w:b/>
          <w:kern w:val="0"/>
          <w:sz w:val="30"/>
          <w:szCs w:val="30"/>
        </w:rPr>
        <w:t>5</w:t>
      </w:r>
      <w:r>
        <w:rPr>
          <w:rFonts w:eastAsia="黑体"/>
          <w:color w:val="FF0000"/>
          <w:kern w:val="0"/>
          <w:sz w:val="30"/>
          <w:szCs w:val="30"/>
        </w:rPr>
        <w:t>XXX</w:t>
      </w:r>
      <w:r>
        <w:rPr>
          <w:rFonts w:hint="eastAsia" w:eastAsia="黑体"/>
          <w:b/>
          <w:kern w:val="0"/>
          <w:sz w:val="30"/>
          <w:szCs w:val="30"/>
        </w:rPr>
        <w:t xml:space="preserve"> -20</w:t>
      </w:r>
      <w:r>
        <w:rPr>
          <w:rFonts w:eastAsia="黑体"/>
          <w:b/>
          <w:kern w:val="0"/>
          <w:sz w:val="30"/>
          <w:szCs w:val="30"/>
        </w:rPr>
        <w:t>2</w:t>
      </w:r>
      <w:r>
        <w:rPr>
          <w:rFonts w:hint="eastAsia" w:eastAsia="黑体"/>
          <w:b/>
          <w:kern w:val="0"/>
          <w:sz w:val="30"/>
          <w:szCs w:val="30"/>
          <w:lang w:val="en-US" w:eastAsia="zh-CN"/>
        </w:rPr>
        <w:t>X</w:t>
      </w:r>
    </w:p>
    <w:p>
      <w:pPr>
        <w:jc w:val="center"/>
        <w:rPr>
          <w:rFonts w:eastAsia="黑体"/>
          <w:kern w:val="0"/>
          <w:sz w:val="28"/>
          <w:szCs w:val="28"/>
        </w:rPr>
      </w:pPr>
    </w:p>
    <w:p>
      <w:pPr>
        <w:autoSpaceDE w:val="0"/>
        <w:autoSpaceDN w:val="0"/>
        <w:adjustRightInd w:val="0"/>
        <w:ind w:firstLine="1134" w:firstLineChars="405"/>
        <w:jc w:val="left"/>
        <w:rPr>
          <w:rFonts w:ascii="黑体" w:eastAsia="黑体" w:cs="黑体"/>
          <w:kern w:val="0"/>
          <w:sz w:val="28"/>
          <w:szCs w:val="28"/>
        </w:rPr>
      </w:pPr>
      <w:r>
        <w:rPr>
          <w:rFonts w:hint="eastAsia" w:ascii="黑体" w:eastAsia="黑体" w:cs="黑体"/>
          <w:kern w:val="0"/>
          <w:sz w:val="28"/>
          <w:szCs w:val="28"/>
        </w:rPr>
        <w:t>主编部门：</w:t>
      </w:r>
      <w:r>
        <w:rPr>
          <w:rFonts w:hint="eastAsia" w:ascii="黑体" w:hAnsi="黑体" w:eastAsia="黑体" w:cs="黑体"/>
          <w:color w:val="000000" w:themeColor="text1"/>
          <w:kern w:val="0"/>
          <w:sz w:val="28"/>
          <w:szCs w:val="28"/>
          <w14:textFill>
            <w14:solidFill>
              <w14:schemeClr w14:val="tx1"/>
            </w14:solidFill>
          </w14:textFill>
        </w:rPr>
        <w:t>中华人民共和国</w:t>
      </w:r>
      <w:r>
        <w:rPr>
          <w:rFonts w:hint="eastAsia" w:ascii="黑体" w:hAnsi="黑体" w:eastAsia="黑体"/>
          <w:color w:val="000000" w:themeColor="text1"/>
          <w:sz w:val="28"/>
          <w:szCs w:val="28"/>
          <w14:textFill>
            <w14:solidFill>
              <w14:schemeClr w14:val="tx1"/>
            </w14:solidFill>
          </w14:textFill>
        </w:rPr>
        <w:t>住房和城乡建设部</w:t>
      </w:r>
    </w:p>
    <w:p>
      <w:pPr>
        <w:autoSpaceDE w:val="0"/>
        <w:autoSpaceDN w:val="0"/>
        <w:adjustRightInd w:val="0"/>
        <w:ind w:firstLine="1134" w:firstLineChars="405"/>
        <w:jc w:val="left"/>
        <w:rPr>
          <w:rFonts w:ascii="黑体" w:eastAsia="黑体" w:cs="黑体"/>
          <w:kern w:val="0"/>
          <w:sz w:val="28"/>
          <w:szCs w:val="28"/>
        </w:rPr>
      </w:pPr>
      <w:r>
        <w:rPr>
          <w:rFonts w:hint="eastAsia" w:ascii="黑体" w:eastAsia="黑体" w:cs="黑体"/>
          <w:kern w:val="0"/>
          <w:sz w:val="28"/>
          <w:szCs w:val="28"/>
        </w:rPr>
        <w:t>批准部门：</w:t>
      </w:r>
      <w:r>
        <w:rPr>
          <w:rFonts w:hint="eastAsia" w:ascii="黑体" w:hAnsi="黑体" w:eastAsia="黑体" w:cs="黑体"/>
          <w:kern w:val="0"/>
          <w:sz w:val="28"/>
          <w:szCs w:val="28"/>
        </w:rPr>
        <w:t>中华人民共和国</w:t>
      </w:r>
      <w:r>
        <w:rPr>
          <w:rFonts w:hint="eastAsia" w:ascii="黑体" w:hAnsi="黑体" w:eastAsia="黑体"/>
          <w:sz w:val="28"/>
          <w:szCs w:val="28"/>
        </w:rPr>
        <w:t>住房和城乡建设部</w:t>
      </w:r>
    </w:p>
    <w:p>
      <w:pPr>
        <w:autoSpaceDE w:val="0"/>
        <w:autoSpaceDN w:val="0"/>
        <w:adjustRightInd w:val="0"/>
        <w:ind w:firstLine="1120" w:firstLineChars="400"/>
        <w:jc w:val="left"/>
        <w:rPr>
          <w:rFonts w:ascii="黑体" w:eastAsia="黑体" w:cs="黑体"/>
          <w:kern w:val="0"/>
          <w:sz w:val="28"/>
          <w:szCs w:val="28"/>
        </w:rPr>
      </w:pPr>
      <w:r>
        <w:rPr>
          <w:rFonts w:hint="eastAsia" w:ascii="黑体" w:eastAsia="黑体" w:cs="黑体"/>
          <w:kern w:val="0"/>
          <w:sz w:val="28"/>
          <w:szCs w:val="28"/>
        </w:rPr>
        <w:t>施行日期：</w:t>
      </w:r>
      <w:r>
        <w:rPr>
          <w:rFonts w:eastAsia="黑体"/>
          <w:spacing w:val="113"/>
          <w:sz w:val="28"/>
          <w:szCs w:val="28"/>
        </w:rPr>
        <w:t>20</w:t>
      </w:r>
      <w:r>
        <w:rPr>
          <w:rFonts w:eastAsia="黑体"/>
          <w:color w:val="FF0000"/>
          <w:spacing w:val="113"/>
          <w:sz w:val="28"/>
          <w:szCs w:val="28"/>
        </w:rPr>
        <w:t>2</w:t>
      </w:r>
      <w:r>
        <w:rPr>
          <w:rFonts w:hint="eastAsia" w:eastAsia="黑体"/>
          <w:color w:val="FF0000"/>
          <w:spacing w:val="113"/>
          <w:sz w:val="28"/>
          <w:szCs w:val="28"/>
        </w:rPr>
        <w:t>X</w:t>
      </w:r>
      <w:r>
        <w:rPr>
          <w:rFonts w:eastAsia="黑体"/>
          <w:spacing w:val="113"/>
          <w:sz w:val="28"/>
          <w:szCs w:val="28"/>
          <w:lang w:val="zh-CN"/>
        </w:rPr>
        <w:t>年</w:t>
      </w:r>
      <w:r>
        <w:rPr>
          <w:rFonts w:hint="eastAsia" w:eastAsia="黑体"/>
          <w:color w:val="FF0000"/>
          <w:spacing w:val="113"/>
          <w:sz w:val="28"/>
          <w:szCs w:val="28"/>
        </w:rPr>
        <w:t>XX</w:t>
      </w:r>
      <w:r>
        <w:rPr>
          <w:rFonts w:eastAsia="黑体"/>
          <w:spacing w:val="113"/>
          <w:sz w:val="28"/>
          <w:szCs w:val="28"/>
          <w:lang w:val="zh-CN"/>
        </w:rPr>
        <w:t>月</w:t>
      </w:r>
      <w:r>
        <w:rPr>
          <w:rFonts w:hint="eastAsia" w:eastAsia="黑体"/>
          <w:spacing w:val="113"/>
          <w:sz w:val="28"/>
          <w:szCs w:val="28"/>
          <w:lang w:val="en-US" w:eastAsia="zh-CN"/>
        </w:rPr>
        <w:t>XX</w:t>
      </w:r>
      <w:r>
        <w:rPr>
          <w:rFonts w:eastAsia="黑体"/>
          <w:spacing w:val="113"/>
          <w:sz w:val="28"/>
          <w:szCs w:val="28"/>
          <w:lang w:val="zh-CN"/>
        </w:rPr>
        <w:t>日</w:t>
      </w:r>
    </w:p>
    <w:p>
      <w:pPr>
        <w:jc w:val="center"/>
        <w:rPr>
          <w:sz w:val="28"/>
        </w:rPr>
      </w:pPr>
    </w:p>
    <w:p>
      <w:pPr>
        <w:jc w:val="center"/>
        <w:rPr>
          <w:sz w:val="28"/>
        </w:rPr>
      </w:pPr>
    </w:p>
    <w:p>
      <w:pPr>
        <w:jc w:val="center"/>
        <w:rPr>
          <w:sz w:val="28"/>
        </w:rPr>
      </w:pPr>
    </w:p>
    <w:p>
      <w:pPr>
        <w:jc w:val="center"/>
        <w:rPr>
          <w:sz w:val="28"/>
        </w:rPr>
      </w:pPr>
    </w:p>
    <w:p>
      <w:pPr>
        <w:jc w:val="center"/>
        <w:rPr>
          <w:rFonts w:hint="eastAsia" w:eastAsia="华文中宋"/>
          <w:color w:val="000000"/>
          <w:sz w:val="48"/>
        </w:rPr>
      </w:pPr>
    </w:p>
    <w:p>
      <w:pPr>
        <w:jc w:val="center"/>
        <w:rPr>
          <w:rFonts w:hint="eastAsia" w:eastAsia="华文中宋"/>
          <w:color w:val="000000"/>
          <w:sz w:val="48"/>
        </w:rPr>
      </w:pPr>
    </w:p>
    <w:p>
      <w:pPr>
        <w:jc w:val="center"/>
        <w:rPr>
          <w:rFonts w:hint="eastAsia" w:eastAsia="华文中宋"/>
          <w:color w:val="000000"/>
          <w:sz w:val="48"/>
        </w:rPr>
      </w:pPr>
    </w:p>
    <w:p>
      <w:pPr>
        <w:jc w:val="center"/>
        <w:rPr>
          <w:rFonts w:hint="eastAsia" w:eastAsia="华文中宋"/>
          <w:color w:val="000000"/>
          <w:sz w:val="48"/>
        </w:rPr>
      </w:pPr>
    </w:p>
    <w:p>
      <w:pPr>
        <w:jc w:val="center"/>
        <w:rPr>
          <w:rFonts w:ascii="新宋体" w:hAnsi="新宋体" w:eastAsia="新宋体" w:cs="新宋体"/>
          <w:b/>
          <w:bCs/>
          <w:sz w:val="44"/>
          <w:szCs w:val="44"/>
        </w:rPr>
      </w:pPr>
      <w:r>
        <w:rPr>
          <w:rFonts w:hint="eastAsia" w:ascii="新宋体" w:hAnsi="新宋体" w:eastAsia="新宋体" w:cs="新宋体"/>
          <w:b/>
          <w:bCs/>
          <w:sz w:val="44"/>
          <w:szCs w:val="44"/>
        </w:rPr>
        <w:t>前    言</w:t>
      </w:r>
    </w:p>
    <w:p>
      <w:pPr>
        <w:ind w:firstLine="420" w:firstLineChars="200"/>
        <w:rPr>
          <w:rFonts w:ascii="仿宋_GB2312" w:eastAsia="仿宋_GB2312"/>
          <w:szCs w:val="32"/>
        </w:rPr>
      </w:pPr>
    </w:p>
    <w:p>
      <w:pPr>
        <w:ind w:firstLine="640" w:firstLineChars="200"/>
        <w:rPr>
          <w:rFonts w:ascii="仿宋_GB2312" w:eastAsia="仿宋_GB2312"/>
          <w:szCs w:val="32"/>
        </w:rPr>
      </w:pPr>
      <w:r>
        <w:rPr>
          <w:rFonts w:hint="eastAsia" w:ascii="仿宋_GB2312" w:eastAsia="仿宋_GB2312"/>
          <w:sz w:val="32"/>
          <w:szCs w:val="32"/>
        </w:rPr>
        <w:t>为适应国际技术法规与技术标准通行规则，2016年以来，</w:t>
      </w:r>
      <w:r>
        <w:rPr>
          <w:rFonts w:ascii="仿宋_GB2312" w:eastAsia="仿宋_GB2312"/>
          <w:sz w:val="32"/>
          <w:szCs w:val="32"/>
        </w:rPr>
        <w:t>住房</w:t>
      </w:r>
      <w:r>
        <w:rPr>
          <w:rFonts w:hint="eastAsia" w:ascii="仿宋_GB2312" w:eastAsia="仿宋_GB2312"/>
          <w:sz w:val="32"/>
          <w:szCs w:val="32"/>
        </w:rPr>
        <w:t>和</w:t>
      </w:r>
      <w:r>
        <w:rPr>
          <w:rFonts w:ascii="仿宋_GB2312" w:eastAsia="仿宋_GB2312"/>
          <w:sz w:val="32"/>
          <w:szCs w:val="32"/>
        </w:rPr>
        <w:t>城乡建设部</w:t>
      </w:r>
      <w:r>
        <w:rPr>
          <w:rFonts w:hint="eastAsia" w:ascii="仿宋_GB2312" w:eastAsia="仿宋_GB2312"/>
          <w:sz w:val="32"/>
          <w:szCs w:val="32"/>
        </w:rPr>
        <w:t>陆续</w:t>
      </w:r>
      <w:r>
        <w:rPr>
          <w:rFonts w:ascii="仿宋_GB2312" w:eastAsia="仿宋_GB2312"/>
          <w:sz w:val="32"/>
          <w:szCs w:val="32"/>
        </w:rPr>
        <w:t>印发</w:t>
      </w:r>
      <w:r>
        <w:rPr>
          <w:rFonts w:hint="eastAsia" w:ascii="仿宋_GB2312" w:eastAsia="仿宋_GB2312"/>
          <w:sz w:val="32"/>
          <w:szCs w:val="32"/>
        </w:rPr>
        <w:t>《</w:t>
      </w:r>
      <w:r>
        <w:rPr>
          <w:rFonts w:ascii="仿宋_GB2312" w:eastAsia="仿宋_GB2312"/>
          <w:sz w:val="32"/>
          <w:szCs w:val="32"/>
        </w:rPr>
        <w:t>深化工程建设标准化工作改革的意见</w:t>
      </w:r>
      <w:r>
        <w:rPr>
          <w:rFonts w:hint="eastAsia" w:ascii="仿宋_GB2312" w:eastAsia="仿宋_GB2312"/>
          <w:sz w:val="32"/>
          <w:szCs w:val="32"/>
        </w:rPr>
        <w:t>》等文件，提出</w:t>
      </w:r>
      <w:r>
        <w:rPr>
          <w:rFonts w:hint="eastAsia" w:ascii="仿宋" w:hAnsi="仿宋" w:eastAsia="仿宋"/>
          <w:sz w:val="32"/>
          <w:szCs w:val="32"/>
        </w:rPr>
        <w:t>政府制定强制性标准、社会团体制定自愿采用性标准的长远目标</w:t>
      </w:r>
      <w:r>
        <w:rPr>
          <w:rFonts w:hint="eastAsia" w:ascii="仿宋_GB2312" w:eastAsia="仿宋_GB2312"/>
          <w:sz w:val="32"/>
          <w:szCs w:val="32"/>
        </w:rPr>
        <w:t>，明确了逐步用全文强制性工程建设规范取代现行标准中分散的强制性条文</w:t>
      </w:r>
      <w:r>
        <w:rPr>
          <w:rFonts w:ascii="仿宋_GB2312" w:eastAsia="仿宋_GB2312"/>
          <w:sz w:val="32"/>
          <w:szCs w:val="32"/>
        </w:rPr>
        <w:t>的改革任务</w:t>
      </w:r>
      <w:r>
        <w:rPr>
          <w:rFonts w:hint="eastAsia" w:ascii="仿宋_GB2312" w:eastAsia="仿宋_GB2312"/>
          <w:sz w:val="32"/>
          <w:szCs w:val="32"/>
        </w:rPr>
        <w:t>，逐步形成由法律、行政法规、部门规章中的技术性规定与全文强制性工程建设规范构成的“技术法规”体系。</w:t>
      </w:r>
    </w:p>
    <w:p>
      <w:pPr>
        <w:ind w:firstLine="640"/>
        <w:rPr>
          <w:rFonts w:ascii="仿宋_GB2312" w:eastAsia="仿宋_GB2312"/>
          <w:szCs w:val="32"/>
        </w:rPr>
      </w:pPr>
      <w:r>
        <w:rPr>
          <w:rFonts w:hint="eastAsia" w:ascii="仿宋_GB2312" w:eastAsia="仿宋_GB2312"/>
          <w:b/>
          <w:sz w:val="32"/>
          <w:szCs w:val="32"/>
        </w:rPr>
        <w:t>关于规范种类。</w:t>
      </w:r>
      <w:r>
        <w:rPr>
          <w:rFonts w:hint="eastAsia" w:ascii="仿宋_GB2312" w:eastAsia="仿宋_GB2312"/>
          <w:sz w:val="32"/>
          <w:szCs w:val="32"/>
        </w:rPr>
        <w:t>强制性工程建设规范体系覆盖工程建设领域各类建设工程项目，</w:t>
      </w:r>
      <w:r>
        <w:rPr>
          <w:rFonts w:ascii="仿宋_GB2312" w:eastAsia="仿宋_GB2312"/>
          <w:sz w:val="32"/>
          <w:szCs w:val="32"/>
        </w:rPr>
        <w:t>分为</w:t>
      </w:r>
      <w:r>
        <w:rPr>
          <w:rFonts w:hint="eastAsia" w:ascii="仿宋_GB2312" w:eastAsia="仿宋_GB2312"/>
          <w:sz w:val="32"/>
          <w:szCs w:val="32"/>
        </w:rPr>
        <w:t>工程</w:t>
      </w:r>
      <w:r>
        <w:rPr>
          <w:rFonts w:ascii="仿宋_GB2312" w:eastAsia="仿宋_GB2312"/>
          <w:sz w:val="32"/>
          <w:szCs w:val="32"/>
        </w:rPr>
        <w:t>项目</w:t>
      </w:r>
      <w:r>
        <w:rPr>
          <w:rFonts w:hint="eastAsia" w:ascii="仿宋_GB2312" w:eastAsia="仿宋_GB2312"/>
          <w:sz w:val="32"/>
          <w:szCs w:val="32"/>
        </w:rPr>
        <w:t>类</w:t>
      </w:r>
      <w:r>
        <w:rPr>
          <w:rFonts w:ascii="仿宋_GB2312" w:eastAsia="仿宋_GB2312"/>
          <w:sz w:val="32"/>
          <w:szCs w:val="32"/>
        </w:rPr>
        <w:t>规范</w:t>
      </w:r>
      <w:r>
        <w:rPr>
          <w:rFonts w:hint="eastAsia" w:ascii="仿宋_GB2312" w:eastAsia="仿宋_GB2312"/>
          <w:sz w:val="32"/>
          <w:szCs w:val="32"/>
        </w:rPr>
        <w:t>（简称项目规范）</w:t>
      </w:r>
      <w:r>
        <w:rPr>
          <w:rFonts w:ascii="仿宋_GB2312" w:eastAsia="仿宋_GB2312"/>
          <w:sz w:val="32"/>
          <w:szCs w:val="32"/>
        </w:rPr>
        <w:t>和通用</w:t>
      </w:r>
      <w:r>
        <w:rPr>
          <w:rFonts w:hint="eastAsia" w:ascii="仿宋_GB2312" w:eastAsia="仿宋_GB2312"/>
          <w:sz w:val="32"/>
          <w:szCs w:val="32"/>
        </w:rPr>
        <w:t>技术类</w:t>
      </w:r>
      <w:r>
        <w:rPr>
          <w:rFonts w:ascii="仿宋_GB2312" w:eastAsia="仿宋_GB2312"/>
          <w:sz w:val="32"/>
          <w:szCs w:val="32"/>
        </w:rPr>
        <w:t>规范</w:t>
      </w:r>
      <w:r>
        <w:rPr>
          <w:rFonts w:hint="eastAsia" w:ascii="仿宋_GB2312" w:eastAsia="仿宋_GB2312"/>
          <w:sz w:val="32"/>
          <w:szCs w:val="32"/>
        </w:rPr>
        <w:t>（简称通用规范）两种类型</w:t>
      </w:r>
      <w:r>
        <w:rPr>
          <w:rFonts w:ascii="仿宋_GB2312" w:eastAsia="仿宋_GB2312"/>
          <w:sz w:val="32"/>
          <w:szCs w:val="32"/>
        </w:rPr>
        <w:t>。项目规范以工程</w:t>
      </w:r>
      <w:r>
        <w:rPr>
          <w:rFonts w:hint="eastAsia" w:ascii="仿宋_GB2312" w:eastAsia="仿宋_GB2312"/>
          <w:sz w:val="32"/>
          <w:szCs w:val="32"/>
        </w:rPr>
        <w:t>建设项目</w:t>
      </w:r>
      <w:r>
        <w:rPr>
          <w:rFonts w:ascii="仿宋_GB2312" w:eastAsia="仿宋_GB2312"/>
          <w:sz w:val="32"/>
          <w:szCs w:val="32"/>
        </w:rPr>
        <w:t>整体为对象，以项目</w:t>
      </w:r>
      <w:r>
        <w:rPr>
          <w:rFonts w:hint="eastAsia" w:ascii="仿宋_GB2312" w:eastAsia="仿宋_GB2312"/>
          <w:sz w:val="32"/>
          <w:szCs w:val="32"/>
        </w:rPr>
        <w:t>的</w:t>
      </w:r>
      <w:r>
        <w:rPr>
          <w:rFonts w:ascii="仿宋_GB2312" w:eastAsia="仿宋_GB2312"/>
          <w:sz w:val="32"/>
          <w:szCs w:val="32"/>
        </w:rPr>
        <w:t>规模、布局、功能、性能和关键技术措施</w:t>
      </w:r>
      <w:r>
        <w:rPr>
          <w:rFonts w:hint="eastAsia" w:ascii="仿宋_GB2312" w:eastAsia="仿宋_GB2312"/>
          <w:sz w:val="32"/>
          <w:szCs w:val="32"/>
        </w:rPr>
        <w:t>等五大要素</w:t>
      </w:r>
      <w:r>
        <w:rPr>
          <w:rFonts w:ascii="仿宋_GB2312" w:eastAsia="仿宋_GB2312"/>
          <w:sz w:val="32"/>
          <w:szCs w:val="32"/>
        </w:rPr>
        <w:t>为主要内容。通用规范以实现</w:t>
      </w:r>
      <w:r>
        <w:rPr>
          <w:rFonts w:hint="eastAsia" w:ascii="仿宋_GB2312" w:eastAsia="仿宋_GB2312"/>
          <w:sz w:val="32"/>
          <w:szCs w:val="32"/>
        </w:rPr>
        <w:t>工程建设</w:t>
      </w:r>
      <w:r>
        <w:rPr>
          <w:rFonts w:ascii="仿宋_GB2312" w:eastAsia="仿宋_GB2312"/>
          <w:sz w:val="32"/>
          <w:szCs w:val="32"/>
        </w:rPr>
        <w:t>项目功能性能要求的各专业</w:t>
      </w:r>
      <w:r>
        <w:rPr>
          <w:rFonts w:hint="eastAsia" w:ascii="仿宋_GB2312" w:eastAsia="仿宋_GB2312"/>
          <w:sz w:val="32"/>
          <w:szCs w:val="32"/>
        </w:rPr>
        <w:t>通用</w:t>
      </w:r>
      <w:r>
        <w:rPr>
          <w:rFonts w:ascii="仿宋_GB2312" w:eastAsia="仿宋_GB2312"/>
          <w:sz w:val="32"/>
          <w:szCs w:val="32"/>
        </w:rPr>
        <w:t>技术为对象，以勘察、</w:t>
      </w:r>
      <w:r>
        <w:rPr>
          <w:rFonts w:hint="eastAsia" w:ascii="仿宋_GB2312" w:eastAsia="仿宋_GB2312"/>
          <w:sz w:val="32"/>
          <w:szCs w:val="32"/>
        </w:rPr>
        <w:t>设计</w:t>
      </w:r>
      <w:r>
        <w:rPr>
          <w:rFonts w:ascii="仿宋_GB2312" w:eastAsia="仿宋_GB2312"/>
          <w:sz w:val="32"/>
          <w:szCs w:val="32"/>
        </w:rPr>
        <w:t>、施工、</w:t>
      </w:r>
      <w:r>
        <w:rPr>
          <w:rFonts w:hint="eastAsia" w:ascii="仿宋_GB2312" w:eastAsia="仿宋_GB2312"/>
          <w:sz w:val="32"/>
          <w:szCs w:val="32"/>
        </w:rPr>
        <w:t>维修、养护等通用技术要求</w:t>
      </w:r>
      <w:r>
        <w:rPr>
          <w:rFonts w:ascii="仿宋_GB2312" w:eastAsia="仿宋_GB2312"/>
          <w:sz w:val="32"/>
          <w:szCs w:val="32"/>
        </w:rPr>
        <w:t>为主要内容。</w:t>
      </w:r>
      <w:r>
        <w:rPr>
          <w:rFonts w:hint="eastAsia" w:ascii="仿宋_GB2312" w:eastAsia="仿宋_GB2312" w:hAnsiTheme="minorEastAsia"/>
          <w:sz w:val="32"/>
          <w:szCs w:val="32"/>
        </w:rPr>
        <w:t>在全文强制性</w:t>
      </w:r>
      <w:r>
        <w:rPr>
          <w:rFonts w:ascii="仿宋_GB2312" w:eastAsia="仿宋_GB2312" w:hAnsiTheme="minorEastAsia"/>
          <w:sz w:val="32"/>
          <w:szCs w:val="32"/>
        </w:rPr>
        <w:t>工程</w:t>
      </w:r>
      <w:r>
        <w:rPr>
          <w:rFonts w:hint="eastAsia" w:ascii="仿宋_GB2312" w:eastAsia="仿宋_GB2312"/>
          <w:sz w:val="32"/>
          <w:szCs w:val="32"/>
        </w:rPr>
        <w:t>建设</w:t>
      </w:r>
      <w:r>
        <w:rPr>
          <w:rFonts w:ascii="仿宋_GB2312" w:eastAsia="仿宋_GB2312" w:hAnsiTheme="minorEastAsia"/>
          <w:sz w:val="32"/>
          <w:szCs w:val="32"/>
        </w:rPr>
        <w:t>规范体系中</w:t>
      </w:r>
      <w:r>
        <w:rPr>
          <w:rFonts w:hint="eastAsia" w:ascii="仿宋_GB2312" w:eastAsia="仿宋_GB2312" w:hAnsiTheme="minorEastAsia"/>
          <w:sz w:val="32"/>
          <w:szCs w:val="32"/>
        </w:rPr>
        <w:t>，</w:t>
      </w:r>
      <w:r>
        <w:rPr>
          <w:rFonts w:ascii="仿宋_GB2312" w:eastAsia="仿宋_GB2312" w:hAnsiTheme="minorEastAsia"/>
          <w:sz w:val="32"/>
          <w:szCs w:val="32"/>
        </w:rPr>
        <w:t>项目规范为</w:t>
      </w:r>
      <w:r>
        <w:rPr>
          <w:rFonts w:hint="eastAsia" w:ascii="仿宋_GB2312" w:eastAsia="仿宋_GB2312" w:hAnsiTheme="minorEastAsia"/>
          <w:sz w:val="32"/>
          <w:szCs w:val="32"/>
        </w:rPr>
        <w:t>主干</w:t>
      </w:r>
      <w:r>
        <w:rPr>
          <w:rFonts w:ascii="仿宋_GB2312" w:eastAsia="仿宋_GB2312" w:hAnsiTheme="minorEastAsia"/>
          <w:sz w:val="32"/>
          <w:szCs w:val="32"/>
        </w:rPr>
        <w:t>，通用规范</w:t>
      </w:r>
      <w:r>
        <w:rPr>
          <w:rFonts w:hint="eastAsia" w:ascii="仿宋_GB2312" w:eastAsia="仿宋_GB2312" w:hAnsiTheme="minorEastAsia"/>
          <w:sz w:val="32"/>
          <w:szCs w:val="32"/>
        </w:rPr>
        <w:t>是对</w:t>
      </w:r>
      <w:r>
        <w:rPr>
          <w:rFonts w:ascii="仿宋_GB2312" w:eastAsia="仿宋_GB2312"/>
          <w:sz w:val="32"/>
          <w:szCs w:val="32"/>
        </w:rPr>
        <w:t>各类项目共性的、</w:t>
      </w:r>
      <w:r>
        <w:rPr>
          <w:rFonts w:hint="eastAsia" w:ascii="仿宋_GB2312" w:eastAsia="仿宋_GB2312"/>
          <w:sz w:val="32"/>
          <w:szCs w:val="32"/>
        </w:rPr>
        <w:t>通用的专业性</w:t>
      </w:r>
      <w:r>
        <w:rPr>
          <w:rFonts w:ascii="仿宋_GB2312" w:eastAsia="仿宋_GB2312"/>
          <w:sz w:val="32"/>
          <w:szCs w:val="32"/>
        </w:rPr>
        <w:t>关键技术措施</w:t>
      </w:r>
      <w:r>
        <w:rPr>
          <w:rFonts w:hint="eastAsia" w:ascii="仿宋_GB2312" w:eastAsia="仿宋_GB2312"/>
          <w:sz w:val="32"/>
          <w:szCs w:val="32"/>
        </w:rPr>
        <w:t>的规定</w:t>
      </w:r>
      <w:r>
        <w:rPr>
          <w:rFonts w:ascii="仿宋_GB2312" w:eastAsia="仿宋_GB2312" w:hAnsiTheme="minorEastAsia"/>
          <w:sz w:val="32"/>
          <w:szCs w:val="32"/>
        </w:rPr>
        <w:t>。</w:t>
      </w:r>
    </w:p>
    <w:p>
      <w:pPr>
        <w:ind w:firstLine="570"/>
        <w:rPr>
          <w:rFonts w:ascii="仿宋_GB2312" w:eastAsia="仿宋_GB2312" w:hAnsiTheme="minorHAnsi" w:cstheme="minorBidi"/>
          <w:sz w:val="32"/>
          <w:szCs w:val="32"/>
        </w:rPr>
        <w:sectPr>
          <w:footerReference r:id="rId4" w:type="default"/>
          <w:pgSz w:w="11906" w:h="16838"/>
          <w:pgMar w:top="1440" w:right="1803" w:bottom="1440" w:left="1803" w:header="851" w:footer="992" w:gutter="0"/>
          <w:pgNumType w:fmt="decimal" w:start="1"/>
          <w:cols w:space="720" w:num="1"/>
          <w:docGrid w:type="lines" w:linePitch="319" w:charSpace="0"/>
        </w:sectPr>
      </w:pPr>
      <w:r>
        <w:rPr>
          <w:rFonts w:hint="eastAsia" w:ascii="仿宋_GB2312" w:eastAsia="仿宋_GB2312"/>
          <w:b/>
          <w:sz w:val="32"/>
          <w:szCs w:val="32"/>
        </w:rPr>
        <w:t>关于五大要素指标。</w:t>
      </w:r>
      <w:r>
        <w:rPr>
          <w:rFonts w:hint="eastAsia" w:ascii="仿宋_GB2312" w:eastAsia="仿宋_GB2312" w:hAnsiTheme="minorHAnsi" w:cstheme="minorBidi"/>
          <w:sz w:val="32"/>
          <w:szCs w:val="32"/>
        </w:rPr>
        <w:t>强制性工程建设规范中各项要素是保障城乡基础设施建设体系化和效率提升的基本规定，是支撑城乡建设高质量发展的基本要求。项目的规模要求主要规</w:t>
      </w:r>
    </w:p>
    <w:p>
      <w:pPr>
        <w:ind w:firstLine="0"/>
        <w:jc w:val="left"/>
        <w:rPr>
          <w:rFonts w:ascii="仿宋_GB2312" w:eastAsia="仿宋_GB2312" w:hAnsiTheme="minorHAnsi" w:cstheme="minorBidi"/>
          <w:szCs w:val="32"/>
        </w:rPr>
      </w:pPr>
      <w:r>
        <w:rPr>
          <w:rFonts w:hint="eastAsia" w:ascii="仿宋_GB2312" w:eastAsia="仿宋_GB2312" w:hAnsiTheme="minorHAnsi" w:cstheme="minorBidi"/>
          <w:sz w:val="32"/>
          <w:szCs w:val="32"/>
        </w:rPr>
        <w:t>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仿宋_GB2312" w:eastAsia="仿宋_GB2312"/>
          <w:sz w:val="32"/>
          <w:szCs w:val="32"/>
        </w:rPr>
        <w:t>项目构成和用途</w:t>
      </w:r>
      <w:r>
        <w:rPr>
          <w:rFonts w:hint="eastAsia" w:ascii="仿宋_GB2312" w:eastAsia="仿宋_GB2312"/>
          <w:sz w:val="32"/>
          <w:szCs w:val="32"/>
        </w:rPr>
        <w:t>，明确项目的基本组成单元，是项目发挥预期作用的保障。</w:t>
      </w:r>
      <w:r>
        <w:rPr>
          <w:rFonts w:ascii="仿宋_GB2312" w:eastAsia="仿宋_GB2312"/>
          <w:sz w:val="32"/>
          <w:szCs w:val="32"/>
        </w:rPr>
        <w:t>项目的</w:t>
      </w:r>
      <w:r>
        <w:rPr>
          <w:rFonts w:hint="eastAsia" w:ascii="仿宋_GB2312" w:eastAsia="仿宋_GB2312" w:hAnsiTheme="minorHAnsi" w:cstheme="minorBidi"/>
          <w:sz w:val="32"/>
          <w:szCs w:val="32"/>
        </w:rPr>
        <w:t>性能要求主要规定建设工程项目建设水平或技术</w:t>
      </w:r>
      <w:r>
        <w:rPr>
          <w:rFonts w:ascii="仿宋_GB2312" w:eastAsia="仿宋_GB2312"/>
          <w:sz w:val="32"/>
          <w:szCs w:val="32"/>
        </w:rPr>
        <w:t>水平</w:t>
      </w:r>
      <w:r>
        <w:rPr>
          <w:rFonts w:hint="eastAsia" w:ascii="仿宋_GB2312" w:eastAsia="仿宋_GB2312"/>
          <w:sz w:val="32"/>
          <w:szCs w:val="32"/>
        </w:rPr>
        <w:t>的</w:t>
      </w:r>
      <w:r>
        <w:rPr>
          <w:rFonts w:ascii="仿宋_GB2312" w:eastAsia="仿宋_GB2312"/>
          <w:sz w:val="32"/>
          <w:szCs w:val="32"/>
        </w:rPr>
        <w:t>高低</w:t>
      </w:r>
      <w:r>
        <w:rPr>
          <w:rFonts w:hint="eastAsia" w:ascii="仿宋_GB2312" w:eastAsia="仿宋_GB2312"/>
          <w:sz w:val="32"/>
          <w:szCs w:val="32"/>
        </w:rPr>
        <w:t>程度</w:t>
      </w:r>
      <w:r>
        <w:rPr>
          <w:rFonts w:ascii="仿宋_GB2312" w:eastAsia="仿宋_GB2312"/>
          <w:sz w:val="32"/>
          <w:szCs w:val="32"/>
        </w:rPr>
        <w:t>，</w:t>
      </w:r>
      <w:r>
        <w:rPr>
          <w:rFonts w:hint="eastAsia" w:ascii="仿宋_GB2312" w:eastAsia="仿宋_GB2312" w:hAnsiTheme="minorHAnsi" w:cstheme="minorBidi"/>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仿宋_GB2312" w:eastAsia="仿宋_GB2312"/>
          <w:sz w:val="32"/>
          <w:szCs w:val="32"/>
        </w:rPr>
        <w:sectPr>
          <w:footerReference r:id="rId5" w:type="default"/>
          <w:pgSz w:w="11906" w:h="16838"/>
          <w:pgMar w:top="1440" w:right="1803" w:bottom="1440" w:left="1803" w:header="851" w:footer="992" w:gutter="0"/>
          <w:pgNumType w:fmt="decimal" w:start="1"/>
          <w:cols w:space="720" w:num="1"/>
          <w:docGrid w:type="lines" w:linePitch="319" w:charSpace="0"/>
        </w:sectPr>
      </w:pPr>
      <w:r>
        <w:rPr>
          <w:rFonts w:hint="eastAsia" w:ascii="仿宋_GB2312" w:eastAsia="仿宋_GB2312"/>
          <w:b/>
          <w:sz w:val="32"/>
          <w:szCs w:val="32"/>
        </w:rPr>
        <w:t>关于规范实施。</w:t>
      </w:r>
      <w:r>
        <w:rPr>
          <w:rFonts w:hint="eastAsia" w:ascii="仿宋_GB2312" w:eastAsia="仿宋_GB2312"/>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仿宋_GB2312" w:eastAsia="仿宋_GB2312"/>
          <w:sz w:val="32"/>
          <w:szCs w:val="32"/>
        </w:rPr>
        <w:t>项目</w:t>
      </w:r>
      <w:r>
        <w:rPr>
          <w:rFonts w:hint="eastAsia" w:ascii="仿宋_GB2312" w:eastAsia="仿宋_GB2312"/>
          <w:sz w:val="32"/>
          <w:szCs w:val="32"/>
        </w:rPr>
        <w:t>的</w:t>
      </w:r>
      <w:r>
        <w:rPr>
          <w:rFonts w:ascii="仿宋_GB2312" w:eastAsia="仿宋_GB2312"/>
          <w:sz w:val="32"/>
          <w:szCs w:val="32"/>
        </w:rPr>
        <w:t>勘察、设计、施工、验收、</w:t>
      </w:r>
      <w:r>
        <w:rPr>
          <w:rFonts w:hint="eastAsia" w:ascii="仿宋_GB2312" w:eastAsia="仿宋_GB2312"/>
          <w:sz w:val="32"/>
          <w:szCs w:val="32"/>
        </w:rPr>
        <w:t>维修、养护、拆除等建设活动全</w:t>
      </w:r>
      <w:r>
        <w:rPr>
          <w:rFonts w:ascii="仿宋_GB2312" w:eastAsia="仿宋_GB2312"/>
          <w:sz w:val="32"/>
          <w:szCs w:val="32"/>
        </w:rPr>
        <w:t>过程</w:t>
      </w:r>
      <w:r>
        <w:rPr>
          <w:rFonts w:hint="eastAsia" w:ascii="仿宋_GB2312" w:eastAsia="仿宋_GB2312"/>
          <w:sz w:val="32"/>
          <w:szCs w:val="32"/>
        </w:rPr>
        <w:t>中</w:t>
      </w:r>
      <w:r>
        <w:rPr>
          <w:rFonts w:ascii="仿宋_GB2312" w:eastAsia="仿宋_GB2312"/>
          <w:sz w:val="32"/>
          <w:szCs w:val="32"/>
        </w:rPr>
        <w:t>必须严格执行。</w:t>
      </w:r>
      <w:r>
        <w:rPr>
          <w:rFonts w:hint="eastAsia" w:ascii="仿宋_GB2312" w:eastAsia="仿宋_GB2312"/>
          <w:sz w:val="32"/>
          <w:szCs w:val="32"/>
        </w:rPr>
        <w:t>与</w:t>
      </w:r>
      <w:r>
        <w:rPr>
          <w:rFonts w:ascii="仿宋_GB2312" w:eastAsia="仿宋_GB2312"/>
          <w:sz w:val="32"/>
          <w:szCs w:val="32"/>
        </w:rPr>
        <w:t>强制性工程建设规范配套的推荐性工程建设标准</w:t>
      </w:r>
      <w:r>
        <w:rPr>
          <w:rFonts w:hint="eastAsia" w:ascii="仿宋_GB2312" w:eastAsia="仿宋_GB2312"/>
          <w:sz w:val="32"/>
          <w:szCs w:val="32"/>
        </w:rPr>
        <w:t>是经过实践检验的、保障达到强制性规范要求的成熟技术措施，一般情况下也</w:t>
      </w:r>
      <w:r>
        <w:rPr>
          <w:rFonts w:ascii="仿宋_GB2312" w:eastAsia="仿宋_GB2312"/>
          <w:sz w:val="32"/>
          <w:szCs w:val="32"/>
        </w:rPr>
        <w:t>应当执行。</w:t>
      </w:r>
      <w:r>
        <w:rPr>
          <w:rFonts w:hint="eastAsia" w:ascii="仿宋_GB2312" w:eastAsia="仿宋_GB2312"/>
          <w:sz w:val="32"/>
          <w:szCs w:val="32"/>
        </w:rPr>
        <w:t>在满足强制性工程建设规范规定的</w:t>
      </w:r>
      <w:r>
        <w:rPr>
          <w:rFonts w:ascii="仿宋_GB2312" w:eastAsia="仿宋_GB2312"/>
          <w:sz w:val="32"/>
          <w:szCs w:val="32"/>
        </w:rPr>
        <w:t>项目功能、性能要求</w:t>
      </w:r>
      <w:r>
        <w:rPr>
          <w:rFonts w:hint="eastAsia" w:ascii="仿宋_GB2312" w:eastAsia="仿宋_GB2312"/>
          <w:sz w:val="32"/>
          <w:szCs w:val="32"/>
        </w:rPr>
        <w:t>和关键技术措施的</w:t>
      </w:r>
    </w:p>
    <w:p>
      <w:pPr>
        <w:ind w:firstLine="0"/>
        <w:rPr>
          <w:rFonts w:ascii="仿宋_GB2312" w:eastAsia="仿宋_GB2312"/>
          <w:szCs w:val="32"/>
        </w:rPr>
      </w:pPr>
      <w:r>
        <w:rPr>
          <w:rFonts w:hint="eastAsia" w:ascii="仿宋_GB2312" w:eastAsia="仿宋_GB2312"/>
          <w:sz w:val="32"/>
          <w:szCs w:val="32"/>
        </w:rPr>
        <w:t>前提下，可</w:t>
      </w:r>
      <w:r>
        <w:rPr>
          <w:rFonts w:ascii="仿宋_GB2312" w:eastAsia="仿宋_GB2312"/>
          <w:sz w:val="32"/>
          <w:szCs w:val="32"/>
        </w:rPr>
        <w:t>合理选用</w:t>
      </w:r>
      <w:r>
        <w:rPr>
          <w:rFonts w:hint="eastAsia" w:ascii="仿宋_GB2312" w:eastAsia="仿宋_GB2312"/>
          <w:sz w:val="32"/>
          <w:szCs w:val="32"/>
        </w:rPr>
        <w:t>相关团体标准、企业</w:t>
      </w:r>
      <w:r>
        <w:rPr>
          <w:rFonts w:ascii="仿宋_GB2312" w:eastAsia="仿宋_GB2312"/>
          <w:sz w:val="32"/>
          <w:szCs w:val="32"/>
        </w:rPr>
        <w:t>标准</w:t>
      </w:r>
      <w:r>
        <w:rPr>
          <w:rFonts w:hint="eastAsia" w:ascii="仿宋_GB2312" w:eastAsia="仿宋_GB2312"/>
          <w:sz w:val="32"/>
          <w:szCs w:val="32"/>
        </w:rPr>
        <w:t>，使项目功能、性能更加优化或达到更高水平</w:t>
      </w:r>
      <w:r>
        <w:rPr>
          <w:rFonts w:ascii="仿宋_GB2312" w:eastAsia="仿宋_GB2312"/>
          <w:sz w:val="32"/>
          <w:szCs w:val="32"/>
        </w:rPr>
        <w:t>。</w:t>
      </w:r>
      <w:r>
        <w:rPr>
          <w:rFonts w:hint="eastAsia" w:ascii="仿宋_GB2312" w:eastAsia="仿宋_GB2312"/>
          <w:sz w:val="32"/>
          <w:szCs w:val="32"/>
        </w:rPr>
        <w:t>推荐性</w:t>
      </w:r>
      <w:r>
        <w:rPr>
          <w:rFonts w:ascii="仿宋_GB2312" w:eastAsia="仿宋_GB2312"/>
          <w:sz w:val="32"/>
          <w:szCs w:val="32"/>
        </w:rPr>
        <w:t>工程建设标准</w:t>
      </w:r>
      <w:r>
        <w:rPr>
          <w:rFonts w:hint="eastAsia" w:ascii="仿宋_GB2312" w:eastAsia="仿宋_GB2312"/>
          <w:sz w:val="32"/>
          <w:szCs w:val="32"/>
        </w:rPr>
        <w:t>、团体标准、企业标准要与强制性工程建设规范协调配套，</w:t>
      </w:r>
      <w:r>
        <w:rPr>
          <w:rFonts w:ascii="仿宋_GB2312" w:eastAsia="仿宋_GB2312"/>
          <w:sz w:val="32"/>
          <w:szCs w:val="32"/>
        </w:rPr>
        <w:t>各项技术要求不得低于强制性工程建设规范的相关技术</w:t>
      </w:r>
      <w:r>
        <w:rPr>
          <w:rFonts w:hint="eastAsia" w:ascii="仿宋_GB2312" w:eastAsia="仿宋_GB2312"/>
          <w:sz w:val="32"/>
          <w:szCs w:val="32"/>
        </w:rPr>
        <w:t>水平</w:t>
      </w:r>
      <w:r>
        <w:rPr>
          <w:rFonts w:ascii="仿宋_GB2312" w:eastAsia="仿宋_GB2312"/>
          <w:sz w:val="32"/>
          <w:szCs w:val="32"/>
        </w:rPr>
        <w:t>。</w:t>
      </w:r>
    </w:p>
    <w:p>
      <w:pPr>
        <w:ind w:firstLine="640"/>
        <w:rPr>
          <w:rFonts w:eastAsia="仿宋_GB2312"/>
          <w:szCs w:val="32"/>
        </w:rPr>
      </w:pPr>
      <w:r>
        <w:rPr>
          <w:rFonts w:hint="eastAsia" w:ascii="仿宋_GB2312" w:eastAsia="仿宋_GB2312"/>
          <w:sz w:val="32"/>
          <w:szCs w:val="32"/>
        </w:rPr>
        <w:t>强制性工程建设</w:t>
      </w:r>
      <w:r>
        <w:rPr>
          <w:rFonts w:ascii="仿宋_GB2312" w:eastAsia="仿宋_GB2312"/>
          <w:sz w:val="32"/>
          <w:szCs w:val="32"/>
        </w:rPr>
        <w:t>规范</w:t>
      </w:r>
      <w:r>
        <w:rPr>
          <w:rFonts w:hint="eastAsia" w:ascii="仿宋_GB2312" w:eastAsia="仿宋_GB2312"/>
          <w:sz w:val="32"/>
          <w:szCs w:val="32"/>
        </w:rPr>
        <w:t>实施</w:t>
      </w:r>
      <w:r>
        <w:rPr>
          <w:rFonts w:ascii="仿宋_GB2312" w:eastAsia="仿宋_GB2312"/>
          <w:sz w:val="32"/>
          <w:szCs w:val="32"/>
        </w:rPr>
        <w:t>后，现行相关工程建设</w:t>
      </w:r>
      <w:r>
        <w:rPr>
          <w:rFonts w:hint="eastAsia" w:ascii="仿宋_GB2312" w:eastAsia="仿宋_GB2312"/>
          <w:sz w:val="32"/>
          <w:szCs w:val="32"/>
        </w:rPr>
        <w:t>国家</w:t>
      </w:r>
      <w:r>
        <w:rPr>
          <w:rFonts w:ascii="仿宋_GB2312" w:eastAsia="仿宋_GB2312"/>
          <w:sz w:val="32"/>
          <w:szCs w:val="32"/>
        </w:rPr>
        <w:t>标准、</w:t>
      </w:r>
      <w:r>
        <w:rPr>
          <w:rFonts w:hint="eastAsia" w:ascii="仿宋_GB2312" w:eastAsia="仿宋_GB2312"/>
          <w:sz w:val="32"/>
          <w:szCs w:val="32"/>
        </w:rPr>
        <w:t>行业标准</w:t>
      </w:r>
      <w:r>
        <w:rPr>
          <w:rFonts w:ascii="仿宋_GB2312" w:eastAsia="仿宋_GB2312"/>
          <w:sz w:val="32"/>
          <w:szCs w:val="32"/>
        </w:rPr>
        <w:t>中</w:t>
      </w:r>
      <w:r>
        <w:rPr>
          <w:rFonts w:hint="eastAsia" w:ascii="仿宋_GB2312" w:eastAsia="仿宋_GB2312"/>
          <w:sz w:val="32"/>
          <w:szCs w:val="32"/>
        </w:rPr>
        <w:t>的</w:t>
      </w:r>
      <w:r>
        <w:rPr>
          <w:rFonts w:ascii="仿宋_GB2312" w:eastAsia="仿宋_GB2312"/>
          <w:sz w:val="32"/>
          <w:szCs w:val="32"/>
        </w:rPr>
        <w:t>强制性条文</w:t>
      </w:r>
      <w:r>
        <w:rPr>
          <w:rFonts w:hint="eastAsia" w:ascii="仿宋_GB2312" w:eastAsia="仿宋_GB2312"/>
          <w:sz w:val="32"/>
          <w:szCs w:val="32"/>
        </w:rPr>
        <w:t>同时废止。现行工程建设地方标准中的强制性条文应及时修订，且不得低于强制性工程建设规范的规定。</w:t>
      </w:r>
      <w:r>
        <w:rPr>
          <w:rFonts w:ascii="仿宋_GB2312" w:eastAsia="仿宋_GB2312"/>
          <w:sz w:val="32"/>
          <w:szCs w:val="32"/>
        </w:rPr>
        <w:t>现行工程建设</w:t>
      </w:r>
      <w:r>
        <w:rPr>
          <w:rFonts w:hint="eastAsia" w:ascii="仿宋_GB2312" w:eastAsia="仿宋_GB2312"/>
          <w:sz w:val="32"/>
          <w:szCs w:val="32"/>
        </w:rPr>
        <w:t>标准（包括强制性标准和</w:t>
      </w:r>
      <w:r>
        <w:rPr>
          <w:rFonts w:ascii="仿宋_GB2312" w:eastAsia="仿宋_GB2312"/>
          <w:sz w:val="32"/>
          <w:szCs w:val="32"/>
        </w:rPr>
        <w:t>推荐性标准）中</w:t>
      </w:r>
      <w:r>
        <w:rPr>
          <w:rFonts w:hint="eastAsia" w:ascii="仿宋_GB2312" w:eastAsia="仿宋_GB2312"/>
          <w:sz w:val="32"/>
          <w:szCs w:val="32"/>
        </w:rPr>
        <w:t>有关规定</w:t>
      </w:r>
      <w:r>
        <w:rPr>
          <w:rFonts w:ascii="仿宋_GB2312" w:eastAsia="仿宋_GB2312"/>
          <w:sz w:val="32"/>
          <w:szCs w:val="32"/>
        </w:rPr>
        <w:t>与强制性工程建设规范的规定不一致</w:t>
      </w:r>
      <w:r>
        <w:rPr>
          <w:rFonts w:hint="eastAsia" w:ascii="仿宋_GB2312" w:eastAsia="仿宋_GB2312"/>
          <w:sz w:val="32"/>
          <w:szCs w:val="32"/>
        </w:rPr>
        <w:t>的</w:t>
      </w:r>
      <w:r>
        <w:rPr>
          <w:rFonts w:ascii="仿宋_GB2312" w:eastAsia="仿宋_GB2312"/>
          <w:sz w:val="32"/>
          <w:szCs w:val="32"/>
        </w:rPr>
        <w:t>，以强制性工程建设规范的规定为准。</w:t>
      </w:r>
    </w:p>
    <w:p>
      <w:pPr>
        <w:pStyle w:val="12"/>
        <w:spacing w:line="360" w:lineRule="auto"/>
        <w:ind w:firstLine="482"/>
        <w:jc w:val="both"/>
        <w:rPr>
          <w:color w:val="FF0000"/>
        </w:rPr>
      </w:pPr>
    </w:p>
    <w:p>
      <w:pPr>
        <w:pStyle w:val="12"/>
        <w:spacing w:line="360" w:lineRule="auto"/>
        <w:ind w:firstLine="482"/>
        <w:jc w:val="both"/>
      </w:pPr>
      <w:r>
        <w:rPr>
          <w:rFonts w:hint="eastAsia"/>
        </w:rPr>
        <w:t xml:space="preserve">                         </w:t>
      </w:r>
    </w:p>
    <w:p>
      <w:pPr>
        <w:pStyle w:val="12"/>
        <w:spacing w:line="360" w:lineRule="auto"/>
        <w:ind w:firstLine="482"/>
        <w:jc w:val="center"/>
        <w:rPr>
          <w:b/>
          <w:bCs/>
          <w:sz w:val="30"/>
        </w:rPr>
        <w:sectPr>
          <w:footerReference r:id="rId6" w:type="default"/>
          <w:pgSz w:w="11906" w:h="16838"/>
          <w:pgMar w:top="1440" w:right="1803" w:bottom="1440" w:left="1803" w:header="851" w:footer="992" w:gutter="0"/>
          <w:pgNumType w:fmt="decimal" w:start="1"/>
          <w:cols w:space="720" w:num="1"/>
          <w:docGrid w:type="lines" w:linePitch="319" w:charSpace="0"/>
        </w:sectPr>
      </w:pPr>
    </w:p>
    <w:p>
      <w:pPr>
        <w:pStyle w:val="12"/>
        <w:spacing w:line="360" w:lineRule="auto"/>
        <w:ind w:firstLine="482"/>
        <w:jc w:val="center"/>
        <w:rPr>
          <w:b/>
          <w:bCs/>
          <w:sz w:val="30"/>
        </w:rPr>
      </w:pPr>
      <w:r>
        <w:rPr>
          <w:rFonts w:hint="eastAsia"/>
          <w:b/>
          <w:bCs/>
          <w:sz w:val="30"/>
        </w:rPr>
        <w:t>目  次</w:t>
      </w:r>
    </w:p>
    <w:p>
      <w:pPr>
        <w:tabs>
          <w:tab w:val="right" w:leader="middleDot" w:pos="8400"/>
        </w:tabs>
        <w:spacing w:line="336" w:lineRule="auto"/>
        <w:rPr>
          <w:sz w:val="24"/>
        </w:rPr>
      </w:pPr>
    </w:p>
    <w:p>
      <w:pPr>
        <w:pStyle w:val="10"/>
        <w:tabs>
          <w:tab w:val="right" w:leader="dot" w:pos="8290"/>
        </w:tabs>
        <w:spacing w:line="360" w:lineRule="auto"/>
        <w:rPr>
          <w:sz w:val="24"/>
        </w:rPr>
      </w:pPr>
      <w:r>
        <w:rPr>
          <w:rFonts w:hint="eastAsia"/>
          <w:sz w:val="24"/>
        </w:rPr>
        <w:fldChar w:fldCharType="begin"/>
      </w:r>
      <w:r>
        <w:rPr>
          <w:rFonts w:hint="eastAsia"/>
          <w:sz w:val="24"/>
        </w:rPr>
        <w:instrText xml:space="preserve"> TOC \o "1-3" \h \z \u </w:instrText>
      </w:r>
      <w:r>
        <w:rPr>
          <w:rFonts w:hint="eastAsia"/>
          <w:sz w:val="24"/>
        </w:rPr>
        <w:fldChar w:fldCharType="separate"/>
      </w:r>
      <w:r>
        <w:fldChar w:fldCharType="begin"/>
      </w:r>
      <w:r>
        <w:instrText xml:space="preserve"> HYPERLINK \l "_Toc28389901" </w:instrText>
      </w:r>
      <w:r>
        <w:fldChar w:fldCharType="separate"/>
      </w:r>
      <w:r>
        <w:rPr>
          <w:rFonts w:hint="eastAsia"/>
          <w:sz w:val="24"/>
        </w:rPr>
        <w:t>1  总 则</w:t>
      </w:r>
      <w:r>
        <w:rPr>
          <w:rFonts w:hint="eastAsia"/>
          <w:sz w:val="24"/>
        </w:rPr>
        <w:tab/>
      </w:r>
      <w:r>
        <w:rPr>
          <w:rFonts w:hint="default"/>
          <w:sz w:val="24"/>
          <w:lang w:val="en"/>
        </w:rPr>
        <w:t>1</w:t>
      </w:r>
      <w:r>
        <w:rPr>
          <w:rFonts w:hint="eastAsia"/>
          <w:sz w:val="24"/>
        </w:rPr>
        <w:fldChar w:fldCharType="end"/>
      </w:r>
    </w:p>
    <w:p>
      <w:pPr>
        <w:pStyle w:val="10"/>
        <w:tabs>
          <w:tab w:val="right" w:leader="dot" w:pos="8290"/>
        </w:tabs>
        <w:spacing w:line="360" w:lineRule="auto"/>
        <w:rPr>
          <w:sz w:val="24"/>
        </w:rPr>
      </w:pPr>
      <w:r>
        <w:fldChar w:fldCharType="begin"/>
      </w:r>
      <w:r>
        <w:instrText xml:space="preserve"> HYPERLINK \l "_Toc28389902" </w:instrText>
      </w:r>
      <w:r>
        <w:fldChar w:fldCharType="separate"/>
      </w:r>
      <w:r>
        <w:rPr>
          <w:rFonts w:hint="eastAsia"/>
          <w:sz w:val="24"/>
        </w:rPr>
        <w:t>2  基本规定</w:t>
      </w:r>
      <w:r>
        <w:rPr>
          <w:rFonts w:hint="eastAsia"/>
          <w:sz w:val="24"/>
        </w:rPr>
        <w:tab/>
      </w:r>
      <w:r>
        <w:rPr>
          <w:rFonts w:hint="default"/>
          <w:sz w:val="24"/>
          <w:lang w:val="en"/>
        </w:rPr>
        <w:t>2</w:t>
      </w:r>
      <w:r>
        <w:rPr>
          <w:rFonts w:hint="eastAsia"/>
          <w:sz w:val="24"/>
        </w:rPr>
        <w:fldChar w:fldCharType="end"/>
      </w:r>
    </w:p>
    <w:p>
      <w:pPr>
        <w:pStyle w:val="10"/>
        <w:tabs>
          <w:tab w:val="right" w:leader="dot" w:pos="8290"/>
        </w:tabs>
        <w:spacing w:line="360" w:lineRule="auto"/>
        <w:rPr>
          <w:sz w:val="24"/>
        </w:rPr>
      </w:pPr>
      <w:r>
        <w:fldChar w:fldCharType="begin"/>
      </w:r>
      <w:r>
        <w:instrText xml:space="preserve"> HYPERLINK \l "_Toc28389903" </w:instrText>
      </w:r>
      <w:r>
        <w:fldChar w:fldCharType="separate"/>
      </w:r>
      <w:r>
        <w:rPr>
          <w:rFonts w:hint="eastAsia"/>
          <w:sz w:val="24"/>
        </w:rPr>
        <w:t>3  旋转电机</w:t>
      </w:r>
      <w:r>
        <w:rPr>
          <w:rFonts w:hint="eastAsia"/>
          <w:sz w:val="24"/>
        </w:rPr>
        <w:tab/>
      </w:r>
      <w:r>
        <w:rPr>
          <w:rFonts w:hint="default"/>
          <w:sz w:val="24"/>
          <w:lang w:val="en"/>
        </w:rPr>
        <w:t>4</w:t>
      </w:r>
      <w:r>
        <w:rPr>
          <w:rFonts w:hint="eastAsia"/>
          <w:sz w:val="24"/>
        </w:rPr>
        <w:fldChar w:fldCharType="end"/>
      </w:r>
    </w:p>
    <w:p>
      <w:pPr>
        <w:pStyle w:val="10"/>
        <w:tabs>
          <w:tab w:val="right" w:leader="dot" w:pos="8290"/>
        </w:tabs>
        <w:spacing w:line="360" w:lineRule="auto"/>
        <w:rPr>
          <w:rFonts w:hint="eastAsia" w:eastAsia="宋体"/>
          <w:sz w:val="24"/>
          <w:lang w:eastAsia="zh-CN"/>
        </w:rPr>
      </w:pPr>
      <w:r>
        <w:fldChar w:fldCharType="begin"/>
      </w:r>
      <w:r>
        <w:instrText xml:space="preserve"> HYPERLINK \l "_Toc28389904" </w:instrText>
      </w:r>
      <w:r>
        <w:fldChar w:fldCharType="separate"/>
      </w:r>
      <w:r>
        <w:rPr>
          <w:rFonts w:hint="eastAsia"/>
          <w:sz w:val="24"/>
        </w:rPr>
        <w:t>4  电力变压器、电抗器及互感器</w:t>
      </w:r>
      <w:r>
        <w:rPr>
          <w:rFonts w:hint="eastAsia"/>
          <w:sz w:val="24"/>
        </w:rPr>
        <w:tab/>
      </w:r>
      <w:r>
        <w:rPr>
          <w:rFonts w:hint="eastAsia"/>
          <w:sz w:val="24"/>
        </w:rPr>
        <w:fldChar w:fldCharType="end"/>
      </w:r>
      <w:r>
        <w:rPr>
          <w:rFonts w:hint="eastAsia"/>
          <w:sz w:val="24"/>
          <w:lang w:val="en-US" w:eastAsia="zh-CN"/>
        </w:rPr>
        <w:t>5</w:t>
      </w:r>
    </w:p>
    <w:p>
      <w:pPr>
        <w:pStyle w:val="10"/>
        <w:tabs>
          <w:tab w:val="right" w:leader="dot" w:pos="8290"/>
        </w:tabs>
        <w:spacing w:line="360" w:lineRule="auto"/>
        <w:rPr>
          <w:rFonts w:hint="eastAsia" w:eastAsia="宋体"/>
          <w:sz w:val="24"/>
          <w:lang w:eastAsia="zh-CN"/>
        </w:rPr>
      </w:pPr>
      <w:r>
        <w:fldChar w:fldCharType="begin"/>
      </w:r>
      <w:r>
        <w:instrText xml:space="preserve"> HYPERLINK \l "_Toc28389905" </w:instrText>
      </w:r>
      <w:r>
        <w:fldChar w:fldCharType="separate"/>
      </w:r>
      <w:r>
        <w:rPr>
          <w:rFonts w:hint="eastAsia"/>
          <w:sz w:val="24"/>
        </w:rPr>
        <w:t>5  高、低压电器</w:t>
      </w:r>
      <w:r>
        <w:rPr>
          <w:rFonts w:hint="eastAsia"/>
          <w:sz w:val="24"/>
        </w:rPr>
        <w:tab/>
      </w:r>
      <w:r>
        <w:rPr>
          <w:rFonts w:hint="eastAsia"/>
          <w:sz w:val="24"/>
        </w:rPr>
        <w:fldChar w:fldCharType="end"/>
      </w:r>
      <w:r>
        <w:rPr>
          <w:rFonts w:hint="eastAsia"/>
          <w:sz w:val="24"/>
          <w:lang w:val="en-US" w:eastAsia="zh-CN"/>
        </w:rPr>
        <w:t>7</w:t>
      </w:r>
    </w:p>
    <w:p>
      <w:pPr>
        <w:pStyle w:val="10"/>
        <w:tabs>
          <w:tab w:val="right" w:leader="dot" w:pos="8290"/>
        </w:tabs>
        <w:spacing w:line="360" w:lineRule="auto"/>
        <w:rPr>
          <w:rFonts w:hint="eastAsia" w:eastAsia="宋体"/>
          <w:sz w:val="24"/>
          <w:lang w:eastAsia="zh-CN"/>
        </w:rPr>
      </w:pPr>
      <w:r>
        <w:fldChar w:fldCharType="begin"/>
      </w:r>
      <w:r>
        <w:instrText xml:space="preserve"> HYPERLINK \l "_Toc28389906" </w:instrText>
      </w:r>
      <w:r>
        <w:fldChar w:fldCharType="separate"/>
      </w:r>
      <w:r>
        <w:rPr>
          <w:rFonts w:hint="eastAsia"/>
          <w:sz w:val="24"/>
        </w:rPr>
        <w:t>6  母 线</w:t>
      </w:r>
      <w:r>
        <w:rPr>
          <w:rFonts w:hint="eastAsia"/>
          <w:sz w:val="24"/>
        </w:rPr>
        <w:tab/>
      </w:r>
      <w:r>
        <w:rPr>
          <w:rFonts w:hint="eastAsia"/>
          <w:sz w:val="24"/>
        </w:rPr>
        <w:fldChar w:fldCharType="end"/>
      </w:r>
      <w:r>
        <w:rPr>
          <w:rFonts w:hint="eastAsia"/>
          <w:sz w:val="24"/>
          <w:lang w:val="en-US" w:eastAsia="zh-CN"/>
        </w:rPr>
        <w:t>9</w:t>
      </w:r>
    </w:p>
    <w:p>
      <w:pPr>
        <w:pStyle w:val="10"/>
        <w:tabs>
          <w:tab w:val="right" w:leader="dot" w:pos="8290"/>
        </w:tabs>
        <w:spacing w:line="360" w:lineRule="auto"/>
        <w:rPr>
          <w:rFonts w:hint="eastAsia" w:eastAsia="宋体"/>
          <w:sz w:val="24"/>
          <w:lang w:eastAsia="zh-CN"/>
        </w:rPr>
      </w:pPr>
      <w:r>
        <w:fldChar w:fldCharType="begin"/>
      </w:r>
      <w:r>
        <w:instrText xml:space="preserve"> HYPERLINK \l "_Toc28389907" </w:instrText>
      </w:r>
      <w:r>
        <w:fldChar w:fldCharType="separate"/>
      </w:r>
      <w:r>
        <w:rPr>
          <w:rFonts w:hint="eastAsia"/>
          <w:sz w:val="24"/>
        </w:rPr>
        <w:t>7  电缆线路</w:t>
      </w:r>
      <w:r>
        <w:rPr>
          <w:rFonts w:hint="eastAsia"/>
          <w:sz w:val="24"/>
        </w:rPr>
        <w:tab/>
      </w:r>
      <w:r>
        <w:rPr>
          <w:rFonts w:hint="default"/>
          <w:sz w:val="24"/>
          <w:lang w:val="en"/>
        </w:rPr>
        <w:t>1</w:t>
      </w:r>
      <w:r>
        <w:rPr>
          <w:rFonts w:hint="eastAsia"/>
          <w:sz w:val="24"/>
        </w:rPr>
        <w:fldChar w:fldCharType="end"/>
      </w:r>
      <w:r>
        <w:rPr>
          <w:rFonts w:hint="eastAsia"/>
          <w:sz w:val="24"/>
          <w:lang w:val="en-US" w:eastAsia="zh-CN"/>
        </w:rPr>
        <w:t>0</w:t>
      </w:r>
    </w:p>
    <w:p>
      <w:pPr>
        <w:pStyle w:val="10"/>
        <w:tabs>
          <w:tab w:val="right" w:leader="dot" w:pos="8290"/>
        </w:tabs>
        <w:spacing w:line="360" w:lineRule="auto"/>
        <w:rPr>
          <w:rFonts w:hint="eastAsia" w:eastAsia="宋体"/>
          <w:sz w:val="24"/>
          <w:lang w:eastAsia="zh-CN"/>
        </w:rPr>
      </w:pPr>
      <w:r>
        <w:fldChar w:fldCharType="begin"/>
      </w:r>
      <w:r>
        <w:instrText xml:space="preserve"> HYPERLINK \l "_Toc28389908" </w:instrText>
      </w:r>
      <w:r>
        <w:fldChar w:fldCharType="separate"/>
      </w:r>
      <w:r>
        <w:rPr>
          <w:rFonts w:hint="eastAsia"/>
          <w:sz w:val="24"/>
        </w:rPr>
        <w:t>8  盘、柜及二次回路</w:t>
      </w:r>
      <w:r>
        <w:rPr>
          <w:rFonts w:hint="eastAsia"/>
          <w:sz w:val="24"/>
        </w:rPr>
        <w:tab/>
      </w:r>
      <w:r>
        <w:rPr>
          <w:rFonts w:hint="eastAsia"/>
          <w:sz w:val="24"/>
        </w:rPr>
        <w:fldChar w:fldCharType="begin"/>
      </w:r>
      <w:r>
        <w:rPr>
          <w:rFonts w:hint="eastAsia"/>
          <w:sz w:val="24"/>
        </w:rPr>
        <w:instrText xml:space="preserve"> PAGEREF _Toc28389908 \h </w:instrText>
      </w:r>
      <w:r>
        <w:rPr>
          <w:rFonts w:hint="eastAsia"/>
          <w:sz w:val="24"/>
        </w:rPr>
        <w:fldChar w:fldCharType="separate"/>
      </w:r>
      <w:r>
        <w:rPr>
          <w:rFonts w:hint="eastAsia"/>
          <w:sz w:val="24"/>
        </w:rPr>
        <w:t>12</w:t>
      </w:r>
      <w:r>
        <w:rPr>
          <w:rFonts w:hint="eastAsia"/>
          <w:sz w:val="24"/>
        </w:rPr>
        <w:fldChar w:fldCharType="end"/>
      </w:r>
      <w:r>
        <w:rPr>
          <w:rFonts w:hint="eastAsia"/>
          <w:sz w:val="24"/>
        </w:rPr>
        <w:fldChar w:fldCharType="end"/>
      </w:r>
    </w:p>
    <w:p>
      <w:pPr>
        <w:pStyle w:val="10"/>
        <w:tabs>
          <w:tab w:val="right" w:leader="dot" w:pos="8290"/>
        </w:tabs>
        <w:spacing w:line="360" w:lineRule="auto"/>
        <w:rPr>
          <w:rFonts w:hint="eastAsia" w:eastAsia="宋体"/>
          <w:sz w:val="24"/>
          <w:lang w:eastAsia="zh-CN"/>
        </w:rPr>
      </w:pPr>
      <w:r>
        <w:fldChar w:fldCharType="begin"/>
      </w:r>
      <w:r>
        <w:instrText xml:space="preserve"> HYPERLINK \l "_Toc28389909" </w:instrText>
      </w:r>
      <w:r>
        <w:fldChar w:fldCharType="separate"/>
      </w:r>
      <w:r>
        <w:rPr>
          <w:rFonts w:hint="eastAsia"/>
          <w:sz w:val="24"/>
        </w:rPr>
        <w:t>9  换流阀</w:t>
      </w:r>
      <w:r>
        <w:rPr>
          <w:rFonts w:hint="eastAsia"/>
          <w:sz w:val="24"/>
        </w:rPr>
        <w:tab/>
      </w:r>
      <w:r>
        <w:rPr>
          <w:rFonts w:hint="default"/>
          <w:sz w:val="24"/>
          <w:lang w:val="en"/>
        </w:rPr>
        <w:t>1</w:t>
      </w:r>
      <w:r>
        <w:rPr>
          <w:rFonts w:hint="eastAsia"/>
          <w:sz w:val="24"/>
        </w:rPr>
        <w:fldChar w:fldCharType="end"/>
      </w:r>
      <w:r>
        <w:rPr>
          <w:rFonts w:hint="eastAsia"/>
          <w:sz w:val="24"/>
          <w:lang w:val="en-US" w:eastAsia="zh-CN"/>
        </w:rPr>
        <w:t>3</w:t>
      </w:r>
    </w:p>
    <w:p>
      <w:pPr>
        <w:pStyle w:val="11"/>
        <w:tabs>
          <w:tab w:val="right" w:leader="dot" w:pos="8290"/>
        </w:tabs>
        <w:spacing w:line="360" w:lineRule="auto"/>
        <w:ind w:left="0" w:leftChars="0"/>
        <w:rPr>
          <w:rFonts w:hint="eastAsia" w:eastAsia="宋体"/>
          <w:sz w:val="24"/>
          <w:lang w:eastAsia="zh-CN"/>
        </w:rPr>
      </w:pPr>
      <w:r>
        <w:fldChar w:fldCharType="begin"/>
      </w:r>
      <w:r>
        <w:instrText xml:space="preserve"> HYPERLINK \l "_Toc28389911" </w:instrText>
      </w:r>
      <w:r>
        <w:fldChar w:fldCharType="separate"/>
      </w:r>
      <w:r>
        <w:rPr>
          <w:rFonts w:hint="eastAsia"/>
          <w:sz w:val="24"/>
        </w:rPr>
        <w:t>10 串联电容器补偿装置</w:t>
      </w:r>
      <w:r>
        <w:rPr>
          <w:rFonts w:hint="eastAsia"/>
          <w:sz w:val="24"/>
        </w:rPr>
        <w:tab/>
      </w:r>
      <w:r>
        <w:rPr>
          <w:rFonts w:hint="default"/>
          <w:sz w:val="24"/>
          <w:lang w:val="en"/>
        </w:rPr>
        <w:t>1</w:t>
      </w:r>
      <w:r>
        <w:rPr>
          <w:rFonts w:hint="eastAsia"/>
          <w:sz w:val="24"/>
        </w:rPr>
        <w:fldChar w:fldCharType="end"/>
      </w:r>
      <w:r>
        <w:rPr>
          <w:rFonts w:hint="eastAsia"/>
          <w:sz w:val="24"/>
          <w:lang w:val="en-US" w:eastAsia="zh-CN"/>
        </w:rPr>
        <w:t>4</w:t>
      </w:r>
    </w:p>
    <w:p>
      <w:pPr>
        <w:pStyle w:val="11"/>
        <w:tabs>
          <w:tab w:val="right" w:leader="dot" w:pos="8290"/>
        </w:tabs>
        <w:spacing w:line="360" w:lineRule="auto"/>
        <w:ind w:left="0" w:leftChars="0"/>
        <w:rPr>
          <w:rFonts w:hint="eastAsia" w:eastAsia="宋体"/>
          <w:sz w:val="24"/>
          <w:lang w:eastAsia="zh-CN"/>
        </w:rPr>
      </w:pPr>
      <w:r>
        <w:fldChar w:fldCharType="begin"/>
      </w:r>
      <w:r>
        <w:instrText xml:space="preserve"> HYPERLINK \l "_Toc28389910" </w:instrText>
      </w:r>
      <w:r>
        <w:fldChar w:fldCharType="separate"/>
      </w:r>
      <w:r>
        <w:rPr>
          <w:rFonts w:hint="eastAsia"/>
          <w:sz w:val="24"/>
        </w:rPr>
        <w:t>11 蓄电池</w:t>
      </w:r>
      <w:r>
        <w:rPr>
          <w:rFonts w:hint="eastAsia"/>
          <w:sz w:val="24"/>
        </w:rPr>
        <w:tab/>
      </w:r>
      <w:r>
        <w:rPr>
          <w:rFonts w:hint="default"/>
          <w:sz w:val="24"/>
          <w:lang w:val="en"/>
        </w:rPr>
        <w:t>1</w:t>
      </w:r>
      <w:r>
        <w:rPr>
          <w:rFonts w:hint="eastAsia"/>
          <w:sz w:val="24"/>
        </w:rPr>
        <w:fldChar w:fldCharType="end"/>
      </w:r>
      <w:r>
        <w:rPr>
          <w:rFonts w:hint="eastAsia"/>
          <w:sz w:val="24"/>
          <w:lang w:val="en-US" w:eastAsia="zh-CN"/>
        </w:rPr>
        <w:t>5</w:t>
      </w:r>
    </w:p>
    <w:p>
      <w:pPr>
        <w:pStyle w:val="11"/>
        <w:tabs>
          <w:tab w:val="right" w:leader="dot" w:pos="8290"/>
        </w:tabs>
        <w:spacing w:line="360" w:lineRule="auto"/>
        <w:rPr>
          <w:sz w:val="24"/>
        </w:rPr>
      </w:pPr>
    </w:p>
    <w:p>
      <w:pPr>
        <w:pStyle w:val="10"/>
        <w:tabs>
          <w:tab w:val="right" w:leader="dot" w:pos="8290"/>
        </w:tabs>
        <w:spacing w:line="360" w:lineRule="auto"/>
        <w:rPr>
          <w:sz w:val="24"/>
        </w:rPr>
      </w:pPr>
      <w:bookmarkStart w:id="25" w:name="_GoBack"/>
      <w:bookmarkEnd w:id="25"/>
    </w:p>
    <w:p>
      <w:pPr>
        <w:pStyle w:val="10"/>
        <w:tabs>
          <w:tab w:val="right" w:leader="dot" w:pos="8290"/>
        </w:tabs>
        <w:spacing w:line="360" w:lineRule="auto"/>
        <w:rPr>
          <w:sz w:val="24"/>
        </w:rPr>
      </w:pPr>
    </w:p>
    <w:p>
      <w:pPr>
        <w:pStyle w:val="10"/>
        <w:tabs>
          <w:tab w:val="right" w:leader="dot" w:pos="8290"/>
        </w:tabs>
        <w:spacing w:line="360" w:lineRule="auto"/>
        <w:rPr>
          <w:sz w:val="24"/>
        </w:rPr>
      </w:pPr>
    </w:p>
    <w:p>
      <w:pPr>
        <w:pStyle w:val="10"/>
        <w:tabs>
          <w:tab w:val="right" w:leader="dot" w:pos="8290"/>
        </w:tabs>
        <w:spacing w:line="360" w:lineRule="auto"/>
        <w:rPr>
          <w:sz w:val="24"/>
        </w:rPr>
      </w:pPr>
    </w:p>
    <w:p>
      <w:pPr>
        <w:pStyle w:val="10"/>
        <w:tabs>
          <w:tab w:val="right" w:leader="dot" w:pos="8290"/>
        </w:tabs>
        <w:spacing w:line="360" w:lineRule="auto"/>
        <w:rPr>
          <w:sz w:val="24"/>
        </w:rPr>
      </w:pPr>
    </w:p>
    <w:p>
      <w:pPr>
        <w:tabs>
          <w:tab w:val="right" w:leader="middleDot" w:pos="8400"/>
        </w:tabs>
        <w:spacing w:line="312" w:lineRule="auto"/>
        <w:jc w:val="distribute"/>
        <w:rPr>
          <w:sz w:val="24"/>
        </w:rPr>
      </w:pPr>
      <w:r>
        <w:rPr>
          <w:rFonts w:hint="eastAsia"/>
          <w:sz w:val="24"/>
          <w:lang w:val="zh-CN"/>
        </w:rPr>
        <w:fldChar w:fldCharType="end"/>
      </w:r>
    </w:p>
    <w:p>
      <w:pPr>
        <w:spacing w:after="319" w:afterLines="100"/>
        <w:jc w:val="center"/>
        <w:rPr>
          <w:b/>
          <w:bCs/>
          <w:sz w:val="30"/>
        </w:rPr>
      </w:pPr>
    </w:p>
    <w:p>
      <w:pPr>
        <w:spacing w:after="319" w:afterLines="100"/>
        <w:jc w:val="center"/>
        <w:rPr>
          <w:b/>
          <w:bCs/>
          <w:sz w:val="30"/>
        </w:rPr>
      </w:pPr>
    </w:p>
    <w:p>
      <w:pPr>
        <w:spacing w:after="319" w:afterLines="100"/>
        <w:jc w:val="center"/>
        <w:rPr>
          <w:b/>
          <w:bCs/>
          <w:sz w:val="30"/>
        </w:rPr>
      </w:pPr>
    </w:p>
    <w:p>
      <w:pPr>
        <w:spacing w:after="319" w:afterLines="100"/>
        <w:jc w:val="center"/>
        <w:rPr>
          <w:b/>
          <w:bCs/>
          <w:sz w:val="30"/>
        </w:rPr>
      </w:pPr>
    </w:p>
    <w:p>
      <w:pPr>
        <w:widowControl/>
        <w:jc w:val="center"/>
        <w:rPr>
          <w:b/>
          <w:bCs/>
          <w:sz w:val="30"/>
        </w:rPr>
        <w:sectPr>
          <w:footerReference r:id="rId7" w:type="default"/>
          <w:pgSz w:w="11906" w:h="16838"/>
          <w:pgMar w:top="1440" w:right="1803" w:bottom="1440" w:left="1803" w:header="851" w:footer="992" w:gutter="0"/>
          <w:pgNumType w:fmt="decimal" w:start="1"/>
          <w:cols w:space="720" w:num="1"/>
          <w:docGrid w:type="lines" w:linePitch="319" w:charSpace="0"/>
        </w:sectPr>
      </w:pPr>
    </w:p>
    <w:p>
      <w:pPr>
        <w:widowControl/>
        <w:jc w:val="center"/>
        <w:rPr>
          <w:b/>
          <w:bCs/>
          <w:sz w:val="30"/>
        </w:rPr>
      </w:pPr>
      <w:r>
        <w:rPr>
          <w:rFonts w:hint="eastAsia"/>
          <w:b/>
          <w:bCs/>
          <w:sz w:val="30"/>
        </w:rPr>
        <w:t>Contents</w:t>
      </w:r>
    </w:p>
    <w:p>
      <w:pPr>
        <w:widowControl/>
        <w:jc w:val="center"/>
        <w:rPr>
          <w:b/>
          <w:bCs/>
          <w:sz w:val="30"/>
        </w:rPr>
      </w:pPr>
    </w:p>
    <w:p>
      <w:pPr>
        <w:tabs>
          <w:tab w:val="right" w:leader="middleDot" w:pos="8400"/>
        </w:tabs>
        <w:spacing w:line="312" w:lineRule="auto"/>
        <w:jc w:val="distribute"/>
        <w:rPr>
          <w:sz w:val="24"/>
        </w:rPr>
      </w:pPr>
      <w:r>
        <w:rPr>
          <w:rFonts w:hint="eastAsia"/>
          <w:sz w:val="24"/>
        </w:rPr>
        <w:t>1</w:t>
      </w:r>
      <w:r>
        <w:rPr>
          <w:sz w:val="24"/>
        </w:rPr>
        <w:t xml:space="preserve">  </w:t>
      </w:r>
      <w:r>
        <w:rPr>
          <w:rFonts w:hint="eastAsia"/>
          <w:sz w:val="24"/>
        </w:rPr>
        <w:t xml:space="preserve">General Provisions  </w:t>
      </w:r>
      <w:r>
        <w:rPr>
          <w:rFonts w:hint="eastAsia"/>
          <w:sz w:val="15"/>
        </w:rPr>
        <w:t>·········································································</w:t>
      </w:r>
      <w:r>
        <w:rPr>
          <w:sz w:val="24"/>
        </w:rPr>
        <w:t xml:space="preserve">  1</w:t>
      </w:r>
    </w:p>
    <w:p>
      <w:pPr>
        <w:tabs>
          <w:tab w:val="right" w:leader="middleDot" w:pos="8400"/>
        </w:tabs>
        <w:spacing w:line="312" w:lineRule="auto"/>
        <w:jc w:val="distribute"/>
        <w:rPr>
          <w:sz w:val="24"/>
        </w:rPr>
      </w:pPr>
      <w:r>
        <w:rPr>
          <w:rFonts w:hint="eastAsia"/>
          <w:sz w:val="24"/>
        </w:rPr>
        <w:t xml:space="preserve">2 </w:t>
      </w:r>
      <w:r>
        <w:rPr>
          <w:sz w:val="24"/>
        </w:rPr>
        <w:t xml:space="preserve"> </w:t>
      </w:r>
      <w:r>
        <w:rPr>
          <w:rFonts w:hint="eastAsia"/>
          <w:sz w:val="24"/>
        </w:rPr>
        <w:t>Basic Requirements</w:t>
      </w:r>
      <w:r>
        <w:rPr>
          <w:sz w:val="24"/>
        </w:rPr>
        <w:t xml:space="preserve"> </w:t>
      </w:r>
      <w:r>
        <w:rPr>
          <w:rFonts w:hint="eastAsia"/>
          <w:sz w:val="15"/>
        </w:rPr>
        <w:t>··································································</w:t>
      </w:r>
      <w:r>
        <w:rPr>
          <w:sz w:val="24"/>
        </w:rPr>
        <w:t xml:space="preserve">  </w:t>
      </w:r>
      <w:r>
        <w:rPr>
          <w:rFonts w:hint="eastAsia"/>
          <w:sz w:val="24"/>
        </w:rPr>
        <w:t xml:space="preserve">2 </w:t>
      </w:r>
    </w:p>
    <w:p>
      <w:pPr>
        <w:tabs>
          <w:tab w:val="right" w:leader="middleDot" w:pos="8400"/>
        </w:tabs>
        <w:spacing w:line="312" w:lineRule="auto"/>
        <w:jc w:val="distribute"/>
        <w:rPr>
          <w:sz w:val="24"/>
        </w:rPr>
      </w:pPr>
      <w:r>
        <w:rPr>
          <w:sz w:val="24"/>
        </w:rPr>
        <w:t>3</w:t>
      </w:r>
      <w:r>
        <w:rPr>
          <w:rFonts w:hint="eastAsia"/>
          <w:sz w:val="24"/>
        </w:rPr>
        <w:t xml:space="preserve">  Electric rotating machinery</w:t>
      </w:r>
      <w:r>
        <w:rPr>
          <w:rFonts w:hint="eastAsia"/>
          <w:sz w:val="15"/>
        </w:rPr>
        <w:t>····························································</w:t>
      </w:r>
      <w:r>
        <w:rPr>
          <w:sz w:val="24"/>
        </w:rPr>
        <w:t xml:space="preserve"> </w:t>
      </w:r>
      <w:r>
        <w:rPr>
          <w:rFonts w:hint="eastAsia"/>
          <w:sz w:val="24"/>
        </w:rPr>
        <w:t>4</w:t>
      </w:r>
    </w:p>
    <w:p>
      <w:pPr>
        <w:tabs>
          <w:tab w:val="right" w:leader="middleDot" w:pos="8400"/>
        </w:tabs>
        <w:spacing w:line="312" w:lineRule="auto"/>
        <w:jc w:val="distribute"/>
        <w:rPr>
          <w:rFonts w:hint="eastAsia" w:eastAsia="宋体"/>
          <w:sz w:val="24"/>
          <w:lang w:eastAsia="zh-CN"/>
        </w:rPr>
      </w:pPr>
      <w:r>
        <w:rPr>
          <w:rFonts w:hint="eastAsia"/>
          <w:sz w:val="24"/>
        </w:rPr>
        <w:t>4  Power transformers, reactors and instrument transformers</w:t>
      </w:r>
      <w:r>
        <w:rPr>
          <w:rFonts w:hint="eastAsia"/>
          <w:sz w:val="15"/>
        </w:rPr>
        <w:t>··········</w:t>
      </w:r>
      <w:r>
        <w:rPr>
          <w:sz w:val="24"/>
        </w:rPr>
        <w:t xml:space="preserve"> </w:t>
      </w:r>
      <w:r>
        <w:rPr>
          <w:rFonts w:hint="eastAsia"/>
          <w:sz w:val="24"/>
          <w:lang w:val="en-US" w:eastAsia="zh-CN"/>
        </w:rPr>
        <w:t>5</w:t>
      </w:r>
    </w:p>
    <w:p>
      <w:pPr>
        <w:tabs>
          <w:tab w:val="right" w:leader="middleDot" w:pos="8400"/>
        </w:tabs>
        <w:spacing w:line="312" w:lineRule="auto"/>
        <w:jc w:val="distribute"/>
        <w:rPr>
          <w:rFonts w:hint="eastAsia" w:eastAsia="宋体"/>
          <w:sz w:val="24"/>
          <w:lang w:eastAsia="zh-CN"/>
        </w:rPr>
      </w:pPr>
      <w:r>
        <w:rPr>
          <w:rFonts w:hint="eastAsia"/>
          <w:sz w:val="24"/>
        </w:rPr>
        <w:t>5  High voltage and low voltage electrical apparatus</w:t>
      </w:r>
      <w:r>
        <w:rPr>
          <w:rFonts w:hint="eastAsia"/>
          <w:sz w:val="15"/>
        </w:rPr>
        <w:t>····································</w:t>
      </w:r>
      <w:r>
        <w:rPr>
          <w:sz w:val="24"/>
        </w:rPr>
        <w:t xml:space="preserve"> </w:t>
      </w:r>
      <w:r>
        <w:rPr>
          <w:rFonts w:hint="eastAsia"/>
          <w:sz w:val="24"/>
          <w:lang w:val="en-US" w:eastAsia="zh-CN"/>
        </w:rPr>
        <w:t>7</w:t>
      </w:r>
    </w:p>
    <w:p>
      <w:pPr>
        <w:spacing w:line="300" w:lineRule="exact"/>
        <w:rPr>
          <w:rFonts w:hint="eastAsia" w:eastAsia="宋体"/>
          <w:lang w:eastAsia="zh-CN"/>
        </w:rPr>
      </w:pPr>
      <w:r>
        <w:rPr>
          <w:rFonts w:hint="eastAsia"/>
          <w:sz w:val="24"/>
        </w:rPr>
        <w:t>6  Bus</w:t>
      </w:r>
      <w:r>
        <w:rPr>
          <w:rFonts w:hint="eastAsia"/>
          <w:sz w:val="15"/>
        </w:rPr>
        <w:t>································································································</w:t>
      </w:r>
      <w:r>
        <w:rPr>
          <w:sz w:val="24"/>
        </w:rPr>
        <w:t xml:space="preserve"> </w:t>
      </w:r>
      <w:r>
        <w:rPr>
          <w:rFonts w:hint="eastAsia"/>
          <w:sz w:val="24"/>
          <w:lang w:val="en-US" w:eastAsia="zh-CN"/>
        </w:rPr>
        <w:t>9</w:t>
      </w:r>
    </w:p>
    <w:p>
      <w:pPr>
        <w:spacing w:line="360" w:lineRule="exact"/>
      </w:pPr>
      <w:r>
        <w:rPr>
          <w:rFonts w:hint="eastAsia"/>
          <w:sz w:val="24"/>
        </w:rPr>
        <w:t>7  Power cable line</w:t>
      </w:r>
      <w:r>
        <w:rPr>
          <w:rFonts w:hint="eastAsia"/>
          <w:sz w:val="15"/>
        </w:rPr>
        <w:t>················································································</w:t>
      </w:r>
      <w:r>
        <w:rPr>
          <w:sz w:val="24"/>
        </w:rPr>
        <w:t>1</w:t>
      </w:r>
      <w:r>
        <w:rPr>
          <w:rFonts w:hint="eastAsia"/>
          <w:sz w:val="24"/>
          <w:lang w:val="en-US" w:eastAsia="zh-CN"/>
        </w:rPr>
        <w:t>0</w:t>
      </w:r>
      <w:r>
        <w:rPr>
          <w:sz w:val="24"/>
        </w:rPr>
        <w:t xml:space="preserve"> </w:t>
      </w:r>
    </w:p>
    <w:p>
      <w:pPr>
        <w:spacing w:line="360" w:lineRule="exact"/>
        <w:rPr>
          <w:rFonts w:hint="eastAsia" w:eastAsia="宋体"/>
          <w:lang w:eastAsia="zh-CN"/>
        </w:rPr>
      </w:pPr>
      <w:r>
        <w:rPr>
          <w:rFonts w:hint="eastAsia"/>
          <w:sz w:val="24"/>
        </w:rPr>
        <w:t>8  Distribution board, cabinet and secondary circuit</w:t>
      </w:r>
      <w:r>
        <w:rPr>
          <w:rFonts w:hint="eastAsia"/>
          <w:sz w:val="15"/>
        </w:rPr>
        <w:t>········································</w:t>
      </w:r>
      <w:r>
        <w:rPr>
          <w:rFonts w:hint="eastAsia"/>
          <w:sz w:val="24"/>
        </w:rPr>
        <w:t>1</w:t>
      </w:r>
      <w:r>
        <w:rPr>
          <w:rFonts w:hint="eastAsia"/>
          <w:sz w:val="24"/>
          <w:lang w:val="en-US" w:eastAsia="zh-CN"/>
        </w:rPr>
        <w:t>2</w:t>
      </w:r>
    </w:p>
    <w:p>
      <w:pPr>
        <w:spacing w:line="360" w:lineRule="exact"/>
        <w:rPr>
          <w:rFonts w:hint="eastAsia" w:eastAsia="宋体"/>
          <w:lang w:eastAsia="zh-CN"/>
        </w:rPr>
      </w:pPr>
      <w:r>
        <w:rPr>
          <w:rFonts w:hint="eastAsia"/>
          <w:sz w:val="24"/>
        </w:rPr>
        <w:t>9  Converter valve</w:t>
      </w:r>
      <w:r>
        <w:rPr>
          <w:rFonts w:hint="eastAsia"/>
          <w:sz w:val="15"/>
        </w:rPr>
        <w:t>···············································································</w:t>
      </w:r>
      <w:r>
        <w:rPr>
          <w:sz w:val="24"/>
        </w:rPr>
        <w:t xml:space="preserve"> </w:t>
      </w:r>
      <w:r>
        <w:rPr>
          <w:rFonts w:hint="eastAsia"/>
          <w:sz w:val="24"/>
        </w:rPr>
        <w:t>1</w:t>
      </w:r>
      <w:r>
        <w:rPr>
          <w:rFonts w:hint="eastAsia"/>
          <w:sz w:val="24"/>
          <w:lang w:val="en-US" w:eastAsia="zh-CN"/>
        </w:rPr>
        <w:t>3</w:t>
      </w:r>
    </w:p>
    <w:p>
      <w:pPr>
        <w:spacing w:line="360" w:lineRule="exact"/>
        <w:rPr>
          <w:rFonts w:hint="eastAsia" w:eastAsia="宋体"/>
          <w:lang w:eastAsia="zh-CN"/>
        </w:rPr>
      </w:pPr>
      <w:r>
        <w:rPr>
          <w:rFonts w:hint="eastAsia"/>
          <w:sz w:val="24"/>
        </w:rPr>
        <w:t>10 Series capacitor compensation device</w:t>
      </w:r>
      <w:r>
        <w:rPr>
          <w:rFonts w:hint="eastAsia"/>
          <w:sz w:val="15"/>
        </w:rPr>
        <w:t>··················································</w:t>
      </w:r>
      <w:r>
        <w:rPr>
          <w:rFonts w:hint="eastAsia"/>
          <w:sz w:val="24"/>
        </w:rPr>
        <w:t>1</w:t>
      </w:r>
      <w:r>
        <w:rPr>
          <w:rFonts w:hint="eastAsia"/>
          <w:sz w:val="24"/>
          <w:lang w:val="en-US" w:eastAsia="zh-CN"/>
        </w:rPr>
        <w:t>4</w:t>
      </w:r>
      <w:r>
        <w:rPr>
          <w:rFonts w:hint="eastAsia"/>
          <w:sz w:val="24"/>
        </w:rPr>
        <w:t xml:space="preserve">  11 Storage battery</w:t>
      </w:r>
      <w:r>
        <w:rPr>
          <w:rFonts w:hint="eastAsia"/>
          <w:sz w:val="15"/>
        </w:rPr>
        <w:t>···················································································</w:t>
      </w:r>
      <w:r>
        <w:rPr>
          <w:sz w:val="24"/>
        </w:rPr>
        <w:t>1</w:t>
      </w:r>
      <w:r>
        <w:rPr>
          <w:rFonts w:hint="eastAsia"/>
          <w:sz w:val="24"/>
          <w:lang w:val="en-US" w:eastAsia="zh-CN"/>
        </w:rPr>
        <w:t>5</w:t>
      </w:r>
    </w:p>
    <w:p>
      <w:pPr>
        <w:spacing w:line="360" w:lineRule="exact"/>
        <w:ind w:firstLine="240" w:firstLineChars="100"/>
        <w:rPr>
          <w:color w:val="FF0000"/>
          <w:sz w:val="24"/>
        </w:rPr>
      </w:pPr>
    </w:p>
    <w:p/>
    <w:p/>
    <w:p/>
    <w:p/>
    <w:p/>
    <w:p/>
    <w:p/>
    <w:p/>
    <w:p/>
    <w:p/>
    <w:p/>
    <w:p/>
    <w:p/>
    <w:p>
      <w:pPr>
        <w:spacing w:before="159" w:beforeLines="50" w:after="159" w:afterLines="50"/>
        <w:rPr>
          <w:rFonts w:ascii="宋体" w:hAnsi="宋体"/>
        </w:rPr>
      </w:pPr>
    </w:p>
    <w:p>
      <w:pPr>
        <w:jc w:val="center"/>
        <w:rPr>
          <w:rFonts w:asciiTheme="majorEastAsia" w:hAnsiTheme="majorEastAsia" w:eastAsiaTheme="majorEastAsia"/>
          <w:b/>
          <w:sz w:val="30"/>
          <w:szCs w:val="30"/>
        </w:rPr>
        <w:sectPr>
          <w:footerReference r:id="rId8" w:type="default"/>
          <w:pgSz w:w="11906" w:h="16838"/>
          <w:pgMar w:top="1440" w:right="1803" w:bottom="1440" w:left="1803" w:header="851" w:footer="992" w:gutter="0"/>
          <w:pgNumType w:fmt="decimal" w:start="1"/>
          <w:cols w:space="720" w:num="1"/>
          <w:docGrid w:type="lines" w:linePitch="319" w:charSpace="0"/>
        </w:sectPr>
      </w:pPr>
    </w:p>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1 总则</w:t>
      </w:r>
    </w:p>
    <w:p>
      <w:pPr>
        <w:rPr>
          <w:rFonts w:asciiTheme="minorEastAsia" w:hAnsiTheme="minorEastAsia" w:eastAsiaTheme="minorEastAsia"/>
          <w:color w:val="000000" w:themeColor="text1"/>
          <w:sz w:val="28"/>
          <w:szCs w:val="28"/>
          <w14:textFill>
            <w14:solidFill>
              <w14:schemeClr w14:val="tx1"/>
            </w14:solidFill>
          </w14:textFill>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1.0.1 为规范电力工程电气装置施工安装及验收，体现保障人民生命财产安全、人身健康、工程质量安全、生态环境安全等原则，制定本规范。</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1.0.2 本规范适用于新建、扩建、改建的输变电、火力发电、风力发电、太阳能发电工程电气装置施工安装及验收。</w:t>
      </w:r>
    </w:p>
    <w:p>
      <w:pPr>
        <w:widowControl/>
        <w:autoSpaceDE w:val="0"/>
        <w:autoSpaceDN w:val="0"/>
        <w:adjustRightInd w:val="0"/>
        <w:spacing w:line="360" w:lineRule="auto"/>
        <w:jc w:val="left"/>
        <w:rPr>
          <w:rFonts w:ascii="宋体" w:hAnsi="宋体" w:cs="宋体"/>
          <w:color w:val="000000"/>
          <w:sz w:val="28"/>
          <w:szCs w:val="28"/>
        </w:rPr>
      </w:pPr>
      <w:r>
        <w:rPr>
          <w:rFonts w:hint="eastAsia" w:ascii="宋体" w:hAnsi="宋体" w:cs="宋体"/>
          <w:sz w:val="28"/>
          <w:szCs w:val="28"/>
        </w:rPr>
        <w:t xml:space="preserve">1.0.3 </w:t>
      </w:r>
      <w:r>
        <w:rPr>
          <w:rFonts w:hint="eastAsia" w:ascii="宋体" w:hAnsi="宋体" w:cs="宋体"/>
          <w:color w:val="000000"/>
          <w:sz w:val="28"/>
          <w:szCs w:val="28"/>
        </w:rPr>
        <w:t>当</w:t>
      </w:r>
      <w:r>
        <w:rPr>
          <w:rFonts w:hint="eastAsia" w:ascii="宋体" w:hAnsi="宋体" w:cs="宋体"/>
          <w:sz w:val="28"/>
          <w:szCs w:val="28"/>
        </w:rPr>
        <w:t>电气装置安装过程</w:t>
      </w:r>
      <w:r>
        <w:rPr>
          <w:rFonts w:hint="eastAsia" w:ascii="宋体" w:hAnsi="宋体" w:cs="宋体"/>
          <w:color w:val="000000"/>
          <w:sz w:val="28"/>
          <w:szCs w:val="28"/>
        </w:rPr>
        <w:t>中采用的技术方法、技术措施</w:t>
      </w:r>
      <w:r>
        <w:rPr>
          <w:rFonts w:hint="eastAsia" w:ascii="宋体" w:hAnsi="宋体" w:cs="宋体"/>
          <w:sz w:val="28"/>
          <w:szCs w:val="28"/>
        </w:rPr>
        <w:t>、施工质量控制和验收检验内容（方法）等</w:t>
      </w:r>
      <w:r>
        <w:rPr>
          <w:rFonts w:hint="eastAsia" w:ascii="宋体" w:hAnsi="宋体" w:cs="宋体"/>
          <w:color w:val="000000"/>
          <w:sz w:val="28"/>
          <w:szCs w:val="28"/>
        </w:rPr>
        <w:t>与本规范的规定不一致或本规范无相关要求时，</w:t>
      </w:r>
      <w:r>
        <w:rPr>
          <w:rFonts w:hint="eastAsia" w:ascii="宋体" w:hAnsi="宋体" w:cs="宋体"/>
          <w:sz w:val="28"/>
          <w:szCs w:val="28"/>
        </w:rPr>
        <w:t>必须采取合规性判定。</w:t>
      </w:r>
    </w:p>
    <w:p>
      <w:pPr>
        <w:autoSpaceDE w:val="0"/>
        <w:autoSpaceDN w:val="0"/>
        <w:adjustRightInd w:val="0"/>
        <w:spacing w:line="360" w:lineRule="auto"/>
        <w:jc w:val="left"/>
        <w:rPr>
          <w:rFonts w:ascii="宋体" w:hAnsi="宋体" w:cs="宋体"/>
          <w:sz w:val="28"/>
          <w:szCs w:val="28"/>
          <w:highlight w:val="yellow"/>
        </w:rPr>
      </w:pPr>
      <w:r>
        <w:rPr>
          <w:rFonts w:hint="eastAsia" w:ascii="宋体" w:hAnsi="宋体" w:cs="宋体"/>
          <w:sz w:val="28"/>
          <w:szCs w:val="28"/>
        </w:rPr>
        <w:t>1.0.4 工程建设所采用的技术方法和措施是否符合本规范要求，由相关责任主体判定。其中，创新性的技术方法和措施，应进行论证并符合本规范中有关性能的要求。</w:t>
      </w:r>
    </w:p>
    <w:p>
      <w:pPr>
        <w:jc w:val="center"/>
        <w:rPr>
          <w:rFonts w:ascii="黑体" w:eastAsia="黑体"/>
          <w:sz w:val="30"/>
          <w:szCs w:val="30"/>
        </w:rPr>
      </w:pPr>
    </w:p>
    <w:p>
      <w:pPr>
        <w:rPr>
          <w:b/>
          <w:color w:val="000000" w:themeColor="text1"/>
          <w:sz w:val="28"/>
          <w:szCs w:val="28"/>
          <w:highlight w:val="yellow"/>
          <w14:textFill>
            <w14:solidFill>
              <w14:schemeClr w14:val="tx1"/>
            </w14:solidFill>
          </w14:textFill>
        </w:rPr>
      </w:pPr>
    </w:p>
    <w:p>
      <w:pPr>
        <w:rPr>
          <w:b/>
          <w:color w:val="000000" w:themeColor="text1"/>
          <w:sz w:val="28"/>
          <w:szCs w:val="28"/>
          <w:highlight w:val="yellow"/>
          <w14:textFill>
            <w14:solidFill>
              <w14:schemeClr w14:val="tx1"/>
            </w14:solidFill>
          </w14:textFill>
        </w:rPr>
      </w:pPr>
    </w:p>
    <w:p>
      <w:pPr>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p>
    <w:p>
      <w:pPr>
        <w:pStyle w:val="20"/>
        <w:widowControl/>
        <w:snapToGrid w:val="0"/>
        <w:spacing w:before="478" w:beforeLines="150" w:after="478" w:afterLines="150" w:line="300" w:lineRule="auto"/>
        <w:rPr>
          <w:rFonts w:ascii="宋体" w:hAnsi="宋体" w:eastAsia="宋体" w:cs="宋体"/>
          <w:sz w:val="30"/>
          <w:szCs w:val="30"/>
        </w:rPr>
      </w:pPr>
      <w:r>
        <w:rPr>
          <w:rFonts w:hint="eastAsia" w:ascii="宋体" w:hAnsi="宋体" w:eastAsia="宋体" w:cs="宋体"/>
          <w:sz w:val="30"/>
          <w:szCs w:val="30"/>
        </w:rPr>
        <w:t>2  基本规定</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2.0.1 电力工程电气装置安装应按已批准的设计文件和施工方案执行</w:t>
      </w:r>
      <w:r>
        <w:rPr>
          <w:rFonts w:hint="eastAsia" w:ascii="宋体" w:hAnsi="宋体" w:cs="宋体"/>
          <w:sz w:val="28"/>
          <w:szCs w:val="28"/>
          <w:lang w:bidi="ar"/>
        </w:rPr>
        <w:t>，并</w:t>
      </w:r>
      <w:r>
        <w:rPr>
          <w:rFonts w:hint="eastAsia" w:ascii="宋体" w:hAnsi="宋体" w:cs="宋体"/>
          <w:sz w:val="28"/>
          <w:szCs w:val="28"/>
        </w:rPr>
        <w:t>应采取保障工程质量安全、人身安全、周边环境安全与劳动防护、绿色施工的技术措施与管理措施。</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2.0.2 电气装置的装卸、运输、保管和安装，应保证其性能和功能完好。</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w:t>
      </w:r>
      <w:r>
        <w:rPr>
          <w:rFonts w:ascii="宋体" w:hAnsi="宋体" w:cs="宋体"/>
          <w:sz w:val="28"/>
          <w:szCs w:val="28"/>
        </w:rPr>
        <w:t>3</w:t>
      </w:r>
      <w:r>
        <w:rPr>
          <w:rFonts w:hint="eastAsia" w:ascii="宋体" w:hAnsi="宋体" w:cs="宋体"/>
          <w:sz w:val="28"/>
          <w:szCs w:val="28"/>
        </w:rPr>
        <w:t xml:space="preserve"> 电气装置安装前应确认其型号规格正确，外观完好。</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w:t>
      </w:r>
      <w:r>
        <w:rPr>
          <w:rFonts w:ascii="宋体" w:hAnsi="宋体" w:cs="宋体"/>
          <w:sz w:val="28"/>
          <w:szCs w:val="28"/>
        </w:rPr>
        <w:t>4</w:t>
      </w:r>
      <w:r>
        <w:rPr>
          <w:rFonts w:hint="eastAsia" w:ascii="宋体" w:hAnsi="宋体" w:cs="宋体"/>
          <w:sz w:val="28"/>
          <w:szCs w:val="28"/>
        </w:rPr>
        <w:t xml:space="preserve"> 电气装置的安装不得损坏建筑物的主体结构。</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w:t>
      </w:r>
      <w:r>
        <w:rPr>
          <w:rFonts w:ascii="宋体" w:hAnsi="宋体" w:cs="宋体"/>
          <w:sz w:val="28"/>
          <w:szCs w:val="28"/>
        </w:rPr>
        <w:t>5</w:t>
      </w:r>
      <w:r>
        <w:rPr>
          <w:rFonts w:hint="eastAsia" w:ascii="宋体" w:hAnsi="宋体" w:cs="宋体"/>
          <w:sz w:val="28"/>
          <w:szCs w:val="28"/>
        </w:rPr>
        <w:t xml:space="preserve"> 进入发电机、变压器、</w:t>
      </w:r>
      <w:r>
        <w:rPr>
          <w:rFonts w:hint="eastAsia" w:ascii="宋体" w:hAnsi="宋体" w:cs="黑体"/>
          <w:sz w:val="28"/>
          <w:szCs w:val="28"/>
        </w:rPr>
        <w:t>气体绝缘金属封闭开关设备</w:t>
      </w:r>
      <w:r>
        <w:rPr>
          <w:rFonts w:hint="eastAsia" w:ascii="宋体" w:hAnsi="宋体" w:cs="宋体"/>
          <w:sz w:val="28"/>
          <w:szCs w:val="28"/>
        </w:rPr>
        <w:t>等电气设备内部作业时，其内部含氧量不得</w:t>
      </w:r>
      <w:r>
        <w:rPr>
          <w:rFonts w:hint="eastAsia" w:ascii="宋体" w:hAnsi="宋体" w:cs="宋体"/>
          <w:sz w:val="28"/>
          <w:szCs w:val="28"/>
          <w:highlight w:val="none"/>
        </w:rPr>
        <w:t>小于18%，</w:t>
      </w:r>
      <w:r>
        <w:rPr>
          <w:rFonts w:hint="eastAsia" w:ascii="宋体" w:hAnsi="宋体" w:cs="宋体"/>
          <w:sz w:val="28"/>
          <w:szCs w:val="28"/>
        </w:rPr>
        <w:t>应保持其内部清洁，并不得遗留异物在内。</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w:t>
      </w:r>
      <w:r>
        <w:rPr>
          <w:rFonts w:ascii="宋体" w:hAnsi="宋体" w:cs="宋体"/>
          <w:sz w:val="28"/>
          <w:szCs w:val="28"/>
        </w:rPr>
        <w:t>6</w:t>
      </w:r>
      <w:r>
        <w:rPr>
          <w:rFonts w:hint="eastAsia" w:ascii="宋体" w:hAnsi="宋体" w:cs="宋体"/>
          <w:sz w:val="28"/>
          <w:szCs w:val="28"/>
        </w:rPr>
        <w:t xml:space="preserve"> 电气装置间的连接应符合下列规定：</w:t>
      </w:r>
    </w:p>
    <w:p>
      <w:pPr>
        <w:autoSpaceDE w:val="0"/>
        <w:autoSpaceDN w:val="0"/>
        <w:adjustRightInd w:val="0"/>
        <w:spacing w:line="360" w:lineRule="auto"/>
        <w:ind w:firstLine="560" w:firstLineChars="200"/>
        <w:jc w:val="left"/>
        <w:rPr>
          <w:rFonts w:hint="eastAsia" w:ascii="宋体" w:hAnsi="宋体" w:cs="宋体"/>
          <w:sz w:val="28"/>
          <w:szCs w:val="28"/>
          <w:lang w:val="en-US" w:eastAsia="zh-CN"/>
        </w:rPr>
      </w:pPr>
      <w:r>
        <w:rPr>
          <w:rFonts w:hint="eastAsia" w:ascii="宋体" w:hAnsi="宋体" w:cs="宋体"/>
          <w:sz w:val="28"/>
          <w:szCs w:val="28"/>
        </w:rPr>
        <w:t xml:space="preserve">1 </w:t>
      </w:r>
      <w:r>
        <w:rPr>
          <w:rFonts w:hint="eastAsia" w:ascii="宋体" w:hAnsi="宋体" w:cs="宋体"/>
          <w:sz w:val="28"/>
          <w:szCs w:val="28"/>
          <w:lang w:val="en-US" w:eastAsia="zh-CN"/>
        </w:rPr>
        <w:t>相互连接的电气装置对应关系应正确。</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lang w:val="en-US" w:eastAsia="zh-CN"/>
        </w:rPr>
        <w:t xml:space="preserve">2 </w:t>
      </w:r>
      <w:r>
        <w:rPr>
          <w:rFonts w:hint="eastAsia" w:ascii="宋体" w:hAnsi="宋体" w:cs="宋体"/>
          <w:sz w:val="28"/>
          <w:szCs w:val="28"/>
        </w:rPr>
        <w:t>相序或极性对应关系</w:t>
      </w:r>
      <w:r>
        <w:rPr>
          <w:rFonts w:hint="eastAsia" w:ascii="宋体" w:hAnsi="宋体" w:cs="宋体"/>
          <w:sz w:val="28"/>
          <w:szCs w:val="28"/>
          <w:lang w:val="en-US" w:eastAsia="zh-CN"/>
        </w:rPr>
        <w:t>应</w:t>
      </w:r>
      <w:r>
        <w:rPr>
          <w:rFonts w:hint="eastAsia" w:ascii="宋体" w:hAnsi="宋体" w:cs="宋体"/>
          <w:sz w:val="28"/>
          <w:szCs w:val="28"/>
        </w:rPr>
        <w:t>正确。</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 xml:space="preserve"> 电气连接接触面</w:t>
      </w:r>
      <w:r>
        <w:rPr>
          <w:rFonts w:hint="eastAsia" w:ascii="宋体" w:hAnsi="宋体" w:cs="宋体"/>
          <w:sz w:val="28"/>
          <w:szCs w:val="28"/>
          <w:lang w:val="en-US" w:eastAsia="zh-CN"/>
        </w:rPr>
        <w:t>应</w:t>
      </w:r>
      <w:r>
        <w:rPr>
          <w:rFonts w:hint="eastAsia" w:ascii="宋体" w:hAnsi="宋体" w:cs="宋体"/>
          <w:sz w:val="28"/>
          <w:szCs w:val="28"/>
        </w:rPr>
        <w:t>可靠接触、导通良好。</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w:t>
      </w:r>
      <w:r>
        <w:rPr>
          <w:rFonts w:ascii="宋体" w:hAnsi="宋体" w:cs="宋体"/>
          <w:sz w:val="28"/>
          <w:szCs w:val="28"/>
        </w:rPr>
        <w:t>7</w:t>
      </w:r>
      <w:r>
        <w:rPr>
          <w:rFonts w:hint="eastAsia" w:ascii="宋体" w:hAnsi="宋体" w:cs="宋体"/>
          <w:sz w:val="28"/>
          <w:szCs w:val="28"/>
        </w:rPr>
        <w:t xml:space="preserve"> 电气装置的接地应符合《电力工程接地通用规范》的规定。</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w:t>
      </w:r>
      <w:r>
        <w:rPr>
          <w:rFonts w:ascii="宋体" w:hAnsi="宋体" w:cs="宋体"/>
          <w:sz w:val="28"/>
          <w:szCs w:val="28"/>
        </w:rPr>
        <w:t>8</w:t>
      </w:r>
      <w:r>
        <w:rPr>
          <w:rFonts w:hint="eastAsia" w:ascii="宋体" w:hAnsi="宋体" w:cs="宋体"/>
          <w:sz w:val="28"/>
          <w:szCs w:val="28"/>
        </w:rPr>
        <w:t xml:space="preserve"> 电气装置安装用计量器具，应经检验合格、有效。</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2.0.</w:t>
      </w:r>
      <w:r>
        <w:rPr>
          <w:rFonts w:ascii="宋体" w:hAnsi="宋体" w:cs="宋体"/>
          <w:sz w:val="28"/>
          <w:szCs w:val="28"/>
        </w:rPr>
        <w:t>9</w:t>
      </w:r>
      <w:r>
        <w:rPr>
          <w:rFonts w:hint="eastAsia" w:ascii="宋体" w:hAnsi="宋体" w:cs="宋体"/>
          <w:sz w:val="28"/>
          <w:szCs w:val="28"/>
        </w:rPr>
        <w:t xml:space="preserve"> 投运前</w:t>
      </w:r>
      <w:r>
        <w:rPr>
          <w:rFonts w:hint="eastAsia" w:ascii="宋体" w:hAnsi="宋体" w:cs="宋体"/>
          <w:sz w:val="28"/>
          <w:szCs w:val="28"/>
          <w:lang w:eastAsia="zh-CN"/>
        </w:rPr>
        <w:t>的</w:t>
      </w:r>
      <w:r>
        <w:rPr>
          <w:rFonts w:hint="eastAsia" w:ascii="宋体" w:hAnsi="宋体" w:cs="宋体"/>
          <w:sz w:val="28"/>
          <w:szCs w:val="28"/>
        </w:rPr>
        <w:t>电气装置应符合下列规定：</w:t>
      </w:r>
    </w:p>
    <w:p>
      <w:pPr>
        <w:widowControl/>
        <w:numPr>
          <w:ilvl w:val="255"/>
          <w:numId w:val="0"/>
        </w:num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1 电气安全距离</w:t>
      </w:r>
      <w:r>
        <w:rPr>
          <w:rFonts w:hint="eastAsia" w:ascii="宋体" w:hAnsi="宋体" w:cs="宋体"/>
          <w:sz w:val="28"/>
          <w:szCs w:val="28"/>
          <w:lang w:val="en-US" w:eastAsia="zh-CN"/>
        </w:rPr>
        <w:t>应</w:t>
      </w:r>
      <w:r>
        <w:rPr>
          <w:rFonts w:hint="eastAsia" w:ascii="宋体" w:hAnsi="宋体" w:cs="宋体"/>
          <w:sz w:val="28"/>
          <w:szCs w:val="28"/>
        </w:rPr>
        <w:t>符合</w:t>
      </w:r>
      <w:r>
        <w:rPr>
          <w:rFonts w:hint="eastAsia" w:ascii="宋体" w:hAnsi="宋体" w:cs="宋体"/>
          <w:sz w:val="28"/>
          <w:szCs w:val="28"/>
          <w:lang w:eastAsia="zh-CN"/>
        </w:rPr>
        <w:t>设计文件要求</w:t>
      </w:r>
      <w:r>
        <w:rPr>
          <w:rFonts w:hint="eastAsia" w:ascii="宋体" w:hAnsi="宋体" w:cs="宋体"/>
          <w:sz w:val="28"/>
          <w:szCs w:val="28"/>
        </w:rPr>
        <w:t>。</w:t>
      </w:r>
    </w:p>
    <w:p>
      <w:pPr>
        <w:widowControl/>
        <w:numPr>
          <w:ilvl w:val="255"/>
          <w:numId w:val="0"/>
        </w:num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2 电气接触</w:t>
      </w:r>
      <w:r>
        <w:rPr>
          <w:rFonts w:hint="eastAsia" w:ascii="宋体" w:hAnsi="宋体" w:cs="宋体"/>
          <w:sz w:val="28"/>
          <w:szCs w:val="28"/>
          <w:lang w:val="en-US" w:eastAsia="zh-CN"/>
        </w:rPr>
        <w:t>应</w:t>
      </w:r>
      <w:r>
        <w:rPr>
          <w:rFonts w:hint="eastAsia" w:ascii="宋体" w:hAnsi="宋体" w:cs="宋体"/>
          <w:sz w:val="28"/>
          <w:szCs w:val="28"/>
        </w:rPr>
        <w:t>良好，安装</w:t>
      </w:r>
      <w:r>
        <w:rPr>
          <w:rFonts w:hint="eastAsia" w:ascii="宋体" w:hAnsi="宋体" w:cs="宋体"/>
          <w:sz w:val="28"/>
          <w:szCs w:val="28"/>
          <w:lang w:val="en-US" w:eastAsia="zh-CN"/>
        </w:rPr>
        <w:t>应</w:t>
      </w:r>
      <w:r>
        <w:rPr>
          <w:rFonts w:hint="eastAsia" w:ascii="宋体" w:hAnsi="宋体" w:cs="宋体"/>
          <w:sz w:val="28"/>
          <w:szCs w:val="28"/>
        </w:rPr>
        <w:t>牢固。</w:t>
      </w:r>
    </w:p>
    <w:p>
      <w:pPr>
        <w:widowControl/>
        <w:numPr>
          <w:ilvl w:val="255"/>
          <w:numId w:val="0"/>
        </w:num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3 电气装置试验</w:t>
      </w:r>
      <w:r>
        <w:rPr>
          <w:rFonts w:hint="eastAsia" w:ascii="宋体" w:hAnsi="宋体" w:cs="宋体"/>
          <w:sz w:val="28"/>
          <w:szCs w:val="28"/>
          <w:lang w:val="en-US" w:eastAsia="zh-CN"/>
        </w:rPr>
        <w:t>和</w:t>
      </w:r>
      <w:r>
        <w:rPr>
          <w:rFonts w:hint="eastAsia" w:ascii="宋体" w:hAnsi="宋体" w:cs="宋体"/>
          <w:sz w:val="28"/>
          <w:szCs w:val="28"/>
        </w:rPr>
        <w:t>验收</w:t>
      </w:r>
      <w:r>
        <w:rPr>
          <w:rFonts w:hint="eastAsia" w:ascii="宋体" w:hAnsi="宋体" w:cs="宋体"/>
          <w:sz w:val="28"/>
          <w:szCs w:val="28"/>
          <w:lang w:val="en-US" w:eastAsia="zh-CN"/>
        </w:rPr>
        <w:t>应</w:t>
      </w:r>
      <w:r>
        <w:rPr>
          <w:rFonts w:hint="eastAsia" w:ascii="宋体" w:hAnsi="宋体" w:cs="宋体"/>
          <w:sz w:val="28"/>
          <w:szCs w:val="28"/>
        </w:rPr>
        <w:t>合格。</w:t>
      </w:r>
    </w:p>
    <w:p>
      <w:pPr>
        <w:widowControl/>
        <w:numPr>
          <w:ilvl w:val="255"/>
          <w:numId w:val="0"/>
        </w:num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en-US" w:eastAsia="zh-CN"/>
        </w:rPr>
        <w:t xml:space="preserve"> </w:t>
      </w:r>
      <w:r>
        <w:rPr>
          <w:rFonts w:hint="eastAsia" w:ascii="宋体" w:hAnsi="宋体" w:cs="宋体"/>
          <w:sz w:val="28"/>
          <w:szCs w:val="28"/>
        </w:rPr>
        <w:t>电气装置</w:t>
      </w:r>
      <w:r>
        <w:rPr>
          <w:rFonts w:hint="eastAsia" w:ascii="宋体" w:hAnsi="宋体" w:cs="宋体"/>
          <w:sz w:val="28"/>
          <w:szCs w:val="28"/>
          <w:lang w:eastAsia="zh-CN"/>
        </w:rPr>
        <w:t>的</w:t>
      </w:r>
      <w:r>
        <w:rPr>
          <w:rFonts w:hint="eastAsia" w:ascii="宋体" w:hAnsi="宋体" w:cs="宋体"/>
          <w:sz w:val="28"/>
          <w:szCs w:val="28"/>
          <w:lang w:val="en-US" w:eastAsia="zh-CN"/>
        </w:rPr>
        <w:t>消防设施应符合设计文件要求</w:t>
      </w:r>
      <w:r>
        <w:rPr>
          <w:rFonts w:hint="eastAsia" w:ascii="宋体" w:hAnsi="宋体" w:cs="宋体"/>
          <w:sz w:val="28"/>
          <w:szCs w:val="28"/>
        </w:rPr>
        <w:t>。</w:t>
      </w:r>
    </w:p>
    <w:p>
      <w:pPr>
        <w:autoSpaceDE w:val="0"/>
        <w:autoSpaceDN w:val="0"/>
        <w:adjustRightInd w:val="0"/>
        <w:spacing w:line="360" w:lineRule="auto"/>
        <w:jc w:val="left"/>
        <w:rPr>
          <w:rFonts w:ascii="宋体" w:hAnsi="宋体" w:cs="宋体"/>
          <w:sz w:val="28"/>
          <w:szCs w:val="28"/>
        </w:rPr>
      </w:pPr>
    </w:p>
    <w:p/>
    <w:p/>
    <w:p/>
    <w:p/>
    <w:p/>
    <w:p/>
    <w:p>
      <w:pPr>
        <w:pStyle w:val="20"/>
        <w:widowControl/>
        <w:snapToGrid w:val="0"/>
        <w:spacing w:before="478" w:beforeLines="150" w:after="478" w:afterLines="150" w:line="300" w:lineRule="auto"/>
        <w:rPr>
          <w:rFonts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p>
    <w:p>
      <w:pPr>
        <w:pStyle w:val="19"/>
        <w:rPr>
          <w:rFonts w:ascii="宋体" w:hAnsi="宋体" w:eastAsia="宋体" w:cs="宋体"/>
          <w:sz w:val="30"/>
          <w:szCs w:val="30"/>
        </w:rPr>
      </w:pPr>
    </w:p>
    <w:p>
      <w:pPr>
        <w:pStyle w:val="19"/>
        <w:rPr>
          <w:rFonts w:ascii="宋体" w:hAnsi="宋体" w:eastAsia="宋体" w:cs="宋体"/>
          <w:sz w:val="30"/>
          <w:szCs w:val="30"/>
        </w:rPr>
      </w:pPr>
    </w:p>
    <w:p>
      <w:pPr>
        <w:pStyle w:val="20"/>
        <w:widowControl/>
        <w:snapToGrid w:val="0"/>
        <w:spacing w:before="478" w:beforeLines="150" w:after="478" w:afterLines="150" w:line="300" w:lineRule="auto"/>
        <w:rPr>
          <w:rFonts w:hint="eastAsia" w:ascii="宋体" w:hAnsi="宋体" w:eastAsia="宋体" w:cs="宋体"/>
          <w:sz w:val="30"/>
          <w:szCs w:val="30"/>
        </w:rPr>
      </w:pPr>
    </w:p>
    <w:p>
      <w:pPr>
        <w:pStyle w:val="20"/>
        <w:widowControl/>
        <w:snapToGrid w:val="0"/>
        <w:spacing w:before="478" w:beforeLines="150" w:after="478" w:afterLines="150" w:line="300" w:lineRule="auto"/>
        <w:rPr>
          <w:rFonts w:ascii="宋体" w:hAnsi="宋体" w:eastAsia="宋体" w:cs="宋体"/>
          <w:sz w:val="30"/>
          <w:szCs w:val="30"/>
        </w:rPr>
      </w:pPr>
      <w:r>
        <w:rPr>
          <w:rFonts w:hint="eastAsia" w:ascii="宋体" w:hAnsi="宋体" w:eastAsia="宋体" w:cs="宋体"/>
          <w:sz w:val="30"/>
          <w:szCs w:val="30"/>
        </w:rPr>
        <w:t>3 旋转电机</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3.0.1 发电机、调相机转子现场保管时，不得使护环受力，并应按要求定期盘动转子。</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3.0.2 发电机、调相机引、出线的安装，不得使单相引线或出线周围构成闭合铁磁回路。</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3.0.3 隔绝发电机、励磁装置轴电流的绝缘部件应能有效隔绝轴电流。</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3.0.4  发电机、调相机定子、转子及氢、油、氢冷器水系统管路等的密封性试验、定子整体性气密试验和转子通风试验应合格，定子冷却水回路应通畅。</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3.0.5 现场组装的对拼接头电气连接接触面应无变形和机械损伤，螺栓紧固力矩值应正确，连接后直流电阻测试应合格。</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3.0.6 发电机及气体系统进行检漏试验和漏气量试验时，在系统未泄压或系统内尚含有氢气时不得施焊。</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3.0.7 发电机氢气、二氧化碳系统安装，含氢的排放管道应单独接到厂房外安全处，排氢管关口应设阻火器。</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3.0.8 不得在置换氢过程中进行发电机、调相机定子绕组交、直流耐压试验。</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3.0.9 转动机械在初次启动前，就地紧急停车装置应试验合格。</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3.0.10 发电机和调相机定子冷却水水质和氢气质量指标应检测合格。</w:t>
      </w:r>
    </w:p>
    <w:p>
      <w:pPr>
        <w:widowControl/>
        <w:autoSpaceDE w:val="0"/>
        <w:autoSpaceDN w:val="0"/>
        <w:adjustRightInd w:val="0"/>
        <w:spacing w:line="360" w:lineRule="auto"/>
        <w:jc w:val="left"/>
        <w:rPr>
          <w:rFonts w:hint="eastAsia" w:ascii="宋体" w:hAnsi="宋体" w:eastAsia="宋体" w:cs="宋体"/>
          <w:sz w:val="28"/>
          <w:szCs w:val="28"/>
          <w:lang w:val="en-US" w:eastAsia="zh-CN"/>
        </w:rPr>
      </w:pPr>
      <w:r>
        <w:rPr>
          <w:rFonts w:hint="eastAsia" w:ascii="宋体" w:hAnsi="宋体" w:cs="宋体"/>
          <w:sz w:val="28"/>
          <w:szCs w:val="28"/>
        </w:rPr>
        <w:t>3.0.11 旋转电机的旋转方向和相序应正确。发电机</w:t>
      </w:r>
      <w:r>
        <w:rPr>
          <w:rFonts w:hint="eastAsia" w:ascii="宋体" w:hAnsi="宋体" w:cs="宋体"/>
          <w:sz w:val="28"/>
          <w:szCs w:val="28"/>
          <w:lang w:eastAsia="zh-CN"/>
        </w:rPr>
        <w:t>、</w:t>
      </w:r>
      <w:r>
        <w:rPr>
          <w:rFonts w:hint="eastAsia" w:ascii="宋体" w:hAnsi="宋体" w:cs="宋体"/>
          <w:sz w:val="28"/>
          <w:szCs w:val="28"/>
        </w:rPr>
        <w:t>调相机</w:t>
      </w:r>
      <w:r>
        <w:rPr>
          <w:rFonts w:hint="eastAsia" w:ascii="宋体" w:hAnsi="宋体" w:cs="宋体"/>
          <w:sz w:val="28"/>
          <w:szCs w:val="28"/>
          <w:lang w:val="en-US" w:eastAsia="zh-CN"/>
        </w:rPr>
        <w:t>运行声音、各部位温度以及振动指标应正常。</w:t>
      </w:r>
    </w:p>
    <w:bookmarkEnd w:id="0"/>
    <w:bookmarkEnd w:id="1"/>
    <w:p>
      <w:pPr>
        <w:pStyle w:val="20"/>
        <w:widowControl/>
        <w:snapToGrid w:val="0"/>
        <w:spacing w:before="478" w:beforeLines="150" w:after="478" w:afterLines="150" w:line="300" w:lineRule="auto"/>
        <w:rPr>
          <w:rFonts w:ascii="宋体" w:hAnsi="宋体" w:eastAsia="宋体" w:cs="宋体"/>
          <w:sz w:val="30"/>
          <w:szCs w:val="30"/>
        </w:rPr>
      </w:pPr>
      <w:bookmarkStart w:id="6" w:name="_Toc28389904"/>
      <w:r>
        <w:rPr>
          <w:rFonts w:hint="eastAsia" w:ascii="宋体" w:hAnsi="宋体" w:eastAsia="宋体" w:cs="宋体"/>
          <w:sz w:val="30"/>
          <w:szCs w:val="30"/>
        </w:rPr>
        <w:t>4  电力变压器、电抗器及互感器</w:t>
      </w:r>
      <w:bookmarkEnd w:id="6"/>
    </w:p>
    <w:p>
      <w:pPr>
        <w:widowControl/>
        <w:autoSpaceDE w:val="0"/>
        <w:autoSpaceDN w:val="0"/>
        <w:adjustRightInd w:val="0"/>
        <w:spacing w:line="360" w:lineRule="auto"/>
        <w:jc w:val="left"/>
        <w:rPr>
          <w:rFonts w:hint="eastAsia" w:ascii="宋体" w:hAnsi="宋体" w:cs="宋体"/>
          <w:sz w:val="28"/>
          <w:szCs w:val="28"/>
        </w:rPr>
      </w:pPr>
      <w:r>
        <w:rPr>
          <w:rFonts w:hint="eastAsia" w:ascii="宋体" w:hAnsi="宋体" w:cs="宋体"/>
          <w:sz w:val="28"/>
          <w:szCs w:val="28"/>
        </w:rPr>
        <w:t>4.0.1 220kV及以上且容量150MV</w:t>
      </w:r>
      <w:r>
        <w:rPr>
          <w:rFonts w:hint="eastAsia" w:ascii="宋体" w:hAnsi="宋体" w:cs="宋体"/>
          <w:sz w:val="28"/>
          <w:szCs w:val="28"/>
          <w:lang w:val="en-US" w:eastAsia="zh-CN"/>
        </w:rPr>
        <w:t xml:space="preserve"> </w:t>
      </w:r>
      <w:r>
        <w:rPr>
          <w:rFonts w:hint="eastAsia" w:ascii="宋体" w:hAnsi="宋体" w:cs="宋体"/>
          <w:sz w:val="28"/>
          <w:szCs w:val="28"/>
        </w:rPr>
        <w:t>A及以上的电力变压器和330kV及以上的油浸电抗器在装卸和运输过程中应装设三维冲击记录仪，冲击值</w:t>
      </w:r>
      <w:r>
        <w:rPr>
          <w:rFonts w:hint="eastAsia" w:ascii="宋体" w:hAnsi="宋体" w:cs="宋体"/>
          <w:sz w:val="28"/>
          <w:szCs w:val="28"/>
          <w:lang w:eastAsia="zh-CN"/>
        </w:rPr>
        <w:t>不得</w:t>
      </w:r>
      <w:r>
        <w:rPr>
          <w:rFonts w:hint="eastAsia" w:ascii="宋体" w:hAnsi="宋体" w:cs="宋体"/>
          <w:sz w:val="28"/>
          <w:szCs w:val="28"/>
        </w:rPr>
        <w:t>大于3g。</w:t>
      </w:r>
    </w:p>
    <w:p>
      <w:pPr>
        <w:widowControl/>
        <w:autoSpaceDE w:val="0"/>
        <w:autoSpaceDN w:val="0"/>
        <w:adjustRightInd w:val="0"/>
        <w:spacing w:line="360" w:lineRule="auto"/>
        <w:jc w:val="left"/>
        <w:rPr>
          <w:rFonts w:hint="eastAsia" w:ascii="宋体" w:hAnsi="宋体" w:cs="宋体"/>
          <w:sz w:val="28"/>
          <w:szCs w:val="28"/>
        </w:rPr>
      </w:pPr>
      <w:r>
        <w:rPr>
          <w:rFonts w:hint="eastAsia" w:ascii="宋体" w:hAnsi="宋体" w:cs="宋体"/>
          <w:sz w:val="28"/>
          <w:szCs w:val="28"/>
        </w:rPr>
        <w:t>4.0.2 充干燥气体运输和保管的变压器、电抗器油箱内的气体压力应保持在0.01MPa～0.03MPa，干燥气体露点应低于-40℃。</w:t>
      </w:r>
    </w:p>
    <w:p>
      <w:pPr>
        <w:widowControl/>
        <w:autoSpaceDE w:val="0"/>
        <w:autoSpaceDN w:val="0"/>
        <w:adjustRightInd w:val="0"/>
        <w:spacing w:line="360" w:lineRule="auto"/>
        <w:jc w:val="left"/>
        <w:rPr>
          <w:rFonts w:hint="eastAsia" w:ascii="宋体" w:hAnsi="宋体" w:cs="宋体"/>
          <w:sz w:val="28"/>
          <w:szCs w:val="28"/>
        </w:rPr>
      </w:pPr>
      <w:r>
        <w:rPr>
          <w:rFonts w:hint="eastAsia" w:ascii="宋体" w:hAnsi="宋体" w:cs="宋体"/>
          <w:sz w:val="28"/>
          <w:szCs w:val="28"/>
        </w:rPr>
        <w:t>4.0.3</w:t>
      </w:r>
      <w:r>
        <w:rPr>
          <w:rFonts w:hint="eastAsia" w:ascii="宋体" w:hAnsi="宋体" w:cs="宋体"/>
          <w:sz w:val="28"/>
          <w:szCs w:val="28"/>
          <w:lang w:val="en-US" w:eastAsia="zh-CN"/>
        </w:rPr>
        <w:t xml:space="preserve"> </w:t>
      </w:r>
      <w:r>
        <w:rPr>
          <w:rFonts w:hint="eastAsia" w:ascii="宋体" w:hAnsi="宋体" w:cs="宋体"/>
          <w:sz w:val="28"/>
          <w:szCs w:val="28"/>
        </w:rPr>
        <w:t>变压器、电抗器在器身内检过程中，应向箱体内持续补充露点低于-40℃的干燥空气，</w:t>
      </w:r>
      <w:r>
        <w:rPr>
          <w:rFonts w:hint="eastAsia" w:ascii="宋体" w:hAnsi="宋体" w:cs="宋体"/>
          <w:sz w:val="28"/>
          <w:szCs w:val="28"/>
          <w:lang w:val="en-US" w:eastAsia="zh-CN"/>
        </w:rPr>
        <w:t>器身内</w:t>
      </w:r>
      <w:r>
        <w:rPr>
          <w:rFonts w:hint="eastAsia" w:ascii="宋体" w:hAnsi="宋体" w:cs="宋体"/>
          <w:sz w:val="28"/>
          <w:szCs w:val="28"/>
        </w:rPr>
        <w:t>相对湿度不</w:t>
      </w:r>
      <w:r>
        <w:rPr>
          <w:rFonts w:hint="eastAsia" w:ascii="宋体" w:hAnsi="宋体" w:cs="宋体"/>
          <w:sz w:val="28"/>
          <w:szCs w:val="28"/>
          <w:lang w:val="en-US" w:eastAsia="zh-CN"/>
        </w:rPr>
        <w:t>得</w:t>
      </w:r>
      <w:r>
        <w:rPr>
          <w:rFonts w:hint="eastAsia" w:ascii="宋体" w:hAnsi="宋体" w:cs="宋体"/>
          <w:sz w:val="28"/>
          <w:szCs w:val="28"/>
        </w:rPr>
        <w:t>大于20%。</w:t>
      </w:r>
    </w:p>
    <w:p>
      <w:pPr>
        <w:widowControl/>
        <w:autoSpaceDE w:val="0"/>
        <w:autoSpaceDN w:val="0"/>
        <w:adjustRightInd w:val="0"/>
        <w:spacing w:line="360" w:lineRule="auto"/>
        <w:jc w:val="left"/>
        <w:rPr>
          <w:rFonts w:hint="eastAsia" w:ascii="宋体" w:hAnsi="宋体" w:cs="宋体"/>
          <w:sz w:val="28"/>
          <w:szCs w:val="28"/>
        </w:rPr>
      </w:pPr>
      <w:r>
        <w:rPr>
          <w:rFonts w:hint="eastAsia" w:ascii="宋体" w:hAnsi="宋体" w:cs="宋体"/>
          <w:sz w:val="28"/>
          <w:szCs w:val="28"/>
        </w:rPr>
        <w:t>4.0.4 干式空心电抗器周围</w:t>
      </w:r>
      <w:r>
        <w:rPr>
          <w:rFonts w:hint="eastAsia" w:ascii="宋体" w:hAnsi="宋体" w:cs="宋体"/>
          <w:sz w:val="28"/>
          <w:szCs w:val="28"/>
          <w:lang w:eastAsia="zh-CN"/>
        </w:rPr>
        <w:t>不得</w:t>
      </w:r>
      <w:r>
        <w:rPr>
          <w:rFonts w:hint="eastAsia" w:ascii="宋体" w:hAnsi="宋体" w:cs="宋体"/>
          <w:sz w:val="28"/>
          <w:szCs w:val="28"/>
        </w:rPr>
        <w:t>形成闭合铁磁回路。</w:t>
      </w:r>
    </w:p>
    <w:p>
      <w:pPr>
        <w:widowControl/>
        <w:autoSpaceDE w:val="0"/>
        <w:autoSpaceDN w:val="0"/>
        <w:adjustRightInd w:val="0"/>
        <w:spacing w:line="360" w:lineRule="auto"/>
        <w:jc w:val="left"/>
        <w:rPr>
          <w:rFonts w:hint="eastAsia" w:ascii="宋体" w:hAnsi="宋体" w:cs="宋体"/>
          <w:sz w:val="28"/>
          <w:szCs w:val="28"/>
        </w:rPr>
      </w:pPr>
      <w:r>
        <w:rPr>
          <w:rFonts w:hint="eastAsia" w:ascii="宋体" w:hAnsi="宋体" w:cs="宋体"/>
          <w:sz w:val="28"/>
          <w:szCs w:val="28"/>
        </w:rPr>
        <w:t>4.0.5 绝缘油的现场储存、处理及注油应符合下列规定：</w:t>
      </w:r>
    </w:p>
    <w:p>
      <w:pPr>
        <w:widowControl/>
        <w:autoSpaceDE w:val="0"/>
        <w:autoSpaceDN w:val="0"/>
        <w:adjustRightInd w:val="0"/>
        <w:spacing w:line="360" w:lineRule="auto"/>
        <w:ind w:firstLine="560" w:firstLineChars="200"/>
        <w:jc w:val="left"/>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 xml:space="preserve"> </w:t>
      </w:r>
      <w:r>
        <w:rPr>
          <w:rFonts w:hint="eastAsia" w:ascii="宋体" w:hAnsi="宋体" w:cs="宋体"/>
          <w:sz w:val="28"/>
          <w:szCs w:val="28"/>
        </w:rPr>
        <w:t>油罐、油处理设备、器身应可靠接地。</w:t>
      </w:r>
    </w:p>
    <w:p>
      <w:pPr>
        <w:widowControl/>
        <w:numPr>
          <w:ilvl w:val="-1"/>
          <w:numId w:val="0"/>
        </w:numPr>
        <w:autoSpaceDE w:val="0"/>
        <w:autoSpaceDN w:val="0"/>
        <w:adjustRightInd w:val="0"/>
        <w:spacing w:line="360" w:lineRule="auto"/>
        <w:ind w:firstLine="560" w:firstLineChars="200"/>
        <w:jc w:val="left"/>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 xml:space="preserve"> </w:t>
      </w:r>
      <w:r>
        <w:rPr>
          <w:rFonts w:hint="eastAsia" w:ascii="宋体" w:hAnsi="宋体" w:cs="宋体"/>
          <w:sz w:val="28"/>
          <w:szCs w:val="28"/>
        </w:rPr>
        <w:t>注入器身的绝缘油应试验合格。</w:t>
      </w:r>
    </w:p>
    <w:p>
      <w:pPr>
        <w:widowControl/>
        <w:numPr>
          <w:ilvl w:val="-1"/>
          <w:numId w:val="0"/>
        </w:numPr>
        <w:autoSpaceDE w:val="0"/>
        <w:autoSpaceDN w:val="0"/>
        <w:adjustRightInd w:val="0"/>
        <w:spacing w:line="360" w:lineRule="auto"/>
        <w:ind w:firstLine="560" w:firstLineChars="200"/>
        <w:jc w:val="left"/>
        <w:rPr>
          <w:rFonts w:hint="eastAsia" w:ascii="宋体" w:hAnsi="宋体" w:cs="宋体"/>
          <w:sz w:val="28"/>
          <w:szCs w:val="28"/>
        </w:rPr>
      </w:pPr>
      <w:r>
        <w:rPr>
          <w:rFonts w:hint="eastAsia" w:ascii="宋体" w:hAnsi="宋体" w:cs="宋体"/>
          <w:sz w:val="28"/>
          <w:szCs w:val="28"/>
        </w:rPr>
        <w:t>3</w:t>
      </w:r>
      <w:r>
        <w:rPr>
          <w:rFonts w:hint="eastAsia" w:ascii="宋体" w:hAnsi="宋体" w:cs="宋体"/>
          <w:sz w:val="28"/>
          <w:szCs w:val="28"/>
          <w:lang w:val="en-US" w:eastAsia="zh-CN"/>
        </w:rPr>
        <w:t xml:space="preserve"> 不同牌号的绝缘油或同牌号的新油与运行过的油混合使用前，应做混油试验。</w:t>
      </w:r>
    </w:p>
    <w:p>
      <w:pPr>
        <w:widowControl/>
        <w:autoSpaceDE w:val="0"/>
        <w:autoSpaceDN w:val="0"/>
        <w:adjustRightInd w:val="0"/>
        <w:spacing w:line="360" w:lineRule="auto"/>
        <w:jc w:val="left"/>
        <w:rPr>
          <w:rFonts w:hint="eastAsia" w:ascii="宋体" w:hAnsi="宋体" w:cs="宋体"/>
          <w:sz w:val="28"/>
          <w:szCs w:val="28"/>
        </w:rPr>
      </w:pPr>
      <w:r>
        <w:rPr>
          <w:rFonts w:hint="eastAsia" w:ascii="宋体" w:hAnsi="宋体" w:cs="宋体"/>
          <w:sz w:val="28"/>
          <w:szCs w:val="28"/>
        </w:rPr>
        <w:t xml:space="preserve">4.0.6 </w:t>
      </w:r>
      <w:r>
        <w:rPr>
          <w:rFonts w:hint="eastAsia" w:ascii="宋体" w:hAnsi="宋体" w:cs="宋体"/>
          <w:sz w:val="28"/>
          <w:szCs w:val="28"/>
          <w:lang w:val="en-US" w:eastAsia="zh-CN"/>
        </w:rPr>
        <w:t>互感器接地应正确。</w:t>
      </w:r>
      <w:r>
        <w:rPr>
          <w:rFonts w:hint="eastAsia" w:ascii="宋体" w:hAnsi="宋体" w:cs="宋体"/>
          <w:sz w:val="28"/>
          <w:szCs w:val="28"/>
        </w:rPr>
        <w:t>电流互感器二次</w:t>
      </w:r>
      <w:r>
        <w:rPr>
          <w:rFonts w:hint="eastAsia" w:ascii="宋体" w:hAnsi="宋体" w:cs="宋体"/>
          <w:sz w:val="28"/>
          <w:szCs w:val="28"/>
          <w:lang w:val="en-US" w:eastAsia="zh-CN"/>
        </w:rPr>
        <w:t>绕组不得开路</w:t>
      </w:r>
      <w:r>
        <w:rPr>
          <w:rFonts w:hint="eastAsia" w:ascii="宋体" w:hAnsi="宋体" w:cs="宋体"/>
          <w:sz w:val="28"/>
          <w:szCs w:val="28"/>
        </w:rPr>
        <w:t>，电压互感器二次</w:t>
      </w:r>
      <w:r>
        <w:rPr>
          <w:rFonts w:hint="eastAsia" w:ascii="宋体" w:hAnsi="宋体" w:cs="宋体"/>
          <w:sz w:val="28"/>
          <w:szCs w:val="28"/>
          <w:lang w:val="en-US" w:eastAsia="zh-CN"/>
        </w:rPr>
        <w:t>绕组</w:t>
      </w:r>
      <w:r>
        <w:rPr>
          <w:rFonts w:hint="eastAsia" w:ascii="宋体" w:hAnsi="宋体" w:cs="宋体"/>
          <w:sz w:val="28"/>
          <w:szCs w:val="28"/>
        </w:rPr>
        <w:t>不</w:t>
      </w:r>
      <w:r>
        <w:rPr>
          <w:rFonts w:hint="eastAsia" w:ascii="宋体" w:hAnsi="宋体" w:cs="宋体"/>
          <w:sz w:val="28"/>
          <w:szCs w:val="28"/>
          <w:lang w:val="en-US" w:eastAsia="zh-CN"/>
        </w:rPr>
        <w:t>得</w:t>
      </w:r>
      <w:r>
        <w:rPr>
          <w:rFonts w:hint="eastAsia" w:ascii="宋体" w:hAnsi="宋体" w:cs="宋体"/>
          <w:sz w:val="28"/>
          <w:szCs w:val="28"/>
        </w:rPr>
        <w:t>短路。</w:t>
      </w:r>
    </w:p>
    <w:p>
      <w:pPr>
        <w:widowControl/>
        <w:autoSpaceDE w:val="0"/>
        <w:autoSpaceDN w:val="0"/>
        <w:adjustRightInd w:val="0"/>
        <w:spacing w:line="360" w:lineRule="auto"/>
        <w:ind w:firstLine="0" w:firstLineChars="0"/>
        <w:jc w:val="left"/>
        <w:rPr>
          <w:rFonts w:hint="eastAsia" w:ascii="宋体" w:hAnsi="宋体" w:cs="宋体"/>
          <w:sz w:val="28"/>
          <w:szCs w:val="28"/>
          <w:lang w:val="en-US" w:eastAsia="zh-CN"/>
        </w:rPr>
      </w:pPr>
      <w:r>
        <w:rPr>
          <w:rFonts w:hint="eastAsia" w:ascii="宋体" w:hAnsi="宋体" w:cs="宋体"/>
          <w:sz w:val="28"/>
          <w:szCs w:val="28"/>
        </w:rPr>
        <w:t xml:space="preserve">4.0.7 </w:t>
      </w:r>
      <w:r>
        <w:rPr>
          <w:rFonts w:hint="eastAsia" w:ascii="宋体" w:hAnsi="宋体" w:cs="宋体"/>
          <w:sz w:val="28"/>
          <w:szCs w:val="28"/>
          <w:lang w:val="en-US" w:eastAsia="zh-CN"/>
        </w:rPr>
        <w:t>变压器、电抗器的接地应符合下列规定：</w:t>
      </w:r>
    </w:p>
    <w:p>
      <w:pPr>
        <w:widowControl/>
        <w:autoSpaceDE w:val="0"/>
        <w:autoSpaceDN w:val="0"/>
        <w:adjustRightInd w:val="0"/>
        <w:spacing w:line="360" w:lineRule="auto"/>
        <w:ind w:firstLine="560" w:firstLineChars="200"/>
        <w:jc w:val="left"/>
        <w:rPr>
          <w:rFonts w:hint="eastAsia" w:ascii="宋体" w:hAnsi="宋体" w:cs="宋体"/>
          <w:sz w:val="28"/>
          <w:szCs w:val="28"/>
        </w:rPr>
      </w:pPr>
      <w:r>
        <w:rPr>
          <w:rFonts w:hint="eastAsia" w:ascii="宋体" w:hAnsi="宋体" w:cs="宋体"/>
          <w:sz w:val="28"/>
          <w:szCs w:val="28"/>
          <w:lang w:val="en-US" w:eastAsia="zh-CN"/>
        </w:rPr>
        <w:t xml:space="preserve">1 </w:t>
      </w:r>
      <w:r>
        <w:rPr>
          <w:rFonts w:hint="eastAsia" w:ascii="宋体" w:hAnsi="宋体" w:cs="宋体"/>
          <w:sz w:val="28"/>
          <w:szCs w:val="28"/>
        </w:rPr>
        <w:t>变压器本体不应少于两点接地。</w:t>
      </w:r>
    </w:p>
    <w:p>
      <w:pPr>
        <w:widowControl/>
        <w:autoSpaceDE w:val="0"/>
        <w:autoSpaceDN w:val="0"/>
        <w:adjustRightInd w:val="0"/>
        <w:spacing w:line="360" w:lineRule="auto"/>
        <w:ind w:firstLine="560" w:firstLineChars="200"/>
        <w:jc w:val="left"/>
        <w:rPr>
          <w:rFonts w:hint="eastAsia" w:ascii="宋体" w:hAnsi="宋体" w:cs="宋体"/>
          <w:sz w:val="28"/>
          <w:szCs w:val="28"/>
        </w:rPr>
      </w:pPr>
      <w:r>
        <w:rPr>
          <w:rFonts w:hint="eastAsia" w:ascii="宋体" w:hAnsi="宋体" w:cs="宋体"/>
          <w:sz w:val="28"/>
          <w:szCs w:val="28"/>
          <w:lang w:val="en-US" w:eastAsia="zh-CN"/>
        </w:rPr>
        <w:t xml:space="preserve">2 </w:t>
      </w:r>
      <w:r>
        <w:rPr>
          <w:rFonts w:hint="eastAsia" w:ascii="宋体" w:hAnsi="宋体" w:cs="宋体"/>
          <w:sz w:val="28"/>
          <w:szCs w:val="28"/>
        </w:rPr>
        <w:t>铁心、夹件的接地引出线应可靠接地，套管末屏应可靠接地。</w:t>
      </w:r>
    </w:p>
    <w:p>
      <w:pPr>
        <w:widowControl/>
        <w:autoSpaceDE w:val="0"/>
        <w:autoSpaceDN w:val="0"/>
        <w:adjustRightInd w:val="0"/>
        <w:spacing w:line="360" w:lineRule="auto"/>
        <w:ind w:firstLine="560" w:firstLineChars="200"/>
        <w:jc w:val="left"/>
        <w:rPr>
          <w:rFonts w:hint="eastAsia" w:ascii="宋体" w:hAnsi="宋体" w:cs="宋体"/>
          <w:sz w:val="28"/>
          <w:szCs w:val="28"/>
        </w:rPr>
      </w:pPr>
      <w:r>
        <w:rPr>
          <w:rFonts w:hint="eastAsia" w:ascii="宋体" w:hAnsi="宋体" w:cs="宋体"/>
          <w:sz w:val="28"/>
          <w:szCs w:val="28"/>
          <w:lang w:val="en-US" w:eastAsia="zh-CN"/>
        </w:rPr>
        <w:t xml:space="preserve">3 </w:t>
      </w:r>
      <w:r>
        <w:rPr>
          <w:rFonts w:hint="eastAsia" w:ascii="宋体" w:hAnsi="宋体" w:cs="宋体"/>
          <w:sz w:val="28"/>
          <w:szCs w:val="28"/>
        </w:rPr>
        <w:t>110kV及以上电压等级且运行要求直接接地的设备中性点接地线引下后，应与主接地网的两个不同干线连接。</w:t>
      </w:r>
    </w:p>
    <w:p>
      <w:pPr>
        <w:widowControl/>
        <w:autoSpaceDE w:val="0"/>
        <w:autoSpaceDN w:val="0"/>
        <w:adjustRightInd w:val="0"/>
        <w:spacing w:line="360" w:lineRule="auto"/>
        <w:ind w:firstLine="0" w:firstLineChars="0"/>
        <w:jc w:val="left"/>
        <w:rPr>
          <w:rFonts w:hint="eastAsia" w:ascii="宋体" w:hAnsi="宋体" w:cs="宋体"/>
          <w:b w:val="0"/>
          <w:bCs w:val="0"/>
          <w:sz w:val="28"/>
          <w:szCs w:val="28"/>
        </w:rPr>
      </w:pPr>
      <w:r>
        <w:rPr>
          <w:rFonts w:hint="eastAsia" w:ascii="宋体" w:hAnsi="宋体" w:cs="宋体"/>
          <w:sz w:val="28"/>
          <w:szCs w:val="28"/>
        </w:rPr>
        <w:t>4.0.</w:t>
      </w:r>
      <w:r>
        <w:rPr>
          <w:rFonts w:hint="eastAsia" w:ascii="宋体" w:hAnsi="宋体" w:cs="宋体"/>
          <w:sz w:val="28"/>
          <w:szCs w:val="28"/>
          <w:lang w:val="en-US" w:eastAsia="zh-CN"/>
        </w:rPr>
        <w:t>8</w:t>
      </w:r>
      <w:r>
        <w:rPr>
          <w:rFonts w:hint="eastAsia" w:ascii="宋体" w:hAnsi="宋体" w:cs="宋体"/>
          <w:sz w:val="28"/>
          <w:szCs w:val="28"/>
        </w:rPr>
        <w:t xml:space="preserve"> 变压器、电抗器事故排油设施应完好。</w:t>
      </w:r>
    </w:p>
    <w:p>
      <w:pPr>
        <w:widowControl/>
        <w:autoSpaceDE w:val="0"/>
        <w:autoSpaceDN w:val="0"/>
        <w:adjustRightInd w:val="0"/>
        <w:spacing w:line="360" w:lineRule="auto"/>
        <w:ind w:firstLine="0" w:firstLineChars="0"/>
        <w:jc w:val="left"/>
        <w:rPr>
          <w:rFonts w:hint="eastAsia" w:ascii="宋体" w:hAnsi="宋体" w:cs="宋体"/>
          <w:b w:val="0"/>
          <w:bCs w:val="0"/>
          <w:sz w:val="28"/>
          <w:szCs w:val="28"/>
        </w:rPr>
      </w:pPr>
    </w:p>
    <w:p>
      <w:pPr>
        <w:autoSpaceDE w:val="0"/>
        <w:autoSpaceDN w:val="0"/>
        <w:adjustRightInd w:val="0"/>
        <w:spacing w:line="360" w:lineRule="auto"/>
        <w:jc w:val="left"/>
        <w:rPr>
          <w:rFonts w:ascii="宋体" w:hAnsi="宋体" w:cs="宋体"/>
          <w:sz w:val="28"/>
          <w:szCs w:val="28"/>
        </w:rPr>
      </w:pPr>
    </w:p>
    <w:p>
      <w:pPr>
        <w:autoSpaceDE w:val="0"/>
        <w:autoSpaceDN w:val="0"/>
        <w:adjustRightInd w:val="0"/>
        <w:spacing w:line="360" w:lineRule="auto"/>
        <w:jc w:val="left"/>
        <w:rPr>
          <w:rFonts w:ascii="宋体" w:hAnsi="宋体" w:cs="宋体"/>
          <w:sz w:val="28"/>
          <w:szCs w:val="28"/>
        </w:rPr>
      </w:pPr>
    </w:p>
    <w:p>
      <w:pPr>
        <w:spacing w:line="360" w:lineRule="auto"/>
        <w:jc w:val="left"/>
        <w:rPr>
          <w:rFonts w:ascii="宋体" w:hAnsi="宋体" w:cs="宋体"/>
          <w:sz w:val="28"/>
          <w:szCs w:val="28"/>
        </w:rPr>
      </w:pPr>
    </w:p>
    <w:p>
      <w:pPr>
        <w:pStyle w:val="20"/>
        <w:widowControl/>
        <w:snapToGrid w:val="0"/>
        <w:spacing w:before="478" w:beforeLines="150" w:after="478" w:afterLines="150" w:line="300" w:lineRule="auto"/>
        <w:rPr>
          <w:rFonts w:ascii="Calibri Light" w:hAnsi="Calibri Light" w:eastAsia="宋体" w:cs="Calibri Light"/>
        </w:rPr>
      </w:pPr>
    </w:p>
    <w:p>
      <w:pPr>
        <w:pStyle w:val="20"/>
        <w:widowControl/>
        <w:snapToGrid w:val="0"/>
        <w:spacing w:before="478" w:beforeLines="150" w:after="478" w:afterLines="150" w:line="300" w:lineRule="auto"/>
        <w:rPr>
          <w:rFonts w:ascii="Calibri Light" w:hAnsi="Calibri Light" w:eastAsia="宋体" w:cs="Calibri Light"/>
        </w:rPr>
      </w:pPr>
    </w:p>
    <w:p>
      <w:pPr>
        <w:pStyle w:val="20"/>
        <w:snapToGrid w:val="0"/>
        <w:spacing w:before="478" w:beforeLines="150" w:after="478" w:afterLines="150" w:line="360" w:lineRule="auto"/>
        <w:ind w:firstLine="0" w:firstLineChars="0"/>
        <w:contextualSpacing/>
        <w:rPr>
          <w:rFonts w:hAnsi="宋体" w:eastAsia="宋体" w:cs="宋体"/>
          <w:szCs w:val="21"/>
        </w:rPr>
        <w:sectPr>
          <w:footerReference r:id="rId9" w:type="default"/>
          <w:pgSz w:w="11906" w:h="16838"/>
          <w:pgMar w:top="1440" w:right="1803" w:bottom="1440" w:left="1803" w:header="851" w:footer="992" w:gutter="0"/>
          <w:pgNumType w:fmt="decimal" w:start="1"/>
          <w:cols w:space="720" w:num="1"/>
          <w:docGrid w:type="lines" w:linePitch="319" w:charSpace="0"/>
        </w:sectPr>
      </w:pPr>
      <w:bookmarkStart w:id="7" w:name="_Toc17768_WPSOffice_Level1"/>
    </w:p>
    <w:p>
      <w:pPr>
        <w:pStyle w:val="20"/>
        <w:snapToGrid w:val="0"/>
        <w:spacing w:before="312" w:after="312" w:line="300" w:lineRule="auto"/>
        <w:rPr>
          <w:rFonts w:ascii="宋体" w:hAnsi="宋体" w:eastAsia="宋体" w:cs="宋体"/>
          <w:sz w:val="30"/>
          <w:szCs w:val="30"/>
        </w:rPr>
      </w:pPr>
      <w:bookmarkStart w:id="8" w:name="_Toc28389905"/>
      <w:r>
        <w:rPr>
          <w:rFonts w:hint="eastAsia" w:ascii="宋体" w:hAnsi="宋体" w:eastAsia="宋体" w:cs="宋体"/>
          <w:sz w:val="30"/>
          <w:szCs w:val="30"/>
        </w:rPr>
        <w:t>5  高、低压电器</w:t>
      </w:r>
      <w:bookmarkEnd w:id="8"/>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 xml:space="preserve">5.0.1 </w:t>
      </w:r>
      <w:r>
        <w:rPr>
          <w:rFonts w:hint="eastAsia" w:ascii="宋体" w:hAnsi="宋体" w:cs="宋体"/>
          <w:color w:val="auto"/>
          <w:sz w:val="28"/>
          <w:szCs w:val="28"/>
        </w:rPr>
        <w:t>气体绝缘金属封闭开关设备</w:t>
      </w:r>
      <w:r>
        <w:rPr>
          <w:rFonts w:hint="eastAsia" w:ascii="宋体" w:hAnsi="宋体" w:cs="宋体"/>
          <w:sz w:val="28"/>
          <w:szCs w:val="28"/>
        </w:rPr>
        <w:t>安装应符合下列规定：</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1 安装作业环境</w:t>
      </w:r>
      <w:r>
        <w:rPr>
          <w:rFonts w:hint="eastAsia" w:ascii="宋体" w:hAnsi="宋体" w:cs="宋体"/>
          <w:sz w:val="28"/>
          <w:szCs w:val="28"/>
          <w:lang w:val="en-US" w:eastAsia="zh-CN"/>
        </w:rPr>
        <w:t>应</w:t>
      </w:r>
      <w:r>
        <w:rPr>
          <w:rFonts w:hint="eastAsia" w:ascii="宋体" w:hAnsi="宋体" w:cs="宋体"/>
          <w:sz w:val="28"/>
          <w:szCs w:val="28"/>
        </w:rPr>
        <w:t>满足防尘、防潮要求。</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2 室内充注六氟化硫气体时，通风设施</w:t>
      </w:r>
      <w:r>
        <w:rPr>
          <w:rFonts w:hint="eastAsia" w:ascii="宋体" w:hAnsi="宋体" w:cs="宋体"/>
          <w:sz w:val="28"/>
          <w:szCs w:val="28"/>
          <w:lang w:val="en-US" w:eastAsia="zh-CN"/>
        </w:rPr>
        <w:t>应</w:t>
      </w:r>
      <w:r>
        <w:rPr>
          <w:rFonts w:hint="eastAsia" w:ascii="宋体" w:hAnsi="宋体" w:cs="宋体"/>
          <w:sz w:val="28"/>
          <w:szCs w:val="28"/>
        </w:rPr>
        <w:t>运行正常。</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3 六氟化硫气体应回收，不得直接排放。</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5.0.2 避雷器的排气通道应通畅，排气口不得朝向巡检通道。</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5.0.3 电气设备的防爆膜或其他防爆装置应完好。</w:t>
      </w:r>
      <w:bookmarkStart w:id="9" w:name="_Toc7102_WPSOffice_Level1"/>
    </w:p>
    <w:bookmarkEnd w:id="9"/>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5.0.4 低压电器应符合下列规定：</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1 三相交流系统的保护接地中性线（PEN线）、保护接地线（PE线）不得安装开关电器。</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2 剩余电流动作保护器（RCD）动作特性测试</w:t>
      </w:r>
      <w:r>
        <w:rPr>
          <w:rFonts w:hint="eastAsia" w:ascii="宋体" w:hAnsi="宋体" w:cs="宋体"/>
          <w:sz w:val="28"/>
          <w:szCs w:val="28"/>
          <w:lang w:val="en-US" w:eastAsia="zh-CN"/>
        </w:rPr>
        <w:t>应</w:t>
      </w:r>
      <w:r>
        <w:rPr>
          <w:rFonts w:hint="eastAsia" w:ascii="宋体" w:hAnsi="宋体" w:cs="宋体"/>
          <w:sz w:val="28"/>
          <w:szCs w:val="28"/>
        </w:rPr>
        <w:t>合格。</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5.0.</w:t>
      </w:r>
      <w:r>
        <w:rPr>
          <w:rFonts w:ascii="宋体" w:hAnsi="宋体" w:cs="宋体"/>
          <w:sz w:val="28"/>
          <w:szCs w:val="28"/>
        </w:rPr>
        <w:t>5</w:t>
      </w:r>
      <w:r>
        <w:rPr>
          <w:rFonts w:hint="eastAsia" w:ascii="宋体" w:hAnsi="宋体" w:cs="宋体"/>
          <w:sz w:val="28"/>
          <w:szCs w:val="28"/>
        </w:rPr>
        <w:t xml:space="preserve"> 高、低压开关柜应符合下列规定：</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1 安全隔离板安装</w:t>
      </w:r>
      <w:r>
        <w:rPr>
          <w:rFonts w:hint="eastAsia" w:ascii="宋体" w:hAnsi="宋体" w:cs="宋体"/>
          <w:sz w:val="28"/>
          <w:szCs w:val="28"/>
          <w:lang w:val="en-US" w:eastAsia="zh-CN"/>
        </w:rPr>
        <w:t>应</w:t>
      </w:r>
      <w:r>
        <w:rPr>
          <w:rFonts w:hint="eastAsia" w:ascii="宋体" w:hAnsi="宋体" w:cs="宋体"/>
          <w:sz w:val="28"/>
          <w:szCs w:val="28"/>
        </w:rPr>
        <w:t>正确。</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2 手车推入柜内时，其接地触头应比主触头先接触，拉出时接地触头</w:t>
      </w:r>
      <w:r>
        <w:rPr>
          <w:rFonts w:hint="eastAsia" w:ascii="宋体" w:hAnsi="宋体" w:cs="宋体"/>
          <w:sz w:val="28"/>
          <w:szCs w:val="28"/>
          <w:lang w:val="en-US" w:eastAsia="zh-CN"/>
        </w:rPr>
        <w:t>应</w:t>
      </w:r>
      <w:r>
        <w:rPr>
          <w:rFonts w:hint="eastAsia" w:ascii="宋体" w:hAnsi="宋体" w:cs="宋体"/>
          <w:sz w:val="28"/>
          <w:szCs w:val="28"/>
        </w:rPr>
        <w:t>比主触头后断开。</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3 高压开关柜</w:t>
      </w:r>
      <w:r>
        <w:rPr>
          <w:rFonts w:hint="eastAsia" w:ascii="宋体" w:hAnsi="宋体" w:cs="宋体"/>
          <w:sz w:val="28"/>
          <w:szCs w:val="28"/>
          <w:lang w:val="en-US" w:eastAsia="zh-CN"/>
        </w:rPr>
        <w:t>应</w:t>
      </w:r>
      <w:r>
        <w:rPr>
          <w:rFonts w:hint="eastAsia" w:ascii="宋体" w:hAnsi="宋体" w:cs="宋体"/>
          <w:sz w:val="28"/>
          <w:szCs w:val="28"/>
        </w:rPr>
        <w:t>具备防止电气误操作的“五防”功能。</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5.0.</w:t>
      </w:r>
      <w:r>
        <w:rPr>
          <w:rFonts w:ascii="宋体" w:hAnsi="宋体" w:cs="宋体"/>
          <w:sz w:val="28"/>
          <w:szCs w:val="28"/>
        </w:rPr>
        <w:t>6</w:t>
      </w:r>
      <w:r>
        <w:rPr>
          <w:rFonts w:hint="eastAsia" w:ascii="宋体" w:hAnsi="宋体" w:cs="宋体"/>
          <w:sz w:val="28"/>
          <w:szCs w:val="28"/>
        </w:rPr>
        <w:t xml:space="preserve"> 气体绝缘电气设备气体含水量应合格，气体压力报警和闭锁功能应正常。</w:t>
      </w:r>
    </w:p>
    <w:p>
      <w:pPr>
        <w:widowControl/>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5.0.</w:t>
      </w:r>
      <w:r>
        <w:rPr>
          <w:rFonts w:ascii="宋体" w:hAnsi="宋体" w:cs="宋体"/>
          <w:sz w:val="28"/>
          <w:szCs w:val="28"/>
        </w:rPr>
        <w:t>7</w:t>
      </w:r>
      <w:r>
        <w:rPr>
          <w:rFonts w:hint="eastAsia" w:ascii="宋体" w:hAnsi="宋体" w:cs="宋体"/>
          <w:sz w:val="28"/>
          <w:szCs w:val="28"/>
        </w:rPr>
        <w:t xml:space="preserve"> 高</w:t>
      </w:r>
      <w:r>
        <w:rPr>
          <w:rFonts w:hint="eastAsia" w:ascii="宋体" w:hAnsi="宋体" w:cs="宋体"/>
          <w:sz w:val="28"/>
          <w:szCs w:val="28"/>
          <w:lang w:eastAsia="zh-CN"/>
        </w:rPr>
        <w:t>、</w:t>
      </w:r>
      <w:r>
        <w:rPr>
          <w:rFonts w:hint="eastAsia" w:ascii="宋体" w:hAnsi="宋体" w:cs="宋体"/>
          <w:sz w:val="28"/>
          <w:szCs w:val="28"/>
        </w:rPr>
        <w:t>低压电器验收时应符合</w:t>
      </w:r>
      <w:r>
        <w:rPr>
          <w:rFonts w:hint="eastAsia" w:ascii="宋体" w:hAnsi="宋体" w:cs="宋体"/>
          <w:sz w:val="28"/>
          <w:szCs w:val="28"/>
          <w:lang w:val="en-US" w:eastAsia="zh-CN"/>
        </w:rPr>
        <w:t>下列</w:t>
      </w:r>
      <w:r>
        <w:rPr>
          <w:rFonts w:hint="eastAsia" w:ascii="宋体" w:hAnsi="宋体" w:cs="宋体"/>
          <w:sz w:val="28"/>
          <w:szCs w:val="28"/>
        </w:rPr>
        <w:t>规定：</w:t>
      </w:r>
    </w:p>
    <w:p>
      <w:pPr>
        <w:widowControl/>
        <w:autoSpaceDE w:val="0"/>
        <w:autoSpaceDN w:val="0"/>
        <w:adjustRightInd w:val="0"/>
        <w:spacing w:line="360" w:lineRule="auto"/>
        <w:ind w:firstLine="560" w:firstLineChars="200"/>
        <w:jc w:val="left"/>
        <w:rPr>
          <w:rFonts w:ascii="宋体" w:hAnsi="宋体" w:cs="宋体"/>
          <w:sz w:val="28"/>
          <w:szCs w:val="28"/>
        </w:rPr>
      </w:pPr>
      <w:r>
        <w:rPr>
          <w:rFonts w:ascii="宋体" w:hAnsi="宋体" w:cs="宋体"/>
          <w:sz w:val="28"/>
          <w:szCs w:val="28"/>
        </w:rPr>
        <w:t>1</w:t>
      </w:r>
      <w:r>
        <w:rPr>
          <w:rFonts w:hint="eastAsia" w:ascii="宋体" w:hAnsi="宋体" w:cs="宋体"/>
          <w:sz w:val="28"/>
          <w:szCs w:val="28"/>
        </w:rPr>
        <w:t xml:space="preserve"> 断路器、隔离开关、接地开关及其操动机构的联动</w:t>
      </w:r>
      <w:r>
        <w:rPr>
          <w:rFonts w:hint="eastAsia" w:ascii="宋体" w:hAnsi="宋体" w:cs="宋体"/>
          <w:sz w:val="28"/>
          <w:szCs w:val="28"/>
          <w:lang w:val="en-US" w:eastAsia="zh-CN"/>
        </w:rPr>
        <w:t>应</w:t>
      </w:r>
      <w:r>
        <w:rPr>
          <w:rFonts w:hint="eastAsia" w:ascii="宋体" w:hAnsi="宋体" w:cs="宋体"/>
          <w:sz w:val="28"/>
          <w:szCs w:val="28"/>
        </w:rPr>
        <w:t>正常、无卡阻现象；分合闸指示</w:t>
      </w:r>
      <w:r>
        <w:rPr>
          <w:rFonts w:hint="eastAsia" w:ascii="宋体" w:hAnsi="宋体" w:cs="宋体"/>
          <w:sz w:val="28"/>
          <w:szCs w:val="28"/>
          <w:lang w:val="en-US" w:eastAsia="zh-CN"/>
        </w:rPr>
        <w:t>应</w:t>
      </w:r>
      <w:r>
        <w:rPr>
          <w:rFonts w:hint="eastAsia" w:ascii="宋体" w:hAnsi="宋体" w:cs="宋体"/>
          <w:sz w:val="28"/>
          <w:szCs w:val="28"/>
        </w:rPr>
        <w:t xml:space="preserve">正确。 </w:t>
      </w:r>
    </w:p>
    <w:p>
      <w:pPr>
        <w:widowControl/>
        <w:autoSpaceDE w:val="0"/>
        <w:autoSpaceDN w:val="0"/>
        <w:adjustRightInd w:val="0"/>
        <w:spacing w:line="360" w:lineRule="auto"/>
        <w:ind w:firstLine="560" w:firstLineChars="200"/>
        <w:jc w:val="left"/>
        <w:rPr>
          <w:rFonts w:ascii="宋体" w:hAnsi="宋体" w:cs="宋体"/>
          <w:sz w:val="28"/>
          <w:szCs w:val="28"/>
        </w:rPr>
      </w:pPr>
      <w:r>
        <w:rPr>
          <w:rFonts w:ascii="宋体" w:hAnsi="宋体" w:cs="宋体"/>
          <w:sz w:val="28"/>
          <w:szCs w:val="28"/>
        </w:rPr>
        <w:t xml:space="preserve">2 </w:t>
      </w:r>
      <w:r>
        <w:rPr>
          <w:rFonts w:hint="eastAsia" w:ascii="宋体" w:hAnsi="宋体" w:cs="宋体"/>
          <w:sz w:val="28"/>
          <w:szCs w:val="28"/>
        </w:rPr>
        <w:t>机械闭锁、电气闭锁动作</w:t>
      </w:r>
      <w:r>
        <w:rPr>
          <w:rFonts w:hint="eastAsia" w:ascii="宋体" w:hAnsi="宋体" w:cs="宋体"/>
          <w:sz w:val="28"/>
          <w:szCs w:val="28"/>
          <w:lang w:val="en-US" w:eastAsia="zh-CN"/>
        </w:rPr>
        <w:t>应</w:t>
      </w:r>
      <w:r>
        <w:rPr>
          <w:rFonts w:hint="eastAsia" w:ascii="宋体" w:hAnsi="宋体" w:cs="宋体"/>
          <w:sz w:val="28"/>
          <w:szCs w:val="28"/>
        </w:rPr>
        <w:t>准确、可靠。</w:t>
      </w:r>
    </w:p>
    <w:p>
      <w:pPr>
        <w:widowControl/>
        <w:autoSpaceDE w:val="0"/>
        <w:autoSpaceDN w:val="0"/>
        <w:adjustRightInd w:val="0"/>
        <w:spacing w:line="360" w:lineRule="auto"/>
        <w:ind w:firstLine="560" w:firstLineChars="200"/>
        <w:jc w:val="left"/>
        <w:rPr>
          <w:rFonts w:ascii="宋体" w:hAnsi="宋体" w:cs="宋体"/>
          <w:sz w:val="28"/>
          <w:szCs w:val="28"/>
        </w:rPr>
      </w:pPr>
      <w:r>
        <w:rPr>
          <w:rFonts w:ascii="宋体" w:hAnsi="宋体" w:cs="宋体"/>
          <w:sz w:val="28"/>
          <w:szCs w:val="28"/>
        </w:rPr>
        <w:t>3</w:t>
      </w:r>
      <w:r>
        <w:rPr>
          <w:rFonts w:hint="eastAsia" w:ascii="宋体" w:hAnsi="宋体" w:cs="宋体"/>
          <w:sz w:val="28"/>
          <w:szCs w:val="28"/>
        </w:rPr>
        <w:t xml:space="preserve"> 电气回路传动</w:t>
      </w:r>
      <w:r>
        <w:rPr>
          <w:rFonts w:hint="eastAsia" w:ascii="宋体" w:hAnsi="宋体" w:cs="宋体"/>
          <w:sz w:val="28"/>
          <w:szCs w:val="28"/>
          <w:lang w:val="en-US" w:eastAsia="zh-CN"/>
        </w:rPr>
        <w:t>应</w:t>
      </w:r>
      <w:r>
        <w:rPr>
          <w:rFonts w:hint="eastAsia" w:ascii="宋体" w:hAnsi="宋体" w:cs="宋体"/>
          <w:sz w:val="28"/>
          <w:szCs w:val="28"/>
        </w:rPr>
        <w:t>正确。</w:t>
      </w:r>
    </w:p>
    <w:p>
      <w:pPr>
        <w:widowControl/>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4</w:t>
      </w:r>
      <w:r>
        <w:rPr>
          <w:rFonts w:ascii="宋体" w:hAnsi="宋体" w:cs="宋体"/>
          <w:sz w:val="28"/>
          <w:szCs w:val="28"/>
        </w:rPr>
        <w:t xml:space="preserve"> </w:t>
      </w:r>
      <w:r>
        <w:rPr>
          <w:rFonts w:hint="eastAsia" w:ascii="宋体" w:hAnsi="宋体" w:cs="宋体"/>
          <w:sz w:val="28"/>
          <w:szCs w:val="28"/>
          <w:lang w:val="en-US" w:eastAsia="zh-CN"/>
        </w:rPr>
        <w:t>室内</w:t>
      </w:r>
      <w:r>
        <w:rPr>
          <w:rFonts w:hint="eastAsia" w:ascii="宋体" w:hAnsi="宋体" w:cs="宋体"/>
          <w:sz w:val="28"/>
          <w:szCs w:val="28"/>
        </w:rPr>
        <w:t>气体监测装置</w:t>
      </w:r>
      <w:r>
        <w:rPr>
          <w:rFonts w:hint="eastAsia" w:ascii="宋体" w:hAnsi="宋体" w:cs="宋体"/>
          <w:sz w:val="28"/>
          <w:szCs w:val="28"/>
          <w:lang w:val="en-US" w:eastAsia="zh-CN"/>
        </w:rPr>
        <w:t>及通风设施应</w:t>
      </w:r>
      <w:r>
        <w:rPr>
          <w:rFonts w:hint="eastAsia" w:ascii="宋体" w:hAnsi="宋体" w:cs="宋体"/>
          <w:sz w:val="28"/>
          <w:szCs w:val="28"/>
        </w:rPr>
        <w:t>验收合格。</w:t>
      </w:r>
    </w:p>
    <w:p>
      <w:pPr>
        <w:widowControl/>
        <w:snapToGrid w:val="0"/>
        <w:spacing w:before="468" w:beforeLines="150" w:after="468" w:afterLines="150" w:line="300" w:lineRule="auto"/>
        <w:rPr>
          <w:rFonts w:ascii="Calibri Light" w:hAnsi="Calibri Light" w:cs="Calibri Light"/>
        </w:rPr>
      </w:pPr>
      <w:bookmarkStart w:id="10" w:name="_Toc28389906"/>
      <w:r>
        <w:rPr>
          <w:rFonts w:hint="eastAsia" w:ascii="Calibri Light" w:hAnsi="Calibri Light" w:cs="Calibri Light"/>
        </w:rPr>
        <w:br w:type="page"/>
      </w:r>
    </w:p>
    <w:bookmarkEnd w:id="10"/>
    <w:p>
      <w:pPr>
        <w:pStyle w:val="20"/>
        <w:widowControl/>
        <w:snapToGrid w:val="0"/>
        <w:spacing w:before="468" w:beforeLines="150" w:after="468" w:afterLines="150" w:line="300" w:lineRule="auto"/>
        <w:rPr>
          <w:rFonts w:ascii="宋体" w:hAnsi="宋体" w:eastAsia="宋体" w:cs="宋体"/>
          <w:sz w:val="30"/>
          <w:szCs w:val="30"/>
        </w:rPr>
      </w:pPr>
      <w:r>
        <w:rPr>
          <w:rFonts w:hint="eastAsia" w:ascii="宋体" w:hAnsi="宋体" w:eastAsia="宋体" w:cs="宋体"/>
          <w:sz w:val="30"/>
          <w:szCs w:val="30"/>
        </w:rPr>
        <w:t>6  母 线</w:t>
      </w:r>
    </w:p>
    <w:p>
      <w:pPr>
        <w:autoSpaceDE w:val="0"/>
        <w:autoSpaceDN w:val="0"/>
        <w:adjustRightInd w:val="0"/>
        <w:spacing w:line="360" w:lineRule="auto"/>
        <w:jc w:val="left"/>
        <w:rPr>
          <w:rFonts w:ascii="宋体" w:hAnsi="宋体" w:cs="宋体"/>
          <w:sz w:val="28"/>
          <w:szCs w:val="28"/>
          <w:highlight w:val="yellow"/>
        </w:rPr>
      </w:pPr>
      <w:r>
        <w:rPr>
          <w:rFonts w:hint="eastAsia" w:ascii="宋体" w:hAnsi="宋体" w:cs="宋体"/>
          <w:sz w:val="28"/>
          <w:szCs w:val="28"/>
        </w:rPr>
        <w:t>6.0.1 母线相序及标识应正确。</w:t>
      </w:r>
    </w:p>
    <w:p>
      <w:pPr>
        <w:autoSpaceDE w:val="0"/>
        <w:autoSpaceDN w:val="0"/>
        <w:adjustRightInd w:val="0"/>
        <w:spacing w:line="360" w:lineRule="auto"/>
        <w:jc w:val="left"/>
        <w:rPr>
          <w:rFonts w:ascii="宋体" w:hAnsi="宋体" w:cs="宋体"/>
          <w:sz w:val="28"/>
          <w:szCs w:val="28"/>
          <w:highlight w:val="yellow"/>
        </w:rPr>
      </w:pPr>
      <w:r>
        <w:rPr>
          <w:rFonts w:hint="eastAsia" w:ascii="宋体" w:hAnsi="宋体" w:cs="宋体"/>
          <w:sz w:val="28"/>
          <w:szCs w:val="28"/>
        </w:rPr>
        <w:t>6.0.2 母线安装时，配电装置的安全净距离应符合《变电工程项目规范》规定及</w:t>
      </w:r>
      <w:r>
        <w:rPr>
          <w:rFonts w:hint="eastAsia" w:ascii="宋体" w:hAnsi="宋体" w:cs="宋体"/>
          <w:sz w:val="28"/>
          <w:szCs w:val="28"/>
          <w:lang w:eastAsia="zh-CN"/>
        </w:rPr>
        <w:t>设计文件要求</w:t>
      </w:r>
      <w:r>
        <w:rPr>
          <w:rFonts w:hint="eastAsia" w:ascii="宋体" w:hAnsi="宋体" w:cs="宋体"/>
          <w:sz w:val="28"/>
          <w:szCs w:val="28"/>
        </w:rPr>
        <w:t>。</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 xml:space="preserve">6.0.3 </w:t>
      </w:r>
      <w:r>
        <w:rPr>
          <w:rFonts w:hint="eastAsia" w:ascii="宋体" w:hAnsi="宋体" w:cs="宋体"/>
          <w:sz w:val="28"/>
          <w:szCs w:val="28"/>
          <w:lang w:val="en-US" w:eastAsia="zh-CN"/>
        </w:rPr>
        <w:t>耐张软母线</w:t>
      </w:r>
      <w:r>
        <w:rPr>
          <w:rFonts w:hint="eastAsia" w:ascii="宋体" w:hAnsi="宋体" w:cs="宋体"/>
          <w:sz w:val="28"/>
          <w:szCs w:val="28"/>
        </w:rPr>
        <w:t>压接前，耐张线夹试件握着力试验应合格。</w:t>
      </w:r>
    </w:p>
    <w:p>
      <w:pPr>
        <w:autoSpaceDE w:val="0"/>
        <w:autoSpaceDN w:val="0"/>
        <w:adjustRightInd w:val="0"/>
        <w:spacing w:line="360" w:lineRule="auto"/>
        <w:jc w:val="left"/>
        <w:rPr>
          <w:rFonts w:ascii="宋体" w:hAnsi="宋体" w:cs="宋体"/>
          <w:b/>
          <w:sz w:val="28"/>
          <w:szCs w:val="28"/>
          <w:highlight w:val="none"/>
        </w:rPr>
      </w:pPr>
      <w:r>
        <w:rPr>
          <w:rFonts w:hint="eastAsia" w:ascii="宋体" w:hAnsi="宋体" w:cs="宋体"/>
          <w:sz w:val="28"/>
          <w:szCs w:val="28"/>
          <w:highlight w:val="none"/>
        </w:rPr>
        <w:t>6.0.4 交流单相母线</w:t>
      </w:r>
      <w:r>
        <w:rPr>
          <w:rFonts w:hint="eastAsia" w:ascii="宋体" w:hAnsi="宋体" w:cs="宋体"/>
          <w:sz w:val="28"/>
          <w:szCs w:val="28"/>
          <w:highlight w:val="none"/>
          <w:lang w:val="en-US" w:eastAsia="zh-CN"/>
        </w:rPr>
        <w:t>周围</w:t>
      </w:r>
      <w:r>
        <w:rPr>
          <w:rFonts w:hint="eastAsia" w:ascii="宋体" w:hAnsi="宋体" w:cs="宋体"/>
          <w:sz w:val="28"/>
          <w:szCs w:val="28"/>
          <w:highlight w:val="none"/>
          <w:lang w:eastAsia="zh-CN"/>
        </w:rPr>
        <w:t>不得</w:t>
      </w:r>
      <w:r>
        <w:rPr>
          <w:rFonts w:hint="eastAsia" w:ascii="宋体" w:hAnsi="宋体" w:cs="宋体"/>
          <w:sz w:val="28"/>
          <w:szCs w:val="28"/>
          <w:highlight w:val="none"/>
        </w:rPr>
        <w:t>形成闭合</w:t>
      </w:r>
      <w:r>
        <w:rPr>
          <w:rFonts w:hint="eastAsia" w:ascii="宋体" w:hAnsi="宋体" w:cs="宋体"/>
          <w:sz w:val="28"/>
          <w:szCs w:val="28"/>
          <w:highlight w:val="none"/>
          <w:lang w:val="en-US" w:eastAsia="zh-CN"/>
        </w:rPr>
        <w:t>铁</w:t>
      </w:r>
      <w:r>
        <w:rPr>
          <w:rFonts w:hint="eastAsia" w:ascii="宋体" w:hAnsi="宋体" w:cs="宋体"/>
          <w:sz w:val="28"/>
          <w:szCs w:val="28"/>
          <w:highlight w:val="none"/>
        </w:rPr>
        <w:t>磁</w:t>
      </w:r>
      <w:r>
        <w:rPr>
          <w:rFonts w:hint="eastAsia" w:ascii="宋体" w:hAnsi="宋体" w:cs="宋体"/>
          <w:sz w:val="28"/>
          <w:szCs w:val="28"/>
          <w:highlight w:val="none"/>
          <w:lang w:val="en-US" w:eastAsia="zh-CN"/>
        </w:rPr>
        <w:t>回</w:t>
      </w:r>
      <w:r>
        <w:rPr>
          <w:rFonts w:hint="eastAsia" w:ascii="宋体" w:hAnsi="宋体" w:cs="宋体"/>
          <w:sz w:val="28"/>
          <w:szCs w:val="28"/>
          <w:highlight w:val="none"/>
        </w:rPr>
        <w:t>路；600A及以上</w:t>
      </w:r>
      <w:r>
        <w:rPr>
          <w:rFonts w:hint="eastAsia" w:ascii="宋体" w:hAnsi="宋体" w:cs="宋体"/>
          <w:sz w:val="28"/>
          <w:szCs w:val="28"/>
          <w:highlight w:val="none"/>
          <w:lang w:val="en-US" w:eastAsia="zh-CN"/>
        </w:rPr>
        <w:t>交流</w:t>
      </w:r>
      <w:r>
        <w:rPr>
          <w:rFonts w:hint="eastAsia" w:ascii="宋体" w:hAnsi="宋体" w:cs="宋体"/>
          <w:sz w:val="28"/>
          <w:szCs w:val="28"/>
          <w:highlight w:val="none"/>
        </w:rPr>
        <w:t>母线穿墙套管周围不得形成闭合</w:t>
      </w:r>
      <w:r>
        <w:rPr>
          <w:rFonts w:hint="eastAsia" w:ascii="宋体" w:hAnsi="宋体" w:cs="宋体"/>
          <w:sz w:val="28"/>
          <w:szCs w:val="28"/>
          <w:highlight w:val="none"/>
          <w:lang w:val="en-US" w:eastAsia="zh-CN"/>
        </w:rPr>
        <w:t>铁</w:t>
      </w:r>
      <w:r>
        <w:rPr>
          <w:rFonts w:hint="eastAsia" w:ascii="宋体" w:hAnsi="宋体" w:cs="宋体"/>
          <w:sz w:val="28"/>
          <w:szCs w:val="28"/>
          <w:highlight w:val="none"/>
        </w:rPr>
        <w:t>磁</w:t>
      </w:r>
      <w:r>
        <w:rPr>
          <w:rFonts w:hint="eastAsia" w:ascii="宋体" w:hAnsi="宋体" w:cs="宋体"/>
          <w:sz w:val="28"/>
          <w:szCs w:val="28"/>
          <w:highlight w:val="none"/>
          <w:lang w:val="en-US" w:eastAsia="zh-CN"/>
        </w:rPr>
        <w:t>回</w:t>
      </w:r>
      <w:r>
        <w:rPr>
          <w:rFonts w:hint="eastAsia" w:ascii="宋体" w:hAnsi="宋体" w:cs="宋体"/>
          <w:sz w:val="28"/>
          <w:szCs w:val="28"/>
          <w:highlight w:val="none"/>
        </w:rPr>
        <w:t>路。</w:t>
      </w:r>
    </w:p>
    <w:p>
      <w:pPr>
        <w:adjustRightInd w:val="0"/>
        <w:snapToGrid w:val="0"/>
        <w:spacing w:line="360" w:lineRule="auto"/>
        <w:jc w:val="center"/>
        <w:rPr>
          <w:rFonts w:ascii="方正仿宋_GBK" w:hAnsi="方正仿宋_GBK" w:eastAsia="方正仿宋_GBK" w:cs="方正仿宋_GBK"/>
          <w:sz w:val="24"/>
        </w:rPr>
      </w:pPr>
    </w:p>
    <w:p>
      <w:pPr>
        <w:adjustRightInd w:val="0"/>
        <w:snapToGrid w:val="0"/>
        <w:spacing w:line="360" w:lineRule="auto"/>
        <w:jc w:val="center"/>
        <w:rPr>
          <w:rFonts w:ascii="方正仿宋_GBK" w:hAnsi="方正仿宋_GBK" w:eastAsia="方正仿宋_GBK" w:cs="方正仿宋_GBK"/>
          <w:sz w:val="24"/>
        </w:rPr>
      </w:pPr>
    </w:p>
    <w:p>
      <w:pPr>
        <w:adjustRightInd w:val="0"/>
        <w:snapToGrid w:val="0"/>
        <w:spacing w:line="360" w:lineRule="auto"/>
        <w:jc w:val="center"/>
        <w:rPr>
          <w:rFonts w:ascii="方正仿宋_GBK" w:hAnsi="方正仿宋_GBK" w:eastAsia="方正仿宋_GBK" w:cs="方正仿宋_GBK"/>
          <w:sz w:val="24"/>
        </w:rPr>
      </w:pPr>
    </w:p>
    <w:p>
      <w:pPr>
        <w:adjustRightInd w:val="0"/>
        <w:snapToGrid w:val="0"/>
        <w:spacing w:line="360" w:lineRule="auto"/>
        <w:jc w:val="center"/>
        <w:rPr>
          <w:rFonts w:ascii="方正仿宋_GBK" w:hAnsi="方正仿宋_GBK" w:eastAsia="方正仿宋_GBK" w:cs="方正仿宋_GBK"/>
          <w:sz w:val="24"/>
        </w:rPr>
      </w:pPr>
    </w:p>
    <w:p>
      <w:pPr>
        <w:autoSpaceDE w:val="0"/>
        <w:autoSpaceDN w:val="0"/>
        <w:adjustRightInd w:val="0"/>
        <w:snapToGrid w:val="0"/>
        <w:spacing w:after="156" w:afterLines="50" w:line="360" w:lineRule="auto"/>
        <w:jc w:val="center"/>
        <w:rPr>
          <w:sz w:val="18"/>
        </w:rPr>
      </w:pPr>
    </w:p>
    <w:bookmarkEnd w:id="2"/>
    <w:bookmarkEnd w:id="7"/>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bookmarkEnd w:id="3"/>
    <w:bookmarkEnd w:id="4"/>
    <w:bookmarkEnd w:id="5"/>
    <w:p>
      <w:pPr>
        <w:autoSpaceDE w:val="0"/>
        <w:autoSpaceDN w:val="0"/>
        <w:adjustRightInd w:val="0"/>
        <w:spacing w:line="480" w:lineRule="auto"/>
        <w:jc w:val="center"/>
        <w:rPr>
          <w:rFonts w:ascii="Calibri Light" w:hAnsi="Calibri Light" w:cs="Calibri Light"/>
          <w:b/>
          <w:bCs/>
          <w:sz w:val="24"/>
        </w:rPr>
      </w:pPr>
    </w:p>
    <w:p>
      <w:pPr>
        <w:pStyle w:val="20"/>
        <w:widowControl/>
        <w:snapToGrid w:val="0"/>
        <w:spacing w:before="468" w:beforeLines="150" w:after="468" w:afterLines="150" w:line="300" w:lineRule="auto"/>
        <w:rPr>
          <w:rFonts w:hint="eastAsia" w:ascii="宋体" w:hAnsi="宋体" w:eastAsia="宋体" w:cs="宋体"/>
          <w:sz w:val="30"/>
          <w:szCs w:val="30"/>
        </w:rPr>
      </w:pPr>
      <w:bookmarkStart w:id="11" w:name="_Toc28389907"/>
    </w:p>
    <w:p>
      <w:pPr>
        <w:pStyle w:val="20"/>
        <w:widowControl/>
        <w:snapToGrid w:val="0"/>
        <w:spacing w:before="468" w:beforeLines="150" w:after="468" w:afterLines="150" w:line="300" w:lineRule="auto"/>
        <w:rPr>
          <w:rFonts w:ascii="宋体" w:hAnsi="宋体" w:eastAsia="宋体" w:cs="宋体"/>
          <w:sz w:val="30"/>
          <w:szCs w:val="30"/>
        </w:rPr>
      </w:pPr>
      <w:r>
        <w:rPr>
          <w:rFonts w:hint="eastAsia" w:ascii="宋体" w:hAnsi="宋体" w:eastAsia="宋体" w:cs="宋体"/>
          <w:sz w:val="30"/>
          <w:szCs w:val="30"/>
        </w:rPr>
        <w:t>7  电缆线路</w:t>
      </w:r>
      <w:bookmarkEnd w:id="11"/>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7.0.1 施工前应进行路径复测。</w:t>
      </w:r>
    </w:p>
    <w:p>
      <w:pPr>
        <w:autoSpaceDE w:val="0"/>
        <w:autoSpaceDN w:val="0"/>
        <w:adjustRightInd w:val="0"/>
        <w:spacing w:line="360" w:lineRule="auto"/>
        <w:jc w:val="left"/>
        <w:rPr>
          <w:rFonts w:hint="eastAsia" w:ascii="宋体" w:hAnsi="宋体" w:cs="宋体"/>
          <w:sz w:val="28"/>
          <w:szCs w:val="28"/>
        </w:rPr>
      </w:pPr>
      <w:r>
        <w:rPr>
          <w:rFonts w:hint="eastAsia" w:ascii="宋体" w:hAnsi="宋体" w:cs="宋体"/>
          <w:sz w:val="28"/>
          <w:szCs w:val="28"/>
        </w:rPr>
        <w:t>7.0.2 电缆敷设前，通道、排水、照明、通风等作业环境应满足施工条件，在带电区域内敷设电缆，应有安全防护措施。</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lang w:val="en-US" w:eastAsia="zh-CN"/>
        </w:rPr>
        <w:t xml:space="preserve">7.0.3 </w:t>
      </w:r>
      <w:r>
        <w:rPr>
          <w:rFonts w:hint="eastAsia" w:ascii="宋体" w:hAnsi="宋体" w:cs="宋体"/>
          <w:sz w:val="28"/>
          <w:szCs w:val="28"/>
        </w:rPr>
        <w:t>海上及内陆水域作业应取得施工作业许可，在通航水域作业时应由海事执法部门对作业区域进行航行警戒，并应有应急处置措施。</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7.0.</w:t>
      </w:r>
      <w:r>
        <w:rPr>
          <w:rFonts w:hint="eastAsia" w:ascii="宋体" w:hAnsi="宋体" w:cs="宋体"/>
          <w:sz w:val="28"/>
          <w:szCs w:val="28"/>
          <w:lang w:val="en-US" w:eastAsia="zh-CN"/>
        </w:rPr>
        <w:t>4</w:t>
      </w:r>
      <w:r>
        <w:rPr>
          <w:rFonts w:hint="eastAsia" w:ascii="宋体" w:hAnsi="宋体" w:cs="宋体"/>
          <w:sz w:val="28"/>
          <w:szCs w:val="28"/>
        </w:rPr>
        <w:t xml:space="preserve"> 海底电缆敷设前应对电缆路径进行扫海并</w:t>
      </w:r>
      <w:r>
        <w:rPr>
          <w:rFonts w:hint="eastAsia" w:ascii="宋体" w:hAnsi="宋体" w:cs="宋体"/>
          <w:sz w:val="28"/>
          <w:szCs w:val="28"/>
          <w:lang w:val="en-US" w:eastAsia="zh-CN"/>
        </w:rPr>
        <w:t>应</w:t>
      </w:r>
      <w:r>
        <w:rPr>
          <w:rFonts w:hint="eastAsia" w:ascii="宋体" w:hAnsi="宋体" w:cs="宋体"/>
          <w:sz w:val="28"/>
          <w:szCs w:val="28"/>
        </w:rPr>
        <w:t>清除海底各类障碍物。</w:t>
      </w:r>
    </w:p>
    <w:p>
      <w:pPr>
        <w:jc w:val="left"/>
        <w:rPr>
          <w:rFonts w:hint="eastAsia" w:ascii="宋体" w:hAnsi="宋体" w:cs="宋体"/>
          <w:sz w:val="28"/>
          <w:szCs w:val="28"/>
        </w:rPr>
      </w:pPr>
      <w:r>
        <w:rPr>
          <w:rFonts w:hint="eastAsia" w:ascii="宋体" w:hAnsi="宋体" w:cs="宋体"/>
          <w:sz w:val="28"/>
          <w:szCs w:val="28"/>
        </w:rPr>
        <w:t>7.0.</w:t>
      </w:r>
      <w:r>
        <w:rPr>
          <w:rFonts w:hint="eastAsia" w:ascii="宋体" w:hAnsi="宋体" w:cs="宋体"/>
          <w:sz w:val="28"/>
          <w:szCs w:val="28"/>
          <w:lang w:val="en-US" w:eastAsia="zh-CN"/>
        </w:rPr>
        <w:t>5</w:t>
      </w:r>
      <w:r>
        <w:rPr>
          <w:rFonts w:hint="eastAsia" w:ascii="宋体" w:hAnsi="宋体" w:cs="宋体"/>
          <w:sz w:val="28"/>
          <w:szCs w:val="28"/>
        </w:rPr>
        <w:t xml:space="preserve"> 缆盘、滑轮、转盘、牵引及制动设备的电缆最小弯曲半径应符合表7.0.</w:t>
      </w:r>
      <w:r>
        <w:rPr>
          <w:rFonts w:hint="eastAsia" w:ascii="宋体" w:hAnsi="宋体" w:cs="宋体"/>
          <w:sz w:val="28"/>
          <w:szCs w:val="28"/>
          <w:lang w:val="en-US" w:eastAsia="zh-CN"/>
        </w:rPr>
        <w:t>5</w:t>
      </w:r>
      <w:r>
        <w:rPr>
          <w:rFonts w:hint="eastAsia" w:ascii="宋体" w:hAnsi="宋体" w:cs="宋体"/>
          <w:sz w:val="28"/>
          <w:szCs w:val="28"/>
        </w:rPr>
        <w:t>的规定。</w:t>
      </w:r>
    </w:p>
    <w:tbl>
      <w:tblPr>
        <w:tblStyle w:val="13"/>
        <w:tblpPr w:leftFromText="180" w:rightFromText="180" w:vertAnchor="page" w:horzAnchor="page" w:tblpX="1802" w:tblpY="8741"/>
        <w:tblW w:w="8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2693"/>
        <w:gridCol w:w="1561"/>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6" w:type="dxa"/>
            <w:gridSpan w:val="2"/>
            <w:vAlign w:val="center"/>
          </w:tcPr>
          <w:p>
            <w:pPr>
              <w:autoSpaceDE w:val="0"/>
              <w:autoSpaceDN w:val="0"/>
              <w:adjustRightInd w:val="0"/>
              <w:spacing w:line="360" w:lineRule="auto"/>
              <w:jc w:val="center"/>
              <w:rPr>
                <w:rFonts w:ascii="宋体" w:hAnsi="宋体"/>
              </w:rPr>
            </w:pPr>
            <w:r>
              <w:rPr>
                <w:rFonts w:hint="eastAsia" w:ascii="宋体" w:hAnsi="宋体"/>
              </w:rPr>
              <w:t>电缆型式</w:t>
            </w:r>
          </w:p>
        </w:tc>
        <w:tc>
          <w:tcPr>
            <w:tcW w:w="1561" w:type="dxa"/>
            <w:vAlign w:val="center"/>
          </w:tcPr>
          <w:p>
            <w:pPr>
              <w:autoSpaceDE w:val="0"/>
              <w:autoSpaceDN w:val="0"/>
              <w:adjustRightInd w:val="0"/>
              <w:spacing w:line="360" w:lineRule="auto"/>
              <w:jc w:val="center"/>
              <w:rPr>
                <w:rFonts w:ascii="宋体" w:hAnsi="宋体"/>
              </w:rPr>
            </w:pPr>
            <w:r>
              <w:rPr>
                <w:rFonts w:hint="eastAsia" w:ascii="宋体" w:hAnsi="宋体"/>
              </w:rPr>
              <w:t>多芯</w:t>
            </w:r>
          </w:p>
        </w:tc>
        <w:tc>
          <w:tcPr>
            <w:tcW w:w="1561" w:type="dxa"/>
            <w:vAlign w:val="center"/>
          </w:tcPr>
          <w:p>
            <w:pPr>
              <w:autoSpaceDE w:val="0"/>
              <w:autoSpaceDN w:val="0"/>
              <w:adjustRightInd w:val="0"/>
              <w:spacing w:line="360" w:lineRule="auto"/>
              <w:jc w:val="center"/>
              <w:rPr>
                <w:rFonts w:ascii="宋体" w:hAnsi="宋体"/>
              </w:rPr>
            </w:pPr>
            <w:r>
              <w:rPr>
                <w:rFonts w:hint="eastAsia" w:ascii="宋体" w:hAnsi="宋体"/>
              </w:rPr>
              <w:t>单芯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Merge w:val="restart"/>
            <w:vAlign w:val="center"/>
          </w:tcPr>
          <w:p>
            <w:pPr>
              <w:jc w:val="center"/>
              <w:rPr>
                <w:rFonts w:ascii="宋体" w:hAnsi="宋体"/>
              </w:rPr>
            </w:pPr>
            <w:r>
              <w:rPr>
                <w:rFonts w:hint="eastAsia" w:ascii="宋体" w:hAnsi="宋体"/>
              </w:rPr>
              <w:t>控制电缆</w:t>
            </w:r>
          </w:p>
        </w:tc>
        <w:tc>
          <w:tcPr>
            <w:tcW w:w="2693" w:type="dxa"/>
            <w:vAlign w:val="center"/>
          </w:tcPr>
          <w:p>
            <w:pPr>
              <w:jc w:val="center"/>
              <w:rPr>
                <w:rFonts w:ascii="宋体" w:hAnsi="宋体"/>
              </w:rPr>
            </w:pPr>
            <w:r>
              <w:rPr>
                <w:rFonts w:hint="eastAsia" w:ascii="宋体" w:hAnsi="宋体"/>
              </w:rPr>
              <w:t>非铠装型、屏蔽型软电缆</w:t>
            </w:r>
          </w:p>
        </w:tc>
        <w:tc>
          <w:tcPr>
            <w:tcW w:w="1561" w:type="dxa"/>
            <w:vAlign w:val="center"/>
          </w:tcPr>
          <w:p>
            <w:pPr>
              <w:jc w:val="center"/>
              <w:rPr>
                <w:rFonts w:ascii="宋体" w:hAnsi="宋体"/>
              </w:rPr>
            </w:pPr>
            <w:r>
              <w:rPr>
                <w:rFonts w:ascii="宋体" w:hAnsi="宋体"/>
              </w:rPr>
              <w:t>6D</w:t>
            </w:r>
          </w:p>
        </w:tc>
        <w:tc>
          <w:tcPr>
            <w:tcW w:w="1561" w:type="dxa"/>
            <w:vMerge w:val="restart"/>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Merge w:val="continue"/>
            <w:vAlign w:val="center"/>
          </w:tcPr>
          <w:p>
            <w:pPr>
              <w:jc w:val="center"/>
              <w:rPr>
                <w:rFonts w:ascii="宋体" w:hAnsi="宋体"/>
              </w:rPr>
            </w:pPr>
          </w:p>
        </w:tc>
        <w:tc>
          <w:tcPr>
            <w:tcW w:w="2693" w:type="dxa"/>
            <w:vAlign w:val="center"/>
          </w:tcPr>
          <w:p>
            <w:pPr>
              <w:jc w:val="center"/>
              <w:rPr>
                <w:rFonts w:ascii="宋体" w:hAnsi="宋体"/>
              </w:rPr>
            </w:pPr>
            <w:r>
              <w:rPr>
                <w:rFonts w:hint="eastAsia" w:ascii="宋体" w:hAnsi="宋体"/>
              </w:rPr>
              <w:t>铠装型、铜屏蔽型</w:t>
            </w:r>
          </w:p>
        </w:tc>
        <w:tc>
          <w:tcPr>
            <w:tcW w:w="1561" w:type="dxa"/>
            <w:vAlign w:val="center"/>
          </w:tcPr>
          <w:p>
            <w:pPr>
              <w:jc w:val="center"/>
              <w:rPr>
                <w:rFonts w:ascii="宋体" w:hAnsi="宋体"/>
              </w:rPr>
            </w:pPr>
            <w:r>
              <w:rPr>
                <w:rFonts w:ascii="宋体" w:hAnsi="宋体"/>
              </w:rPr>
              <w:t>12D</w:t>
            </w:r>
          </w:p>
        </w:tc>
        <w:tc>
          <w:tcPr>
            <w:tcW w:w="1561"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3" w:type="dxa"/>
            <w:vMerge w:val="continue"/>
            <w:vAlign w:val="center"/>
          </w:tcPr>
          <w:p>
            <w:pPr>
              <w:jc w:val="center"/>
              <w:rPr>
                <w:rFonts w:ascii="宋体" w:hAnsi="宋体"/>
              </w:rPr>
            </w:pPr>
          </w:p>
        </w:tc>
        <w:tc>
          <w:tcPr>
            <w:tcW w:w="2693" w:type="dxa"/>
            <w:vAlign w:val="center"/>
          </w:tcPr>
          <w:p>
            <w:pPr>
              <w:jc w:val="center"/>
              <w:rPr>
                <w:rFonts w:ascii="宋体" w:hAnsi="宋体"/>
              </w:rPr>
            </w:pPr>
            <w:r>
              <w:rPr>
                <w:rFonts w:hint="eastAsia" w:ascii="宋体" w:hAnsi="宋体"/>
              </w:rPr>
              <w:t>其他</w:t>
            </w:r>
          </w:p>
        </w:tc>
        <w:tc>
          <w:tcPr>
            <w:tcW w:w="1561" w:type="dxa"/>
            <w:vAlign w:val="center"/>
          </w:tcPr>
          <w:p>
            <w:pPr>
              <w:jc w:val="center"/>
              <w:rPr>
                <w:rFonts w:ascii="宋体" w:hAnsi="宋体"/>
              </w:rPr>
            </w:pPr>
            <w:r>
              <w:rPr>
                <w:rFonts w:ascii="宋体" w:hAnsi="宋体"/>
              </w:rPr>
              <w:t>10D</w:t>
            </w:r>
          </w:p>
        </w:tc>
        <w:tc>
          <w:tcPr>
            <w:tcW w:w="1561"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Merge w:val="restart"/>
            <w:vAlign w:val="center"/>
          </w:tcPr>
          <w:p>
            <w:pPr>
              <w:jc w:val="center"/>
              <w:rPr>
                <w:rFonts w:ascii="宋体" w:hAnsi="宋体"/>
              </w:rPr>
            </w:pPr>
            <w:r>
              <w:rPr>
                <w:rFonts w:hint="eastAsia" w:ascii="宋体" w:hAnsi="宋体"/>
              </w:rPr>
              <w:t>橡皮绝缘电力电缆</w:t>
            </w:r>
          </w:p>
        </w:tc>
        <w:tc>
          <w:tcPr>
            <w:tcW w:w="2693" w:type="dxa"/>
            <w:vAlign w:val="center"/>
          </w:tcPr>
          <w:p>
            <w:pPr>
              <w:jc w:val="center"/>
              <w:rPr>
                <w:rFonts w:ascii="宋体" w:hAnsi="宋体"/>
              </w:rPr>
            </w:pPr>
            <w:r>
              <w:rPr>
                <w:rFonts w:hint="eastAsia" w:ascii="宋体" w:hAnsi="宋体"/>
              </w:rPr>
              <w:t>无铅包、钢铠护套</w:t>
            </w:r>
          </w:p>
        </w:tc>
        <w:tc>
          <w:tcPr>
            <w:tcW w:w="3122" w:type="dxa"/>
            <w:gridSpan w:val="2"/>
            <w:vAlign w:val="center"/>
          </w:tcPr>
          <w:p>
            <w:pPr>
              <w:jc w:val="center"/>
              <w:rPr>
                <w:rFonts w:ascii="宋体" w:hAnsi="宋体"/>
              </w:rPr>
            </w:pPr>
            <w:r>
              <w:rPr>
                <w:rFonts w:hint="eastAsia" w:ascii="宋体" w:hAnsi="宋体"/>
              </w:rPr>
              <w:t>1</w:t>
            </w:r>
            <w:r>
              <w:rPr>
                <w:rFonts w:ascii="宋体" w:hAnsi="宋体"/>
              </w:rPr>
              <w:t>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Merge w:val="continue"/>
            <w:vAlign w:val="center"/>
          </w:tcPr>
          <w:p>
            <w:pPr>
              <w:jc w:val="center"/>
              <w:rPr>
                <w:rFonts w:ascii="宋体" w:hAnsi="宋体"/>
              </w:rPr>
            </w:pPr>
          </w:p>
        </w:tc>
        <w:tc>
          <w:tcPr>
            <w:tcW w:w="2693" w:type="dxa"/>
            <w:vAlign w:val="center"/>
          </w:tcPr>
          <w:p>
            <w:pPr>
              <w:jc w:val="center"/>
              <w:rPr>
                <w:rFonts w:ascii="宋体" w:hAnsi="宋体"/>
              </w:rPr>
            </w:pPr>
            <w:r>
              <w:rPr>
                <w:rFonts w:hint="eastAsia" w:ascii="宋体" w:hAnsi="宋体"/>
              </w:rPr>
              <w:t>裸铅包护套</w:t>
            </w:r>
          </w:p>
        </w:tc>
        <w:tc>
          <w:tcPr>
            <w:tcW w:w="3122" w:type="dxa"/>
            <w:gridSpan w:val="2"/>
            <w:vAlign w:val="center"/>
          </w:tcPr>
          <w:p>
            <w:pPr>
              <w:jc w:val="center"/>
              <w:rPr>
                <w:rFonts w:ascii="宋体" w:hAnsi="宋体"/>
              </w:rPr>
            </w:pPr>
            <w:r>
              <w:rPr>
                <w:rFonts w:hint="eastAsia" w:ascii="宋体" w:hAnsi="宋体"/>
              </w:rPr>
              <w:t>1</w:t>
            </w:r>
            <w:r>
              <w:rPr>
                <w:rFonts w:ascii="宋体" w:hAnsi="宋体"/>
              </w:rPr>
              <w:t>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Merge w:val="continue"/>
            <w:vAlign w:val="center"/>
          </w:tcPr>
          <w:p>
            <w:pPr>
              <w:jc w:val="center"/>
              <w:rPr>
                <w:rFonts w:ascii="宋体" w:hAnsi="宋体"/>
              </w:rPr>
            </w:pPr>
          </w:p>
        </w:tc>
        <w:tc>
          <w:tcPr>
            <w:tcW w:w="2693" w:type="dxa"/>
            <w:vAlign w:val="center"/>
          </w:tcPr>
          <w:p>
            <w:pPr>
              <w:jc w:val="center"/>
              <w:rPr>
                <w:rFonts w:ascii="宋体" w:hAnsi="宋体"/>
              </w:rPr>
            </w:pPr>
            <w:r>
              <w:rPr>
                <w:rFonts w:hint="eastAsia" w:ascii="宋体" w:hAnsi="宋体"/>
              </w:rPr>
              <w:t>钢铠护套</w:t>
            </w:r>
          </w:p>
        </w:tc>
        <w:tc>
          <w:tcPr>
            <w:tcW w:w="3122" w:type="dxa"/>
            <w:gridSpan w:val="2"/>
            <w:vAlign w:val="center"/>
          </w:tcPr>
          <w:p>
            <w:pPr>
              <w:jc w:val="center"/>
              <w:rPr>
                <w:rFonts w:ascii="宋体" w:hAnsi="宋体"/>
              </w:rPr>
            </w:pPr>
            <w:r>
              <w:rPr>
                <w:rFonts w:hint="eastAsia" w:ascii="宋体" w:hAnsi="宋体"/>
              </w:rPr>
              <w:t>2</w:t>
            </w:r>
            <w:r>
              <w:rPr>
                <w:rFonts w:ascii="宋体" w:hAnsi="宋体"/>
              </w:rPr>
              <w:t>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3" w:type="dxa"/>
            <w:vMerge w:val="restart"/>
            <w:vAlign w:val="center"/>
          </w:tcPr>
          <w:p>
            <w:pPr>
              <w:jc w:val="center"/>
              <w:rPr>
                <w:rFonts w:ascii="宋体" w:hAnsi="宋体"/>
              </w:rPr>
            </w:pPr>
            <w:r>
              <w:rPr>
                <w:rFonts w:hint="eastAsia" w:ascii="宋体" w:hAnsi="宋体"/>
              </w:rPr>
              <w:t>塑料绝缘电缆</w:t>
            </w:r>
          </w:p>
        </w:tc>
        <w:tc>
          <w:tcPr>
            <w:tcW w:w="2693" w:type="dxa"/>
            <w:vAlign w:val="center"/>
          </w:tcPr>
          <w:p>
            <w:pPr>
              <w:jc w:val="center"/>
              <w:rPr>
                <w:rFonts w:ascii="宋体" w:hAnsi="宋体"/>
              </w:rPr>
            </w:pPr>
            <w:r>
              <w:rPr>
                <w:rFonts w:hint="eastAsia" w:ascii="宋体" w:hAnsi="宋体"/>
              </w:rPr>
              <w:t>无铠装</w:t>
            </w:r>
          </w:p>
        </w:tc>
        <w:tc>
          <w:tcPr>
            <w:tcW w:w="1561" w:type="dxa"/>
            <w:vAlign w:val="center"/>
          </w:tcPr>
          <w:p>
            <w:pPr>
              <w:jc w:val="center"/>
              <w:rPr>
                <w:rFonts w:ascii="宋体" w:hAnsi="宋体"/>
              </w:rPr>
            </w:pPr>
            <w:r>
              <w:rPr>
                <w:rFonts w:hint="eastAsia" w:ascii="宋体" w:hAnsi="宋体"/>
              </w:rPr>
              <w:t>1</w:t>
            </w:r>
            <w:r>
              <w:rPr>
                <w:rFonts w:ascii="宋体" w:hAnsi="宋体"/>
              </w:rPr>
              <w:t>5D</w:t>
            </w:r>
          </w:p>
        </w:tc>
        <w:tc>
          <w:tcPr>
            <w:tcW w:w="1561" w:type="dxa"/>
            <w:vAlign w:val="center"/>
          </w:tcPr>
          <w:p>
            <w:pPr>
              <w:jc w:val="center"/>
              <w:rPr>
                <w:rFonts w:ascii="宋体" w:hAnsi="宋体"/>
              </w:rPr>
            </w:pPr>
            <w:r>
              <w:rPr>
                <w:rFonts w:hint="eastAsia" w:ascii="宋体" w:hAnsi="宋体"/>
              </w:rPr>
              <w:t>2</w:t>
            </w:r>
            <w:r>
              <w:rPr>
                <w:rFonts w:ascii="宋体" w:hAnsi="宋体"/>
              </w:rPr>
              <w:t>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Merge w:val="continue"/>
            <w:vAlign w:val="center"/>
          </w:tcPr>
          <w:p>
            <w:pPr>
              <w:jc w:val="center"/>
              <w:rPr>
                <w:rFonts w:ascii="宋体" w:hAnsi="宋体"/>
              </w:rPr>
            </w:pPr>
          </w:p>
        </w:tc>
        <w:tc>
          <w:tcPr>
            <w:tcW w:w="2693" w:type="dxa"/>
            <w:vAlign w:val="center"/>
          </w:tcPr>
          <w:p>
            <w:pPr>
              <w:jc w:val="center"/>
              <w:rPr>
                <w:rFonts w:ascii="宋体" w:hAnsi="宋体"/>
              </w:rPr>
            </w:pPr>
            <w:r>
              <w:rPr>
                <w:rFonts w:hint="eastAsia" w:ascii="宋体" w:hAnsi="宋体"/>
              </w:rPr>
              <w:t>有铠装</w:t>
            </w:r>
          </w:p>
        </w:tc>
        <w:tc>
          <w:tcPr>
            <w:tcW w:w="1561" w:type="dxa"/>
            <w:vAlign w:val="center"/>
          </w:tcPr>
          <w:p>
            <w:pPr>
              <w:jc w:val="center"/>
              <w:rPr>
                <w:rFonts w:ascii="宋体" w:hAnsi="宋体"/>
              </w:rPr>
            </w:pPr>
            <w:r>
              <w:rPr>
                <w:rFonts w:hint="eastAsia" w:ascii="宋体" w:hAnsi="宋体"/>
              </w:rPr>
              <w:t>1</w:t>
            </w:r>
            <w:r>
              <w:rPr>
                <w:rFonts w:ascii="宋体" w:hAnsi="宋体"/>
              </w:rPr>
              <w:t>2D</w:t>
            </w:r>
          </w:p>
        </w:tc>
        <w:tc>
          <w:tcPr>
            <w:tcW w:w="1561" w:type="dxa"/>
            <w:vAlign w:val="center"/>
          </w:tcPr>
          <w:p>
            <w:pPr>
              <w:jc w:val="center"/>
              <w:rPr>
                <w:rFonts w:ascii="宋体" w:hAnsi="宋体"/>
              </w:rPr>
            </w:pPr>
            <w:r>
              <w:rPr>
                <w:rFonts w:hint="eastAsia" w:ascii="宋体" w:hAnsi="宋体"/>
              </w:rPr>
              <w:t>1</w:t>
            </w:r>
            <w:r>
              <w:rPr>
                <w:rFonts w:ascii="宋体" w:hAnsi="宋体"/>
              </w:rPr>
              <w:t>5D</w:t>
            </w:r>
          </w:p>
        </w:tc>
      </w:tr>
    </w:tbl>
    <w:p>
      <w:pPr>
        <w:jc w:val="center"/>
        <w:rPr>
          <w:rFonts w:hint="eastAsia" w:ascii="宋体" w:hAnsi="宋体" w:cs="宋体"/>
          <w:sz w:val="28"/>
          <w:szCs w:val="28"/>
        </w:rPr>
      </w:pPr>
      <w:r>
        <w:rPr>
          <w:rFonts w:hint="eastAsia" w:ascii="宋体" w:hAnsi="宋体" w:cs="宋体"/>
          <w:b/>
          <w:bCs/>
          <w:sz w:val="28"/>
          <w:szCs w:val="28"/>
        </w:rPr>
        <w:t>表7.0.</w:t>
      </w:r>
      <w:r>
        <w:rPr>
          <w:rFonts w:hint="eastAsia" w:ascii="宋体" w:hAnsi="宋体" w:cs="宋体"/>
          <w:b/>
          <w:bCs/>
          <w:sz w:val="28"/>
          <w:szCs w:val="28"/>
          <w:lang w:eastAsia="zh-CN"/>
        </w:rPr>
        <w:t>5</w:t>
      </w:r>
      <w:r>
        <w:rPr>
          <w:rFonts w:hint="eastAsia" w:ascii="宋体" w:hAnsi="宋体" w:cs="宋体"/>
          <w:b/>
          <w:bCs/>
          <w:sz w:val="28"/>
          <w:szCs w:val="28"/>
        </w:rPr>
        <w:t>电缆最小弯曲半径</w:t>
      </w:r>
    </w:p>
    <w:p>
      <w:pPr>
        <w:rPr>
          <w:rFonts w:ascii="宋体" w:hAnsi="宋体"/>
          <w:b/>
          <w:bCs/>
        </w:rPr>
      </w:pPr>
      <w:r>
        <w:rPr>
          <w:rFonts w:hint="eastAsia" w:ascii="宋体" w:hAnsi="宋体"/>
          <w:b/>
          <w:bCs/>
        </w:rPr>
        <w:t>注：D为电缆外径。</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7.0.</w:t>
      </w:r>
      <w:r>
        <w:rPr>
          <w:rFonts w:hint="eastAsia" w:ascii="宋体" w:hAnsi="宋体" w:cs="宋体"/>
          <w:sz w:val="28"/>
          <w:szCs w:val="28"/>
          <w:lang w:val="en-US" w:eastAsia="zh-CN"/>
        </w:rPr>
        <w:t>6</w:t>
      </w:r>
      <w:r>
        <w:rPr>
          <w:rFonts w:hint="eastAsia" w:ascii="宋体" w:hAnsi="宋体" w:cs="宋体"/>
          <w:sz w:val="28"/>
          <w:szCs w:val="28"/>
        </w:rPr>
        <w:t xml:space="preserve"> 采用机械敷设电缆时最大牵引强度应符合表7.0.</w:t>
      </w:r>
      <w:r>
        <w:rPr>
          <w:rFonts w:hint="eastAsia" w:ascii="宋体" w:hAnsi="宋体" w:cs="宋体"/>
          <w:sz w:val="28"/>
          <w:szCs w:val="28"/>
          <w:lang w:val="en-US" w:eastAsia="zh-CN"/>
        </w:rPr>
        <w:t>6</w:t>
      </w:r>
      <w:r>
        <w:rPr>
          <w:rFonts w:hint="eastAsia" w:ascii="宋体" w:hAnsi="宋体" w:cs="宋体"/>
          <w:sz w:val="28"/>
          <w:szCs w:val="28"/>
        </w:rPr>
        <w:t>的规定。</w:t>
      </w:r>
    </w:p>
    <w:p>
      <w:pPr>
        <w:jc w:val="center"/>
        <w:rPr>
          <w:rFonts w:ascii="宋体" w:hAnsi="宋体"/>
          <w:b/>
          <w:bCs/>
        </w:rPr>
      </w:pPr>
      <w:r>
        <w:rPr>
          <w:rFonts w:hint="eastAsia" w:ascii="宋体" w:hAnsi="宋体" w:cs="宋体"/>
          <w:b/>
          <w:bCs/>
          <w:sz w:val="28"/>
          <w:szCs w:val="28"/>
        </w:rPr>
        <w:t>表7.0.</w:t>
      </w:r>
      <w:r>
        <w:rPr>
          <w:rFonts w:hint="eastAsia" w:ascii="宋体" w:hAnsi="宋体" w:cs="宋体"/>
          <w:b/>
          <w:bCs/>
          <w:sz w:val="28"/>
          <w:szCs w:val="28"/>
          <w:lang w:eastAsia="zh-CN"/>
        </w:rPr>
        <w:t>6</w:t>
      </w:r>
      <w:r>
        <w:rPr>
          <w:rFonts w:hint="eastAsia" w:ascii="宋体" w:hAnsi="宋体" w:cs="宋体"/>
          <w:b/>
          <w:bCs/>
          <w:sz w:val="28"/>
          <w:szCs w:val="28"/>
        </w:rPr>
        <w:t>电缆最大牵引强度</w:t>
      </w:r>
    </w:p>
    <w:tbl>
      <w:tblPr>
        <w:tblStyle w:val="14"/>
        <w:tblW w:w="820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365"/>
        <w:gridCol w:w="1365"/>
        <w:gridCol w:w="1365"/>
        <w:gridCol w:w="1365"/>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vAlign w:val="center"/>
          </w:tcPr>
          <w:p>
            <w:pPr>
              <w:jc w:val="center"/>
              <w:rPr>
                <w:rFonts w:ascii="宋体" w:hAnsi="宋体"/>
              </w:rPr>
            </w:pPr>
            <w:r>
              <w:rPr>
                <w:rFonts w:hint="eastAsia" w:ascii="宋体" w:hAnsi="宋体"/>
              </w:rPr>
              <w:t>牵引方式</w:t>
            </w:r>
          </w:p>
        </w:tc>
        <w:tc>
          <w:tcPr>
            <w:tcW w:w="2730" w:type="dxa"/>
            <w:gridSpan w:val="2"/>
            <w:vAlign w:val="center"/>
          </w:tcPr>
          <w:p>
            <w:pPr>
              <w:jc w:val="center"/>
              <w:rPr>
                <w:rFonts w:ascii="宋体" w:hAnsi="宋体"/>
              </w:rPr>
            </w:pPr>
            <w:r>
              <w:rPr>
                <w:rFonts w:hint="eastAsia" w:ascii="宋体" w:hAnsi="宋体"/>
              </w:rPr>
              <w:t>牵引头</w:t>
            </w:r>
          </w:p>
        </w:tc>
        <w:tc>
          <w:tcPr>
            <w:tcW w:w="4099" w:type="dxa"/>
            <w:gridSpan w:val="3"/>
            <w:vAlign w:val="center"/>
          </w:tcPr>
          <w:p>
            <w:pPr>
              <w:jc w:val="center"/>
              <w:rPr>
                <w:rFonts w:ascii="宋体" w:hAnsi="宋体"/>
              </w:rPr>
            </w:pPr>
            <w:r>
              <w:rPr>
                <w:rFonts w:hint="eastAsia" w:ascii="宋体" w:hAnsi="宋体"/>
              </w:rPr>
              <w:t>钢丝网套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vAlign w:val="center"/>
          </w:tcPr>
          <w:p>
            <w:pPr>
              <w:jc w:val="center"/>
              <w:rPr>
                <w:rFonts w:ascii="宋体" w:hAnsi="宋体"/>
              </w:rPr>
            </w:pPr>
            <w:r>
              <w:rPr>
                <w:rFonts w:hint="eastAsia" w:ascii="宋体" w:hAnsi="宋体"/>
              </w:rPr>
              <w:t>受力部位</w:t>
            </w:r>
          </w:p>
        </w:tc>
        <w:tc>
          <w:tcPr>
            <w:tcW w:w="1365" w:type="dxa"/>
            <w:vAlign w:val="center"/>
          </w:tcPr>
          <w:p>
            <w:pPr>
              <w:jc w:val="center"/>
              <w:rPr>
                <w:rFonts w:ascii="宋体" w:hAnsi="宋体"/>
              </w:rPr>
            </w:pPr>
            <w:r>
              <w:rPr>
                <w:rFonts w:hint="eastAsia" w:ascii="宋体" w:hAnsi="宋体"/>
              </w:rPr>
              <w:t>铜芯</w:t>
            </w:r>
          </w:p>
        </w:tc>
        <w:tc>
          <w:tcPr>
            <w:tcW w:w="1365" w:type="dxa"/>
            <w:vAlign w:val="center"/>
          </w:tcPr>
          <w:p>
            <w:pPr>
              <w:jc w:val="center"/>
              <w:rPr>
                <w:rFonts w:ascii="宋体" w:hAnsi="宋体"/>
              </w:rPr>
            </w:pPr>
            <w:r>
              <w:rPr>
                <w:rFonts w:hint="eastAsia" w:ascii="宋体" w:hAnsi="宋体"/>
              </w:rPr>
              <w:t>铝芯</w:t>
            </w:r>
          </w:p>
        </w:tc>
        <w:tc>
          <w:tcPr>
            <w:tcW w:w="1365" w:type="dxa"/>
            <w:vAlign w:val="center"/>
          </w:tcPr>
          <w:p>
            <w:pPr>
              <w:jc w:val="center"/>
              <w:rPr>
                <w:rFonts w:ascii="宋体" w:hAnsi="宋体"/>
              </w:rPr>
            </w:pPr>
            <w:r>
              <w:rPr>
                <w:rFonts w:hint="eastAsia" w:ascii="宋体" w:hAnsi="宋体"/>
              </w:rPr>
              <w:t>铅套</w:t>
            </w:r>
          </w:p>
        </w:tc>
        <w:tc>
          <w:tcPr>
            <w:tcW w:w="1365" w:type="dxa"/>
            <w:vAlign w:val="center"/>
          </w:tcPr>
          <w:p>
            <w:pPr>
              <w:jc w:val="center"/>
              <w:rPr>
                <w:rFonts w:ascii="宋体" w:hAnsi="宋体"/>
              </w:rPr>
            </w:pPr>
            <w:r>
              <w:rPr>
                <w:rFonts w:hint="eastAsia" w:ascii="宋体" w:hAnsi="宋体"/>
              </w:rPr>
              <w:t>铝套</w:t>
            </w:r>
          </w:p>
        </w:tc>
        <w:tc>
          <w:tcPr>
            <w:tcW w:w="1369" w:type="dxa"/>
            <w:vAlign w:val="center"/>
          </w:tcPr>
          <w:p>
            <w:pPr>
              <w:jc w:val="center"/>
              <w:rPr>
                <w:rFonts w:ascii="宋体" w:hAnsi="宋体"/>
              </w:rPr>
            </w:pPr>
            <w:r>
              <w:rPr>
                <w:rFonts w:hint="eastAsia" w:ascii="宋体" w:hAnsi="宋体"/>
              </w:rPr>
              <w:t>塑料护套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vAlign w:val="center"/>
          </w:tcPr>
          <w:p>
            <w:pPr>
              <w:jc w:val="center"/>
              <w:rPr>
                <w:rFonts w:ascii="宋体" w:hAnsi="宋体"/>
              </w:rPr>
            </w:pPr>
            <w:r>
              <w:rPr>
                <w:rFonts w:hint="eastAsia" w:ascii="宋体" w:hAnsi="宋体"/>
              </w:rPr>
              <w:t>允许牵引强度</w:t>
            </w:r>
            <w:r>
              <w:rPr>
                <w:rFonts w:ascii="宋体" w:hAnsi="宋体"/>
                <w:b/>
                <w:bCs/>
              </w:rPr>
              <w:t>（N/</w:t>
            </w:r>
            <w:r>
              <w:rPr>
                <w:rFonts w:hint="eastAsia" w:ascii="宋体" w:hAnsi="宋体"/>
                <w:b/>
                <w:bCs/>
              </w:rPr>
              <w:t>mm</w:t>
            </w:r>
            <w:r>
              <w:rPr>
                <w:rFonts w:ascii="宋体" w:hAnsi="宋体"/>
                <w:b/>
                <w:bCs/>
                <w:vertAlign w:val="superscript"/>
              </w:rPr>
              <w:t>2</w:t>
            </w:r>
            <w:r>
              <w:rPr>
                <w:rFonts w:ascii="宋体" w:hAnsi="宋体"/>
                <w:b/>
                <w:bCs/>
              </w:rPr>
              <w:t>）</w:t>
            </w:r>
          </w:p>
        </w:tc>
        <w:tc>
          <w:tcPr>
            <w:tcW w:w="1365" w:type="dxa"/>
            <w:vAlign w:val="center"/>
          </w:tcPr>
          <w:p>
            <w:pPr>
              <w:jc w:val="center"/>
              <w:rPr>
                <w:rFonts w:ascii="宋体" w:hAnsi="宋体"/>
              </w:rPr>
            </w:pPr>
            <w:r>
              <w:rPr>
                <w:rFonts w:ascii="宋体" w:hAnsi="宋体"/>
              </w:rPr>
              <w:t>70</w:t>
            </w:r>
          </w:p>
        </w:tc>
        <w:tc>
          <w:tcPr>
            <w:tcW w:w="1365" w:type="dxa"/>
            <w:vAlign w:val="center"/>
          </w:tcPr>
          <w:p>
            <w:pPr>
              <w:jc w:val="center"/>
              <w:rPr>
                <w:rFonts w:ascii="宋体" w:hAnsi="宋体"/>
              </w:rPr>
            </w:pPr>
            <w:r>
              <w:rPr>
                <w:rFonts w:ascii="宋体" w:hAnsi="宋体"/>
              </w:rPr>
              <w:t>40</w:t>
            </w:r>
          </w:p>
        </w:tc>
        <w:tc>
          <w:tcPr>
            <w:tcW w:w="1365" w:type="dxa"/>
            <w:vAlign w:val="center"/>
          </w:tcPr>
          <w:p>
            <w:pPr>
              <w:jc w:val="center"/>
              <w:rPr>
                <w:rFonts w:ascii="宋体" w:hAnsi="宋体"/>
              </w:rPr>
            </w:pPr>
            <w:r>
              <w:rPr>
                <w:rFonts w:hint="eastAsia" w:ascii="宋体" w:hAnsi="宋体"/>
              </w:rPr>
              <w:t>1</w:t>
            </w:r>
            <w:r>
              <w:rPr>
                <w:rFonts w:ascii="宋体" w:hAnsi="宋体"/>
              </w:rPr>
              <w:t>0</w:t>
            </w:r>
          </w:p>
        </w:tc>
        <w:tc>
          <w:tcPr>
            <w:tcW w:w="1365" w:type="dxa"/>
            <w:vAlign w:val="center"/>
          </w:tcPr>
          <w:p>
            <w:pPr>
              <w:jc w:val="center"/>
              <w:rPr>
                <w:rFonts w:ascii="宋体" w:hAnsi="宋体"/>
              </w:rPr>
            </w:pPr>
            <w:r>
              <w:rPr>
                <w:rFonts w:hint="eastAsia" w:ascii="宋体" w:hAnsi="宋体"/>
              </w:rPr>
              <w:t>4</w:t>
            </w:r>
            <w:r>
              <w:rPr>
                <w:rFonts w:ascii="宋体" w:hAnsi="宋体"/>
              </w:rPr>
              <w:t>0</w:t>
            </w:r>
          </w:p>
        </w:tc>
        <w:tc>
          <w:tcPr>
            <w:tcW w:w="1369" w:type="dxa"/>
            <w:vAlign w:val="center"/>
          </w:tcPr>
          <w:p>
            <w:pPr>
              <w:jc w:val="center"/>
              <w:rPr>
                <w:rFonts w:ascii="宋体" w:hAnsi="宋体"/>
              </w:rPr>
            </w:pPr>
            <w:r>
              <w:rPr>
                <w:rFonts w:hint="eastAsia" w:ascii="宋体" w:hAnsi="宋体"/>
              </w:rPr>
              <w:t>7</w:t>
            </w:r>
          </w:p>
        </w:tc>
      </w:tr>
    </w:tbl>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7.0.</w:t>
      </w:r>
      <w:r>
        <w:rPr>
          <w:rFonts w:hint="eastAsia" w:ascii="宋体" w:hAnsi="宋体" w:cs="宋体"/>
          <w:sz w:val="28"/>
          <w:szCs w:val="28"/>
          <w:lang w:val="en-US" w:eastAsia="zh-CN"/>
        </w:rPr>
        <w:t>7</w:t>
      </w:r>
      <w:r>
        <w:rPr>
          <w:rFonts w:hint="eastAsia" w:ascii="宋体" w:hAnsi="宋体" w:cs="宋体"/>
          <w:sz w:val="28"/>
          <w:szCs w:val="28"/>
        </w:rPr>
        <w:t xml:space="preserve"> 电缆、电缆保护管敷设应符合下列规定：</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1 直埋敷设电缆、电缆保护管的埋深</w:t>
      </w:r>
      <w:r>
        <w:rPr>
          <w:rFonts w:hint="eastAsia" w:ascii="宋体" w:hAnsi="宋体" w:cs="宋体"/>
          <w:sz w:val="28"/>
          <w:szCs w:val="28"/>
          <w:lang w:val="en-US" w:eastAsia="zh-CN"/>
        </w:rPr>
        <w:t>应</w:t>
      </w:r>
      <w:r>
        <w:rPr>
          <w:rFonts w:hint="eastAsia" w:ascii="宋体" w:hAnsi="宋体" w:cs="宋体"/>
          <w:sz w:val="28"/>
          <w:szCs w:val="28"/>
        </w:rPr>
        <w:t>符合</w:t>
      </w:r>
      <w:r>
        <w:rPr>
          <w:rFonts w:hint="eastAsia" w:ascii="宋体" w:hAnsi="宋体" w:cs="宋体"/>
          <w:sz w:val="28"/>
          <w:szCs w:val="28"/>
          <w:lang w:eastAsia="zh-CN"/>
        </w:rPr>
        <w:t>设计文件要求</w:t>
      </w:r>
      <w:r>
        <w:rPr>
          <w:rFonts w:hint="eastAsia" w:ascii="宋体" w:hAnsi="宋体" w:cs="宋体"/>
          <w:sz w:val="28"/>
          <w:szCs w:val="28"/>
        </w:rPr>
        <w:t>。</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2 与周边平行或交叉电缆、管道、道路、</w:t>
      </w:r>
      <w:r>
        <w:rPr>
          <w:rFonts w:hint="eastAsia" w:ascii="宋体" w:hAnsi="宋体" w:cs="宋体"/>
          <w:sz w:val="28"/>
          <w:szCs w:val="28"/>
          <w:lang w:val="en-US" w:eastAsia="zh-CN"/>
        </w:rPr>
        <w:t>建</w:t>
      </w:r>
      <w:r>
        <w:rPr>
          <w:rFonts w:hint="eastAsia" w:ascii="宋体" w:hAnsi="宋体" w:cs="宋体"/>
          <w:sz w:val="28"/>
          <w:szCs w:val="28"/>
        </w:rPr>
        <w:t>筑物等最小净距</w:t>
      </w:r>
      <w:r>
        <w:rPr>
          <w:rFonts w:hint="eastAsia" w:ascii="宋体" w:hAnsi="宋体" w:cs="宋体"/>
          <w:sz w:val="28"/>
          <w:szCs w:val="28"/>
          <w:lang w:val="en-US" w:eastAsia="zh-CN"/>
        </w:rPr>
        <w:t>应</w:t>
      </w:r>
      <w:r>
        <w:rPr>
          <w:rFonts w:hint="eastAsia" w:ascii="宋体" w:hAnsi="宋体" w:cs="宋体"/>
          <w:sz w:val="28"/>
          <w:szCs w:val="28"/>
        </w:rPr>
        <w:t>符合设计</w:t>
      </w:r>
      <w:r>
        <w:rPr>
          <w:rFonts w:hint="eastAsia" w:ascii="宋体" w:hAnsi="宋体" w:cs="宋体"/>
          <w:sz w:val="28"/>
          <w:szCs w:val="28"/>
          <w:lang w:val="en-US" w:eastAsia="zh-CN"/>
        </w:rPr>
        <w:t>文件</w:t>
      </w:r>
      <w:r>
        <w:rPr>
          <w:rFonts w:hint="eastAsia" w:ascii="宋体" w:hAnsi="宋体" w:cs="宋体"/>
          <w:sz w:val="28"/>
          <w:szCs w:val="28"/>
        </w:rPr>
        <w:t>要求。</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7.0.</w:t>
      </w:r>
      <w:r>
        <w:rPr>
          <w:rFonts w:hint="eastAsia" w:ascii="宋体" w:hAnsi="宋体" w:cs="宋体"/>
          <w:sz w:val="28"/>
          <w:szCs w:val="28"/>
          <w:lang w:val="en-US" w:eastAsia="zh-CN"/>
        </w:rPr>
        <w:t>8</w:t>
      </w:r>
      <w:r>
        <w:rPr>
          <w:rFonts w:hint="eastAsia" w:ascii="宋体" w:hAnsi="宋体" w:cs="宋体"/>
          <w:sz w:val="28"/>
          <w:szCs w:val="28"/>
        </w:rPr>
        <w:t xml:space="preserve"> 水底电缆敷设应符合下列规定：</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 xml:space="preserve">1 </w:t>
      </w:r>
      <w:r>
        <w:rPr>
          <w:rFonts w:hint="eastAsia" w:ascii="宋体" w:hAnsi="宋体" w:cs="宋体"/>
          <w:sz w:val="28"/>
          <w:szCs w:val="28"/>
          <w:lang w:eastAsia="zh-CN"/>
        </w:rPr>
        <w:t>不得</w:t>
      </w:r>
      <w:r>
        <w:rPr>
          <w:rFonts w:hint="eastAsia" w:ascii="宋体" w:hAnsi="宋体" w:cs="宋体"/>
          <w:sz w:val="28"/>
          <w:szCs w:val="28"/>
        </w:rPr>
        <w:t>在水底拖拉电缆。</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2 水底电缆</w:t>
      </w:r>
      <w:r>
        <w:rPr>
          <w:rFonts w:hint="eastAsia" w:ascii="宋体" w:hAnsi="宋体" w:cs="宋体"/>
          <w:sz w:val="28"/>
          <w:szCs w:val="28"/>
          <w:lang w:eastAsia="zh-CN"/>
        </w:rPr>
        <w:t>不得</w:t>
      </w:r>
      <w:r>
        <w:rPr>
          <w:rFonts w:hint="eastAsia" w:ascii="宋体" w:hAnsi="宋体" w:cs="宋体"/>
          <w:sz w:val="28"/>
          <w:szCs w:val="28"/>
        </w:rPr>
        <w:t>悬空。</w:t>
      </w:r>
    </w:p>
    <w:p>
      <w:pPr>
        <w:autoSpaceDE w:val="0"/>
        <w:autoSpaceDN w:val="0"/>
        <w:adjustRightInd w:val="0"/>
        <w:spacing w:line="360" w:lineRule="auto"/>
        <w:ind w:firstLine="560" w:firstLineChars="200"/>
        <w:rPr>
          <w:rFonts w:hint="eastAsia" w:ascii="宋体" w:hAnsi="宋体" w:cs="宋体"/>
          <w:sz w:val="28"/>
          <w:szCs w:val="28"/>
        </w:rPr>
      </w:pPr>
      <w:r>
        <w:rPr>
          <w:rFonts w:hint="eastAsia" w:ascii="宋体" w:hAnsi="宋体" w:cs="宋体"/>
          <w:sz w:val="28"/>
          <w:szCs w:val="28"/>
        </w:rPr>
        <w:t>3 水底电缆引至陆上处以及陆上区段</w:t>
      </w:r>
      <w:r>
        <w:rPr>
          <w:rFonts w:hint="eastAsia" w:ascii="宋体" w:hAnsi="宋体" w:cs="宋体"/>
          <w:sz w:val="28"/>
          <w:szCs w:val="28"/>
          <w:lang w:val="en-US" w:eastAsia="zh-CN"/>
        </w:rPr>
        <w:t>应</w:t>
      </w:r>
      <w:r>
        <w:rPr>
          <w:rFonts w:hint="eastAsia" w:ascii="宋体" w:hAnsi="宋体" w:cs="宋体"/>
          <w:sz w:val="28"/>
          <w:szCs w:val="28"/>
        </w:rPr>
        <w:t>采用安全防护措施。</w:t>
      </w:r>
    </w:p>
    <w:p>
      <w:pPr>
        <w:numPr>
          <w:ilvl w:val="2"/>
          <w:numId w:val="1"/>
        </w:numPr>
        <w:autoSpaceDE w:val="0"/>
        <w:autoSpaceDN w:val="0"/>
        <w:adjustRightInd w:val="0"/>
        <w:spacing w:line="360" w:lineRule="auto"/>
        <w:ind w:left="720" w:hanging="720" w:firstLineChars="0"/>
        <w:jc w:val="left"/>
        <w:rPr>
          <w:rFonts w:ascii="宋体" w:hAnsi="宋体" w:cs="宋体"/>
          <w:sz w:val="28"/>
          <w:szCs w:val="28"/>
        </w:rPr>
      </w:pPr>
      <w:r>
        <w:rPr>
          <w:rFonts w:ascii="宋体" w:hAnsi="宋体" w:cs="宋体"/>
          <w:sz w:val="28"/>
          <w:szCs w:val="28"/>
        </w:rPr>
        <w:t xml:space="preserve"> </w:t>
      </w:r>
      <w:bookmarkStart w:id="12" w:name="_Hlk77709141"/>
      <w:r>
        <w:rPr>
          <w:rFonts w:hint="eastAsia" w:ascii="宋体" w:hAnsi="宋体" w:cs="宋体"/>
          <w:sz w:val="28"/>
          <w:szCs w:val="28"/>
        </w:rPr>
        <w:t>海底电缆敷设应符合下列规定：</w:t>
      </w:r>
    </w:p>
    <w:bookmarkEnd w:id="12"/>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1</w:t>
      </w:r>
      <w:r>
        <w:rPr>
          <w:rFonts w:ascii="宋体" w:hAnsi="宋体" w:cs="宋体"/>
          <w:sz w:val="28"/>
          <w:szCs w:val="28"/>
        </w:rPr>
        <w:t xml:space="preserve"> </w:t>
      </w:r>
      <w:r>
        <w:rPr>
          <w:rFonts w:hint="eastAsia" w:ascii="宋体" w:hAnsi="宋体" w:cs="宋体"/>
          <w:sz w:val="28"/>
          <w:szCs w:val="28"/>
        </w:rPr>
        <w:t>敷设路径</w:t>
      </w:r>
      <w:r>
        <w:rPr>
          <w:rFonts w:hint="eastAsia" w:ascii="宋体" w:hAnsi="宋体" w:cs="宋体"/>
          <w:sz w:val="28"/>
          <w:szCs w:val="28"/>
          <w:lang w:val="en-US" w:eastAsia="zh-CN"/>
        </w:rPr>
        <w:t>应</w:t>
      </w:r>
      <w:r>
        <w:rPr>
          <w:rFonts w:hint="eastAsia" w:ascii="宋体" w:hAnsi="宋体" w:cs="宋体"/>
          <w:sz w:val="28"/>
          <w:szCs w:val="28"/>
        </w:rPr>
        <w:t>符合</w:t>
      </w:r>
      <w:r>
        <w:rPr>
          <w:rFonts w:hint="eastAsia" w:ascii="宋体" w:hAnsi="宋体" w:cs="宋体"/>
          <w:sz w:val="28"/>
          <w:szCs w:val="28"/>
          <w:lang w:eastAsia="zh-CN"/>
        </w:rPr>
        <w:t>设计文件要求</w:t>
      </w:r>
      <w:r>
        <w:rPr>
          <w:rFonts w:hint="eastAsia" w:ascii="宋体" w:hAnsi="宋体" w:cs="宋体"/>
          <w:sz w:val="28"/>
          <w:szCs w:val="28"/>
        </w:rPr>
        <w:t>。</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2 敷设时受到的张力</w:t>
      </w:r>
      <w:r>
        <w:rPr>
          <w:rFonts w:hint="eastAsia" w:ascii="宋体" w:hAnsi="宋体" w:cs="宋体"/>
          <w:sz w:val="28"/>
          <w:szCs w:val="28"/>
          <w:lang w:val="en-US" w:eastAsia="zh-CN"/>
        </w:rPr>
        <w:t>应</w:t>
      </w:r>
      <w:r>
        <w:rPr>
          <w:rFonts w:hint="eastAsia" w:ascii="宋体" w:hAnsi="宋体" w:cs="宋体"/>
          <w:sz w:val="28"/>
          <w:szCs w:val="28"/>
        </w:rPr>
        <w:t>在设计范围内。</w:t>
      </w:r>
    </w:p>
    <w:p>
      <w:pPr>
        <w:autoSpaceDE w:val="0"/>
        <w:autoSpaceDN w:val="0"/>
        <w:adjustRightInd w:val="0"/>
        <w:spacing w:line="360" w:lineRule="auto"/>
        <w:ind w:firstLine="560" w:firstLineChars="200"/>
        <w:rPr>
          <w:rFonts w:ascii="宋体" w:hAnsi="宋体" w:cs="宋体"/>
          <w:sz w:val="28"/>
          <w:szCs w:val="28"/>
        </w:rPr>
      </w:pPr>
      <w:r>
        <w:rPr>
          <w:rFonts w:ascii="宋体" w:hAnsi="宋体" w:cs="宋体"/>
          <w:sz w:val="28"/>
          <w:szCs w:val="28"/>
        </w:rPr>
        <w:t xml:space="preserve">3 </w:t>
      </w:r>
      <w:r>
        <w:rPr>
          <w:rFonts w:hint="eastAsia" w:ascii="宋体" w:hAnsi="宋体" w:cs="宋体"/>
          <w:sz w:val="28"/>
          <w:szCs w:val="28"/>
        </w:rPr>
        <w:t>埋设深度</w:t>
      </w:r>
      <w:r>
        <w:rPr>
          <w:rFonts w:hint="eastAsia" w:ascii="宋体" w:hAnsi="宋体" w:cs="宋体"/>
          <w:sz w:val="28"/>
          <w:szCs w:val="28"/>
          <w:lang w:val="en-US" w:eastAsia="zh-CN"/>
        </w:rPr>
        <w:t>应</w:t>
      </w:r>
      <w:r>
        <w:rPr>
          <w:rFonts w:hint="eastAsia" w:ascii="宋体" w:hAnsi="宋体" w:cs="宋体"/>
          <w:sz w:val="28"/>
          <w:szCs w:val="28"/>
        </w:rPr>
        <w:t>符合</w:t>
      </w:r>
      <w:r>
        <w:rPr>
          <w:rFonts w:hint="eastAsia" w:ascii="宋体" w:hAnsi="宋体" w:cs="宋体"/>
          <w:sz w:val="28"/>
          <w:szCs w:val="28"/>
          <w:lang w:eastAsia="zh-CN"/>
        </w:rPr>
        <w:t>设计文件要求</w:t>
      </w:r>
      <w:r>
        <w:rPr>
          <w:rFonts w:hint="eastAsia" w:ascii="宋体" w:hAnsi="宋体" w:cs="宋体"/>
          <w:sz w:val="28"/>
          <w:szCs w:val="28"/>
        </w:rPr>
        <w:t>。</w:t>
      </w:r>
    </w:p>
    <w:p>
      <w:pPr>
        <w:autoSpaceDE w:val="0"/>
        <w:autoSpaceDN w:val="0"/>
        <w:adjustRightInd w:val="0"/>
        <w:spacing w:line="360" w:lineRule="auto"/>
        <w:ind w:firstLine="560" w:firstLineChars="200"/>
        <w:rPr>
          <w:rFonts w:ascii="宋体" w:hAnsi="宋体" w:cs="宋体"/>
          <w:sz w:val="28"/>
          <w:szCs w:val="28"/>
        </w:rPr>
      </w:pPr>
      <w:r>
        <w:rPr>
          <w:rFonts w:ascii="宋体" w:hAnsi="宋体" w:cs="宋体"/>
          <w:sz w:val="28"/>
          <w:szCs w:val="28"/>
        </w:rPr>
        <w:t xml:space="preserve">4 </w:t>
      </w:r>
      <w:r>
        <w:rPr>
          <w:rFonts w:hint="eastAsia" w:ascii="宋体" w:hAnsi="宋体" w:cs="宋体"/>
          <w:sz w:val="28"/>
          <w:szCs w:val="28"/>
        </w:rPr>
        <w:t>不</w:t>
      </w:r>
      <w:r>
        <w:rPr>
          <w:rFonts w:hint="eastAsia" w:ascii="宋体" w:hAnsi="宋体" w:cs="宋体"/>
          <w:sz w:val="28"/>
          <w:szCs w:val="28"/>
          <w:lang w:val="en-US" w:eastAsia="zh-CN"/>
        </w:rPr>
        <w:t>得</w:t>
      </w:r>
      <w:r>
        <w:rPr>
          <w:rFonts w:hint="eastAsia" w:ascii="宋体" w:hAnsi="宋体" w:cs="宋体"/>
          <w:sz w:val="28"/>
          <w:szCs w:val="28"/>
        </w:rPr>
        <w:t>发生交叉、重叠、弯折、扭结等现象。</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7.0.</w:t>
      </w:r>
      <w:r>
        <w:rPr>
          <w:rFonts w:hint="eastAsia" w:ascii="宋体" w:hAnsi="宋体" w:cs="宋体"/>
          <w:sz w:val="28"/>
          <w:szCs w:val="28"/>
          <w:lang w:val="en-US" w:eastAsia="zh-CN"/>
        </w:rPr>
        <w:t>10</w:t>
      </w:r>
      <w:r>
        <w:rPr>
          <w:rFonts w:hint="eastAsia" w:ascii="宋体" w:hAnsi="宋体" w:cs="宋体"/>
          <w:sz w:val="28"/>
          <w:szCs w:val="28"/>
        </w:rPr>
        <w:t xml:space="preserve"> 电缆终端及接头应按工艺流程制作。</w:t>
      </w:r>
    </w:p>
    <w:p>
      <w:pPr>
        <w:autoSpaceDE w:val="0"/>
        <w:autoSpaceDN w:val="0"/>
        <w:adjustRightInd w:val="0"/>
        <w:spacing w:line="360" w:lineRule="auto"/>
        <w:jc w:val="left"/>
        <w:rPr>
          <w:rFonts w:ascii="宋体" w:hAnsi="宋体" w:cs="宋体"/>
          <w:sz w:val="28"/>
          <w:szCs w:val="28"/>
          <w:highlight w:val="yellow"/>
        </w:rPr>
      </w:pPr>
      <w:bookmarkStart w:id="13" w:name="_Hlk77708966"/>
      <w:r>
        <w:rPr>
          <w:rFonts w:hint="eastAsia" w:ascii="宋体" w:hAnsi="宋体" w:cs="宋体"/>
          <w:sz w:val="28"/>
          <w:szCs w:val="28"/>
        </w:rPr>
        <w:t>7.0.1</w:t>
      </w:r>
      <w:r>
        <w:rPr>
          <w:rFonts w:hint="eastAsia" w:ascii="宋体" w:hAnsi="宋体" w:cs="宋体"/>
          <w:sz w:val="28"/>
          <w:szCs w:val="28"/>
          <w:lang w:val="en-US" w:eastAsia="zh-CN"/>
        </w:rPr>
        <w:t>1</w:t>
      </w:r>
      <w:r>
        <w:rPr>
          <w:rFonts w:hint="eastAsia" w:ascii="宋体" w:hAnsi="宋体" w:cs="宋体"/>
          <w:sz w:val="28"/>
          <w:szCs w:val="28"/>
        </w:rPr>
        <w:t xml:space="preserve"> </w:t>
      </w:r>
      <w:bookmarkEnd w:id="13"/>
      <w:r>
        <w:rPr>
          <w:rFonts w:hint="eastAsia" w:ascii="宋体" w:hAnsi="宋体" w:cs="宋体"/>
          <w:sz w:val="28"/>
          <w:szCs w:val="28"/>
        </w:rPr>
        <w:t>电缆直埋</w:t>
      </w:r>
      <w:r>
        <w:rPr>
          <w:rFonts w:hint="eastAsia" w:ascii="宋体" w:hAnsi="宋体" w:cs="宋体"/>
          <w:sz w:val="28"/>
          <w:szCs w:val="28"/>
          <w:lang w:val="en-US" w:eastAsia="zh-CN"/>
        </w:rPr>
        <w:t>通道</w:t>
      </w:r>
      <w:r>
        <w:rPr>
          <w:rFonts w:hint="eastAsia" w:ascii="宋体" w:hAnsi="宋体" w:cs="宋体"/>
          <w:sz w:val="28"/>
          <w:szCs w:val="28"/>
        </w:rPr>
        <w:t>、接头、转弯、进入建筑物等部位应设置标识；水底电缆及海底电缆两端登陆处应设置水线及禁止抛锚警示标识，并应符合海事航标规定。</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7.0.1</w:t>
      </w:r>
      <w:r>
        <w:rPr>
          <w:rFonts w:hint="eastAsia" w:ascii="宋体" w:hAnsi="宋体" w:cs="宋体"/>
          <w:sz w:val="28"/>
          <w:szCs w:val="28"/>
          <w:lang w:val="en-US" w:eastAsia="zh-CN"/>
        </w:rPr>
        <w:t>2</w:t>
      </w:r>
      <w:r>
        <w:rPr>
          <w:rFonts w:hint="eastAsia" w:ascii="宋体" w:hAnsi="宋体" w:cs="宋体"/>
          <w:sz w:val="28"/>
          <w:szCs w:val="28"/>
        </w:rPr>
        <w:t xml:space="preserve"> 电缆密集场所或可能着火蔓延酿成事故的电缆线路，防火阻燃措施应符合</w:t>
      </w:r>
      <w:r>
        <w:rPr>
          <w:rFonts w:hint="eastAsia" w:ascii="宋体" w:hAnsi="宋体" w:cs="宋体"/>
          <w:sz w:val="28"/>
          <w:szCs w:val="28"/>
          <w:lang w:eastAsia="zh-CN"/>
        </w:rPr>
        <w:t>设计文件要求</w:t>
      </w:r>
      <w:r>
        <w:rPr>
          <w:rFonts w:hint="eastAsia" w:ascii="宋体" w:hAnsi="宋体" w:cs="宋体"/>
          <w:sz w:val="28"/>
          <w:szCs w:val="28"/>
        </w:rPr>
        <w:t>。</w:t>
      </w:r>
    </w:p>
    <w:p>
      <w:pPr>
        <w:pStyle w:val="19"/>
        <w:ind w:firstLine="420"/>
        <w:rPr>
          <w:rFonts w:ascii="Calibri Light" w:hAnsi="Calibri Light" w:eastAsia="宋体" w:cs="Calibri Light"/>
        </w:rPr>
      </w:pPr>
    </w:p>
    <w:p>
      <w:pPr>
        <w:pStyle w:val="20"/>
        <w:widowControl/>
        <w:snapToGrid w:val="0"/>
        <w:spacing w:before="468" w:beforeLines="150" w:after="468" w:afterLines="150" w:line="300" w:lineRule="auto"/>
        <w:rPr>
          <w:rFonts w:hint="eastAsia" w:ascii="宋体" w:hAnsi="宋体" w:eastAsia="宋体" w:cs="宋体"/>
          <w:sz w:val="30"/>
          <w:szCs w:val="30"/>
        </w:rPr>
      </w:pPr>
      <w:bookmarkStart w:id="14" w:name="_Toc28389908"/>
    </w:p>
    <w:p>
      <w:pPr>
        <w:pStyle w:val="20"/>
        <w:widowControl/>
        <w:snapToGrid w:val="0"/>
        <w:spacing w:before="468" w:beforeLines="150" w:after="468" w:afterLines="150" w:line="300" w:lineRule="auto"/>
        <w:rPr>
          <w:rFonts w:hint="eastAsia" w:ascii="宋体" w:hAnsi="宋体" w:eastAsia="宋体" w:cs="宋体"/>
          <w:sz w:val="30"/>
          <w:szCs w:val="30"/>
        </w:rPr>
      </w:pPr>
    </w:p>
    <w:p>
      <w:pPr>
        <w:pStyle w:val="20"/>
        <w:widowControl/>
        <w:snapToGrid w:val="0"/>
        <w:spacing w:before="468" w:beforeLines="150" w:after="468" w:afterLines="150" w:line="300" w:lineRule="auto"/>
        <w:rPr>
          <w:rFonts w:hint="eastAsia" w:ascii="宋体" w:hAnsi="宋体" w:eastAsia="宋体" w:cs="宋体"/>
          <w:sz w:val="30"/>
          <w:szCs w:val="30"/>
        </w:rPr>
      </w:pPr>
    </w:p>
    <w:p>
      <w:pPr>
        <w:pStyle w:val="20"/>
        <w:widowControl/>
        <w:snapToGrid w:val="0"/>
        <w:spacing w:before="468" w:beforeLines="150" w:after="468" w:afterLines="150" w:line="300" w:lineRule="auto"/>
        <w:rPr>
          <w:rFonts w:ascii="宋体" w:hAnsi="宋体" w:eastAsia="宋体" w:cs="宋体"/>
          <w:sz w:val="30"/>
          <w:szCs w:val="30"/>
        </w:rPr>
      </w:pPr>
      <w:r>
        <w:rPr>
          <w:rFonts w:hint="eastAsia" w:ascii="宋体" w:hAnsi="宋体" w:eastAsia="宋体" w:cs="宋体"/>
          <w:sz w:val="30"/>
          <w:szCs w:val="30"/>
        </w:rPr>
        <w:t>8  盘、柜及二次回路</w:t>
      </w:r>
      <w:bookmarkEnd w:id="14"/>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8.0.1 盘、柜安装应符合下列规定：</w:t>
      </w:r>
    </w:p>
    <w:p>
      <w:pPr>
        <w:autoSpaceDE w:val="0"/>
        <w:autoSpaceDN w:val="0"/>
        <w:adjustRightInd w:val="0"/>
        <w:spacing w:line="360" w:lineRule="auto"/>
        <w:ind w:firstLine="560" w:firstLineChars="200"/>
        <w:jc w:val="left"/>
        <w:rPr>
          <w:rFonts w:ascii="宋体" w:hAnsi="宋体" w:cs="宋体"/>
          <w:sz w:val="28"/>
          <w:szCs w:val="28"/>
        </w:rPr>
      </w:pPr>
      <w:r>
        <w:rPr>
          <w:rFonts w:ascii="宋体" w:hAnsi="宋体" w:cs="宋体"/>
          <w:sz w:val="28"/>
          <w:szCs w:val="28"/>
        </w:rPr>
        <w:t>1</w:t>
      </w:r>
      <w:r>
        <w:rPr>
          <w:rFonts w:hint="eastAsia" w:ascii="宋体" w:hAnsi="宋体" w:cs="宋体"/>
          <w:sz w:val="28"/>
          <w:szCs w:val="28"/>
        </w:rPr>
        <w:t xml:space="preserve"> 柜体、基础型钢接地</w:t>
      </w:r>
      <w:r>
        <w:rPr>
          <w:rFonts w:hint="eastAsia" w:ascii="宋体" w:hAnsi="宋体" w:cs="宋体"/>
          <w:sz w:val="28"/>
          <w:szCs w:val="28"/>
          <w:lang w:val="en-US" w:eastAsia="zh-CN"/>
        </w:rPr>
        <w:t>应</w:t>
      </w:r>
      <w:r>
        <w:rPr>
          <w:rFonts w:hint="eastAsia" w:ascii="宋体" w:hAnsi="宋体" w:cs="宋体"/>
          <w:sz w:val="28"/>
          <w:szCs w:val="28"/>
        </w:rPr>
        <w:t>牢固可靠；成套柜的接地母线与主接地网连接</w:t>
      </w:r>
      <w:r>
        <w:rPr>
          <w:rFonts w:hint="eastAsia" w:ascii="宋体" w:hAnsi="宋体" w:cs="宋体"/>
          <w:sz w:val="28"/>
          <w:szCs w:val="28"/>
          <w:lang w:val="en-US" w:eastAsia="zh-CN"/>
        </w:rPr>
        <w:t>应</w:t>
      </w:r>
      <w:r>
        <w:rPr>
          <w:rFonts w:hint="eastAsia" w:ascii="宋体" w:hAnsi="宋体" w:cs="宋体"/>
          <w:sz w:val="28"/>
          <w:szCs w:val="28"/>
        </w:rPr>
        <w:t>可靠。</w:t>
      </w:r>
    </w:p>
    <w:p>
      <w:pPr>
        <w:autoSpaceDE w:val="0"/>
        <w:autoSpaceDN w:val="0"/>
        <w:adjustRightInd w:val="0"/>
        <w:spacing w:line="360" w:lineRule="auto"/>
        <w:ind w:firstLine="560" w:firstLineChars="200"/>
        <w:jc w:val="left"/>
        <w:rPr>
          <w:rFonts w:ascii="宋体" w:hAnsi="宋体" w:cs="宋体"/>
          <w:sz w:val="28"/>
          <w:szCs w:val="28"/>
        </w:rPr>
      </w:pPr>
      <w:r>
        <w:rPr>
          <w:rFonts w:ascii="宋体" w:hAnsi="宋体" w:cs="宋体"/>
          <w:sz w:val="28"/>
          <w:szCs w:val="28"/>
        </w:rPr>
        <w:t>2</w:t>
      </w:r>
      <w:r>
        <w:rPr>
          <w:rFonts w:hint="eastAsia" w:ascii="宋体" w:hAnsi="宋体" w:cs="宋体"/>
          <w:sz w:val="28"/>
          <w:szCs w:val="28"/>
        </w:rPr>
        <w:t xml:space="preserve"> 盘、柜内带电母线应有隔离防护措施。</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8.0.2 二次回路应符合下列规定：</w:t>
      </w:r>
    </w:p>
    <w:p>
      <w:pPr>
        <w:autoSpaceDE w:val="0"/>
        <w:autoSpaceDN w:val="0"/>
        <w:adjustRightInd w:val="0"/>
        <w:spacing w:line="360" w:lineRule="auto"/>
        <w:ind w:firstLine="560" w:firstLineChars="200"/>
        <w:jc w:val="left"/>
        <w:rPr>
          <w:rFonts w:ascii="宋体" w:hAnsi="宋体" w:cs="宋体"/>
          <w:sz w:val="28"/>
          <w:szCs w:val="28"/>
          <w:highlight w:val="yellow"/>
        </w:rPr>
      </w:pPr>
      <w:r>
        <w:rPr>
          <w:rFonts w:hint="eastAsia" w:ascii="宋体" w:hAnsi="宋体" w:cs="宋体"/>
          <w:sz w:val="28"/>
          <w:szCs w:val="28"/>
        </w:rPr>
        <w:t>1 对于双重化配置的保护电流、电压回路及直流电源、跳闸等控制回路，两套系统</w:t>
      </w:r>
      <w:r>
        <w:rPr>
          <w:rFonts w:hint="eastAsia" w:ascii="宋体" w:hAnsi="宋体" w:cs="宋体"/>
          <w:sz w:val="28"/>
          <w:szCs w:val="28"/>
          <w:lang w:eastAsia="zh-CN"/>
        </w:rPr>
        <w:t>不得</w:t>
      </w:r>
      <w:r>
        <w:rPr>
          <w:rFonts w:hint="eastAsia" w:ascii="宋体" w:hAnsi="宋体" w:cs="宋体"/>
          <w:sz w:val="28"/>
          <w:szCs w:val="28"/>
        </w:rPr>
        <w:t>合用同一根电缆。强、弱电回路</w:t>
      </w:r>
      <w:r>
        <w:rPr>
          <w:rFonts w:hint="eastAsia" w:ascii="宋体" w:hAnsi="宋体" w:cs="宋体"/>
          <w:sz w:val="28"/>
          <w:szCs w:val="28"/>
          <w:lang w:eastAsia="zh-CN"/>
        </w:rPr>
        <w:t>不得</w:t>
      </w:r>
      <w:r>
        <w:rPr>
          <w:rFonts w:hint="eastAsia" w:ascii="宋体" w:hAnsi="宋体" w:cs="宋体"/>
          <w:sz w:val="28"/>
          <w:szCs w:val="28"/>
        </w:rPr>
        <w:t>使用同一根电缆。</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2 二次回路接线</w:t>
      </w:r>
      <w:r>
        <w:rPr>
          <w:rFonts w:hint="eastAsia" w:ascii="宋体" w:hAnsi="宋体" w:cs="宋体"/>
          <w:sz w:val="28"/>
          <w:szCs w:val="28"/>
          <w:lang w:val="en-US" w:eastAsia="zh-CN"/>
        </w:rPr>
        <w:t>应</w:t>
      </w:r>
      <w:r>
        <w:rPr>
          <w:rFonts w:hint="eastAsia" w:ascii="宋体" w:hAnsi="宋体" w:cs="宋体"/>
          <w:sz w:val="28"/>
          <w:szCs w:val="28"/>
        </w:rPr>
        <w:t>正确，对于插接式端子，不同截面、不同规格的两根导线</w:t>
      </w:r>
      <w:r>
        <w:rPr>
          <w:rFonts w:hint="eastAsia" w:ascii="宋体" w:hAnsi="宋体" w:cs="宋体"/>
          <w:sz w:val="28"/>
          <w:szCs w:val="28"/>
          <w:lang w:eastAsia="zh-CN"/>
        </w:rPr>
        <w:t>不得</w:t>
      </w:r>
      <w:r>
        <w:rPr>
          <w:rFonts w:hint="eastAsia" w:ascii="宋体" w:hAnsi="宋体" w:cs="宋体"/>
          <w:sz w:val="28"/>
          <w:szCs w:val="28"/>
        </w:rPr>
        <w:t>接于同一端子。</w:t>
      </w:r>
    </w:p>
    <w:p>
      <w:pPr>
        <w:autoSpaceDE w:val="0"/>
        <w:autoSpaceDN w:val="0"/>
        <w:adjustRightInd w:val="0"/>
        <w:spacing w:line="360" w:lineRule="auto"/>
        <w:ind w:firstLine="560" w:firstLineChars="200"/>
        <w:jc w:val="left"/>
        <w:rPr>
          <w:rFonts w:ascii="宋体" w:hAnsi="宋体" w:cs="宋体"/>
          <w:sz w:val="28"/>
          <w:szCs w:val="28"/>
          <w:highlight w:val="yellow"/>
        </w:rPr>
      </w:pPr>
      <w:r>
        <w:rPr>
          <w:rFonts w:hint="eastAsia" w:ascii="宋体" w:hAnsi="宋体" w:cs="宋体"/>
          <w:sz w:val="28"/>
          <w:szCs w:val="28"/>
        </w:rPr>
        <w:t>3 电流互感器二次回路中性点</w:t>
      </w:r>
      <w:r>
        <w:rPr>
          <w:rFonts w:hint="eastAsia" w:ascii="宋体" w:hAnsi="宋体" w:cs="宋体"/>
          <w:sz w:val="28"/>
          <w:szCs w:val="28"/>
          <w:lang w:val="en-US" w:eastAsia="zh-CN"/>
        </w:rPr>
        <w:t>应</w:t>
      </w:r>
      <w:r>
        <w:rPr>
          <w:rFonts w:hint="eastAsia" w:ascii="宋体" w:hAnsi="宋体" w:cs="宋体"/>
          <w:sz w:val="28"/>
          <w:szCs w:val="28"/>
        </w:rPr>
        <w:t>一点接地，且不</w:t>
      </w:r>
      <w:r>
        <w:rPr>
          <w:rFonts w:hint="eastAsia" w:ascii="宋体" w:hAnsi="宋体" w:cs="宋体"/>
          <w:sz w:val="28"/>
          <w:szCs w:val="28"/>
          <w:lang w:val="en-US" w:eastAsia="zh-CN"/>
        </w:rPr>
        <w:t>得</w:t>
      </w:r>
      <w:r>
        <w:rPr>
          <w:rFonts w:hint="eastAsia" w:ascii="宋体" w:hAnsi="宋体" w:cs="宋体"/>
          <w:sz w:val="28"/>
          <w:szCs w:val="28"/>
        </w:rPr>
        <w:t>与其它回路接地线压接在同一端子。</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8.0.3 盘、柜及二次回路安装验收应符合下列规定：</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1 继电保护及安全自动装置保护动作及信号</w:t>
      </w:r>
      <w:r>
        <w:rPr>
          <w:rFonts w:hint="eastAsia" w:ascii="宋体" w:hAnsi="宋体" w:cs="宋体"/>
          <w:sz w:val="28"/>
          <w:szCs w:val="28"/>
          <w:lang w:val="en-US" w:eastAsia="zh-CN"/>
        </w:rPr>
        <w:t>应</w:t>
      </w:r>
      <w:r>
        <w:rPr>
          <w:rFonts w:hint="eastAsia" w:ascii="宋体" w:hAnsi="宋体" w:cs="宋体"/>
          <w:sz w:val="28"/>
          <w:szCs w:val="28"/>
        </w:rPr>
        <w:t>正确。</w:t>
      </w:r>
    </w:p>
    <w:p>
      <w:pPr>
        <w:ind w:firstLine="560" w:firstLineChars="200"/>
      </w:pPr>
      <w:r>
        <w:rPr>
          <w:rFonts w:hint="eastAsia" w:ascii="宋体" w:hAnsi="宋体" w:cs="宋体"/>
          <w:sz w:val="28"/>
          <w:szCs w:val="28"/>
        </w:rPr>
        <w:t>2 压板接触</w:t>
      </w:r>
      <w:r>
        <w:rPr>
          <w:rFonts w:hint="eastAsia" w:ascii="宋体" w:hAnsi="宋体" w:cs="宋体"/>
          <w:sz w:val="28"/>
          <w:szCs w:val="28"/>
          <w:lang w:val="en-US" w:eastAsia="zh-CN"/>
        </w:rPr>
        <w:t>应</w:t>
      </w:r>
      <w:r>
        <w:rPr>
          <w:rFonts w:hint="eastAsia" w:ascii="宋体" w:hAnsi="宋体" w:cs="宋体"/>
          <w:sz w:val="28"/>
          <w:szCs w:val="28"/>
        </w:rPr>
        <w:t>良好，相邻压板间切换时</w:t>
      </w:r>
      <w:r>
        <w:rPr>
          <w:rFonts w:hint="eastAsia" w:ascii="宋体" w:hAnsi="宋体" w:cs="宋体"/>
          <w:sz w:val="28"/>
          <w:szCs w:val="28"/>
          <w:lang w:eastAsia="zh-CN"/>
        </w:rPr>
        <w:t>不得</w:t>
      </w:r>
      <w:r>
        <w:rPr>
          <w:rFonts w:hint="eastAsia" w:ascii="宋体" w:hAnsi="宋体" w:cs="宋体"/>
          <w:sz w:val="28"/>
          <w:szCs w:val="28"/>
        </w:rPr>
        <w:t>相互碰及；对于一端带电的切换压板，在压板断开的情况下，活动端</w:t>
      </w:r>
      <w:r>
        <w:rPr>
          <w:rFonts w:hint="eastAsia" w:ascii="宋体" w:hAnsi="宋体" w:cs="宋体"/>
          <w:sz w:val="28"/>
          <w:szCs w:val="28"/>
          <w:lang w:eastAsia="zh-CN"/>
        </w:rPr>
        <w:t>不得</w:t>
      </w:r>
      <w:r>
        <w:rPr>
          <w:rFonts w:hint="eastAsia" w:ascii="宋体" w:hAnsi="宋体" w:cs="宋体"/>
          <w:sz w:val="28"/>
          <w:szCs w:val="28"/>
        </w:rPr>
        <w:t>带电。</w:t>
      </w:r>
    </w:p>
    <w:p/>
    <w:p>
      <w:pPr>
        <w:pStyle w:val="20"/>
        <w:widowControl/>
        <w:snapToGrid w:val="0"/>
        <w:spacing w:before="468" w:beforeLines="150" w:after="468" w:afterLines="150" w:line="300" w:lineRule="auto"/>
        <w:rPr>
          <w:rFonts w:ascii="Calibri Light" w:hAnsi="Calibri Light" w:eastAsia="宋体" w:cs="Calibri Light"/>
        </w:rPr>
      </w:pPr>
    </w:p>
    <w:p>
      <w:pPr>
        <w:pStyle w:val="19"/>
        <w:rPr>
          <w:rFonts w:ascii="Calibri Light" w:hAnsi="Calibri Light" w:eastAsia="宋体" w:cs="Calibri Light"/>
        </w:rPr>
      </w:pPr>
    </w:p>
    <w:p>
      <w:pPr>
        <w:pStyle w:val="19"/>
        <w:rPr>
          <w:rFonts w:ascii="Calibri Light" w:hAnsi="Calibri Light" w:eastAsia="宋体" w:cs="Calibri Light"/>
        </w:rPr>
      </w:pPr>
    </w:p>
    <w:p>
      <w:pPr>
        <w:spacing w:line="480" w:lineRule="auto"/>
        <w:jc w:val="center"/>
        <w:rPr>
          <w:rFonts w:ascii="宋体" w:hAnsi="宋体" w:cs="仿宋"/>
          <w:b/>
          <w:bCs/>
          <w:sz w:val="30"/>
          <w:szCs w:val="30"/>
        </w:rPr>
      </w:pPr>
      <w:r>
        <w:rPr>
          <w:rFonts w:hint="eastAsia" w:ascii="宋体" w:hAnsi="宋体" w:cs="仿宋"/>
          <w:b/>
          <w:bCs/>
          <w:sz w:val="30"/>
          <w:szCs w:val="30"/>
        </w:rPr>
        <w:t xml:space="preserve">9 </w:t>
      </w:r>
      <w:r>
        <w:rPr>
          <w:rFonts w:hint="eastAsia" w:ascii="Calibri Light" w:hAnsi="Calibri Light" w:cs="Calibri Light"/>
          <w:b/>
          <w:bCs/>
          <w:sz w:val="30"/>
          <w:szCs w:val="30"/>
        </w:rPr>
        <w:t xml:space="preserve"> </w:t>
      </w:r>
      <w:bookmarkStart w:id="15" w:name="_Toc14837_WPSOffice_Level2"/>
      <w:r>
        <w:rPr>
          <w:rFonts w:hint="eastAsia" w:ascii="宋体" w:hAnsi="宋体" w:cs="仿宋"/>
          <w:b/>
          <w:bCs/>
          <w:sz w:val="30"/>
          <w:szCs w:val="30"/>
        </w:rPr>
        <w:t>换流阀</w:t>
      </w:r>
      <w:bookmarkEnd w:id="15"/>
    </w:p>
    <w:p>
      <w:pPr>
        <w:autoSpaceDE w:val="0"/>
        <w:autoSpaceDN w:val="0"/>
        <w:adjustRightInd w:val="0"/>
        <w:spacing w:line="360" w:lineRule="auto"/>
        <w:jc w:val="left"/>
        <w:rPr>
          <w:rFonts w:hAnsi="宋体"/>
          <w:sz w:val="24"/>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9.0.1 换流阀组的安装作业环境应满足防尘、防潮要求。</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9.0.2 换流阀塔结构、阀组件及冷却水管应按产品说明书规定的工艺流程、技术要求进行装配。导电主回路接头的接触电阻</w:t>
      </w:r>
      <w:r>
        <w:rPr>
          <w:rFonts w:hint="eastAsia" w:ascii="宋体" w:hAnsi="宋体" w:cs="宋体"/>
          <w:sz w:val="28"/>
          <w:szCs w:val="28"/>
          <w:lang w:eastAsia="zh-CN"/>
        </w:rPr>
        <w:t>不得</w:t>
      </w:r>
      <w:r>
        <w:rPr>
          <w:rFonts w:hint="eastAsia" w:ascii="宋体" w:hAnsi="宋体" w:cs="宋体"/>
          <w:sz w:val="28"/>
          <w:szCs w:val="28"/>
        </w:rPr>
        <w:t>大于10μΩ。</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9.0.3 换流阀冷却系统安装应符合下列规定：</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1 阀内冷却循环水的电导率、pH值检验</w:t>
      </w:r>
      <w:r>
        <w:rPr>
          <w:rFonts w:hint="eastAsia" w:ascii="宋体" w:hAnsi="宋体" w:cs="宋体"/>
          <w:sz w:val="28"/>
          <w:szCs w:val="28"/>
          <w:lang w:val="en-US" w:eastAsia="zh-CN"/>
        </w:rPr>
        <w:t>应</w:t>
      </w:r>
      <w:r>
        <w:rPr>
          <w:rFonts w:hint="eastAsia" w:ascii="宋体" w:hAnsi="宋体" w:cs="宋体"/>
          <w:sz w:val="28"/>
          <w:szCs w:val="28"/>
        </w:rPr>
        <w:t>合格。</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2 温度、压力、流量</w:t>
      </w:r>
      <w:r>
        <w:rPr>
          <w:rFonts w:hint="eastAsia" w:ascii="宋体" w:hAnsi="宋体" w:cs="宋体"/>
          <w:sz w:val="28"/>
          <w:szCs w:val="28"/>
          <w:lang w:val="en-US" w:eastAsia="zh-CN"/>
        </w:rPr>
        <w:t>应</w:t>
      </w:r>
      <w:r>
        <w:rPr>
          <w:rFonts w:hint="eastAsia" w:ascii="宋体" w:hAnsi="宋体" w:cs="宋体"/>
          <w:sz w:val="28"/>
          <w:szCs w:val="28"/>
        </w:rPr>
        <w:t>正常。</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3 换流阀冷却系统密封试验</w:t>
      </w:r>
      <w:r>
        <w:rPr>
          <w:rFonts w:hint="eastAsia" w:ascii="宋体" w:hAnsi="宋体" w:cs="宋体"/>
          <w:sz w:val="28"/>
          <w:szCs w:val="28"/>
          <w:lang w:val="en-US" w:eastAsia="zh-CN"/>
        </w:rPr>
        <w:t>应</w:t>
      </w:r>
      <w:r>
        <w:rPr>
          <w:rFonts w:hint="eastAsia" w:ascii="宋体" w:hAnsi="宋体" w:cs="宋体"/>
          <w:sz w:val="28"/>
          <w:szCs w:val="28"/>
        </w:rPr>
        <w:t>合格。</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9.0.4 换流阀安装验收应符合下列规定：</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color w:val="000000"/>
          <w:sz w:val="28"/>
          <w:szCs w:val="28"/>
        </w:rPr>
        <w:t>1 换流阀与阀冷却系统</w:t>
      </w:r>
      <w:r>
        <w:rPr>
          <w:rFonts w:hint="eastAsia" w:ascii="宋体" w:hAnsi="宋体" w:cs="宋体"/>
          <w:sz w:val="28"/>
          <w:szCs w:val="28"/>
        </w:rPr>
        <w:t>安装牢固，等电位</w:t>
      </w:r>
      <w:r>
        <w:rPr>
          <w:rFonts w:hint="eastAsia" w:ascii="宋体" w:hAnsi="宋体" w:cs="宋体"/>
          <w:sz w:val="28"/>
          <w:szCs w:val="28"/>
          <w:lang w:val="en-US" w:eastAsia="zh-CN"/>
        </w:rPr>
        <w:t>连接应正确。</w:t>
      </w:r>
    </w:p>
    <w:p>
      <w:pPr>
        <w:autoSpaceDE w:val="0"/>
        <w:autoSpaceDN w:val="0"/>
        <w:adjustRightInd w:val="0"/>
        <w:spacing w:line="360" w:lineRule="auto"/>
        <w:ind w:firstLine="560" w:firstLineChars="200"/>
        <w:contextualSpacing/>
        <w:jc w:val="left"/>
        <w:rPr>
          <w:rFonts w:ascii="宋体" w:hAnsi="宋体" w:cs="宋体"/>
          <w:color w:val="000000"/>
          <w:sz w:val="28"/>
          <w:szCs w:val="28"/>
        </w:rPr>
      </w:pPr>
      <w:r>
        <w:rPr>
          <w:rFonts w:hint="eastAsia" w:ascii="宋体" w:hAnsi="宋体" w:cs="宋体"/>
          <w:color w:val="000000"/>
          <w:sz w:val="28"/>
          <w:szCs w:val="28"/>
        </w:rPr>
        <w:t xml:space="preserve">2 </w:t>
      </w:r>
      <w:r>
        <w:rPr>
          <w:rFonts w:hint="eastAsia" w:ascii="宋体" w:hAnsi="宋体" w:cs="宋体"/>
          <w:sz w:val="28"/>
          <w:szCs w:val="28"/>
        </w:rPr>
        <w:t>换流阀组试验</w:t>
      </w:r>
      <w:r>
        <w:rPr>
          <w:rFonts w:hint="eastAsia" w:ascii="宋体" w:hAnsi="宋体" w:cs="宋体"/>
          <w:sz w:val="28"/>
          <w:szCs w:val="28"/>
          <w:lang w:val="en-US" w:eastAsia="zh-CN"/>
        </w:rPr>
        <w:t>应</w:t>
      </w:r>
      <w:r>
        <w:rPr>
          <w:rFonts w:hint="eastAsia" w:ascii="宋体" w:hAnsi="宋体" w:cs="宋体"/>
          <w:sz w:val="28"/>
          <w:szCs w:val="28"/>
        </w:rPr>
        <w:t>合格，阀塔</w:t>
      </w:r>
      <w:r>
        <w:rPr>
          <w:rFonts w:hint="eastAsia" w:ascii="宋体" w:hAnsi="宋体" w:cs="宋体"/>
          <w:sz w:val="28"/>
          <w:szCs w:val="28"/>
          <w:lang w:val="zh-CN"/>
        </w:rPr>
        <w:t>漏</w:t>
      </w:r>
      <w:r>
        <w:rPr>
          <w:rFonts w:hint="eastAsia" w:ascii="宋体" w:hAnsi="宋体" w:cs="宋体"/>
          <w:sz w:val="28"/>
          <w:szCs w:val="28"/>
        </w:rPr>
        <w:t>水检</w:t>
      </w:r>
      <w:r>
        <w:rPr>
          <w:rFonts w:hint="eastAsia" w:ascii="宋体" w:hAnsi="宋体" w:cs="宋体"/>
          <w:sz w:val="28"/>
          <w:szCs w:val="28"/>
          <w:lang w:val="zh-CN"/>
        </w:rPr>
        <w:t>测</w:t>
      </w:r>
      <w:r>
        <w:rPr>
          <w:rFonts w:hint="eastAsia" w:ascii="宋体" w:hAnsi="宋体" w:cs="宋体"/>
          <w:sz w:val="28"/>
          <w:szCs w:val="28"/>
        </w:rPr>
        <w:t>装置功能</w:t>
      </w:r>
      <w:r>
        <w:rPr>
          <w:rFonts w:hint="eastAsia" w:ascii="宋体" w:hAnsi="宋体" w:cs="宋体"/>
          <w:sz w:val="28"/>
          <w:szCs w:val="28"/>
          <w:lang w:val="en-US" w:eastAsia="zh-CN"/>
        </w:rPr>
        <w:t>应</w:t>
      </w:r>
      <w:r>
        <w:rPr>
          <w:rFonts w:hint="eastAsia" w:ascii="宋体" w:hAnsi="宋体" w:cs="宋体"/>
          <w:sz w:val="28"/>
          <w:szCs w:val="28"/>
        </w:rPr>
        <w:t>正常</w:t>
      </w:r>
      <w:r>
        <w:rPr>
          <w:rFonts w:hint="eastAsia" w:ascii="宋体" w:hAnsi="宋体" w:cs="宋体"/>
          <w:color w:val="000000"/>
          <w:sz w:val="28"/>
          <w:szCs w:val="28"/>
        </w:rPr>
        <w:t>。</w:t>
      </w:r>
    </w:p>
    <w:p>
      <w:pPr>
        <w:pStyle w:val="20"/>
        <w:widowControl/>
        <w:snapToGrid w:val="0"/>
        <w:spacing w:before="468" w:beforeLines="150" w:after="468" w:afterLines="150" w:line="300" w:lineRule="auto"/>
        <w:rPr>
          <w:rFonts w:ascii="Calibri Light" w:hAnsi="Calibri Light" w:eastAsia="宋体" w:cs="Calibri Light"/>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autoSpaceDE w:val="0"/>
        <w:autoSpaceDN w:val="0"/>
        <w:adjustRightInd w:val="0"/>
        <w:spacing w:line="480" w:lineRule="auto"/>
        <w:jc w:val="center"/>
        <w:rPr>
          <w:rFonts w:ascii="Calibri Light" w:hAnsi="Calibri Light" w:cs="Calibri Light"/>
          <w:b/>
          <w:bCs/>
          <w:sz w:val="24"/>
        </w:rPr>
      </w:pPr>
    </w:p>
    <w:p>
      <w:pPr>
        <w:spacing w:line="480" w:lineRule="auto"/>
        <w:jc w:val="center"/>
        <w:rPr>
          <w:rFonts w:hint="eastAsia" w:ascii="宋体" w:hAnsi="宋体" w:cs="宋体"/>
          <w:b/>
          <w:bCs/>
          <w:sz w:val="30"/>
          <w:szCs w:val="30"/>
        </w:rPr>
      </w:pPr>
      <w:bookmarkStart w:id="16" w:name="_Toc17974_WPSOffice_Level2"/>
    </w:p>
    <w:p>
      <w:pPr>
        <w:spacing w:line="480" w:lineRule="auto"/>
        <w:jc w:val="center"/>
        <w:rPr>
          <w:rFonts w:hint="eastAsia" w:ascii="宋体" w:hAnsi="宋体" w:cs="宋体"/>
          <w:b/>
          <w:bCs/>
          <w:sz w:val="30"/>
          <w:szCs w:val="30"/>
        </w:rPr>
      </w:pPr>
    </w:p>
    <w:p>
      <w:pPr>
        <w:spacing w:line="480" w:lineRule="auto"/>
        <w:jc w:val="center"/>
        <w:rPr>
          <w:rFonts w:ascii="宋体" w:hAnsi="宋体" w:cs="宋体"/>
          <w:b/>
          <w:bCs/>
          <w:sz w:val="30"/>
          <w:szCs w:val="30"/>
        </w:rPr>
      </w:pPr>
      <w:r>
        <w:rPr>
          <w:rFonts w:hint="eastAsia" w:ascii="宋体" w:hAnsi="宋体" w:cs="宋体"/>
          <w:b/>
          <w:bCs/>
          <w:sz w:val="30"/>
          <w:szCs w:val="30"/>
        </w:rPr>
        <w:t>10 串联电容器补偿装置</w:t>
      </w:r>
      <w:bookmarkEnd w:id="16"/>
    </w:p>
    <w:p>
      <w:pPr>
        <w:autoSpaceDE w:val="0"/>
        <w:autoSpaceDN w:val="0"/>
        <w:adjustRightInd w:val="0"/>
        <w:spacing w:line="360" w:lineRule="auto"/>
        <w:jc w:val="left"/>
        <w:rPr>
          <w:rFonts w:hAnsi="宋体"/>
          <w:sz w:val="24"/>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10.0.1 当串补平台结构采用高强度螺栓时，高强度螺栓的储存、检验</w:t>
      </w:r>
      <w:r>
        <w:rPr>
          <w:rFonts w:hint="eastAsia" w:ascii="宋体" w:hAnsi="宋体" w:cs="宋体"/>
          <w:sz w:val="28"/>
          <w:szCs w:val="28"/>
          <w:lang w:val="en-US" w:eastAsia="zh-CN"/>
        </w:rPr>
        <w:t>和</w:t>
      </w:r>
      <w:r>
        <w:rPr>
          <w:rFonts w:hint="eastAsia" w:ascii="宋体" w:hAnsi="宋体" w:cs="宋体"/>
          <w:sz w:val="28"/>
          <w:szCs w:val="28"/>
        </w:rPr>
        <w:t>使用应符合《钢结构通用规范》的规定。</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10.0.2 平台吊装</w:t>
      </w:r>
      <w:r>
        <w:rPr>
          <w:rFonts w:hint="eastAsia" w:ascii="宋体" w:hAnsi="宋体" w:cs="宋体"/>
          <w:sz w:val="28"/>
          <w:szCs w:val="28"/>
          <w:lang w:val="en-US" w:eastAsia="zh-CN"/>
        </w:rPr>
        <w:t>时</w:t>
      </w:r>
      <w:r>
        <w:rPr>
          <w:rFonts w:hint="eastAsia" w:ascii="宋体" w:hAnsi="宋体" w:cs="宋体"/>
          <w:sz w:val="28"/>
          <w:szCs w:val="28"/>
        </w:rPr>
        <w:t>应平稳，并</w:t>
      </w:r>
      <w:r>
        <w:rPr>
          <w:rFonts w:hint="eastAsia" w:ascii="宋体" w:hAnsi="宋体" w:cs="宋体"/>
          <w:sz w:val="28"/>
          <w:szCs w:val="28"/>
          <w:lang w:val="en-US" w:eastAsia="zh-CN"/>
        </w:rPr>
        <w:t>应</w:t>
      </w:r>
      <w:r>
        <w:rPr>
          <w:rFonts w:hint="eastAsia" w:ascii="宋体" w:hAnsi="宋体" w:cs="宋体"/>
          <w:sz w:val="28"/>
          <w:szCs w:val="28"/>
        </w:rPr>
        <w:t>设置</w:t>
      </w:r>
      <w:r>
        <w:rPr>
          <w:rFonts w:hint="eastAsia" w:ascii="宋体" w:hAnsi="宋体" w:cs="宋体"/>
          <w:sz w:val="28"/>
          <w:szCs w:val="28"/>
          <w:lang w:val="en-US" w:eastAsia="zh-CN"/>
        </w:rPr>
        <w:t>控制</w:t>
      </w:r>
      <w:r>
        <w:rPr>
          <w:rFonts w:hint="eastAsia" w:ascii="宋体" w:hAnsi="宋体" w:cs="宋体"/>
          <w:sz w:val="28"/>
          <w:szCs w:val="28"/>
        </w:rPr>
        <w:t>绳。</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10.0.3 平台设备安装前后，斜拉绝缘子的阻尼弹簧伸长量和支柱绝缘子的垂直偏差均应合格。</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10.0.4 串补装置安装验收应符合下列规定：</w:t>
      </w:r>
    </w:p>
    <w:p>
      <w:pPr>
        <w:autoSpaceDE w:val="0"/>
        <w:autoSpaceDN w:val="0"/>
        <w:adjustRightInd w:val="0"/>
        <w:spacing w:line="360" w:lineRule="auto"/>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1 平台围栏和平台上的护栏、爬梯设施</w:t>
      </w:r>
      <w:r>
        <w:rPr>
          <w:rFonts w:hint="eastAsia" w:ascii="宋体" w:hAnsi="宋体" w:cs="宋体"/>
          <w:color w:val="000000"/>
          <w:sz w:val="28"/>
          <w:szCs w:val="28"/>
          <w:lang w:val="en-US" w:eastAsia="zh-CN"/>
        </w:rPr>
        <w:t>应</w:t>
      </w:r>
      <w:r>
        <w:rPr>
          <w:rFonts w:hint="eastAsia" w:ascii="宋体" w:hAnsi="宋体" w:cs="宋体"/>
          <w:color w:val="000000"/>
          <w:sz w:val="28"/>
          <w:szCs w:val="28"/>
        </w:rPr>
        <w:t>齐全。</w:t>
      </w:r>
    </w:p>
    <w:p>
      <w:pPr>
        <w:autoSpaceDE w:val="0"/>
        <w:autoSpaceDN w:val="0"/>
        <w:adjustRightInd w:val="0"/>
        <w:spacing w:line="360" w:lineRule="auto"/>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2 串补装置的设备布置与接线</w:t>
      </w:r>
      <w:r>
        <w:rPr>
          <w:rFonts w:hint="eastAsia" w:ascii="宋体" w:hAnsi="宋体" w:cs="宋体"/>
          <w:color w:val="000000"/>
          <w:sz w:val="28"/>
          <w:szCs w:val="28"/>
          <w:lang w:val="en-US" w:eastAsia="zh-CN"/>
        </w:rPr>
        <w:t>应</w:t>
      </w:r>
      <w:r>
        <w:rPr>
          <w:rFonts w:hint="eastAsia" w:ascii="宋体" w:hAnsi="宋体" w:cs="宋体"/>
          <w:color w:val="000000"/>
          <w:sz w:val="28"/>
          <w:szCs w:val="28"/>
        </w:rPr>
        <w:t>正确，配套设备试验</w:t>
      </w:r>
      <w:r>
        <w:rPr>
          <w:rFonts w:hint="eastAsia" w:ascii="宋体" w:hAnsi="宋体" w:cs="宋体"/>
          <w:color w:val="000000"/>
          <w:sz w:val="28"/>
          <w:szCs w:val="28"/>
          <w:lang w:val="en-US" w:eastAsia="zh-CN"/>
        </w:rPr>
        <w:t>应</w:t>
      </w:r>
      <w:r>
        <w:rPr>
          <w:rFonts w:hint="eastAsia" w:ascii="宋体" w:hAnsi="宋体" w:cs="宋体"/>
          <w:color w:val="000000"/>
          <w:sz w:val="28"/>
          <w:szCs w:val="28"/>
        </w:rPr>
        <w:t>合格。</w:t>
      </w:r>
    </w:p>
    <w:p>
      <w:pPr>
        <w:autoSpaceDE w:val="0"/>
        <w:autoSpaceDN w:val="0"/>
        <w:adjustRightInd w:val="0"/>
        <w:spacing w:line="360" w:lineRule="auto"/>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3 串补装置投切、与线路联动功能</w:t>
      </w:r>
      <w:r>
        <w:rPr>
          <w:rFonts w:hint="eastAsia" w:ascii="宋体" w:hAnsi="宋体" w:cs="宋体"/>
          <w:color w:val="000000"/>
          <w:sz w:val="28"/>
          <w:szCs w:val="28"/>
          <w:lang w:val="en-US" w:eastAsia="zh-CN"/>
        </w:rPr>
        <w:t>应</w:t>
      </w:r>
      <w:r>
        <w:rPr>
          <w:rFonts w:hint="eastAsia" w:ascii="宋体" w:hAnsi="宋体" w:cs="宋体"/>
          <w:color w:val="000000"/>
          <w:sz w:val="28"/>
          <w:szCs w:val="28"/>
        </w:rPr>
        <w:t>正常。</w:t>
      </w:r>
    </w:p>
    <w:p>
      <w:pPr>
        <w:autoSpaceDE w:val="0"/>
        <w:autoSpaceDN w:val="0"/>
        <w:adjustRightInd w:val="0"/>
        <w:spacing w:line="360" w:lineRule="auto"/>
        <w:jc w:val="left"/>
        <w:rPr>
          <w:rFonts w:ascii="宋体" w:hAnsi="宋体" w:cs="宋体"/>
          <w:sz w:val="28"/>
          <w:szCs w:val="28"/>
        </w:rPr>
      </w:pPr>
    </w:p>
    <w:p>
      <w:pPr>
        <w:pStyle w:val="20"/>
        <w:widowControl/>
        <w:snapToGrid w:val="0"/>
        <w:spacing w:before="468" w:beforeLines="150" w:after="468" w:afterLines="150"/>
        <w:rPr>
          <w:rFonts w:ascii="Calibri Light" w:hAnsi="Calibri Light" w:eastAsia="宋体" w:cs="Calibri Light"/>
        </w:rPr>
      </w:pPr>
    </w:p>
    <w:p>
      <w:pPr>
        <w:pStyle w:val="20"/>
        <w:widowControl/>
        <w:snapToGrid w:val="0"/>
        <w:spacing w:before="468" w:beforeLines="150" w:after="468" w:afterLines="150" w:line="300" w:lineRule="auto"/>
        <w:rPr>
          <w:rFonts w:ascii="Calibri Light" w:hAnsi="Calibri Light" w:eastAsia="宋体" w:cs="Calibri Light"/>
        </w:rPr>
      </w:pPr>
    </w:p>
    <w:p>
      <w:pPr>
        <w:pStyle w:val="20"/>
        <w:widowControl/>
        <w:snapToGrid w:val="0"/>
        <w:spacing w:before="468" w:beforeLines="150" w:after="468" w:afterLines="150" w:line="300" w:lineRule="auto"/>
        <w:rPr>
          <w:rFonts w:ascii="Calibri Light" w:hAnsi="Calibri Light" w:eastAsia="宋体" w:cs="Calibri Light"/>
        </w:rPr>
      </w:pPr>
    </w:p>
    <w:p>
      <w:pPr>
        <w:pStyle w:val="19"/>
        <w:ind w:firstLine="420"/>
      </w:pPr>
    </w:p>
    <w:p>
      <w:pPr>
        <w:autoSpaceDE w:val="0"/>
        <w:autoSpaceDN w:val="0"/>
        <w:adjustRightInd w:val="0"/>
        <w:spacing w:line="360" w:lineRule="auto"/>
        <w:jc w:val="left"/>
        <w:rPr>
          <w:rFonts w:hAnsi="宋体"/>
          <w:sz w:val="24"/>
        </w:rPr>
      </w:pPr>
    </w:p>
    <w:p>
      <w:pPr>
        <w:pStyle w:val="20"/>
        <w:widowControl/>
        <w:snapToGrid w:val="0"/>
        <w:spacing w:before="468" w:beforeLines="150" w:after="468" w:afterLines="150" w:line="300" w:lineRule="auto"/>
        <w:rPr>
          <w:rFonts w:ascii="Calibri Light" w:hAnsi="Calibri Light" w:eastAsia="宋体" w:cs="Calibri Light"/>
        </w:rPr>
      </w:pPr>
      <w:bookmarkStart w:id="17" w:name="_Toc14468_WPSOffice_Level1"/>
      <w:bookmarkStart w:id="18" w:name="_Toc20704_WPSOffice_Level1"/>
      <w:bookmarkStart w:id="19" w:name="_Toc31192_WPSOffice_Level1"/>
    </w:p>
    <w:p>
      <w:pPr>
        <w:pStyle w:val="20"/>
        <w:widowControl/>
        <w:snapToGrid w:val="0"/>
        <w:spacing w:before="468" w:beforeLines="150" w:after="468" w:afterLines="150" w:line="300" w:lineRule="auto"/>
        <w:rPr>
          <w:rFonts w:ascii="Calibri Light" w:hAnsi="Calibri Light" w:eastAsia="宋体" w:cs="Calibri Light"/>
        </w:rPr>
      </w:pPr>
    </w:p>
    <w:bookmarkEnd w:id="17"/>
    <w:bookmarkEnd w:id="18"/>
    <w:bookmarkEnd w:id="19"/>
    <w:p>
      <w:pPr>
        <w:pStyle w:val="3"/>
        <w:spacing w:before="0" w:after="0" w:line="360" w:lineRule="auto"/>
        <w:jc w:val="center"/>
        <w:rPr>
          <w:rFonts w:ascii="宋体" w:hAnsi="宋体" w:eastAsia="宋体" w:cs="宋体"/>
          <w:bCs w:val="0"/>
          <w:sz w:val="30"/>
          <w:szCs w:val="30"/>
        </w:rPr>
      </w:pPr>
      <w:bookmarkStart w:id="20" w:name="_Toc28389913"/>
      <w:bookmarkStart w:id="21" w:name="_Toc4025_WPSOffice_Level2"/>
      <w:bookmarkStart w:id="22" w:name="_Toc31681_WPSOffice_Level2"/>
      <w:bookmarkStart w:id="23" w:name="_Toc17110_WPSOffice_Level2"/>
      <w:bookmarkStart w:id="24" w:name="_Toc27371_WPSOffice_Level2"/>
      <w:r>
        <w:rPr>
          <w:rFonts w:hint="eastAsia" w:ascii="宋体" w:hAnsi="宋体" w:eastAsia="宋体" w:cs="宋体"/>
          <w:bCs w:val="0"/>
          <w:sz w:val="30"/>
          <w:szCs w:val="30"/>
        </w:rPr>
        <w:t>11 蓄电池</w:t>
      </w:r>
      <w:bookmarkEnd w:id="20"/>
      <w:bookmarkEnd w:id="21"/>
    </w:p>
    <w:p>
      <w:pPr>
        <w:autoSpaceDE w:val="0"/>
        <w:autoSpaceDN w:val="0"/>
        <w:adjustRightInd w:val="0"/>
        <w:spacing w:line="360" w:lineRule="auto"/>
        <w:jc w:val="left"/>
        <w:rPr>
          <w:rFonts w:hAnsi="宋体"/>
          <w:sz w:val="24"/>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 xml:space="preserve">11.0.1 </w:t>
      </w:r>
      <w:r>
        <w:rPr>
          <w:rFonts w:hint="eastAsia" w:ascii="宋体" w:hAnsi="宋体" w:cs="宋体"/>
          <w:sz w:val="28"/>
          <w:szCs w:val="28"/>
          <w:lang w:val="en-US" w:eastAsia="zh-CN"/>
        </w:rPr>
        <w:t>有防爆要求的</w:t>
      </w:r>
      <w:r>
        <w:rPr>
          <w:rFonts w:hint="eastAsia" w:ascii="宋体" w:hAnsi="宋体" w:cs="宋体"/>
          <w:sz w:val="28"/>
          <w:szCs w:val="28"/>
        </w:rPr>
        <w:t>蓄电池</w:t>
      </w:r>
      <w:r>
        <w:rPr>
          <w:rFonts w:hint="eastAsia" w:ascii="宋体" w:hAnsi="宋体" w:cs="宋体"/>
          <w:sz w:val="28"/>
          <w:szCs w:val="28"/>
          <w:lang w:eastAsia="zh-CN"/>
        </w:rPr>
        <w:t>，</w:t>
      </w:r>
      <w:r>
        <w:rPr>
          <w:rFonts w:hint="eastAsia" w:ascii="宋体" w:hAnsi="宋体" w:cs="宋体"/>
          <w:sz w:val="28"/>
          <w:szCs w:val="28"/>
        </w:rPr>
        <w:t>室内应采用防爆型电器，室内照明线应采用穿管暗敷，室内不得装设开关和插座。</w:t>
      </w: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rPr>
        <w:t>11.0.2 蓄电池安装验收应符合下列规定：</w:t>
      </w:r>
    </w:p>
    <w:p>
      <w:pPr>
        <w:widowControl/>
        <w:autoSpaceDE w:val="0"/>
        <w:autoSpaceDN w:val="0"/>
        <w:adjustRightInd w:val="0"/>
        <w:spacing w:line="360" w:lineRule="auto"/>
        <w:ind w:firstLine="840" w:firstLineChars="300"/>
        <w:jc w:val="left"/>
        <w:rPr>
          <w:rFonts w:ascii="宋体" w:hAnsi="宋体" w:cs="宋体"/>
          <w:sz w:val="28"/>
          <w:szCs w:val="28"/>
        </w:rPr>
      </w:pPr>
      <w:r>
        <w:rPr>
          <w:rFonts w:hint="eastAsia" w:ascii="宋体" w:hAnsi="宋体" w:cs="宋体"/>
          <w:sz w:val="28"/>
          <w:szCs w:val="28"/>
        </w:rPr>
        <w:t>1 蓄电池充放电前后外观</w:t>
      </w:r>
      <w:r>
        <w:rPr>
          <w:rFonts w:hint="eastAsia" w:ascii="宋体" w:hAnsi="宋体" w:cs="宋体"/>
          <w:sz w:val="28"/>
          <w:szCs w:val="28"/>
          <w:lang w:val="en-US" w:eastAsia="zh-CN"/>
        </w:rPr>
        <w:t>应</w:t>
      </w:r>
      <w:r>
        <w:rPr>
          <w:rFonts w:hint="eastAsia" w:ascii="宋体" w:hAnsi="宋体" w:cs="宋体"/>
          <w:sz w:val="28"/>
          <w:szCs w:val="28"/>
        </w:rPr>
        <w:t>无裂纹、损伤、渗漏及变形。</w:t>
      </w:r>
    </w:p>
    <w:p>
      <w:pPr>
        <w:widowControl/>
        <w:autoSpaceDE w:val="0"/>
        <w:autoSpaceDN w:val="0"/>
        <w:adjustRightInd w:val="0"/>
        <w:spacing w:line="360" w:lineRule="auto"/>
        <w:ind w:firstLine="840" w:firstLineChars="300"/>
        <w:jc w:val="left"/>
        <w:rPr>
          <w:rFonts w:ascii="宋体" w:hAnsi="宋体" w:cs="宋体"/>
          <w:sz w:val="28"/>
          <w:szCs w:val="28"/>
        </w:rPr>
      </w:pPr>
      <w:r>
        <w:rPr>
          <w:rFonts w:hint="eastAsia" w:ascii="宋体" w:hAnsi="宋体" w:cs="宋体"/>
          <w:sz w:val="28"/>
          <w:szCs w:val="28"/>
        </w:rPr>
        <w:t>2 正、负端接线柱</w:t>
      </w:r>
      <w:r>
        <w:rPr>
          <w:rFonts w:hint="eastAsia" w:ascii="宋体" w:hAnsi="宋体" w:cs="宋体"/>
          <w:sz w:val="28"/>
          <w:szCs w:val="28"/>
          <w:lang w:val="en-US" w:eastAsia="zh-CN"/>
        </w:rPr>
        <w:t>应</w:t>
      </w:r>
      <w:r>
        <w:rPr>
          <w:rFonts w:hint="eastAsia" w:ascii="宋体" w:hAnsi="宋体" w:cs="宋体"/>
          <w:sz w:val="28"/>
          <w:szCs w:val="28"/>
        </w:rPr>
        <w:t>无变形、损伤。</w:t>
      </w:r>
    </w:p>
    <w:p>
      <w:pPr>
        <w:spacing w:line="480" w:lineRule="auto"/>
        <w:jc w:val="center"/>
        <w:rPr>
          <w:rFonts w:ascii="宋体" w:hAnsi="宋体" w:cs="仿宋"/>
          <w:b/>
          <w:bCs/>
          <w:sz w:val="24"/>
        </w:rPr>
      </w:pPr>
    </w:p>
    <w:bookmarkEnd w:id="22"/>
    <w:bookmarkEnd w:id="23"/>
    <w:bookmarkEnd w:id="24"/>
    <w:p>
      <w:pPr>
        <w:autoSpaceDE w:val="0"/>
        <w:autoSpaceDN w:val="0"/>
        <w:adjustRightInd w:val="0"/>
        <w:spacing w:line="360" w:lineRule="auto"/>
        <w:jc w:val="left"/>
        <w:rPr>
          <w:rFonts w:hAnsi="宋体"/>
          <w:sz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b/>
        <w:bC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w:t>
                    </w:r>
                  </w:p>
                </w:txbxContent>
              </v:textbox>
            </v:shape>
          </w:pict>
        </mc:Fallback>
      </mc:AlternateContent>
    </w:r>
  </w:p>
  <w:p>
    <w:pPr>
      <w:pStyle w:val="8"/>
      <w:jc w:val="center"/>
      <w:rPr>
        <w:b/>
        <w:bCs/>
      </w:rPr>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2562F"/>
    <w:multiLevelType w:val="multilevel"/>
    <w:tmpl w:val="0BC2562F"/>
    <w:lvl w:ilvl="0" w:tentative="0">
      <w:start w:val="7"/>
      <w:numFmt w:val="decimal"/>
      <w:lvlText w:val="%1"/>
      <w:lvlJc w:val="left"/>
      <w:pPr>
        <w:ind w:left="480" w:hanging="480"/>
      </w:pPr>
      <w:rPr>
        <w:rFonts w:hint="default"/>
      </w:rPr>
    </w:lvl>
    <w:lvl w:ilvl="1" w:tentative="0">
      <w:start w:val="0"/>
      <w:numFmt w:val="decimal"/>
      <w:lvlText w:val="%1.%2"/>
      <w:lvlJc w:val="left"/>
      <w:pPr>
        <w:ind w:left="480" w:hanging="480"/>
      </w:pPr>
      <w:rPr>
        <w:rFonts w:hint="default"/>
      </w:rPr>
    </w:lvl>
    <w:lvl w:ilvl="2" w:tentative="0">
      <w:start w:val="9"/>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3ZmNkZTMyZGY1YjM4MTM0Y2Y2OTAxMTA4M2Q0YTEifQ=="/>
  </w:docVars>
  <w:rsids>
    <w:rsidRoot w:val="001E2DC2"/>
    <w:rsid w:val="0001745A"/>
    <w:rsid w:val="00070717"/>
    <w:rsid w:val="00071D31"/>
    <w:rsid w:val="00104AA7"/>
    <w:rsid w:val="00105BEC"/>
    <w:rsid w:val="00107C3D"/>
    <w:rsid w:val="001417DE"/>
    <w:rsid w:val="001438C8"/>
    <w:rsid w:val="00147378"/>
    <w:rsid w:val="001643D4"/>
    <w:rsid w:val="001B3DA1"/>
    <w:rsid w:val="001D3A2C"/>
    <w:rsid w:val="001E2DC2"/>
    <w:rsid w:val="00241CC2"/>
    <w:rsid w:val="00244CE5"/>
    <w:rsid w:val="0025348A"/>
    <w:rsid w:val="00284378"/>
    <w:rsid w:val="00323B56"/>
    <w:rsid w:val="003359A8"/>
    <w:rsid w:val="0037479E"/>
    <w:rsid w:val="003778C1"/>
    <w:rsid w:val="00380339"/>
    <w:rsid w:val="003A4588"/>
    <w:rsid w:val="003C08F6"/>
    <w:rsid w:val="003D20C9"/>
    <w:rsid w:val="00463374"/>
    <w:rsid w:val="00477790"/>
    <w:rsid w:val="004C2B6C"/>
    <w:rsid w:val="004E1562"/>
    <w:rsid w:val="004E49BB"/>
    <w:rsid w:val="00600BA6"/>
    <w:rsid w:val="00617389"/>
    <w:rsid w:val="00647D8B"/>
    <w:rsid w:val="00676810"/>
    <w:rsid w:val="006B5634"/>
    <w:rsid w:val="006C217E"/>
    <w:rsid w:val="00736C04"/>
    <w:rsid w:val="00746D60"/>
    <w:rsid w:val="00750E38"/>
    <w:rsid w:val="00773202"/>
    <w:rsid w:val="00793E4B"/>
    <w:rsid w:val="00867DA1"/>
    <w:rsid w:val="008B49DD"/>
    <w:rsid w:val="00911A35"/>
    <w:rsid w:val="009333E6"/>
    <w:rsid w:val="00942038"/>
    <w:rsid w:val="0098300E"/>
    <w:rsid w:val="009A5B0F"/>
    <w:rsid w:val="009B3B6C"/>
    <w:rsid w:val="009E1E41"/>
    <w:rsid w:val="009E25DB"/>
    <w:rsid w:val="00A0007C"/>
    <w:rsid w:val="00A223A8"/>
    <w:rsid w:val="00A52584"/>
    <w:rsid w:val="00A93AC1"/>
    <w:rsid w:val="00AA3C9F"/>
    <w:rsid w:val="00AA3E10"/>
    <w:rsid w:val="00AC66F0"/>
    <w:rsid w:val="00AD32DC"/>
    <w:rsid w:val="00B10EB8"/>
    <w:rsid w:val="00B25818"/>
    <w:rsid w:val="00B376E9"/>
    <w:rsid w:val="00B451C3"/>
    <w:rsid w:val="00B971E1"/>
    <w:rsid w:val="00BA1488"/>
    <w:rsid w:val="00BA5595"/>
    <w:rsid w:val="00BB5A18"/>
    <w:rsid w:val="00BB7A01"/>
    <w:rsid w:val="00BC0BE6"/>
    <w:rsid w:val="00BE0B6E"/>
    <w:rsid w:val="00C06510"/>
    <w:rsid w:val="00C11836"/>
    <w:rsid w:val="00C134AE"/>
    <w:rsid w:val="00C14455"/>
    <w:rsid w:val="00C205B9"/>
    <w:rsid w:val="00C32DE4"/>
    <w:rsid w:val="00C51517"/>
    <w:rsid w:val="00C52C4D"/>
    <w:rsid w:val="00C625AC"/>
    <w:rsid w:val="00CA6425"/>
    <w:rsid w:val="00CD49D2"/>
    <w:rsid w:val="00CD7ED5"/>
    <w:rsid w:val="00D17D17"/>
    <w:rsid w:val="00D31362"/>
    <w:rsid w:val="00D548A2"/>
    <w:rsid w:val="00D877CF"/>
    <w:rsid w:val="00D90F9E"/>
    <w:rsid w:val="00DA06AC"/>
    <w:rsid w:val="00DB0990"/>
    <w:rsid w:val="00DB4F57"/>
    <w:rsid w:val="00DC71E7"/>
    <w:rsid w:val="00DE0FB4"/>
    <w:rsid w:val="00DE368A"/>
    <w:rsid w:val="00DF4AF1"/>
    <w:rsid w:val="00DF56E0"/>
    <w:rsid w:val="00E1263E"/>
    <w:rsid w:val="00E20632"/>
    <w:rsid w:val="00E70C50"/>
    <w:rsid w:val="00E77A9A"/>
    <w:rsid w:val="00EE15D9"/>
    <w:rsid w:val="00F23D88"/>
    <w:rsid w:val="00F502B9"/>
    <w:rsid w:val="00F55157"/>
    <w:rsid w:val="00F63C06"/>
    <w:rsid w:val="01A527FB"/>
    <w:rsid w:val="02DA4DDA"/>
    <w:rsid w:val="02FE78AF"/>
    <w:rsid w:val="034512C8"/>
    <w:rsid w:val="04AF598A"/>
    <w:rsid w:val="04D33B19"/>
    <w:rsid w:val="050751D2"/>
    <w:rsid w:val="051F03D1"/>
    <w:rsid w:val="056F176B"/>
    <w:rsid w:val="05AB4CD1"/>
    <w:rsid w:val="05C53EC5"/>
    <w:rsid w:val="06CE1A89"/>
    <w:rsid w:val="073D43DC"/>
    <w:rsid w:val="094D150F"/>
    <w:rsid w:val="0A3444B0"/>
    <w:rsid w:val="0A540F63"/>
    <w:rsid w:val="0ADD109E"/>
    <w:rsid w:val="0C2E2B1C"/>
    <w:rsid w:val="0C6501D4"/>
    <w:rsid w:val="0C694FB6"/>
    <w:rsid w:val="0D40734E"/>
    <w:rsid w:val="0E6619F5"/>
    <w:rsid w:val="0E8528A5"/>
    <w:rsid w:val="10831CF6"/>
    <w:rsid w:val="108B5493"/>
    <w:rsid w:val="113A0543"/>
    <w:rsid w:val="114323C2"/>
    <w:rsid w:val="11F56DCF"/>
    <w:rsid w:val="14AD2C2E"/>
    <w:rsid w:val="1619258B"/>
    <w:rsid w:val="16E93B14"/>
    <w:rsid w:val="17B140CA"/>
    <w:rsid w:val="1823352D"/>
    <w:rsid w:val="184E0A47"/>
    <w:rsid w:val="196306BE"/>
    <w:rsid w:val="1A1F64C6"/>
    <w:rsid w:val="1B413B70"/>
    <w:rsid w:val="1CCB78B3"/>
    <w:rsid w:val="1ED35E8E"/>
    <w:rsid w:val="1F1D69DB"/>
    <w:rsid w:val="1FA92BD3"/>
    <w:rsid w:val="1FDA4125"/>
    <w:rsid w:val="212B5CCA"/>
    <w:rsid w:val="21C71F9E"/>
    <w:rsid w:val="21E51ADD"/>
    <w:rsid w:val="22C85351"/>
    <w:rsid w:val="231F36B7"/>
    <w:rsid w:val="24CC329E"/>
    <w:rsid w:val="2597714C"/>
    <w:rsid w:val="28385CBE"/>
    <w:rsid w:val="2A102C02"/>
    <w:rsid w:val="2A464698"/>
    <w:rsid w:val="2B8247A7"/>
    <w:rsid w:val="2CBC018A"/>
    <w:rsid w:val="2CD112CD"/>
    <w:rsid w:val="2DC925D5"/>
    <w:rsid w:val="2DCD6A34"/>
    <w:rsid w:val="2E885B9B"/>
    <w:rsid w:val="317853B7"/>
    <w:rsid w:val="324205E8"/>
    <w:rsid w:val="3268467B"/>
    <w:rsid w:val="326C2688"/>
    <w:rsid w:val="33004537"/>
    <w:rsid w:val="35E5551F"/>
    <w:rsid w:val="360550B4"/>
    <w:rsid w:val="37075A4B"/>
    <w:rsid w:val="372278AC"/>
    <w:rsid w:val="39C579AC"/>
    <w:rsid w:val="3D7E3288"/>
    <w:rsid w:val="3F762E5A"/>
    <w:rsid w:val="3FF83691"/>
    <w:rsid w:val="40F36428"/>
    <w:rsid w:val="41035425"/>
    <w:rsid w:val="41CB7CB3"/>
    <w:rsid w:val="42A55765"/>
    <w:rsid w:val="42DD6495"/>
    <w:rsid w:val="43C911CB"/>
    <w:rsid w:val="4447113F"/>
    <w:rsid w:val="445311C9"/>
    <w:rsid w:val="44B762AE"/>
    <w:rsid w:val="45965B58"/>
    <w:rsid w:val="46B26507"/>
    <w:rsid w:val="48C026EC"/>
    <w:rsid w:val="4A68621A"/>
    <w:rsid w:val="4C697D7B"/>
    <w:rsid w:val="4D295A8D"/>
    <w:rsid w:val="4F75655F"/>
    <w:rsid w:val="51650864"/>
    <w:rsid w:val="51767AE2"/>
    <w:rsid w:val="54690798"/>
    <w:rsid w:val="55204659"/>
    <w:rsid w:val="552C3E71"/>
    <w:rsid w:val="559F1FB8"/>
    <w:rsid w:val="57AF49CC"/>
    <w:rsid w:val="57F6072F"/>
    <w:rsid w:val="5AA24A59"/>
    <w:rsid w:val="5B8D0C6D"/>
    <w:rsid w:val="5DC60589"/>
    <w:rsid w:val="60452C3E"/>
    <w:rsid w:val="60930600"/>
    <w:rsid w:val="61692167"/>
    <w:rsid w:val="648D51E6"/>
    <w:rsid w:val="65ED511F"/>
    <w:rsid w:val="664070BE"/>
    <w:rsid w:val="66D11DBA"/>
    <w:rsid w:val="675C766D"/>
    <w:rsid w:val="69746565"/>
    <w:rsid w:val="69CB52F1"/>
    <w:rsid w:val="6B65287B"/>
    <w:rsid w:val="6D8C3BFE"/>
    <w:rsid w:val="6DD06DC6"/>
    <w:rsid w:val="6E8360B7"/>
    <w:rsid w:val="71730838"/>
    <w:rsid w:val="72705BA6"/>
    <w:rsid w:val="73C76385"/>
    <w:rsid w:val="741F4C6B"/>
    <w:rsid w:val="74297752"/>
    <w:rsid w:val="747D3275"/>
    <w:rsid w:val="74EC3986"/>
    <w:rsid w:val="75691230"/>
    <w:rsid w:val="775D2033"/>
    <w:rsid w:val="784635CD"/>
    <w:rsid w:val="79201B0D"/>
    <w:rsid w:val="7A1763B7"/>
    <w:rsid w:val="7A3B6672"/>
    <w:rsid w:val="7B070FA1"/>
    <w:rsid w:val="7BFF1BD5"/>
    <w:rsid w:val="7C9D2AB9"/>
    <w:rsid w:val="7EBF48FC"/>
    <w:rsid w:val="7F67DB4A"/>
    <w:rsid w:val="7FD657D6"/>
    <w:rsid w:val="BE6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等线 Light" w:hAnsi="等线 Light" w:eastAsia="等线 Light" w:cs="黑体"/>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ody Text"/>
    <w:basedOn w:val="1"/>
    <w:qFormat/>
    <w:uiPriority w:val="0"/>
    <w:pPr>
      <w:spacing w:after="120"/>
    </w:pPr>
  </w:style>
  <w:style w:type="paragraph" w:styleId="6">
    <w:name w:val="Date"/>
    <w:basedOn w:val="1"/>
    <w:next w:val="1"/>
    <w:link w:val="28"/>
    <w:unhideWhenUsed/>
    <w:qFormat/>
    <w:uiPriority w:val="99"/>
    <w:pPr>
      <w:ind w:left="100" w:leftChars="2500"/>
    </w:pPr>
  </w:style>
  <w:style w:type="paragraph" w:styleId="7">
    <w:name w:val="Balloon Text"/>
    <w:basedOn w:val="1"/>
    <w:link w:val="27"/>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rFonts w:ascii="等线" w:hAnsi="等线" w:eastAsia="等线" w:cs="黑体"/>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u w:val="single"/>
    </w:rPr>
  </w:style>
  <w:style w:type="character" w:customStyle="1" w:styleId="17">
    <w:name w:val="标题 1 字符"/>
    <w:basedOn w:val="15"/>
    <w:link w:val="2"/>
    <w:qFormat/>
    <w:uiPriority w:val="9"/>
    <w:rPr>
      <w:rFonts w:ascii="Times New Roman" w:hAnsi="Times New Roman" w:eastAsia="宋体" w:cs="Times New Roman"/>
      <w:b/>
      <w:bCs/>
      <w:kern w:val="44"/>
      <w:sz w:val="44"/>
      <w:szCs w:val="44"/>
    </w:rPr>
  </w:style>
  <w:style w:type="character" w:customStyle="1" w:styleId="18">
    <w:name w:val="标题 2 字符"/>
    <w:basedOn w:val="15"/>
    <w:link w:val="3"/>
    <w:qFormat/>
    <w:uiPriority w:val="9"/>
    <w:rPr>
      <w:rFonts w:ascii="等线 Light" w:hAnsi="等线 Light" w:eastAsia="等线 Light" w:cs="黑体"/>
      <w:b/>
      <w:bCs/>
      <w:sz w:val="28"/>
      <w:szCs w:val="32"/>
    </w:rPr>
  </w:style>
  <w:style w:type="paragraph" w:customStyle="1" w:styleId="19">
    <w:name w:val="段"/>
    <w:link w:val="26"/>
    <w:qFormat/>
    <w:uiPriority w:val="0"/>
    <w:pPr>
      <w:ind w:firstLine="200" w:firstLineChars="200"/>
      <w:jc w:val="both"/>
    </w:pPr>
    <w:rPr>
      <w:rFonts w:ascii="宋体" w:hAnsi="等线" w:eastAsia="等线" w:cs="黑体"/>
      <w:kern w:val="2"/>
      <w:sz w:val="21"/>
      <w:szCs w:val="22"/>
      <w:lang w:val="en-US" w:eastAsia="zh-CN" w:bidi="ar-SA"/>
    </w:rPr>
  </w:style>
  <w:style w:type="paragraph" w:customStyle="1" w:styleId="20">
    <w:name w:val="章标题"/>
    <w:basedOn w:val="1"/>
    <w:next w:val="19"/>
    <w:link w:val="29"/>
    <w:qFormat/>
    <w:uiPriority w:val="0"/>
    <w:pPr>
      <w:autoSpaceDE w:val="0"/>
      <w:autoSpaceDN w:val="0"/>
      <w:adjustRightInd w:val="0"/>
      <w:spacing w:beforeLines="100" w:afterLines="100"/>
      <w:jc w:val="center"/>
      <w:outlineLvl w:val="0"/>
    </w:pPr>
    <w:rPr>
      <w:rFonts w:ascii="黑体" w:hAnsi="等线" w:eastAsia="黑体" w:cs="黑体"/>
      <w:b/>
      <w:sz w:val="28"/>
      <w:szCs w:val="22"/>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TOC 标题1"/>
    <w:basedOn w:val="2"/>
    <w:next w:val="1"/>
    <w:unhideWhenUsed/>
    <w:qFormat/>
    <w:uiPriority w:val="39"/>
    <w:pPr>
      <w:widowControl/>
      <w:spacing w:before="240" w:after="0" w:line="259" w:lineRule="auto"/>
      <w:jc w:val="left"/>
      <w:outlineLvl w:val="9"/>
    </w:pPr>
    <w:rPr>
      <w:rFonts w:ascii="等线 Light" w:hAnsi="等线 Light" w:eastAsia="等线 Light" w:cs="黑体"/>
      <w:b w:val="0"/>
      <w:bCs w:val="0"/>
      <w:color w:val="2E5394"/>
      <w:kern w:val="0"/>
      <w:sz w:val="32"/>
      <w:szCs w:val="32"/>
    </w:rPr>
  </w:style>
  <w:style w:type="character" w:customStyle="1" w:styleId="24">
    <w:name w:val="页眉 字符"/>
    <w:basedOn w:val="15"/>
    <w:link w:val="9"/>
    <w:qFormat/>
    <w:uiPriority w:val="99"/>
    <w:rPr>
      <w:sz w:val="18"/>
      <w:szCs w:val="18"/>
    </w:rPr>
  </w:style>
  <w:style w:type="character" w:customStyle="1" w:styleId="25">
    <w:name w:val="页脚 字符"/>
    <w:basedOn w:val="15"/>
    <w:link w:val="8"/>
    <w:qFormat/>
    <w:uiPriority w:val="99"/>
    <w:rPr>
      <w:sz w:val="18"/>
      <w:szCs w:val="18"/>
    </w:rPr>
  </w:style>
  <w:style w:type="character" w:customStyle="1" w:styleId="26">
    <w:name w:val="段 Char Char"/>
    <w:link w:val="19"/>
    <w:qFormat/>
    <w:locked/>
    <w:uiPriority w:val="0"/>
    <w:rPr>
      <w:rFonts w:ascii="宋体"/>
    </w:rPr>
  </w:style>
  <w:style w:type="character" w:customStyle="1" w:styleId="27">
    <w:name w:val="批注框文本 字符"/>
    <w:basedOn w:val="15"/>
    <w:link w:val="7"/>
    <w:semiHidden/>
    <w:qFormat/>
    <w:uiPriority w:val="99"/>
    <w:rPr>
      <w:rFonts w:ascii="Times New Roman" w:hAnsi="Times New Roman" w:eastAsia="宋体" w:cs="Times New Roman"/>
      <w:sz w:val="18"/>
      <w:szCs w:val="18"/>
    </w:rPr>
  </w:style>
  <w:style w:type="character" w:customStyle="1" w:styleId="28">
    <w:name w:val="日期 字符"/>
    <w:basedOn w:val="15"/>
    <w:link w:val="6"/>
    <w:semiHidden/>
    <w:qFormat/>
    <w:uiPriority w:val="99"/>
    <w:rPr>
      <w:rFonts w:ascii="Times New Roman" w:hAnsi="Times New Roman" w:eastAsia="宋体" w:cs="Times New Roman"/>
      <w:szCs w:val="24"/>
    </w:rPr>
  </w:style>
  <w:style w:type="character" w:customStyle="1" w:styleId="29">
    <w:name w:val="章标题 Char"/>
    <w:link w:val="20"/>
    <w:qFormat/>
    <w:uiPriority w:val="0"/>
    <w:rPr>
      <w:rFonts w:ascii="黑体" w:eastAsia="黑体"/>
      <w:b/>
      <w:sz w:val="28"/>
    </w:rPr>
  </w:style>
  <w:style w:type="character" w:customStyle="1" w:styleId="30">
    <w:name w:val="批注引用1"/>
    <w:qFormat/>
    <w:uiPriority w:val="0"/>
    <w:rPr>
      <w:sz w:val="21"/>
    </w:rPr>
  </w:style>
  <w:style w:type="paragraph" w:customStyle="1" w:styleId="31">
    <w:name w:val="章"/>
    <w:basedOn w:val="1"/>
    <w:qFormat/>
    <w:uiPriority w:val="0"/>
    <w:pPr>
      <w:spacing w:beforeLines="100" w:afterLines="100" w:line="300" w:lineRule="auto"/>
      <w:jc w:val="center"/>
      <w:outlineLvl w:val="0"/>
    </w:pPr>
    <w:rPr>
      <w:b/>
      <w:bCs/>
      <w:sz w:val="28"/>
      <w:szCs w:val="28"/>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7385</Words>
  <Characters>8324</Characters>
  <Lines>66</Lines>
  <Paragraphs>18</Paragraphs>
  <TotalTime>2</TotalTime>
  <ScaleCrop>false</ScaleCrop>
  <LinksUpToDate>false</LinksUpToDate>
  <CharactersWithSpaces>8766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2021-12-08T00:49:00Z</dcterms:created>
  <dc:creator>葛占雨(601044)</dc:creator>
  <cp:lastModifiedBy>luoxy</cp:lastModifiedBy>
  <cp:lastPrinted>2023-03-28T18:19:00Z</cp:lastPrinted>
  <dcterms:modified xsi:type="dcterms:W3CDTF">2023-05-30T18:42:13Z</dcterms:modified>
  <dc:title>电力工程电气装置安装通用规范（草案）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C3E86C0465324AC0ABBA751FB9289EEE</vt:lpwstr>
  </property>
</Properties>
</file>