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b/>
          <w:bCs/>
          <w:kern w:val="0"/>
          <w:sz w:val="30"/>
          <w:szCs w:val="30"/>
        </w:rPr>
      </w:pPr>
      <w:r>
        <w:rPr>
          <w:b/>
          <w:bCs/>
          <w:kern w:val="0"/>
          <w:sz w:val="30"/>
          <w:szCs w:val="30"/>
        </w:rPr>
        <w:t>UDC</w:t>
      </w:r>
    </w:p>
    <w:p>
      <w:pPr>
        <w:wordWrap w:val="0"/>
        <w:autoSpaceDE w:val="0"/>
        <w:autoSpaceDN w:val="0"/>
        <w:adjustRightInd w:val="0"/>
        <w:jc w:val="right"/>
        <w:rPr>
          <w:rFonts w:eastAsia="黑体"/>
          <w:kern w:val="0"/>
          <w:sz w:val="36"/>
          <w:szCs w:val="36"/>
        </w:rPr>
      </w:pPr>
      <w:r>
        <w:rPr>
          <w:rFonts w:eastAsia="黑体"/>
          <w:kern w:val="0"/>
          <w:sz w:val="36"/>
          <w:szCs w:val="36"/>
        </w:rPr>
        <w:t xml:space="preserve">中华人民共和国国家标准    </w:t>
      </w:r>
      <w:r>
        <w:rPr>
          <w:rFonts w:eastAsia="黑体"/>
          <w:kern w:val="0"/>
          <w:sz w:val="36"/>
          <w:szCs w:val="36"/>
        </w:rPr>
        <w:drawing>
          <wp:inline distT="0" distB="0" distL="0" distR="0">
            <wp:extent cx="1078230" cy="586740"/>
            <wp:effectExtent l="0" t="0" r="7620" b="381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6">
                      <a:extLst>
                        <a:ext uri="{28A0092B-C50C-407E-A947-70E740481C1C}">
                          <a14:useLocalDpi xmlns:a14="http://schemas.microsoft.com/office/drawing/2010/main" val="false"/>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rFonts w:hint="default"/>
          <w:b/>
          <w:bCs/>
          <w:kern w:val="0"/>
          <w:sz w:val="28"/>
          <w:szCs w:val="28"/>
          <w:lang w:val="en"/>
        </w:rPr>
      </w:pPr>
      <w:r>
        <w:rPr>
          <w:b/>
          <w:bCs/>
          <w:kern w:val="0"/>
          <w:sz w:val="24"/>
        </w:rPr>
        <w:t xml:space="preserve">P                                                 </w:t>
      </w:r>
      <w:r>
        <w:rPr>
          <w:b/>
          <w:bCs/>
          <w:kern w:val="0"/>
          <w:sz w:val="28"/>
          <w:szCs w:val="28"/>
        </w:rPr>
        <w:t>GB 55</w:t>
      </w:r>
      <w:r>
        <w:rPr>
          <w:rFonts w:eastAsia="黑体"/>
          <w:kern w:val="0"/>
          <w:sz w:val="24"/>
        </w:rPr>
        <w:t>XXX</w:t>
      </w:r>
      <w:r>
        <w:rPr>
          <w:b/>
          <w:bCs/>
          <w:kern w:val="0"/>
          <w:sz w:val="28"/>
          <w:szCs w:val="28"/>
        </w:rPr>
        <w:t xml:space="preserve"> – 202</w:t>
      </w:r>
      <w:r>
        <w:rPr>
          <w:rFonts w:hint="default"/>
          <w:b/>
          <w:bCs/>
          <w:kern w:val="0"/>
          <w:sz w:val="28"/>
          <w:szCs w:val="28"/>
          <w:lang w:val="en"/>
        </w:rPr>
        <w:t>X</w:t>
      </w:r>
    </w:p>
    <w:p>
      <w:pPr>
        <w:autoSpaceDE w:val="0"/>
        <w:autoSpaceDN w:val="0"/>
        <w:adjustRightInd w:val="0"/>
        <w:rPr>
          <w:b/>
          <w:bCs/>
          <w:kern w:val="0"/>
          <w:sz w:val="28"/>
          <w:szCs w:val="28"/>
        </w:rPr>
      </w:pPr>
      <w: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666740" cy="0"/>
                <wp:effectExtent l="17145" t="17145" r="12065" b="1143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9pt;margin-top:4.35pt;height:0pt;width:446.2pt;z-index:251659264;mso-width-relative:page;mso-height-relative:page;" filled="f" stroked="t" coordsize="21600,21600" o:gfxdata="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vCTd/UAAAA&#10;BwEAAA8AAAAAAAAAAQAgAAAAOAAAAGRycy9kb3ducmV2LnhtbFBLAQIUABQAAAAIAIdO4kDY8BWy&#10;0gEAAG0DAAAOAAAAAAAAAAEAIAAAADkBAABkcnMvZTJvRG9jLnhtbFBLBQYAAAAABgAGAFkBAAB9&#10;BQAAAAA=&#10;">
                <v:fill on="f" focussize="0,0"/>
                <v:stroke weight="1.5pt" color="#000000" joinstyle="round"/>
                <v:imagedata o:title=""/>
                <o:lock v:ext="edit" aspectratio="f"/>
              </v:line>
            </w:pict>
          </mc:Fallback>
        </mc:AlternateContent>
      </w:r>
    </w:p>
    <w:p>
      <w:pPr>
        <w:autoSpaceDE w:val="0"/>
        <w:autoSpaceDN w:val="0"/>
        <w:adjustRightInd w:val="0"/>
        <w:rPr>
          <w:b/>
          <w:bCs/>
          <w:kern w:val="0"/>
          <w:sz w:val="28"/>
          <w:szCs w:val="28"/>
        </w:rPr>
      </w:pPr>
    </w:p>
    <w:p>
      <w:pPr>
        <w:pStyle w:val="22"/>
        <w:spacing w:before="312" w:after="312"/>
        <w:outlineLvl w:val="9"/>
        <w:rPr>
          <w:rFonts w:eastAsia="黑体"/>
          <w:w w:val="95"/>
          <w:sz w:val="48"/>
        </w:rPr>
      </w:pPr>
      <w:r>
        <w:rPr>
          <w:rFonts w:eastAsia="黑体"/>
          <w:w w:val="95"/>
          <w:sz w:val="48"/>
        </w:rPr>
        <w:t>电力系统规划通用规范</w:t>
      </w:r>
    </w:p>
    <w:p>
      <w:pPr>
        <w:autoSpaceDE w:val="0"/>
        <w:autoSpaceDN w:val="0"/>
        <w:adjustRightInd w:val="0"/>
        <w:jc w:val="center"/>
        <w:rPr>
          <w:b/>
          <w:kern w:val="0"/>
          <w:sz w:val="36"/>
          <w:szCs w:val="36"/>
        </w:rPr>
      </w:pPr>
      <w:r>
        <w:rPr>
          <w:rFonts w:eastAsia="黑体"/>
          <w:w w:val="95"/>
          <w:sz w:val="36"/>
          <w:szCs w:val="36"/>
        </w:rPr>
        <w:t>General Specification for Power System Planning</w:t>
      </w:r>
    </w:p>
    <w:p>
      <w:pPr>
        <w:autoSpaceDE w:val="0"/>
        <w:autoSpaceDN w:val="0"/>
        <w:adjustRightInd w:val="0"/>
        <w:jc w:val="center"/>
        <w:rPr>
          <w:b/>
          <w:bCs/>
          <w:kern w:val="0"/>
          <w:sz w:val="32"/>
          <w:szCs w:val="32"/>
        </w:rPr>
      </w:pPr>
    </w:p>
    <w:p>
      <w:pPr>
        <w:autoSpaceDE w:val="0"/>
        <w:autoSpaceDN w:val="0"/>
        <w:adjustRightInd w:val="0"/>
        <w:jc w:val="center"/>
        <w:rPr>
          <w:b/>
          <w:bCs/>
          <w:kern w:val="0"/>
          <w:sz w:val="32"/>
          <w:szCs w:val="32"/>
        </w:rPr>
      </w:pPr>
      <w:r>
        <w:rPr>
          <w:rFonts w:hint="eastAsia"/>
          <w:b/>
          <w:bCs/>
          <w:kern w:val="0"/>
          <w:sz w:val="32"/>
          <w:szCs w:val="32"/>
        </w:rPr>
        <w:t>（征求意见稿）</w:t>
      </w: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spacing w:after="312" w:afterLines="100"/>
        <w:rPr>
          <w:rFonts w:eastAsia="黑体"/>
          <w:kern w:val="0"/>
          <w:sz w:val="28"/>
          <w:szCs w:val="28"/>
        </w:rPr>
      </w:pPr>
      <w: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369570</wp:posOffset>
                </wp:positionV>
                <wp:extent cx="5666740" cy="0"/>
                <wp:effectExtent l="18415" t="17145" r="10795" b="1143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05pt;margin-top:29.1pt;height:0pt;width:446.2pt;z-index:251660288;mso-width-relative:page;mso-height-relative:page;" filled="f" stroked="t" coordsize="21600,21600" o:gfxdata="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9CZvnX&#10;AAAACQEAAA8AAAAAAAAAAQAgAAAAOAAAAGRycy9kb3ducmV2LnhtbFBLAQIUABQAAAAIAIdO4kBy&#10;ketF0gEAAG0DAAAOAAAAAAAAAAEAIAAAADwBAABkcnMvZTJvRG9jLnhtbFBLBQYAAAAABgAGAFkB&#10;AACABQAAAAA=&#10;">
                <v:fill on="f" focussize="0,0"/>
                <v:stroke weight="1.5pt" color="#000000" joinstyle="round"/>
                <v:imagedata o:title=""/>
                <o:lock v:ext="edit" aspectratio="f"/>
              </v:line>
            </w:pict>
          </mc:Fallback>
        </mc:AlternateContent>
      </w:r>
      <w:r>
        <w:rPr>
          <w:rFonts w:eastAsia="黑体"/>
          <w:kern w:val="0"/>
          <w:sz w:val="28"/>
          <w:szCs w:val="28"/>
        </w:rPr>
        <w:t>202</w:t>
      </w:r>
      <w:r>
        <w:rPr>
          <w:rFonts w:hint="default" w:eastAsia="黑体"/>
          <w:kern w:val="0"/>
          <w:sz w:val="28"/>
          <w:szCs w:val="28"/>
          <w:lang w:val="en"/>
        </w:rPr>
        <w:t>X</w:t>
      </w:r>
      <w:r>
        <w:rPr>
          <w:rFonts w:eastAsia="黑体"/>
          <w:kern w:val="0"/>
          <w:sz w:val="28"/>
          <w:szCs w:val="28"/>
        </w:rPr>
        <w:t>– XX –XX 发布                      202X – XX –</w:t>
      </w:r>
      <w:r>
        <w:rPr>
          <w:rFonts w:hint="default" w:eastAsia="黑体"/>
          <w:kern w:val="0"/>
          <w:sz w:val="28"/>
          <w:szCs w:val="28"/>
          <w:lang w:val="en"/>
        </w:rPr>
        <w:t>XX</w:t>
      </w:r>
      <w:r>
        <w:rPr>
          <w:rFonts w:eastAsia="黑体"/>
          <w:kern w:val="0"/>
          <w:sz w:val="28"/>
          <w:szCs w:val="28"/>
        </w:rPr>
        <w:t xml:space="preserve"> 实施</w:t>
      </w:r>
    </w:p>
    <w:tbl>
      <w:tblPr>
        <w:tblStyle w:val="18"/>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jc w:val="distribute"/>
              <w:rPr>
                <w:spacing w:val="40"/>
                <w:kern w:val="0"/>
                <w:sz w:val="28"/>
                <w:szCs w:val="28"/>
              </w:rPr>
            </w:pPr>
            <w:r>
              <w:rPr>
                <w:rFonts w:eastAsia="黑体"/>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kern w:val="0"/>
                <w:sz w:val="28"/>
                <w:szCs w:val="28"/>
              </w:rPr>
            </w:pPr>
            <w:r>
              <w:rPr>
                <w:rFonts w:eastAsia="黑体"/>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jc w:val="distribute"/>
              <w:rPr>
                <w:kern w:val="0"/>
                <w:sz w:val="28"/>
                <w:szCs w:val="28"/>
              </w:rPr>
            </w:pPr>
            <w:r>
              <w:rPr>
                <w:rFonts w:eastAsia="黑体"/>
                <w:kern w:val="0"/>
                <w:sz w:val="28"/>
                <w:szCs w:val="28"/>
              </w:rPr>
              <w:t>国家市场监督管理总局</w:t>
            </w:r>
          </w:p>
        </w:tc>
        <w:tc>
          <w:tcPr>
            <w:tcW w:w="2806" w:type="dxa"/>
            <w:vMerge w:val="continue"/>
            <w:vAlign w:val="center"/>
          </w:tcPr>
          <w:p>
            <w:pPr>
              <w:widowControl/>
              <w:jc w:val="left"/>
              <w:rPr>
                <w:kern w:val="0"/>
                <w:sz w:val="28"/>
                <w:szCs w:val="28"/>
              </w:rPr>
            </w:pPr>
          </w:p>
        </w:tc>
      </w:tr>
    </w:tbl>
    <w:p/>
    <w:p>
      <w:pPr>
        <w:widowControl/>
        <w:rPr>
          <w:rFonts w:eastAsia="黑体"/>
          <w:kern w:val="0"/>
          <w:sz w:val="32"/>
          <w:szCs w:val="32"/>
        </w:rPr>
      </w:pPr>
    </w:p>
    <w:p>
      <w:pPr>
        <w:pStyle w:val="12"/>
        <w:spacing w:after="100" w:line="360" w:lineRule="auto"/>
        <w:rPr>
          <w:b/>
          <w:sz w:val="28"/>
          <w:szCs w:val="28"/>
        </w:rPr>
      </w:pPr>
    </w:p>
    <w:p>
      <w:pPr>
        <w:autoSpaceDE w:val="0"/>
        <w:autoSpaceDN w:val="0"/>
        <w:adjustRightInd w:val="0"/>
        <w:jc w:val="center"/>
        <w:rPr>
          <w:rFonts w:eastAsia="黑体"/>
          <w:kern w:val="0"/>
          <w:sz w:val="32"/>
          <w:szCs w:val="32"/>
        </w:rPr>
      </w:pPr>
      <w:r>
        <w:rPr>
          <w:rFonts w:eastAsia="黑体"/>
          <w:kern w:val="0"/>
          <w:sz w:val="32"/>
          <w:szCs w:val="32"/>
        </w:rPr>
        <w:t>中华人民共和国国家标准</w:t>
      </w:r>
    </w:p>
    <w:p>
      <w:pPr>
        <w:pStyle w:val="22"/>
        <w:spacing w:beforeLines="0" w:afterLines="0"/>
        <w:outlineLvl w:val="9"/>
        <w:rPr>
          <w:rFonts w:eastAsia="黑体"/>
          <w:color w:val="FF0000"/>
          <w:w w:val="95"/>
          <w:sz w:val="48"/>
        </w:rPr>
      </w:pPr>
    </w:p>
    <w:p>
      <w:pPr>
        <w:pStyle w:val="22"/>
        <w:spacing w:beforeLines="0" w:afterLines="0"/>
        <w:outlineLvl w:val="9"/>
        <w:rPr>
          <w:rFonts w:eastAsia="黑体"/>
          <w:w w:val="95"/>
          <w:sz w:val="48"/>
        </w:rPr>
      </w:pPr>
      <w:r>
        <w:rPr>
          <w:rFonts w:eastAsia="黑体"/>
          <w:w w:val="95"/>
          <w:sz w:val="48"/>
        </w:rPr>
        <w:t>电力系统规划通用规范</w:t>
      </w:r>
    </w:p>
    <w:p>
      <w:pPr>
        <w:jc w:val="center"/>
        <w:rPr>
          <w:rFonts w:eastAsia="黑体"/>
          <w:w w:val="95"/>
          <w:sz w:val="36"/>
          <w:szCs w:val="36"/>
        </w:rPr>
      </w:pPr>
    </w:p>
    <w:p>
      <w:pPr>
        <w:jc w:val="center"/>
        <w:rPr>
          <w:sz w:val="30"/>
          <w:szCs w:val="30"/>
        </w:rPr>
      </w:pPr>
      <w:r>
        <w:rPr>
          <w:rFonts w:eastAsia="黑体"/>
          <w:w w:val="95"/>
          <w:sz w:val="30"/>
          <w:szCs w:val="30"/>
        </w:rPr>
        <w:t>General Specification for Power System Planning</w:t>
      </w:r>
    </w:p>
    <w:p>
      <w:pPr>
        <w:jc w:val="center"/>
        <w:rPr>
          <w:rFonts w:eastAsia="黑体"/>
          <w:b/>
          <w:kern w:val="0"/>
          <w:sz w:val="28"/>
          <w:szCs w:val="28"/>
        </w:rPr>
      </w:pPr>
    </w:p>
    <w:p>
      <w:pPr>
        <w:jc w:val="center"/>
        <w:rPr>
          <w:rFonts w:eastAsia="黑体"/>
          <w:b/>
          <w:kern w:val="0"/>
          <w:sz w:val="30"/>
          <w:szCs w:val="30"/>
        </w:rPr>
      </w:pPr>
      <w:r>
        <w:rPr>
          <w:rFonts w:eastAsia="黑体"/>
          <w:b/>
          <w:kern w:val="0"/>
          <w:sz w:val="30"/>
          <w:szCs w:val="30"/>
        </w:rPr>
        <w:t>GB 55</w:t>
      </w:r>
      <w:r>
        <w:rPr>
          <w:rFonts w:eastAsia="黑体"/>
          <w:kern w:val="0"/>
          <w:sz w:val="30"/>
          <w:szCs w:val="30"/>
        </w:rPr>
        <w:t>XXX</w:t>
      </w:r>
      <w:r>
        <w:rPr>
          <w:rFonts w:eastAsia="黑体"/>
          <w:b/>
          <w:kern w:val="0"/>
          <w:sz w:val="30"/>
          <w:szCs w:val="30"/>
        </w:rPr>
        <w:t xml:space="preserve"> -2021</w:t>
      </w:r>
    </w:p>
    <w:p>
      <w:pPr>
        <w:jc w:val="center"/>
        <w:rPr>
          <w:rFonts w:eastAsia="黑体"/>
          <w:kern w:val="0"/>
          <w:sz w:val="28"/>
          <w:szCs w:val="28"/>
        </w:rPr>
      </w:pPr>
    </w:p>
    <w:p>
      <w:pPr>
        <w:autoSpaceDE w:val="0"/>
        <w:autoSpaceDN w:val="0"/>
        <w:adjustRightInd w:val="0"/>
        <w:ind w:firstLine="1134" w:firstLineChars="405"/>
        <w:jc w:val="left"/>
        <w:rPr>
          <w:rFonts w:eastAsia="黑体"/>
          <w:kern w:val="0"/>
          <w:sz w:val="28"/>
          <w:szCs w:val="28"/>
        </w:rPr>
      </w:pPr>
      <w:r>
        <w:rPr>
          <w:rFonts w:eastAsia="黑体"/>
          <w:kern w:val="0"/>
          <w:sz w:val="28"/>
          <w:szCs w:val="28"/>
        </w:rPr>
        <w:t>主编部门：</w:t>
      </w:r>
      <w:r>
        <w:rPr>
          <w:rFonts w:eastAsia="黑体"/>
          <w:color w:val="000000" w:themeColor="text1"/>
          <w:kern w:val="0"/>
          <w:sz w:val="28"/>
          <w:szCs w:val="28"/>
          <w14:textFill>
            <w14:solidFill>
              <w14:schemeClr w14:val="tx1"/>
            </w14:solidFill>
          </w14:textFill>
        </w:rPr>
        <w:t>中华人民共和国</w:t>
      </w:r>
      <w:r>
        <w:rPr>
          <w:rFonts w:eastAsia="黑体"/>
          <w:color w:val="000000" w:themeColor="text1"/>
          <w:sz w:val="28"/>
          <w:szCs w:val="28"/>
          <w14:textFill>
            <w14:solidFill>
              <w14:schemeClr w14:val="tx1"/>
            </w14:solidFill>
          </w14:textFill>
        </w:rPr>
        <w:t>住房和城乡建设部</w:t>
      </w:r>
    </w:p>
    <w:p>
      <w:pPr>
        <w:autoSpaceDE w:val="0"/>
        <w:autoSpaceDN w:val="0"/>
        <w:adjustRightInd w:val="0"/>
        <w:ind w:firstLine="1134" w:firstLineChars="405"/>
        <w:jc w:val="left"/>
        <w:rPr>
          <w:rFonts w:eastAsia="黑体"/>
          <w:kern w:val="0"/>
          <w:sz w:val="28"/>
          <w:szCs w:val="28"/>
        </w:rPr>
      </w:pPr>
      <w:r>
        <w:rPr>
          <w:rFonts w:eastAsia="黑体"/>
          <w:kern w:val="0"/>
          <w:sz w:val="28"/>
          <w:szCs w:val="28"/>
        </w:rPr>
        <w:t>批准部门：中华人民共和国</w:t>
      </w:r>
      <w:r>
        <w:rPr>
          <w:rFonts w:eastAsia="黑体"/>
          <w:sz w:val="28"/>
          <w:szCs w:val="28"/>
        </w:rPr>
        <w:t>住房和城乡建设部</w:t>
      </w:r>
    </w:p>
    <w:p>
      <w:pPr>
        <w:autoSpaceDE w:val="0"/>
        <w:autoSpaceDN w:val="0"/>
        <w:adjustRightInd w:val="0"/>
        <w:ind w:firstLine="1120" w:firstLineChars="400"/>
        <w:jc w:val="left"/>
        <w:rPr>
          <w:rFonts w:eastAsia="黑体"/>
          <w:kern w:val="0"/>
          <w:sz w:val="28"/>
          <w:szCs w:val="28"/>
        </w:rPr>
      </w:pPr>
      <w:r>
        <w:rPr>
          <w:rFonts w:eastAsia="黑体"/>
          <w:kern w:val="0"/>
          <w:sz w:val="28"/>
          <w:szCs w:val="28"/>
        </w:rPr>
        <w:t>施行日期：</w:t>
      </w:r>
      <w:r>
        <w:rPr>
          <w:rFonts w:eastAsia="黑体"/>
          <w:spacing w:val="113"/>
          <w:sz w:val="28"/>
          <w:szCs w:val="28"/>
        </w:rPr>
        <w:t>202X</w:t>
      </w:r>
      <w:r>
        <w:rPr>
          <w:rFonts w:eastAsia="黑体"/>
          <w:spacing w:val="113"/>
          <w:sz w:val="28"/>
          <w:szCs w:val="28"/>
          <w:lang w:val="zh-CN"/>
        </w:rPr>
        <w:t>年</w:t>
      </w:r>
      <w:r>
        <w:rPr>
          <w:rFonts w:eastAsia="黑体"/>
          <w:spacing w:val="113"/>
          <w:sz w:val="28"/>
          <w:szCs w:val="28"/>
        </w:rPr>
        <w:t>XX</w:t>
      </w:r>
      <w:r>
        <w:rPr>
          <w:rFonts w:eastAsia="黑体"/>
          <w:spacing w:val="113"/>
          <w:sz w:val="28"/>
          <w:szCs w:val="28"/>
          <w:lang w:val="zh-CN"/>
        </w:rPr>
        <w:t>月</w:t>
      </w:r>
      <w:r>
        <w:rPr>
          <w:rFonts w:eastAsia="黑体"/>
          <w:spacing w:val="113"/>
          <w:sz w:val="28"/>
          <w:szCs w:val="28"/>
        </w:rPr>
        <w:t>1</w:t>
      </w:r>
      <w:r>
        <w:rPr>
          <w:rFonts w:eastAsia="黑体"/>
          <w:spacing w:val="113"/>
          <w:sz w:val="28"/>
          <w:szCs w:val="28"/>
          <w:lang w:val="zh-CN"/>
        </w:rPr>
        <w:t>日</w:t>
      </w: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rFonts w:hint="default"/>
          <w:b/>
          <w:bCs/>
          <w:sz w:val="28"/>
          <w:szCs w:val="28"/>
          <w:lang w:val="en"/>
        </w:rPr>
      </w:pPr>
      <w:r>
        <w:rPr>
          <w:rFonts w:hint="default"/>
          <w:b/>
          <w:bCs/>
          <w:sz w:val="28"/>
          <w:szCs w:val="28"/>
          <w:lang w:val="en"/>
        </w:rPr>
        <w:t xml:space="preserve"> </w:t>
      </w:r>
    </w:p>
    <w:p>
      <w:pPr>
        <w:jc w:val="center"/>
        <w:rPr>
          <w:rFonts w:hint="default"/>
          <w:b/>
          <w:bCs/>
          <w:sz w:val="28"/>
          <w:szCs w:val="28"/>
          <w:lang w:val="en"/>
        </w:rPr>
      </w:pPr>
    </w:p>
    <w:p>
      <w:pPr>
        <w:widowControl/>
        <w:jc w:val="left"/>
        <w:rPr>
          <w:b/>
          <w:kern w:val="0"/>
          <w:sz w:val="28"/>
          <w:szCs w:val="28"/>
        </w:rPr>
      </w:pPr>
      <w:bookmarkStart w:id="14" w:name="_GoBack"/>
      <w:bookmarkEnd w:id="14"/>
    </w:p>
    <w:p>
      <w:pPr>
        <w:jc w:val="center"/>
        <w:rPr>
          <w:rFonts w:eastAsia="新宋体"/>
          <w:b/>
          <w:bCs/>
          <w:sz w:val="44"/>
          <w:szCs w:val="44"/>
        </w:rPr>
      </w:pPr>
      <w:r>
        <w:rPr>
          <w:rFonts w:eastAsia="新宋体"/>
          <w:b/>
          <w:bCs/>
          <w:sz w:val="44"/>
          <w:szCs w:val="44"/>
        </w:rPr>
        <w:t>前    言</w:t>
      </w:r>
    </w:p>
    <w:p>
      <w:pPr>
        <w:ind w:firstLine="420" w:firstLineChars="200"/>
        <w:rPr>
          <w:rFonts w:eastAsia="仿宋_GB2312"/>
          <w:szCs w:val="32"/>
        </w:rPr>
      </w:pPr>
    </w:p>
    <w:p>
      <w:pPr>
        <w:ind w:firstLine="640" w:firstLineChars="200"/>
        <w:rPr>
          <w:rFonts w:eastAsia="仿宋_GB2312"/>
          <w:szCs w:val="32"/>
        </w:rPr>
      </w:pPr>
      <w:r>
        <w:rPr>
          <w:rFonts w:eastAsia="仿宋_GB2312"/>
          <w:sz w:val="32"/>
          <w:szCs w:val="32"/>
        </w:rPr>
        <w:t>为适应国际技术法规与技术标准通行规则，2016年以来，住房和城乡建设部陆续印发《深化工程建设标准化工作改革的意见》等文件，提出</w:t>
      </w:r>
      <w:r>
        <w:rPr>
          <w:rFonts w:eastAsia="仿宋"/>
          <w:sz w:val="32"/>
          <w:szCs w:val="32"/>
        </w:rPr>
        <w:t>政府制定强制性标准、社会团体制定自愿采用性标准的长远目标</w:t>
      </w:r>
      <w:r>
        <w:rPr>
          <w:rFonts w:eastAsia="仿宋_GB2312"/>
          <w:sz w:val="32"/>
          <w:szCs w:val="32"/>
        </w:rPr>
        <w:t>，明确了逐步用全文强制性工程建设规范取代现行标准中分散的强制性条文的改革任务，逐步形成由法律、行政法规、部门规章中的技术性规定与全文强制性工程建设规范构成的“技术法规”体系。</w:t>
      </w:r>
    </w:p>
    <w:p>
      <w:pPr>
        <w:ind w:firstLine="640"/>
        <w:rPr>
          <w:rFonts w:eastAsia="仿宋_GB2312"/>
          <w:szCs w:val="32"/>
        </w:rPr>
      </w:pPr>
      <w:r>
        <w:rPr>
          <w:rFonts w:eastAsia="仿宋_GB2312"/>
          <w:b/>
          <w:sz w:val="32"/>
          <w:szCs w:val="32"/>
        </w:rPr>
        <w:t>关于规范种类。</w:t>
      </w:r>
      <w:r>
        <w:rPr>
          <w:rFonts w:eastAsia="仿宋_GB2312"/>
          <w:sz w:val="32"/>
          <w:szCs w:val="32"/>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ind w:firstLine="570"/>
        <w:rPr>
          <w:rFonts w:eastAsia="仿宋_GB2312"/>
          <w:szCs w:val="32"/>
        </w:rPr>
      </w:pPr>
      <w:r>
        <w:rPr>
          <w:rFonts w:eastAsia="仿宋_GB2312"/>
          <w:b/>
          <w:sz w:val="32"/>
          <w:szCs w:val="32"/>
        </w:rPr>
        <w:t>关于五大要素指标。</w:t>
      </w:r>
      <w:r>
        <w:rPr>
          <w:rFonts w:eastAsia="仿宋_GB2312"/>
          <w:sz w:val="32"/>
          <w:szCs w:val="32"/>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640"/>
        <w:rPr>
          <w:rFonts w:eastAsia="仿宋_GB2312"/>
          <w:szCs w:val="32"/>
        </w:rPr>
      </w:pPr>
      <w:r>
        <w:rPr>
          <w:rFonts w:eastAsia="仿宋_GB2312"/>
          <w:b/>
          <w:sz w:val="32"/>
          <w:szCs w:val="32"/>
        </w:rPr>
        <w:t>关于规范实施。</w:t>
      </w:r>
      <w:r>
        <w:rPr>
          <w:rFonts w:eastAsia="仿宋_GB2312"/>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ind w:firstLine="640"/>
        <w:rPr>
          <w:rFonts w:eastAsia="仿宋_GB2312"/>
          <w:szCs w:val="32"/>
        </w:rPr>
      </w:pPr>
      <w:r>
        <w:rPr>
          <w:rFonts w:eastAsia="仿宋_GB2312"/>
          <w:sz w:val="32"/>
          <w:szCs w:val="32"/>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pStyle w:val="17"/>
        <w:spacing w:line="360" w:lineRule="auto"/>
        <w:ind w:firstLine="482"/>
        <w:jc w:val="both"/>
        <w:rPr>
          <w:rFonts w:ascii="Times New Roman" w:hAnsi="Times New Roman" w:cs="Times New Roman"/>
          <w:color w:val="FF0000"/>
        </w:rPr>
      </w:pPr>
    </w:p>
    <w:p>
      <w:pPr>
        <w:pStyle w:val="17"/>
        <w:spacing w:line="360" w:lineRule="auto"/>
        <w:ind w:firstLine="482"/>
        <w:jc w:val="both"/>
        <w:rPr>
          <w:rFonts w:ascii="Times New Roman" w:hAnsi="Times New Roman" w:cs="Times New Roman"/>
        </w:rPr>
      </w:pPr>
      <w:r>
        <w:rPr>
          <w:rFonts w:ascii="Times New Roman" w:hAnsi="Times New Roman" w:cs="Times New Roman"/>
        </w:rPr>
        <w:t xml:space="preserve">                         </w:t>
      </w:r>
    </w:p>
    <w:p>
      <w:pPr>
        <w:widowControl/>
        <w:jc w:val="left"/>
        <w:rPr>
          <w:b/>
          <w:bCs/>
          <w:kern w:val="0"/>
          <w:sz w:val="30"/>
        </w:rPr>
      </w:pPr>
      <w:r>
        <w:rPr>
          <w:b/>
          <w:bCs/>
          <w:sz w:val="30"/>
        </w:rPr>
        <w:br w:type="page"/>
      </w:r>
    </w:p>
    <w:p>
      <w:pPr>
        <w:pStyle w:val="17"/>
        <w:spacing w:line="360" w:lineRule="auto"/>
        <w:jc w:val="center"/>
        <w:rPr>
          <w:rFonts w:ascii="Times New Roman" w:hAnsi="Times New Roman" w:cs="Times New Roman"/>
          <w:b/>
          <w:bCs/>
          <w:sz w:val="30"/>
        </w:rPr>
      </w:pPr>
      <w:r>
        <w:rPr>
          <w:rFonts w:ascii="Times New Roman" w:hAnsi="Times New Roman" w:cs="Times New Roman"/>
          <w:b/>
          <w:bCs/>
          <w:sz w:val="30"/>
        </w:rPr>
        <w:t>目  次</w:t>
      </w:r>
    </w:p>
    <w:sdt>
      <w:sdtPr>
        <w:rPr>
          <w:lang w:val="zh-CN"/>
        </w:rPr>
        <w:id w:val="127371037"/>
        <w:docPartObj>
          <w:docPartGallery w:val="Table of Contents"/>
          <w:docPartUnique/>
        </w:docPartObj>
      </w:sdtPr>
      <w:sdtEndPr>
        <w:rPr>
          <w:sz w:val="24"/>
          <w:lang w:val="en-US"/>
        </w:rPr>
      </w:sdtEndPr>
      <w:sdtContent>
        <w:p>
          <w:pPr>
            <w:tabs>
              <w:tab w:val="right" w:leader="middleDot" w:pos="8400"/>
            </w:tabs>
            <w:spacing w:line="312" w:lineRule="auto"/>
            <w:jc w:val="distribute"/>
            <w:rPr>
              <w:sz w:val="24"/>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"_Toc72480084" </w:instrText>
          </w:r>
          <w:r>
            <w:fldChar w:fldCharType="separate"/>
          </w:r>
          <w:r>
            <w:rPr>
              <w:sz w:val="24"/>
            </w:rPr>
            <w:t>1 总则</w:t>
          </w:r>
          <w:r>
            <w:rPr>
              <w:sz w:val="24"/>
            </w:rPr>
            <w:tab/>
          </w:r>
          <w:r>
            <w:rPr>
              <w:sz w:val="24"/>
            </w:rPr>
            <w:fldChar w:fldCharType="begin"/>
          </w:r>
          <w:r>
            <w:rPr>
              <w:sz w:val="24"/>
            </w:rPr>
            <w:instrText xml:space="preserve"> PAGEREF _Toc72480084 \h </w:instrText>
          </w:r>
          <w:r>
            <w:rPr>
              <w:sz w:val="24"/>
            </w:rPr>
            <w:fldChar w:fldCharType="separate"/>
          </w:r>
          <w:r>
            <w:rPr>
              <w:sz w:val="24"/>
            </w:rPr>
            <w:t>1</w:t>
          </w:r>
          <w:r>
            <w:rPr>
              <w:sz w:val="24"/>
            </w:rPr>
            <w:fldChar w:fldCharType="end"/>
          </w:r>
          <w:r>
            <w:rPr>
              <w:sz w:val="24"/>
            </w:rPr>
            <w:fldChar w:fldCharType="end"/>
          </w:r>
        </w:p>
        <w:p>
          <w:pPr>
            <w:tabs>
              <w:tab w:val="right" w:leader="middleDot" w:pos="8400"/>
            </w:tabs>
            <w:spacing w:line="312" w:lineRule="auto"/>
            <w:jc w:val="distribute"/>
            <w:rPr>
              <w:sz w:val="24"/>
            </w:rPr>
          </w:pPr>
          <w:r>
            <w:fldChar w:fldCharType="begin"/>
          </w:r>
          <w:r>
            <w:instrText xml:space="preserve"> HYPERLINK \l "_Toc72480085" </w:instrText>
          </w:r>
          <w:r>
            <w:fldChar w:fldCharType="separate"/>
          </w:r>
          <w:r>
            <w:rPr>
              <w:sz w:val="24"/>
            </w:rPr>
            <w:t>2 基本规定</w:t>
          </w:r>
          <w:r>
            <w:rPr>
              <w:sz w:val="24"/>
            </w:rPr>
            <w:tab/>
          </w:r>
          <w:r>
            <w:rPr>
              <w:sz w:val="24"/>
            </w:rPr>
            <w:fldChar w:fldCharType="begin"/>
          </w:r>
          <w:r>
            <w:rPr>
              <w:sz w:val="24"/>
            </w:rPr>
            <w:instrText xml:space="preserve"> PAGEREF _Toc72480085 \h </w:instrText>
          </w:r>
          <w:r>
            <w:rPr>
              <w:sz w:val="24"/>
            </w:rPr>
            <w:fldChar w:fldCharType="separate"/>
          </w:r>
          <w:r>
            <w:rPr>
              <w:sz w:val="24"/>
            </w:rPr>
            <w:t>2</w:t>
          </w:r>
          <w:r>
            <w:rPr>
              <w:sz w:val="24"/>
            </w:rPr>
            <w:fldChar w:fldCharType="end"/>
          </w:r>
          <w:r>
            <w:rPr>
              <w:sz w:val="24"/>
            </w:rPr>
            <w:fldChar w:fldCharType="end"/>
          </w:r>
        </w:p>
        <w:p>
          <w:pPr>
            <w:tabs>
              <w:tab w:val="right" w:leader="middleDot" w:pos="8400"/>
            </w:tabs>
            <w:spacing w:line="312" w:lineRule="auto"/>
            <w:jc w:val="distribute"/>
            <w:rPr>
              <w:sz w:val="24"/>
            </w:rPr>
          </w:pPr>
          <w:r>
            <w:fldChar w:fldCharType="begin"/>
          </w:r>
          <w:r>
            <w:instrText xml:space="preserve"> HYPERLINK \l "_Toc72480086" </w:instrText>
          </w:r>
          <w:r>
            <w:fldChar w:fldCharType="separate"/>
          </w:r>
          <w:r>
            <w:rPr>
              <w:sz w:val="24"/>
            </w:rPr>
            <w:t>3 电力需求预测</w:t>
          </w:r>
          <w:r>
            <w:rPr>
              <w:sz w:val="24"/>
            </w:rPr>
            <w:tab/>
          </w:r>
          <w:r>
            <w:rPr>
              <w:sz w:val="24"/>
            </w:rPr>
            <w:fldChar w:fldCharType="begin"/>
          </w:r>
          <w:r>
            <w:rPr>
              <w:sz w:val="24"/>
            </w:rPr>
            <w:instrText xml:space="preserve"> PAGEREF _Toc72480086 \h </w:instrText>
          </w:r>
          <w:r>
            <w:rPr>
              <w:sz w:val="24"/>
            </w:rPr>
            <w:fldChar w:fldCharType="separate"/>
          </w:r>
          <w:r>
            <w:rPr>
              <w:sz w:val="24"/>
            </w:rPr>
            <w:t>4</w:t>
          </w:r>
          <w:r>
            <w:rPr>
              <w:sz w:val="24"/>
            </w:rPr>
            <w:fldChar w:fldCharType="end"/>
          </w:r>
          <w:r>
            <w:rPr>
              <w:sz w:val="24"/>
            </w:rPr>
            <w:fldChar w:fldCharType="end"/>
          </w:r>
        </w:p>
        <w:p>
          <w:pPr>
            <w:tabs>
              <w:tab w:val="right" w:leader="middleDot" w:pos="8400"/>
            </w:tabs>
            <w:spacing w:line="312" w:lineRule="auto"/>
            <w:jc w:val="distribute"/>
            <w:rPr>
              <w:sz w:val="24"/>
            </w:rPr>
          </w:pPr>
          <w:r>
            <w:fldChar w:fldCharType="begin"/>
          </w:r>
          <w:r>
            <w:instrText xml:space="preserve"> HYPERLINK \l "_Toc72480087" </w:instrText>
          </w:r>
          <w:r>
            <w:fldChar w:fldCharType="separate"/>
          </w:r>
          <w:r>
            <w:rPr>
              <w:sz w:val="24"/>
            </w:rPr>
            <w:t>4 电源规划</w:t>
          </w:r>
          <w:r>
            <w:rPr>
              <w:sz w:val="24"/>
            </w:rPr>
            <w:tab/>
          </w:r>
          <w:r>
            <w:rPr>
              <w:sz w:val="24"/>
            </w:rPr>
            <w:fldChar w:fldCharType="begin"/>
          </w:r>
          <w:r>
            <w:rPr>
              <w:sz w:val="24"/>
            </w:rPr>
            <w:instrText xml:space="preserve"> PAGEREF _Toc72480087 \h </w:instrText>
          </w:r>
          <w:r>
            <w:rPr>
              <w:sz w:val="24"/>
            </w:rPr>
            <w:fldChar w:fldCharType="separate"/>
          </w:r>
          <w:r>
            <w:rPr>
              <w:sz w:val="24"/>
            </w:rPr>
            <w:t>5</w:t>
          </w:r>
          <w:r>
            <w:rPr>
              <w:sz w:val="24"/>
            </w:rPr>
            <w:fldChar w:fldCharType="end"/>
          </w:r>
          <w:r>
            <w:rPr>
              <w:sz w:val="24"/>
            </w:rPr>
            <w:fldChar w:fldCharType="end"/>
          </w:r>
        </w:p>
        <w:p>
          <w:pPr>
            <w:tabs>
              <w:tab w:val="right" w:leader="middleDot" w:pos="8400"/>
            </w:tabs>
            <w:spacing w:line="312" w:lineRule="auto"/>
            <w:jc w:val="distribute"/>
            <w:rPr>
              <w:sz w:val="24"/>
            </w:rPr>
          </w:pPr>
          <w:r>
            <w:fldChar w:fldCharType="begin"/>
          </w:r>
          <w:r>
            <w:instrText xml:space="preserve"> HYPERLINK \l "_Toc72480088" </w:instrText>
          </w:r>
          <w:r>
            <w:fldChar w:fldCharType="separate"/>
          </w:r>
          <w:r>
            <w:rPr>
              <w:sz w:val="24"/>
            </w:rPr>
            <w:t>5 输电网规划</w:t>
          </w:r>
          <w:r>
            <w:rPr>
              <w:sz w:val="24"/>
            </w:rPr>
            <w:tab/>
          </w:r>
          <w:r>
            <w:rPr>
              <w:sz w:val="24"/>
            </w:rPr>
            <w:fldChar w:fldCharType="begin"/>
          </w:r>
          <w:r>
            <w:rPr>
              <w:sz w:val="24"/>
            </w:rPr>
            <w:instrText xml:space="preserve"> PAGEREF _Toc72480088 \h </w:instrText>
          </w:r>
          <w:r>
            <w:rPr>
              <w:sz w:val="24"/>
            </w:rPr>
            <w:fldChar w:fldCharType="separate"/>
          </w:r>
          <w:r>
            <w:rPr>
              <w:sz w:val="24"/>
            </w:rPr>
            <w:t>6</w:t>
          </w:r>
          <w:r>
            <w:rPr>
              <w:sz w:val="24"/>
            </w:rPr>
            <w:fldChar w:fldCharType="end"/>
          </w:r>
          <w:r>
            <w:rPr>
              <w:sz w:val="24"/>
            </w:rPr>
            <w:fldChar w:fldCharType="end"/>
          </w:r>
        </w:p>
        <w:p>
          <w:pPr>
            <w:tabs>
              <w:tab w:val="right" w:leader="middleDot" w:pos="8400"/>
            </w:tabs>
            <w:spacing w:line="312" w:lineRule="auto"/>
            <w:jc w:val="distribute"/>
            <w:rPr>
              <w:sz w:val="24"/>
            </w:rPr>
          </w:pPr>
          <w:r>
            <w:fldChar w:fldCharType="begin"/>
          </w:r>
          <w:r>
            <w:instrText xml:space="preserve"> HYPERLINK \l "_Toc72480089" </w:instrText>
          </w:r>
          <w:r>
            <w:fldChar w:fldCharType="separate"/>
          </w:r>
          <w:r>
            <w:rPr>
              <w:sz w:val="24"/>
            </w:rPr>
            <w:t>6 配电网规划</w:t>
          </w:r>
          <w:r>
            <w:rPr>
              <w:sz w:val="24"/>
            </w:rPr>
            <w:tab/>
          </w:r>
          <w:r>
            <w:rPr>
              <w:sz w:val="24"/>
            </w:rPr>
            <w:fldChar w:fldCharType="begin"/>
          </w:r>
          <w:r>
            <w:rPr>
              <w:sz w:val="24"/>
            </w:rPr>
            <w:instrText xml:space="preserve"> PAGEREF _Toc72480089 \h </w:instrText>
          </w:r>
          <w:r>
            <w:rPr>
              <w:sz w:val="24"/>
            </w:rPr>
            <w:fldChar w:fldCharType="separate"/>
          </w:r>
          <w:r>
            <w:rPr>
              <w:sz w:val="24"/>
            </w:rPr>
            <w:t>7</w:t>
          </w:r>
          <w:r>
            <w:rPr>
              <w:sz w:val="24"/>
            </w:rPr>
            <w:fldChar w:fldCharType="end"/>
          </w:r>
          <w:r>
            <w:rPr>
              <w:sz w:val="24"/>
            </w:rPr>
            <w:fldChar w:fldCharType="end"/>
          </w:r>
        </w:p>
        <w:p>
          <w:pPr>
            <w:tabs>
              <w:tab w:val="right" w:leader="middleDot" w:pos="8400"/>
            </w:tabs>
            <w:spacing w:line="312" w:lineRule="auto"/>
            <w:jc w:val="distribute"/>
            <w:rPr>
              <w:sz w:val="24"/>
            </w:rPr>
          </w:pPr>
          <w:r>
            <w:fldChar w:fldCharType="begin"/>
          </w:r>
          <w:r>
            <w:instrText xml:space="preserve"> HYPERLINK \l "_Toc72480090" </w:instrText>
          </w:r>
          <w:r>
            <w:fldChar w:fldCharType="separate"/>
          </w:r>
          <w:r>
            <w:rPr>
              <w:sz w:val="24"/>
            </w:rPr>
            <w:t>7 电力二次系统规划</w:t>
          </w:r>
          <w:r>
            <w:rPr>
              <w:sz w:val="24"/>
            </w:rPr>
            <w:tab/>
          </w:r>
          <w:r>
            <w:rPr>
              <w:sz w:val="24"/>
            </w:rPr>
            <w:fldChar w:fldCharType="begin"/>
          </w:r>
          <w:r>
            <w:rPr>
              <w:sz w:val="24"/>
            </w:rPr>
            <w:instrText xml:space="preserve"> PAGEREF _Toc72480090 \h </w:instrText>
          </w:r>
          <w:r>
            <w:rPr>
              <w:sz w:val="24"/>
            </w:rPr>
            <w:fldChar w:fldCharType="separate"/>
          </w:r>
          <w:r>
            <w:rPr>
              <w:sz w:val="24"/>
            </w:rPr>
            <w:t>9</w:t>
          </w:r>
          <w:r>
            <w:rPr>
              <w:sz w:val="24"/>
            </w:rPr>
            <w:fldChar w:fldCharType="end"/>
          </w:r>
          <w:r>
            <w:rPr>
              <w:sz w:val="24"/>
            </w:rPr>
            <w:fldChar w:fldCharType="end"/>
          </w:r>
        </w:p>
        <w:p>
          <w:pPr>
            <w:tabs>
              <w:tab w:val="right" w:leader="middleDot" w:pos="8400"/>
            </w:tabs>
            <w:spacing w:line="312" w:lineRule="auto"/>
            <w:jc w:val="distribute"/>
            <w:rPr>
              <w:sz w:val="24"/>
            </w:rPr>
          </w:pPr>
          <w:r>
            <w:rPr>
              <w:sz w:val="24"/>
            </w:rPr>
            <w:fldChar w:fldCharType="end"/>
          </w:r>
        </w:p>
      </w:sdtContent>
    </w:sdt>
    <w:p>
      <w:pPr>
        <w:widowControl/>
        <w:jc w:val="left"/>
        <w:rPr>
          <w:b/>
          <w:bCs/>
          <w:sz w:val="30"/>
        </w:rPr>
        <w:sectPr>
          <w:footerReference r:id="rId3" w:type="default"/>
          <w:pgSz w:w="11906" w:h="16838"/>
          <w:pgMar w:top="1440" w:right="1800" w:bottom="1440" w:left="1800" w:header="851" w:footer="992" w:gutter="0"/>
          <w:pgNumType w:start="1"/>
          <w:cols w:space="425" w:num="1"/>
          <w:docGrid w:type="lines" w:linePitch="312" w:charSpace="0"/>
        </w:sectPr>
      </w:pPr>
    </w:p>
    <w:p>
      <w:pPr>
        <w:spacing w:after="312" w:afterLines="100"/>
        <w:jc w:val="center"/>
        <w:rPr>
          <w:b/>
          <w:bCs/>
          <w:sz w:val="30"/>
        </w:rPr>
      </w:pPr>
      <w:r>
        <w:rPr>
          <w:b/>
          <w:bCs/>
          <w:sz w:val="30"/>
        </w:rPr>
        <w:t>Contents</w:t>
      </w:r>
    </w:p>
    <w:p>
      <w:pPr>
        <w:tabs>
          <w:tab w:val="right" w:leader="middleDot" w:pos="8400"/>
        </w:tabs>
        <w:spacing w:line="312" w:lineRule="auto"/>
        <w:jc w:val="distribute"/>
        <w:rPr>
          <w:sz w:val="24"/>
        </w:rPr>
      </w:pPr>
      <w:r>
        <w:rPr>
          <w:sz w:val="24"/>
        </w:rPr>
        <w:t xml:space="preserve">1  General Provisions  </w:t>
      </w:r>
      <w:r>
        <w:rPr>
          <w:sz w:val="15"/>
        </w:rPr>
        <w:t>········································································</w:t>
      </w:r>
      <w:r>
        <w:rPr>
          <w:sz w:val="24"/>
        </w:rPr>
        <w:t xml:space="preserve">  1</w:t>
      </w:r>
    </w:p>
    <w:p>
      <w:pPr>
        <w:tabs>
          <w:tab w:val="right" w:leader="middleDot" w:pos="8400"/>
        </w:tabs>
        <w:spacing w:line="312" w:lineRule="auto"/>
        <w:jc w:val="distribute"/>
        <w:rPr>
          <w:sz w:val="24"/>
        </w:rPr>
      </w:pPr>
      <w:r>
        <w:rPr>
          <w:sz w:val="24"/>
        </w:rPr>
        <w:t xml:space="preserve">2  Basic Requirements </w:t>
      </w:r>
      <w:r>
        <w:rPr>
          <w:sz w:val="15"/>
        </w:rPr>
        <w:t>········································································</w:t>
      </w:r>
      <w:r>
        <w:rPr>
          <w:sz w:val="24"/>
        </w:rPr>
        <w:t xml:space="preserve">  2</w:t>
      </w:r>
    </w:p>
    <w:p>
      <w:pPr>
        <w:tabs>
          <w:tab w:val="right" w:leader="middleDot" w:pos="8400"/>
        </w:tabs>
        <w:spacing w:line="312" w:lineRule="auto"/>
        <w:jc w:val="distribute"/>
        <w:rPr>
          <w:sz w:val="24"/>
        </w:rPr>
      </w:pPr>
      <w:r>
        <w:rPr>
          <w:sz w:val="24"/>
        </w:rPr>
        <w:t>3  Power Demand Forecasting</w:t>
      </w:r>
      <w:r>
        <w:rPr>
          <w:sz w:val="15"/>
        </w:rPr>
        <w:t xml:space="preserve">·······························································  </w:t>
      </w:r>
      <w:r>
        <w:rPr>
          <w:sz w:val="24"/>
        </w:rPr>
        <w:t>4</w:t>
      </w:r>
    </w:p>
    <w:p>
      <w:pPr>
        <w:tabs>
          <w:tab w:val="right" w:leader="middleDot" w:pos="8400"/>
        </w:tabs>
        <w:spacing w:line="312" w:lineRule="auto"/>
        <w:jc w:val="distribute"/>
        <w:rPr>
          <w:sz w:val="24"/>
        </w:rPr>
      </w:pPr>
      <w:r>
        <w:rPr>
          <w:sz w:val="24"/>
        </w:rPr>
        <w:t>4  Power Planning</w:t>
      </w:r>
      <w:r>
        <w:rPr>
          <w:sz w:val="15"/>
        </w:rPr>
        <w:t>················································································</w:t>
      </w:r>
      <w:r>
        <w:rPr>
          <w:sz w:val="24"/>
        </w:rPr>
        <w:t xml:space="preserve"> 5</w:t>
      </w:r>
    </w:p>
    <w:p>
      <w:pPr>
        <w:tabs>
          <w:tab w:val="right" w:leader="middleDot" w:pos="8400"/>
        </w:tabs>
        <w:spacing w:line="312" w:lineRule="auto"/>
        <w:jc w:val="distribute"/>
        <w:rPr>
          <w:sz w:val="24"/>
        </w:rPr>
      </w:pPr>
      <w:r>
        <w:rPr>
          <w:sz w:val="24"/>
        </w:rPr>
        <w:t>5  Transmission Network Planning</w:t>
      </w:r>
      <w:r>
        <w:rPr>
          <w:sz w:val="15"/>
        </w:rPr>
        <w:t xml:space="preserve">··························································· </w:t>
      </w:r>
      <w:r>
        <w:rPr>
          <w:sz w:val="24"/>
        </w:rPr>
        <w:t>6</w:t>
      </w:r>
    </w:p>
    <w:p>
      <w:pPr>
        <w:tabs>
          <w:tab w:val="right" w:leader="middleDot" w:pos="8400"/>
        </w:tabs>
        <w:spacing w:line="312" w:lineRule="auto"/>
        <w:jc w:val="distribute"/>
        <w:rPr>
          <w:sz w:val="24"/>
        </w:rPr>
      </w:pPr>
      <w:r>
        <w:rPr>
          <w:sz w:val="24"/>
        </w:rPr>
        <w:t>6  Distribution Network Planning</w:t>
      </w:r>
      <w:r>
        <w:rPr>
          <w:sz w:val="15"/>
        </w:rPr>
        <w:t xml:space="preserve">······················································ </w:t>
      </w:r>
      <w:r>
        <w:rPr>
          <w:sz w:val="24"/>
        </w:rPr>
        <w:t>7</w:t>
      </w:r>
    </w:p>
    <w:p>
      <w:pPr>
        <w:tabs>
          <w:tab w:val="right" w:leader="middleDot" w:pos="8400"/>
        </w:tabs>
        <w:spacing w:line="312" w:lineRule="auto"/>
        <w:jc w:val="distribute"/>
        <w:rPr>
          <w:sz w:val="24"/>
        </w:rPr>
      </w:pPr>
      <w:r>
        <w:rPr>
          <w:sz w:val="24"/>
        </w:rPr>
        <w:t>7  Secondary Power System Planning</w:t>
      </w:r>
      <w:r>
        <w:rPr>
          <w:sz w:val="15"/>
        </w:rPr>
        <w:t>························································</w:t>
      </w:r>
      <w:r>
        <w:rPr>
          <w:sz w:val="24"/>
        </w:rPr>
        <w:t xml:space="preserve"> 9</w:t>
      </w:r>
    </w:p>
    <w:p>
      <w:pPr>
        <w:widowControl/>
        <w:jc w:val="left"/>
        <w:rPr>
          <w:rFonts w:eastAsia="黑体"/>
          <w:sz w:val="44"/>
        </w:rPr>
        <w:sectPr>
          <w:pgSz w:w="11906" w:h="16838"/>
          <w:pgMar w:top="1440" w:right="1800" w:bottom="1440" w:left="1800" w:header="851" w:footer="992" w:gutter="0"/>
          <w:pgNumType w:start="1"/>
          <w:cols w:space="425" w:num="1"/>
          <w:docGrid w:type="lines" w:linePitch="312" w:charSpace="0"/>
        </w:sectPr>
      </w:pPr>
      <w:r>
        <w:rPr>
          <w:rFonts w:eastAsia="黑体"/>
          <w:sz w:val="44"/>
        </w:rPr>
        <w:br w:type="page"/>
      </w:r>
    </w:p>
    <w:p>
      <w:pPr>
        <w:jc w:val="center"/>
        <w:outlineLvl w:val="0"/>
        <w:rPr>
          <w:rFonts w:eastAsiaTheme="majorEastAsia"/>
          <w:b/>
          <w:sz w:val="30"/>
          <w:szCs w:val="30"/>
        </w:rPr>
      </w:pPr>
      <w:bookmarkStart w:id="0" w:name="_Toc72480084"/>
      <w:r>
        <w:rPr>
          <w:rFonts w:eastAsiaTheme="majorEastAsia"/>
          <w:b/>
          <w:sz w:val="30"/>
          <w:szCs w:val="30"/>
        </w:rPr>
        <w:t>1 总则</w:t>
      </w:r>
      <w:bookmarkEnd w:id="0"/>
    </w:p>
    <w:p>
      <w:pPr>
        <w:rPr>
          <w:sz w:val="28"/>
        </w:rPr>
      </w:pPr>
      <w:r>
        <w:rPr>
          <w:sz w:val="28"/>
        </w:rPr>
        <w:t>1.0.1  为贯彻执行国民经济规划、能源电力的有关法规和方针政策，提高电力系统规划的科学性和规范性，保障电力系统供电安全，保护生态环境和节约资源，统一电力系统规划的基本技术要求，强化政府监管，制定本规范。</w:t>
      </w:r>
    </w:p>
    <w:p>
      <w:pPr>
        <w:rPr>
          <w:sz w:val="28"/>
        </w:rPr>
      </w:pPr>
      <w:r>
        <w:rPr>
          <w:sz w:val="28"/>
        </w:rPr>
        <w:t>1.0.2  电力需求预测、电源规划、输电网规划、配电网规划、电力二次系统规划必须遵守本规范。</w:t>
      </w:r>
    </w:p>
    <w:p>
      <w:pPr>
        <w:rPr>
          <w:sz w:val="28"/>
        </w:rPr>
      </w:pPr>
      <w:r>
        <w:rPr>
          <w:sz w:val="28"/>
        </w:rPr>
        <w:t>1.0.3  电力系统规划必须遵守国家环境保护的法律、法规，执行国家能源与环境方针政策，满足国家和地方政府环境保护规划的要求。</w:t>
      </w:r>
    </w:p>
    <w:p>
      <w:pPr>
        <w:rPr>
          <w:sz w:val="28"/>
        </w:rPr>
      </w:pPr>
      <w:r>
        <w:rPr>
          <w:sz w:val="28"/>
        </w:rPr>
        <w:t>1.0.4  电力系统规划应在能源发展总体规划框架下，遵循源网荷储协调统一的原则，</w:t>
      </w:r>
      <w:r>
        <w:rPr>
          <w:color w:val="000000"/>
          <w:sz w:val="28"/>
        </w:rPr>
        <w:t>优先开发利用</w:t>
      </w:r>
      <w:r>
        <w:rPr>
          <w:sz w:val="28"/>
        </w:rPr>
        <w:t>非化石能源，实现清洁低碳、安全可靠、智慧灵活、经济高效的新型电力系统目标。</w:t>
      </w:r>
    </w:p>
    <w:p>
      <w:pPr>
        <w:rPr>
          <w:sz w:val="28"/>
        </w:rPr>
      </w:pPr>
      <w:r>
        <w:rPr>
          <w:sz w:val="28"/>
        </w:rPr>
        <w:t>1.0.5  电力系统规划应与国土空间规划相协调。</w:t>
      </w:r>
    </w:p>
    <w:p>
      <w:pPr>
        <w:rPr>
          <w:sz w:val="28"/>
        </w:rPr>
      </w:pPr>
      <w:r>
        <w:rPr>
          <w:sz w:val="28"/>
        </w:rPr>
        <w:t>1.0.6  本规范是电力系统规划工作过程中技术和管理的基本要求。当电力系统规划采用的技术措施与本规范不一致或本规范无相关要求时，必须采取合规性判定。</w:t>
      </w:r>
      <w:bookmarkStart w:id="1" w:name="_Toc72480085"/>
      <w:bookmarkStart w:id="2" w:name="_Toc1656963"/>
    </w:p>
    <w:p>
      <w:pPr>
        <w:widowControl/>
        <w:jc w:val="left"/>
        <w:rPr>
          <w:sz w:val="28"/>
        </w:rPr>
      </w:pPr>
      <w:r>
        <w:rPr>
          <w:sz w:val="28"/>
        </w:rPr>
        <w:br w:type="page"/>
      </w:r>
    </w:p>
    <w:p>
      <w:pPr>
        <w:jc w:val="center"/>
        <w:outlineLvl w:val="0"/>
        <w:rPr>
          <w:rFonts w:eastAsiaTheme="majorEastAsia"/>
          <w:b/>
          <w:sz w:val="30"/>
          <w:szCs w:val="30"/>
        </w:rPr>
      </w:pPr>
      <w:r>
        <w:rPr>
          <w:rFonts w:eastAsiaTheme="majorEastAsia"/>
          <w:b/>
          <w:sz w:val="30"/>
          <w:szCs w:val="30"/>
        </w:rPr>
        <w:t>2 基本规定</w:t>
      </w:r>
      <w:bookmarkEnd w:id="1"/>
      <w:bookmarkEnd w:id="2"/>
    </w:p>
    <w:p>
      <w:pPr>
        <w:rPr>
          <w:sz w:val="28"/>
        </w:rPr>
      </w:pPr>
      <w:r>
        <w:rPr>
          <w:sz w:val="28"/>
        </w:rPr>
        <w:t>2.0.1  交流三相系统的标准电压应从表2.0.1中选择。</w:t>
      </w:r>
    </w:p>
    <w:p>
      <w:pPr>
        <w:jc w:val="center"/>
        <w:rPr>
          <w:rFonts w:eastAsia="黑体"/>
          <w:lang w:val="zh-CN"/>
        </w:rPr>
      </w:pPr>
      <w:r>
        <w:rPr>
          <w:rFonts w:eastAsia="黑体"/>
          <w:lang w:val="zh-CN"/>
        </w:rPr>
        <w:t>表 2.0.1交流三相系统标准电压</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color w:val="FF0000"/>
                <w:sz w:val="20"/>
                <w:szCs w:val="18"/>
              </w:rPr>
            </w:pPr>
            <w:r>
              <w:rPr>
                <w:sz w:val="20"/>
                <w:szCs w:val="18"/>
              </w:rPr>
              <w:t>系统标称电压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220V/380V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380V/660V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1000V（1140V</w:t>
            </w:r>
            <w:r>
              <w:rPr>
                <w:sz w:val="20"/>
                <w:szCs w:val="18"/>
                <w:vertAlign w:val="superscript"/>
              </w:rPr>
              <w:t>a</w:t>
            </w:r>
            <w:r>
              <w:rPr>
                <w:sz w:val="2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3kV（3.3kV）</w:t>
            </w:r>
            <w:r>
              <w:rPr>
                <w:sz w:val="20"/>
                <w:szCs w:val="18"/>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6kV</w:t>
            </w:r>
            <w:r>
              <w:rPr>
                <w:sz w:val="20"/>
                <w:szCs w:val="18"/>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20kV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35kV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66kV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110kV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220kV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330kV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500kV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750kV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jc w:val="center"/>
              <w:rPr>
                <w:sz w:val="20"/>
                <w:szCs w:val="18"/>
              </w:rPr>
            </w:pPr>
            <w:r>
              <w:rPr>
                <w:sz w:val="20"/>
                <w:szCs w:val="18"/>
              </w:rPr>
              <w:t>1000kV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shd w:val="clear" w:color="auto" w:fill="auto"/>
            <w:vAlign w:val="center"/>
          </w:tcPr>
          <w:p>
            <w:pPr>
              <w:rPr>
                <w:sz w:val="20"/>
                <w:szCs w:val="18"/>
              </w:rPr>
            </w:pPr>
            <w:r>
              <w:rPr>
                <w:sz w:val="20"/>
                <w:szCs w:val="18"/>
              </w:rPr>
              <w:t>注1：表中同一组数据中较低数值是相电压，较高数值是线电压；只有一个数值者均为线电压。</w:t>
            </w:r>
          </w:p>
          <w:p>
            <w:pPr>
              <w:rPr>
                <w:sz w:val="20"/>
                <w:szCs w:val="18"/>
              </w:rPr>
            </w:pPr>
            <w:r>
              <w:rPr>
                <w:sz w:val="20"/>
                <w:szCs w:val="18"/>
              </w:rPr>
              <w:t>注2： 3.3kV为用户有要求时使用。</w:t>
            </w:r>
          </w:p>
          <w:p>
            <w:pPr>
              <w:rPr>
                <w:sz w:val="20"/>
                <w:szCs w:val="18"/>
              </w:rPr>
            </w:pPr>
            <w:r>
              <w:rPr>
                <w:sz w:val="20"/>
                <w:szCs w:val="18"/>
                <w:vertAlign w:val="superscript"/>
              </w:rPr>
              <w:t>a</w:t>
            </w:r>
            <w:r>
              <w:rPr>
                <w:sz w:val="20"/>
                <w:szCs w:val="18"/>
              </w:rPr>
              <w:t>1140V仅限于某些应用领域的系统使用。</w:t>
            </w:r>
          </w:p>
          <w:p>
            <w:pPr>
              <w:rPr>
                <w:sz w:val="20"/>
                <w:szCs w:val="18"/>
              </w:rPr>
            </w:pPr>
            <w:r>
              <w:rPr>
                <w:sz w:val="20"/>
                <w:szCs w:val="18"/>
                <w:vertAlign w:val="superscript"/>
              </w:rPr>
              <w:t>b</w:t>
            </w:r>
            <w:r>
              <w:rPr>
                <w:sz w:val="20"/>
                <w:szCs w:val="18"/>
              </w:rPr>
              <w:t>不得用于公用配电系统。</w:t>
            </w:r>
          </w:p>
        </w:tc>
      </w:tr>
    </w:tbl>
    <w:p>
      <w:pPr>
        <w:rPr>
          <w:sz w:val="28"/>
        </w:rPr>
      </w:pPr>
      <w:r>
        <w:rPr>
          <w:sz w:val="28"/>
        </w:rPr>
        <w:t>2.0.2  电力负荷应根据对供电可靠性的要求及中断供电在对人身安全、政治</w:t>
      </w:r>
      <w:r>
        <w:rPr>
          <w:rFonts w:hint="eastAsia"/>
          <w:sz w:val="28"/>
        </w:rPr>
        <w:t>、</w:t>
      </w:r>
      <w:r>
        <w:rPr>
          <w:sz w:val="28"/>
        </w:rPr>
        <w:t>经济损失上所造成的影响程度进行分级，并应符合下列规定：</w:t>
      </w:r>
    </w:p>
    <w:p>
      <w:pPr>
        <w:ind w:firstLine="560" w:firstLineChars="200"/>
        <w:rPr>
          <w:sz w:val="28"/>
        </w:rPr>
      </w:pPr>
      <w:r>
        <w:rPr>
          <w:sz w:val="28"/>
        </w:rPr>
        <w:t>1 符合下列情况之一时，应视为一级负荷。</w:t>
      </w:r>
    </w:p>
    <w:p>
      <w:pPr>
        <w:ind w:firstLine="840" w:firstLineChars="300"/>
        <w:rPr>
          <w:sz w:val="28"/>
        </w:rPr>
      </w:pPr>
      <w:r>
        <w:rPr>
          <w:sz w:val="28"/>
        </w:rPr>
        <w:t>1）中断供电将造成人身伤害时。</w:t>
      </w:r>
    </w:p>
    <w:p>
      <w:pPr>
        <w:ind w:firstLine="840" w:firstLineChars="300"/>
        <w:rPr>
          <w:sz w:val="28"/>
        </w:rPr>
      </w:pPr>
      <w:r>
        <w:rPr>
          <w:sz w:val="28"/>
        </w:rPr>
        <w:t>2）中断供电将在经济上造成重大损失时。</w:t>
      </w:r>
    </w:p>
    <w:p>
      <w:pPr>
        <w:ind w:firstLine="840" w:firstLineChars="300"/>
        <w:rPr>
          <w:sz w:val="28"/>
        </w:rPr>
      </w:pPr>
      <w:r>
        <w:rPr>
          <w:sz w:val="28"/>
        </w:rPr>
        <w:t>3）中断供电将影响重要用电单位的正常工作。</w:t>
      </w:r>
    </w:p>
    <w:p>
      <w:pPr>
        <w:ind w:firstLine="560" w:firstLineChars="200"/>
        <w:rPr>
          <w:sz w:val="28"/>
        </w:rPr>
      </w:pPr>
      <w:r>
        <w:rPr>
          <w:sz w:val="28"/>
        </w:rPr>
        <w:t>2在一级负荷中，当中断供电将造成人员伤亡或重大设备损坏或发生中毒、爆炸和火灾等情况的负荷，以及特别重要场所的不允许中断供电的负荷，应视为一级负荷中特别重要的负荷。</w:t>
      </w:r>
    </w:p>
    <w:p>
      <w:pPr>
        <w:ind w:firstLine="560" w:firstLineChars="200"/>
        <w:rPr>
          <w:sz w:val="28"/>
        </w:rPr>
      </w:pPr>
      <w:r>
        <w:rPr>
          <w:sz w:val="28"/>
        </w:rPr>
        <w:t>3 符合下列情况之一时，应视为二级负荷。</w:t>
      </w:r>
    </w:p>
    <w:p>
      <w:pPr>
        <w:ind w:firstLine="840" w:firstLineChars="300"/>
        <w:rPr>
          <w:sz w:val="28"/>
        </w:rPr>
      </w:pPr>
      <w:r>
        <w:rPr>
          <w:sz w:val="28"/>
        </w:rPr>
        <w:t>1）中断供电将在经济上造成较大损失时。</w:t>
      </w:r>
    </w:p>
    <w:p>
      <w:pPr>
        <w:ind w:firstLine="840" w:firstLineChars="300"/>
        <w:rPr>
          <w:sz w:val="28"/>
        </w:rPr>
      </w:pPr>
      <w:r>
        <w:rPr>
          <w:sz w:val="28"/>
        </w:rPr>
        <w:t>2）中断供电将影响较重要用电单位的正常工作。</w:t>
      </w:r>
    </w:p>
    <w:p>
      <w:pPr>
        <w:ind w:firstLine="560" w:firstLineChars="200"/>
        <w:rPr>
          <w:sz w:val="28"/>
        </w:rPr>
      </w:pPr>
      <w:r>
        <w:rPr>
          <w:sz w:val="28"/>
        </w:rPr>
        <w:t>4 不属于一级和二级负荷者应为三级负荷。</w:t>
      </w:r>
    </w:p>
    <w:p>
      <w:pPr>
        <w:rPr>
          <w:sz w:val="28"/>
        </w:rPr>
      </w:pPr>
      <w:r>
        <w:rPr>
          <w:sz w:val="28"/>
        </w:rPr>
        <w:t>2.0.3  全国电力规划应重点提出规划期内大型水电（含抽水蓄能）、核电规模及项目建设安排（含投产与开工），</w:t>
      </w:r>
      <w:r>
        <w:rPr>
          <w:rFonts w:hint="eastAsia"/>
          <w:sz w:val="28"/>
        </w:rPr>
        <w:t>风力发电、太阳能发电等新能源发电建设规模</w:t>
      </w:r>
      <w:r>
        <w:rPr>
          <w:sz w:val="28"/>
        </w:rPr>
        <w:t>，煤电基地开发规模，跨省跨区电网项目建设安排（含投产与开工），省内500kV及以上电网项目建设安排（含投产与开工），以及省内自用煤电、气电规模。</w:t>
      </w:r>
    </w:p>
    <w:p>
      <w:pPr>
        <w:rPr>
          <w:sz w:val="28"/>
        </w:rPr>
      </w:pPr>
      <w:r>
        <w:rPr>
          <w:sz w:val="28"/>
        </w:rPr>
        <w:t>2.0.4  省级电力规划应重点明确所属地区的大中型水电（含抽水蓄能）、煤电、气电、核电等项目建设安排（含投产与开工），进一步明确新能源发电的建设规模和布局，提出110kV（66kV）及以上电网项目建设安排（含投产和开工）和35kV及以下电网建设规模。</w:t>
      </w:r>
    </w:p>
    <w:p>
      <w:pPr>
        <w:rPr>
          <w:sz w:val="28"/>
        </w:rPr>
      </w:pPr>
      <w:r>
        <w:rPr>
          <w:sz w:val="28"/>
        </w:rPr>
        <w:t>2.0.5  正常运行方式（含计划检修方式）下，所有设备均应不过负荷、电压与频率不越限；电力系统任一元件无故障断开，应能保持电力系统的稳定运行，且不致使其他元件超过规定的事故过负荷和电压、频率允许偏差的要求；系统中任一元件发生单一故障时，保护、开关及重合闸正确动作，应能保持系统安全稳定运行。</w:t>
      </w:r>
    </w:p>
    <w:p>
      <w:pPr>
        <w:rPr>
          <w:sz w:val="28"/>
        </w:rPr>
      </w:pPr>
      <w:r>
        <w:rPr>
          <w:sz w:val="28"/>
        </w:rPr>
        <w:t>2.0.6  电力二次系统规划应与电网发展水平相适应，做到适度超前、先进实用、安全可靠、经济高效。</w:t>
      </w:r>
      <w:bookmarkStart w:id="3" w:name="_Toc72480086"/>
      <w:bookmarkStart w:id="4" w:name="_Toc1656964"/>
    </w:p>
    <w:p>
      <w:pPr>
        <w:widowControl/>
        <w:jc w:val="left"/>
        <w:rPr>
          <w:sz w:val="28"/>
        </w:rPr>
      </w:pPr>
      <w:r>
        <w:rPr>
          <w:sz w:val="28"/>
        </w:rPr>
        <w:br w:type="page"/>
      </w:r>
    </w:p>
    <w:p>
      <w:pPr>
        <w:jc w:val="center"/>
        <w:outlineLvl w:val="0"/>
        <w:rPr>
          <w:rFonts w:eastAsiaTheme="majorEastAsia"/>
          <w:b/>
          <w:sz w:val="30"/>
          <w:szCs w:val="30"/>
        </w:rPr>
      </w:pPr>
      <w:r>
        <w:rPr>
          <w:rFonts w:eastAsiaTheme="majorEastAsia"/>
          <w:b/>
          <w:sz w:val="30"/>
          <w:szCs w:val="30"/>
        </w:rPr>
        <w:t>3 电力需求预测</w:t>
      </w:r>
      <w:bookmarkEnd w:id="3"/>
      <w:bookmarkEnd w:id="4"/>
    </w:p>
    <w:p>
      <w:pPr>
        <w:rPr>
          <w:sz w:val="28"/>
        </w:rPr>
      </w:pPr>
      <w:r>
        <w:rPr>
          <w:sz w:val="28"/>
        </w:rPr>
        <w:t>3.0.1  电力需求预测应根据电力需求发展趋势提出需电量和电力负荷的预测水平。</w:t>
      </w:r>
    </w:p>
    <w:p>
      <w:pPr>
        <w:rPr>
          <w:sz w:val="28"/>
        </w:rPr>
      </w:pPr>
      <w:r>
        <w:rPr>
          <w:sz w:val="28"/>
        </w:rPr>
        <w:t>3.0.2  电力需求预测应采用两种及以上方法，提出2~3个电力需求预测水平。</w:t>
      </w:r>
      <w:bookmarkStart w:id="5" w:name="_Toc1656965"/>
      <w:bookmarkStart w:id="6" w:name="_Toc72480087"/>
    </w:p>
    <w:p>
      <w:pPr>
        <w:widowControl/>
        <w:jc w:val="left"/>
        <w:rPr>
          <w:sz w:val="28"/>
        </w:rPr>
      </w:pPr>
      <w:r>
        <w:rPr>
          <w:sz w:val="28"/>
        </w:rPr>
        <w:br w:type="page"/>
      </w:r>
    </w:p>
    <w:p>
      <w:pPr>
        <w:jc w:val="center"/>
        <w:outlineLvl w:val="0"/>
        <w:rPr>
          <w:rFonts w:eastAsiaTheme="majorEastAsia"/>
          <w:b/>
          <w:sz w:val="30"/>
          <w:szCs w:val="30"/>
        </w:rPr>
      </w:pPr>
      <w:r>
        <w:rPr>
          <w:rFonts w:eastAsiaTheme="majorEastAsia"/>
          <w:b/>
          <w:sz w:val="30"/>
          <w:szCs w:val="30"/>
        </w:rPr>
        <w:t>4 电源规划</w:t>
      </w:r>
      <w:bookmarkEnd w:id="5"/>
      <w:bookmarkEnd w:id="6"/>
    </w:p>
    <w:p>
      <w:pPr>
        <w:rPr>
          <w:sz w:val="28"/>
        </w:rPr>
      </w:pPr>
      <w:r>
        <w:rPr>
          <w:sz w:val="28"/>
        </w:rPr>
        <w:t>4.0.1  电源规划应全面考虑所在区域的能源资源、电力发展现状、环境保护、跨区域送受电等条件，研究提出各类电源总量、结构及布局。</w:t>
      </w:r>
    </w:p>
    <w:p>
      <w:pPr>
        <w:rPr>
          <w:sz w:val="28"/>
        </w:rPr>
      </w:pPr>
      <w:r>
        <w:rPr>
          <w:sz w:val="28"/>
        </w:rPr>
        <w:t>4.0.2  电源规划应满足规划期内电力平衡、电量平衡和调峰平衡。</w:t>
      </w:r>
    </w:p>
    <w:p>
      <w:pPr>
        <w:rPr>
          <w:sz w:val="28"/>
        </w:rPr>
      </w:pPr>
      <w:r>
        <w:rPr>
          <w:sz w:val="28"/>
        </w:rPr>
        <w:t>4.0.3  电源规划应在电力电量平衡的基础上，满足能源发展目标，考虑合理的备用容量和各类型电源的出力特性，提出需要的电源总量。</w:t>
      </w:r>
    </w:p>
    <w:p>
      <w:pPr>
        <w:rPr>
          <w:sz w:val="28"/>
        </w:rPr>
      </w:pPr>
      <w:r>
        <w:rPr>
          <w:sz w:val="28"/>
        </w:rPr>
        <w:t>4.0.4  电源规划应加强系统调节能力建设，常规电源（火电、水电、核电等）应具备必需的调节能力，必要时应配置抽水蓄能电站、新型储能电站等灵活调节电源。</w:t>
      </w:r>
    </w:p>
    <w:p>
      <w:pPr>
        <w:rPr>
          <w:sz w:val="28"/>
        </w:rPr>
      </w:pPr>
      <w:r>
        <w:rPr>
          <w:sz w:val="28"/>
        </w:rPr>
        <w:t>4.0.5  电源布局应满足能源流向合理、系统安全可靠、经济合理、保护生态、节约能源和减少污染的要求。</w:t>
      </w:r>
    </w:p>
    <w:p>
      <w:pPr>
        <w:rPr>
          <w:sz w:val="28"/>
        </w:rPr>
      </w:pPr>
      <w:r>
        <w:rPr>
          <w:sz w:val="28"/>
        </w:rPr>
        <w:t>4.0.6  电源规划应进行多方案技术经济比较，提出推荐方案、电源规模、建设时序和投资估算。</w:t>
      </w:r>
      <w:bookmarkStart w:id="7" w:name="_Toc72480088"/>
      <w:bookmarkStart w:id="8" w:name="_Toc1656966"/>
    </w:p>
    <w:p>
      <w:pPr>
        <w:widowControl/>
        <w:jc w:val="left"/>
        <w:rPr>
          <w:sz w:val="28"/>
        </w:rPr>
      </w:pPr>
      <w:r>
        <w:rPr>
          <w:sz w:val="28"/>
        </w:rPr>
        <w:br w:type="page"/>
      </w:r>
    </w:p>
    <w:p>
      <w:pPr>
        <w:jc w:val="center"/>
        <w:outlineLvl w:val="0"/>
        <w:rPr>
          <w:rFonts w:eastAsiaTheme="majorEastAsia"/>
          <w:b/>
          <w:sz w:val="30"/>
          <w:szCs w:val="30"/>
        </w:rPr>
      </w:pPr>
      <w:r>
        <w:rPr>
          <w:rFonts w:eastAsiaTheme="majorEastAsia"/>
          <w:b/>
          <w:sz w:val="30"/>
          <w:szCs w:val="30"/>
        </w:rPr>
        <w:t>5 输电网规划</w:t>
      </w:r>
      <w:bookmarkEnd w:id="7"/>
      <w:bookmarkEnd w:id="8"/>
    </w:p>
    <w:p>
      <w:pPr>
        <w:rPr>
          <w:sz w:val="28"/>
        </w:rPr>
      </w:pPr>
      <w:r>
        <w:rPr>
          <w:sz w:val="28"/>
        </w:rPr>
        <w:t>5.0.1  输电网规划应研究确定规划水平年的目标网架，优化电网主干结构。</w:t>
      </w:r>
    </w:p>
    <w:p>
      <w:pPr>
        <w:rPr>
          <w:sz w:val="28"/>
        </w:rPr>
      </w:pPr>
      <w:r>
        <w:rPr>
          <w:sz w:val="28"/>
        </w:rPr>
        <w:t>5.0.2  输电网规划应研究区外送受电输电方案，与外区联网方案；应提出变电站新增布点和规模布局；对规划期内新增大型电源及电源基地，应研究提出电厂接入系统及电源基地输电通道的初步方案。</w:t>
      </w:r>
    </w:p>
    <w:p>
      <w:pPr>
        <w:rPr>
          <w:sz w:val="28"/>
        </w:rPr>
      </w:pPr>
      <w:r>
        <w:rPr>
          <w:sz w:val="28"/>
        </w:rPr>
        <w:t>5.0.3  输电网规划应进行多方案技术经济比较，提出推荐方案、输变电项目、建设时序和投资估算。</w:t>
      </w:r>
    </w:p>
    <w:p>
      <w:pPr>
        <w:rPr>
          <w:sz w:val="28"/>
        </w:rPr>
      </w:pPr>
      <w:r>
        <w:rPr>
          <w:sz w:val="28"/>
        </w:rPr>
        <w:t>5.0.4  外部电源需经相对独立的送电回路接入受端系统，应防止发生严重故障时引起恶性连锁反应。每一组送电回路的最大输送功率所占受端系统总负荷的比例不应过大，应避免发生严重故障时引起受端系统崩溃。</w:t>
      </w:r>
    </w:p>
    <w:p>
      <w:pPr>
        <w:rPr>
          <w:sz w:val="28"/>
        </w:rPr>
      </w:pPr>
      <w:r>
        <w:rPr>
          <w:sz w:val="28"/>
        </w:rPr>
        <w:t>5.0.5  应按照电网电压等级和供电区域合理分层、分区。分区电网应尽可能简化，以有效限制短路电流。</w:t>
      </w:r>
    </w:p>
    <w:p>
      <w:pPr>
        <w:rPr>
          <w:sz w:val="28"/>
        </w:rPr>
      </w:pPr>
      <w:r>
        <w:rPr>
          <w:sz w:val="28"/>
        </w:rPr>
        <w:t>5.0.6  应避免和消除严重影响电力系统安全稳定的不同电压等级的电磁环网，电源不应装设构成电磁环网的联络变压器。</w:t>
      </w:r>
    </w:p>
    <w:p>
      <w:pPr>
        <w:rPr>
          <w:sz w:val="28"/>
        </w:rPr>
      </w:pPr>
      <w:r>
        <w:rPr>
          <w:sz w:val="28"/>
        </w:rPr>
        <w:t>5.0.7  电网的无功补偿应以分层分区和就地平衡为原则。</w:t>
      </w:r>
    </w:p>
    <w:p>
      <w:pPr>
        <w:rPr>
          <w:sz w:val="28"/>
        </w:rPr>
      </w:pPr>
      <w:r>
        <w:rPr>
          <w:sz w:val="28"/>
        </w:rPr>
        <w:t>5.0.8  330kV及以上母线的最高运行电压不应超过系统标称电压的1.1倍（750kV母线最高运行电压不超过800kV）；最低运行电压不应影响电力系统功角稳定、电压稳定、厂用电的正常使用及下一级电压的调节。</w:t>
      </w:r>
      <w:bookmarkStart w:id="9" w:name="_Toc72480089"/>
      <w:bookmarkStart w:id="10" w:name="_Toc1656967"/>
      <w:bookmarkStart w:id="11" w:name="_Toc451516992"/>
    </w:p>
    <w:p>
      <w:pPr>
        <w:widowControl/>
        <w:jc w:val="left"/>
        <w:rPr>
          <w:sz w:val="28"/>
        </w:rPr>
      </w:pPr>
      <w:r>
        <w:rPr>
          <w:sz w:val="28"/>
        </w:rPr>
        <w:br w:type="page"/>
      </w:r>
    </w:p>
    <w:p>
      <w:pPr>
        <w:jc w:val="center"/>
        <w:outlineLvl w:val="0"/>
        <w:rPr>
          <w:rFonts w:eastAsiaTheme="majorEastAsia"/>
          <w:b/>
          <w:sz w:val="30"/>
          <w:szCs w:val="30"/>
        </w:rPr>
      </w:pPr>
      <w:r>
        <w:rPr>
          <w:rFonts w:eastAsiaTheme="majorEastAsia"/>
          <w:b/>
          <w:sz w:val="30"/>
          <w:szCs w:val="30"/>
        </w:rPr>
        <w:t>6 配电网规划</w:t>
      </w:r>
      <w:bookmarkEnd w:id="9"/>
      <w:bookmarkEnd w:id="10"/>
    </w:p>
    <w:p>
      <w:pPr>
        <w:rPr>
          <w:sz w:val="28"/>
        </w:rPr>
      </w:pPr>
      <w:r>
        <w:rPr>
          <w:sz w:val="28"/>
        </w:rPr>
        <w:t>6.0.1  配电网规划应提出本地区规划期内110kV（66kV）电网项目建设安排（含投产和开工），应提出本地区规划期内35kV及以下电网建设规模。</w:t>
      </w:r>
    </w:p>
    <w:p>
      <w:pPr>
        <w:rPr>
          <w:sz w:val="28"/>
        </w:rPr>
      </w:pPr>
      <w:r>
        <w:rPr>
          <w:sz w:val="28"/>
        </w:rPr>
        <w:t>6.0.2  配电网规划应优化配置电压序列，简化变压层次，避免重复降压。电网的电压等级序列，应根据本地区实际情况和远景发展确定。规划目标电压等级序列以外的电压等级，应限制发展、逐步改造。</w:t>
      </w:r>
    </w:p>
    <w:p>
      <w:pPr>
        <w:rPr>
          <w:sz w:val="28"/>
        </w:rPr>
      </w:pPr>
      <w:r>
        <w:rPr>
          <w:sz w:val="28"/>
        </w:rPr>
        <w:t>6.0.3  对于供电可靠性要求较高的区域，应加强中压主干线路之间的联络，在分区之间构建负荷转移通道。</w:t>
      </w:r>
    </w:p>
    <w:p>
      <w:pPr>
        <w:rPr>
          <w:sz w:val="28"/>
        </w:rPr>
      </w:pPr>
      <w:r>
        <w:rPr>
          <w:sz w:val="28"/>
        </w:rPr>
        <w:t>6.0.4  一级负荷应由双重电源供电，当一电源发生故障时，另一电源不应同时受到损坏。一级负荷中特别重要的负荷供电，应符合下列要求：</w:t>
      </w:r>
    </w:p>
    <w:p>
      <w:pPr>
        <w:ind w:firstLine="560" w:firstLineChars="200"/>
        <w:rPr>
          <w:sz w:val="28"/>
        </w:rPr>
      </w:pPr>
      <w:r>
        <w:rPr>
          <w:sz w:val="28"/>
        </w:rPr>
        <w:t>1 除应由双重电源供电外，尚应增设应急电源，并严禁将其他负荷接入应急供电系统。</w:t>
      </w:r>
    </w:p>
    <w:p>
      <w:pPr>
        <w:ind w:firstLine="560" w:firstLineChars="200"/>
        <w:rPr>
          <w:sz w:val="28"/>
        </w:rPr>
      </w:pPr>
      <w:r>
        <w:rPr>
          <w:sz w:val="28"/>
        </w:rPr>
        <w:t>2 设备的供电电源的切换时间，应满足设备允许中断供电的要求。</w:t>
      </w:r>
    </w:p>
    <w:p>
      <w:pPr>
        <w:rPr>
          <w:sz w:val="28"/>
        </w:rPr>
      </w:pPr>
      <w:r>
        <w:rPr>
          <w:sz w:val="28"/>
        </w:rPr>
        <w:t>6.0.5  备用电源的负荷严禁接入应急供电系统。</w:t>
      </w:r>
    </w:p>
    <w:p>
      <w:pPr>
        <w:rPr>
          <w:sz w:val="28"/>
        </w:rPr>
      </w:pPr>
      <w:r>
        <w:rPr>
          <w:sz w:val="28"/>
        </w:rPr>
        <w:t>6.0.6  重要电力用户供电电源配置原则，应符合下列要求：</w:t>
      </w:r>
    </w:p>
    <w:p>
      <w:pPr>
        <w:ind w:firstLine="560" w:firstLineChars="200"/>
        <w:rPr>
          <w:sz w:val="28"/>
        </w:rPr>
      </w:pPr>
      <w:r>
        <w:rPr>
          <w:sz w:val="28"/>
        </w:rPr>
        <w:t>1 供电系统应当简单可靠，简化电压层级。供电电源应采用多电源、双电源或双回路供电。当任何一路或一路以上电源发生故障时，至少仍有一路电源应能对保安负荷持续供电。</w:t>
      </w:r>
    </w:p>
    <w:p>
      <w:pPr>
        <w:ind w:firstLine="560" w:firstLineChars="200"/>
        <w:rPr>
          <w:sz w:val="28"/>
        </w:rPr>
      </w:pPr>
      <w:r>
        <w:rPr>
          <w:sz w:val="28"/>
        </w:rPr>
        <w:t>2 特别重要电力用户应采用多电源供电；一级重要电力用户至少应采用双电源供电；二级重要电力用户至少应采用双回路供电。</w:t>
      </w:r>
    </w:p>
    <w:p>
      <w:pPr>
        <w:rPr>
          <w:sz w:val="28"/>
        </w:rPr>
      </w:pPr>
      <w:r>
        <w:rPr>
          <w:sz w:val="28"/>
        </w:rPr>
        <w:t>6.0.7  重要电力用户应自行配置自备应急电源，电源容量至少应满足全部保安负荷正常启动和带载运行的要求；同时应具备外部应急电源接入条件。</w:t>
      </w:r>
    </w:p>
    <w:p>
      <w:pPr>
        <w:rPr>
          <w:sz w:val="28"/>
        </w:rPr>
      </w:pPr>
      <w:r>
        <w:rPr>
          <w:sz w:val="28"/>
        </w:rPr>
        <w:t>6.0.8  配电网规划应按照无功就地平衡原则配置无功补偿设备，保证分层分区的无功平衡。高压变电站和中压配电站内电容器应保证高峰负荷时变压器高压侧功率因数达到0.95及以上。用户在电网高峰负荷时的功率因数应满足下列要求：</w:t>
      </w:r>
    </w:p>
    <w:p>
      <w:pPr>
        <w:ind w:firstLine="560" w:firstLineChars="200"/>
        <w:rPr>
          <w:sz w:val="28"/>
        </w:rPr>
      </w:pPr>
      <w:r>
        <w:rPr>
          <w:sz w:val="28"/>
        </w:rPr>
        <w:t>1 100千伏安及以上高压供电的用户功率因数为0.90以上。</w:t>
      </w:r>
    </w:p>
    <w:p>
      <w:pPr>
        <w:ind w:firstLine="560" w:firstLineChars="200"/>
        <w:rPr>
          <w:sz w:val="28"/>
        </w:rPr>
      </w:pPr>
      <w:r>
        <w:rPr>
          <w:sz w:val="28"/>
        </w:rPr>
        <w:t>2 其他电力用户和大、中型电力排灌站、趸购转售电企业，功率因数为0.85以上。</w:t>
      </w:r>
    </w:p>
    <w:p>
      <w:pPr>
        <w:ind w:firstLine="560" w:firstLineChars="200"/>
        <w:rPr>
          <w:sz w:val="28"/>
        </w:rPr>
      </w:pPr>
      <w:r>
        <w:rPr>
          <w:sz w:val="28"/>
        </w:rPr>
        <w:t>3 农业用电，功率因数为0.80以上。</w:t>
      </w:r>
    </w:p>
    <w:p>
      <w:pPr>
        <w:rPr>
          <w:sz w:val="28"/>
        </w:rPr>
      </w:pPr>
      <w:r>
        <w:rPr>
          <w:sz w:val="28"/>
        </w:rPr>
        <w:t>6.0.9  装有两台及以上主变压器的35-110kV变电站，断开一台主变压器时，其余主变压器的容量（包括过负荷能力）应满足全部一、二级负荷用电的要求。</w:t>
      </w:r>
    </w:p>
    <w:p>
      <w:pPr>
        <w:rPr>
          <w:sz w:val="28"/>
        </w:rPr>
      </w:pPr>
      <w:r>
        <w:rPr>
          <w:sz w:val="28"/>
        </w:rPr>
        <w:t>6.0.10  在系统正常运行条件下，配电网供电电压偏差应符合下列要求：</w:t>
      </w:r>
    </w:p>
    <w:p>
      <w:pPr>
        <w:ind w:firstLine="560" w:firstLineChars="200"/>
        <w:rPr>
          <w:sz w:val="28"/>
        </w:rPr>
      </w:pPr>
      <w:r>
        <w:rPr>
          <w:sz w:val="28"/>
        </w:rPr>
        <w:t>1 110kV～35kV供电电压正负偏差的绝对值之和不超过标称电压的10%。</w:t>
      </w:r>
    </w:p>
    <w:p>
      <w:pPr>
        <w:ind w:firstLine="560" w:firstLineChars="200"/>
        <w:rPr>
          <w:sz w:val="28"/>
        </w:rPr>
      </w:pPr>
      <w:r>
        <w:rPr>
          <w:sz w:val="28"/>
        </w:rPr>
        <w:t>2 10（20）kV及以下三相供电电压允许偏差为标称电压的7%。</w:t>
      </w:r>
    </w:p>
    <w:p>
      <w:pPr>
        <w:ind w:firstLine="560" w:firstLineChars="200"/>
        <w:rPr>
          <w:sz w:val="28"/>
        </w:rPr>
      </w:pPr>
      <w:r>
        <w:rPr>
          <w:sz w:val="28"/>
        </w:rPr>
        <w:t>3 220V单相供电电压允许偏差为标称电压的+7%与-10%。</w:t>
      </w:r>
      <w:bookmarkEnd w:id="11"/>
      <w:bookmarkStart w:id="12" w:name="_Toc72480090"/>
      <w:bookmarkStart w:id="13" w:name="_Toc1656968"/>
    </w:p>
    <w:p>
      <w:pPr>
        <w:widowControl/>
        <w:jc w:val="left"/>
        <w:rPr>
          <w:sz w:val="28"/>
        </w:rPr>
      </w:pPr>
      <w:r>
        <w:rPr>
          <w:sz w:val="28"/>
        </w:rPr>
        <w:br w:type="page"/>
      </w:r>
    </w:p>
    <w:p>
      <w:pPr>
        <w:jc w:val="center"/>
        <w:outlineLvl w:val="0"/>
        <w:rPr>
          <w:rFonts w:eastAsiaTheme="majorEastAsia"/>
          <w:b/>
          <w:sz w:val="30"/>
          <w:szCs w:val="30"/>
        </w:rPr>
      </w:pPr>
      <w:r>
        <w:rPr>
          <w:rFonts w:eastAsiaTheme="majorEastAsia"/>
          <w:b/>
          <w:sz w:val="30"/>
          <w:szCs w:val="30"/>
        </w:rPr>
        <w:t>7 电力二次系统规划</w:t>
      </w:r>
      <w:bookmarkEnd w:id="12"/>
      <w:bookmarkEnd w:id="13"/>
    </w:p>
    <w:p>
      <w:pPr>
        <w:rPr>
          <w:sz w:val="28"/>
        </w:rPr>
      </w:pPr>
      <w:r>
        <w:rPr>
          <w:sz w:val="28"/>
        </w:rPr>
        <w:t>7.0.1  电力二次系统应统一规划、统一设计，并与电力一次系统同步规划、同步设计、同步建设、同步投运。</w:t>
      </w:r>
    </w:p>
    <w:p>
      <w:pPr>
        <w:rPr>
          <w:sz w:val="28"/>
        </w:rPr>
      </w:pPr>
      <w:r>
        <w:rPr>
          <w:sz w:val="28"/>
        </w:rPr>
        <w:t>7.0.2  电力监控系统安全防护应坚持“安全分区、网络专用、横向隔离、纵向认证”的基本原则，配备必要的电力监控系统安全防护措施。</w:t>
      </w:r>
    </w:p>
    <w:p>
      <w:pPr>
        <w:rPr>
          <w:sz w:val="28"/>
        </w:rPr>
      </w:pPr>
      <w:r>
        <w:rPr>
          <w:sz w:val="28"/>
        </w:rPr>
        <w:t>7.0.3  电力系统应配备性能完善的继电保护装置，并根据安全稳定计算和校核分析结果配备适当的安全稳定控制措施，建立起保障电力系统安全稳定运行的可靠的三道防线。</w:t>
      </w:r>
    </w:p>
    <w:p>
      <w:pPr>
        <w:rPr>
          <w:sz w:val="28"/>
        </w:rPr>
      </w:pPr>
      <w:r>
        <w:rPr>
          <w:sz w:val="28"/>
        </w:rPr>
        <w:t>7.0.4  电力系统继电保护和安全自动装置的规划设计应符合可靠性、选择性、灵敏性和速动性的要求。</w:t>
      </w:r>
    </w:p>
    <w:p>
      <w:pPr>
        <w:rPr>
          <w:sz w:val="28"/>
        </w:rPr>
      </w:pPr>
      <w:r>
        <w:rPr>
          <w:sz w:val="28"/>
        </w:rPr>
        <w:t>7.0.5  电力系统应装设反映电力设备、线路短路故障和异常运行的保护装置。220kV及以上电压等级的重要输变电设备和线路的保护装置应按双重化原则配置，直流输电系统的保护装置应按双重化或三重化原则配置。</w:t>
      </w:r>
    </w:p>
    <w:p>
      <w:pPr>
        <w:rPr>
          <w:sz w:val="28"/>
        </w:rPr>
      </w:pPr>
      <w:r>
        <w:rPr>
          <w:sz w:val="28"/>
        </w:rPr>
        <w:t>7.0.6  电力调度机构应按照统一调度、分级管理的原则配置调度自动化系统，满足电力系统发展建设和运行控制的要求。省级及以上电力调度机构应配置异地备用调度自动化系统。</w:t>
      </w:r>
    </w:p>
    <w:p>
      <w:pPr>
        <w:rPr>
          <w:sz w:val="28"/>
        </w:rPr>
      </w:pPr>
      <w:r>
        <w:rPr>
          <w:sz w:val="28"/>
        </w:rPr>
        <w:t>7.0.7  调度自动化调度端系统的核心设备和传输通道应冗余配置。</w:t>
      </w:r>
    </w:p>
    <w:p>
      <w:pPr>
        <w:rPr>
          <w:sz w:val="28"/>
        </w:rPr>
      </w:pPr>
      <w:r>
        <w:rPr>
          <w:sz w:val="28"/>
        </w:rPr>
        <w:t>7.0.8  调度自动化系统应采用标准化的接口、统一的模型和高效的数据传输手段。</w:t>
      </w:r>
    </w:p>
    <w:p>
      <w:pPr>
        <w:rPr>
          <w:sz w:val="28"/>
        </w:rPr>
      </w:pPr>
      <w:r>
        <w:rPr>
          <w:sz w:val="28"/>
        </w:rPr>
        <w:t>7.0.9  电力系统应建设电力通信网，覆盖电力系统各生产运行场所，并满足生产调度和生产管理系统对通信的要求。</w:t>
      </w:r>
    </w:p>
    <w:p>
      <w:pPr>
        <w:rPr>
          <w:sz w:val="28"/>
        </w:rPr>
      </w:pPr>
      <w:r>
        <w:rPr>
          <w:sz w:val="28"/>
        </w:rPr>
        <w:t>7.0.10  电力通信网应架构合理、接口规范，支持通用标准与协议，实现电网内部业务系统无缝接入，具备与外部通信网络互联互通、安全管控的能力。</w:t>
      </w:r>
    </w:p>
    <w:p>
      <w:pPr>
        <w:rPr>
          <w:sz w:val="28"/>
        </w:rPr>
      </w:pPr>
      <w:r>
        <w:rPr>
          <w:sz w:val="28"/>
        </w:rPr>
        <w:t>7.0.11  电力调度机构与其调度范围内的下级调度机构、直接调度的220kV及以上电压等级发电厂、变电站之间至少应有两个独立的通信通道。</w:t>
      </w:r>
    </w:p>
    <w:p>
      <w:pPr>
        <w:rPr>
          <w:sz w:val="28"/>
        </w:rPr>
      </w:pPr>
      <w:r>
        <w:rPr>
          <w:sz w:val="28"/>
        </w:rPr>
        <w:t>7.0.12  电力通信网应配备必要的网络监测管理手段。</w:t>
      </w:r>
    </w:p>
    <w:p>
      <w:pPr>
        <w:rPr>
          <w:sz w:val="28"/>
        </w:rPr>
      </w:pPr>
      <w:r>
        <w:rPr>
          <w:sz w:val="28"/>
        </w:rPr>
        <w:t>7.0.13  电力系统应建立应急通信保障体系。</w:t>
      </w:r>
    </w:p>
    <w:p>
      <w:pPr>
        <w:rPr>
          <w:sz w:val="28"/>
        </w:rPr>
      </w:pPr>
      <w:r>
        <w:rPr>
          <w:sz w:val="28"/>
        </w:rPr>
        <w:t>7.0.14  配网通信和配电自动化规划应与配电网规划相适应，并配置相应的配网通信系统和配电自动化系统。</w:t>
      </w:r>
    </w:p>
    <w:p>
      <w:pPr>
        <w:rPr>
          <w:sz w:val="28"/>
        </w:rPr>
      </w:pPr>
      <w:r>
        <w:rPr>
          <w:sz w:val="28"/>
        </w:rPr>
        <w:t>7.0.15  电力系统应建设开放与共享的信息系统，支持“三公”调度和电力市场交易信息的披露与发布。</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alibri Light">
    <w:altName w:val="DejaVu Sans"/>
    <w:panose1 w:val="020F0302020204030204"/>
    <w:charset w:val="00"/>
    <w:family w:val="swiss"/>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Liberation Serif">
    <w:panose1 w:val="02020603050405020304"/>
    <w:charset w:val="00"/>
    <w:family w:val="auto"/>
    <w:pitch w:val="default"/>
    <w:sig w:usb0="A00002AF" w:usb1="500078FB" w:usb2="00000000" w:usb3="00000000" w:csb0="6000009F" w:csb1="DFD7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4</w:t>
    </w:r>
    <w: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pStyle w:val="2"/>
      <w:lvlText w:val="%1"/>
      <w:lvlJc w:val="left"/>
      <w:pPr>
        <w:tabs>
          <w:tab w:val="left" w:pos="432"/>
        </w:tabs>
        <w:ind w:left="432" w:hanging="432"/>
      </w:pPr>
      <w:rPr>
        <w:rFonts w:hint="default" w:ascii="Times New Roman" w:hAnsi="Times New Roman" w:cs="Times New Roman"/>
        <w:b/>
      </w:rPr>
    </w:lvl>
    <w:lvl w:ilvl="1" w:tentative="0">
      <w:start w:val="1"/>
      <w:numFmt w:val="decimal"/>
      <w:pStyle w:val="3"/>
      <w:lvlText w:val="%1.%2"/>
      <w:lvlJc w:val="left"/>
      <w:pPr>
        <w:tabs>
          <w:tab w:val="left" w:pos="576"/>
        </w:tabs>
        <w:ind w:left="576" w:hanging="576"/>
      </w:pPr>
      <w:rPr>
        <w:rFonts w:hint="default" w:ascii="Times New Roman" w:hAnsi="Times New Roman" w:eastAsia="黑体" w:cs="Times New Roman"/>
        <w:b/>
        <w:bCs w:val="0"/>
        <w:i w:val="0"/>
        <w:iCs w:val="0"/>
        <w:caps w:val="0"/>
        <w:smallCaps w:val="0"/>
        <w:strike w:val="0"/>
        <w:dstrike w:val="0"/>
        <w:outline w:val="0"/>
        <w:shadow w:val="0"/>
        <w:emboss w:val="0"/>
        <w:imprint w:val="0"/>
        <w:color w:val="000000"/>
        <w:spacing w:val="0"/>
        <w:w w:val="100"/>
        <w:kern w:val="0"/>
        <w:position w:val="0"/>
        <w:sz w:val="24"/>
        <w:szCs w:val="24"/>
        <w:u w:val="none"/>
        <w:shd w:val="clear" w:color="auto" w:fill="auto"/>
        <w:lang w:val="en-US"/>
      </w:rPr>
    </w:lvl>
    <w:lvl w:ilvl="2" w:tentative="0">
      <w:start w:val="1"/>
      <w:numFmt w:val="decimal"/>
      <w:pStyle w:val="4"/>
      <w:lvlText w:val="%1.%2.%3"/>
      <w:lvlJc w:val="left"/>
      <w:pPr>
        <w:tabs>
          <w:tab w:val="left" w:pos="720"/>
        </w:tabs>
        <w:ind w:left="720" w:hanging="720"/>
      </w:pPr>
      <w:rPr>
        <w:rFonts w:hint="eastAsia" w:ascii="黑体" w:eastAsia="黑体"/>
        <w:b w:val="0"/>
        <w:sz w:val="24"/>
        <w:szCs w:val="24"/>
      </w:rPr>
    </w:lvl>
    <w:lvl w:ilvl="3" w:tentative="0">
      <w:start w:val="1"/>
      <w:numFmt w:val="decimal"/>
      <w:pStyle w:val="5"/>
      <w:lvlText w:val="%1.%2.%3.%4"/>
      <w:lvlJc w:val="left"/>
      <w:pPr>
        <w:tabs>
          <w:tab w:val="left" w:pos="2844"/>
        </w:tabs>
        <w:ind w:left="2844" w:hanging="864"/>
      </w:pPr>
      <w:rPr>
        <w:rFonts w:hint="eastAsia" w:ascii="黑体" w:hAnsi="Times New Roman" w:eastAsia="黑体"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6"/>
      <w:lvlText w:val="%1.%2.%3.%4.%5"/>
      <w:lvlJc w:val="left"/>
      <w:pPr>
        <w:tabs>
          <w:tab w:val="left" w:pos="1008"/>
        </w:tabs>
        <w:ind w:left="1008" w:hanging="1008"/>
      </w:pPr>
      <w:rPr>
        <w:rFonts w:hint="eastAsia" w:ascii="黑体" w:hAnsi="宋体" w:eastAsia="黑体"/>
        <w:b w:val="0"/>
        <w:i w:val="0"/>
        <w:sz w:val="24"/>
        <w:szCs w:val="24"/>
      </w:rPr>
    </w:lvl>
    <w:lvl w:ilvl="5" w:tentative="0">
      <w:start w:val="1"/>
      <w:numFmt w:val="decimal"/>
      <w:pStyle w:val="7"/>
      <w:lvlText w:val="%1.%2.%3.%4.%5.%6"/>
      <w:lvlJc w:val="left"/>
      <w:pPr>
        <w:tabs>
          <w:tab w:val="left" w:pos="1152"/>
        </w:tabs>
        <w:ind w:left="1152" w:hanging="1152"/>
      </w:pPr>
      <w:rPr>
        <w:rFonts w:hint="eastAsia"/>
        <w:b w:val="0"/>
        <w:sz w:val="24"/>
        <w:szCs w:val="24"/>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DF"/>
    <w:rsid w:val="001A0F21"/>
    <w:rsid w:val="003C11DC"/>
    <w:rsid w:val="0040499C"/>
    <w:rsid w:val="00586996"/>
    <w:rsid w:val="005B1E23"/>
    <w:rsid w:val="005D1719"/>
    <w:rsid w:val="00751DCB"/>
    <w:rsid w:val="007D6302"/>
    <w:rsid w:val="007F3DCC"/>
    <w:rsid w:val="008041ED"/>
    <w:rsid w:val="008A2C0F"/>
    <w:rsid w:val="009474CE"/>
    <w:rsid w:val="00952CF3"/>
    <w:rsid w:val="009C7C2B"/>
    <w:rsid w:val="00C661C4"/>
    <w:rsid w:val="00C76DDF"/>
    <w:rsid w:val="00CE511E"/>
    <w:rsid w:val="00D079C4"/>
    <w:rsid w:val="00D22B09"/>
    <w:rsid w:val="00D46B38"/>
    <w:rsid w:val="00D64F46"/>
    <w:rsid w:val="00DD3A87"/>
    <w:rsid w:val="00E827CF"/>
    <w:rsid w:val="00F13F51"/>
    <w:rsid w:val="00F44800"/>
    <w:rsid w:val="00FA7EF9"/>
    <w:rsid w:val="77E3C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numPr>
        <w:ilvl w:val="0"/>
        <w:numId w:val="1"/>
      </w:numPr>
      <w:adjustRightInd w:val="0"/>
      <w:spacing w:before="120" w:line="360" w:lineRule="auto"/>
      <w:textAlignment w:val="baseline"/>
      <w:outlineLvl w:val="0"/>
    </w:pPr>
    <w:rPr>
      <w:rFonts w:ascii="黑体" w:eastAsia="黑体"/>
      <w:kern w:val="44"/>
      <w:sz w:val="24"/>
      <w:szCs w:val="20"/>
      <w:lang w:val="zh-CN" w:eastAsia="zh-CN"/>
    </w:rPr>
  </w:style>
  <w:style w:type="paragraph" w:styleId="3">
    <w:name w:val="heading 2"/>
    <w:basedOn w:val="1"/>
    <w:next w:val="1"/>
    <w:link w:val="32"/>
    <w:qFormat/>
    <w:uiPriority w:val="0"/>
    <w:pPr>
      <w:keepNext/>
      <w:keepLines/>
      <w:numPr>
        <w:ilvl w:val="1"/>
        <w:numId w:val="1"/>
      </w:numPr>
      <w:adjustRightInd w:val="0"/>
      <w:spacing w:before="120" w:line="360" w:lineRule="auto"/>
      <w:jc w:val="left"/>
      <w:textAlignment w:val="baseline"/>
      <w:outlineLvl w:val="1"/>
    </w:pPr>
    <w:rPr>
      <w:kern w:val="0"/>
      <w:szCs w:val="20"/>
      <w:lang w:val="zh-CN" w:eastAsia="zh-CN"/>
    </w:rPr>
  </w:style>
  <w:style w:type="paragraph" w:styleId="4">
    <w:name w:val="heading 3"/>
    <w:basedOn w:val="1"/>
    <w:next w:val="1"/>
    <w:link w:val="33"/>
    <w:qFormat/>
    <w:uiPriority w:val="0"/>
    <w:pPr>
      <w:keepLines/>
      <w:numPr>
        <w:ilvl w:val="2"/>
        <w:numId w:val="1"/>
      </w:numPr>
      <w:adjustRightInd w:val="0"/>
      <w:spacing w:before="120" w:line="360" w:lineRule="auto"/>
      <w:jc w:val="left"/>
      <w:textAlignment w:val="baseline"/>
      <w:outlineLvl w:val="2"/>
    </w:pPr>
    <w:rPr>
      <w:kern w:val="0"/>
      <w:szCs w:val="20"/>
    </w:rPr>
  </w:style>
  <w:style w:type="paragraph" w:styleId="5">
    <w:name w:val="heading 4"/>
    <w:basedOn w:val="1"/>
    <w:next w:val="1"/>
    <w:link w:val="34"/>
    <w:qFormat/>
    <w:uiPriority w:val="0"/>
    <w:pPr>
      <w:keepLines/>
      <w:numPr>
        <w:ilvl w:val="3"/>
        <w:numId w:val="1"/>
      </w:numPr>
      <w:adjustRightInd w:val="0"/>
      <w:spacing w:before="120" w:line="360" w:lineRule="auto"/>
      <w:jc w:val="left"/>
      <w:textAlignment w:val="baseline"/>
      <w:outlineLvl w:val="3"/>
    </w:pPr>
    <w:rPr>
      <w:kern w:val="0"/>
      <w:szCs w:val="20"/>
    </w:rPr>
  </w:style>
  <w:style w:type="paragraph" w:styleId="6">
    <w:name w:val="heading 5"/>
    <w:basedOn w:val="1"/>
    <w:next w:val="1"/>
    <w:link w:val="35"/>
    <w:qFormat/>
    <w:uiPriority w:val="0"/>
    <w:pPr>
      <w:keepNext/>
      <w:keepLines/>
      <w:numPr>
        <w:ilvl w:val="4"/>
        <w:numId w:val="1"/>
      </w:numPr>
      <w:adjustRightInd w:val="0"/>
      <w:spacing w:before="120" w:line="376" w:lineRule="atLeast"/>
      <w:jc w:val="left"/>
      <w:textAlignment w:val="baseline"/>
      <w:outlineLvl w:val="4"/>
    </w:pPr>
    <w:rPr>
      <w:kern w:val="0"/>
      <w:sz w:val="24"/>
      <w:szCs w:val="20"/>
    </w:rPr>
  </w:style>
  <w:style w:type="paragraph" w:styleId="7">
    <w:name w:val="heading 6"/>
    <w:basedOn w:val="1"/>
    <w:next w:val="1"/>
    <w:link w:val="36"/>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kern w:val="0"/>
      <w:sz w:val="24"/>
      <w:szCs w:val="20"/>
    </w:rPr>
  </w:style>
  <w:style w:type="paragraph" w:styleId="8">
    <w:name w:val="heading 7"/>
    <w:basedOn w:val="1"/>
    <w:next w:val="1"/>
    <w:link w:val="37"/>
    <w:qFormat/>
    <w:uiPriority w:val="0"/>
    <w:pPr>
      <w:keepNext/>
      <w:keepLines/>
      <w:numPr>
        <w:ilvl w:val="6"/>
        <w:numId w:val="1"/>
      </w:numPr>
      <w:adjustRightInd w:val="0"/>
      <w:spacing w:before="240" w:after="64" w:line="320" w:lineRule="atLeast"/>
      <w:jc w:val="left"/>
      <w:textAlignment w:val="baseline"/>
      <w:outlineLvl w:val="6"/>
    </w:pPr>
    <w:rPr>
      <w:b/>
      <w:kern w:val="0"/>
      <w:sz w:val="24"/>
      <w:szCs w:val="20"/>
    </w:rPr>
  </w:style>
  <w:style w:type="paragraph" w:styleId="9">
    <w:name w:val="heading 8"/>
    <w:basedOn w:val="1"/>
    <w:next w:val="1"/>
    <w:link w:val="38"/>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szCs w:val="20"/>
    </w:rPr>
  </w:style>
  <w:style w:type="paragraph" w:styleId="10">
    <w:name w:val="heading 9"/>
    <w:basedOn w:val="1"/>
    <w:next w:val="1"/>
    <w:link w:val="39"/>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26"/>
    <w:qFormat/>
    <w:uiPriority w:val="0"/>
    <w:pPr>
      <w:jc w:val="left"/>
    </w:pPr>
    <w:rPr>
      <w:rFonts w:asciiTheme="minorHAnsi" w:hAnsiTheme="minorHAnsi" w:eastAsiaTheme="minorEastAsia" w:cstheme="minorBidi"/>
    </w:rPr>
  </w:style>
  <w:style w:type="paragraph" w:styleId="12">
    <w:name w:val="Body Text"/>
    <w:basedOn w:val="1"/>
    <w:link w:val="25"/>
    <w:qFormat/>
    <w:uiPriority w:val="0"/>
    <w:pPr>
      <w:spacing w:after="120"/>
    </w:pPr>
  </w:style>
  <w:style w:type="paragraph" w:styleId="13">
    <w:name w:val="Balloon Text"/>
    <w:basedOn w:val="1"/>
    <w:link w:val="29"/>
    <w:semiHidden/>
    <w:unhideWhenUsed/>
    <w:qFormat/>
    <w:uiPriority w:val="99"/>
    <w:rPr>
      <w:sz w:val="18"/>
      <w:szCs w:val="18"/>
    </w:rPr>
  </w:style>
  <w:style w:type="paragraph" w:styleId="14">
    <w:name w:val="footer"/>
    <w:basedOn w:val="1"/>
    <w:link w:val="24"/>
    <w:unhideWhenUsed/>
    <w:qFormat/>
    <w:uiPriority w:val="99"/>
    <w:pPr>
      <w:tabs>
        <w:tab w:val="center" w:pos="4153"/>
        <w:tab w:val="right" w:pos="8306"/>
      </w:tabs>
      <w:snapToGrid w:val="0"/>
      <w:jc w:val="left"/>
    </w:pPr>
    <w:rPr>
      <w:sz w:val="18"/>
      <w:szCs w:val="18"/>
    </w:rPr>
  </w:style>
  <w:style w:type="paragraph" w:styleId="15">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sz w:val="21"/>
      <w:szCs w:val="21"/>
    </w:rPr>
  </w:style>
  <w:style w:type="paragraph" w:customStyle="1" w:styleId="22">
    <w:name w:val="章"/>
    <w:basedOn w:val="1"/>
    <w:qFormat/>
    <w:uiPriority w:val="0"/>
    <w:pPr>
      <w:spacing w:beforeLines="100" w:afterLines="100" w:line="300" w:lineRule="auto"/>
      <w:jc w:val="center"/>
      <w:outlineLvl w:val="0"/>
    </w:pPr>
    <w:rPr>
      <w:b/>
      <w:bCs/>
      <w:sz w:val="28"/>
      <w:szCs w:val="28"/>
    </w:rPr>
  </w:style>
  <w:style w:type="character" w:customStyle="1" w:styleId="23">
    <w:name w:val="页眉 Char"/>
    <w:basedOn w:val="19"/>
    <w:link w:val="15"/>
    <w:qFormat/>
    <w:uiPriority w:val="99"/>
    <w:rPr>
      <w:rFonts w:ascii="Times New Roman" w:hAnsi="Times New Roman" w:eastAsia="宋体" w:cs="Times New Roman"/>
      <w:sz w:val="18"/>
      <w:szCs w:val="18"/>
    </w:rPr>
  </w:style>
  <w:style w:type="character" w:customStyle="1" w:styleId="24">
    <w:name w:val="页脚 Char"/>
    <w:basedOn w:val="19"/>
    <w:link w:val="14"/>
    <w:qFormat/>
    <w:uiPriority w:val="99"/>
    <w:rPr>
      <w:rFonts w:ascii="Times New Roman" w:hAnsi="Times New Roman" w:eastAsia="宋体" w:cs="Times New Roman"/>
      <w:sz w:val="18"/>
      <w:szCs w:val="18"/>
    </w:rPr>
  </w:style>
  <w:style w:type="character" w:customStyle="1" w:styleId="25">
    <w:name w:val="正文文本 Char"/>
    <w:basedOn w:val="19"/>
    <w:link w:val="12"/>
    <w:qFormat/>
    <w:uiPriority w:val="0"/>
    <w:rPr>
      <w:rFonts w:ascii="Times New Roman" w:hAnsi="Times New Roman" w:eastAsia="宋体" w:cs="Times New Roman"/>
      <w:szCs w:val="24"/>
    </w:rPr>
  </w:style>
  <w:style w:type="character" w:customStyle="1" w:styleId="26">
    <w:name w:val="批注文字 Char"/>
    <w:link w:val="11"/>
    <w:qFormat/>
    <w:uiPriority w:val="0"/>
    <w:rPr>
      <w:szCs w:val="24"/>
    </w:rPr>
  </w:style>
  <w:style w:type="character" w:customStyle="1" w:styleId="27">
    <w:name w:val="批注文字 Char1"/>
    <w:basedOn w:val="19"/>
    <w:semiHidden/>
    <w:qFormat/>
    <w:uiPriority w:val="99"/>
    <w:rPr>
      <w:rFonts w:ascii="Times New Roman" w:hAnsi="Times New Roman" w:eastAsia="宋体" w:cs="Times New Roman"/>
      <w:szCs w:val="24"/>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9">
    <w:name w:val="批注框文本 Char"/>
    <w:basedOn w:val="19"/>
    <w:link w:val="13"/>
    <w:semiHidden/>
    <w:qFormat/>
    <w:uiPriority w:val="99"/>
    <w:rPr>
      <w:rFonts w:ascii="Times New Roman" w:hAnsi="Times New Roman" w:eastAsia="宋体" w:cs="Times New Roman"/>
      <w:sz w:val="18"/>
      <w:szCs w:val="18"/>
    </w:rPr>
  </w:style>
  <w:style w:type="paragraph" w:styleId="30">
    <w:name w:val="List Paragraph"/>
    <w:basedOn w:val="1"/>
    <w:qFormat/>
    <w:uiPriority w:val="34"/>
    <w:pPr>
      <w:ind w:firstLine="420" w:firstLineChars="200"/>
    </w:pPr>
  </w:style>
  <w:style w:type="character" w:customStyle="1" w:styleId="31">
    <w:name w:val="标题 1 Char"/>
    <w:basedOn w:val="19"/>
    <w:link w:val="2"/>
    <w:qFormat/>
    <w:uiPriority w:val="0"/>
    <w:rPr>
      <w:rFonts w:ascii="黑体" w:hAnsi="Times New Roman" w:eastAsia="黑体" w:cs="Times New Roman"/>
      <w:kern w:val="44"/>
      <w:sz w:val="24"/>
      <w:szCs w:val="20"/>
      <w:lang w:val="zh-CN" w:eastAsia="zh-CN"/>
    </w:rPr>
  </w:style>
  <w:style w:type="character" w:customStyle="1" w:styleId="32">
    <w:name w:val="标题 2 Char"/>
    <w:basedOn w:val="19"/>
    <w:link w:val="3"/>
    <w:qFormat/>
    <w:uiPriority w:val="0"/>
    <w:rPr>
      <w:rFonts w:ascii="Times New Roman" w:hAnsi="Times New Roman" w:eastAsia="宋体" w:cs="Times New Roman"/>
      <w:kern w:val="0"/>
      <w:szCs w:val="20"/>
      <w:lang w:val="zh-CN" w:eastAsia="zh-CN"/>
    </w:rPr>
  </w:style>
  <w:style w:type="character" w:customStyle="1" w:styleId="33">
    <w:name w:val="标题 3 Char"/>
    <w:basedOn w:val="19"/>
    <w:link w:val="4"/>
    <w:qFormat/>
    <w:uiPriority w:val="0"/>
    <w:rPr>
      <w:rFonts w:ascii="Times New Roman" w:hAnsi="Times New Roman" w:eastAsia="宋体" w:cs="Times New Roman"/>
      <w:kern w:val="0"/>
      <w:szCs w:val="20"/>
    </w:rPr>
  </w:style>
  <w:style w:type="character" w:customStyle="1" w:styleId="34">
    <w:name w:val="标题 4 Char"/>
    <w:basedOn w:val="19"/>
    <w:link w:val="5"/>
    <w:qFormat/>
    <w:uiPriority w:val="0"/>
    <w:rPr>
      <w:rFonts w:ascii="Times New Roman" w:hAnsi="Times New Roman" w:eastAsia="宋体" w:cs="Times New Roman"/>
      <w:kern w:val="0"/>
      <w:szCs w:val="20"/>
    </w:rPr>
  </w:style>
  <w:style w:type="character" w:customStyle="1" w:styleId="35">
    <w:name w:val="标题 5 Char"/>
    <w:basedOn w:val="19"/>
    <w:link w:val="6"/>
    <w:qFormat/>
    <w:uiPriority w:val="0"/>
    <w:rPr>
      <w:rFonts w:ascii="Times New Roman" w:hAnsi="Times New Roman" w:eastAsia="宋体" w:cs="Times New Roman"/>
      <w:kern w:val="0"/>
      <w:sz w:val="24"/>
      <w:szCs w:val="20"/>
    </w:rPr>
  </w:style>
  <w:style w:type="character" w:customStyle="1" w:styleId="36">
    <w:name w:val="标题 6 Char"/>
    <w:basedOn w:val="19"/>
    <w:link w:val="7"/>
    <w:qFormat/>
    <w:uiPriority w:val="0"/>
    <w:rPr>
      <w:rFonts w:ascii="Arial" w:hAnsi="Arial" w:eastAsia="黑体" w:cs="Times New Roman"/>
      <w:b/>
      <w:kern w:val="0"/>
      <w:sz w:val="24"/>
      <w:szCs w:val="20"/>
    </w:rPr>
  </w:style>
  <w:style w:type="character" w:customStyle="1" w:styleId="37">
    <w:name w:val="标题 7 Char"/>
    <w:basedOn w:val="19"/>
    <w:link w:val="8"/>
    <w:qFormat/>
    <w:uiPriority w:val="0"/>
    <w:rPr>
      <w:rFonts w:ascii="Times New Roman" w:hAnsi="Times New Roman" w:eastAsia="宋体" w:cs="Times New Roman"/>
      <w:b/>
      <w:kern w:val="0"/>
      <w:sz w:val="24"/>
      <w:szCs w:val="20"/>
    </w:rPr>
  </w:style>
  <w:style w:type="character" w:customStyle="1" w:styleId="38">
    <w:name w:val="标题 8 Char"/>
    <w:basedOn w:val="19"/>
    <w:link w:val="9"/>
    <w:qFormat/>
    <w:uiPriority w:val="0"/>
    <w:rPr>
      <w:rFonts w:ascii="Arial" w:hAnsi="Arial" w:eastAsia="黑体" w:cs="Times New Roman"/>
      <w:kern w:val="0"/>
      <w:sz w:val="24"/>
      <w:szCs w:val="20"/>
    </w:rPr>
  </w:style>
  <w:style w:type="character" w:customStyle="1" w:styleId="39">
    <w:name w:val="标题 9 Char"/>
    <w:basedOn w:val="19"/>
    <w:link w:val="10"/>
    <w:qFormat/>
    <w:uiPriority w:val="0"/>
    <w:rPr>
      <w:rFonts w:ascii="Arial" w:hAnsi="Arial" w:eastAsia="黑体" w:cs="Times New Roman"/>
      <w:kern w:val="0"/>
      <w:sz w:val="24"/>
      <w:szCs w:val="20"/>
    </w:rPr>
  </w:style>
  <w:style w:type="paragraph" w:customStyle="1" w:styleId="40">
    <w:name w:val="标题1"/>
    <w:basedOn w:val="2"/>
    <w:next w:val="2"/>
    <w:qFormat/>
    <w:uiPriority w:val="0"/>
    <w:pPr>
      <w:spacing w:before="156" w:beforeLines="50" w:after="156" w:afterLines="50"/>
      <w:jc w:val="center"/>
    </w:pPr>
    <w:rPr>
      <w:rFonts w:ascii="宋体" w:eastAsia="宋体"/>
      <w:b/>
      <w:sz w:val="28"/>
      <w:szCs w:val="28"/>
    </w:rPr>
  </w:style>
  <w:style w:type="paragraph" w:customStyle="1" w:styleId="41">
    <w:name w:val="TOC Heading"/>
    <w:basedOn w:val="2"/>
    <w:next w:val="1"/>
    <w:unhideWhenUsed/>
    <w:qFormat/>
    <w:uiPriority w:val="39"/>
    <w:pPr>
      <w:widowControl/>
      <w:numPr>
        <w:numId w:val="0"/>
      </w:numPr>
      <w:adjustRightInd/>
      <w:spacing w:before="240" w:line="259" w:lineRule="auto"/>
      <w:jc w:val="left"/>
      <w:textAlignment w:val="auto"/>
      <w:outlineLvl w:val="9"/>
    </w:pPr>
    <w:rPr>
      <w:rFonts w:asciiTheme="majorHAnsi" w:hAnsiTheme="majorHAnsi" w:eastAsiaTheme="majorEastAsia" w:cstheme="majorBidi"/>
      <w:color w:val="2E75B6" w:themeColor="accent1" w:themeShade="BF"/>
      <w:kern w:val="0"/>
      <w:sz w:val="32"/>
      <w:szCs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1108</Words>
  <Characters>6318</Characters>
  <Lines>52</Lines>
  <Paragraphs>14</Paragraphs>
  <TotalTime>2</TotalTime>
  <ScaleCrop>false</ScaleCrop>
  <LinksUpToDate>false</LinksUpToDate>
  <CharactersWithSpaces>7412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2021-05-21T08:56:00Z</dcterms:created>
  <dc:creator>Lidw</dc:creator>
  <cp:lastModifiedBy>luoxy</cp:lastModifiedBy>
  <dcterms:modified xsi:type="dcterms:W3CDTF">2023-03-28T09:04:05Z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