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1"/>
        <w:framePr w:w="0" w:hRule="auto" w:wrap="auto" w:vAnchor="margin" w:hAnchor="text" w:xAlign="left" w:yAlign="inline"/>
        <w:shd w:val="clear" w:color="auto" w:fill="auto"/>
        <w:jc w:val="both"/>
        <w:rPr>
          <w:rFonts w:eastAsia="楷体_GB2312"/>
          <w:sz w:val="28"/>
          <w:szCs w:val="28"/>
        </w:rPr>
      </w:pPr>
      <w:bookmarkStart w:id="0" w:name="_Toc357603976"/>
      <w:bookmarkStart w:id="1" w:name="_Toc229380543"/>
      <w:bookmarkStart w:id="2" w:name="_Toc357606117"/>
      <w:bookmarkStart w:id="3" w:name="_Toc466638196"/>
      <w:r>
        <w:rPr>
          <w:rFonts w:eastAsia="楷体_GB2312"/>
          <w:sz w:val="28"/>
          <w:szCs w:val="28"/>
        </w:rPr>
        <w:t>UDC</w:t>
      </w:r>
    </w:p>
    <w:p>
      <w:pPr>
        <w:pStyle w:val="271"/>
        <w:framePr w:w="0" w:hRule="auto" w:wrap="auto" w:vAnchor="margin" w:hAnchor="text" w:xAlign="left" w:yAlign="inline"/>
        <w:shd w:val="clear" w:color="auto" w:fill="auto"/>
        <w:rPr>
          <w:rFonts w:eastAsia="Batang"/>
          <w:outline/>
          <w:color w:val="FFFFFF"/>
          <w14:textOutline w14:w="9525" w14:cap="flat" w14:cmpd="sng" w14:algn="ctr">
            <w14:solidFill>
              <w14:srgbClr w14:val="FFFFFF"/>
            </w14:solidFill>
            <w14:prstDash w14:val="solid"/>
            <w14:round/>
          </w14:textOutline>
          <w14:textFill>
            <w14:noFill/>
          </w14:textFill>
        </w:rPr>
      </w:pPr>
      <w:r>
        <w:rPr>
          <w:rFonts w:eastAsia="黑体"/>
          <w:b w:val="0"/>
          <w:spacing w:val="20"/>
          <w:w w:val="100"/>
          <w:sz w:val="36"/>
          <w:szCs w:val="36"/>
        </w:rPr>
        <w:t>中华人民共和国国家标准</w:t>
      </w:r>
      <w:r>
        <w:rPr>
          <w:rFonts w:eastAsia="黑体"/>
          <w:b w:val="0"/>
          <w:w w:val="100"/>
          <w:sz w:val="36"/>
          <w:szCs w:val="36"/>
        </w:rPr>
        <w:tab/>
      </w:r>
      <w:r>
        <w:rPr>
          <w:rFonts w:eastAsia="黑体"/>
          <w:b w:val="0"/>
          <w:w w:val="100"/>
          <w:sz w:val="36"/>
          <w:szCs w:val="36"/>
        </w:rPr>
        <w:tab/>
      </w:r>
      <w:r>
        <w:rPr>
          <w:rFonts w:eastAsia="Batang"/>
          <w:szCs w:val="96"/>
        </w:rPr>
        <w:t>GB</w:t>
      </w:r>
    </w:p>
    <w:p>
      <w:pPr>
        <w:pStyle w:val="272"/>
        <w:jc w:val="center"/>
        <w:rPr>
          <w:b/>
        </w:rPr>
      </w:pPr>
      <w:r>
        <w:rPr>
          <w:b/>
        </w:rPr>
        <w:t>P                                            GB 550XX—202X</w:t>
      </w:r>
    </w:p>
    <w:p>
      <w:pPr>
        <w:spacing w:line="480" w:lineRule="auto"/>
        <w:jc w:val="center"/>
        <w:rPr>
          <w:rFonts w:ascii="Times New Roman" w:hAnsi="Times New Roman"/>
          <w:b/>
          <w:sz w:val="52"/>
        </w:rPr>
      </w:pPr>
      <w:r>
        <w:rPr>
          <w:rFonts w:ascii="Times New Roman" w:hAnsi="Times New Roman"/>
        </w:rPr>
        <mc:AlternateContent>
          <mc:Choice Requires="wps">
            <w:drawing>
              <wp:anchor distT="0" distB="0" distL="114300" distR="114300" simplePos="0" relativeHeight="251663360" behindDoc="0" locked="0" layoutInCell="1" allowOverlap="1">
                <wp:simplePos x="0" y="0"/>
                <wp:positionH relativeFrom="column">
                  <wp:posOffset>27940</wp:posOffset>
                </wp:positionH>
                <wp:positionV relativeFrom="paragraph">
                  <wp:posOffset>217170</wp:posOffset>
                </wp:positionV>
                <wp:extent cx="5724525" cy="6985"/>
                <wp:effectExtent l="0" t="0" r="9525" b="31115"/>
                <wp:wrapNone/>
                <wp:docPr id="1" name="Line 4"/>
                <wp:cNvGraphicFramePr/>
                <a:graphic xmlns:a="http://schemas.openxmlformats.org/drawingml/2006/main">
                  <a:graphicData uri="http://schemas.microsoft.com/office/word/2010/wordprocessingShape">
                    <wps:wsp>
                      <wps:cNvCnPr>
                        <a:cxnSpLocks noChangeShapeType="true"/>
                      </wps:cNvCnPr>
                      <wps:spPr bwMode="auto">
                        <a:xfrm flipV="true">
                          <a:off x="0" y="0"/>
                          <a:ext cx="5724525" cy="6986"/>
                        </a:xfrm>
                        <a:prstGeom prst="line">
                          <a:avLst/>
                        </a:prstGeom>
                        <a:noFill/>
                        <a:ln w="9525">
                          <a:solidFill>
                            <a:srgbClr val="000000"/>
                          </a:solidFill>
                          <a:round/>
                        </a:ln>
                      </wps:spPr>
                      <wps:bodyPr/>
                    </wps:wsp>
                  </a:graphicData>
                </a:graphic>
              </wp:anchor>
            </w:drawing>
          </mc:Choice>
          <mc:Fallback>
            <w:pict>
              <v:line id="Line 4" o:spid="_x0000_s1026" o:spt="20" style="position:absolute;left:0pt;flip:y;margin-left:2.2pt;margin-top:17.1pt;height:0.55pt;width:450.75pt;z-index:251663360;mso-width-relative:page;mso-height-relative:page;" filled="f" stroked="t" coordsize="21600,21600" o:gfxdata="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NVtvCdUAAAAHAQAADwAAAAAAAAABACAAAAA4AAAAZHJz&#10;L2Rvd25yZXYueG1sUEsBAhQAFAAAAAgAh07iQN/8f9a4AQAAZAMAAA4AAAAAAAAAAQAgAAAAOgEA&#10;AGRycy9lMm9Eb2MueG1sUEsFBgAAAAAGAAYAWQEAAGQFAAAAAA==&#10;">
                <v:fill on="f" focussize="0,0"/>
                <v:stroke color="#000000" joinstyle="round"/>
                <v:imagedata o:title=""/>
                <o:lock v:ext="edit" aspectratio="f"/>
              </v:line>
            </w:pict>
          </mc:Fallback>
        </mc:AlternateContent>
      </w:r>
    </w:p>
    <w:p>
      <w:pPr>
        <w:spacing w:line="360" w:lineRule="auto"/>
        <w:jc w:val="center"/>
        <w:rPr>
          <w:rFonts w:ascii="Times New Roman" w:hAnsi="Times New Roman"/>
          <w:b/>
          <w:sz w:val="52"/>
          <w:szCs w:val="20"/>
        </w:rPr>
      </w:pPr>
    </w:p>
    <w:p>
      <w:pPr>
        <w:spacing w:line="360" w:lineRule="auto"/>
        <w:jc w:val="center"/>
        <w:rPr>
          <w:rFonts w:ascii="Times New Roman" w:hAnsi="Times New Roman"/>
          <w:b/>
          <w:sz w:val="52"/>
        </w:rPr>
      </w:pPr>
      <w:r>
        <w:rPr>
          <w:rFonts w:ascii="Times New Roman" w:hAnsi="Times New Roman" w:eastAsiaTheme="minorEastAsia"/>
          <w:b/>
          <w:color w:val="000000" w:themeColor="text1"/>
          <w:sz w:val="52"/>
          <w:szCs w:val="52"/>
          <w14:textFill>
            <w14:solidFill>
              <w14:schemeClr w14:val="tx1"/>
            </w14:solidFill>
          </w14:textFill>
        </w:rPr>
        <w:t>重有色金属冶金工程项目规范</w:t>
      </w:r>
    </w:p>
    <w:p>
      <w:pPr>
        <w:spacing w:line="360" w:lineRule="auto"/>
        <w:jc w:val="center"/>
        <w:rPr>
          <w:rFonts w:ascii="Times New Roman" w:hAnsi="Times New Roman"/>
          <w:b/>
          <w:sz w:val="28"/>
          <w:szCs w:val="28"/>
        </w:rPr>
      </w:pPr>
      <w:r>
        <w:rPr>
          <w:rFonts w:ascii="Times New Roman" w:hAnsi="Times New Roman"/>
          <w:b/>
          <w:sz w:val="28"/>
          <w:szCs w:val="28"/>
        </w:rPr>
        <w:t>Project code for heavy nonferrous metal metallurgical engineering</w:t>
      </w:r>
    </w:p>
    <w:p>
      <w:pPr>
        <w:spacing w:line="480" w:lineRule="auto"/>
        <w:jc w:val="center"/>
        <w:rPr>
          <w:rFonts w:ascii="Times New Roman" w:hAnsi="Times New Roman"/>
          <w:b/>
          <w:sz w:val="32"/>
          <w:szCs w:val="32"/>
        </w:rPr>
      </w:pPr>
    </w:p>
    <w:p>
      <w:pPr>
        <w:spacing w:line="480" w:lineRule="auto"/>
        <w:jc w:val="center"/>
        <w:rPr>
          <w:rFonts w:ascii="Times New Roman" w:hAnsi="Times New Roman"/>
          <w:b/>
          <w:sz w:val="32"/>
          <w:szCs w:val="32"/>
        </w:rPr>
      </w:pPr>
      <w:r>
        <w:rPr>
          <w:rFonts w:ascii="Times New Roman" w:hAnsi="Times New Roman"/>
          <w:b/>
          <w:sz w:val="32"/>
          <w:szCs w:val="32"/>
        </w:rPr>
        <w:t>（征求意见稿）</w:t>
      </w:r>
    </w:p>
    <w:p>
      <w:pPr>
        <w:pStyle w:val="14"/>
        <w:spacing w:before="120"/>
        <w:ind w:firstLine="420"/>
      </w:pPr>
    </w:p>
    <w:p>
      <w:pPr>
        <w:pStyle w:val="14"/>
        <w:spacing w:before="120"/>
        <w:ind w:firstLine="420"/>
      </w:pPr>
    </w:p>
    <w:p>
      <w:pPr>
        <w:pStyle w:val="14"/>
        <w:spacing w:before="120"/>
        <w:ind w:firstLine="420"/>
      </w:pPr>
    </w:p>
    <w:p>
      <w:pPr>
        <w:pStyle w:val="14"/>
        <w:spacing w:before="120"/>
        <w:ind w:firstLine="420"/>
      </w:pPr>
    </w:p>
    <w:p>
      <w:pPr>
        <w:pStyle w:val="14"/>
        <w:spacing w:before="120"/>
        <w:ind w:firstLine="420"/>
      </w:pPr>
    </w:p>
    <w:p>
      <w:pPr>
        <w:pStyle w:val="14"/>
        <w:spacing w:before="120"/>
        <w:ind w:firstLine="420"/>
      </w:pPr>
    </w:p>
    <w:p>
      <w:pPr>
        <w:spacing w:line="480" w:lineRule="auto"/>
        <w:jc w:val="center"/>
        <w:rPr>
          <w:rFonts w:ascii="Times New Roman" w:hAnsi="Times New Roman" w:eastAsia="黑体"/>
          <w:sz w:val="28"/>
          <w:szCs w:val="28"/>
        </w:rPr>
      </w:pPr>
      <w:r>
        <w:rPr>
          <w:rFonts w:ascii="Times New Roman" w:hAnsi="Times New Roman"/>
        </w:rPr>
        <mc:AlternateContent>
          <mc:Choice Requires="wps">
            <w:drawing>
              <wp:anchor distT="0" distB="0" distL="114300" distR="114300" simplePos="0" relativeHeight="251665408" behindDoc="0" locked="0" layoutInCell="1" allowOverlap="1">
                <wp:simplePos x="0" y="0"/>
                <wp:positionH relativeFrom="column">
                  <wp:posOffset>-19685</wp:posOffset>
                </wp:positionH>
                <wp:positionV relativeFrom="paragraph">
                  <wp:posOffset>358775</wp:posOffset>
                </wp:positionV>
                <wp:extent cx="5724525" cy="6985"/>
                <wp:effectExtent l="0" t="0" r="9525" b="31115"/>
                <wp:wrapNone/>
                <wp:docPr id="2" name="Line 4"/>
                <wp:cNvGraphicFramePr/>
                <a:graphic xmlns:a="http://schemas.openxmlformats.org/drawingml/2006/main">
                  <a:graphicData uri="http://schemas.microsoft.com/office/word/2010/wordprocessingShape">
                    <wps:wsp>
                      <wps:cNvCnPr>
                        <a:cxnSpLocks noChangeShapeType="true"/>
                      </wps:cNvCnPr>
                      <wps:spPr bwMode="auto">
                        <a:xfrm flipV="true">
                          <a:off x="0" y="0"/>
                          <a:ext cx="5724525" cy="6985"/>
                        </a:xfrm>
                        <a:prstGeom prst="line">
                          <a:avLst/>
                        </a:prstGeom>
                        <a:noFill/>
                        <a:ln w="9525">
                          <a:solidFill>
                            <a:srgbClr val="000000"/>
                          </a:solidFill>
                          <a:round/>
                        </a:ln>
                      </wps:spPr>
                      <wps:bodyPr/>
                    </wps:wsp>
                  </a:graphicData>
                </a:graphic>
              </wp:anchor>
            </w:drawing>
          </mc:Choice>
          <mc:Fallback>
            <w:pict>
              <v:line id="Line 4" o:spid="_x0000_s1026" o:spt="20" style="position:absolute;left:0pt;flip:y;margin-left:-1.55pt;margin-top:28.25pt;height:0.55pt;width:450.75pt;z-index:251665408;mso-width-relative:page;mso-height-relative:page;" filled="f" stroked="t" coordsize="21600,21600" o:gfxdata="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WAAAAZHJzL1BLAQIUABQAAAAIAIdO4kBRKG9s1wAAAAgBAAAPAAAAAAAAAAEAIAAAADgAAABk&#10;cnMvZG93bnJldi54bWxQSwECFAAUAAAACACHTuJAvWAyibgBAABkAwAADgAAAAAAAAABACAAAAA8&#10;AQAAZHJzL2Uyb0RvYy54bWxQSwUGAAAAAAYABgBZAQAAZgUAAAAA&#10;">
                <v:fill on="f" focussize="0,0"/>
                <v:stroke color="#000000" joinstyle="round"/>
                <v:imagedata o:title=""/>
                <o:lock v:ext="edit" aspectratio="f"/>
              </v:line>
            </w:pict>
          </mc:Fallback>
        </mc:AlternateContent>
      </w:r>
      <w:r>
        <w:rPr>
          <w:rFonts w:ascii="Times New Roman" w:hAnsi="Times New Roman" w:eastAsia="黑体"/>
          <w:sz w:val="28"/>
          <w:szCs w:val="28"/>
        </w:rPr>
        <w:t>202X－XX－XX  发布                      202X－XX－XX  实施</w:t>
      </w:r>
    </w:p>
    <w:tbl>
      <w:tblPr>
        <w:tblStyle w:val="28"/>
        <w:tblW w:w="5620" w:type="dxa"/>
        <w:tblInd w:w="0" w:type="dxa"/>
        <w:tblLayout w:type="autofit"/>
        <w:tblCellMar>
          <w:top w:w="0" w:type="dxa"/>
          <w:left w:w="0" w:type="dxa"/>
          <w:bottom w:w="0" w:type="dxa"/>
          <w:right w:w="0" w:type="dxa"/>
        </w:tblCellMar>
      </w:tblPr>
      <w:tblGrid>
        <w:gridCol w:w="5620"/>
      </w:tblGrid>
      <w:tr>
        <w:tblPrEx>
          <w:tblCellMar>
            <w:top w:w="0" w:type="dxa"/>
            <w:left w:w="0" w:type="dxa"/>
            <w:bottom w:w="0" w:type="dxa"/>
            <w:right w:w="0" w:type="dxa"/>
          </w:tblCellMar>
        </w:tblPrEx>
        <w:trPr>
          <w:trHeight w:val="375" w:hRule="atLeast"/>
        </w:trPr>
        <w:tc>
          <w:tcPr>
            <w:tcW w:w="5620" w:type="dxa"/>
            <w:tcBorders>
              <w:top w:val="nil"/>
              <w:left w:val="nil"/>
              <w:bottom w:val="nil"/>
              <w:right w:val="nil"/>
            </w:tcBorders>
            <w:shd w:val="clear" w:color="auto" w:fill="auto"/>
            <w:noWrap/>
            <w:tcMar>
              <w:top w:w="15" w:type="dxa"/>
              <w:left w:w="15" w:type="dxa"/>
              <w:bottom w:w="0" w:type="dxa"/>
              <w:right w:w="15" w:type="dxa"/>
            </w:tcMar>
            <w:vAlign w:val="center"/>
          </w:tcPr>
          <w:p>
            <w:pPr>
              <w:jc w:val="distribute"/>
              <w:rPr>
                <w:rFonts w:ascii="Times New Roman" w:hAnsi="Times New Roman" w:eastAsia="黑体"/>
                <w:color w:val="000000"/>
                <w:sz w:val="28"/>
                <w:szCs w:val="28"/>
              </w:rPr>
            </w:pPr>
          </w:p>
          <w:p>
            <w:pPr>
              <w:jc w:val="distribute"/>
              <w:rPr>
                <w:rFonts w:ascii="Times New Roman" w:hAnsi="Times New Roman" w:eastAsia="黑体"/>
                <w:color w:val="000000"/>
                <w:sz w:val="28"/>
                <w:szCs w:val="28"/>
              </w:rPr>
            </w:pPr>
            <w:r>
              <w:rPr>
                <w:rFonts w:ascii="Times New Roman" w:hAnsi="Times New Roman"/>
              </w:rPr>
              <mc:AlternateContent>
                <mc:Choice Requires="wps">
                  <w:drawing>
                    <wp:anchor distT="0" distB="0" distL="114300" distR="114300" simplePos="0" relativeHeight="251661312" behindDoc="0" locked="0" layoutInCell="1" allowOverlap="1">
                      <wp:simplePos x="0" y="0"/>
                      <wp:positionH relativeFrom="column">
                        <wp:posOffset>4202430</wp:posOffset>
                      </wp:positionH>
                      <wp:positionV relativeFrom="paragraph">
                        <wp:posOffset>151765</wp:posOffset>
                      </wp:positionV>
                      <wp:extent cx="1073785" cy="488950"/>
                      <wp:effectExtent l="0" t="0" r="0" b="0"/>
                      <wp:wrapNone/>
                      <wp:docPr id="7" name="文本框 5"/>
                      <wp:cNvGraphicFramePr/>
                      <a:graphic xmlns:a="http://schemas.openxmlformats.org/drawingml/2006/main">
                        <a:graphicData uri="http://schemas.microsoft.com/office/word/2010/wordprocessingShape">
                          <wps:wsp>
                            <wps:cNvSpPr txBox="true"/>
                            <wps:spPr>
                              <a:xfrm>
                                <a:off x="0" y="0"/>
                                <a:ext cx="1073785" cy="488950"/>
                              </a:xfrm>
                              <a:prstGeom prst="rect">
                                <a:avLst/>
                              </a:prstGeom>
                              <a:solidFill>
                                <a:sysClr val="window" lastClr="FFFFFF"/>
                              </a:solidFill>
                              <a:ln w="6350">
                                <a:noFill/>
                              </a:ln>
                              <a:effectLst/>
                            </wps:spPr>
                            <wps:txbx>
                              <w:txbxContent>
                                <w:p>
                                  <w:pPr>
                                    <w:rPr>
                                      <w:rFonts w:ascii="黑体" w:eastAsia="黑体"/>
                                      <w:color w:val="000000"/>
                                      <w:sz w:val="28"/>
                                      <w:szCs w:val="28"/>
                                    </w:rPr>
                                  </w:pPr>
                                  <w:r>
                                    <w:rPr>
                                      <w:rFonts w:hint="eastAsia" w:ascii="黑体" w:eastAsia="黑体"/>
                                      <w:color w:val="000000"/>
                                      <w:sz w:val="28"/>
                                      <w:szCs w:val="28"/>
                                    </w:rPr>
                                    <w:t>联合发布</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文本框 5" o:spid="_x0000_s1026" o:spt="202" type="#_x0000_t202" style="position:absolute;left:0pt;margin-left:330.9pt;margin-top:11.95pt;height:38.5pt;width:84.55pt;z-index:251661312;mso-width-relative:page;mso-height-relative:page;" fillcolor="#FFFFFF" filled="t" stroked="f" coordsize="21600,21600" o:gfxdata="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WAAAAZHJzL1BLAQIUABQAAAAIAIdO4kA4&#10;KIRm1AAAAAoBAAAPAAAAAAAAAAEAIAAAADgAAABkcnMvZG93bnJldi54bWxQSwECFAAUAAAACACH&#10;TuJAR9wD9EsCAABxBAAADgAAAAAAAAABACAAAAA5AQAAZHJzL2Uyb0RvYy54bWxQSwUGAAAAAAYA&#10;BgBZAQAA9gUAAAAA&#10;">
                      <v:fill on="t" focussize="0,0"/>
                      <v:stroke on="f" weight="0.5pt"/>
                      <v:imagedata o:title=""/>
                      <o:lock v:ext="edit" aspectratio="f"/>
                      <v:textbox>
                        <w:txbxContent>
                          <w:p>
                            <w:pPr>
                              <w:rPr>
                                <w:rFonts w:ascii="黑体" w:eastAsia="黑体"/>
                                <w:color w:val="000000"/>
                                <w:sz w:val="28"/>
                                <w:szCs w:val="28"/>
                              </w:rPr>
                            </w:pPr>
                            <w:r>
                              <w:rPr>
                                <w:rFonts w:hint="eastAsia" w:ascii="黑体" w:eastAsia="黑体"/>
                                <w:color w:val="000000"/>
                                <w:sz w:val="28"/>
                                <w:szCs w:val="28"/>
                              </w:rPr>
                              <w:t>联合发布</w:t>
                            </w:r>
                          </w:p>
                        </w:txbxContent>
                      </v:textbox>
                    </v:shape>
                  </w:pict>
                </mc:Fallback>
              </mc:AlternateContent>
            </w:r>
            <w:r>
              <w:rPr>
                <w:rFonts w:ascii="Times New Roman" w:hAnsi="Times New Roman" w:eastAsia="黑体"/>
                <w:color w:val="000000"/>
                <w:sz w:val="28"/>
                <w:szCs w:val="28"/>
              </w:rPr>
              <w:t>中华人民共和国住房和城乡建设部</w:t>
            </w:r>
          </w:p>
        </w:tc>
      </w:tr>
      <w:tr>
        <w:tblPrEx>
          <w:tblCellMar>
            <w:top w:w="0" w:type="dxa"/>
            <w:left w:w="0" w:type="dxa"/>
            <w:bottom w:w="0" w:type="dxa"/>
            <w:right w:w="0" w:type="dxa"/>
          </w:tblCellMar>
        </w:tblPrEx>
        <w:trPr>
          <w:trHeight w:val="375" w:hRule="atLeast"/>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pPr>
              <w:jc w:val="distribute"/>
              <w:rPr>
                <w:rFonts w:ascii="Times New Roman" w:hAnsi="Times New Roman" w:eastAsia="黑体"/>
                <w:color w:val="000000"/>
                <w:sz w:val="28"/>
                <w:szCs w:val="28"/>
              </w:rPr>
            </w:pPr>
            <w:r>
              <w:rPr>
                <w:rFonts w:ascii="Times New Roman" w:hAnsi="Times New Roman" w:eastAsia="黑体"/>
                <w:color w:val="000000"/>
                <w:sz w:val="28"/>
                <w:szCs w:val="28"/>
              </w:rPr>
              <w:t>国家市场监督管理总局</w:t>
            </w:r>
          </w:p>
        </w:tc>
      </w:tr>
      <w:bookmarkEnd w:id="0"/>
      <w:bookmarkEnd w:id="1"/>
      <w:bookmarkEnd w:id="2"/>
      <w:bookmarkEnd w:id="3"/>
    </w:tbl>
    <w:p>
      <w:pPr>
        <w:widowControl/>
        <w:jc w:val="left"/>
        <w:rPr>
          <w:rFonts w:ascii="Times New Roman" w:hAnsi="Times New Roman" w:eastAsiaTheme="minorEastAsia"/>
          <w:color w:val="000000" w:themeColor="text1"/>
          <w:lang w:val="zh-CN"/>
          <w14:textFill>
            <w14:solidFill>
              <w14:schemeClr w14:val="tx1"/>
            </w14:solidFill>
          </w14:textFill>
        </w:rPr>
        <w:sectPr>
          <w:headerReference r:id="rId3" w:type="default"/>
          <w:footerReference r:id="rId5" w:type="default"/>
          <w:headerReference r:id="rId4" w:type="even"/>
          <w:pgSz w:w="11906" w:h="16838"/>
          <w:pgMar w:top="1134" w:right="1531" w:bottom="1134" w:left="1531" w:header="0" w:footer="737" w:gutter="0"/>
          <w:pgNumType w:start="0"/>
          <w:cols w:space="720" w:num="1"/>
          <w:docGrid w:linePitch="312" w:charSpace="0"/>
        </w:sectPr>
      </w:pPr>
    </w:p>
    <w:p>
      <w:pPr>
        <w:pStyle w:val="129"/>
        <w:spacing w:before="0" w:after="0" w:line="360" w:lineRule="auto"/>
        <w:rPr>
          <w:rFonts w:ascii="Times New Roman" w:hAnsi="Times New Roman" w:eastAsiaTheme="minorEastAsia"/>
          <w:b/>
          <w:color w:val="000000" w:themeColor="text1"/>
          <w14:textFill>
            <w14:solidFill>
              <w14:schemeClr w14:val="tx1"/>
            </w14:solidFill>
          </w14:textFill>
        </w:rPr>
      </w:pPr>
      <w:r>
        <w:rPr>
          <w:rFonts w:ascii="Times New Roman" w:hAnsi="Times New Roman" w:eastAsiaTheme="minorEastAsia"/>
          <w:b/>
          <w:color w:val="000000" w:themeColor="text1"/>
          <w14:textFill>
            <w14:solidFill>
              <w14:schemeClr w14:val="tx1"/>
            </w14:solidFill>
          </w14:textFill>
        </w:rPr>
        <w:t>前  言</w:t>
      </w:r>
    </w:p>
    <w:p>
      <w:pPr>
        <w:pStyle w:val="134"/>
        <w:spacing w:line="360" w:lineRule="auto"/>
        <w:rPr>
          <w:rFonts w:ascii="Times New Roman" w:hAnsi="Times New Roman" w:eastAsiaTheme="minorEastAsia"/>
          <w:b w:val="0"/>
          <w:snapToGrid/>
          <w:color w:val="000000" w:themeColor="text1"/>
          <w:kern w:val="2"/>
          <w:szCs w:val="24"/>
          <w14:textFill>
            <w14:solidFill>
              <w14:schemeClr w14:val="tx1"/>
            </w14:solidFill>
          </w14:textFill>
        </w:rPr>
      </w:pPr>
      <w:r>
        <w:rPr>
          <w:rFonts w:ascii="Times New Roman" w:hAnsi="Times New Roman" w:eastAsiaTheme="minorEastAsia"/>
          <w:b w:val="0"/>
          <w:snapToGrid/>
          <w:color w:val="000000" w:themeColor="text1"/>
          <w:kern w:val="2"/>
          <w:szCs w:val="24"/>
          <w14:textFill>
            <w14:solidFill>
              <w14:schemeClr w14:val="tx1"/>
            </w14:solidFill>
          </w14:textFill>
        </w:rPr>
        <w:t>为适应国际技术法规与技术标准通行规则，2016年以来，住房和城乡建设部陆续印发《深化工程建设标准化工作改革的意见》等文件，提出政府制定强制性标准、社会团体制定自愿采用性标准的长远目标，明确了逐步用全文强制性工程建设规范取代现行标准中分散的强制性条文的改革任务，逐步形成由法律、行政法规、部门规章中的技术性规定与全文强制性工程建设规范构成的</w:t>
      </w:r>
      <w:r>
        <w:rPr>
          <w:rFonts w:ascii="宋体" w:hAnsi="宋体" w:eastAsiaTheme="minorEastAsia"/>
          <w:b w:val="0"/>
          <w:snapToGrid/>
          <w:color w:val="000000" w:themeColor="text1"/>
          <w:kern w:val="2"/>
          <w:szCs w:val="24"/>
          <w14:textFill>
            <w14:solidFill>
              <w14:schemeClr w14:val="tx1"/>
            </w14:solidFill>
          </w14:textFill>
        </w:rPr>
        <w:t>“</w:t>
      </w:r>
      <w:r>
        <w:rPr>
          <w:rFonts w:ascii="Times New Roman" w:hAnsi="Times New Roman" w:eastAsiaTheme="minorEastAsia"/>
          <w:b w:val="0"/>
          <w:snapToGrid/>
          <w:color w:val="000000" w:themeColor="text1"/>
          <w:kern w:val="2"/>
          <w:szCs w:val="24"/>
          <w14:textFill>
            <w14:solidFill>
              <w14:schemeClr w14:val="tx1"/>
            </w14:solidFill>
          </w14:textFill>
        </w:rPr>
        <w:t>技术法规</w:t>
      </w:r>
      <w:r>
        <w:rPr>
          <w:rFonts w:ascii="宋体" w:hAnsi="宋体" w:eastAsiaTheme="minorEastAsia"/>
          <w:b w:val="0"/>
          <w:snapToGrid/>
          <w:color w:val="000000" w:themeColor="text1"/>
          <w:kern w:val="2"/>
          <w:szCs w:val="24"/>
          <w14:textFill>
            <w14:solidFill>
              <w14:schemeClr w14:val="tx1"/>
            </w14:solidFill>
          </w14:textFill>
        </w:rPr>
        <w:t>”</w:t>
      </w:r>
      <w:r>
        <w:rPr>
          <w:rFonts w:ascii="Times New Roman" w:hAnsi="Times New Roman" w:eastAsiaTheme="minorEastAsia"/>
          <w:b w:val="0"/>
          <w:snapToGrid/>
          <w:color w:val="000000" w:themeColor="text1"/>
          <w:kern w:val="2"/>
          <w:szCs w:val="24"/>
          <w14:textFill>
            <w14:solidFill>
              <w14:schemeClr w14:val="tx1"/>
            </w14:solidFill>
          </w14:textFill>
        </w:rPr>
        <w:t>体系。</w:t>
      </w:r>
    </w:p>
    <w:p>
      <w:pPr>
        <w:pStyle w:val="134"/>
        <w:spacing w:line="360" w:lineRule="auto"/>
        <w:rPr>
          <w:rFonts w:ascii="Times New Roman" w:hAnsi="Times New Roman" w:eastAsiaTheme="minorEastAsia"/>
          <w:b w:val="0"/>
          <w:snapToGrid/>
          <w:color w:val="000000" w:themeColor="text1"/>
          <w:kern w:val="2"/>
          <w:szCs w:val="24"/>
          <w14:textFill>
            <w14:solidFill>
              <w14:schemeClr w14:val="tx1"/>
            </w14:solidFill>
          </w14:textFill>
        </w:rPr>
      </w:pPr>
      <w:r>
        <w:rPr>
          <w:rFonts w:ascii="Times New Roman" w:hAnsi="Times New Roman" w:eastAsiaTheme="minorEastAsia"/>
          <w:snapToGrid/>
          <w:color w:val="000000" w:themeColor="text1"/>
          <w:kern w:val="2"/>
          <w:szCs w:val="24"/>
          <w14:textFill>
            <w14:solidFill>
              <w14:schemeClr w14:val="tx1"/>
            </w14:solidFill>
          </w14:textFill>
        </w:rPr>
        <w:t>关于规范种类</w:t>
      </w:r>
      <w:r>
        <w:rPr>
          <w:rFonts w:ascii="Times New Roman" w:hAnsi="Times New Roman" w:eastAsiaTheme="minorEastAsia"/>
          <w:b w:val="0"/>
          <w:snapToGrid/>
          <w:color w:val="000000" w:themeColor="text1"/>
          <w:kern w:val="2"/>
          <w:szCs w:val="24"/>
          <w14:textFill>
            <w14:solidFill>
              <w14:schemeClr w14:val="tx1"/>
            </w14:solidFill>
          </w14:textFill>
        </w:rPr>
        <w:t>。强制性工程建设规范体系覆盖工程建设领域各类建设工程项目，分为工程项目类规范(简称项目规范)和通用技术类规范(简称通用规范)两种类型。项目规范以工程建设项目整体为对象，以项目的规模、布局、功能、性能和关键技术措施等五大要素为主要内容。通用规范以实现工程建设项目功能性能要求的各专业通用技术为对象，以勘察、设计、施工、维修、养护等通用技术要求为主要内容。在全文强制性工程建设规范体系中，项目规范为主干，通用规范是对各类项目共性的、通用的专业性关键技术措施的规定。</w:t>
      </w:r>
    </w:p>
    <w:p>
      <w:pPr>
        <w:pStyle w:val="134"/>
        <w:spacing w:line="360" w:lineRule="auto"/>
        <w:ind w:firstLine="481" w:firstLineChars="200"/>
        <w:rPr>
          <w:rFonts w:ascii="Times New Roman" w:hAnsi="Times New Roman" w:eastAsiaTheme="minorEastAsia"/>
          <w:b w:val="0"/>
          <w:snapToGrid/>
          <w:color w:val="000000" w:themeColor="text1"/>
          <w:kern w:val="2"/>
          <w:szCs w:val="24"/>
          <w14:textFill>
            <w14:solidFill>
              <w14:schemeClr w14:val="tx1"/>
            </w14:solidFill>
          </w14:textFill>
        </w:rPr>
      </w:pPr>
      <w:r>
        <w:rPr>
          <w:rFonts w:ascii="Times New Roman" w:hAnsi="Times New Roman" w:eastAsiaTheme="minorEastAsia"/>
          <w:snapToGrid/>
          <w:color w:val="000000" w:themeColor="text1"/>
          <w:kern w:val="2"/>
          <w:szCs w:val="24"/>
          <w14:textFill>
            <w14:solidFill>
              <w14:schemeClr w14:val="tx1"/>
            </w14:solidFill>
          </w14:textFill>
        </w:rPr>
        <w:t>关于五大要素指标。</w:t>
      </w:r>
      <w:r>
        <w:rPr>
          <w:rFonts w:ascii="Times New Roman" w:hAnsi="Times New Roman" w:eastAsiaTheme="minorEastAsia"/>
          <w:b w:val="0"/>
          <w:snapToGrid/>
          <w:color w:val="000000" w:themeColor="text1"/>
          <w:kern w:val="2"/>
          <w:szCs w:val="24"/>
          <w14:textFill>
            <w14:solidFill>
              <w14:schemeClr w14:val="tx1"/>
            </w14:solidFill>
          </w14:textFill>
        </w:rPr>
        <w:t>强制性工程建设规范中各项要素是保障城乡基础设施建设体系化和效率提升的基本规定，是支撑城乡建设高质量发展的基本要求。项目的规模要求主要规定了建设工程项目应具备完整的生产或服务能力，应与经济社会发展水平相适应。项目的布局要求主要规定了产业布局、建设工程项目选址、总体设计、总平面布置以及与规模相协调的统筹性技术要求，应考虑供给能力合理分布，提高相关设施建设的整体水平。项目的功能要求主要规定项目构成和用途，明确项目的基本组成单元，是项目发挥预期作用的保障。项目的性能要求主要规定建设工程项目建设水平或技术水平的高低程度，体现建设工程项目的适用性，明确项目质量、安全、节能、环</w:t>
      </w:r>
      <w:r>
        <w:rPr>
          <w:rFonts w:hint="eastAsia" w:ascii="Times New Roman" w:hAnsi="Times New Roman" w:eastAsiaTheme="minorEastAsia"/>
          <w:b w:val="0"/>
          <w:color w:val="000000" w:themeColor="text1"/>
          <w14:textFill>
            <w14:solidFill>
              <w14:schemeClr w14:val="tx1"/>
            </w14:solidFill>
          </w14:textFill>
        </w:rPr>
        <w:t>境</w:t>
      </w:r>
      <w:r>
        <w:rPr>
          <w:rFonts w:ascii="Times New Roman" w:hAnsi="Times New Roman" w:eastAsiaTheme="minorEastAsia"/>
          <w:b w:val="0"/>
          <w:snapToGrid/>
          <w:color w:val="000000" w:themeColor="text1"/>
          <w:kern w:val="2"/>
          <w:szCs w:val="24"/>
          <w14:textFill>
            <w14:solidFill>
              <w14:schemeClr w14:val="tx1"/>
            </w14:solidFill>
          </w14:textFill>
        </w:rPr>
        <w:t>保</w:t>
      </w:r>
      <w:r>
        <w:rPr>
          <w:rFonts w:hint="eastAsia" w:ascii="Times New Roman" w:hAnsi="Times New Roman" w:eastAsiaTheme="minorEastAsia"/>
          <w:b w:val="0"/>
          <w:color w:val="000000" w:themeColor="text1"/>
          <w14:textFill>
            <w14:solidFill>
              <w14:schemeClr w14:val="tx1"/>
            </w14:solidFill>
          </w14:textFill>
        </w:rPr>
        <w:t>护</w:t>
      </w:r>
      <w:r>
        <w:rPr>
          <w:rFonts w:ascii="Times New Roman" w:hAnsi="Times New Roman" w:eastAsiaTheme="minorEastAsia"/>
          <w:b w:val="0"/>
          <w:snapToGrid/>
          <w:color w:val="000000" w:themeColor="text1"/>
          <w:kern w:val="2"/>
          <w:szCs w:val="24"/>
          <w14:textFill>
            <w14:solidFill>
              <w14:schemeClr w14:val="tx1"/>
            </w14:solidFill>
          </w14:textFill>
        </w:rPr>
        <w:t>、宜居环境和可持续发展等方面应达到的基本水平。关键技术措施是实现建设项目功能、性能要求的基本技术规定，是落实城乡建设安全、绿色、韧性、智慧、宜居、公平、有效率等发展目标的基本保障。</w:t>
      </w:r>
    </w:p>
    <w:p>
      <w:pPr>
        <w:pStyle w:val="134"/>
        <w:spacing w:line="360" w:lineRule="auto"/>
        <w:rPr>
          <w:rFonts w:ascii="Times New Roman" w:hAnsi="Times New Roman" w:eastAsiaTheme="minorEastAsia"/>
          <w:b w:val="0"/>
          <w:snapToGrid/>
          <w:color w:val="000000" w:themeColor="text1"/>
          <w:kern w:val="2"/>
          <w:szCs w:val="24"/>
          <w14:textFill>
            <w14:solidFill>
              <w14:schemeClr w14:val="tx1"/>
            </w14:solidFill>
          </w14:textFill>
        </w:rPr>
      </w:pPr>
      <w:r>
        <w:rPr>
          <w:rFonts w:ascii="Times New Roman" w:hAnsi="Times New Roman" w:eastAsiaTheme="minorEastAsia"/>
          <w:snapToGrid/>
          <w:color w:val="000000" w:themeColor="text1"/>
          <w:kern w:val="2"/>
          <w:szCs w:val="24"/>
          <w14:textFill>
            <w14:solidFill>
              <w14:schemeClr w14:val="tx1"/>
            </w14:solidFill>
          </w14:textFill>
        </w:rPr>
        <w:t>关于规范实施。</w:t>
      </w:r>
      <w:r>
        <w:rPr>
          <w:rFonts w:ascii="Times New Roman" w:hAnsi="Times New Roman" w:eastAsiaTheme="minorEastAsia"/>
          <w:b w:val="0"/>
          <w:snapToGrid/>
          <w:color w:val="000000" w:themeColor="text1"/>
          <w:kern w:val="2"/>
          <w:szCs w:val="24"/>
          <w14:textFill>
            <w14:solidFill>
              <w14:schemeClr w14:val="tx1"/>
            </w14:solidFill>
          </w14:textFill>
        </w:rPr>
        <w:t>强制性工程建设规范具有强制约束力，是保障人民生命财产安全、人身健康、工程安全、生态环境安全、公众权益和公众利益，以及促进能源资源节约利用、满足经济社会管理等方面的控制性底线要求，工程建设项目的勘察、设计、施工、验收、维修、养护、拆除等建设活动全过程中必须严格执行，其中，对于既有建筑改造项目(指不改变现有使用功能) ,当条件不具备、执行现行规范确有困难时，应不低于原建造时的标准。与强制性工程建设规范配套的推荐性工程建设标准是经过实践检验的、保障达到强制性规范要求的成熟技术措施，一般情况下也应当执行。在满足强制性工程建设规范规定的项目功能、性能要求和关键技术措施的前提下，可合理选用相关团体标准、企业标准，使项目功能、性能更加优化或达到更高水平。推荐性工程建设标准、团体标准、企业标准要与强制性工程建设规范协调配套，各项技术要求不得低于强制性工程建设规范的相关技术水平。</w:t>
      </w:r>
    </w:p>
    <w:p>
      <w:pPr>
        <w:pStyle w:val="134"/>
        <w:spacing w:line="360" w:lineRule="auto"/>
        <w:rPr>
          <w:rFonts w:ascii="Times New Roman" w:hAnsi="Times New Roman" w:eastAsiaTheme="minorEastAsia"/>
          <w:b w:val="0"/>
          <w:snapToGrid/>
          <w:color w:val="000000" w:themeColor="text1"/>
          <w:kern w:val="2"/>
          <w:szCs w:val="24"/>
          <w14:textFill>
            <w14:solidFill>
              <w14:schemeClr w14:val="tx1"/>
            </w14:solidFill>
          </w14:textFill>
        </w:rPr>
      </w:pPr>
      <w:r>
        <w:rPr>
          <w:rFonts w:ascii="Times New Roman" w:hAnsi="Times New Roman" w:eastAsiaTheme="minorEastAsia"/>
          <w:b w:val="0"/>
          <w:snapToGrid/>
          <w:color w:val="000000" w:themeColor="text1"/>
          <w:kern w:val="2"/>
          <w:szCs w:val="24"/>
          <w14:textFill>
            <w14:solidFill>
              <w14:schemeClr w14:val="tx1"/>
            </w14:solidFill>
          </w14:textFill>
        </w:rPr>
        <w:t>强制性工程建设规范实施后，现行相关工程建设国家标准、行业标准中的强制性条文同时废止。现行工程建设地方标准中的强制性条文应及时修订，且不得低于强制性工程建设规范的规定。现行工程建设标准(包括强制性标准和推荐性标准)中有关规定与强制性工程建设规范的规定不一致的，以强制性工程建设规范的规定为准。</w:t>
      </w:r>
    </w:p>
    <w:p>
      <w:pPr>
        <w:pStyle w:val="134"/>
        <w:spacing w:line="360" w:lineRule="auto"/>
        <w:ind w:firstLine="0"/>
        <w:rPr>
          <w:rFonts w:ascii="Times New Roman" w:hAnsi="Times New Roman" w:eastAsiaTheme="minorEastAsia"/>
          <w:b w:val="0"/>
          <w:snapToGrid/>
          <w:color w:val="000000" w:themeColor="text1"/>
          <w:kern w:val="2"/>
          <w:szCs w:val="24"/>
          <w14:textFill>
            <w14:solidFill>
              <w14:schemeClr w14:val="tx1"/>
            </w14:solidFill>
          </w14:textFill>
        </w:rPr>
      </w:pPr>
    </w:p>
    <w:p>
      <w:pPr>
        <w:pStyle w:val="129"/>
        <w:spacing w:before="0" w:after="0" w:line="360" w:lineRule="auto"/>
        <w:rPr>
          <w:rFonts w:ascii="Times New Roman" w:hAnsi="Times New Roman" w:eastAsiaTheme="minorEastAsia"/>
          <w:color w:val="000000" w:themeColor="text1"/>
          <w:sz w:val="30"/>
          <w:szCs w:val="30"/>
          <w14:textFill>
            <w14:solidFill>
              <w14:schemeClr w14:val="tx1"/>
            </w14:solidFill>
          </w14:textFill>
        </w:rPr>
        <w:sectPr>
          <w:pgSz w:w="11906" w:h="16838"/>
          <w:pgMar w:top="1134" w:right="1531" w:bottom="1134" w:left="1531" w:header="0" w:footer="737" w:gutter="0"/>
          <w:pgNumType w:start="0"/>
          <w:cols w:space="720" w:num="1"/>
          <w:docGrid w:linePitch="312" w:charSpace="0"/>
        </w:sectPr>
      </w:pPr>
    </w:p>
    <w:p>
      <w:pPr>
        <w:pStyle w:val="129"/>
        <w:spacing w:before="0" w:after="0" w:line="360" w:lineRule="auto"/>
        <w:rPr>
          <w:rFonts w:ascii="Times New Roman" w:hAnsi="Times New Roman" w:eastAsiaTheme="minorEastAsia"/>
          <w:b/>
          <w:color w:val="000000" w:themeColor="text1"/>
          <w14:textFill>
            <w14:solidFill>
              <w14:schemeClr w14:val="tx1"/>
            </w14:solidFill>
          </w14:textFill>
        </w:rPr>
      </w:pPr>
      <w:bookmarkStart w:id="4" w:name="_Toc93344260"/>
      <w:r>
        <w:rPr>
          <w:rFonts w:ascii="Times New Roman" w:hAnsi="Times New Roman" w:eastAsiaTheme="minorEastAsia"/>
          <w:b/>
          <w:color w:val="000000" w:themeColor="text1"/>
          <w14:textFill>
            <w14:solidFill>
              <w14:schemeClr w14:val="tx1"/>
            </w14:solidFill>
          </w14:textFill>
        </w:rPr>
        <w:t>目  次</w:t>
      </w:r>
      <w:bookmarkEnd w:id="4"/>
    </w:p>
    <w:p>
      <w:pPr>
        <w:pStyle w:val="21"/>
        <w:tabs>
          <w:tab w:val="right" w:leader="dot" w:pos="8834"/>
        </w:tabs>
        <w:spacing w:after="0" w:line="360" w:lineRule="auto"/>
        <w:jc w:val="both"/>
        <w:rPr>
          <w:rFonts w:ascii="Times New Roman" w:hAnsi="Times New Roman" w:eastAsiaTheme="minorEastAsia"/>
          <w:kern w:val="2"/>
          <w:sz w:val="21"/>
        </w:rPr>
      </w:pPr>
      <w:r>
        <w:rPr>
          <w:rFonts w:ascii="Times New Roman" w:hAnsi="Times New Roman" w:eastAsiaTheme="minorEastAsia"/>
          <w:color w:val="000000" w:themeColor="text1"/>
          <w14:textFill>
            <w14:solidFill>
              <w14:schemeClr w14:val="tx1"/>
            </w14:solidFill>
          </w14:textFill>
        </w:rPr>
        <w:fldChar w:fldCharType="begin"/>
      </w:r>
      <w:r>
        <w:rPr>
          <w:rFonts w:ascii="Times New Roman" w:hAnsi="Times New Roman" w:eastAsiaTheme="minorEastAsia"/>
          <w:color w:val="000000" w:themeColor="text1"/>
          <w14:textFill>
            <w14:solidFill>
              <w14:schemeClr w14:val="tx1"/>
            </w14:solidFill>
          </w14:textFill>
        </w:rPr>
        <w:instrText xml:space="preserve"> TOC \o "1-3" \h \z \u </w:instrText>
      </w:r>
      <w:r>
        <w:rPr>
          <w:rFonts w:ascii="Times New Roman" w:hAnsi="Times New Roman" w:eastAsiaTheme="minorEastAsia"/>
          <w:color w:val="000000" w:themeColor="text1"/>
          <w14:textFill>
            <w14:solidFill>
              <w14:schemeClr w14:val="tx1"/>
            </w14:solidFill>
          </w14:textFill>
        </w:rPr>
        <w:fldChar w:fldCharType="separate"/>
      </w:r>
      <w:r>
        <w:fldChar w:fldCharType="begin"/>
      </w:r>
      <w:r>
        <w:instrText xml:space="preserve"> HYPERLINK \l "_Toc118452927" </w:instrText>
      </w:r>
      <w:r>
        <w:fldChar w:fldCharType="separate"/>
      </w:r>
      <w:r>
        <w:rPr>
          <w:rStyle w:val="35"/>
          <w:rFonts w:ascii="Times New Roman" w:hAnsi="Times New Roman"/>
          <w:b/>
        </w:rPr>
        <w:t>1  总则</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_Toc118452927 \h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fldChar w:fldCharType="end"/>
      </w:r>
    </w:p>
    <w:p>
      <w:pPr>
        <w:pStyle w:val="21"/>
        <w:tabs>
          <w:tab w:val="right" w:leader="dot" w:pos="8834"/>
        </w:tabs>
        <w:spacing w:after="0" w:line="360" w:lineRule="auto"/>
        <w:jc w:val="both"/>
        <w:rPr>
          <w:rFonts w:ascii="Times New Roman" w:hAnsi="Times New Roman" w:eastAsiaTheme="minorEastAsia"/>
          <w:kern w:val="2"/>
          <w:sz w:val="21"/>
        </w:rPr>
      </w:pPr>
      <w:r>
        <w:fldChar w:fldCharType="begin"/>
      </w:r>
      <w:r>
        <w:instrText xml:space="preserve"> HYPERLINK \l "_Toc118452928" </w:instrText>
      </w:r>
      <w:r>
        <w:fldChar w:fldCharType="separate"/>
      </w:r>
      <w:r>
        <w:rPr>
          <w:rStyle w:val="35"/>
          <w:rFonts w:ascii="Times New Roman" w:hAnsi="Times New Roman"/>
          <w:b/>
        </w:rPr>
        <w:t>2  基本规定</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_Toc118452928 \h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r>
        <w:rPr>
          <w:rFonts w:ascii="Times New Roman" w:hAnsi="Times New Roman"/>
        </w:rPr>
        <w:fldChar w:fldCharType="end"/>
      </w:r>
    </w:p>
    <w:p>
      <w:pPr>
        <w:pStyle w:val="22"/>
        <w:tabs>
          <w:tab w:val="right" w:leader="dot" w:pos="8834"/>
        </w:tabs>
        <w:spacing w:line="360" w:lineRule="auto"/>
        <w:rPr>
          <w:rFonts w:ascii="Times New Roman" w:hAnsi="Times New Roman" w:eastAsiaTheme="minorEastAsia"/>
        </w:rPr>
      </w:pPr>
      <w:r>
        <w:fldChar w:fldCharType="begin"/>
      </w:r>
      <w:r>
        <w:instrText xml:space="preserve"> HYPERLINK \l "_Toc118452929" </w:instrText>
      </w:r>
      <w:r>
        <w:fldChar w:fldCharType="separate"/>
      </w:r>
      <w:r>
        <w:rPr>
          <w:rStyle w:val="35"/>
          <w:rFonts w:ascii="Times New Roman" w:hAnsi="Times New Roman"/>
        </w:rPr>
        <w:t>2.1  规模、布局与功能</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_Toc118452929 \h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r>
        <w:rPr>
          <w:rFonts w:ascii="Times New Roman" w:hAnsi="Times New Roman"/>
        </w:rPr>
        <w:fldChar w:fldCharType="end"/>
      </w:r>
    </w:p>
    <w:p>
      <w:pPr>
        <w:pStyle w:val="22"/>
        <w:tabs>
          <w:tab w:val="right" w:leader="dot" w:pos="8834"/>
        </w:tabs>
        <w:spacing w:line="360" w:lineRule="auto"/>
        <w:rPr>
          <w:rFonts w:ascii="Times New Roman" w:hAnsi="Times New Roman" w:eastAsiaTheme="minorEastAsia"/>
        </w:rPr>
      </w:pPr>
      <w:r>
        <w:fldChar w:fldCharType="begin"/>
      </w:r>
      <w:r>
        <w:instrText xml:space="preserve"> HYPERLINK \l "_Toc118452930" </w:instrText>
      </w:r>
      <w:r>
        <w:fldChar w:fldCharType="separate"/>
      </w:r>
      <w:r>
        <w:rPr>
          <w:rStyle w:val="35"/>
          <w:rFonts w:ascii="Times New Roman" w:hAnsi="Times New Roman"/>
        </w:rPr>
        <w:t>2.2  职业健康与安全</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_Toc118452930 \h </w:instrText>
      </w:r>
      <w:r>
        <w:rPr>
          <w:rFonts w:ascii="Times New Roman" w:hAnsi="Times New Roman"/>
        </w:rPr>
        <w:fldChar w:fldCharType="separate"/>
      </w:r>
      <w:r>
        <w:rPr>
          <w:rFonts w:ascii="Times New Roman" w:hAnsi="Times New Roman"/>
        </w:rPr>
        <w:t>3</w:t>
      </w:r>
      <w:r>
        <w:rPr>
          <w:rFonts w:ascii="Times New Roman" w:hAnsi="Times New Roman"/>
        </w:rPr>
        <w:fldChar w:fldCharType="end"/>
      </w:r>
      <w:r>
        <w:rPr>
          <w:rFonts w:ascii="Times New Roman" w:hAnsi="Times New Roman"/>
        </w:rPr>
        <w:fldChar w:fldCharType="end"/>
      </w:r>
    </w:p>
    <w:p>
      <w:pPr>
        <w:pStyle w:val="22"/>
        <w:tabs>
          <w:tab w:val="right" w:leader="dot" w:pos="8834"/>
        </w:tabs>
        <w:spacing w:line="360" w:lineRule="auto"/>
        <w:rPr>
          <w:rFonts w:ascii="Times New Roman" w:hAnsi="Times New Roman" w:eastAsiaTheme="minorEastAsia"/>
        </w:rPr>
      </w:pPr>
      <w:r>
        <w:fldChar w:fldCharType="begin"/>
      </w:r>
      <w:r>
        <w:instrText xml:space="preserve"> HYPERLINK \l "_Toc118452931" </w:instrText>
      </w:r>
      <w:r>
        <w:fldChar w:fldCharType="separate"/>
      </w:r>
      <w:r>
        <w:rPr>
          <w:rStyle w:val="35"/>
          <w:rFonts w:ascii="Times New Roman" w:hAnsi="Times New Roman"/>
        </w:rPr>
        <w:t>2.3  安全监测、报警与自动控制</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_Toc118452931 \h </w:instrText>
      </w:r>
      <w:r>
        <w:rPr>
          <w:rFonts w:ascii="Times New Roman" w:hAnsi="Times New Roman"/>
        </w:rPr>
        <w:fldChar w:fldCharType="separate"/>
      </w:r>
      <w:r>
        <w:rPr>
          <w:rFonts w:ascii="Times New Roman" w:hAnsi="Times New Roman"/>
        </w:rPr>
        <w:t>4</w:t>
      </w:r>
      <w:r>
        <w:rPr>
          <w:rFonts w:ascii="Times New Roman" w:hAnsi="Times New Roman"/>
        </w:rPr>
        <w:fldChar w:fldCharType="end"/>
      </w:r>
      <w:r>
        <w:rPr>
          <w:rFonts w:ascii="Times New Roman" w:hAnsi="Times New Roman"/>
        </w:rPr>
        <w:fldChar w:fldCharType="end"/>
      </w:r>
    </w:p>
    <w:p>
      <w:pPr>
        <w:pStyle w:val="22"/>
        <w:tabs>
          <w:tab w:val="right" w:leader="dot" w:pos="8834"/>
        </w:tabs>
        <w:spacing w:line="360" w:lineRule="auto"/>
        <w:rPr>
          <w:rFonts w:ascii="Times New Roman" w:hAnsi="Times New Roman" w:eastAsiaTheme="minorEastAsia"/>
        </w:rPr>
      </w:pPr>
      <w:r>
        <w:fldChar w:fldCharType="begin"/>
      </w:r>
      <w:r>
        <w:instrText xml:space="preserve"> HYPERLINK \l "_Toc118452932" </w:instrText>
      </w:r>
      <w:r>
        <w:fldChar w:fldCharType="separate"/>
      </w:r>
      <w:r>
        <w:rPr>
          <w:rStyle w:val="35"/>
          <w:rFonts w:ascii="Times New Roman" w:hAnsi="Times New Roman"/>
        </w:rPr>
        <w:t>2.4  生态环境保护</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_Toc118452932 \h </w:instrText>
      </w:r>
      <w:r>
        <w:rPr>
          <w:rFonts w:ascii="Times New Roman" w:hAnsi="Times New Roman"/>
        </w:rPr>
        <w:fldChar w:fldCharType="separate"/>
      </w:r>
      <w:r>
        <w:rPr>
          <w:rFonts w:ascii="Times New Roman" w:hAnsi="Times New Roman"/>
        </w:rPr>
        <w:t>5</w:t>
      </w:r>
      <w:r>
        <w:rPr>
          <w:rFonts w:ascii="Times New Roman" w:hAnsi="Times New Roman"/>
        </w:rPr>
        <w:fldChar w:fldCharType="end"/>
      </w:r>
      <w:r>
        <w:rPr>
          <w:rFonts w:ascii="Times New Roman" w:hAnsi="Times New Roman"/>
        </w:rPr>
        <w:fldChar w:fldCharType="end"/>
      </w:r>
    </w:p>
    <w:p>
      <w:pPr>
        <w:pStyle w:val="22"/>
        <w:tabs>
          <w:tab w:val="right" w:leader="dot" w:pos="8834"/>
        </w:tabs>
        <w:spacing w:line="360" w:lineRule="auto"/>
        <w:rPr>
          <w:rFonts w:ascii="Times New Roman" w:hAnsi="Times New Roman" w:eastAsiaTheme="minorEastAsia"/>
        </w:rPr>
      </w:pPr>
      <w:r>
        <w:fldChar w:fldCharType="begin"/>
      </w:r>
      <w:r>
        <w:instrText xml:space="preserve"> HYPERLINK \l "_Toc118452933" </w:instrText>
      </w:r>
      <w:r>
        <w:fldChar w:fldCharType="separate"/>
      </w:r>
      <w:r>
        <w:rPr>
          <w:rStyle w:val="35"/>
          <w:rFonts w:ascii="Times New Roman" w:hAnsi="Times New Roman"/>
        </w:rPr>
        <w:t>2.5  能源资源利用</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_Toc118452933 \h </w:instrText>
      </w:r>
      <w:r>
        <w:rPr>
          <w:rFonts w:ascii="Times New Roman" w:hAnsi="Times New Roman"/>
        </w:rPr>
        <w:fldChar w:fldCharType="separate"/>
      </w:r>
      <w:r>
        <w:rPr>
          <w:rFonts w:ascii="Times New Roman" w:hAnsi="Times New Roman"/>
        </w:rPr>
        <w:t>6</w:t>
      </w:r>
      <w:r>
        <w:rPr>
          <w:rFonts w:ascii="Times New Roman" w:hAnsi="Times New Roman"/>
        </w:rPr>
        <w:fldChar w:fldCharType="end"/>
      </w:r>
      <w:r>
        <w:rPr>
          <w:rFonts w:ascii="Times New Roman" w:hAnsi="Times New Roman"/>
        </w:rPr>
        <w:fldChar w:fldCharType="end"/>
      </w:r>
    </w:p>
    <w:p>
      <w:pPr>
        <w:pStyle w:val="22"/>
        <w:tabs>
          <w:tab w:val="right" w:leader="dot" w:pos="8834"/>
        </w:tabs>
        <w:spacing w:line="360" w:lineRule="auto"/>
        <w:rPr>
          <w:rFonts w:ascii="Times New Roman" w:hAnsi="Times New Roman" w:eastAsiaTheme="minorEastAsia"/>
        </w:rPr>
      </w:pPr>
      <w:r>
        <w:fldChar w:fldCharType="begin"/>
      </w:r>
      <w:r>
        <w:instrText xml:space="preserve"> HYPERLINK \l "_Toc118452934" </w:instrText>
      </w:r>
      <w:r>
        <w:fldChar w:fldCharType="separate"/>
      </w:r>
      <w:r>
        <w:rPr>
          <w:rStyle w:val="35"/>
          <w:rFonts w:ascii="Times New Roman" w:hAnsi="Times New Roman"/>
        </w:rPr>
        <w:t>2.6  工程安装</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_Toc118452934 \h </w:instrText>
      </w:r>
      <w:r>
        <w:rPr>
          <w:rFonts w:ascii="Times New Roman" w:hAnsi="Times New Roman"/>
        </w:rPr>
        <w:fldChar w:fldCharType="separate"/>
      </w:r>
      <w:r>
        <w:rPr>
          <w:rFonts w:ascii="Times New Roman" w:hAnsi="Times New Roman"/>
        </w:rPr>
        <w:t>6</w:t>
      </w:r>
      <w:r>
        <w:rPr>
          <w:rFonts w:ascii="Times New Roman" w:hAnsi="Times New Roman"/>
        </w:rPr>
        <w:fldChar w:fldCharType="end"/>
      </w:r>
      <w:r>
        <w:rPr>
          <w:rFonts w:ascii="Times New Roman" w:hAnsi="Times New Roman"/>
        </w:rPr>
        <w:fldChar w:fldCharType="end"/>
      </w:r>
    </w:p>
    <w:p>
      <w:pPr>
        <w:pStyle w:val="22"/>
        <w:tabs>
          <w:tab w:val="right" w:leader="dot" w:pos="8834"/>
        </w:tabs>
        <w:spacing w:line="360" w:lineRule="auto"/>
        <w:rPr>
          <w:rFonts w:ascii="Times New Roman" w:hAnsi="Times New Roman" w:eastAsiaTheme="minorEastAsia"/>
        </w:rPr>
      </w:pPr>
      <w:r>
        <w:fldChar w:fldCharType="begin"/>
      </w:r>
      <w:r>
        <w:instrText xml:space="preserve"> HYPERLINK \l "_Toc118452935" </w:instrText>
      </w:r>
      <w:r>
        <w:fldChar w:fldCharType="separate"/>
      </w:r>
      <w:r>
        <w:rPr>
          <w:rStyle w:val="35"/>
          <w:rFonts w:ascii="Times New Roman" w:hAnsi="Times New Roman"/>
        </w:rPr>
        <w:t>2.7  工程运</w:t>
      </w:r>
      <w:r>
        <w:rPr>
          <w:rStyle w:val="35"/>
          <w:rFonts w:hint="eastAsia" w:ascii="Times New Roman" w:hAnsi="Times New Roman"/>
        </w:rPr>
        <w:t>行与</w:t>
      </w:r>
      <w:r>
        <w:rPr>
          <w:rStyle w:val="35"/>
          <w:rFonts w:ascii="Times New Roman" w:hAnsi="Times New Roman"/>
        </w:rPr>
        <w:t>维</w:t>
      </w:r>
      <w:r>
        <w:rPr>
          <w:rStyle w:val="35"/>
          <w:rFonts w:hint="eastAsia" w:ascii="Times New Roman" w:hAnsi="Times New Roman"/>
        </w:rPr>
        <w:t>护</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_Toc118452935 \h </w:instrText>
      </w:r>
      <w:r>
        <w:rPr>
          <w:rFonts w:ascii="Times New Roman" w:hAnsi="Times New Roman"/>
        </w:rPr>
        <w:fldChar w:fldCharType="separate"/>
      </w:r>
      <w:r>
        <w:rPr>
          <w:rFonts w:ascii="Times New Roman" w:hAnsi="Times New Roman"/>
        </w:rPr>
        <w:t>7</w:t>
      </w:r>
      <w:r>
        <w:rPr>
          <w:rFonts w:ascii="Times New Roman" w:hAnsi="Times New Roman"/>
        </w:rPr>
        <w:fldChar w:fldCharType="end"/>
      </w:r>
      <w:r>
        <w:rPr>
          <w:rFonts w:ascii="Times New Roman" w:hAnsi="Times New Roman"/>
        </w:rPr>
        <w:fldChar w:fldCharType="end"/>
      </w:r>
    </w:p>
    <w:p>
      <w:pPr>
        <w:pStyle w:val="22"/>
        <w:tabs>
          <w:tab w:val="right" w:leader="dot" w:pos="8834"/>
        </w:tabs>
        <w:spacing w:line="360" w:lineRule="auto"/>
        <w:rPr>
          <w:rFonts w:ascii="Times New Roman" w:hAnsi="Times New Roman" w:eastAsiaTheme="minorEastAsia"/>
        </w:rPr>
      </w:pPr>
      <w:r>
        <w:fldChar w:fldCharType="begin"/>
      </w:r>
      <w:r>
        <w:instrText xml:space="preserve"> HYPERLINK \l "_Toc118452936" </w:instrText>
      </w:r>
      <w:r>
        <w:fldChar w:fldCharType="separate"/>
      </w:r>
      <w:r>
        <w:rPr>
          <w:rStyle w:val="35"/>
          <w:rFonts w:ascii="Times New Roman" w:hAnsi="Times New Roman"/>
        </w:rPr>
        <w:t>2.8  工程拆除</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_Toc118452936 \h </w:instrText>
      </w:r>
      <w:r>
        <w:rPr>
          <w:rFonts w:ascii="Times New Roman" w:hAnsi="Times New Roman"/>
        </w:rPr>
        <w:fldChar w:fldCharType="separate"/>
      </w:r>
      <w:r>
        <w:rPr>
          <w:rFonts w:ascii="Times New Roman" w:hAnsi="Times New Roman"/>
        </w:rPr>
        <w:t>9</w:t>
      </w:r>
      <w:r>
        <w:rPr>
          <w:rFonts w:ascii="Times New Roman" w:hAnsi="Times New Roman"/>
        </w:rPr>
        <w:fldChar w:fldCharType="end"/>
      </w:r>
      <w:r>
        <w:rPr>
          <w:rFonts w:ascii="Times New Roman" w:hAnsi="Times New Roman"/>
        </w:rPr>
        <w:fldChar w:fldCharType="end"/>
      </w:r>
    </w:p>
    <w:p>
      <w:pPr>
        <w:pStyle w:val="22"/>
        <w:tabs>
          <w:tab w:val="right" w:leader="dot" w:pos="8834"/>
        </w:tabs>
        <w:spacing w:line="360" w:lineRule="auto"/>
        <w:rPr>
          <w:rFonts w:ascii="Times New Roman" w:hAnsi="Times New Roman" w:eastAsiaTheme="minorEastAsia"/>
        </w:rPr>
      </w:pPr>
      <w:r>
        <w:fldChar w:fldCharType="begin"/>
      </w:r>
      <w:r>
        <w:instrText xml:space="preserve"> HYPERLINK \l "_Toc118452937" </w:instrText>
      </w:r>
      <w:r>
        <w:fldChar w:fldCharType="separate"/>
      </w:r>
      <w:r>
        <w:rPr>
          <w:rStyle w:val="35"/>
          <w:rFonts w:ascii="Times New Roman" w:hAnsi="Times New Roman"/>
        </w:rPr>
        <w:t>2.9  土壤污染风险管控和修复</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_Toc118452937 \h </w:instrText>
      </w:r>
      <w:r>
        <w:rPr>
          <w:rFonts w:ascii="Times New Roman" w:hAnsi="Times New Roman"/>
        </w:rPr>
        <w:fldChar w:fldCharType="separate"/>
      </w:r>
      <w:r>
        <w:rPr>
          <w:rFonts w:ascii="Times New Roman" w:hAnsi="Times New Roman"/>
        </w:rPr>
        <w:t>10</w:t>
      </w:r>
      <w:r>
        <w:rPr>
          <w:rFonts w:ascii="Times New Roman" w:hAnsi="Times New Roman"/>
        </w:rPr>
        <w:fldChar w:fldCharType="end"/>
      </w:r>
      <w:r>
        <w:rPr>
          <w:rFonts w:ascii="Times New Roman" w:hAnsi="Times New Roman"/>
        </w:rPr>
        <w:fldChar w:fldCharType="end"/>
      </w:r>
    </w:p>
    <w:p>
      <w:pPr>
        <w:pStyle w:val="21"/>
        <w:tabs>
          <w:tab w:val="right" w:leader="dot" w:pos="8834"/>
        </w:tabs>
        <w:spacing w:after="0" w:line="360" w:lineRule="auto"/>
        <w:jc w:val="both"/>
        <w:rPr>
          <w:rFonts w:ascii="Times New Roman" w:hAnsi="Times New Roman" w:eastAsiaTheme="minorEastAsia"/>
          <w:kern w:val="2"/>
          <w:sz w:val="21"/>
        </w:rPr>
      </w:pPr>
      <w:r>
        <w:fldChar w:fldCharType="begin"/>
      </w:r>
      <w:r>
        <w:instrText xml:space="preserve"> HYPERLINK \l "_Toc118452938" </w:instrText>
      </w:r>
      <w:r>
        <w:fldChar w:fldCharType="separate"/>
      </w:r>
      <w:r>
        <w:rPr>
          <w:rStyle w:val="35"/>
          <w:rFonts w:ascii="Times New Roman" w:hAnsi="Times New Roman"/>
          <w:b/>
        </w:rPr>
        <w:t>3  物料贮存与预处理</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_Toc118452938 \h </w:instrText>
      </w:r>
      <w:r>
        <w:rPr>
          <w:rFonts w:ascii="Times New Roman" w:hAnsi="Times New Roman"/>
        </w:rPr>
        <w:fldChar w:fldCharType="separate"/>
      </w:r>
      <w:r>
        <w:rPr>
          <w:rFonts w:ascii="Times New Roman" w:hAnsi="Times New Roman"/>
        </w:rPr>
        <w:t>11</w:t>
      </w:r>
      <w:r>
        <w:rPr>
          <w:rFonts w:ascii="Times New Roman" w:hAnsi="Times New Roman"/>
        </w:rPr>
        <w:fldChar w:fldCharType="end"/>
      </w:r>
      <w:r>
        <w:rPr>
          <w:rFonts w:ascii="Times New Roman" w:hAnsi="Times New Roman"/>
        </w:rPr>
        <w:fldChar w:fldCharType="end"/>
      </w:r>
    </w:p>
    <w:p>
      <w:pPr>
        <w:pStyle w:val="22"/>
        <w:tabs>
          <w:tab w:val="right" w:leader="dot" w:pos="8834"/>
        </w:tabs>
        <w:spacing w:line="360" w:lineRule="auto"/>
        <w:rPr>
          <w:rFonts w:ascii="Times New Roman" w:hAnsi="Times New Roman" w:eastAsiaTheme="minorEastAsia"/>
        </w:rPr>
      </w:pPr>
      <w:r>
        <w:fldChar w:fldCharType="begin"/>
      </w:r>
      <w:r>
        <w:instrText xml:space="preserve"> HYPERLINK \l "_Toc118452939" </w:instrText>
      </w:r>
      <w:r>
        <w:fldChar w:fldCharType="separate"/>
      </w:r>
      <w:r>
        <w:rPr>
          <w:rStyle w:val="35"/>
          <w:rFonts w:ascii="Times New Roman" w:hAnsi="Times New Roman"/>
        </w:rPr>
        <w:t>3.1  物料贮存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_Toc118452939 \h </w:instrText>
      </w:r>
      <w:r>
        <w:rPr>
          <w:rFonts w:ascii="Times New Roman" w:hAnsi="Times New Roman"/>
        </w:rPr>
        <w:fldChar w:fldCharType="separate"/>
      </w:r>
      <w:r>
        <w:rPr>
          <w:rFonts w:ascii="Times New Roman" w:hAnsi="Times New Roman"/>
        </w:rPr>
        <w:t>11</w:t>
      </w:r>
      <w:r>
        <w:rPr>
          <w:rFonts w:ascii="Times New Roman" w:hAnsi="Times New Roman"/>
        </w:rPr>
        <w:fldChar w:fldCharType="end"/>
      </w:r>
      <w:r>
        <w:rPr>
          <w:rFonts w:ascii="Times New Roman" w:hAnsi="Times New Roman"/>
        </w:rPr>
        <w:fldChar w:fldCharType="end"/>
      </w:r>
    </w:p>
    <w:p>
      <w:pPr>
        <w:pStyle w:val="22"/>
        <w:tabs>
          <w:tab w:val="right" w:leader="dot" w:pos="8834"/>
        </w:tabs>
        <w:spacing w:line="360" w:lineRule="auto"/>
        <w:rPr>
          <w:rFonts w:ascii="Times New Roman" w:hAnsi="Times New Roman" w:eastAsiaTheme="minorEastAsia"/>
        </w:rPr>
      </w:pPr>
      <w:r>
        <w:fldChar w:fldCharType="begin"/>
      </w:r>
      <w:r>
        <w:instrText xml:space="preserve"> HYPERLINK \l "_Toc118452940" </w:instrText>
      </w:r>
      <w:r>
        <w:fldChar w:fldCharType="separate"/>
      </w:r>
      <w:r>
        <w:rPr>
          <w:rStyle w:val="35"/>
          <w:rFonts w:ascii="Times New Roman" w:hAnsi="Times New Roman"/>
        </w:rPr>
        <w:t>3.2  再生原料预处理</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_Toc118452940 \h </w:instrText>
      </w:r>
      <w:r>
        <w:rPr>
          <w:rFonts w:ascii="Times New Roman" w:hAnsi="Times New Roman"/>
        </w:rPr>
        <w:fldChar w:fldCharType="separate"/>
      </w:r>
      <w:r>
        <w:rPr>
          <w:rFonts w:ascii="Times New Roman" w:hAnsi="Times New Roman"/>
        </w:rPr>
        <w:t>12</w:t>
      </w:r>
      <w:r>
        <w:rPr>
          <w:rFonts w:ascii="Times New Roman" w:hAnsi="Times New Roman"/>
        </w:rPr>
        <w:fldChar w:fldCharType="end"/>
      </w:r>
      <w:r>
        <w:rPr>
          <w:rFonts w:ascii="Times New Roman" w:hAnsi="Times New Roman"/>
        </w:rPr>
        <w:fldChar w:fldCharType="end"/>
      </w:r>
    </w:p>
    <w:p>
      <w:pPr>
        <w:pStyle w:val="21"/>
        <w:tabs>
          <w:tab w:val="right" w:leader="dot" w:pos="8834"/>
        </w:tabs>
        <w:spacing w:after="0" w:line="360" w:lineRule="auto"/>
        <w:jc w:val="both"/>
        <w:rPr>
          <w:rFonts w:ascii="Times New Roman" w:hAnsi="Times New Roman" w:eastAsiaTheme="minorEastAsia"/>
          <w:kern w:val="2"/>
          <w:sz w:val="21"/>
        </w:rPr>
      </w:pPr>
      <w:r>
        <w:fldChar w:fldCharType="begin"/>
      </w:r>
      <w:r>
        <w:instrText xml:space="preserve"> HYPERLINK \l "_Toc118452941" </w:instrText>
      </w:r>
      <w:r>
        <w:fldChar w:fldCharType="separate"/>
      </w:r>
      <w:r>
        <w:rPr>
          <w:rStyle w:val="35"/>
          <w:rFonts w:ascii="Times New Roman" w:hAnsi="Times New Roman"/>
          <w:b/>
        </w:rPr>
        <w:t>4  火法冶金</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_Toc118452941 \h </w:instrText>
      </w:r>
      <w:r>
        <w:rPr>
          <w:rFonts w:ascii="Times New Roman" w:hAnsi="Times New Roman"/>
        </w:rPr>
        <w:fldChar w:fldCharType="separate"/>
      </w:r>
      <w:r>
        <w:rPr>
          <w:rFonts w:ascii="Times New Roman" w:hAnsi="Times New Roman"/>
        </w:rPr>
        <w:t>13</w:t>
      </w:r>
      <w:r>
        <w:rPr>
          <w:rFonts w:ascii="Times New Roman" w:hAnsi="Times New Roman"/>
        </w:rPr>
        <w:fldChar w:fldCharType="end"/>
      </w:r>
      <w:r>
        <w:rPr>
          <w:rFonts w:ascii="Times New Roman" w:hAnsi="Times New Roman"/>
        </w:rPr>
        <w:fldChar w:fldCharType="end"/>
      </w:r>
    </w:p>
    <w:p>
      <w:pPr>
        <w:pStyle w:val="21"/>
        <w:tabs>
          <w:tab w:val="right" w:leader="dot" w:pos="8834"/>
        </w:tabs>
        <w:spacing w:after="0" w:line="360" w:lineRule="auto"/>
        <w:jc w:val="both"/>
        <w:rPr>
          <w:rFonts w:ascii="Times New Roman" w:hAnsi="Times New Roman" w:eastAsiaTheme="minorEastAsia"/>
          <w:kern w:val="2"/>
          <w:sz w:val="21"/>
        </w:rPr>
      </w:pPr>
      <w:r>
        <w:fldChar w:fldCharType="begin"/>
      </w:r>
      <w:r>
        <w:instrText xml:space="preserve"> HYPERLINK \l "_Toc118452942" </w:instrText>
      </w:r>
      <w:r>
        <w:fldChar w:fldCharType="separate"/>
      </w:r>
      <w:r>
        <w:rPr>
          <w:rStyle w:val="35"/>
          <w:rFonts w:ascii="Times New Roman" w:hAnsi="Times New Roman"/>
          <w:b/>
        </w:rPr>
        <w:t>5  湿法冶金</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_Toc118452942 \h </w:instrText>
      </w:r>
      <w:r>
        <w:rPr>
          <w:rFonts w:ascii="Times New Roman" w:hAnsi="Times New Roman"/>
        </w:rPr>
        <w:fldChar w:fldCharType="separate"/>
      </w:r>
      <w:r>
        <w:rPr>
          <w:rFonts w:ascii="Times New Roman" w:hAnsi="Times New Roman"/>
        </w:rPr>
        <w:t>16</w:t>
      </w:r>
      <w:r>
        <w:rPr>
          <w:rFonts w:ascii="Times New Roman" w:hAnsi="Times New Roman"/>
        </w:rPr>
        <w:fldChar w:fldCharType="end"/>
      </w:r>
      <w:r>
        <w:rPr>
          <w:rFonts w:ascii="Times New Roman" w:hAnsi="Times New Roman"/>
        </w:rPr>
        <w:fldChar w:fldCharType="end"/>
      </w:r>
    </w:p>
    <w:p>
      <w:pPr>
        <w:pStyle w:val="21"/>
        <w:tabs>
          <w:tab w:val="right" w:leader="dot" w:pos="8834"/>
        </w:tabs>
        <w:spacing w:after="0" w:line="360" w:lineRule="auto"/>
        <w:jc w:val="both"/>
        <w:rPr>
          <w:rFonts w:ascii="Times New Roman" w:hAnsi="Times New Roman" w:eastAsiaTheme="minorEastAsia"/>
          <w:kern w:val="2"/>
          <w:sz w:val="21"/>
        </w:rPr>
      </w:pPr>
      <w:r>
        <w:fldChar w:fldCharType="begin"/>
      </w:r>
      <w:r>
        <w:instrText xml:space="preserve"> HYPERLINK \l "_Toc118452943" </w:instrText>
      </w:r>
      <w:r>
        <w:fldChar w:fldCharType="separate"/>
      </w:r>
      <w:r>
        <w:rPr>
          <w:rStyle w:val="35"/>
          <w:rFonts w:ascii="Times New Roman" w:hAnsi="Times New Roman"/>
          <w:b/>
        </w:rPr>
        <w:t>6  冶炼烟气处理</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_Toc118452943 \h </w:instrText>
      </w:r>
      <w:r>
        <w:rPr>
          <w:rFonts w:ascii="Times New Roman" w:hAnsi="Times New Roman"/>
        </w:rPr>
        <w:fldChar w:fldCharType="separate"/>
      </w:r>
      <w:r>
        <w:rPr>
          <w:rFonts w:ascii="Times New Roman" w:hAnsi="Times New Roman"/>
        </w:rPr>
        <w:t>18</w:t>
      </w:r>
      <w:r>
        <w:rPr>
          <w:rFonts w:ascii="Times New Roman" w:hAnsi="Times New Roman"/>
        </w:rPr>
        <w:fldChar w:fldCharType="end"/>
      </w:r>
      <w:r>
        <w:rPr>
          <w:rFonts w:ascii="Times New Roman" w:hAnsi="Times New Roman"/>
        </w:rPr>
        <w:fldChar w:fldCharType="end"/>
      </w:r>
    </w:p>
    <w:p>
      <w:pPr>
        <w:pStyle w:val="22"/>
        <w:tabs>
          <w:tab w:val="right" w:leader="dot" w:pos="8834"/>
        </w:tabs>
        <w:spacing w:line="360" w:lineRule="auto"/>
        <w:rPr>
          <w:rFonts w:ascii="Times New Roman" w:hAnsi="Times New Roman" w:eastAsiaTheme="minorEastAsia"/>
        </w:rPr>
      </w:pPr>
      <w:r>
        <w:fldChar w:fldCharType="begin"/>
      </w:r>
      <w:r>
        <w:instrText xml:space="preserve"> HYPERLINK \l "_Toc118452944" </w:instrText>
      </w:r>
      <w:r>
        <w:fldChar w:fldCharType="separate"/>
      </w:r>
      <w:r>
        <w:rPr>
          <w:rStyle w:val="35"/>
          <w:rFonts w:ascii="Times New Roman" w:hAnsi="Times New Roman"/>
        </w:rPr>
        <w:t>6.1  干式除尘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_Toc118452944 \h </w:instrText>
      </w:r>
      <w:r>
        <w:rPr>
          <w:rFonts w:ascii="Times New Roman" w:hAnsi="Times New Roman"/>
        </w:rPr>
        <w:fldChar w:fldCharType="separate"/>
      </w:r>
      <w:r>
        <w:rPr>
          <w:rFonts w:ascii="Times New Roman" w:hAnsi="Times New Roman"/>
        </w:rPr>
        <w:t>18</w:t>
      </w:r>
      <w:r>
        <w:rPr>
          <w:rFonts w:ascii="Times New Roman" w:hAnsi="Times New Roman"/>
        </w:rPr>
        <w:fldChar w:fldCharType="end"/>
      </w:r>
      <w:r>
        <w:rPr>
          <w:rFonts w:ascii="Times New Roman" w:hAnsi="Times New Roman"/>
        </w:rPr>
        <w:fldChar w:fldCharType="end"/>
      </w:r>
    </w:p>
    <w:p>
      <w:pPr>
        <w:pStyle w:val="22"/>
        <w:tabs>
          <w:tab w:val="right" w:leader="dot" w:pos="8834"/>
        </w:tabs>
        <w:spacing w:line="360" w:lineRule="auto"/>
        <w:rPr>
          <w:rFonts w:ascii="Times New Roman" w:hAnsi="Times New Roman" w:eastAsiaTheme="minorEastAsia"/>
        </w:rPr>
      </w:pPr>
      <w:r>
        <w:fldChar w:fldCharType="begin"/>
      </w:r>
      <w:r>
        <w:instrText xml:space="preserve"> HYPERLINK \l "_Toc118452945" </w:instrText>
      </w:r>
      <w:r>
        <w:fldChar w:fldCharType="separate"/>
      </w:r>
      <w:r>
        <w:rPr>
          <w:rStyle w:val="35"/>
          <w:rFonts w:ascii="Times New Roman" w:hAnsi="Times New Roman"/>
        </w:rPr>
        <w:t>6.2  净化与制酸</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_Toc118452945 \h </w:instrText>
      </w:r>
      <w:r>
        <w:rPr>
          <w:rFonts w:ascii="Times New Roman" w:hAnsi="Times New Roman"/>
        </w:rPr>
        <w:fldChar w:fldCharType="separate"/>
      </w:r>
      <w:r>
        <w:rPr>
          <w:rFonts w:ascii="Times New Roman" w:hAnsi="Times New Roman"/>
        </w:rPr>
        <w:t>18</w:t>
      </w:r>
      <w:r>
        <w:rPr>
          <w:rFonts w:ascii="Times New Roman" w:hAnsi="Times New Roman"/>
        </w:rPr>
        <w:fldChar w:fldCharType="end"/>
      </w:r>
      <w:r>
        <w:rPr>
          <w:rFonts w:ascii="Times New Roman" w:hAnsi="Times New Roman"/>
        </w:rPr>
        <w:fldChar w:fldCharType="end"/>
      </w:r>
    </w:p>
    <w:p>
      <w:pPr>
        <w:pStyle w:val="22"/>
        <w:tabs>
          <w:tab w:val="right" w:leader="dot" w:pos="8834"/>
        </w:tabs>
        <w:spacing w:line="360" w:lineRule="auto"/>
        <w:rPr>
          <w:rFonts w:ascii="Times New Roman" w:hAnsi="Times New Roman" w:eastAsiaTheme="minorEastAsia"/>
        </w:rPr>
      </w:pPr>
      <w:r>
        <w:fldChar w:fldCharType="begin"/>
      </w:r>
      <w:r>
        <w:instrText xml:space="preserve"> HYPERLINK \l "_Toc118452946" </w:instrText>
      </w:r>
      <w:r>
        <w:fldChar w:fldCharType="separate"/>
      </w:r>
      <w:r>
        <w:rPr>
          <w:rStyle w:val="35"/>
          <w:rFonts w:ascii="Times New Roman" w:hAnsi="Times New Roman"/>
        </w:rPr>
        <w:t>6.3  脱硫、脱硝</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_Toc118452946 \h </w:instrText>
      </w:r>
      <w:r>
        <w:rPr>
          <w:rFonts w:ascii="Times New Roman" w:hAnsi="Times New Roman"/>
        </w:rPr>
        <w:fldChar w:fldCharType="separate"/>
      </w:r>
      <w:r>
        <w:rPr>
          <w:rFonts w:ascii="Times New Roman" w:hAnsi="Times New Roman"/>
        </w:rPr>
        <w:t>18</w:t>
      </w:r>
      <w:r>
        <w:rPr>
          <w:rFonts w:ascii="Times New Roman" w:hAnsi="Times New Roman"/>
        </w:rPr>
        <w:fldChar w:fldCharType="end"/>
      </w:r>
      <w:r>
        <w:rPr>
          <w:rFonts w:ascii="Times New Roman" w:hAnsi="Times New Roman"/>
        </w:rPr>
        <w:fldChar w:fldCharType="end"/>
      </w:r>
    </w:p>
    <w:p>
      <w:pPr>
        <w:pStyle w:val="22"/>
        <w:tabs>
          <w:tab w:val="right" w:leader="dot" w:pos="8834"/>
        </w:tabs>
        <w:spacing w:line="360" w:lineRule="auto"/>
        <w:rPr>
          <w:rFonts w:ascii="Times New Roman" w:hAnsi="Times New Roman" w:eastAsiaTheme="minorEastAsia"/>
        </w:rPr>
      </w:pPr>
      <w:r>
        <w:fldChar w:fldCharType="begin"/>
      </w:r>
      <w:r>
        <w:instrText xml:space="preserve"> HYPERLINK \l "_Toc118452947" </w:instrText>
      </w:r>
      <w:r>
        <w:fldChar w:fldCharType="separate"/>
      </w:r>
      <w:r>
        <w:rPr>
          <w:rStyle w:val="35"/>
          <w:rFonts w:ascii="Times New Roman" w:hAnsi="Times New Roman"/>
        </w:rPr>
        <w:t>6.4  余热回收</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_Toc118452947 \h </w:instrText>
      </w:r>
      <w:r>
        <w:rPr>
          <w:rFonts w:ascii="Times New Roman" w:hAnsi="Times New Roman"/>
        </w:rPr>
        <w:fldChar w:fldCharType="separate"/>
      </w:r>
      <w:r>
        <w:rPr>
          <w:rFonts w:ascii="Times New Roman" w:hAnsi="Times New Roman"/>
        </w:rPr>
        <w:t>19</w:t>
      </w:r>
      <w:r>
        <w:rPr>
          <w:rFonts w:ascii="Times New Roman" w:hAnsi="Times New Roman"/>
        </w:rPr>
        <w:fldChar w:fldCharType="end"/>
      </w:r>
      <w:r>
        <w:rPr>
          <w:rFonts w:ascii="Times New Roman" w:hAnsi="Times New Roman"/>
        </w:rPr>
        <w:fldChar w:fldCharType="end"/>
      </w:r>
    </w:p>
    <w:p>
      <w:pPr>
        <w:pStyle w:val="21"/>
        <w:tabs>
          <w:tab w:val="right" w:leader="dot" w:pos="8834"/>
        </w:tabs>
        <w:spacing w:after="0" w:line="360" w:lineRule="auto"/>
        <w:jc w:val="both"/>
        <w:rPr>
          <w:rFonts w:ascii="Times New Roman" w:hAnsi="Times New Roman" w:eastAsiaTheme="minorEastAsia"/>
          <w:kern w:val="2"/>
          <w:sz w:val="21"/>
        </w:rPr>
      </w:pPr>
      <w:r>
        <w:fldChar w:fldCharType="begin"/>
      </w:r>
      <w:r>
        <w:instrText xml:space="preserve"> HYPERLINK \l "_Toc118452948" </w:instrText>
      </w:r>
      <w:r>
        <w:fldChar w:fldCharType="separate"/>
      </w:r>
      <w:r>
        <w:rPr>
          <w:rStyle w:val="35"/>
          <w:rFonts w:ascii="Times New Roman" w:hAnsi="Times New Roman"/>
          <w:b/>
        </w:rPr>
        <w:t xml:space="preserve">附：条文说明 </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_Toc118452948 \h </w:instrText>
      </w:r>
      <w:r>
        <w:rPr>
          <w:rFonts w:ascii="Times New Roman" w:hAnsi="Times New Roman"/>
        </w:rPr>
        <w:fldChar w:fldCharType="separate"/>
      </w:r>
      <w:r>
        <w:rPr>
          <w:rFonts w:ascii="Times New Roman" w:hAnsi="Times New Roman"/>
        </w:rPr>
        <w:t>20</w:t>
      </w:r>
      <w:r>
        <w:rPr>
          <w:rFonts w:ascii="Times New Roman" w:hAnsi="Times New Roman"/>
        </w:rPr>
        <w:fldChar w:fldCharType="end"/>
      </w:r>
      <w:r>
        <w:rPr>
          <w:rFonts w:ascii="Times New Roman" w:hAnsi="Times New Roman"/>
        </w:rPr>
        <w:fldChar w:fldCharType="end"/>
      </w:r>
    </w:p>
    <w:p>
      <w:pPr>
        <w:widowControl/>
        <w:spacing w:line="360" w:lineRule="auto"/>
        <w:rPr>
          <w:rFonts w:ascii="Times New Roman" w:hAnsi="Times New Roman" w:eastAsiaTheme="minorEastAsia"/>
          <w:b/>
          <w:bCs/>
          <w:color w:val="000000" w:themeColor="text1"/>
          <w14:textFill>
            <w14:solidFill>
              <w14:schemeClr w14:val="tx1"/>
            </w14:solidFill>
          </w14:textFill>
        </w:rPr>
      </w:pPr>
      <w:r>
        <w:rPr>
          <w:rFonts w:ascii="Times New Roman" w:hAnsi="Times New Roman" w:eastAsiaTheme="minorEastAsia"/>
          <w:b/>
          <w:bCs/>
          <w:color w:val="000000" w:themeColor="text1"/>
          <w:lang w:val="zh-CN"/>
          <w14:textFill>
            <w14:solidFill>
              <w14:schemeClr w14:val="tx1"/>
            </w14:solidFill>
          </w14:textFill>
        </w:rPr>
        <w:fldChar w:fldCharType="end"/>
      </w:r>
    </w:p>
    <w:p>
      <w:pPr>
        <w:widowControl/>
        <w:jc w:val="center"/>
        <w:rPr>
          <w:rFonts w:ascii="Times New Roman" w:hAnsi="Times New Roman" w:eastAsiaTheme="minorEastAsia"/>
          <w:color w:val="000000" w:themeColor="text1"/>
          <w:sz w:val="30"/>
          <w:szCs w:val="30"/>
          <w14:textFill>
            <w14:solidFill>
              <w14:schemeClr w14:val="tx1"/>
            </w14:solidFill>
          </w14:textFill>
        </w:rPr>
        <w:sectPr>
          <w:pgSz w:w="11906" w:h="16838"/>
          <w:pgMar w:top="1134" w:right="1531" w:bottom="1134" w:left="1531" w:header="0" w:footer="737" w:gutter="0"/>
          <w:pgNumType w:start="0"/>
          <w:cols w:space="720" w:num="1"/>
          <w:docGrid w:linePitch="312" w:charSpace="0"/>
        </w:sectPr>
      </w:pPr>
    </w:p>
    <w:p>
      <w:pPr>
        <w:pStyle w:val="129"/>
        <w:spacing w:before="0" w:after="0" w:line="360" w:lineRule="auto"/>
        <w:rPr>
          <w:rFonts w:ascii="Times New Roman" w:hAnsi="Times New Roman" w:eastAsiaTheme="minorEastAsia"/>
          <w:b/>
          <w:color w:val="000000" w:themeColor="text1"/>
          <w14:textFill>
            <w14:solidFill>
              <w14:schemeClr w14:val="tx1"/>
            </w14:solidFill>
          </w14:textFill>
        </w:rPr>
      </w:pPr>
      <w:r>
        <w:fldChar w:fldCharType="begin"/>
      </w:r>
      <w:r>
        <w:instrText xml:space="preserve"> HYPERLINK \l "_Toc102287787" </w:instrText>
      </w:r>
      <w:r>
        <w:fldChar w:fldCharType="separate"/>
      </w:r>
      <w:bookmarkStart w:id="5" w:name="_Toc118452927"/>
      <w:bookmarkStart w:id="6" w:name="_Toc533098287"/>
      <w:bookmarkStart w:id="7" w:name="_Toc533146708"/>
      <w:bookmarkStart w:id="8" w:name="_Toc533098023"/>
      <w:r>
        <w:rPr>
          <w:rFonts w:ascii="Times New Roman" w:hAnsi="Times New Roman" w:eastAsiaTheme="minorEastAsia"/>
          <w:b/>
          <w:color w:val="000000" w:themeColor="text1"/>
          <w14:textFill>
            <w14:solidFill>
              <w14:schemeClr w14:val="tx1"/>
            </w14:solidFill>
          </w14:textFill>
        </w:rPr>
        <w:t>1  总则</w:t>
      </w:r>
      <w:bookmarkEnd w:id="5"/>
      <w:bookmarkEnd w:id="6"/>
      <w:bookmarkEnd w:id="7"/>
      <w:bookmarkEnd w:id="8"/>
      <w:r>
        <w:rPr>
          <w:rFonts w:ascii="Times New Roman" w:hAnsi="Times New Roman" w:eastAsiaTheme="minorEastAsia"/>
          <w:b/>
          <w:color w:val="000000" w:themeColor="text1"/>
          <w14:textFill>
            <w14:solidFill>
              <w14:schemeClr w14:val="tx1"/>
            </w14:solidFill>
          </w14:textFill>
        </w:rPr>
        <w:fldChar w:fldCharType="end"/>
      </w:r>
    </w:p>
    <w:p>
      <w:pPr>
        <w:pStyle w:val="134"/>
        <w:spacing w:line="360" w:lineRule="auto"/>
        <w:ind w:firstLine="0"/>
        <w:rPr>
          <w:rFonts w:ascii="Times New Roman" w:hAnsi="Times New Roman" w:eastAsiaTheme="minorEastAsia"/>
          <w:b w:val="0"/>
          <w:color w:val="000000" w:themeColor="text1"/>
          <w:szCs w:val="24"/>
          <w14:textFill>
            <w14:solidFill>
              <w14:schemeClr w14:val="tx1"/>
            </w14:solidFill>
          </w14:textFill>
        </w:rPr>
      </w:pPr>
      <w:r>
        <w:rPr>
          <w:rFonts w:ascii="Times New Roman" w:hAnsi="Times New Roman" w:eastAsiaTheme="minorEastAsia"/>
          <w:snapToGrid/>
          <w:color w:val="000000" w:themeColor="text1"/>
          <w:kern w:val="2"/>
          <w:szCs w:val="24"/>
          <w14:textFill>
            <w14:solidFill>
              <w14:schemeClr w14:val="tx1"/>
            </w14:solidFill>
          </w14:textFill>
        </w:rPr>
        <w:t xml:space="preserve">1.0.1  </w:t>
      </w:r>
      <w:r>
        <w:rPr>
          <w:rFonts w:hint="eastAsia" w:ascii="Times New Roman" w:hAnsi="Times New Roman" w:eastAsiaTheme="minorEastAsia"/>
          <w:b w:val="0"/>
          <w:color w:val="000000" w:themeColor="text1"/>
          <w:szCs w:val="24"/>
          <w14:textFill>
            <w14:solidFill>
              <w14:schemeClr w14:val="tx1"/>
            </w14:solidFill>
          </w14:textFill>
        </w:rPr>
        <w:t>为推进重有色金属冶金行业高质量安全发展，明确工程项目规模、布局、功能、性能以及关键技术措施等基本规定，以在项目建设、运行、维护、拆除等全过程中保障人民生命财产安全、人身健康、工程安全、生态环境安全、公众权益和公众利益以及促进能源资源节约利用、满足经济社会管理要求，根据重有色金属冶金工程的具体实际，制定本规范。</w:t>
      </w:r>
    </w:p>
    <w:p>
      <w:pPr>
        <w:pStyle w:val="134"/>
        <w:spacing w:line="360" w:lineRule="auto"/>
        <w:ind w:firstLine="0"/>
        <w:rPr>
          <w:rFonts w:ascii="Times New Roman" w:hAnsi="Times New Roman" w:eastAsiaTheme="minorEastAsia"/>
          <w:b w:val="0"/>
          <w:color w:val="000000" w:themeColor="text1"/>
          <w:szCs w:val="24"/>
          <w14:textFill>
            <w14:solidFill>
              <w14:schemeClr w14:val="tx1"/>
            </w14:solidFill>
          </w14:textFill>
        </w:rPr>
      </w:pPr>
      <w:r>
        <w:rPr>
          <w:rFonts w:ascii="Times New Roman" w:hAnsi="Times New Roman" w:eastAsiaTheme="minorEastAsia"/>
          <w:snapToGrid/>
          <w:color w:val="000000" w:themeColor="text1"/>
          <w:kern w:val="2"/>
          <w:szCs w:val="24"/>
          <w14:textFill>
            <w14:solidFill>
              <w14:schemeClr w14:val="tx1"/>
            </w14:solidFill>
          </w14:textFill>
        </w:rPr>
        <w:t>1.0.2</w:t>
      </w:r>
      <w:r>
        <w:rPr>
          <w:rFonts w:ascii="Times New Roman" w:hAnsi="Times New Roman" w:eastAsiaTheme="minorEastAsia"/>
          <w:b w:val="0"/>
          <w:snapToGrid/>
          <w:color w:val="000000" w:themeColor="text1"/>
          <w:kern w:val="2"/>
          <w:szCs w:val="24"/>
          <w14:textFill>
            <w14:solidFill>
              <w14:schemeClr w14:val="tx1"/>
            </w14:solidFill>
          </w14:textFill>
        </w:rPr>
        <w:t xml:space="preserve">  </w:t>
      </w:r>
      <w:r>
        <w:rPr>
          <w:rFonts w:ascii="Times New Roman" w:hAnsi="Times New Roman" w:eastAsiaTheme="minorEastAsia"/>
          <w:b w:val="0"/>
          <w:color w:val="000000" w:themeColor="text1"/>
          <w:szCs w:val="24"/>
          <w14:textFill>
            <w14:solidFill>
              <w14:schemeClr w14:val="tx1"/>
            </w14:solidFill>
          </w14:textFill>
        </w:rPr>
        <w:t>本规范适用于新建、扩建和改建铜、铅、锌、镍、钴、锡、锑、铋、镉、汞</w:t>
      </w:r>
      <w:r>
        <w:rPr>
          <w:rFonts w:hint="eastAsia" w:ascii="Times New Roman" w:hAnsi="Times New Roman" w:eastAsiaTheme="minorEastAsia"/>
          <w:b w:val="0"/>
          <w:color w:val="000000" w:themeColor="text1"/>
          <w:szCs w:val="24"/>
          <w14:textFill>
            <w14:solidFill>
              <w14:schemeClr w14:val="tx1"/>
            </w14:solidFill>
          </w14:textFill>
        </w:rPr>
        <w:t>等</w:t>
      </w:r>
      <w:r>
        <w:rPr>
          <w:rFonts w:ascii="Times New Roman" w:hAnsi="Times New Roman" w:eastAsiaTheme="minorEastAsia"/>
          <w:b w:val="0"/>
          <w:color w:val="000000" w:themeColor="text1"/>
          <w:szCs w:val="24"/>
          <w14:textFill>
            <w14:solidFill>
              <w14:schemeClr w14:val="tx1"/>
            </w14:solidFill>
          </w14:textFill>
        </w:rPr>
        <w:t>重有色金属冶金工程项目，以及以重有色金属为主金属的再生资源冶金工程。不适用于稀贵金属或其他金属为主金属、重有色金属为伴生元素提取回收的冶金工程。</w:t>
      </w:r>
    </w:p>
    <w:p>
      <w:pPr>
        <w:pStyle w:val="134"/>
        <w:spacing w:line="360" w:lineRule="auto"/>
        <w:ind w:firstLine="0"/>
        <w:rPr>
          <w:rFonts w:ascii="Times New Roman" w:hAnsi="Times New Roman" w:eastAsiaTheme="minorEastAsia"/>
          <w:b w:val="0"/>
          <w:snapToGrid/>
          <w:color w:val="000000" w:themeColor="text1"/>
          <w:kern w:val="2"/>
          <w:szCs w:val="24"/>
          <w14:textFill>
            <w14:solidFill>
              <w14:schemeClr w14:val="tx1"/>
            </w14:solidFill>
          </w14:textFill>
        </w:rPr>
      </w:pPr>
      <w:r>
        <w:rPr>
          <w:rFonts w:ascii="Times New Roman" w:hAnsi="Times New Roman" w:eastAsiaTheme="minorEastAsia"/>
          <w:snapToGrid/>
          <w:color w:val="000000" w:themeColor="text1"/>
          <w:kern w:val="2"/>
          <w:szCs w:val="24"/>
          <w14:textFill>
            <w14:solidFill>
              <w14:schemeClr w14:val="tx1"/>
            </w14:solidFill>
          </w14:textFill>
        </w:rPr>
        <w:t>1.0.3</w:t>
      </w:r>
      <w:r>
        <w:rPr>
          <w:rFonts w:ascii="Times New Roman" w:hAnsi="Times New Roman" w:eastAsiaTheme="minorEastAsia"/>
          <w:b w:val="0"/>
          <w:snapToGrid/>
          <w:color w:val="000000" w:themeColor="text1"/>
          <w:kern w:val="2"/>
          <w:szCs w:val="24"/>
          <w14:textFill>
            <w14:solidFill>
              <w14:schemeClr w14:val="tx1"/>
            </w14:solidFill>
          </w14:textFill>
        </w:rPr>
        <w:t xml:space="preserve">  </w:t>
      </w:r>
      <w:r>
        <w:rPr>
          <w:rFonts w:ascii="Times New Roman" w:hAnsi="Times New Roman" w:eastAsiaTheme="minorEastAsia"/>
          <w:b w:val="0"/>
          <w:color w:val="000000" w:themeColor="text1"/>
          <w:szCs w:val="24"/>
          <w14:textFill>
            <w14:solidFill>
              <w14:schemeClr w14:val="tx1"/>
            </w14:solidFill>
          </w14:textFill>
        </w:rPr>
        <w:t>重有色金属冶金工程项目</w:t>
      </w:r>
      <w:r>
        <w:rPr>
          <w:rFonts w:ascii="Times New Roman" w:hAnsi="Times New Roman" w:eastAsiaTheme="minorEastAsia"/>
          <w:b w:val="0"/>
          <w:snapToGrid/>
          <w:color w:val="000000" w:themeColor="text1"/>
          <w:kern w:val="2"/>
          <w:szCs w:val="24"/>
          <w14:textFill>
            <w14:solidFill>
              <w14:schemeClr w14:val="tx1"/>
            </w14:solidFill>
          </w14:textFill>
        </w:rPr>
        <w:t>建设、运行和维护应遵循有效发挥功能、安全稳定运行、保护生态环境、节约资源能源和绿色低碳高效的原则，选用适宜可靠的技术、工艺、材料、设备。</w:t>
      </w:r>
      <w:r>
        <w:rPr>
          <w:rFonts w:hint="eastAsia" w:ascii="Times New Roman" w:hAnsi="Times New Roman" w:eastAsiaTheme="minorEastAsia"/>
          <w:b w:val="0"/>
          <w:snapToGrid/>
          <w:color w:val="000000" w:themeColor="text1"/>
          <w:kern w:val="2"/>
          <w:szCs w:val="24"/>
          <w14:textFill>
            <w14:solidFill>
              <w14:schemeClr w14:val="tx1"/>
            </w14:solidFill>
          </w14:textFill>
        </w:rPr>
        <w:t>不</w:t>
      </w:r>
      <w:r>
        <w:rPr>
          <w:rFonts w:ascii="Times New Roman" w:hAnsi="Times New Roman" w:eastAsiaTheme="minorEastAsia"/>
          <w:b w:val="0"/>
          <w:snapToGrid/>
          <w:color w:val="000000" w:themeColor="text1"/>
          <w:kern w:val="2"/>
          <w:szCs w:val="24"/>
          <w14:textFill>
            <w14:solidFill>
              <w14:schemeClr w14:val="tx1"/>
            </w14:solidFill>
          </w14:textFill>
        </w:rPr>
        <w:t>得使用国家明令淘汰的工艺、设备和材料。</w:t>
      </w:r>
    </w:p>
    <w:p>
      <w:pPr>
        <w:pStyle w:val="134"/>
        <w:spacing w:line="360" w:lineRule="auto"/>
        <w:ind w:firstLine="0"/>
        <w:rPr>
          <w:rFonts w:ascii="Times New Roman" w:hAnsi="Times New Roman" w:eastAsiaTheme="minorEastAsia"/>
          <w:b w:val="0"/>
          <w:snapToGrid/>
          <w:color w:val="000000" w:themeColor="text1"/>
          <w:kern w:val="2"/>
          <w:szCs w:val="24"/>
          <w14:textFill>
            <w14:solidFill>
              <w14:schemeClr w14:val="tx1"/>
            </w14:solidFill>
          </w14:textFill>
        </w:rPr>
      </w:pPr>
      <w:r>
        <w:rPr>
          <w:rFonts w:ascii="Times New Roman" w:hAnsi="Times New Roman" w:eastAsiaTheme="minorEastAsia"/>
          <w:color w:val="000000" w:themeColor="text1"/>
          <w:szCs w:val="24"/>
          <w14:textFill>
            <w14:solidFill>
              <w14:schemeClr w14:val="tx1"/>
            </w14:solidFill>
          </w14:textFill>
        </w:rPr>
        <w:t xml:space="preserve">1.0.4  </w:t>
      </w:r>
      <w:r>
        <w:rPr>
          <w:rFonts w:ascii="Times New Roman" w:hAnsi="Times New Roman" w:eastAsiaTheme="minorEastAsia"/>
          <w:b w:val="0"/>
          <w:snapToGrid/>
          <w:color w:val="000000" w:themeColor="text1"/>
          <w:kern w:val="2"/>
          <w:szCs w:val="24"/>
          <w14:textFill>
            <w14:solidFill>
              <w14:schemeClr w14:val="tx1"/>
            </w14:solidFill>
          </w14:textFill>
        </w:rPr>
        <w:t>工程建设所采用的技术方法和措施是否符合本规范要求，由相关责任主体判定。其中，创新性的技术方法和措施，应进行论证并符合本规范中有关功能、性能的要求。</w:t>
      </w:r>
    </w:p>
    <w:p>
      <w:pPr>
        <w:pStyle w:val="134"/>
        <w:spacing w:line="360" w:lineRule="auto"/>
        <w:ind w:firstLine="0"/>
        <w:rPr>
          <w:rFonts w:ascii="Times New Roman" w:hAnsi="Times New Roman" w:eastAsiaTheme="minorEastAsia"/>
          <w:b w:val="0"/>
          <w:snapToGrid/>
          <w:color w:val="000000" w:themeColor="text1"/>
          <w:kern w:val="2"/>
          <w:szCs w:val="24"/>
          <w14:textFill>
            <w14:solidFill>
              <w14:schemeClr w14:val="tx1"/>
            </w14:solidFill>
          </w14:textFill>
        </w:rPr>
      </w:pPr>
    </w:p>
    <w:p>
      <w:pPr>
        <w:pStyle w:val="134"/>
        <w:spacing w:line="360" w:lineRule="auto"/>
        <w:ind w:firstLine="0"/>
        <w:rPr>
          <w:rFonts w:ascii="Times New Roman" w:hAnsi="Times New Roman"/>
        </w:rPr>
        <w:sectPr>
          <w:headerReference r:id="rId6" w:type="default"/>
          <w:headerReference r:id="rId7" w:type="even"/>
          <w:pgSz w:w="11906" w:h="16838"/>
          <w:pgMar w:top="1134" w:right="1531" w:bottom="1134" w:left="1531" w:header="0" w:footer="737" w:gutter="0"/>
          <w:pgNumType w:start="1"/>
          <w:cols w:space="720" w:num="1"/>
          <w:docGrid w:linePitch="312" w:charSpace="0"/>
        </w:sectPr>
      </w:pPr>
    </w:p>
    <w:p>
      <w:pPr>
        <w:pStyle w:val="129"/>
        <w:spacing w:before="0" w:after="0" w:line="360" w:lineRule="auto"/>
        <w:rPr>
          <w:rFonts w:ascii="Times New Roman" w:hAnsi="Times New Roman" w:eastAsiaTheme="minorEastAsia"/>
          <w:b/>
          <w:color w:val="000000" w:themeColor="text1"/>
          <w14:textFill>
            <w14:solidFill>
              <w14:schemeClr w14:val="tx1"/>
            </w14:solidFill>
          </w14:textFill>
        </w:rPr>
      </w:pPr>
      <w:r>
        <w:fldChar w:fldCharType="begin"/>
      </w:r>
      <w:r>
        <w:instrText xml:space="preserve"> HYPERLINK \l "_Toc102287787" </w:instrText>
      </w:r>
      <w:r>
        <w:fldChar w:fldCharType="separate"/>
      </w:r>
      <w:bookmarkStart w:id="9" w:name="_Toc533098024"/>
      <w:bookmarkStart w:id="10" w:name="_Toc118452928"/>
      <w:bookmarkStart w:id="11" w:name="_Toc533098288"/>
      <w:bookmarkStart w:id="12" w:name="_Toc533146709"/>
      <w:r>
        <w:rPr>
          <w:rFonts w:ascii="Times New Roman" w:hAnsi="Times New Roman" w:eastAsiaTheme="minorEastAsia"/>
          <w:b/>
          <w:color w:val="000000" w:themeColor="text1"/>
          <w14:textFill>
            <w14:solidFill>
              <w14:schemeClr w14:val="tx1"/>
            </w14:solidFill>
          </w14:textFill>
        </w:rPr>
        <w:t>2  基本规</w:t>
      </w:r>
      <w:r>
        <w:rPr>
          <w:rFonts w:ascii="Times New Roman" w:hAnsi="Times New Roman" w:eastAsiaTheme="minorEastAsia"/>
          <w:b/>
          <w:color w:val="000000" w:themeColor="text1"/>
          <w14:textFill>
            <w14:solidFill>
              <w14:schemeClr w14:val="tx1"/>
            </w14:solidFill>
          </w14:textFill>
        </w:rPr>
        <w:fldChar w:fldCharType="end"/>
      </w:r>
      <w:r>
        <w:rPr>
          <w:rFonts w:ascii="Times New Roman" w:hAnsi="Times New Roman" w:eastAsiaTheme="minorEastAsia"/>
          <w:b/>
          <w:color w:val="000000" w:themeColor="text1"/>
          <w14:textFill>
            <w14:solidFill>
              <w14:schemeClr w14:val="tx1"/>
            </w14:solidFill>
          </w14:textFill>
        </w:rPr>
        <w:t>定</w:t>
      </w:r>
      <w:bookmarkEnd w:id="9"/>
      <w:bookmarkEnd w:id="10"/>
      <w:bookmarkEnd w:id="11"/>
      <w:bookmarkEnd w:id="12"/>
    </w:p>
    <w:p>
      <w:pPr>
        <w:pStyle w:val="3"/>
        <w:spacing w:before="120" w:beforeLines="50" w:after="120" w:afterLines="50" w:line="360" w:lineRule="auto"/>
        <w:jc w:val="center"/>
        <w:rPr>
          <w:rFonts w:ascii="Times New Roman" w:hAnsi="Times New Roman" w:eastAsiaTheme="minorEastAsia"/>
          <w:color w:val="000000" w:themeColor="text1"/>
          <w:sz w:val="28"/>
          <w:szCs w:val="28"/>
          <w14:textFill>
            <w14:solidFill>
              <w14:schemeClr w14:val="tx1"/>
            </w14:solidFill>
          </w14:textFill>
        </w:rPr>
      </w:pPr>
      <w:bookmarkStart w:id="13" w:name="_Toc533098289"/>
      <w:bookmarkStart w:id="14" w:name="_Toc533098025"/>
      <w:bookmarkStart w:id="15" w:name="_Toc533146710"/>
      <w:bookmarkStart w:id="16" w:name="_Toc118452929"/>
      <w:r>
        <w:rPr>
          <w:rFonts w:ascii="Times New Roman" w:hAnsi="Times New Roman" w:eastAsiaTheme="minorEastAsia"/>
          <w:color w:val="000000" w:themeColor="text1"/>
          <w:sz w:val="28"/>
          <w:szCs w:val="28"/>
          <w14:textFill>
            <w14:solidFill>
              <w14:schemeClr w14:val="tx1"/>
            </w14:solidFill>
          </w14:textFill>
        </w:rPr>
        <w:t>2.1  规模、布局与</w:t>
      </w:r>
      <w:bookmarkEnd w:id="13"/>
      <w:bookmarkEnd w:id="14"/>
      <w:bookmarkEnd w:id="15"/>
      <w:r>
        <w:rPr>
          <w:rFonts w:ascii="Times New Roman" w:hAnsi="Times New Roman" w:eastAsiaTheme="minorEastAsia"/>
          <w:color w:val="000000" w:themeColor="text1"/>
          <w:sz w:val="28"/>
          <w:szCs w:val="28"/>
          <w14:textFill>
            <w14:solidFill>
              <w14:schemeClr w14:val="tx1"/>
            </w14:solidFill>
          </w14:textFill>
        </w:rPr>
        <w:t>功能</w:t>
      </w:r>
      <w:bookmarkEnd w:id="16"/>
    </w:p>
    <w:p>
      <w:pPr>
        <w:pStyle w:val="134"/>
        <w:spacing w:line="360" w:lineRule="auto"/>
        <w:ind w:firstLine="0"/>
        <w:rPr>
          <w:rFonts w:ascii="Times New Roman" w:hAnsi="Times New Roman" w:eastAsiaTheme="minorEastAsia"/>
          <w:b w:val="0"/>
          <w:color w:val="000000" w:themeColor="text1"/>
          <w14:textFill>
            <w14:solidFill>
              <w14:schemeClr w14:val="tx1"/>
            </w14:solidFill>
          </w14:textFill>
        </w:rPr>
      </w:pPr>
      <w:r>
        <w:rPr>
          <w:rFonts w:ascii="Times New Roman" w:hAnsi="Times New Roman" w:eastAsiaTheme="minorEastAsia"/>
          <w:color w:val="000000" w:themeColor="text1"/>
          <w14:textFill>
            <w14:solidFill>
              <w14:schemeClr w14:val="tx1"/>
            </w14:solidFill>
          </w14:textFill>
        </w:rPr>
        <w:t xml:space="preserve">2.1.1  </w:t>
      </w:r>
      <w:r>
        <w:rPr>
          <w:rFonts w:ascii="Times New Roman" w:hAnsi="Times New Roman" w:eastAsiaTheme="minorEastAsia"/>
          <w:b w:val="0"/>
          <w:color w:val="000000" w:themeColor="text1"/>
          <w14:textFill>
            <w14:solidFill>
              <w14:schemeClr w14:val="tx1"/>
            </w14:solidFill>
          </w14:textFill>
        </w:rPr>
        <w:t>重有色金属冶金工程项目建设应符合国家及项目所在地的产业政策、矿产资源规划、国土空间规划、重金属污染防治规划和行业发展规划要求。</w:t>
      </w:r>
    </w:p>
    <w:p>
      <w:pPr>
        <w:pStyle w:val="134"/>
        <w:spacing w:line="360" w:lineRule="auto"/>
        <w:ind w:firstLine="0"/>
        <w:rPr>
          <w:rFonts w:ascii="Times New Roman" w:hAnsi="Times New Roman" w:eastAsiaTheme="minorEastAsia"/>
          <w:b w:val="0"/>
          <w:snapToGrid/>
          <w:color w:val="000000" w:themeColor="text1"/>
          <w:kern w:val="2"/>
          <w:szCs w:val="24"/>
          <w14:textFill>
            <w14:solidFill>
              <w14:schemeClr w14:val="tx1"/>
            </w14:solidFill>
          </w14:textFill>
        </w:rPr>
      </w:pPr>
      <w:r>
        <w:rPr>
          <w:rFonts w:ascii="Times New Roman" w:hAnsi="Times New Roman" w:eastAsiaTheme="minorEastAsia"/>
          <w:color w:val="000000" w:themeColor="text1"/>
          <w14:textFill>
            <w14:solidFill>
              <w14:schemeClr w14:val="tx1"/>
            </w14:solidFill>
          </w14:textFill>
        </w:rPr>
        <w:t>2.1.2</w:t>
      </w:r>
      <w:r>
        <w:rPr>
          <w:rFonts w:ascii="Times New Roman" w:hAnsi="Times New Roman" w:eastAsiaTheme="minorEastAsia"/>
          <w:b w:val="0"/>
          <w:color w:val="000000" w:themeColor="text1"/>
          <w14:textFill>
            <w14:solidFill>
              <w14:schemeClr w14:val="tx1"/>
            </w14:solidFill>
          </w14:textFill>
        </w:rPr>
        <w:t xml:space="preserve">  </w:t>
      </w:r>
      <w:r>
        <w:rPr>
          <w:rFonts w:ascii="Times New Roman" w:hAnsi="Times New Roman" w:eastAsiaTheme="minorEastAsia"/>
          <w:b w:val="0"/>
          <w:snapToGrid/>
          <w:color w:val="000000" w:themeColor="text1"/>
          <w:kern w:val="2"/>
          <w:szCs w:val="24"/>
          <w14:textFill>
            <w14:solidFill>
              <w14:schemeClr w14:val="tx1"/>
            </w14:solidFill>
          </w14:textFill>
        </w:rPr>
        <w:t>重有色金属冶金工程项目建设规模应根据原料供给能力、产品市场需求、拟建项目所在地环境承载能力与水电交通支撑能力，以及拟采用技术的可行性、经济性、可靠性综合研究确定。</w:t>
      </w:r>
    </w:p>
    <w:p>
      <w:pPr>
        <w:pStyle w:val="134"/>
        <w:spacing w:line="360" w:lineRule="auto"/>
        <w:ind w:firstLine="0"/>
        <w:rPr>
          <w:rFonts w:ascii="Times New Roman" w:hAnsi="Times New Roman" w:eastAsiaTheme="minorEastAsia"/>
          <w:b w:val="0"/>
          <w:color w:val="000000" w:themeColor="text1"/>
          <w14:textFill>
            <w14:solidFill>
              <w14:schemeClr w14:val="tx1"/>
            </w14:solidFill>
          </w14:textFill>
        </w:rPr>
      </w:pPr>
      <w:r>
        <w:rPr>
          <w:rFonts w:ascii="Times New Roman" w:hAnsi="Times New Roman" w:eastAsiaTheme="minorEastAsia"/>
          <w:color w:val="000000" w:themeColor="text1"/>
          <w14:textFill>
            <w14:solidFill>
              <w14:schemeClr w14:val="tx1"/>
            </w14:solidFill>
          </w14:textFill>
        </w:rPr>
        <w:t xml:space="preserve">2.1.3  </w:t>
      </w:r>
      <w:r>
        <w:rPr>
          <w:rFonts w:ascii="Times New Roman" w:hAnsi="Times New Roman" w:eastAsiaTheme="minorEastAsia"/>
          <w:b w:val="0"/>
          <w:color w:val="000000" w:themeColor="text1"/>
          <w14:textFill>
            <w14:solidFill>
              <w14:schemeClr w14:val="tx1"/>
            </w14:solidFill>
          </w14:textFill>
        </w:rPr>
        <w:t>新建</w:t>
      </w:r>
      <w:r>
        <w:rPr>
          <w:rFonts w:ascii="Times New Roman" w:hAnsi="Times New Roman" w:eastAsiaTheme="minorEastAsia"/>
          <w:b w:val="0"/>
          <w:snapToGrid/>
          <w:color w:val="000000" w:themeColor="text1"/>
          <w:kern w:val="2"/>
          <w:szCs w:val="24"/>
          <w14:textFill>
            <w14:solidFill>
              <w14:schemeClr w14:val="tx1"/>
            </w14:solidFill>
          </w14:textFill>
        </w:rPr>
        <w:t>重有色金属冶金工程</w:t>
      </w:r>
      <w:r>
        <w:rPr>
          <w:rFonts w:ascii="Times New Roman" w:hAnsi="Times New Roman" w:eastAsiaTheme="minorEastAsia"/>
          <w:b w:val="0"/>
          <w:color w:val="000000" w:themeColor="text1"/>
          <w14:textFill>
            <w14:solidFill>
              <w14:schemeClr w14:val="tx1"/>
            </w14:solidFill>
          </w14:textFill>
        </w:rPr>
        <w:t>项目应布局于依法设立、环境保护基础设施齐全</w:t>
      </w:r>
      <w:r>
        <w:rPr>
          <w:rFonts w:hint="eastAsia" w:ascii="Times New Roman" w:hAnsi="Times New Roman" w:eastAsiaTheme="minorEastAsia"/>
          <w:b w:val="0"/>
          <w:color w:val="000000" w:themeColor="text1"/>
          <w14:textFill>
            <w14:solidFill>
              <w14:schemeClr w14:val="tx1"/>
            </w14:solidFill>
          </w14:textFill>
        </w:rPr>
        <w:t>、</w:t>
      </w:r>
      <w:r>
        <w:rPr>
          <w:rFonts w:ascii="Times New Roman" w:hAnsi="Times New Roman" w:eastAsiaTheme="minorEastAsia"/>
          <w:b w:val="0"/>
          <w:color w:val="000000" w:themeColor="text1"/>
          <w14:textFill>
            <w14:solidFill>
              <w14:schemeClr w14:val="tx1"/>
            </w14:solidFill>
          </w14:textFill>
        </w:rPr>
        <w:t>并经规划环评的产业园区内。厂址应根据环境影响评价结论确定，且不应设在下列地段或地区：</w:t>
      </w:r>
    </w:p>
    <w:p>
      <w:pPr>
        <w:pStyle w:val="134"/>
        <w:spacing w:line="360" w:lineRule="auto"/>
        <w:ind w:firstLine="481" w:firstLineChars="200"/>
        <w:rPr>
          <w:rFonts w:ascii="Times New Roman" w:hAnsi="Times New Roman" w:eastAsiaTheme="minorEastAsia"/>
          <w:b w:val="0"/>
          <w:color w:val="000000" w:themeColor="text1"/>
          <w14:textFill>
            <w14:solidFill>
              <w14:schemeClr w14:val="tx1"/>
            </w14:solidFill>
          </w14:textFill>
        </w:rPr>
      </w:pPr>
      <w:r>
        <w:rPr>
          <w:rFonts w:ascii="Times New Roman" w:hAnsi="Times New Roman" w:eastAsiaTheme="minorEastAsia"/>
          <w:color w:val="000000" w:themeColor="text1"/>
          <w14:textFill>
            <w14:solidFill>
              <w14:schemeClr w14:val="tx1"/>
            </w14:solidFill>
          </w14:textFill>
        </w:rPr>
        <w:t>1</w:t>
      </w:r>
      <w:r>
        <w:rPr>
          <w:rFonts w:ascii="Times New Roman" w:hAnsi="Times New Roman" w:eastAsiaTheme="minorEastAsia"/>
          <w:color w:val="000000" w:themeColor="text1"/>
          <w:szCs w:val="24"/>
          <w14:textFill>
            <w14:solidFill>
              <w14:schemeClr w14:val="tx1"/>
            </w14:solidFill>
          </w14:textFill>
        </w:rPr>
        <w:t xml:space="preserve">  </w:t>
      </w:r>
      <w:r>
        <w:rPr>
          <w:rFonts w:ascii="Times New Roman" w:hAnsi="Times New Roman" w:eastAsiaTheme="minorEastAsia"/>
          <w:b w:val="0"/>
          <w:color w:val="000000" w:themeColor="text1"/>
          <w14:textFill>
            <w14:solidFill>
              <w14:schemeClr w14:val="tx1"/>
            </w14:solidFill>
          </w14:textFill>
        </w:rPr>
        <w:t>发震断层及抗震设防烈度为9度及以上的地震区；</w:t>
      </w:r>
    </w:p>
    <w:p>
      <w:pPr>
        <w:pStyle w:val="134"/>
        <w:spacing w:line="360" w:lineRule="auto"/>
        <w:ind w:firstLine="481" w:firstLineChars="200"/>
        <w:rPr>
          <w:rFonts w:ascii="Times New Roman" w:hAnsi="Times New Roman" w:eastAsiaTheme="minorEastAsia"/>
          <w:b w:val="0"/>
          <w:color w:val="000000" w:themeColor="text1"/>
          <w14:textFill>
            <w14:solidFill>
              <w14:schemeClr w14:val="tx1"/>
            </w14:solidFill>
          </w14:textFill>
        </w:rPr>
      </w:pPr>
      <w:r>
        <w:rPr>
          <w:rFonts w:ascii="Times New Roman" w:hAnsi="Times New Roman" w:eastAsiaTheme="minorEastAsia"/>
          <w:color w:val="000000" w:themeColor="text1"/>
          <w14:textFill>
            <w14:solidFill>
              <w14:schemeClr w14:val="tx1"/>
            </w14:solidFill>
          </w14:textFill>
        </w:rPr>
        <w:t>2</w:t>
      </w:r>
      <w:r>
        <w:rPr>
          <w:rFonts w:ascii="Times New Roman" w:hAnsi="Times New Roman" w:eastAsiaTheme="minorEastAsia"/>
          <w:color w:val="000000" w:themeColor="text1"/>
          <w:szCs w:val="24"/>
          <w14:textFill>
            <w14:solidFill>
              <w14:schemeClr w14:val="tx1"/>
            </w14:solidFill>
          </w14:textFill>
        </w:rPr>
        <w:t xml:space="preserve">  </w:t>
      </w:r>
      <w:r>
        <w:rPr>
          <w:rFonts w:ascii="Times New Roman" w:hAnsi="Times New Roman" w:eastAsiaTheme="minorEastAsia"/>
          <w:b w:val="0"/>
          <w:color w:val="000000" w:themeColor="text1"/>
          <w14:textFill>
            <w14:solidFill>
              <w14:schemeClr w14:val="tx1"/>
            </w14:solidFill>
          </w14:textFill>
        </w:rPr>
        <w:t>国家规定划定的机场净空保护区域；</w:t>
      </w:r>
    </w:p>
    <w:p>
      <w:pPr>
        <w:pStyle w:val="134"/>
        <w:spacing w:line="360" w:lineRule="auto"/>
        <w:ind w:firstLine="481" w:firstLineChars="200"/>
        <w:rPr>
          <w:rFonts w:ascii="Times New Roman" w:hAnsi="Times New Roman" w:eastAsiaTheme="minorEastAsia"/>
          <w:b w:val="0"/>
          <w:color w:val="000000" w:themeColor="text1"/>
          <w14:textFill>
            <w14:solidFill>
              <w14:schemeClr w14:val="tx1"/>
            </w14:solidFill>
          </w14:textFill>
        </w:rPr>
      </w:pPr>
      <w:r>
        <w:rPr>
          <w:rFonts w:ascii="Times New Roman" w:hAnsi="Times New Roman" w:eastAsiaTheme="minorEastAsia"/>
          <w:color w:val="000000" w:themeColor="text1"/>
          <w14:textFill>
            <w14:solidFill>
              <w14:schemeClr w14:val="tx1"/>
            </w14:solidFill>
          </w14:textFill>
        </w:rPr>
        <w:t>3</w:t>
      </w:r>
      <w:r>
        <w:rPr>
          <w:rFonts w:ascii="Times New Roman" w:hAnsi="Times New Roman" w:eastAsiaTheme="minorEastAsia"/>
          <w:b w:val="0"/>
          <w:color w:val="000000" w:themeColor="text1"/>
          <w14:textFill>
            <w14:solidFill>
              <w14:schemeClr w14:val="tx1"/>
            </w14:solidFill>
          </w14:textFill>
        </w:rPr>
        <w:t xml:space="preserve">  对雷达导航，对重要的天文、气象、地震观察</w:t>
      </w:r>
      <w:r>
        <w:rPr>
          <w:rFonts w:hint="eastAsia" w:ascii="Times New Roman" w:hAnsi="Times New Roman" w:eastAsiaTheme="minorEastAsia"/>
          <w:b w:val="0"/>
          <w:color w:val="000000" w:themeColor="text1"/>
          <w14:textFill>
            <w14:solidFill>
              <w14:schemeClr w14:val="tx1"/>
            </w14:solidFill>
          </w14:textFill>
        </w:rPr>
        <w:t>，</w:t>
      </w:r>
      <w:r>
        <w:rPr>
          <w:rFonts w:ascii="Times New Roman" w:hAnsi="Times New Roman" w:eastAsiaTheme="minorEastAsia"/>
          <w:b w:val="0"/>
          <w:color w:val="000000" w:themeColor="text1"/>
          <w14:textFill>
            <w14:solidFill>
              <w14:schemeClr w14:val="tx1"/>
            </w14:solidFill>
          </w14:textFill>
        </w:rPr>
        <w:t>以及对军事设施有影响的区域；</w:t>
      </w:r>
    </w:p>
    <w:p>
      <w:pPr>
        <w:pStyle w:val="134"/>
        <w:spacing w:line="360" w:lineRule="auto"/>
        <w:ind w:firstLine="481" w:firstLineChars="200"/>
        <w:rPr>
          <w:rFonts w:ascii="Times New Roman" w:hAnsi="Times New Roman" w:eastAsiaTheme="minorEastAsia"/>
          <w:b w:val="0"/>
          <w:color w:val="000000" w:themeColor="text1"/>
          <w14:textFill>
            <w14:solidFill>
              <w14:schemeClr w14:val="tx1"/>
            </w14:solidFill>
          </w14:textFill>
        </w:rPr>
      </w:pPr>
      <w:r>
        <w:rPr>
          <w:rFonts w:ascii="Times New Roman" w:hAnsi="Times New Roman" w:eastAsiaTheme="minorEastAsia"/>
          <w:color w:val="000000" w:themeColor="text1"/>
          <w14:textFill>
            <w14:solidFill>
              <w14:schemeClr w14:val="tx1"/>
            </w14:solidFill>
          </w14:textFill>
        </w:rPr>
        <w:t>4</w:t>
      </w:r>
      <w:r>
        <w:rPr>
          <w:rFonts w:ascii="Times New Roman" w:hAnsi="Times New Roman" w:eastAsiaTheme="minorEastAsia"/>
          <w:color w:val="000000" w:themeColor="text1"/>
          <w:szCs w:val="24"/>
          <w14:textFill>
            <w14:solidFill>
              <w14:schemeClr w14:val="tx1"/>
            </w14:solidFill>
          </w14:textFill>
        </w:rPr>
        <w:t xml:space="preserve">  </w:t>
      </w:r>
      <w:r>
        <w:rPr>
          <w:rFonts w:ascii="Times New Roman" w:hAnsi="Times New Roman" w:eastAsiaTheme="minorEastAsia"/>
          <w:b w:val="0"/>
          <w:color w:val="000000" w:themeColor="text1"/>
          <w14:textFill>
            <w14:solidFill>
              <w14:schemeClr w14:val="tx1"/>
            </w14:solidFill>
          </w14:textFill>
        </w:rPr>
        <w:t>爆破危险区；</w:t>
      </w:r>
    </w:p>
    <w:p>
      <w:pPr>
        <w:pStyle w:val="134"/>
        <w:spacing w:line="360" w:lineRule="auto"/>
        <w:ind w:firstLine="481" w:firstLineChars="200"/>
        <w:rPr>
          <w:rFonts w:ascii="Times New Roman" w:hAnsi="Times New Roman" w:eastAsiaTheme="minorEastAsia"/>
          <w:b w:val="0"/>
          <w:color w:val="000000" w:themeColor="text1"/>
          <w14:textFill>
            <w14:solidFill>
              <w14:schemeClr w14:val="tx1"/>
            </w14:solidFill>
          </w14:textFill>
        </w:rPr>
      </w:pPr>
      <w:r>
        <w:rPr>
          <w:rFonts w:ascii="Times New Roman" w:hAnsi="Times New Roman" w:eastAsiaTheme="minorEastAsia"/>
          <w:color w:val="000000" w:themeColor="text1"/>
          <w14:textFill>
            <w14:solidFill>
              <w14:schemeClr w14:val="tx1"/>
            </w14:solidFill>
          </w14:textFill>
        </w:rPr>
        <w:t>5</w:t>
      </w:r>
      <w:r>
        <w:rPr>
          <w:rFonts w:ascii="Times New Roman" w:hAnsi="Times New Roman" w:eastAsiaTheme="minorEastAsia"/>
          <w:b w:val="0"/>
          <w:color w:val="000000" w:themeColor="text1"/>
          <w14:textFill>
            <w14:solidFill>
              <w14:schemeClr w14:val="tx1"/>
            </w14:solidFill>
          </w14:textFill>
        </w:rPr>
        <w:t xml:space="preserve">  永久基本农田集中区域；</w:t>
      </w:r>
    </w:p>
    <w:p>
      <w:pPr>
        <w:pStyle w:val="134"/>
        <w:spacing w:line="360" w:lineRule="auto"/>
        <w:ind w:firstLine="481" w:firstLineChars="200"/>
        <w:rPr>
          <w:rFonts w:ascii="Times New Roman" w:hAnsi="Times New Roman" w:eastAsiaTheme="minorEastAsia"/>
          <w:b w:val="0"/>
          <w:color w:val="000000" w:themeColor="text1"/>
          <w14:textFill>
            <w14:solidFill>
              <w14:schemeClr w14:val="tx1"/>
            </w14:solidFill>
          </w14:textFill>
        </w:rPr>
      </w:pPr>
      <w:r>
        <w:rPr>
          <w:rFonts w:ascii="Times New Roman" w:hAnsi="Times New Roman" w:eastAsiaTheme="minorEastAsia"/>
          <w:color w:val="000000" w:themeColor="text1"/>
          <w14:textFill>
            <w14:solidFill>
              <w14:schemeClr w14:val="tx1"/>
            </w14:solidFill>
          </w14:textFill>
        </w:rPr>
        <w:t xml:space="preserve">6 </w:t>
      </w:r>
      <w:r>
        <w:rPr>
          <w:rFonts w:ascii="Times New Roman" w:hAnsi="Times New Roman" w:eastAsiaTheme="minorEastAsia"/>
          <w:b w:val="0"/>
          <w:color w:val="000000" w:themeColor="text1"/>
          <w14:textFill>
            <w14:solidFill>
              <w14:schemeClr w14:val="tx1"/>
            </w14:solidFill>
          </w14:textFill>
        </w:rPr>
        <w:t xml:space="preserve"> 其它不适合建设重有色金属冶金工程项目的区域。</w:t>
      </w:r>
    </w:p>
    <w:p>
      <w:pPr>
        <w:pStyle w:val="134"/>
        <w:spacing w:line="360" w:lineRule="auto"/>
        <w:ind w:firstLine="0"/>
        <w:rPr>
          <w:rFonts w:ascii="Times New Roman" w:hAnsi="Times New Roman" w:eastAsiaTheme="minorEastAsia"/>
          <w:b w:val="0"/>
          <w:color w:val="000000" w:themeColor="text1"/>
          <w14:textFill>
            <w14:solidFill>
              <w14:schemeClr w14:val="tx1"/>
            </w14:solidFill>
          </w14:textFill>
        </w:rPr>
      </w:pPr>
      <w:r>
        <w:rPr>
          <w:rFonts w:ascii="Times New Roman" w:hAnsi="Times New Roman" w:eastAsiaTheme="minorEastAsia"/>
          <w:color w:val="000000" w:themeColor="text1"/>
          <w14:textFill>
            <w14:solidFill>
              <w14:schemeClr w14:val="tx1"/>
            </w14:solidFill>
          </w14:textFill>
        </w:rPr>
        <w:t xml:space="preserve">2.1.4  </w:t>
      </w:r>
      <w:r>
        <w:rPr>
          <w:rFonts w:ascii="Times New Roman" w:hAnsi="Times New Roman" w:eastAsiaTheme="minorEastAsia"/>
          <w:b w:val="0"/>
          <w:color w:val="000000" w:themeColor="text1"/>
          <w14:textFill>
            <w14:solidFill>
              <w14:schemeClr w14:val="tx1"/>
            </w14:solidFill>
          </w14:textFill>
        </w:rPr>
        <w:t>当重有色金属冶金工程建设厂址位于山坡或山脚处时，应避开受山洪威胁的地段，应对山坡稳定性等做出地质灾害危险性评估，并应采取防止山洪、泥石流等自然灾害危害的措施。</w:t>
      </w:r>
    </w:p>
    <w:p>
      <w:pPr>
        <w:pStyle w:val="134"/>
        <w:spacing w:line="360" w:lineRule="auto"/>
        <w:ind w:firstLine="0"/>
        <w:rPr>
          <w:rFonts w:ascii="Times New Roman" w:hAnsi="Times New Roman" w:eastAsiaTheme="minorEastAsia"/>
          <w:b w:val="0"/>
          <w:color w:val="000000" w:themeColor="text1"/>
          <w14:textFill>
            <w14:solidFill>
              <w14:schemeClr w14:val="tx1"/>
            </w14:solidFill>
          </w14:textFill>
        </w:rPr>
      </w:pPr>
      <w:r>
        <w:rPr>
          <w:rFonts w:ascii="Times New Roman" w:hAnsi="Times New Roman" w:eastAsiaTheme="minorEastAsia"/>
          <w:color w:val="000000" w:themeColor="text1"/>
          <w14:textFill>
            <w14:solidFill>
              <w14:schemeClr w14:val="tx1"/>
            </w14:solidFill>
          </w14:textFill>
        </w:rPr>
        <w:t xml:space="preserve">2.1.5  </w:t>
      </w:r>
      <w:r>
        <w:rPr>
          <w:rFonts w:ascii="Times New Roman" w:hAnsi="Times New Roman" w:eastAsiaTheme="minorEastAsia"/>
          <w:b w:val="0"/>
          <w:color w:val="000000" w:themeColor="text1"/>
          <w14:textFill>
            <w14:solidFill>
              <w14:schemeClr w14:val="tx1"/>
            </w14:solidFill>
          </w14:textFill>
        </w:rPr>
        <w:t>当重有色金属冶金工程建设厂址位于受洪水、潮水或内涝威胁地带</w:t>
      </w:r>
      <w:r>
        <w:rPr>
          <w:rFonts w:hint="eastAsia" w:ascii="Times New Roman" w:hAnsi="Times New Roman" w:eastAsiaTheme="minorEastAsia"/>
          <w:b w:val="0"/>
          <w:color w:val="000000" w:themeColor="text1"/>
          <w14:textFill>
            <w14:solidFill>
              <w14:schemeClr w14:val="tx1"/>
            </w14:solidFill>
          </w14:textFill>
        </w:rPr>
        <w:t>，</w:t>
      </w:r>
      <w:r>
        <w:rPr>
          <w:rFonts w:ascii="Times New Roman" w:hAnsi="Times New Roman" w:eastAsiaTheme="minorEastAsia"/>
          <w:b w:val="0"/>
          <w:color w:val="000000" w:themeColor="text1"/>
          <w14:textFill>
            <w14:solidFill>
              <w14:schemeClr w14:val="tx1"/>
            </w14:solidFill>
          </w14:textFill>
        </w:rPr>
        <w:t>以及受潮涌危害的地区时，应采取防洪、排洪防护措施。</w:t>
      </w:r>
    </w:p>
    <w:p>
      <w:pPr>
        <w:pStyle w:val="134"/>
        <w:spacing w:line="360" w:lineRule="auto"/>
        <w:ind w:firstLine="0"/>
        <w:rPr>
          <w:rFonts w:ascii="Times New Roman" w:hAnsi="Times New Roman" w:eastAsiaTheme="minorEastAsia"/>
          <w:b w:val="0"/>
          <w:color w:val="000000" w:themeColor="text1"/>
          <w14:textFill>
            <w14:solidFill>
              <w14:schemeClr w14:val="tx1"/>
            </w14:solidFill>
          </w14:textFill>
        </w:rPr>
      </w:pPr>
      <w:r>
        <w:rPr>
          <w:rFonts w:ascii="Times New Roman" w:hAnsi="Times New Roman" w:eastAsiaTheme="minorEastAsia"/>
          <w:color w:val="000000" w:themeColor="text1"/>
          <w14:textFill>
            <w14:solidFill>
              <w14:schemeClr w14:val="tx1"/>
            </w14:solidFill>
          </w14:textFill>
        </w:rPr>
        <w:t xml:space="preserve">2.1.6  </w:t>
      </w:r>
      <w:r>
        <w:rPr>
          <w:rFonts w:ascii="Times New Roman" w:hAnsi="Times New Roman" w:eastAsiaTheme="minorEastAsia"/>
          <w:b w:val="0"/>
          <w:color w:val="000000" w:themeColor="text1"/>
          <w14:textFill>
            <w14:solidFill>
              <w14:schemeClr w14:val="tx1"/>
            </w14:solidFill>
          </w14:textFill>
        </w:rPr>
        <w:t>项目临水体岸边布置的易燃、易爆、有毒、腐蚀介质储罐区，储罐</w:t>
      </w:r>
      <w:r>
        <w:rPr>
          <w:rFonts w:hint="eastAsia" w:ascii="Times New Roman" w:hAnsi="Times New Roman" w:eastAsiaTheme="minorEastAsia"/>
          <w:b w:val="0"/>
          <w:color w:val="000000" w:themeColor="text1"/>
          <w14:textFill>
            <w14:solidFill>
              <w14:schemeClr w14:val="tx1"/>
            </w14:solidFill>
          </w14:textFill>
        </w:rPr>
        <w:t>与</w:t>
      </w:r>
      <w:r>
        <w:rPr>
          <w:rFonts w:ascii="Times New Roman" w:hAnsi="Times New Roman" w:eastAsiaTheme="minorEastAsia"/>
          <w:b w:val="0"/>
          <w:color w:val="000000" w:themeColor="text1"/>
          <w14:textFill>
            <w14:solidFill>
              <w14:schemeClr w14:val="tx1"/>
            </w14:solidFill>
          </w14:textFill>
        </w:rPr>
        <w:t>水体的距离应符合防洪、安全防护及城镇水域岸线规划控制蓝线等管理要求。</w:t>
      </w:r>
    </w:p>
    <w:p>
      <w:pPr>
        <w:pStyle w:val="134"/>
        <w:spacing w:line="360" w:lineRule="auto"/>
        <w:ind w:firstLine="0"/>
        <w:rPr>
          <w:rFonts w:ascii="Times New Roman" w:hAnsi="Times New Roman" w:eastAsiaTheme="minorEastAsia"/>
          <w:b w:val="0"/>
          <w:color w:val="000000" w:themeColor="text1"/>
          <w:szCs w:val="24"/>
          <w14:textFill>
            <w14:solidFill>
              <w14:schemeClr w14:val="tx1"/>
            </w14:solidFill>
          </w14:textFill>
        </w:rPr>
      </w:pPr>
      <w:r>
        <w:rPr>
          <w:rFonts w:ascii="Times New Roman" w:hAnsi="Times New Roman" w:eastAsiaTheme="minorEastAsia"/>
          <w:color w:val="000000" w:themeColor="text1"/>
          <w14:textFill>
            <w14:solidFill>
              <w14:schemeClr w14:val="tx1"/>
            </w14:solidFill>
          </w14:textFill>
        </w:rPr>
        <w:t>2.1.7</w:t>
      </w:r>
      <w:r>
        <w:rPr>
          <w:rFonts w:ascii="Times New Roman" w:hAnsi="Times New Roman" w:eastAsiaTheme="minorEastAsia"/>
          <w:b w:val="0"/>
          <w:color w:val="000000" w:themeColor="text1"/>
          <w:szCs w:val="24"/>
          <w14:textFill>
            <w14:solidFill>
              <w14:schemeClr w14:val="tx1"/>
            </w14:solidFill>
          </w14:textFill>
        </w:rPr>
        <w:t xml:space="preserve">  厂区布置应符合下列规定：</w:t>
      </w:r>
    </w:p>
    <w:p>
      <w:pPr>
        <w:pStyle w:val="134"/>
        <w:spacing w:line="360" w:lineRule="auto"/>
        <w:ind w:firstLine="481" w:firstLineChars="200"/>
        <w:rPr>
          <w:rFonts w:ascii="Times New Roman" w:hAnsi="Times New Roman" w:eastAsiaTheme="minorEastAsia"/>
          <w:b w:val="0"/>
          <w:color w:val="000000" w:themeColor="text1"/>
          <w:szCs w:val="24"/>
          <w14:textFill>
            <w14:solidFill>
              <w14:schemeClr w14:val="tx1"/>
            </w14:solidFill>
          </w14:textFill>
        </w:rPr>
      </w:pPr>
      <w:r>
        <w:rPr>
          <w:rFonts w:ascii="Times New Roman" w:hAnsi="Times New Roman" w:eastAsiaTheme="minorEastAsia"/>
          <w:color w:val="000000" w:themeColor="text1"/>
          <w:szCs w:val="24"/>
          <w14:textFill>
            <w14:solidFill>
              <w14:schemeClr w14:val="tx1"/>
            </w14:solidFill>
          </w14:textFill>
        </w:rPr>
        <w:t>1</w:t>
      </w:r>
      <w:r>
        <w:rPr>
          <w:rFonts w:ascii="Times New Roman" w:hAnsi="Times New Roman" w:eastAsiaTheme="minorEastAsia"/>
          <w:b w:val="0"/>
          <w:color w:val="000000" w:themeColor="text1"/>
          <w:szCs w:val="24"/>
          <w14:textFill>
            <w14:solidFill>
              <w14:schemeClr w14:val="tx1"/>
            </w14:solidFill>
          </w14:textFill>
        </w:rPr>
        <w:t xml:space="preserve">  应符合工艺及环</w:t>
      </w:r>
      <w:r>
        <w:rPr>
          <w:rFonts w:hint="eastAsia" w:ascii="Times New Roman" w:hAnsi="Times New Roman" w:eastAsiaTheme="minorEastAsia"/>
          <w:b w:val="0"/>
          <w:color w:val="000000" w:themeColor="text1"/>
          <w:szCs w:val="24"/>
          <w14:textFill>
            <w14:solidFill>
              <w14:schemeClr w14:val="tx1"/>
            </w14:solidFill>
          </w14:textFill>
        </w:rPr>
        <w:t>境</w:t>
      </w:r>
      <w:r>
        <w:rPr>
          <w:rFonts w:ascii="Times New Roman" w:hAnsi="Times New Roman" w:eastAsiaTheme="minorEastAsia"/>
          <w:b w:val="0"/>
          <w:color w:val="000000" w:themeColor="text1"/>
          <w:szCs w:val="24"/>
          <w14:textFill>
            <w14:solidFill>
              <w14:schemeClr w14:val="tx1"/>
            </w14:solidFill>
          </w14:textFill>
        </w:rPr>
        <w:t>保</w:t>
      </w:r>
      <w:r>
        <w:rPr>
          <w:rFonts w:hint="eastAsia" w:ascii="Times New Roman" w:hAnsi="Times New Roman" w:eastAsiaTheme="minorEastAsia"/>
          <w:b w:val="0"/>
          <w:color w:val="000000" w:themeColor="text1"/>
          <w:szCs w:val="24"/>
          <w14:textFill>
            <w14:solidFill>
              <w14:schemeClr w14:val="tx1"/>
            </w14:solidFill>
          </w14:textFill>
        </w:rPr>
        <w:t>护</w:t>
      </w:r>
      <w:r>
        <w:rPr>
          <w:rFonts w:ascii="Times New Roman" w:hAnsi="Times New Roman" w:eastAsiaTheme="minorEastAsia"/>
          <w:b w:val="0"/>
          <w:color w:val="000000" w:themeColor="text1"/>
          <w:szCs w:val="24"/>
          <w14:textFill>
            <w14:solidFill>
              <w14:schemeClr w14:val="tx1"/>
            </w14:solidFill>
          </w14:textFill>
        </w:rPr>
        <w:t>、节能、安全、职业</w:t>
      </w:r>
      <w:r>
        <w:rPr>
          <w:rFonts w:ascii="Times New Roman" w:hAnsi="Times New Roman" w:eastAsiaTheme="minorEastAsia"/>
          <w:b w:val="0"/>
          <w:bCs/>
          <w:color w:val="000000" w:themeColor="text1"/>
          <w14:textFill>
            <w14:solidFill>
              <w14:schemeClr w14:val="tx1"/>
            </w14:solidFill>
          </w14:textFill>
        </w:rPr>
        <w:t>健康</w:t>
      </w:r>
      <w:r>
        <w:rPr>
          <w:rFonts w:ascii="Times New Roman" w:hAnsi="Times New Roman" w:eastAsiaTheme="minorEastAsia"/>
          <w:b w:val="0"/>
          <w:color w:val="000000" w:themeColor="text1"/>
          <w:szCs w:val="24"/>
          <w14:textFill>
            <w14:solidFill>
              <w14:schemeClr w14:val="tx1"/>
            </w14:solidFill>
          </w14:textFill>
        </w:rPr>
        <w:t>、消防要求；</w:t>
      </w:r>
    </w:p>
    <w:p>
      <w:pPr>
        <w:pStyle w:val="134"/>
        <w:spacing w:line="360" w:lineRule="auto"/>
        <w:ind w:firstLine="481" w:firstLineChars="200"/>
        <w:rPr>
          <w:rFonts w:ascii="Times New Roman" w:hAnsi="Times New Roman" w:eastAsiaTheme="minorEastAsia"/>
          <w:b w:val="0"/>
          <w:color w:val="000000" w:themeColor="text1"/>
          <w:szCs w:val="24"/>
          <w14:textFill>
            <w14:solidFill>
              <w14:schemeClr w14:val="tx1"/>
            </w14:solidFill>
          </w14:textFill>
        </w:rPr>
      </w:pPr>
      <w:r>
        <w:rPr>
          <w:rFonts w:ascii="Times New Roman" w:hAnsi="Times New Roman" w:eastAsiaTheme="minorEastAsia"/>
          <w:color w:val="000000" w:themeColor="text1"/>
          <w:szCs w:val="24"/>
          <w14:textFill>
            <w14:solidFill>
              <w14:schemeClr w14:val="tx1"/>
            </w14:solidFill>
          </w14:textFill>
        </w:rPr>
        <w:t xml:space="preserve">2  </w:t>
      </w:r>
      <w:r>
        <w:rPr>
          <w:rFonts w:ascii="Times New Roman" w:hAnsi="Times New Roman" w:eastAsiaTheme="minorEastAsia"/>
          <w:b w:val="0"/>
          <w:color w:val="000000" w:themeColor="text1"/>
          <w:szCs w:val="24"/>
          <w14:textFill>
            <w14:solidFill>
              <w14:schemeClr w14:val="tx1"/>
            </w14:solidFill>
          </w14:textFill>
        </w:rPr>
        <w:t>应保证物料运输线路畅通；</w:t>
      </w:r>
    </w:p>
    <w:p>
      <w:pPr>
        <w:pStyle w:val="134"/>
        <w:spacing w:line="360" w:lineRule="auto"/>
        <w:ind w:firstLine="481" w:firstLineChars="200"/>
        <w:rPr>
          <w:rFonts w:ascii="Times New Roman" w:hAnsi="Times New Roman" w:eastAsiaTheme="minorEastAsia"/>
          <w:b w:val="0"/>
          <w:color w:val="000000" w:themeColor="text1"/>
          <w:szCs w:val="24"/>
          <w14:textFill>
            <w14:solidFill>
              <w14:schemeClr w14:val="tx1"/>
            </w14:solidFill>
          </w14:textFill>
        </w:rPr>
      </w:pPr>
      <w:r>
        <w:rPr>
          <w:rFonts w:ascii="Times New Roman" w:hAnsi="Times New Roman" w:eastAsiaTheme="minorEastAsia"/>
          <w:color w:val="000000" w:themeColor="text1"/>
          <w:szCs w:val="24"/>
          <w14:textFill>
            <w14:solidFill>
              <w14:schemeClr w14:val="tx1"/>
            </w14:solidFill>
          </w14:textFill>
        </w:rPr>
        <w:t xml:space="preserve">3  </w:t>
      </w:r>
      <w:r>
        <w:rPr>
          <w:rFonts w:ascii="Times New Roman" w:hAnsi="Times New Roman" w:eastAsiaTheme="minorEastAsia"/>
          <w:b w:val="0"/>
          <w:color w:val="000000" w:themeColor="text1"/>
          <w:szCs w:val="24"/>
          <w14:textFill>
            <w14:solidFill>
              <w14:schemeClr w14:val="tx1"/>
            </w14:solidFill>
          </w14:textFill>
        </w:rPr>
        <w:t>除工艺设备配置外，还应包括操作、检修、安装场地。</w:t>
      </w:r>
    </w:p>
    <w:p>
      <w:pPr>
        <w:pStyle w:val="134"/>
        <w:spacing w:line="360" w:lineRule="auto"/>
        <w:ind w:firstLine="0"/>
        <w:rPr>
          <w:rFonts w:ascii="Times New Roman" w:hAnsi="Times New Roman" w:eastAsiaTheme="minorEastAsia"/>
          <w:b w:val="0"/>
          <w:snapToGrid/>
          <w:color w:val="000000" w:themeColor="text1"/>
          <w:kern w:val="2"/>
          <w:szCs w:val="24"/>
          <w14:textFill>
            <w14:solidFill>
              <w14:schemeClr w14:val="tx1"/>
            </w14:solidFill>
          </w14:textFill>
        </w:rPr>
      </w:pPr>
      <w:r>
        <w:rPr>
          <w:rFonts w:ascii="Times New Roman" w:hAnsi="Times New Roman" w:eastAsiaTheme="minorEastAsia"/>
          <w:color w:val="000000" w:themeColor="text1"/>
          <w14:textFill>
            <w14:solidFill>
              <w14:schemeClr w14:val="tx1"/>
            </w14:solidFill>
          </w14:textFill>
        </w:rPr>
        <w:t>2.1.8</w:t>
      </w:r>
      <w:r>
        <w:rPr>
          <w:rFonts w:ascii="Times New Roman" w:hAnsi="Times New Roman" w:eastAsiaTheme="minorEastAsia"/>
          <w:b w:val="0"/>
          <w:color w:val="000000" w:themeColor="text1"/>
          <w14:textFill>
            <w14:solidFill>
              <w14:schemeClr w14:val="tx1"/>
            </w14:solidFill>
          </w14:textFill>
        </w:rPr>
        <w:t xml:space="preserve">  </w:t>
      </w:r>
      <w:r>
        <w:rPr>
          <w:rFonts w:ascii="Times New Roman" w:hAnsi="Times New Roman" w:eastAsiaTheme="minorEastAsia"/>
          <w:b w:val="0"/>
          <w:snapToGrid/>
          <w:color w:val="000000" w:themeColor="text1"/>
          <w:kern w:val="2"/>
          <w:szCs w:val="24"/>
          <w14:textFill>
            <w14:solidFill>
              <w14:schemeClr w14:val="tx1"/>
            </w14:solidFill>
          </w14:textFill>
        </w:rPr>
        <w:t>重有色金属冶金工程应包括以原辅材料为主体的物料贮存与预处理系统、火法冶金系统、湿法冶金系统、冶炼烟气处理系统，以及配套的供配电系统、供排水系统、供气系统、雨污分流系统、污水处理系统、环境集烟系统、分析化验系统、安全消防系统、生产管理系统等。主体设施与公辅设施应系统配套、功能完整。</w:t>
      </w:r>
    </w:p>
    <w:p>
      <w:pPr>
        <w:pStyle w:val="134"/>
        <w:spacing w:line="360" w:lineRule="auto"/>
        <w:ind w:firstLine="0"/>
        <w:rPr>
          <w:rFonts w:ascii="Times New Roman" w:hAnsi="Times New Roman" w:eastAsiaTheme="minorEastAsia"/>
          <w:b w:val="0"/>
          <w:color w:val="000000" w:themeColor="text1"/>
          <w:szCs w:val="24"/>
          <w14:textFill>
            <w14:solidFill>
              <w14:schemeClr w14:val="tx1"/>
            </w14:solidFill>
          </w14:textFill>
        </w:rPr>
      </w:pPr>
      <w:r>
        <w:rPr>
          <w:rFonts w:ascii="Times New Roman" w:hAnsi="Times New Roman" w:eastAsiaTheme="minorEastAsia"/>
          <w:color w:val="000000" w:themeColor="text1"/>
          <w:szCs w:val="24"/>
          <w14:textFill>
            <w14:solidFill>
              <w14:schemeClr w14:val="tx1"/>
            </w14:solidFill>
          </w14:textFill>
        </w:rPr>
        <w:t xml:space="preserve">2.1.9 </w:t>
      </w:r>
      <w:r>
        <w:rPr>
          <w:rFonts w:ascii="Times New Roman" w:hAnsi="Times New Roman" w:eastAsiaTheme="minorEastAsia"/>
          <w:b w:val="0"/>
          <w:color w:val="000000" w:themeColor="text1"/>
          <w:szCs w:val="24"/>
          <w14:textFill>
            <w14:solidFill>
              <w14:schemeClr w14:val="tx1"/>
            </w14:solidFill>
          </w14:textFill>
        </w:rPr>
        <w:t xml:space="preserve"> 重有色金属冶金工程主体设施的处理能力</w:t>
      </w:r>
      <w:r>
        <w:rPr>
          <w:rFonts w:hint="eastAsia" w:ascii="Times New Roman" w:hAnsi="Times New Roman" w:eastAsiaTheme="minorEastAsia"/>
          <w:b w:val="0"/>
          <w:color w:val="000000" w:themeColor="text1"/>
          <w:szCs w:val="24"/>
          <w14:textFill>
            <w14:solidFill>
              <w14:schemeClr w14:val="tx1"/>
            </w14:solidFill>
          </w14:textFill>
        </w:rPr>
        <w:t>和</w:t>
      </w:r>
      <w:r>
        <w:rPr>
          <w:rFonts w:ascii="Times New Roman" w:hAnsi="Times New Roman" w:eastAsiaTheme="minorEastAsia"/>
          <w:b w:val="0"/>
          <w:color w:val="000000" w:themeColor="text1"/>
          <w:szCs w:val="24"/>
          <w14:textFill>
            <w14:solidFill>
              <w14:schemeClr w14:val="tx1"/>
            </w14:solidFill>
          </w14:textFill>
        </w:rPr>
        <w:t>公辅系统的配套能力，应满足原料组成的波动性和生产作业制度特性要求。</w:t>
      </w:r>
    </w:p>
    <w:p>
      <w:pPr>
        <w:pStyle w:val="3"/>
        <w:spacing w:before="120" w:beforeLines="50" w:after="120" w:afterLines="50" w:line="360" w:lineRule="auto"/>
        <w:jc w:val="center"/>
        <w:rPr>
          <w:rFonts w:ascii="Times New Roman" w:hAnsi="Times New Roman" w:eastAsiaTheme="minorEastAsia"/>
          <w:color w:val="000000" w:themeColor="text1"/>
          <w:sz w:val="28"/>
          <w:szCs w:val="28"/>
          <w14:textFill>
            <w14:solidFill>
              <w14:schemeClr w14:val="tx1"/>
            </w14:solidFill>
          </w14:textFill>
        </w:rPr>
      </w:pPr>
      <w:bookmarkStart w:id="17" w:name="_Toc118452930"/>
      <w:r>
        <w:rPr>
          <w:rFonts w:ascii="Times New Roman" w:hAnsi="Times New Roman" w:eastAsiaTheme="minorEastAsia"/>
          <w:color w:val="000000" w:themeColor="text1"/>
          <w:sz w:val="28"/>
          <w:szCs w:val="28"/>
          <w14:textFill>
            <w14:solidFill>
              <w14:schemeClr w14:val="tx1"/>
            </w14:solidFill>
          </w14:textFill>
        </w:rPr>
        <w:t>2.2  职业健康与安全</w:t>
      </w:r>
      <w:bookmarkEnd w:id="17"/>
    </w:p>
    <w:p>
      <w:pPr>
        <w:pStyle w:val="134"/>
        <w:spacing w:line="360" w:lineRule="auto"/>
        <w:ind w:firstLine="0"/>
        <w:rPr>
          <w:rFonts w:ascii="Times New Roman" w:hAnsi="Times New Roman" w:eastAsiaTheme="minorEastAsia"/>
          <w:b w:val="0"/>
          <w:color w:val="000000" w:themeColor="text1"/>
          <w:szCs w:val="24"/>
          <w14:textFill>
            <w14:solidFill>
              <w14:schemeClr w14:val="tx1"/>
            </w14:solidFill>
          </w14:textFill>
        </w:rPr>
      </w:pPr>
      <w:r>
        <w:rPr>
          <w:rFonts w:ascii="Times New Roman" w:hAnsi="Times New Roman" w:eastAsiaTheme="minorEastAsia"/>
          <w:color w:val="000000" w:themeColor="text1"/>
          <w14:textFill>
            <w14:solidFill>
              <w14:schemeClr w14:val="tx1"/>
            </w14:solidFill>
          </w14:textFill>
        </w:rPr>
        <w:t xml:space="preserve">2.2.1  </w:t>
      </w:r>
      <w:r>
        <w:rPr>
          <w:rFonts w:ascii="Times New Roman" w:hAnsi="Times New Roman" w:eastAsiaTheme="minorEastAsia"/>
          <w:b w:val="0"/>
          <w:color w:val="000000" w:themeColor="text1"/>
          <w:szCs w:val="24"/>
          <w14:textFill>
            <w14:solidFill>
              <w14:schemeClr w14:val="tx1"/>
            </w14:solidFill>
          </w14:textFill>
        </w:rPr>
        <w:t>重有色金属冶金工程安全、消防、职业病防护设施应与主体工程同时设计、同时施工、同时投入生产和使用。</w:t>
      </w:r>
    </w:p>
    <w:p>
      <w:pPr>
        <w:pStyle w:val="134"/>
        <w:spacing w:line="360" w:lineRule="auto"/>
        <w:ind w:firstLine="0"/>
        <w:rPr>
          <w:rFonts w:ascii="Times New Roman" w:hAnsi="Times New Roman" w:eastAsiaTheme="minorEastAsia"/>
          <w:color w:val="000000" w:themeColor="text1"/>
          <w:szCs w:val="24"/>
          <w14:textFill>
            <w14:solidFill>
              <w14:schemeClr w14:val="tx1"/>
            </w14:solidFill>
          </w14:textFill>
        </w:rPr>
      </w:pPr>
      <w:r>
        <w:rPr>
          <w:rFonts w:ascii="Times New Roman" w:hAnsi="Times New Roman" w:eastAsiaTheme="minorEastAsia"/>
          <w:color w:val="000000" w:themeColor="text1"/>
          <w14:textFill>
            <w14:solidFill>
              <w14:schemeClr w14:val="tx1"/>
            </w14:solidFill>
          </w14:textFill>
        </w:rPr>
        <w:t>2.2.2</w:t>
      </w:r>
      <w:r>
        <w:rPr>
          <w:rFonts w:ascii="Times New Roman" w:hAnsi="Times New Roman" w:eastAsiaTheme="minorEastAsia"/>
          <w:b w:val="0"/>
          <w:color w:val="000000" w:themeColor="text1"/>
          <w14:textFill>
            <w14:solidFill>
              <w14:schemeClr w14:val="tx1"/>
            </w14:solidFill>
          </w14:textFill>
        </w:rPr>
        <w:t xml:space="preserve">  </w:t>
      </w:r>
      <w:r>
        <w:rPr>
          <w:rFonts w:ascii="Times New Roman" w:hAnsi="Times New Roman" w:eastAsiaTheme="minorEastAsia"/>
          <w:b w:val="0"/>
          <w:color w:val="000000" w:themeColor="text1"/>
          <w:szCs w:val="24"/>
          <w14:textFill>
            <w14:solidFill>
              <w14:schemeClr w14:val="tx1"/>
            </w14:solidFill>
          </w14:textFill>
        </w:rPr>
        <w:t>重有色金属冶金工程会议室、控制室、值班室、更衣室等人员密集场所应设置在安全地点，并应符合下列规定：</w:t>
      </w:r>
    </w:p>
    <w:p>
      <w:pPr>
        <w:widowControl/>
        <w:spacing w:line="360" w:lineRule="auto"/>
        <w:ind w:firstLine="481" w:firstLineChars="200"/>
        <w:jc w:val="left"/>
        <w:rPr>
          <w:rFonts w:ascii="Times New Roman" w:hAnsi="Times New Roman" w:eastAsiaTheme="minorEastAsia"/>
          <w:snapToGrid w:val="0"/>
          <w:color w:val="000000" w:themeColor="text1"/>
          <w:kern w:val="0"/>
          <w:sz w:val="24"/>
          <w:szCs w:val="20"/>
          <w14:textFill>
            <w14:solidFill>
              <w14:schemeClr w14:val="tx1"/>
            </w14:solidFill>
          </w14:textFill>
        </w:rPr>
      </w:pPr>
      <w:r>
        <w:rPr>
          <w:rFonts w:ascii="Times New Roman" w:hAnsi="Times New Roman" w:eastAsiaTheme="minorEastAsia"/>
          <w:b/>
          <w:snapToGrid w:val="0"/>
          <w:color w:val="000000" w:themeColor="text1"/>
          <w:kern w:val="0"/>
          <w:sz w:val="24"/>
          <w:szCs w:val="20"/>
          <w14:textFill>
            <w14:solidFill>
              <w14:schemeClr w14:val="tx1"/>
            </w14:solidFill>
          </w14:textFill>
        </w:rPr>
        <w:t xml:space="preserve">1  </w:t>
      </w:r>
      <w:r>
        <w:rPr>
          <w:rFonts w:ascii="Times New Roman" w:hAnsi="Times New Roman" w:eastAsiaTheme="minorEastAsia"/>
          <w:snapToGrid w:val="0"/>
          <w:color w:val="000000" w:themeColor="text1"/>
          <w:kern w:val="0"/>
          <w:sz w:val="24"/>
          <w:szCs w:val="20"/>
          <w14:textFill>
            <w14:solidFill>
              <w14:schemeClr w14:val="tx1"/>
            </w14:solidFill>
          </w14:textFill>
        </w:rPr>
        <w:t>不得设置在熔炼、吹炼、火法精炼、浇铸、熔体粒化、熔体运输专用通道、熔渣缓冷等高温熔融金属、炉渣熔体等危险物品</w:t>
      </w:r>
      <w:r>
        <w:rPr>
          <w:rFonts w:hint="eastAsia" w:ascii="Times New Roman" w:hAnsi="Times New Roman" w:eastAsiaTheme="minorEastAsia"/>
          <w:snapToGrid w:val="0"/>
          <w:color w:val="000000" w:themeColor="text1"/>
          <w:kern w:val="0"/>
          <w:sz w:val="24"/>
          <w:szCs w:val="20"/>
          <w14:textFill>
            <w14:solidFill>
              <w14:schemeClr w14:val="tx1"/>
            </w14:solidFill>
          </w14:textFill>
        </w:rPr>
        <w:t>和</w:t>
      </w:r>
      <w:r>
        <w:rPr>
          <w:rFonts w:ascii="Times New Roman" w:hAnsi="Times New Roman" w:eastAsiaTheme="minorEastAsia"/>
          <w:snapToGrid w:val="0"/>
          <w:color w:val="000000" w:themeColor="text1"/>
          <w:kern w:val="0"/>
          <w:sz w:val="24"/>
          <w:szCs w:val="20"/>
          <w14:textFill>
            <w14:solidFill>
              <w14:schemeClr w14:val="tx1"/>
            </w14:solidFill>
          </w14:textFill>
        </w:rPr>
        <w:t>氯气、硫酸等危险化学品的影响范围内；</w:t>
      </w:r>
    </w:p>
    <w:p>
      <w:pPr>
        <w:widowControl/>
        <w:spacing w:line="360" w:lineRule="auto"/>
        <w:ind w:firstLine="481" w:firstLineChars="200"/>
        <w:jc w:val="left"/>
        <w:rPr>
          <w:rFonts w:ascii="Times New Roman" w:hAnsi="Times New Roman" w:eastAsiaTheme="minorEastAsia"/>
          <w:snapToGrid w:val="0"/>
          <w:color w:val="000000" w:themeColor="text1"/>
          <w:kern w:val="0"/>
          <w:sz w:val="24"/>
          <w:szCs w:val="20"/>
          <w14:textFill>
            <w14:solidFill>
              <w14:schemeClr w14:val="tx1"/>
            </w14:solidFill>
          </w14:textFill>
        </w:rPr>
      </w:pPr>
      <w:r>
        <w:rPr>
          <w:rFonts w:ascii="Times New Roman" w:hAnsi="Times New Roman" w:eastAsiaTheme="minorEastAsia"/>
          <w:b/>
          <w:snapToGrid w:val="0"/>
          <w:color w:val="000000" w:themeColor="text1"/>
          <w:kern w:val="0"/>
          <w:sz w:val="24"/>
          <w:szCs w:val="20"/>
          <w14:textFill>
            <w14:solidFill>
              <w14:schemeClr w14:val="tx1"/>
            </w14:solidFill>
          </w14:textFill>
        </w:rPr>
        <w:t xml:space="preserve">2 </w:t>
      </w:r>
      <w:r>
        <w:rPr>
          <w:rFonts w:ascii="Times New Roman" w:hAnsi="Times New Roman" w:eastAsiaTheme="minorEastAsia"/>
          <w:snapToGrid w:val="0"/>
          <w:color w:val="000000" w:themeColor="text1"/>
          <w:kern w:val="0"/>
          <w:sz w:val="24"/>
          <w:szCs w:val="20"/>
          <w14:textFill>
            <w14:solidFill>
              <w14:schemeClr w14:val="tx1"/>
            </w14:solidFill>
          </w14:textFill>
        </w:rPr>
        <w:t xml:space="preserve"> 室内不得敷设煤气、氮气、二氧化硫烟气等可燃有毒气体的导压管、富氧空气取样分析管，以及油、水、蒸汽的导压管。</w:t>
      </w:r>
    </w:p>
    <w:p>
      <w:pPr>
        <w:pStyle w:val="134"/>
        <w:spacing w:line="360" w:lineRule="auto"/>
        <w:ind w:firstLine="0"/>
        <w:rPr>
          <w:rFonts w:ascii="Times New Roman" w:hAnsi="Times New Roman" w:eastAsiaTheme="minorEastAsia"/>
          <w:b w:val="0"/>
          <w:color w:val="000000" w:themeColor="text1"/>
          <w:szCs w:val="24"/>
          <w14:textFill>
            <w14:solidFill>
              <w14:schemeClr w14:val="tx1"/>
            </w14:solidFill>
          </w14:textFill>
        </w:rPr>
      </w:pPr>
      <w:bookmarkStart w:id="18" w:name="缺25"/>
      <w:bookmarkEnd w:id="18"/>
      <w:r>
        <w:rPr>
          <w:rFonts w:ascii="Times New Roman" w:hAnsi="Times New Roman" w:eastAsiaTheme="minorEastAsia"/>
          <w:color w:val="000000" w:themeColor="text1"/>
          <w14:textFill>
            <w14:solidFill>
              <w14:schemeClr w14:val="tx1"/>
            </w14:solidFill>
          </w14:textFill>
        </w:rPr>
        <w:t xml:space="preserve">2.2.3 </w:t>
      </w:r>
      <w:r>
        <w:rPr>
          <w:rFonts w:ascii="Times New Roman" w:hAnsi="Times New Roman" w:eastAsiaTheme="minorEastAsia"/>
          <w:b w:val="0"/>
          <w:color w:val="000000" w:themeColor="text1"/>
          <w14:textFill>
            <w14:solidFill>
              <w14:schemeClr w14:val="tx1"/>
            </w14:solidFill>
          </w14:textFill>
        </w:rPr>
        <w:t xml:space="preserve"> </w:t>
      </w:r>
      <w:r>
        <w:rPr>
          <w:rFonts w:ascii="Times New Roman" w:hAnsi="Times New Roman" w:eastAsiaTheme="minorEastAsia"/>
          <w:b w:val="0"/>
          <w:color w:val="000000" w:themeColor="text1"/>
          <w:szCs w:val="24"/>
          <w14:textFill>
            <w14:solidFill>
              <w14:schemeClr w14:val="tx1"/>
            </w14:solidFill>
          </w14:textFill>
        </w:rPr>
        <w:t>重有色金属冶金工程中涉及的有毒有害物质贮存、输送、生产和使用场所，应设置环境风险防范和应急处理设施。</w:t>
      </w:r>
    </w:p>
    <w:p>
      <w:pPr>
        <w:pStyle w:val="134"/>
        <w:spacing w:line="360" w:lineRule="auto"/>
        <w:ind w:firstLine="0"/>
        <w:rPr>
          <w:rFonts w:ascii="Times New Roman" w:hAnsi="Times New Roman" w:eastAsiaTheme="minorEastAsia"/>
          <w:b w:val="0"/>
          <w:color w:val="000000" w:themeColor="text1"/>
          <w:szCs w:val="24"/>
          <w14:textFill>
            <w14:solidFill>
              <w14:schemeClr w14:val="tx1"/>
            </w14:solidFill>
          </w14:textFill>
        </w:rPr>
      </w:pPr>
      <w:r>
        <w:rPr>
          <w:rFonts w:ascii="Times New Roman" w:hAnsi="Times New Roman" w:eastAsiaTheme="minorEastAsia"/>
          <w:color w:val="000000" w:themeColor="text1"/>
          <w:szCs w:val="24"/>
          <w14:textFill>
            <w14:solidFill>
              <w14:schemeClr w14:val="tx1"/>
            </w14:solidFill>
          </w14:textFill>
        </w:rPr>
        <w:t xml:space="preserve">2.2.4 </w:t>
      </w:r>
      <w:r>
        <w:rPr>
          <w:rFonts w:ascii="Times New Roman" w:hAnsi="Times New Roman" w:eastAsiaTheme="minorEastAsia"/>
          <w:b w:val="0"/>
          <w:color w:val="000000" w:themeColor="text1"/>
          <w:szCs w:val="24"/>
          <w14:textFill>
            <w14:solidFill>
              <w14:schemeClr w14:val="tx1"/>
            </w14:solidFill>
          </w14:textFill>
        </w:rPr>
        <w:t xml:space="preserve"> </w:t>
      </w:r>
      <w:r>
        <w:rPr>
          <w:rFonts w:ascii="Times New Roman" w:hAnsi="Times New Roman" w:eastAsiaTheme="minorEastAsia"/>
          <w:b w:val="0"/>
          <w:color w:val="000000" w:themeColor="text1"/>
          <w14:textFill>
            <w14:solidFill>
              <w14:schemeClr w14:val="tx1"/>
            </w14:solidFill>
          </w14:textFill>
        </w:rPr>
        <w:t>列入《国家危险废物名录》的</w:t>
      </w:r>
      <w:r>
        <w:rPr>
          <w:rFonts w:ascii="Times New Roman" w:hAnsi="Times New Roman" w:eastAsiaTheme="minorEastAsia"/>
          <w:b w:val="0"/>
          <w:color w:val="000000" w:themeColor="text1"/>
          <w:szCs w:val="24"/>
          <w14:textFill>
            <w14:solidFill>
              <w14:schemeClr w14:val="tx1"/>
            </w14:solidFill>
          </w14:textFill>
        </w:rPr>
        <w:t>渣、烟尘等危险废物的贮存仓库应独立设置，并应满足危险废物贮存设施要求，</w:t>
      </w:r>
      <w:r>
        <w:rPr>
          <w:rFonts w:hint="eastAsia" w:ascii="Times New Roman" w:hAnsi="Times New Roman" w:eastAsiaTheme="minorEastAsia"/>
          <w:b w:val="0"/>
          <w:color w:val="000000" w:themeColor="text1"/>
          <w:szCs w:val="24"/>
          <w14:textFill>
            <w14:solidFill>
              <w14:schemeClr w14:val="tx1"/>
            </w14:solidFill>
          </w14:textFill>
        </w:rPr>
        <w:t>不得</w:t>
      </w:r>
      <w:r>
        <w:rPr>
          <w:rFonts w:ascii="Times New Roman" w:hAnsi="Times New Roman" w:eastAsiaTheme="minorEastAsia"/>
          <w:b w:val="0"/>
          <w:color w:val="000000" w:themeColor="text1"/>
          <w:szCs w:val="24"/>
          <w14:textFill>
            <w14:solidFill>
              <w14:schemeClr w14:val="tx1"/>
            </w14:solidFill>
          </w14:textFill>
        </w:rPr>
        <w:t>与危险化学品、一般工业固体废物或生活垃圾混合装运与贮存。</w:t>
      </w:r>
    </w:p>
    <w:p>
      <w:pPr>
        <w:pStyle w:val="134"/>
        <w:spacing w:line="360" w:lineRule="auto"/>
        <w:ind w:firstLine="0"/>
        <w:rPr>
          <w:rFonts w:ascii="Times New Roman" w:hAnsi="Times New Roman" w:eastAsiaTheme="minorEastAsia"/>
          <w:b w:val="0"/>
          <w:color w:val="000000" w:themeColor="text1"/>
          <w:szCs w:val="24"/>
          <w14:textFill>
            <w14:solidFill>
              <w14:schemeClr w14:val="tx1"/>
            </w14:solidFill>
          </w14:textFill>
        </w:rPr>
      </w:pPr>
      <w:r>
        <w:rPr>
          <w:rFonts w:ascii="Times New Roman" w:hAnsi="Times New Roman" w:eastAsiaTheme="minorEastAsia"/>
          <w:color w:val="000000" w:themeColor="text1"/>
          <w14:textFill>
            <w14:solidFill>
              <w14:schemeClr w14:val="tx1"/>
            </w14:solidFill>
          </w14:textFill>
        </w:rPr>
        <w:t xml:space="preserve">2.2.5 </w:t>
      </w:r>
      <w:r>
        <w:rPr>
          <w:rFonts w:ascii="Times New Roman" w:hAnsi="Times New Roman" w:eastAsiaTheme="minorEastAsia"/>
          <w:b w:val="0"/>
          <w:color w:val="000000" w:themeColor="text1"/>
          <w14:textFill>
            <w14:solidFill>
              <w14:schemeClr w14:val="tx1"/>
            </w14:solidFill>
          </w14:textFill>
        </w:rPr>
        <w:t xml:space="preserve"> </w:t>
      </w:r>
      <w:r>
        <w:rPr>
          <w:rFonts w:ascii="Times New Roman" w:hAnsi="Times New Roman" w:eastAsiaTheme="minorEastAsia"/>
          <w:b w:val="0"/>
          <w:color w:val="000000" w:themeColor="text1"/>
          <w:szCs w:val="24"/>
          <w14:textFill>
            <w14:solidFill>
              <w14:schemeClr w14:val="tx1"/>
            </w14:solidFill>
          </w14:textFill>
        </w:rPr>
        <w:t>冶炼烟气制酸过程中产生的废酸应回收或无害化处理。</w:t>
      </w:r>
    </w:p>
    <w:p>
      <w:pPr>
        <w:pStyle w:val="134"/>
        <w:spacing w:line="360" w:lineRule="auto"/>
        <w:ind w:firstLine="0"/>
        <w:rPr>
          <w:rFonts w:ascii="Times New Roman" w:hAnsi="Times New Roman" w:eastAsiaTheme="minorEastAsia"/>
          <w:b w:val="0"/>
          <w:color w:val="000000" w:themeColor="text1"/>
          <w:szCs w:val="24"/>
          <w14:textFill>
            <w14:solidFill>
              <w14:schemeClr w14:val="tx1"/>
            </w14:solidFill>
          </w14:textFill>
        </w:rPr>
      </w:pPr>
      <w:r>
        <w:rPr>
          <w:rFonts w:ascii="Times New Roman" w:hAnsi="Times New Roman" w:eastAsiaTheme="minorEastAsia"/>
          <w:color w:val="000000" w:themeColor="text1"/>
          <w14:textFill>
            <w14:solidFill>
              <w14:schemeClr w14:val="tx1"/>
            </w14:solidFill>
          </w14:textFill>
        </w:rPr>
        <w:t xml:space="preserve">2.2.6 </w:t>
      </w:r>
      <w:r>
        <w:rPr>
          <w:rFonts w:ascii="Times New Roman" w:hAnsi="Times New Roman" w:eastAsiaTheme="minorEastAsia"/>
          <w:b w:val="0"/>
          <w:color w:val="000000" w:themeColor="text1"/>
          <w14:textFill>
            <w14:solidFill>
              <w14:schemeClr w14:val="tx1"/>
            </w14:solidFill>
          </w14:textFill>
        </w:rPr>
        <w:t xml:space="preserve"> </w:t>
      </w:r>
      <w:r>
        <w:rPr>
          <w:rFonts w:ascii="Times New Roman" w:hAnsi="Times New Roman" w:eastAsiaTheme="minorEastAsia"/>
          <w:b w:val="0"/>
          <w:color w:val="000000" w:themeColor="text1"/>
          <w:szCs w:val="24"/>
          <w14:textFill>
            <w14:solidFill>
              <w14:schemeClr w14:val="tx1"/>
            </w14:solidFill>
          </w14:textFill>
        </w:rPr>
        <w:t>收集含砷、镉等有害成分烟尘的设备应密闭，需排放的尾气应净化处理达标排放。</w:t>
      </w:r>
    </w:p>
    <w:p>
      <w:pPr>
        <w:pStyle w:val="134"/>
        <w:spacing w:line="360" w:lineRule="auto"/>
        <w:ind w:firstLine="0"/>
        <w:rPr>
          <w:rFonts w:ascii="Times New Roman" w:hAnsi="Times New Roman" w:eastAsiaTheme="minorEastAsia"/>
          <w:b w:val="0"/>
          <w:color w:val="000000" w:themeColor="text1"/>
          <w:szCs w:val="24"/>
          <w14:textFill>
            <w14:solidFill>
              <w14:schemeClr w14:val="tx1"/>
            </w14:solidFill>
          </w14:textFill>
        </w:rPr>
      </w:pPr>
      <w:r>
        <w:rPr>
          <w:rFonts w:ascii="Times New Roman" w:hAnsi="Times New Roman" w:eastAsiaTheme="minorEastAsia"/>
          <w:color w:val="000000" w:themeColor="text1"/>
          <w14:textFill>
            <w14:solidFill>
              <w14:schemeClr w14:val="tx1"/>
            </w14:solidFill>
          </w14:textFill>
        </w:rPr>
        <w:t xml:space="preserve">2.2.7 </w:t>
      </w:r>
      <w:r>
        <w:rPr>
          <w:rFonts w:ascii="Times New Roman" w:hAnsi="Times New Roman" w:eastAsiaTheme="minorEastAsia"/>
          <w:b w:val="0"/>
          <w:color w:val="000000" w:themeColor="text1"/>
          <w14:textFill>
            <w14:solidFill>
              <w14:schemeClr w14:val="tx1"/>
            </w14:solidFill>
          </w14:textFill>
        </w:rPr>
        <w:t xml:space="preserve"> </w:t>
      </w:r>
      <w:r>
        <w:rPr>
          <w:rFonts w:ascii="Times New Roman" w:hAnsi="Times New Roman" w:eastAsiaTheme="minorEastAsia"/>
          <w:b w:val="0"/>
          <w:color w:val="000000" w:themeColor="text1"/>
          <w:szCs w:val="24"/>
          <w14:textFill>
            <w14:solidFill>
              <w14:schemeClr w14:val="tx1"/>
            </w14:solidFill>
          </w14:textFill>
        </w:rPr>
        <w:t>负压条件下运行的装置和管道，应设置真空度调节装置。</w:t>
      </w:r>
    </w:p>
    <w:p>
      <w:pPr>
        <w:pStyle w:val="134"/>
        <w:spacing w:line="360" w:lineRule="auto"/>
        <w:ind w:firstLine="0"/>
        <w:rPr>
          <w:rFonts w:ascii="Times New Roman" w:hAnsi="Times New Roman" w:eastAsiaTheme="minorEastAsia"/>
          <w:b w:val="0"/>
          <w:color w:val="000000" w:themeColor="text1"/>
          <w:szCs w:val="24"/>
          <w14:textFill>
            <w14:solidFill>
              <w14:schemeClr w14:val="tx1"/>
            </w14:solidFill>
          </w14:textFill>
        </w:rPr>
      </w:pPr>
      <w:r>
        <w:rPr>
          <w:rFonts w:ascii="Times New Roman" w:hAnsi="Times New Roman" w:eastAsiaTheme="minorEastAsia"/>
          <w:color w:val="000000" w:themeColor="text1"/>
          <w14:textFill>
            <w14:solidFill>
              <w14:schemeClr w14:val="tx1"/>
            </w14:solidFill>
          </w14:textFill>
        </w:rPr>
        <w:t>2.2.8</w:t>
      </w:r>
      <w:r>
        <w:rPr>
          <w:rFonts w:ascii="Times New Roman" w:hAnsi="Times New Roman" w:eastAsiaTheme="minorEastAsia"/>
          <w:b w:val="0"/>
          <w:color w:val="000000" w:themeColor="text1"/>
          <w14:textFill>
            <w14:solidFill>
              <w14:schemeClr w14:val="tx1"/>
            </w14:solidFill>
          </w14:textFill>
        </w:rPr>
        <w:t xml:space="preserve">  存在发生</w:t>
      </w:r>
      <w:r>
        <w:rPr>
          <w:rFonts w:ascii="Times New Roman" w:hAnsi="Times New Roman" w:eastAsiaTheme="minorEastAsia"/>
          <w:b w:val="0"/>
          <w:color w:val="000000" w:themeColor="text1"/>
          <w:szCs w:val="24"/>
          <w14:textFill>
            <w14:solidFill>
              <w14:schemeClr w14:val="tx1"/>
            </w14:solidFill>
          </w14:textFill>
        </w:rPr>
        <w:t>爆炸、火灾介质逸散的危险场所内可能产生静电危险的装置和管道应采取防静电接地措施。</w:t>
      </w:r>
      <w:bookmarkStart w:id="19" w:name="_Toc533099800"/>
      <w:bookmarkStart w:id="20" w:name="_Toc533098838"/>
      <w:bookmarkStart w:id="21" w:name="_Toc533099043"/>
      <w:bookmarkStart w:id="22" w:name="_Toc533100380"/>
      <w:bookmarkStart w:id="23" w:name="_Toc533098179"/>
      <w:bookmarkStart w:id="24" w:name="_Toc533098443"/>
      <w:bookmarkStart w:id="25" w:name="_Toc533099336"/>
    </w:p>
    <w:bookmarkEnd w:id="19"/>
    <w:bookmarkEnd w:id="20"/>
    <w:bookmarkEnd w:id="21"/>
    <w:bookmarkEnd w:id="22"/>
    <w:bookmarkEnd w:id="23"/>
    <w:bookmarkEnd w:id="24"/>
    <w:bookmarkEnd w:id="25"/>
    <w:p>
      <w:pPr>
        <w:pStyle w:val="134"/>
        <w:spacing w:line="360" w:lineRule="auto"/>
        <w:ind w:firstLine="0"/>
        <w:rPr>
          <w:rFonts w:ascii="Times New Roman" w:hAnsi="Times New Roman" w:eastAsiaTheme="minorEastAsia"/>
          <w:b w:val="0"/>
          <w:color w:val="000000" w:themeColor="text1"/>
          <w:szCs w:val="24"/>
          <w14:textFill>
            <w14:solidFill>
              <w14:schemeClr w14:val="tx1"/>
            </w14:solidFill>
          </w14:textFill>
        </w:rPr>
      </w:pPr>
      <w:r>
        <w:rPr>
          <w:rFonts w:ascii="Times New Roman" w:hAnsi="Times New Roman" w:eastAsiaTheme="minorEastAsia"/>
          <w:color w:val="000000" w:themeColor="text1"/>
          <w14:textFill>
            <w14:solidFill>
              <w14:schemeClr w14:val="tx1"/>
            </w14:solidFill>
          </w14:textFill>
        </w:rPr>
        <w:t xml:space="preserve">2.2.9 </w:t>
      </w:r>
      <w:r>
        <w:rPr>
          <w:rFonts w:ascii="Times New Roman" w:hAnsi="Times New Roman" w:eastAsiaTheme="minorEastAsia"/>
          <w:b w:val="0"/>
          <w:color w:val="000000" w:themeColor="text1"/>
          <w14:textFill>
            <w14:solidFill>
              <w14:schemeClr w14:val="tx1"/>
            </w14:solidFill>
          </w14:textFill>
        </w:rPr>
        <w:t xml:space="preserve"> </w:t>
      </w:r>
      <w:r>
        <w:rPr>
          <w:rFonts w:ascii="Times New Roman" w:hAnsi="Times New Roman" w:eastAsiaTheme="minorEastAsia"/>
          <w:b w:val="0"/>
          <w:color w:val="000000" w:themeColor="text1"/>
          <w:szCs w:val="24"/>
          <w14:textFill>
            <w14:solidFill>
              <w14:schemeClr w14:val="tx1"/>
            </w14:solidFill>
          </w14:textFill>
        </w:rPr>
        <w:t>具有化学灼伤危险、毒性危害严重</w:t>
      </w:r>
      <w:r>
        <w:rPr>
          <w:rFonts w:hint="eastAsia" w:ascii="Times New Roman" w:hAnsi="Times New Roman" w:eastAsiaTheme="minorEastAsia"/>
          <w:b w:val="0"/>
          <w:color w:val="000000" w:themeColor="text1"/>
          <w:szCs w:val="24"/>
          <w14:textFill>
            <w14:solidFill>
              <w14:schemeClr w14:val="tx1"/>
            </w14:solidFill>
          </w14:textFill>
        </w:rPr>
        <w:t>和</w:t>
      </w:r>
      <w:r>
        <w:rPr>
          <w:rFonts w:ascii="Times New Roman" w:hAnsi="Times New Roman" w:eastAsiaTheme="minorEastAsia"/>
          <w:b w:val="0"/>
          <w:color w:val="000000" w:themeColor="text1"/>
          <w:szCs w:val="24"/>
          <w14:textFill>
            <w14:solidFill>
              <w14:schemeClr w14:val="tx1"/>
            </w14:solidFill>
          </w14:textFill>
        </w:rPr>
        <w:t>强氧化性、强腐蚀性的液体生产、储存、装卸、使用等作业场所，应设置淋洗器、洗眼器等安全防护设施。</w:t>
      </w:r>
    </w:p>
    <w:p>
      <w:pPr>
        <w:pStyle w:val="134"/>
        <w:spacing w:line="360" w:lineRule="auto"/>
        <w:ind w:firstLine="0"/>
        <w:rPr>
          <w:rFonts w:ascii="Times New Roman" w:hAnsi="Times New Roman" w:eastAsiaTheme="minorEastAsia"/>
          <w:b w:val="0"/>
          <w:color w:val="000000" w:themeColor="text1"/>
          <w:szCs w:val="24"/>
          <w14:textFill>
            <w14:solidFill>
              <w14:schemeClr w14:val="tx1"/>
            </w14:solidFill>
          </w14:textFill>
        </w:rPr>
      </w:pPr>
      <w:r>
        <w:rPr>
          <w:rFonts w:ascii="Times New Roman" w:hAnsi="Times New Roman" w:eastAsiaTheme="minorEastAsia"/>
          <w:color w:val="000000" w:themeColor="text1"/>
          <w14:textFill>
            <w14:solidFill>
              <w14:schemeClr w14:val="tx1"/>
            </w14:solidFill>
          </w14:textFill>
        </w:rPr>
        <w:t>2.2.10</w:t>
      </w:r>
      <w:r>
        <w:rPr>
          <w:rFonts w:ascii="Times New Roman" w:hAnsi="Times New Roman" w:eastAsiaTheme="minorEastAsia"/>
          <w:b w:val="0"/>
          <w:color w:val="000000" w:themeColor="text1"/>
          <w14:textFill>
            <w14:solidFill>
              <w14:schemeClr w14:val="tx1"/>
            </w14:solidFill>
          </w14:textFill>
        </w:rPr>
        <w:t xml:space="preserve">  </w:t>
      </w:r>
      <w:r>
        <w:rPr>
          <w:rFonts w:ascii="Times New Roman" w:hAnsi="Times New Roman" w:eastAsiaTheme="minorEastAsia"/>
          <w:b w:val="0"/>
          <w:color w:val="000000" w:themeColor="text1"/>
          <w:szCs w:val="24"/>
          <w14:textFill>
            <w14:solidFill>
              <w14:schemeClr w14:val="tx1"/>
            </w14:solidFill>
          </w14:textFill>
        </w:rPr>
        <w:t>混合后可能发生化学反应并形成爆炸性混合物的气体或液体不得有组织混合排放。</w:t>
      </w:r>
    </w:p>
    <w:p>
      <w:pPr>
        <w:pStyle w:val="134"/>
        <w:spacing w:line="360" w:lineRule="auto"/>
        <w:ind w:firstLine="0"/>
        <w:rPr>
          <w:rFonts w:ascii="Times New Roman" w:hAnsi="Times New Roman" w:eastAsiaTheme="minorEastAsia"/>
          <w:b w:val="0"/>
          <w:color w:val="000000" w:themeColor="text1"/>
          <w:szCs w:val="24"/>
          <w14:textFill>
            <w14:solidFill>
              <w14:schemeClr w14:val="tx1"/>
            </w14:solidFill>
          </w14:textFill>
        </w:rPr>
      </w:pPr>
      <w:r>
        <w:rPr>
          <w:rFonts w:ascii="Times New Roman" w:hAnsi="Times New Roman" w:eastAsiaTheme="minorEastAsia"/>
          <w:color w:val="000000" w:themeColor="text1"/>
          <w14:textFill>
            <w14:solidFill>
              <w14:schemeClr w14:val="tx1"/>
            </w14:solidFill>
          </w14:textFill>
        </w:rPr>
        <w:t xml:space="preserve">2.2.11  </w:t>
      </w:r>
      <w:r>
        <w:rPr>
          <w:rFonts w:ascii="Times New Roman" w:hAnsi="Times New Roman" w:eastAsiaTheme="minorEastAsia"/>
          <w:b w:val="0"/>
          <w:color w:val="000000" w:themeColor="text1"/>
          <w:szCs w:val="24"/>
          <w14:textFill>
            <w14:solidFill>
              <w14:schemeClr w14:val="tx1"/>
            </w14:solidFill>
          </w14:textFill>
        </w:rPr>
        <w:t>因物料爆聚、分解造成超温、超压，可能引起火灾、爆炸的反应设备应设置泄压排放装置、检测报警装置，并应与紧急切断进料设施联锁。</w:t>
      </w:r>
    </w:p>
    <w:p>
      <w:pPr>
        <w:pStyle w:val="134"/>
        <w:spacing w:line="360" w:lineRule="auto"/>
        <w:ind w:firstLine="0"/>
        <w:rPr>
          <w:rFonts w:ascii="Times New Roman" w:hAnsi="Times New Roman" w:eastAsiaTheme="minorEastAsia"/>
          <w:b w:val="0"/>
          <w:color w:val="auto"/>
          <w:szCs w:val="24"/>
        </w:rPr>
      </w:pPr>
      <w:r>
        <w:rPr>
          <w:rFonts w:ascii="Times New Roman" w:hAnsi="Times New Roman" w:eastAsiaTheme="minorEastAsia"/>
          <w:color w:val="000000" w:themeColor="text1"/>
          <w14:textFill>
            <w14:solidFill>
              <w14:schemeClr w14:val="tx1"/>
            </w14:solidFill>
          </w14:textFill>
        </w:rPr>
        <w:t>2.2.</w:t>
      </w:r>
      <w:bookmarkStart w:id="26" w:name="_Toc533098382"/>
      <w:bookmarkStart w:id="27" w:name="_Toc533099276"/>
      <w:bookmarkStart w:id="28" w:name="_Toc533098983"/>
      <w:bookmarkStart w:id="29" w:name="_Toc533098118"/>
      <w:bookmarkStart w:id="30" w:name="_Toc533099740"/>
      <w:bookmarkStart w:id="31" w:name="_Toc533100320"/>
      <w:bookmarkStart w:id="32" w:name="_Toc533098778"/>
      <w:r>
        <w:rPr>
          <w:rFonts w:ascii="Times New Roman" w:hAnsi="Times New Roman" w:eastAsiaTheme="minorEastAsia"/>
          <w:color w:val="000000" w:themeColor="text1"/>
          <w14:textFill>
            <w14:solidFill>
              <w14:schemeClr w14:val="tx1"/>
            </w14:solidFill>
          </w14:textFill>
        </w:rPr>
        <w:t>12</w:t>
      </w:r>
      <w:r>
        <w:rPr>
          <w:rFonts w:ascii="Times New Roman" w:hAnsi="Times New Roman" w:eastAsiaTheme="minorEastAsia"/>
          <w:b w:val="0"/>
          <w:color w:val="000000" w:themeColor="text1"/>
          <w14:textFill>
            <w14:solidFill>
              <w14:schemeClr w14:val="tx1"/>
            </w14:solidFill>
          </w14:textFill>
        </w:rPr>
        <w:t xml:space="preserve"> </w:t>
      </w:r>
      <w:r>
        <w:rPr>
          <w:rFonts w:ascii="Times New Roman" w:hAnsi="Times New Roman" w:eastAsiaTheme="minorEastAsia"/>
          <w:b w:val="0"/>
          <w:color w:val="auto"/>
        </w:rPr>
        <w:t xml:space="preserve"> </w:t>
      </w:r>
      <w:r>
        <w:rPr>
          <w:rFonts w:ascii="Times New Roman" w:hAnsi="Times New Roman" w:eastAsiaTheme="minorEastAsia"/>
          <w:b w:val="0"/>
          <w:color w:val="auto"/>
          <w:szCs w:val="24"/>
        </w:rPr>
        <w:t>生产运行中可能超压的设备或管道应设置安全泄压系统。</w:t>
      </w:r>
    </w:p>
    <w:bookmarkEnd w:id="26"/>
    <w:bookmarkEnd w:id="27"/>
    <w:bookmarkEnd w:id="28"/>
    <w:bookmarkEnd w:id="29"/>
    <w:bookmarkEnd w:id="30"/>
    <w:bookmarkEnd w:id="31"/>
    <w:bookmarkEnd w:id="32"/>
    <w:p>
      <w:pPr>
        <w:pStyle w:val="134"/>
        <w:spacing w:line="360" w:lineRule="auto"/>
        <w:ind w:firstLine="0"/>
        <w:rPr>
          <w:rFonts w:ascii="Times New Roman" w:hAnsi="Times New Roman" w:eastAsiaTheme="minorEastAsia"/>
          <w:color w:val="000000" w:themeColor="text1"/>
          <w14:textFill>
            <w14:solidFill>
              <w14:schemeClr w14:val="tx1"/>
            </w14:solidFill>
          </w14:textFill>
        </w:rPr>
      </w:pPr>
      <w:r>
        <w:rPr>
          <w:rFonts w:ascii="Times New Roman" w:hAnsi="Times New Roman" w:eastAsiaTheme="minorEastAsia"/>
          <w:color w:val="000000" w:themeColor="text1"/>
          <w14:textFill>
            <w14:solidFill>
              <w14:schemeClr w14:val="tx1"/>
            </w14:solidFill>
          </w14:textFill>
        </w:rPr>
        <w:t xml:space="preserve">2.2.13  </w:t>
      </w:r>
      <w:r>
        <w:rPr>
          <w:rFonts w:ascii="Times New Roman" w:hAnsi="Times New Roman" w:eastAsiaTheme="minorEastAsia"/>
          <w:b w:val="0"/>
          <w:color w:val="000000" w:themeColor="text1"/>
          <w14:textFill>
            <w14:solidFill>
              <w14:schemeClr w14:val="tx1"/>
            </w14:solidFill>
          </w14:textFill>
        </w:rPr>
        <w:t>固定顶储罐的罐顶有人员操作或检修要求时，罐顶应设置栏杆和通道。不得利用可（助）燃气体、可（助）燃液体、腐蚀性气体、腐蚀性液体的钢制储罐罐顶作为操作平台和检修人员通道。</w:t>
      </w:r>
    </w:p>
    <w:p>
      <w:pPr>
        <w:pStyle w:val="134"/>
        <w:spacing w:line="360" w:lineRule="auto"/>
        <w:ind w:firstLine="0"/>
        <w:rPr>
          <w:rFonts w:ascii="Times New Roman" w:hAnsi="Times New Roman" w:eastAsiaTheme="minorEastAsia"/>
          <w:b w:val="0"/>
          <w:color w:val="000000" w:themeColor="text1"/>
          <w:szCs w:val="24"/>
          <w14:textFill>
            <w14:solidFill>
              <w14:schemeClr w14:val="tx1"/>
            </w14:solidFill>
          </w14:textFill>
        </w:rPr>
      </w:pPr>
      <w:r>
        <w:rPr>
          <w:rFonts w:ascii="Times New Roman" w:hAnsi="Times New Roman" w:eastAsiaTheme="minorEastAsia"/>
          <w:color w:val="000000" w:themeColor="text1"/>
          <w14:textFill>
            <w14:solidFill>
              <w14:schemeClr w14:val="tx1"/>
            </w14:solidFill>
          </w14:textFill>
        </w:rPr>
        <w:t xml:space="preserve">2.2.14 </w:t>
      </w:r>
      <w:r>
        <w:rPr>
          <w:rFonts w:ascii="Times New Roman" w:hAnsi="Times New Roman" w:eastAsiaTheme="minorEastAsia"/>
          <w:b w:val="0"/>
          <w:color w:val="000000" w:themeColor="text1"/>
          <w:szCs w:val="24"/>
          <w14:textFill>
            <w14:solidFill>
              <w14:schemeClr w14:val="tx1"/>
            </w14:solidFill>
          </w14:textFill>
        </w:rPr>
        <w:t xml:space="preserve"> 露天设置的可（助）燃气体、可（助）燃液体、腐蚀性气体、腐蚀性液体的钢制储罐应采取防雷接地措施。</w:t>
      </w:r>
    </w:p>
    <w:p>
      <w:pPr>
        <w:pStyle w:val="134"/>
        <w:spacing w:line="360" w:lineRule="auto"/>
        <w:ind w:firstLine="0"/>
        <w:rPr>
          <w:rFonts w:ascii="Times New Roman" w:hAnsi="Times New Roman" w:eastAsiaTheme="minorEastAsia"/>
          <w:b w:val="0"/>
          <w:color w:val="000000" w:themeColor="text1"/>
          <w:szCs w:val="24"/>
          <w14:textFill>
            <w14:solidFill>
              <w14:schemeClr w14:val="tx1"/>
            </w14:solidFill>
          </w14:textFill>
        </w:rPr>
      </w:pPr>
      <w:r>
        <w:rPr>
          <w:rFonts w:ascii="Times New Roman" w:hAnsi="Times New Roman" w:eastAsiaTheme="minorEastAsia"/>
          <w:color w:val="000000" w:themeColor="text1"/>
          <w14:textFill>
            <w14:solidFill>
              <w14:schemeClr w14:val="tx1"/>
            </w14:solidFill>
          </w14:textFill>
        </w:rPr>
        <w:t>2.2.</w:t>
      </w:r>
      <w:bookmarkStart w:id="33" w:name="_Toc533098377"/>
      <w:bookmarkStart w:id="34" w:name="_Toc533098113"/>
      <w:bookmarkStart w:id="35" w:name="_Toc533098773"/>
      <w:bookmarkStart w:id="36" w:name="_Toc533100315"/>
      <w:bookmarkStart w:id="37" w:name="_Toc533099735"/>
      <w:bookmarkStart w:id="38" w:name="_Toc533098978"/>
      <w:bookmarkStart w:id="39" w:name="_Toc533099271"/>
      <w:r>
        <w:rPr>
          <w:rFonts w:ascii="Times New Roman" w:hAnsi="Times New Roman" w:eastAsiaTheme="minorEastAsia"/>
          <w:color w:val="000000" w:themeColor="text1"/>
          <w14:textFill>
            <w14:solidFill>
              <w14:schemeClr w14:val="tx1"/>
            </w14:solidFill>
          </w14:textFill>
        </w:rPr>
        <w:t xml:space="preserve">15 </w:t>
      </w:r>
      <w:r>
        <w:rPr>
          <w:rFonts w:ascii="Times New Roman" w:hAnsi="Times New Roman" w:eastAsiaTheme="minorEastAsia"/>
          <w:b w:val="0"/>
          <w:color w:val="000000" w:themeColor="text1"/>
          <w14:textFill>
            <w14:solidFill>
              <w14:schemeClr w14:val="tx1"/>
            </w14:solidFill>
          </w14:textFill>
        </w:rPr>
        <w:t xml:space="preserve"> </w:t>
      </w:r>
      <w:r>
        <w:rPr>
          <w:rFonts w:hint="eastAsia" w:ascii="Times New Roman" w:hAnsi="Times New Roman" w:eastAsiaTheme="minorEastAsia"/>
          <w:b w:val="0"/>
          <w:color w:val="000000" w:themeColor="text1"/>
          <w14:textFill>
            <w14:solidFill>
              <w14:schemeClr w14:val="tx1"/>
            </w14:solidFill>
          </w14:textFill>
        </w:rPr>
        <w:t>对于人员</w:t>
      </w:r>
      <w:r>
        <w:rPr>
          <w:rFonts w:ascii="Times New Roman" w:hAnsi="Times New Roman" w:eastAsiaTheme="minorEastAsia"/>
          <w:b w:val="0"/>
          <w:color w:val="000000" w:themeColor="text1"/>
          <w:szCs w:val="24"/>
          <w14:textFill>
            <w14:solidFill>
              <w14:schemeClr w14:val="tx1"/>
            </w14:solidFill>
          </w14:textFill>
        </w:rPr>
        <w:t>可接触到的表面温度超过60</w:t>
      </w:r>
      <w:r>
        <w:rPr>
          <w:rFonts w:hint="eastAsia" w:ascii="宋体" w:hAnsi="宋体" w:eastAsia="宋体" w:cs="宋体"/>
          <w:b w:val="0"/>
          <w:color w:val="000000" w:themeColor="text1"/>
          <w:szCs w:val="24"/>
          <w14:textFill>
            <w14:solidFill>
              <w14:schemeClr w14:val="tx1"/>
            </w14:solidFill>
          </w14:textFill>
        </w:rPr>
        <w:t>℃</w:t>
      </w:r>
      <w:r>
        <w:rPr>
          <w:rFonts w:ascii="Times New Roman" w:hAnsi="Times New Roman" w:eastAsiaTheme="minorEastAsia"/>
          <w:b w:val="0"/>
          <w:color w:val="000000" w:themeColor="text1"/>
          <w:szCs w:val="24"/>
          <w14:textFill>
            <w14:solidFill>
              <w14:schemeClr w14:val="tx1"/>
            </w14:solidFill>
          </w14:textFill>
        </w:rPr>
        <w:t>的生产设备及管道，应采取防烫伤隔热或隔离措施。</w:t>
      </w:r>
    </w:p>
    <w:bookmarkEnd w:id="33"/>
    <w:bookmarkEnd w:id="34"/>
    <w:bookmarkEnd w:id="35"/>
    <w:bookmarkEnd w:id="36"/>
    <w:bookmarkEnd w:id="37"/>
    <w:bookmarkEnd w:id="38"/>
    <w:bookmarkEnd w:id="39"/>
    <w:p>
      <w:pPr>
        <w:pStyle w:val="134"/>
        <w:spacing w:line="360" w:lineRule="auto"/>
        <w:ind w:firstLine="0"/>
        <w:rPr>
          <w:rFonts w:ascii="Times New Roman" w:hAnsi="Times New Roman" w:eastAsiaTheme="minorEastAsia"/>
          <w:b w:val="0"/>
          <w:color w:val="000000" w:themeColor="text1"/>
          <w:szCs w:val="24"/>
          <w14:textFill>
            <w14:solidFill>
              <w14:schemeClr w14:val="tx1"/>
            </w14:solidFill>
          </w14:textFill>
        </w:rPr>
      </w:pPr>
      <w:r>
        <w:rPr>
          <w:rFonts w:ascii="Times New Roman" w:hAnsi="Times New Roman" w:eastAsiaTheme="minorEastAsia"/>
          <w:color w:val="000000" w:themeColor="text1"/>
          <w14:textFill>
            <w14:solidFill>
              <w14:schemeClr w14:val="tx1"/>
            </w14:solidFill>
          </w14:textFill>
        </w:rPr>
        <w:t>2.2.</w:t>
      </w:r>
      <w:bookmarkStart w:id="40" w:name="_Toc533099312"/>
      <w:bookmarkStart w:id="41" w:name="_Toc533098154"/>
      <w:bookmarkStart w:id="42" w:name="_Toc533098418"/>
      <w:bookmarkStart w:id="43" w:name="_Toc533098814"/>
      <w:bookmarkStart w:id="44" w:name="_Toc533099776"/>
      <w:bookmarkStart w:id="45" w:name="_Toc533099019"/>
      <w:bookmarkStart w:id="46" w:name="_Toc533100356"/>
      <w:r>
        <w:rPr>
          <w:rFonts w:ascii="Times New Roman" w:hAnsi="Times New Roman" w:eastAsiaTheme="minorEastAsia"/>
          <w:color w:val="000000" w:themeColor="text1"/>
          <w14:textFill>
            <w14:solidFill>
              <w14:schemeClr w14:val="tx1"/>
            </w14:solidFill>
          </w14:textFill>
        </w:rPr>
        <w:t>16</w:t>
      </w:r>
      <w:r>
        <w:rPr>
          <w:rFonts w:ascii="Times New Roman" w:hAnsi="Times New Roman" w:eastAsiaTheme="minorEastAsia"/>
          <w:b w:val="0"/>
          <w:color w:val="000000" w:themeColor="text1"/>
          <w14:textFill>
            <w14:solidFill>
              <w14:schemeClr w14:val="tx1"/>
            </w14:solidFill>
          </w14:textFill>
        </w:rPr>
        <w:t xml:space="preserve">  </w:t>
      </w:r>
      <w:r>
        <w:rPr>
          <w:rFonts w:ascii="Times New Roman" w:hAnsi="Times New Roman" w:eastAsiaTheme="minorEastAsia"/>
          <w:b w:val="0"/>
          <w:color w:val="000000" w:themeColor="text1"/>
          <w:szCs w:val="24"/>
          <w14:textFill>
            <w14:solidFill>
              <w14:schemeClr w14:val="tx1"/>
            </w14:solidFill>
          </w14:textFill>
        </w:rPr>
        <w:t>输送腐蚀性、易燃、易爆、有毒介质的管道，在横跨人行通道、运输通道上方敷设时，横跨段不得有法兰和管道连接件；</w:t>
      </w:r>
      <w:r>
        <w:rPr>
          <w:rFonts w:hint="eastAsia" w:ascii="Times New Roman" w:hAnsi="Times New Roman" w:eastAsiaTheme="minorEastAsia"/>
          <w:b w:val="0"/>
          <w:color w:val="000000" w:themeColor="text1"/>
          <w:szCs w:val="24"/>
          <w14:textFill>
            <w14:solidFill>
              <w14:schemeClr w14:val="tx1"/>
            </w14:solidFill>
          </w14:textFill>
        </w:rPr>
        <w:t>不得</w:t>
      </w:r>
      <w:r>
        <w:rPr>
          <w:rFonts w:ascii="Times New Roman" w:hAnsi="Times New Roman" w:eastAsiaTheme="minorEastAsia"/>
          <w:b w:val="0"/>
          <w:color w:val="000000" w:themeColor="text1"/>
          <w:szCs w:val="24"/>
          <w14:textFill>
            <w14:solidFill>
              <w14:schemeClr w14:val="tx1"/>
            </w14:solidFill>
          </w14:textFill>
        </w:rPr>
        <w:t>穿越与</w:t>
      </w:r>
      <w:r>
        <w:rPr>
          <w:rFonts w:hint="eastAsia" w:ascii="Times New Roman" w:hAnsi="Times New Roman" w:eastAsiaTheme="minorEastAsia"/>
          <w:b w:val="0"/>
          <w:color w:val="000000" w:themeColor="text1"/>
          <w:szCs w:val="24"/>
          <w14:textFill>
            <w14:solidFill>
              <w14:schemeClr w14:val="tx1"/>
            </w14:solidFill>
          </w14:textFill>
        </w:rPr>
        <w:t>自身</w:t>
      </w:r>
      <w:r>
        <w:rPr>
          <w:rFonts w:ascii="Times New Roman" w:hAnsi="Times New Roman" w:eastAsiaTheme="minorEastAsia"/>
          <w:b w:val="0"/>
          <w:color w:val="000000" w:themeColor="text1"/>
          <w:szCs w:val="24"/>
          <w14:textFill>
            <w14:solidFill>
              <w14:schemeClr w14:val="tx1"/>
            </w14:solidFill>
          </w14:textFill>
        </w:rPr>
        <w:t>无关的生产装置、储罐组或建（构）筑物。</w:t>
      </w:r>
      <w:bookmarkEnd w:id="40"/>
      <w:bookmarkEnd w:id="41"/>
      <w:bookmarkEnd w:id="42"/>
      <w:bookmarkEnd w:id="43"/>
      <w:bookmarkEnd w:id="44"/>
      <w:bookmarkEnd w:id="45"/>
      <w:bookmarkEnd w:id="46"/>
    </w:p>
    <w:p>
      <w:pPr>
        <w:pStyle w:val="134"/>
        <w:spacing w:line="360" w:lineRule="auto"/>
        <w:ind w:firstLine="0"/>
        <w:rPr>
          <w:rFonts w:ascii="Times New Roman" w:hAnsi="Times New Roman" w:eastAsiaTheme="minorEastAsia"/>
          <w:b w:val="0"/>
          <w:color w:val="000000" w:themeColor="text1"/>
          <w:szCs w:val="24"/>
          <w14:textFill>
            <w14:solidFill>
              <w14:schemeClr w14:val="tx1"/>
            </w14:solidFill>
          </w14:textFill>
        </w:rPr>
      </w:pPr>
      <w:r>
        <w:rPr>
          <w:rFonts w:ascii="Times New Roman" w:hAnsi="Times New Roman" w:eastAsiaTheme="minorEastAsia"/>
          <w:color w:val="000000" w:themeColor="text1"/>
          <w14:textFill>
            <w14:solidFill>
              <w14:schemeClr w14:val="tx1"/>
            </w14:solidFill>
          </w14:textFill>
        </w:rPr>
        <w:t>2.2.17</w:t>
      </w:r>
      <w:r>
        <w:rPr>
          <w:rFonts w:ascii="Times New Roman" w:hAnsi="Times New Roman" w:eastAsiaTheme="minorEastAsia"/>
          <w:b w:val="0"/>
          <w:color w:val="000000" w:themeColor="text1"/>
          <w14:textFill>
            <w14:solidFill>
              <w14:schemeClr w14:val="tx1"/>
            </w14:solidFill>
          </w14:textFill>
        </w:rPr>
        <w:t xml:space="preserve">  </w:t>
      </w:r>
      <w:r>
        <w:rPr>
          <w:rFonts w:ascii="Times New Roman" w:hAnsi="Times New Roman" w:eastAsiaTheme="minorEastAsia"/>
          <w:b w:val="0"/>
          <w:color w:val="000000" w:themeColor="text1"/>
          <w:szCs w:val="24"/>
          <w14:textFill>
            <w14:solidFill>
              <w14:schemeClr w14:val="tx1"/>
            </w14:solidFill>
          </w14:textFill>
        </w:rPr>
        <w:t>处理有爆炸危险性粉尘的袋式除尘器应设置在负压段，并应采用防爆型袋式除尘器。</w:t>
      </w:r>
    </w:p>
    <w:p>
      <w:pPr>
        <w:pStyle w:val="134"/>
        <w:spacing w:line="360" w:lineRule="auto"/>
        <w:ind w:firstLine="0"/>
        <w:rPr>
          <w:rFonts w:ascii="Times New Roman" w:hAnsi="Times New Roman" w:eastAsiaTheme="minorEastAsia"/>
          <w:b w:val="0"/>
          <w:color w:val="000000" w:themeColor="text1"/>
          <w:szCs w:val="24"/>
          <w14:textFill>
            <w14:solidFill>
              <w14:schemeClr w14:val="tx1"/>
            </w14:solidFill>
          </w14:textFill>
        </w:rPr>
      </w:pPr>
      <w:r>
        <w:rPr>
          <w:rFonts w:ascii="Times New Roman" w:hAnsi="Times New Roman" w:eastAsiaTheme="minorEastAsia"/>
          <w:color w:val="000000" w:themeColor="text1"/>
          <w14:textFill>
            <w14:solidFill>
              <w14:schemeClr w14:val="tx1"/>
            </w14:solidFill>
          </w14:textFill>
        </w:rPr>
        <w:t>2.2.18</w:t>
      </w:r>
      <w:r>
        <w:rPr>
          <w:rFonts w:ascii="Times New Roman" w:hAnsi="Times New Roman" w:eastAsiaTheme="minorEastAsia"/>
          <w:b w:val="0"/>
          <w:color w:val="000000" w:themeColor="text1"/>
          <w14:textFill>
            <w14:solidFill>
              <w14:schemeClr w14:val="tx1"/>
            </w14:solidFill>
          </w14:textFill>
        </w:rPr>
        <w:t xml:space="preserve">  冶炼</w:t>
      </w:r>
      <w:r>
        <w:rPr>
          <w:rFonts w:ascii="Times New Roman" w:hAnsi="Times New Roman" w:eastAsiaTheme="minorEastAsia"/>
          <w:b w:val="0"/>
          <w:color w:val="000000" w:themeColor="text1"/>
          <w:szCs w:val="24"/>
          <w14:textFill>
            <w14:solidFill>
              <w14:schemeClr w14:val="tx1"/>
            </w14:solidFill>
          </w14:textFill>
        </w:rPr>
        <w:t>烟气中可能含有一氧化碳等可燃气体或粉煤等可燃性粉尘时，烟气管道、余热锅炉、电除尘器等烟气输送、余热回收及烟气净化设施上应设置泄爆装置；在电除尘器入口管道上应设置一氧化碳检测、报警装置，并应与电除尘器供电系统联锁。</w:t>
      </w:r>
    </w:p>
    <w:p>
      <w:pPr>
        <w:pStyle w:val="134"/>
        <w:spacing w:line="360" w:lineRule="auto"/>
        <w:ind w:firstLine="0"/>
        <w:rPr>
          <w:rFonts w:ascii="Times New Roman" w:hAnsi="Times New Roman" w:eastAsiaTheme="minorEastAsia"/>
          <w:b w:val="0"/>
          <w:color w:val="000000" w:themeColor="text1"/>
          <w:szCs w:val="24"/>
          <w14:textFill>
            <w14:solidFill>
              <w14:schemeClr w14:val="tx1"/>
            </w14:solidFill>
          </w14:textFill>
        </w:rPr>
      </w:pPr>
      <w:r>
        <w:rPr>
          <w:rFonts w:ascii="Times New Roman" w:hAnsi="Times New Roman" w:eastAsiaTheme="minorEastAsia"/>
          <w:color w:val="000000" w:themeColor="text1"/>
          <w14:textFill>
            <w14:solidFill>
              <w14:schemeClr w14:val="tx1"/>
            </w14:solidFill>
          </w14:textFill>
        </w:rPr>
        <w:t xml:space="preserve">2.2.19  </w:t>
      </w:r>
      <w:r>
        <w:rPr>
          <w:rFonts w:ascii="Times New Roman" w:hAnsi="Times New Roman" w:eastAsiaTheme="minorEastAsia"/>
          <w:b w:val="0"/>
          <w:color w:val="000000" w:themeColor="text1"/>
          <w:szCs w:val="24"/>
          <w14:textFill>
            <w14:solidFill>
              <w14:schemeClr w14:val="tx1"/>
            </w14:solidFill>
          </w14:textFill>
        </w:rPr>
        <w:t>安装、使用放射性同位素与射线装置的场所，应设置满足辐射安全与防护要求的设施和暂存库。</w:t>
      </w:r>
    </w:p>
    <w:p>
      <w:pPr>
        <w:pStyle w:val="3"/>
        <w:spacing w:before="120" w:beforeLines="50" w:after="120" w:afterLines="50" w:line="360" w:lineRule="auto"/>
        <w:jc w:val="center"/>
        <w:rPr>
          <w:rFonts w:ascii="Times New Roman" w:hAnsi="Times New Roman" w:eastAsiaTheme="minorEastAsia"/>
          <w:color w:val="000000" w:themeColor="text1"/>
          <w:sz w:val="28"/>
          <w:szCs w:val="28"/>
          <w14:textFill>
            <w14:solidFill>
              <w14:schemeClr w14:val="tx1"/>
            </w14:solidFill>
          </w14:textFill>
        </w:rPr>
      </w:pPr>
      <w:bookmarkStart w:id="47" w:name="_Toc118452931"/>
      <w:r>
        <w:rPr>
          <w:rFonts w:ascii="Times New Roman" w:hAnsi="Times New Roman" w:eastAsiaTheme="minorEastAsia"/>
          <w:color w:val="000000" w:themeColor="text1"/>
          <w:sz w:val="28"/>
          <w:szCs w:val="28"/>
          <w14:textFill>
            <w14:solidFill>
              <w14:schemeClr w14:val="tx1"/>
            </w14:solidFill>
          </w14:textFill>
        </w:rPr>
        <w:t>2.3  安全监测、报警与自动控制</w:t>
      </w:r>
      <w:bookmarkEnd w:id="47"/>
    </w:p>
    <w:p>
      <w:pPr>
        <w:pStyle w:val="134"/>
        <w:spacing w:line="360" w:lineRule="auto"/>
        <w:ind w:firstLine="0"/>
        <w:rPr>
          <w:rFonts w:ascii="Times New Roman" w:hAnsi="Times New Roman" w:eastAsiaTheme="minorEastAsia"/>
          <w:b w:val="0"/>
          <w:color w:val="000000" w:themeColor="text1"/>
          <w14:textFill>
            <w14:solidFill>
              <w14:schemeClr w14:val="tx1"/>
            </w14:solidFill>
          </w14:textFill>
        </w:rPr>
      </w:pPr>
      <w:r>
        <w:rPr>
          <w:rFonts w:ascii="Times New Roman" w:hAnsi="Times New Roman" w:eastAsiaTheme="minorEastAsia"/>
          <w:color w:val="000000" w:themeColor="text1"/>
          <w14:textFill>
            <w14:solidFill>
              <w14:schemeClr w14:val="tx1"/>
            </w14:solidFill>
          </w14:textFill>
        </w:rPr>
        <w:t xml:space="preserve">2.3.1  </w:t>
      </w:r>
      <w:r>
        <w:rPr>
          <w:rFonts w:ascii="Times New Roman" w:hAnsi="Times New Roman" w:eastAsiaTheme="minorEastAsia"/>
          <w:b w:val="0"/>
          <w:color w:val="000000" w:themeColor="text1"/>
          <w14:textFill>
            <w14:solidFill>
              <w14:schemeClr w14:val="tx1"/>
            </w14:solidFill>
          </w14:textFill>
        </w:rPr>
        <w:t>储存、使用或可能产生泄漏一氧化碳、氮气等有毒、危险气体的储罐区、设备、管道应设置警示标识，密闭、半密闭操作岗位或有毒气体泄漏后浓度可能达到报警设计值的其他岗位，应设置有毒气体泄漏检测监测和报警系统。</w:t>
      </w:r>
    </w:p>
    <w:p>
      <w:pPr>
        <w:pStyle w:val="134"/>
        <w:spacing w:line="360" w:lineRule="auto"/>
        <w:ind w:firstLine="0"/>
        <w:rPr>
          <w:rFonts w:ascii="Times New Roman" w:hAnsi="Times New Roman" w:eastAsiaTheme="minorEastAsia"/>
          <w:b w:val="0"/>
          <w:color w:val="000000" w:themeColor="text1"/>
          <w14:textFill>
            <w14:solidFill>
              <w14:schemeClr w14:val="tx1"/>
            </w14:solidFill>
          </w14:textFill>
        </w:rPr>
      </w:pPr>
      <w:r>
        <w:rPr>
          <w:rFonts w:ascii="Times New Roman" w:hAnsi="Times New Roman" w:eastAsiaTheme="minorEastAsia"/>
          <w:color w:val="000000" w:themeColor="text1"/>
          <w14:textFill>
            <w14:solidFill>
              <w14:schemeClr w14:val="tx1"/>
            </w14:solidFill>
          </w14:textFill>
        </w:rPr>
        <w:t xml:space="preserve">2.3.2  </w:t>
      </w:r>
      <w:r>
        <w:rPr>
          <w:rFonts w:ascii="Times New Roman" w:hAnsi="Times New Roman" w:eastAsiaTheme="minorEastAsia"/>
          <w:b w:val="0"/>
          <w:color w:val="000000" w:themeColor="text1"/>
          <w14:textFill>
            <w14:solidFill>
              <w14:schemeClr w14:val="tx1"/>
            </w14:solidFill>
          </w14:textFill>
        </w:rPr>
        <w:t>使用或产生甲类气体或甲、乙A类液体的装置、系统单元和储运设施区内，应设置可燃气体检测报警系统。</w:t>
      </w:r>
    </w:p>
    <w:p>
      <w:pPr>
        <w:pStyle w:val="134"/>
        <w:spacing w:line="360" w:lineRule="auto"/>
        <w:ind w:firstLine="0"/>
        <w:rPr>
          <w:rFonts w:ascii="Times New Roman" w:hAnsi="Times New Roman" w:eastAsiaTheme="minorEastAsia"/>
          <w:b w:val="0"/>
          <w:color w:val="000000" w:themeColor="text1"/>
          <w14:textFill>
            <w14:solidFill>
              <w14:schemeClr w14:val="tx1"/>
            </w14:solidFill>
          </w14:textFill>
        </w:rPr>
      </w:pPr>
      <w:r>
        <w:rPr>
          <w:rFonts w:ascii="Times New Roman" w:hAnsi="Times New Roman" w:eastAsiaTheme="minorEastAsia"/>
          <w:color w:val="000000" w:themeColor="text1"/>
          <w14:textFill>
            <w14:solidFill>
              <w14:schemeClr w14:val="tx1"/>
            </w14:solidFill>
          </w14:textFill>
        </w:rPr>
        <w:t xml:space="preserve">2.3.3 </w:t>
      </w:r>
      <w:r>
        <w:rPr>
          <w:rFonts w:ascii="Times New Roman" w:hAnsi="Times New Roman" w:eastAsiaTheme="minorEastAsia"/>
          <w:b w:val="0"/>
          <w:color w:val="000000" w:themeColor="text1"/>
          <w14:textFill>
            <w14:solidFill>
              <w14:schemeClr w14:val="tx1"/>
            </w14:solidFill>
          </w14:textFill>
        </w:rPr>
        <w:t xml:space="preserve"> 布置在爆炸危险区的在线分析仪表间内设备为非防爆型时，在线分析仪表间应采取正压通风等安全措施。</w:t>
      </w:r>
    </w:p>
    <w:p>
      <w:pPr>
        <w:pStyle w:val="134"/>
        <w:spacing w:line="360" w:lineRule="auto"/>
        <w:ind w:firstLine="0"/>
        <w:rPr>
          <w:rFonts w:ascii="Times New Roman" w:hAnsi="Times New Roman" w:eastAsiaTheme="minorEastAsia"/>
          <w:b w:val="0"/>
          <w:color w:val="000000" w:themeColor="text1"/>
          <w14:textFill>
            <w14:solidFill>
              <w14:schemeClr w14:val="tx1"/>
            </w14:solidFill>
          </w14:textFill>
        </w:rPr>
      </w:pPr>
      <w:r>
        <w:rPr>
          <w:rFonts w:ascii="Times New Roman" w:hAnsi="Times New Roman" w:eastAsiaTheme="minorEastAsia"/>
          <w:color w:val="000000" w:themeColor="text1"/>
          <w14:textFill>
            <w14:solidFill>
              <w14:schemeClr w14:val="tx1"/>
            </w14:solidFill>
          </w14:textFill>
        </w:rPr>
        <w:t xml:space="preserve">2.3.4 </w:t>
      </w:r>
      <w:r>
        <w:rPr>
          <w:rFonts w:ascii="Times New Roman" w:hAnsi="Times New Roman" w:eastAsiaTheme="minorEastAsia"/>
          <w:b w:val="0"/>
          <w:color w:val="000000" w:themeColor="text1"/>
          <w14:textFill>
            <w14:solidFill>
              <w14:schemeClr w14:val="tx1"/>
            </w14:solidFill>
          </w14:textFill>
        </w:rPr>
        <w:t xml:space="preserve"> 生产区、公用及辅助生产设施等重要设施火灾危险场所应设置火灾自动报警系统和火灾电话报警系统。</w:t>
      </w:r>
    </w:p>
    <w:p>
      <w:pPr>
        <w:pStyle w:val="134"/>
        <w:spacing w:line="360" w:lineRule="auto"/>
        <w:ind w:firstLine="0"/>
        <w:rPr>
          <w:rFonts w:ascii="Times New Roman" w:hAnsi="Times New Roman" w:eastAsiaTheme="minorEastAsia"/>
          <w:b w:val="0"/>
          <w:color w:val="000000" w:themeColor="text1"/>
          <w14:textFill>
            <w14:solidFill>
              <w14:schemeClr w14:val="tx1"/>
            </w14:solidFill>
          </w14:textFill>
        </w:rPr>
      </w:pPr>
      <w:r>
        <w:rPr>
          <w:rFonts w:ascii="Times New Roman" w:hAnsi="Times New Roman" w:eastAsiaTheme="minorEastAsia"/>
          <w:color w:val="000000" w:themeColor="text1"/>
          <w14:textFill>
            <w14:solidFill>
              <w14:schemeClr w14:val="tx1"/>
            </w14:solidFill>
          </w14:textFill>
        </w:rPr>
        <w:t>2.3.5</w:t>
      </w:r>
      <w:r>
        <w:rPr>
          <w:rFonts w:ascii="Times New Roman" w:hAnsi="Times New Roman" w:eastAsiaTheme="minorEastAsia"/>
          <w:b w:val="0"/>
          <w:color w:val="000000" w:themeColor="text1"/>
          <w14:textFill>
            <w14:solidFill>
              <w14:schemeClr w14:val="tx1"/>
            </w14:solidFill>
          </w14:textFill>
        </w:rPr>
        <w:t xml:space="preserve">  处理有爆炸危险性粉尘或气体的装置和场所，应设置安全联锁装置或遥控装置，当发生爆炸危险时</w:t>
      </w:r>
      <w:r>
        <w:rPr>
          <w:rFonts w:hint="eastAsia" w:ascii="Times New Roman" w:hAnsi="Times New Roman" w:eastAsiaTheme="minorEastAsia"/>
          <w:b w:val="0"/>
          <w:color w:val="000000" w:themeColor="text1"/>
          <w14:textFill>
            <w14:solidFill>
              <w14:schemeClr w14:val="tx1"/>
            </w14:solidFill>
          </w14:textFill>
        </w:rPr>
        <w:t>，</w:t>
      </w:r>
      <w:r>
        <w:rPr>
          <w:rFonts w:ascii="Times New Roman" w:hAnsi="Times New Roman" w:eastAsiaTheme="minorEastAsia"/>
          <w:b w:val="0"/>
          <w:color w:val="000000" w:themeColor="text1"/>
          <w14:textFill>
            <w14:solidFill>
              <w14:schemeClr w14:val="tx1"/>
            </w14:solidFill>
          </w14:textFill>
        </w:rPr>
        <w:t>应能切断相应电源。</w:t>
      </w:r>
    </w:p>
    <w:p>
      <w:pPr>
        <w:pStyle w:val="3"/>
        <w:spacing w:before="120" w:beforeLines="50" w:after="120" w:afterLines="50" w:line="360" w:lineRule="auto"/>
        <w:jc w:val="center"/>
        <w:rPr>
          <w:rFonts w:ascii="Times New Roman" w:hAnsi="Times New Roman" w:eastAsiaTheme="minorEastAsia"/>
          <w:color w:val="000000" w:themeColor="text1"/>
          <w:sz w:val="28"/>
          <w:szCs w:val="28"/>
          <w14:textFill>
            <w14:solidFill>
              <w14:schemeClr w14:val="tx1"/>
            </w14:solidFill>
          </w14:textFill>
        </w:rPr>
      </w:pPr>
      <w:bookmarkStart w:id="48" w:name="_Toc118452932"/>
      <w:r>
        <w:rPr>
          <w:rFonts w:ascii="Times New Roman" w:hAnsi="Times New Roman" w:eastAsiaTheme="minorEastAsia"/>
          <w:color w:val="000000" w:themeColor="text1"/>
          <w:sz w:val="28"/>
          <w:szCs w:val="28"/>
          <w14:textFill>
            <w14:solidFill>
              <w14:schemeClr w14:val="tx1"/>
            </w14:solidFill>
          </w14:textFill>
        </w:rPr>
        <w:t>2.4  生态环境保护</w:t>
      </w:r>
      <w:bookmarkEnd w:id="48"/>
    </w:p>
    <w:p>
      <w:pPr>
        <w:pStyle w:val="134"/>
        <w:spacing w:line="360" w:lineRule="auto"/>
        <w:ind w:firstLine="0"/>
        <w:rPr>
          <w:rFonts w:ascii="Times New Roman" w:hAnsi="Times New Roman" w:eastAsiaTheme="minorEastAsia"/>
          <w:b w:val="0"/>
          <w:color w:val="000000" w:themeColor="text1"/>
          <w14:textFill>
            <w14:solidFill>
              <w14:schemeClr w14:val="tx1"/>
            </w14:solidFill>
          </w14:textFill>
        </w:rPr>
      </w:pPr>
      <w:r>
        <w:rPr>
          <w:rFonts w:ascii="Times New Roman" w:hAnsi="Times New Roman" w:eastAsiaTheme="minorEastAsia"/>
          <w:color w:val="000000" w:themeColor="text1"/>
          <w14:textFill>
            <w14:solidFill>
              <w14:schemeClr w14:val="tx1"/>
            </w14:solidFill>
          </w14:textFill>
        </w:rPr>
        <w:t xml:space="preserve">2.4.1 </w:t>
      </w:r>
      <w:r>
        <w:rPr>
          <w:rFonts w:ascii="Times New Roman" w:hAnsi="Times New Roman" w:eastAsiaTheme="minorEastAsia"/>
          <w:b w:val="0"/>
          <w:color w:val="000000" w:themeColor="text1"/>
          <w14:textFill>
            <w14:solidFill>
              <w14:schemeClr w14:val="tx1"/>
            </w14:solidFill>
          </w14:textFill>
        </w:rPr>
        <w:t xml:space="preserve"> 重有色金属冶金工程项目应依法进行环境影响评价，污染防治设施应符合经批准的环境影响评价文件的要求，并应与主体工程同时设计、同时施工、同时投产使用，不得擅自拆除或闲置。</w:t>
      </w:r>
    </w:p>
    <w:p>
      <w:pPr>
        <w:pStyle w:val="134"/>
        <w:spacing w:line="360" w:lineRule="auto"/>
        <w:ind w:firstLine="0"/>
        <w:rPr>
          <w:rFonts w:ascii="Times New Roman" w:hAnsi="Times New Roman" w:eastAsiaTheme="minorEastAsia"/>
          <w:b w:val="0"/>
          <w:color w:val="000000" w:themeColor="text1"/>
          <w14:textFill>
            <w14:solidFill>
              <w14:schemeClr w14:val="tx1"/>
            </w14:solidFill>
          </w14:textFill>
        </w:rPr>
      </w:pPr>
      <w:r>
        <w:rPr>
          <w:rFonts w:ascii="Times New Roman" w:hAnsi="Times New Roman" w:eastAsiaTheme="minorEastAsia"/>
          <w:color w:val="000000" w:themeColor="text1"/>
          <w14:textFill>
            <w14:solidFill>
              <w14:schemeClr w14:val="tx1"/>
            </w14:solidFill>
          </w14:textFill>
        </w:rPr>
        <w:t xml:space="preserve">2.4.2 </w:t>
      </w:r>
      <w:r>
        <w:rPr>
          <w:rFonts w:ascii="Times New Roman" w:hAnsi="Times New Roman" w:eastAsiaTheme="minorEastAsia"/>
          <w:b w:val="0"/>
          <w:color w:val="000000" w:themeColor="text1"/>
          <w14:textFill>
            <w14:solidFill>
              <w14:schemeClr w14:val="tx1"/>
            </w14:solidFill>
          </w14:textFill>
        </w:rPr>
        <w:t xml:space="preserve"> 重有色金属冶金工程项目应依法办理排污许可证，并应按证排污；污染物排放总量不得超过环</w:t>
      </w:r>
      <w:r>
        <w:rPr>
          <w:rFonts w:hint="eastAsia" w:ascii="Times New Roman" w:hAnsi="Times New Roman" w:eastAsiaTheme="minorEastAsia"/>
          <w:b w:val="0"/>
          <w:color w:val="000000" w:themeColor="text1"/>
          <w14:textFill>
            <w14:solidFill>
              <w14:schemeClr w14:val="tx1"/>
            </w14:solidFill>
          </w14:textFill>
        </w:rPr>
        <w:t>境</w:t>
      </w:r>
      <w:r>
        <w:rPr>
          <w:rFonts w:ascii="Times New Roman" w:hAnsi="Times New Roman" w:eastAsiaTheme="minorEastAsia"/>
          <w:b w:val="0"/>
          <w:color w:val="000000" w:themeColor="text1"/>
          <w14:textFill>
            <w14:solidFill>
              <w14:schemeClr w14:val="tx1"/>
            </w14:solidFill>
          </w14:textFill>
        </w:rPr>
        <w:t>保</w:t>
      </w:r>
      <w:r>
        <w:rPr>
          <w:rFonts w:hint="eastAsia" w:ascii="Times New Roman" w:hAnsi="Times New Roman" w:eastAsiaTheme="minorEastAsia"/>
          <w:b w:val="0"/>
          <w:color w:val="000000" w:themeColor="text1"/>
          <w14:textFill>
            <w14:solidFill>
              <w14:schemeClr w14:val="tx1"/>
            </w14:solidFill>
          </w14:textFill>
        </w:rPr>
        <w:t>护</w:t>
      </w:r>
      <w:r>
        <w:rPr>
          <w:rFonts w:ascii="Times New Roman" w:hAnsi="Times New Roman" w:eastAsiaTheme="minorEastAsia"/>
          <w:b w:val="0"/>
          <w:color w:val="000000" w:themeColor="text1"/>
          <w14:textFill>
            <w14:solidFill>
              <w14:schemeClr w14:val="tx1"/>
            </w14:solidFill>
          </w14:textFill>
        </w:rPr>
        <w:t>部门核定的总量控制指标。</w:t>
      </w:r>
    </w:p>
    <w:p>
      <w:pPr>
        <w:pStyle w:val="134"/>
        <w:spacing w:line="360" w:lineRule="auto"/>
        <w:ind w:firstLine="0"/>
        <w:rPr>
          <w:rFonts w:ascii="Times New Roman" w:hAnsi="Times New Roman" w:eastAsiaTheme="minorEastAsia"/>
          <w:b w:val="0"/>
          <w:color w:val="000000" w:themeColor="text1"/>
          <w14:textFill>
            <w14:solidFill>
              <w14:schemeClr w14:val="tx1"/>
            </w14:solidFill>
          </w14:textFill>
        </w:rPr>
      </w:pPr>
      <w:r>
        <w:rPr>
          <w:rFonts w:ascii="Times New Roman" w:hAnsi="Times New Roman" w:eastAsiaTheme="minorEastAsia"/>
          <w:color w:val="000000" w:themeColor="text1"/>
          <w14:textFill>
            <w14:solidFill>
              <w14:schemeClr w14:val="tx1"/>
            </w14:solidFill>
          </w14:textFill>
        </w:rPr>
        <w:t xml:space="preserve">2.4.3 </w:t>
      </w:r>
      <w:r>
        <w:rPr>
          <w:rFonts w:ascii="Times New Roman" w:hAnsi="Times New Roman" w:eastAsiaTheme="minorEastAsia"/>
          <w:b w:val="0"/>
          <w:color w:val="000000" w:themeColor="text1"/>
          <w14:textFill>
            <w14:solidFill>
              <w14:schemeClr w14:val="tx1"/>
            </w14:solidFill>
          </w14:textFill>
        </w:rPr>
        <w:t xml:space="preserve"> 重有色金属冶金工程应采用技术可行的工艺处理污染物，各项污染物应达标排放。</w:t>
      </w:r>
    </w:p>
    <w:p>
      <w:pPr>
        <w:pStyle w:val="134"/>
        <w:spacing w:line="360" w:lineRule="auto"/>
        <w:ind w:firstLine="0"/>
        <w:rPr>
          <w:rFonts w:ascii="Times New Roman" w:hAnsi="Times New Roman" w:eastAsiaTheme="minorEastAsia"/>
          <w:b w:val="0"/>
          <w:color w:val="000000" w:themeColor="text1"/>
          <w:szCs w:val="24"/>
          <w14:textFill>
            <w14:solidFill>
              <w14:schemeClr w14:val="tx1"/>
            </w14:solidFill>
          </w14:textFill>
        </w:rPr>
      </w:pPr>
      <w:r>
        <w:rPr>
          <w:rFonts w:ascii="Times New Roman" w:hAnsi="Times New Roman" w:eastAsiaTheme="minorEastAsia"/>
          <w:color w:val="000000" w:themeColor="text1"/>
          <w14:textFill>
            <w14:solidFill>
              <w14:schemeClr w14:val="tx1"/>
            </w14:solidFill>
          </w14:textFill>
        </w:rPr>
        <w:t xml:space="preserve">2.4.4 </w:t>
      </w:r>
      <w:r>
        <w:rPr>
          <w:rFonts w:ascii="Times New Roman" w:hAnsi="Times New Roman" w:eastAsiaTheme="minorEastAsia"/>
          <w:b w:val="0"/>
          <w:color w:val="000000" w:themeColor="text1"/>
          <w14:textFill>
            <w14:solidFill>
              <w14:schemeClr w14:val="tx1"/>
            </w14:solidFill>
          </w14:textFill>
        </w:rPr>
        <w:t xml:space="preserve"> </w:t>
      </w:r>
      <w:r>
        <w:rPr>
          <w:rFonts w:ascii="Times New Roman" w:hAnsi="Times New Roman" w:eastAsiaTheme="minorEastAsia"/>
          <w:b w:val="0"/>
          <w:color w:val="000000" w:themeColor="text1"/>
          <w:szCs w:val="24"/>
          <w14:textFill>
            <w14:solidFill>
              <w14:schemeClr w14:val="tx1"/>
            </w14:solidFill>
          </w14:textFill>
        </w:rPr>
        <w:t>冶金炉窑应配备工艺烟气净化设施，冶炼烟气中的二氧化硫、氮氧化物、颗粒物、二噁英、铅、汞、镉、</w:t>
      </w:r>
      <w:r>
        <w:rPr>
          <w:rFonts w:ascii="Times New Roman" w:hAnsi="Times New Roman" w:eastAsiaTheme="minorEastAsia"/>
          <w:b w:val="0"/>
          <w:color w:val="000000" w:themeColor="text1"/>
          <w14:textFill>
            <w14:solidFill>
              <w14:schemeClr w14:val="tx1"/>
            </w14:solidFill>
          </w14:textFill>
        </w:rPr>
        <w:t>铬、</w:t>
      </w:r>
      <w:r>
        <w:rPr>
          <w:rFonts w:ascii="Times New Roman" w:hAnsi="Times New Roman" w:eastAsiaTheme="minorEastAsia"/>
          <w:b w:val="0"/>
          <w:color w:val="000000" w:themeColor="text1"/>
          <w:szCs w:val="24"/>
          <w14:textFill>
            <w14:solidFill>
              <w14:schemeClr w14:val="tx1"/>
            </w14:solidFill>
          </w14:textFill>
        </w:rPr>
        <w:t>砷、</w:t>
      </w:r>
      <w:r>
        <w:rPr>
          <w:rFonts w:ascii="Times New Roman" w:hAnsi="Times New Roman" w:eastAsiaTheme="minorEastAsia"/>
          <w:b w:val="0"/>
          <w:color w:val="000000" w:themeColor="text1"/>
          <w14:textFill>
            <w14:solidFill>
              <w14:schemeClr w14:val="tx1"/>
            </w14:solidFill>
          </w14:textFill>
        </w:rPr>
        <w:t>铊和锑</w:t>
      </w:r>
      <w:r>
        <w:rPr>
          <w:rFonts w:ascii="Times New Roman" w:hAnsi="Times New Roman" w:eastAsiaTheme="minorEastAsia"/>
          <w:b w:val="0"/>
          <w:color w:val="000000" w:themeColor="text1"/>
          <w:szCs w:val="24"/>
          <w14:textFill>
            <w14:solidFill>
              <w14:schemeClr w14:val="tx1"/>
            </w14:solidFill>
          </w14:textFill>
        </w:rPr>
        <w:t>等</w:t>
      </w:r>
      <w:r>
        <w:rPr>
          <w:rFonts w:ascii="Times New Roman" w:hAnsi="Times New Roman" w:eastAsiaTheme="minorEastAsia"/>
          <w:b w:val="0"/>
          <w:color w:val="000000" w:themeColor="text1"/>
          <w14:textFill>
            <w14:solidFill>
              <w14:schemeClr w14:val="tx1"/>
            </w14:solidFill>
          </w14:textFill>
        </w:rPr>
        <w:t>污染物</w:t>
      </w:r>
      <w:r>
        <w:rPr>
          <w:rFonts w:ascii="Times New Roman" w:hAnsi="Times New Roman" w:eastAsiaTheme="minorEastAsia"/>
          <w:b w:val="0"/>
          <w:color w:val="000000" w:themeColor="text1"/>
          <w:szCs w:val="24"/>
          <w14:textFill>
            <w14:solidFill>
              <w14:schemeClr w14:val="tx1"/>
            </w14:solidFill>
          </w14:textFill>
        </w:rPr>
        <w:t>排放</w:t>
      </w:r>
      <w:r>
        <w:rPr>
          <w:rFonts w:hint="eastAsia" w:ascii="Times New Roman" w:hAnsi="Times New Roman" w:eastAsiaTheme="minorEastAsia"/>
          <w:b w:val="0"/>
          <w:color w:val="000000" w:themeColor="text1"/>
          <w:szCs w:val="24"/>
          <w14:textFill>
            <w14:solidFill>
              <w14:schemeClr w14:val="tx1"/>
            </w14:solidFill>
          </w14:textFill>
        </w:rPr>
        <w:t>应符合国家及项目所在地有关污染物排放的规定</w:t>
      </w:r>
      <w:r>
        <w:rPr>
          <w:rFonts w:ascii="Times New Roman" w:hAnsi="Times New Roman" w:eastAsiaTheme="minorEastAsia"/>
          <w:b w:val="0"/>
          <w:color w:val="000000" w:themeColor="text1"/>
          <w:szCs w:val="24"/>
          <w14:textFill>
            <w14:solidFill>
              <w14:schemeClr w14:val="tx1"/>
            </w14:solidFill>
          </w14:textFill>
        </w:rPr>
        <w:t>。</w:t>
      </w:r>
    </w:p>
    <w:p>
      <w:pPr>
        <w:pStyle w:val="134"/>
        <w:spacing w:line="360" w:lineRule="auto"/>
        <w:ind w:firstLine="0"/>
        <w:rPr>
          <w:rFonts w:ascii="Times New Roman" w:hAnsi="Times New Roman" w:eastAsiaTheme="minorEastAsia"/>
          <w:b w:val="0"/>
          <w:color w:val="000000" w:themeColor="text1"/>
          <w14:textFill>
            <w14:solidFill>
              <w14:schemeClr w14:val="tx1"/>
            </w14:solidFill>
          </w14:textFill>
        </w:rPr>
      </w:pPr>
      <w:r>
        <w:rPr>
          <w:rFonts w:ascii="Times New Roman" w:hAnsi="Times New Roman" w:eastAsiaTheme="minorEastAsia"/>
          <w:color w:val="000000" w:themeColor="text1"/>
          <w14:textFill>
            <w14:solidFill>
              <w14:schemeClr w14:val="tx1"/>
            </w14:solidFill>
          </w14:textFill>
        </w:rPr>
        <w:t xml:space="preserve">2.4.5 </w:t>
      </w:r>
      <w:r>
        <w:rPr>
          <w:rFonts w:ascii="Times New Roman" w:hAnsi="Times New Roman" w:eastAsiaTheme="minorEastAsia"/>
          <w:b w:val="0"/>
          <w:color w:val="000000" w:themeColor="text1"/>
          <w14:textFill>
            <w14:solidFill>
              <w14:schemeClr w14:val="tx1"/>
            </w14:solidFill>
          </w14:textFill>
        </w:rPr>
        <w:t xml:space="preserve"> 产生大气污染物的生产装置应设置逸散气体收集系统，排放气体应达标有组织排放。</w:t>
      </w:r>
    </w:p>
    <w:p>
      <w:pPr>
        <w:pStyle w:val="134"/>
        <w:spacing w:line="360" w:lineRule="auto"/>
        <w:ind w:firstLine="0"/>
        <w:rPr>
          <w:rFonts w:ascii="Times New Roman" w:hAnsi="Times New Roman" w:eastAsiaTheme="minorEastAsia"/>
          <w:b w:val="0"/>
          <w:color w:val="000000" w:themeColor="text1"/>
          <w14:textFill>
            <w14:solidFill>
              <w14:schemeClr w14:val="tx1"/>
            </w14:solidFill>
          </w14:textFill>
        </w:rPr>
      </w:pPr>
      <w:r>
        <w:rPr>
          <w:rFonts w:ascii="Times New Roman" w:hAnsi="Times New Roman" w:eastAsiaTheme="minorEastAsia"/>
          <w:color w:val="000000" w:themeColor="text1"/>
          <w14:textFill>
            <w14:solidFill>
              <w14:schemeClr w14:val="tx1"/>
            </w14:solidFill>
          </w14:textFill>
        </w:rPr>
        <w:t xml:space="preserve">2.4.6  </w:t>
      </w:r>
      <w:r>
        <w:rPr>
          <w:rFonts w:ascii="Times New Roman" w:hAnsi="Times New Roman" w:eastAsiaTheme="minorEastAsia"/>
          <w:b w:val="0"/>
          <w:color w:val="000000" w:themeColor="text1"/>
          <w14:textFill>
            <w14:solidFill>
              <w14:schemeClr w14:val="tx1"/>
            </w14:solidFill>
          </w14:textFill>
        </w:rPr>
        <w:t>产生水污染物的生产工艺和装置应设置污废水收集系统和净化处理设施。净化处理后的水应回用，多余部分应全厂统筹回用或达标排放。</w:t>
      </w:r>
    </w:p>
    <w:p>
      <w:pPr>
        <w:pStyle w:val="134"/>
        <w:spacing w:line="360" w:lineRule="auto"/>
        <w:ind w:firstLine="0"/>
        <w:rPr>
          <w:rFonts w:ascii="Times New Roman" w:hAnsi="Times New Roman" w:eastAsiaTheme="minorEastAsia"/>
          <w:b w:val="0"/>
          <w:color w:val="000000" w:themeColor="text1"/>
          <w14:textFill>
            <w14:solidFill>
              <w14:schemeClr w14:val="tx1"/>
            </w14:solidFill>
          </w14:textFill>
        </w:rPr>
      </w:pPr>
      <w:r>
        <w:rPr>
          <w:rFonts w:ascii="Times New Roman" w:hAnsi="Times New Roman" w:eastAsiaTheme="minorEastAsia"/>
          <w:color w:val="000000" w:themeColor="text1"/>
          <w14:textFill>
            <w14:solidFill>
              <w14:schemeClr w14:val="tx1"/>
            </w14:solidFill>
          </w14:textFill>
        </w:rPr>
        <w:t xml:space="preserve">2.4.7  </w:t>
      </w:r>
      <w:r>
        <w:rPr>
          <w:rFonts w:ascii="Times New Roman" w:hAnsi="Times New Roman" w:eastAsiaTheme="minorEastAsia"/>
          <w:b w:val="0"/>
          <w:color w:val="000000" w:themeColor="text1"/>
          <w14:textFill>
            <w14:solidFill>
              <w14:schemeClr w14:val="tx1"/>
            </w14:solidFill>
          </w14:textFill>
        </w:rPr>
        <w:t>湿法冶金、湿式除尘、制酸、脱硫、脱硝等工业场地的车间地面、溶液槽、输送沟渠和地下管线检查井、阀门井、生产及事故应急收集设施等应采取防渗、防腐措施。</w:t>
      </w:r>
    </w:p>
    <w:p>
      <w:pPr>
        <w:pStyle w:val="134"/>
        <w:spacing w:line="360" w:lineRule="auto"/>
        <w:ind w:firstLine="0"/>
        <w:rPr>
          <w:rFonts w:ascii="Times New Roman" w:hAnsi="Times New Roman" w:eastAsiaTheme="minorEastAsia"/>
          <w:b w:val="0"/>
          <w:color w:val="000000" w:themeColor="text1"/>
          <w14:textFill>
            <w14:solidFill>
              <w14:schemeClr w14:val="tx1"/>
            </w14:solidFill>
          </w14:textFill>
        </w:rPr>
      </w:pPr>
      <w:bookmarkStart w:id="49" w:name="缺18"/>
      <w:bookmarkEnd w:id="49"/>
      <w:bookmarkStart w:id="50" w:name="缺22"/>
      <w:bookmarkEnd w:id="50"/>
      <w:bookmarkStart w:id="51" w:name="缺3"/>
      <w:bookmarkEnd w:id="51"/>
      <w:bookmarkStart w:id="52" w:name="缺20"/>
      <w:bookmarkEnd w:id="52"/>
      <w:bookmarkStart w:id="53" w:name="缺21"/>
      <w:bookmarkEnd w:id="53"/>
      <w:bookmarkStart w:id="54" w:name="缺16"/>
      <w:bookmarkEnd w:id="54"/>
      <w:bookmarkStart w:id="55" w:name="缺19"/>
      <w:bookmarkEnd w:id="55"/>
      <w:bookmarkStart w:id="56" w:name="缺17"/>
      <w:bookmarkEnd w:id="56"/>
      <w:r>
        <w:rPr>
          <w:rFonts w:ascii="Times New Roman" w:hAnsi="Times New Roman" w:eastAsiaTheme="minorEastAsia"/>
          <w:color w:val="000000" w:themeColor="text1"/>
          <w14:textFill>
            <w14:solidFill>
              <w14:schemeClr w14:val="tx1"/>
            </w14:solidFill>
          </w14:textFill>
        </w:rPr>
        <w:t xml:space="preserve">2.4.8  </w:t>
      </w:r>
      <w:r>
        <w:rPr>
          <w:rFonts w:ascii="Times New Roman" w:hAnsi="Times New Roman" w:eastAsiaTheme="minorEastAsia"/>
          <w:b w:val="0"/>
          <w:color w:val="000000" w:themeColor="text1"/>
          <w14:textFill>
            <w14:solidFill>
              <w14:schemeClr w14:val="tx1"/>
            </w14:solidFill>
          </w14:textFill>
        </w:rPr>
        <w:t>年运输量大于150万吨的大宗物料应采用铁路、水路、管道或其他清洁方式运输。</w:t>
      </w:r>
    </w:p>
    <w:p>
      <w:pPr>
        <w:pStyle w:val="134"/>
        <w:spacing w:line="360" w:lineRule="auto"/>
        <w:ind w:firstLine="0"/>
        <w:rPr>
          <w:rFonts w:ascii="Times New Roman" w:hAnsi="Times New Roman" w:eastAsiaTheme="minorEastAsia"/>
          <w:b w:val="0"/>
          <w:color w:val="000000" w:themeColor="text1"/>
          <w14:textFill>
            <w14:solidFill>
              <w14:schemeClr w14:val="tx1"/>
            </w14:solidFill>
          </w14:textFill>
        </w:rPr>
      </w:pPr>
      <w:r>
        <w:rPr>
          <w:rFonts w:ascii="Times New Roman" w:hAnsi="Times New Roman" w:eastAsiaTheme="minorEastAsia"/>
          <w:color w:val="000000" w:themeColor="text1"/>
          <w14:textFill>
            <w14:solidFill>
              <w14:schemeClr w14:val="tx1"/>
            </w14:solidFill>
          </w14:textFill>
        </w:rPr>
        <w:t xml:space="preserve">2.4.9 </w:t>
      </w:r>
      <w:r>
        <w:rPr>
          <w:rFonts w:ascii="Times New Roman" w:hAnsi="Times New Roman" w:eastAsiaTheme="minorEastAsia"/>
          <w:b w:val="0"/>
          <w:color w:val="000000" w:themeColor="text1"/>
          <w14:textFill>
            <w14:solidFill>
              <w14:schemeClr w14:val="tx1"/>
            </w14:solidFill>
          </w14:textFill>
        </w:rPr>
        <w:t xml:space="preserve"> 重有色金属冶金工程的水污染物、大气污染物、厂界环境噪声排放应符合国家及项目所在地</w:t>
      </w:r>
      <w:r>
        <w:rPr>
          <w:rFonts w:hint="eastAsia" w:ascii="Times New Roman" w:hAnsi="Times New Roman" w:eastAsiaTheme="minorEastAsia"/>
          <w:b w:val="0"/>
          <w:color w:val="000000" w:themeColor="text1"/>
          <w14:textFill>
            <w14:solidFill>
              <w14:schemeClr w14:val="tx1"/>
            </w14:solidFill>
          </w14:textFill>
        </w:rPr>
        <w:t>有</w:t>
      </w:r>
      <w:r>
        <w:rPr>
          <w:rFonts w:ascii="Times New Roman" w:hAnsi="Times New Roman" w:eastAsiaTheme="minorEastAsia"/>
          <w:b w:val="0"/>
          <w:color w:val="000000" w:themeColor="text1"/>
          <w14:textFill>
            <w14:solidFill>
              <w14:schemeClr w14:val="tx1"/>
            </w14:solidFill>
          </w14:textFill>
        </w:rPr>
        <w:t>关污染物排放的规定。</w:t>
      </w:r>
    </w:p>
    <w:p>
      <w:pPr>
        <w:pStyle w:val="134"/>
        <w:spacing w:line="360" w:lineRule="auto"/>
        <w:ind w:firstLine="0"/>
        <w:rPr>
          <w:rFonts w:ascii="Times New Roman" w:hAnsi="Times New Roman" w:eastAsiaTheme="minorEastAsia"/>
          <w:b w:val="0"/>
          <w:color w:val="000000" w:themeColor="text1"/>
          <w14:textFill>
            <w14:solidFill>
              <w14:schemeClr w14:val="tx1"/>
            </w14:solidFill>
          </w14:textFill>
        </w:rPr>
      </w:pPr>
      <w:r>
        <w:rPr>
          <w:rFonts w:ascii="Times New Roman" w:hAnsi="Times New Roman" w:eastAsiaTheme="minorEastAsia"/>
          <w:color w:val="000000" w:themeColor="text1"/>
          <w14:textFill>
            <w14:solidFill>
              <w14:schemeClr w14:val="tx1"/>
            </w14:solidFill>
          </w14:textFill>
        </w:rPr>
        <w:t xml:space="preserve">2.4.10  </w:t>
      </w:r>
      <w:r>
        <w:rPr>
          <w:rFonts w:ascii="Times New Roman" w:hAnsi="Times New Roman" w:eastAsiaTheme="minorEastAsia"/>
          <w:b w:val="0"/>
          <w:color w:val="000000" w:themeColor="text1"/>
          <w14:textFill>
            <w14:solidFill>
              <w14:schemeClr w14:val="tx1"/>
            </w14:solidFill>
          </w14:textFill>
        </w:rPr>
        <w:t>排放废水和废气的项目污染源，应按采样规范设置污染物排放监控点和采样平台，并应规范设置排放口及排放口标志；主要排放口应按环境评价文件要求同步配套建设污染物排放在线监测设施，并应与项目所在地环</w:t>
      </w:r>
      <w:r>
        <w:rPr>
          <w:rFonts w:hint="eastAsia" w:ascii="Times New Roman" w:hAnsi="Times New Roman" w:eastAsiaTheme="minorEastAsia"/>
          <w:b w:val="0"/>
          <w:color w:val="000000" w:themeColor="text1"/>
          <w14:textFill>
            <w14:solidFill>
              <w14:schemeClr w14:val="tx1"/>
            </w14:solidFill>
          </w14:textFill>
        </w:rPr>
        <w:t>境</w:t>
      </w:r>
      <w:r>
        <w:rPr>
          <w:rFonts w:ascii="Times New Roman" w:hAnsi="Times New Roman" w:eastAsiaTheme="minorEastAsia"/>
          <w:b w:val="0"/>
          <w:color w:val="000000" w:themeColor="text1"/>
          <w14:textFill>
            <w14:solidFill>
              <w14:schemeClr w14:val="tx1"/>
            </w14:solidFill>
          </w14:textFill>
        </w:rPr>
        <w:t>保</w:t>
      </w:r>
      <w:r>
        <w:rPr>
          <w:rFonts w:hint="eastAsia" w:ascii="Times New Roman" w:hAnsi="Times New Roman" w:eastAsiaTheme="minorEastAsia"/>
          <w:b w:val="0"/>
          <w:color w:val="000000" w:themeColor="text1"/>
          <w14:textFill>
            <w14:solidFill>
              <w14:schemeClr w14:val="tx1"/>
            </w14:solidFill>
          </w14:textFill>
        </w:rPr>
        <w:t>护</w:t>
      </w:r>
      <w:r>
        <w:rPr>
          <w:rFonts w:ascii="Times New Roman" w:hAnsi="Times New Roman" w:eastAsiaTheme="minorEastAsia"/>
          <w:b w:val="0"/>
          <w:color w:val="000000" w:themeColor="text1"/>
          <w14:textFill>
            <w14:solidFill>
              <w14:schemeClr w14:val="tx1"/>
            </w14:solidFill>
          </w14:textFill>
        </w:rPr>
        <w:t>部门联网。</w:t>
      </w:r>
    </w:p>
    <w:p>
      <w:pPr>
        <w:pStyle w:val="134"/>
        <w:spacing w:line="360" w:lineRule="auto"/>
        <w:ind w:firstLine="0"/>
        <w:rPr>
          <w:rFonts w:ascii="Times New Roman" w:hAnsi="Times New Roman" w:eastAsiaTheme="minorEastAsia"/>
          <w:b w:val="0"/>
          <w:color w:val="000000" w:themeColor="text1"/>
          <w14:textFill>
            <w14:solidFill>
              <w14:schemeClr w14:val="tx1"/>
            </w14:solidFill>
          </w14:textFill>
        </w:rPr>
      </w:pPr>
      <w:r>
        <w:rPr>
          <w:rFonts w:ascii="Times New Roman" w:hAnsi="Times New Roman" w:eastAsiaTheme="minorEastAsia"/>
          <w:color w:val="000000" w:themeColor="text1"/>
          <w14:textFill>
            <w14:solidFill>
              <w14:schemeClr w14:val="tx1"/>
            </w14:solidFill>
          </w14:textFill>
        </w:rPr>
        <w:t xml:space="preserve">2.4.11  </w:t>
      </w:r>
      <w:r>
        <w:rPr>
          <w:rFonts w:ascii="Times New Roman" w:hAnsi="Times New Roman" w:eastAsiaTheme="minorEastAsia"/>
          <w:b w:val="0"/>
          <w:color w:val="000000" w:themeColor="text1"/>
          <w14:textFill>
            <w14:solidFill>
              <w14:schemeClr w14:val="tx1"/>
            </w14:solidFill>
          </w14:textFill>
        </w:rPr>
        <w:t>使用的精矿等原材料中铀（钍）系单个核素活度浓度超过1</w:t>
      </w:r>
      <w:r>
        <w:rPr>
          <w:rFonts w:hint="eastAsia" w:ascii="Times New Roman" w:hAnsi="Times New Roman"/>
          <w:b w:val="0"/>
          <w:color w:val="000000" w:themeColor="text1"/>
          <w:sz w:val="23"/>
          <w:szCs w:val="23"/>
          <w14:textFill>
            <w14:solidFill>
              <w14:schemeClr w14:val="tx1"/>
            </w14:solidFill>
          </w14:textFill>
        </w:rPr>
        <w:t>Bq</w:t>
      </w:r>
      <w:r>
        <w:rPr>
          <w:rFonts w:ascii="Times New Roman" w:hAnsi="Times New Roman"/>
          <w:b w:val="0"/>
          <w:color w:val="000000" w:themeColor="text1"/>
          <w:sz w:val="23"/>
          <w:szCs w:val="23"/>
          <w14:textFill>
            <w14:solidFill>
              <w14:schemeClr w14:val="tx1"/>
            </w14:solidFill>
          </w14:textFill>
        </w:rPr>
        <w:t>/g</w:t>
      </w:r>
      <w:r>
        <w:rPr>
          <w:rFonts w:ascii="Times New Roman" w:hAnsi="Times New Roman" w:eastAsiaTheme="minorEastAsia"/>
          <w:b w:val="0"/>
          <w:color w:val="000000" w:themeColor="text1"/>
          <w14:textFill>
            <w14:solidFill>
              <w14:schemeClr w14:val="tx1"/>
            </w14:solidFill>
          </w14:textFill>
        </w:rPr>
        <w:t>的重有色金属冶金项目，应在建设前编制辐射环境影响评价专篇，纳入环境影响报告书（表）报省级以上生态环境主管部门审批；并应按照辐射环境影响评价专篇及审批文件要求，采取相应的岗位辐射防护措施和放射性污染防治措施。</w:t>
      </w:r>
    </w:p>
    <w:p>
      <w:pPr>
        <w:pStyle w:val="134"/>
        <w:spacing w:line="360" w:lineRule="auto"/>
        <w:ind w:firstLine="0"/>
        <w:rPr>
          <w:rFonts w:ascii="Times New Roman" w:hAnsi="Times New Roman" w:eastAsiaTheme="minorEastAsia"/>
          <w:b w:val="0"/>
          <w:color w:val="000000" w:themeColor="text1"/>
          <w14:textFill>
            <w14:solidFill>
              <w14:schemeClr w14:val="tx1"/>
            </w14:solidFill>
          </w14:textFill>
        </w:rPr>
      </w:pPr>
      <w:r>
        <w:rPr>
          <w:rFonts w:ascii="Times New Roman" w:hAnsi="Times New Roman" w:eastAsiaTheme="minorEastAsia"/>
          <w:color w:val="000000" w:themeColor="text1"/>
          <w14:textFill>
            <w14:solidFill>
              <w14:schemeClr w14:val="tx1"/>
            </w14:solidFill>
          </w14:textFill>
        </w:rPr>
        <w:t xml:space="preserve">2.4.12  </w:t>
      </w:r>
      <w:r>
        <w:rPr>
          <w:rFonts w:ascii="Times New Roman" w:hAnsi="Times New Roman" w:eastAsiaTheme="minorEastAsia"/>
          <w:b w:val="0"/>
          <w:color w:val="000000" w:themeColor="text1"/>
          <w14:textFill>
            <w14:solidFill>
              <w14:schemeClr w14:val="tx1"/>
            </w14:solidFill>
          </w14:textFill>
        </w:rPr>
        <w:t>重有色金属冶金工程应符合国家</w:t>
      </w:r>
      <w:r>
        <w:rPr>
          <w:rFonts w:ascii="宋体" w:hAnsi="宋体" w:eastAsiaTheme="minorEastAsia"/>
          <w:b w:val="0"/>
          <w:color w:val="000000" w:themeColor="text1"/>
          <w14:textFill>
            <w14:solidFill>
              <w14:schemeClr w14:val="tx1"/>
            </w14:solidFill>
          </w14:textFill>
        </w:rPr>
        <w:t>“</w:t>
      </w:r>
      <w:r>
        <w:rPr>
          <w:rFonts w:ascii="Times New Roman" w:hAnsi="Times New Roman" w:eastAsiaTheme="minorEastAsia"/>
          <w:b w:val="0"/>
          <w:color w:val="000000" w:themeColor="text1"/>
          <w14:textFill>
            <w14:solidFill>
              <w14:schemeClr w14:val="tx1"/>
            </w14:solidFill>
          </w14:textFill>
        </w:rPr>
        <w:t>碳达峰、碳中和</w:t>
      </w:r>
      <w:r>
        <w:rPr>
          <w:rFonts w:ascii="宋体" w:hAnsi="宋体" w:eastAsiaTheme="minorEastAsia"/>
          <w:b w:val="0"/>
          <w:color w:val="000000" w:themeColor="text1"/>
          <w14:textFill>
            <w14:solidFill>
              <w14:schemeClr w14:val="tx1"/>
            </w14:solidFill>
          </w14:textFill>
        </w:rPr>
        <w:t>”</w:t>
      </w:r>
      <w:r>
        <w:rPr>
          <w:rFonts w:ascii="Times New Roman" w:hAnsi="Times New Roman" w:eastAsiaTheme="minorEastAsia"/>
          <w:b w:val="0"/>
          <w:color w:val="000000" w:themeColor="text1"/>
          <w14:textFill>
            <w14:solidFill>
              <w14:schemeClr w14:val="tx1"/>
            </w14:solidFill>
          </w14:textFill>
        </w:rPr>
        <w:t>的相关要求。</w:t>
      </w:r>
    </w:p>
    <w:p>
      <w:pPr>
        <w:pStyle w:val="3"/>
        <w:spacing w:before="120" w:beforeLines="50" w:after="120" w:afterLines="50" w:line="360" w:lineRule="auto"/>
        <w:jc w:val="center"/>
        <w:rPr>
          <w:rFonts w:ascii="Times New Roman" w:hAnsi="Times New Roman" w:eastAsiaTheme="minorEastAsia"/>
          <w:color w:val="000000" w:themeColor="text1"/>
          <w:sz w:val="28"/>
          <w:szCs w:val="28"/>
          <w14:textFill>
            <w14:solidFill>
              <w14:schemeClr w14:val="tx1"/>
            </w14:solidFill>
          </w14:textFill>
        </w:rPr>
      </w:pPr>
      <w:bookmarkStart w:id="57" w:name="_Toc118452933"/>
      <w:r>
        <w:rPr>
          <w:rFonts w:ascii="Times New Roman" w:hAnsi="Times New Roman" w:eastAsiaTheme="minorEastAsia"/>
          <w:color w:val="000000" w:themeColor="text1"/>
          <w:sz w:val="28"/>
          <w:szCs w:val="28"/>
          <w14:textFill>
            <w14:solidFill>
              <w14:schemeClr w14:val="tx1"/>
            </w14:solidFill>
          </w14:textFill>
        </w:rPr>
        <w:t>2.5  能源资源利用</w:t>
      </w:r>
      <w:bookmarkEnd w:id="57"/>
    </w:p>
    <w:p>
      <w:pPr>
        <w:pStyle w:val="134"/>
        <w:spacing w:line="360" w:lineRule="auto"/>
        <w:ind w:firstLine="0"/>
        <w:rPr>
          <w:rFonts w:ascii="Times New Roman" w:hAnsi="Times New Roman" w:eastAsiaTheme="minorEastAsia"/>
          <w:b w:val="0"/>
          <w:color w:val="000000" w:themeColor="text1"/>
          <w:szCs w:val="24"/>
          <w14:textFill>
            <w14:solidFill>
              <w14:schemeClr w14:val="tx1"/>
            </w14:solidFill>
          </w14:textFill>
        </w:rPr>
      </w:pPr>
      <w:r>
        <w:rPr>
          <w:rFonts w:ascii="Times New Roman" w:hAnsi="Times New Roman" w:eastAsiaTheme="minorEastAsia"/>
          <w:color w:val="000000" w:themeColor="text1"/>
          <w14:textFill>
            <w14:solidFill>
              <w14:schemeClr w14:val="tx1"/>
            </w14:solidFill>
          </w14:textFill>
        </w:rPr>
        <w:t xml:space="preserve">2.5.1 </w:t>
      </w:r>
      <w:r>
        <w:rPr>
          <w:rFonts w:ascii="Times New Roman" w:hAnsi="Times New Roman" w:eastAsiaTheme="minorEastAsia"/>
          <w:b w:val="0"/>
          <w:color w:val="000000" w:themeColor="text1"/>
          <w14:textFill>
            <w14:solidFill>
              <w14:schemeClr w14:val="tx1"/>
            </w14:solidFill>
          </w14:textFill>
        </w:rPr>
        <w:t xml:space="preserve"> </w:t>
      </w:r>
      <w:r>
        <w:rPr>
          <w:rFonts w:ascii="Times New Roman" w:hAnsi="Times New Roman" w:eastAsiaTheme="minorEastAsia"/>
          <w:b w:val="0"/>
          <w:color w:val="000000" w:themeColor="text1"/>
          <w:szCs w:val="24"/>
          <w14:textFill>
            <w14:solidFill>
              <w14:schemeClr w14:val="tx1"/>
            </w14:solidFill>
          </w14:textFill>
        </w:rPr>
        <w:t>重有色金属冶金工程的工艺流程选择、设备选型、自动化控制、厂房建筑等应符合国家</w:t>
      </w:r>
      <w:r>
        <w:rPr>
          <w:rFonts w:hint="eastAsia" w:ascii="Times New Roman" w:hAnsi="Times New Roman" w:eastAsiaTheme="minorEastAsia"/>
          <w:b w:val="0"/>
          <w:color w:val="000000" w:themeColor="text1"/>
          <w:szCs w:val="24"/>
          <w14:textFill>
            <w14:solidFill>
              <w14:schemeClr w14:val="tx1"/>
            </w14:solidFill>
          </w14:textFill>
        </w:rPr>
        <w:t>及</w:t>
      </w:r>
      <w:r>
        <w:rPr>
          <w:rFonts w:ascii="Times New Roman" w:hAnsi="Times New Roman" w:eastAsiaTheme="minorEastAsia"/>
          <w:b w:val="0"/>
          <w:color w:val="000000" w:themeColor="text1"/>
          <w:szCs w:val="24"/>
          <w14:textFill>
            <w14:solidFill>
              <w14:schemeClr w14:val="tx1"/>
            </w14:solidFill>
          </w14:textFill>
        </w:rPr>
        <w:t>项目所在地能源资源节约利用法规要求。</w:t>
      </w:r>
    </w:p>
    <w:p>
      <w:pPr>
        <w:pStyle w:val="134"/>
        <w:spacing w:line="360" w:lineRule="auto"/>
        <w:ind w:firstLine="0"/>
        <w:rPr>
          <w:rFonts w:ascii="Times New Roman" w:hAnsi="Times New Roman" w:eastAsiaTheme="minorEastAsia"/>
          <w:b w:val="0"/>
          <w:color w:val="000000" w:themeColor="text1"/>
          <w14:textFill>
            <w14:solidFill>
              <w14:schemeClr w14:val="tx1"/>
            </w14:solidFill>
          </w14:textFill>
        </w:rPr>
      </w:pPr>
      <w:r>
        <w:rPr>
          <w:rFonts w:ascii="Times New Roman" w:hAnsi="Times New Roman" w:eastAsiaTheme="minorEastAsia"/>
          <w:color w:val="000000" w:themeColor="text1"/>
          <w14:textFill>
            <w14:solidFill>
              <w14:schemeClr w14:val="tx1"/>
            </w14:solidFill>
          </w14:textFill>
        </w:rPr>
        <w:t xml:space="preserve">2.5.2 </w:t>
      </w:r>
      <w:r>
        <w:rPr>
          <w:rFonts w:ascii="Times New Roman" w:hAnsi="Times New Roman" w:eastAsiaTheme="minorEastAsia"/>
          <w:b w:val="0"/>
          <w:color w:val="000000" w:themeColor="text1"/>
          <w14:textFill>
            <w14:solidFill>
              <w14:schemeClr w14:val="tx1"/>
            </w14:solidFill>
          </w14:textFill>
        </w:rPr>
        <w:t xml:space="preserve"> 重有色金属冶金工程能源消耗应符合国家有关重有色金属冶金产品能源消耗限额的规定，工程中硫化矿冶炼烟气制硫酸项目能源消耗应符合国家有关工业硫酸单位产品能耗源消耗限额的规定。</w:t>
      </w:r>
    </w:p>
    <w:p>
      <w:pPr>
        <w:pStyle w:val="134"/>
        <w:spacing w:line="360" w:lineRule="auto"/>
        <w:ind w:firstLine="0"/>
        <w:rPr>
          <w:rFonts w:ascii="Times New Roman" w:hAnsi="Times New Roman" w:eastAsiaTheme="minorEastAsia"/>
          <w:b w:val="0"/>
          <w:color w:val="000000" w:themeColor="text1"/>
          <w:szCs w:val="24"/>
          <w14:textFill>
            <w14:solidFill>
              <w14:schemeClr w14:val="tx1"/>
            </w14:solidFill>
          </w14:textFill>
        </w:rPr>
      </w:pPr>
      <w:r>
        <w:rPr>
          <w:rFonts w:ascii="Times New Roman" w:hAnsi="Times New Roman" w:eastAsiaTheme="minorEastAsia"/>
          <w:color w:val="000000" w:themeColor="text1"/>
          <w14:textFill>
            <w14:solidFill>
              <w14:schemeClr w14:val="tx1"/>
            </w14:solidFill>
          </w14:textFill>
        </w:rPr>
        <w:t xml:space="preserve">2.5.3 </w:t>
      </w:r>
      <w:r>
        <w:rPr>
          <w:rFonts w:ascii="Times New Roman" w:hAnsi="Times New Roman" w:eastAsiaTheme="minorEastAsia"/>
          <w:b w:val="0"/>
          <w:color w:val="000000" w:themeColor="text1"/>
          <w14:textFill>
            <w14:solidFill>
              <w14:schemeClr w14:val="tx1"/>
            </w14:solidFill>
          </w14:textFill>
        </w:rPr>
        <w:t xml:space="preserve"> </w:t>
      </w:r>
      <w:r>
        <w:rPr>
          <w:rFonts w:ascii="Times New Roman" w:hAnsi="Times New Roman" w:eastAsiaTheme="minorEastAsia"/>
          <w:b w:val="0"/>
          <w:color w:val="000000" w:themeColor="text1"/>
          <w:szCs w:val="24"/>
          <w14:textFill>
            <w14:solidFill>
              <w14:schemeClr w14:val="tx1"/>
            </w14:solidFill>
          </w14:textFill>
        </w:rPr>
        <w:t>重有色金属冶金工程产生的有回收利用价值的高温烟气及其他介质余热应回收利用。</w:t>
      </w:r>
    </w:p>
    <w:p>
      <w:pPr>
        <w:pStyle w:val="134"/>
        <w:spacing w:line="360" w:lineRule="auto"/>
        <w:ind w:firstLine="0"/>
        <w:rPr>
          <w:rFonts w:ascii="Times New Roman" w:hAnsi="Times New Roman" w:eastAsiaTheme="minorEastAsia"/>
          <w:b w:val="0"/>
          <w:color w:val="000000" w:themeColor="text1"/>
          <w14:textFill>
            <w14:solidFill>
              <w14:schemeClr w14:val="tx1"/>
            </w14:solidFill>
          </w14:textFill>
        </w:rPr>
      </w:pPr>
      <w:r>
        <w:rPr>
          <w:rFonts w:ascii="Times New Roman" w:hAnsi="Times New Roman" w:eastAsiaTheme="minorEastAsia"/>
          <w:color w:val="000000" w:themeColor="text1"/>
          <w14:textFill>
            <w14:solidFill>
              <w14:schemeClr w14:val="tx1"/>
            </w14:solidFill>
          </w14:textFill>
        </w:rPr>
        <w:t>2.5.4</w:t>
      </w:r>
      <w:r>
        <w:rPr>
          <w:rFonts w:ascii="Times New Roman" w:hAnsi="Times New Roman" w:eastAsiaTheme="minorEastAsia"/>
          <w:b w:val="0"/>
          <w:color w:val="000000" w:themeColor="text1"/>
          <w14:textFill>
            <w14:solidFill>
              <w14:schemeClr w14:val="tx1"/>
            </w14:solidFill>
          </w14:textFill>
        </w:rPr>
        <w:t xml:space="preserve">  </w:t>
      </w:r>
      <w:r>
        <w:rPr>
          <w:rFonts w:ascii="Times New Roman" w:hAnsi="Times New Roman" w:eastAsiaTheme="minorEastAsia"/>
          <w:b w:val="0"/>
          <w:color w:val="000000" w:themeColor="text1"/>
          <w:szCs w:val="24"/>
          <w14:textFill>
            <w14:solidFill>
              <w14:schemeClr w14:val="tx1"/>
            </w14:solidFill>
          </w14:textFill>
        </w:rPr>
        <w:t>重有色金属冶金工程</w:t>
      </w:r>
      <w:r>
        <w:rPr>
          <w:rFonts w:ascii="Times New Roman" w:hAnsi="Times New Roman" w:eastAsiaTheme="minorEastAsia"/>
          <w:b w:val="0"/>
          <w:color w:val="000000" w:themeColor="text1"/>
          <w14:textFill>
            <w14:solidFill>
              <w14:schemeClr w14:val="tx1"/>
            </w14:solidFill>
          </w14:textFill>
        </w:rPr>
        <w:t>生产过程回收的余热应遵循</w:t>
      </w:r>
      <w:r>
        <w:rPr>
          <w:rFonts w:ascii="宋体" w:hAnsi="宋体" w:eastAsiaTheme="minorEastAsia"/>
          <w:b w:val="0"/>
          <w:color w:val="000000" w:themeColor="text1"/>
          <w14:textFill>
            <w14:solidFill>
              <w14:schemeClr w14:val="tx1"/>
            </w14:solidFill>
          </w14:textFill>
        </w:rPr>
        <w:t>“</w:t>
      </w:r>
      <w:r>
        <w:rPr>
          <w:rFonts w:ascii="Times New Roman" w:hAnsi="Times New Roman" w:eastAsiaTheme="minorEastAsia"/>
          <w:b w:val="0"/>
          <w:color w:val="000000" w:themeColor="text1"/>
          <w14:textFill>
            <w14:solidFill>
              <w14:schemeClr w14:val="tx1"/>
            </w14:solidFill>
          </w14:textFill>
        </w:rPr>
        <w:t>梯级利用、高质高用</w:t>
      </w:r>
      <w:r>
        <w:rPr>
          <w:rFonts w:ascii="宋体" w:hAnsi="宋体" w:eastAsiaTheme="minorEastAsia"/>
          <w:b w:val="0"/>
          <w:color w:val="000000" w:themeColor="text1"/>
          <w14:textFill>
            <w14:solidFill>
              <w14:schemeClr w14:val="tx1"/>
            </w14:solidFill>
          </w14:textFill>
        </w:rPr>
        <w:t>”</w:t>
      </w:r>
      <w:r>
        <w:rPr>
          <w:rFonts w:ascii="Times New Roman" w:hAnsi="Times New Roman" w:eastAsiaTheme="minorEastAsia"/>
          <w:b w:val="0"/>
          <w:color w:val="000000" w:themeColor="text1"/>
          <w14:textFill>
            <w14:solidFill>
              <w14:schemeClr w14:val="tx1"/>
            </w14:solidFill>
          </w14:textFill>
        </w:rPr>
        <w:t>的原则。</w:t>
      </w:r>
    </w:p>
    <w:p>
      <w:pPr>
        <w:pStyle w:val="134"/>
        <w:spacing w:line="360" w:lineRule="auto"/>
        <w:ind w:firstLine="0"/>
        <w:rPr>
          <w:rFonts w:ascii="Times New Roman" w:hAnsi="Times New Roman" w:eastAsiaTheme="minorEastAsia"/>
          <w:b w:val="0"/>
          <w:color w:val="000000" w:themeColor="text1"/>
          <w14:textFill>
            <w14:solidFill>
              <w14:schemeClr w14:val="tx1"/>
            </w14:solidFill>
          </w14:textFill>
        </w:rPr>
      </w:pPr>
      <w:r>
        <w:rPr>
          <w:rFonts w:ascii="Times New Roman" w:hAnsi="Times New Roman" w:eastAsiaTheme="minorEastAsia"/>
          <w:color w:val="000000" w:themeColor="text1"/>
          <w14:textFill>
            <w14:solidFill>
              <w14:schemeClr w14:val="tx1"/>
            </w14:solidFill>
          </w14:textFill>
        </w:rPr>
        <w:t xml:space="preserve">2.5.5 </w:t>
      </w:r>
      <w:r>
        <w:rPr>
          <w:rFonts w:ascii="Times New Roman" w:hAnsi="Times New Roman" w:eastAsiaTheme="minorEastAsia"/>
          <w:b w:val="0"/>
          <w:color w:val="000000" w:themeColor="text1"/>
          <w14:textFill>
            <w14:solidFill>
              <w14:schemeClr w14:val="tx1"/>
            </w14:solidFill>
          </w14:textFill>
        </w:rPr>
        <w:t xml:space="preserve"> 重有色金属冶金工程金属回收率以及硫化矿冶炼生产工艺的硫回收率和捕集率应符合国家</w:t>
      </w:r>
      <w:r>
        <w:rPr>
          <w:rFonts w:hint="eastAsia" w:ascii="Times New Roman" w:hAnsi="Times New Roman" w:eastAsiaTheme="minorEastAsia"/>
          <w:b w:val="0"/>
          <w:color w:val="000000" w:themeColor="text1"/>
          <w14:textFill>
            <w14:solidFill>
              <w14:schemeClr w14:val="tx1"/>
            </w14:solidFill>
          </w14:textFill>
        </w:rPr>
        <w:t>及</w:t>
      </w:r>
      <w:r>
        <w:rPr>
          <w:rFonts w:ascii="Times New Roman" w:hAnsi="Times New Roman" w:eastAsiaTheme="minorEastAsia"/>
          <w:b w:val="0"/>
          <w:color w:val="000000" w:themeColor="text1"/>
          <w14:textFill>
            <w14:solidFill>
              <w14:schemeClr w14:val="tx1"/>
            </w14:solidFill>
          </w14:textFill>
        </w:rPr>
        <w:t>项目所在地</w:t>
      </w:r>
      <w:r>
        <w:rPr>
          <w:rFonts w:hint="eastAsia" w:ascii="Times New Roman" w:hAnsi="Times New Roman" w:eastAsiaTheme="minorEastAsia"/>
          <w:b w:val="0"/>
          <w:color w:val="000000" w:themeColor="text1"/>
          <w14:textFill>
            <w14:solidFill>
              <w14:schemeClr w14:val="tx1"/>
            </w14:solidFill>
          </w14:textFill>
        </w:rPr>
        <w:t>有</w:t>
      </w:r>
      <w:r>
        <w:rPr>
          <w:rFonts w:ascii="Times New Roman" w:hAnsi="Times New Roman" w:eastAsiaTheme="minorEastAsia"/>
          <w:b w:val="0"/>
          <w:color w:val="000000" w:themeColor="text1"/>
          <w14:textFill>
            <w14:solidFill>
              <w14:schemeClr w14:val="tx1"/>
            </w14:solidFill>
          </w14:textFill>
        </w:rPr>
        <w:t>关标准要求。</w:t>
      </w:r>
    </w:p>
    <w:p>
      <w:pPr>
        <w:pStyle w:val="134"/>
        <w:spacing w:line="360" w:lineRule="auto"/>
        <w:ind w:firstLine="0"/>
        <w:rPr>
          <w:rFonts w:ascii="Times New Roman" w:hAnsi="Times New Roman" w:eastAsiaTheme="minorEastAsia"/>
          <w:b w:val="0"/>
          <w:color w:val="000000" w:themeColor="text1"/>
          <w:szCs w:val="24"/>
          <w14:textFill>
            <w14:solidFill>
              <w14:schemeClr w14:val="tx1"/>
            </w14:solidFill>
          </w14:textFill>
        </w:rPr>
      </w:pPr>
      <w:r>
        <w:rPr>
          <w:rFonts w:ascii="Times New Roman" w:hAnsi="Times New Roman" w:eastAsiaTheme="minorEastAsia"/>
          <w:color w:val="000000" w:themeColor="text1"/>
          <w14:textFill>
            <w14:solidFill>
              <w14:schemeClr w14:val="tx1"/>
            </w14:solidFill>
          </w14:textFill>
        </w:rPr>
        <w:t xml:space="preserve">2.5.6 </w:t>
      </w:r>
      <w:r>
        <w:rPr>
          <w:rFonts w:ascii="Times New Roman" w:hAnsi="Times New Roman" w:eastAsiaTheme="minorEastAsia"/>
          <w:b w:val="0"/>
          <w:color w:val="000000" w:themeColor="text1"/>
          <w14:textFill>
            <w14:solidFill>
              <w14:schemeClr w14:val="tx1"/>
            </w14:solidFill>
          </w14:textFill>
        </w:rPr>
        <w:t xml:space="preserve"> 原料经冶金过程综合回收后副产的非产品类固体物料应按照国家一般固体废物和危险废物管理要求进行规范化处置。</w:t>
      </w:r>
    </w:p>
    <w:p>
      <w:pPr>
        <w:pStyle w:val="134"/>
        <w:spacing w:line="360" w:lineRule="auto"/>
        <w:ind w:firstLine="0"/>
        <w:rPr>
          <w:rFonts w:ascii="Times New Roman" w:hAnsi="Times New Roman" w:eastAsiaTheme="minorEastAsia"/>
          <w:b w:val="0"/>
          <w:color w:val="000000" w:themeColor="text1"/>
          <w14:textFill>
            <w14:solidFill>
              <w14:schemeClr w14:val="tx1"/>
            </w14:solidFill>
          </w14:textFill>
        </w:rPr>
      </w:pPr>
      <w:r>
        <w:rPr>
          <w:rFonts w:ascii="Times New Roman" w:hAnsi="Times New Roman" w:eastAsiaTheme="minorEastAsia"/>
          <w:color w:val="000000" w:themeColor="text1"/>
          <w14:textFill>
            <w14:solidFill>
              <w14:schemeClr w14:val="tx1"/>
            </w14:solidFill>
          </w14:textFill>
        </w:rPr>
        <w:t>2.5.7</w:t>
      </w:r>
      <w:r>
        <w:rPr>
          <w:rFonts w:ascii="Times New Roman" w:hAnsi="Times New Roman" w:eastAsiaTheme="minorEastAsia"/>
          <w:b w:val="0"/>
          <w:color w:val="000000" w:themeColor="text1"/>
          <w14:textFill>
            <w14:solidFill>
              <w14:schemeClr w14:val="tx1"/>
            </w14:solidFill>
          </w14:textFill>
        </w:rPr>
        <w:t xml:space="preserve">  </w:t>
      </w:r>
      <w:r>
        <w:rPr>
          <w:rFonts w:ascii="Times New Roman" w:hAnsi="Times New Roman" w:eastAsiaTheme="minorEastAsia"/>
          <w:b w:val="0"/>
          <w:color w:val="000000" w:themeColor="text1"/>
          <w:szCs w:val="24"/>
          <w14:textFill>
            <w14:solidFill>
              <w14:schemeClr w14:val="tx1"/>
            </w14:solidFill>
          </w14:textFill>
        </w:rPr>
        <w:t>设备冷却用水应分质供水</w:t>
      </w:r>
      <w:r>
        <w:rPr>
          <w:rFonts w:ascii="Times New Roman" w:hAnsi="Times New Roman" w:eastAsiaTheme="minorEastAsia"/>
          <w:b w:val="0"/>
          <w:color w:val="000000" w:themeColor="text1"/>
          <w14:textFill>
            <w14:solidFill>
              <w14:schemeClr w14:val="tx1"/>
            </w14:solidFill>
          </w14:textFill>
        </w:rPr>
        <w:t>，应循环或循序利用，水循环利用率应符合国家</w:t>
      </w:r>
      <w:r>
        <w:rPr>
          <w:rFonts w:hint="eastAsia" w:ascii="Times New Roman" w:hAnsi="Times New Roman" w:eastAsiaTheme="minorEastAsia"/>
          <w:b w:val="0"/>
          <w:color w:val="000000" w:themeColor="text1"/>
          <w14:textFill>
            <w14:solidFill>
              <w14:schemeClr w14:val="tx1"/>
            </w14:solidFill>
          </w14:textFill>
        </w:rPr>
        <w:t>及</w:t>
      </w:r>
      <w:r>
        <w:rPr>
          <w:rFonts w:ascii="Times New Roman" w:hAnsi="Times New Roman" w:eastAsiaTheme="minorEastAsia"/>
          <w:b w:val="0"/>
          <w:color w:val="000000" w:themeColor="text1"/>
          <w14:textFill>
            <w14:solidFill>
              <w14:schemeClr w14:val="tx1"/>
            </w14:solidFill>
          </w14:textFill>
        </w:rPr>
        <w:t>项目所在地</w:t>
      </w:r>
      <w:r>
        <w:rPr>
          <w:rFonts w:hint="eastAsia" w:ascii="Times New Roman" w:hAnsi="Times New Roman" w:eastAsiaTheme="minorEastAsia"/>
          <w:b w:val="0"/>
          <w:color w:val="000000" w:themeColor="text1"/>
          <w14:textFill>
            <w14:solidFill>
              <w14:schemeClr w14:val="tx1"/>
            </w14:solidFill>
          </w14:textFill>
        </w:rPr>
        <w:t>有</w:t>
      </w:r>
      <w:r>
        <w:rPr>
          <w:rFonts w:ascii="Times New Roman" w:hAnsi="Times New Roman" w:eastAsiaTheme="minorEastAsia"/>
          <w:b w:val="0"/>
          <w:color w:val="000000" w:themeColor="text1"/>
          <w14:textFill>
            <w14:solidFill>
              <w14:schemeClr w14:val="tx1"/>
            </w14:solidFill>
          </w14:textFill>
        </w:rPr>
        <w:t>关标准要求。</w:t>
      </w:r>
    </w:p>
    <w:p>
      <w:pPr>
        <w:pStyle w:val="3"/>
        <w:spacing w:before="120" w:beforeLines="50" w:after="120" w:afterLines="50" w:line="360" w:lineRule="auto"/>
        <w:jc w:val="center"/>
        <w:rPr>
          <w:rFonts w:ascii="Times New Roman" w:hAnsi="Times New Roman" w:eastAsiaTheme="minorEastAsia"/>
          <w:color w:val="000000" w:themeColor="text1"/>
          <w:sz w:val="28"/>
          <w:szCs w:val="28"/>
          <w14:textFill>
            <w14:solidFill>
              <w14:schemeClr w14:val="tx1"/>
            </w14:solidFill>
          </w14:textFill>
        </w:rPr>
      </w:pPr>
      <w:bookmarkStart w:id="58" w:name="_Toc118452934"/>
      <w:r>
        <w:rPr>
          <w:rFonts w:ascii="Times New Roman" w:hAnsi="Times New Roman" w:eastAsiaTheme="minorEastAsia"/>
          <w:color w:val="000000" w:themeColor="text1"/>
          <w:sz w:val="28"/>
          <w:szCs w:val="28"/>
          <w14:textFill>
            <w14:solidFill>
              <w14:schemeClr w14:val="tx1"/>
            </w14:solidFill>
          </w14:textFill>
        </w:rPr>
        <w:t>2.6  工程安装</w:t>
      </w:r>
      <w:bookmarkEnd w:id="58"/>
    </w:p>
    <w:p>
      <w:pPr>
        <w:widowControl/>
        <w:spacing w:line="360" w:lineRule="auto"/>
        <w:jc w:val="left"/>
        <w:rPr>
          <w:rFonts w:ascii="Times New Roman" w:hAnsi="Times New Roman" w:eastAsiaTheme="minorEastAsia"/>
          <w:snapToGrid w:val="0"/>
          <w:color w:val="000000" w:themeColor="text1"/>
          <w:kern w:val="0"/>
          <w:sz w:val="24"/>
          <w:szCs w:val="20"/>
          <w14:textFill>
            <w14:solidFill>
              <w14:schemeClr w14:val="tx1"/>
            </w14:solidFill>
          </w14:textFill>
        </w:rPr>
      </w:pPr>
      <w:r>
        <w:rPr>
          <w:rFonts w:ascii="Times New Roman" w:hAnsi="Times New Roman" w:eastAsiaTheme="minorEastAsia"/>
          <w:b/>
          <w:snapToGrid w:val="0"/>
          <w:color w:val="000000" w:themeColor="text1"/>
          <w:kern w:val="0"/>
          <w:sz w:val="24"/>
          <w:szCs w:val="20"/>
          <w14:textFill>
            <w14:solidFill>
              <w14:schemeClr w14:val="tx1"/>
            </w14:solidFill>
          </w14:textFill>
        </w:rPr>
        <w:t xml:space="preserve">2.6.1  </w:t>
      </w:r>
      <w:r>
        <w:rPr>
          <w:rFonts w:ascii="Times New Roman" w:hAnsi="Times New Roman" w:eastAsiaTheme="minorEastAsia"/>
          <w:snapToGrid w:val="0"/>
          <w:color w:val="000000" w:themeColor="text1"/>
          <w:kern w:val="0"/>
          <w:sz w:val="24"/>
          <w:szCs w:val="20"/>
          <w14:textFill>
            <w14:solidFill>
              <w14:schemeClr w14:val="tx1"/>
            </w14:solidFill>
          </w14:textFill>
        </w:rPr>
        <w:t>施工现场安全作业应符合下列规定：</w:t>
      </w:r>
    </w:p>
    <w:p>
      <w:pPr>
        <w:widowControl/>
        <w:spacing w:line="360" w:lineRule="auto"/>
        <w:ind w:firstLine="481" w:firstLineChars="200"/>
        <w:jc w:val="left"/>
        <w:rPr>
          <w:rFonts w:ascii="Times New Roman" w:hAnsi="Times New Roman" w:eastAsiaTheme="minorEastAsia"/>
          <w:snapToGrid w:val="0"/>
          <w:color w:val="000000" w:themeColor="text1"/>
          <w:kern w:val="0"/>
          <w:sz w:val="24"/>
          <w:szCs w:val="20"/>
          <w14:textFill>
            <w14:solidFill>
              <w14:schemeClr w14:val="tx1"/>
            </w14:solidFill>
          </w14:textFill>
        </w:rPr>
      </w:pPr>
      <w:r>
        <w:rPr>
          <w:rFonts w:ascii="Times New Roman" w:hAnsi="Times New Roman" w:eastAsiaTheme="minorEastAsia"/>
          <w:b/>
          <w:snapToGrid w:val="0"/>
          <w:color w:val="000000" w:themeColor="text1"/>
          <w:kern w:val="0"/>
          <w:sz w:val="24"/>
          <w:szCs w:val="20"/>
          <w14:textFill>
            <w14:solidFill>
              <w14:schemeClr w14:val="tx1"/>
            </w14:solidFill>
          </w14:textFill>
        </w:rPr>
        <w:t>1</w:t>
      </w:r>
      <w:r>
        <w:rPr>
          <w:rFonts w:ascii="Times New Roman" w:hAnsi="Times New Roman" w:eastAsiaTheme="minorEastAsia"/>
          <w:b/>
          <w:color w:val="000000" w:themeColor="text1"/>
          <w:szCs w:val="24"/>
          <w14:textFill>
            <w14:solidFill>
              <w14:schemeClr w14:val="tx1"/>
            </w14:solidFill>
          </w14:textFill>
        </w:rPr>
        <w:t xml:space="preserve">  </w:t>
      </w:r>
      <w:r>
        <w:rPr>
          <w:rFonts w:ascii="Times New Roman" w:hAnsi="Times New Roman" w:eastAsiaTheme="minorEastAsia"/>
          <w:snapToGrid w:val="0"/>
          <w:color w:val="000000" w:themeColor="text1"/>
          <w:kern w:val="0"/>
          <w:sz w:val="24"/>
          <w:szCs w:val="20"/>
          <w14:textFill>
            <w14:solidFill>
              <w14:schemeClr w14:val="tx1"/>
            </w14:solidFill>
          </w14:textFill>
        </w:rPr>
        <w:t>应建立施工现场安全管理制度，公示安全注意事项；</w:t>
      </w:r>
    </w:p>
    <w:p>
      <w:pPr>
        <w:widowControl/>
        <w:spacing w:line="360" w:lineRule="auto"/>
        <w:ind w:firstLine="481" w:firstLineChars="200"/>
        <w:jc w:val="left"/>
        <w:rPr>
          <w:rFonts w:ascii="Times New Roman" w:hAnsi="Times New Roman" w:eastAsiaTheme="minorEastAsia"/>
          <w:snapToGrid w:val="0"/>
          <w:color w:val="000000" w:themeColor="text1"/>
          <w:kern w:val="0"/>
          <w:sz w:val="24"/>
          <w:szCs w:val="20"/>
          <w14:textFill>
            <w14:solidFill>
              <w14:schemeClr w14:val="tx1"/>
            </w14:solidFill>
          </w14:textFill>
        </w:rPr>
      </w:pPr>
      <w:r>
        <w:rPr>
          <w:rFonts w:ascii="Times New Roman" w:hAnsi="Times New Roman" w:eastAsiaTheme="minorEastAsia"/>
          <w:b/>
          <w:snapToGrid w:val="0"/>
          <w:color w:val="000000" w:themeColor="text1"/>
          <w:kern w:val="0"/>
          <w:sz w:val="24"/>
          <w:szCs w:val="20"/>
          <w14:textFill>
            <w14:solidFill>
              <w14:schemeClr w14:val="tx1"/>
            </w14:solidFill>
          </w14:textFill>
        </w:rPr>
        <w:t>2</w:t>
      </w:r>
      <w:r>
        <w:rPr>
          <w:rFonts w:ascii="Times New Roman" w:hAnsi="Times New Roman" w:eastAsiaTheme="minorEastAsia"/>
          <w:color w:val="000000" w:themeColor="text1"/>
          <w:szCs w:val="24"/>
          <w14:textFill>
            <w14:solidFill>
              <w14:schemeClr w14:val="tx1"/>
            </w14:solidFill>
          </w14:textFill>
        </w:rPr>
        <w:t xml:space="preserve">  </w:t>
      </w:r>
      <w:r>
        <w:rPr>
          <w:rFonts w:ascii="Times New Roman" w:hAnsi="Times New Roman" w:eastAsiaTheme="minorEastAsia"/>
          <w:snapToGrid w:val="0"/>
          <w:color w:val="000000" w:themeColor="text1"/>
          <w:kern w:val="0"/>
          <w:sz w:val="24"/>
          <w:szCs w:val="20"/>
          <w14:textFill>
            <w14:solidFill>
              <w14:schemeClr w14:val="tx1"/>
            </w14:solidFill>
          </w14:textFill>
        </w:rPr>
        <w:t>对施工现场的危险源进行识别，危险区域应悬挂或张贴规范的安全警示标志；</w:t>
      </w:r>
    </w:p>
    <w:p>
      <w:pPr>
        <w:widowControl/>
        <w:spacing w:line="360" w:lineRule="auto"/>
        <w:ind w:firstLine="481" w:firstLineChars="200"/>
        <w:jc w:val="left"/>
        <w:rPr>
          <w:rFonts w:ascii="Times New Roman" w:hAnsi="Times New Roman" w:eastAsiaTheme="minorEastAsia"/>
          <w:snapToGrid w:val="0"/>
          <w:color w:val="000000" w:themeColor="text1"/>
          <w:kern w:val="0"/>
          <w:sz w:val="24"/>
          <w:szCs w:val="20"/>
          <w14:textFill>
            <w14:solidFill>
              <w14:schemeClr w14:val="tx1"/>
            </w14:solidFill>
          </w14:textFill>
        </w:rPr>
      </w:pPr>
      <w:r>
        <w:rPr>
          <w:rFonts w:ascii="Times New Roman" w:hAnsi="Times New Roman" w:eastAsiaTheme="minorEastAsia"/>
          <w:b/>
          <w:snapToGrid w:val="0"/>
          <w:color w:val="000000" w:themeColor="text1"/>
          <w:kern w:val="0"/>
          <w:sz w:val="24"/>
          <w:szCs w:val="20"/>
          <w14:textFill>
            <w14:solidFill>
              <w14:schemeClr w14:val="tx1"/>
            </w14:solidFill>
          </w14:textFill>
        </w:rPr>
        <w:t xml:space="preserve">3  </w:t>
      </w:r>
      <w:r>
        <w:rPr>
          <w:rFonts w:ascii="Times New Roman" w:hAnsi="Times New Roman" w:eastAsiaTheme="minorEastAsia"/>
          <w:snapToGrid w:val="0"/>
          <w:color w:val="000000" w:themeColor="text1"/>
          <w:kern w:val="0"/>
          <w:sz w:val="24"/>
          <w:szCs w:val="20"/>
          <w14:textFill>
            <w14:solidFill>
              <w14:schemeClr w14:val="tx1"/>
            </w14:solidFill>
          </w14:textFill>
        </w:rPr>
        <w:t>进入施工现场的人员应进行安全培训或接受安全教育；</w:t>
      </w:r>
    </w:p>
    <w:p>
      <w:pPr>
        <w:widowControl/>
        <w:spacing w:line="360" w:lineRule="auto"/>
        <w:ind w:firstLine="481" w:firstLineChars="200"/>
        <w:jc w:val="left"/>
        <w:rPr>
          <w:rFonts w:ascii="Times New Roman" w:hAnsi="Times New Roman" w:eastAsiaTheme="minorEastAsia"/>
          <w:snapToGrid w:val="0"/>
          <w:color w:val="000000" w:themeColor="text1"/>
          <w:kern w:val="0"/>
          <w:sz w:val="24"/>
          <w:szCs w:val="20"/>
          <w14:textFill>
            <w14:solidFill>
              <w14:schemeClr w14:val="tx1"/>
            </w14:solidFill>
          </w14:textFill>
        </w:rPr>
      </w:pPr>
      <w:r>
        <w:rPr>
          <w:rFonts w:ascii="Times New Roman" w:hAnsi="Times New Roman" w:eastAsiaTheme="minorEastAsia"/>
          <w:b/>
          <w:snapToGrid w:val="0"/>
          <w:color w:val="000000" w:themeColor="text1"/>
          <w:kern w:val="0"/>
          <w:sz w:val="24"/>
          <w:szCs w:val="20"/>
          <w14:textFill>
            <w14:solidFill>
              <w14:schemeClr w14:val="tx1"/>
            </w14:solidFill>
          </w14:textFill>
        </w:rPr>
        <w:t>4</w:t>
      </w:r>
      <w:r>
        <w:rPr>
          <w:rFonts w:ascii="Times New Roman" w:hAnsi="Times New Roman" w:eastAsiaTheme="minorEastAsia"/>
          <w:snapToGrid w:val="0"/>
          <w:color w:val="000000" w:themeColor="text1"/>
          <w:kern w:val="0"/>
          <w:sz w:val="24"/>
          <w:szCs w:val="20"/>
          <w14:textFill>
            <w14:solidFill>
              <w14:schemeClr w14:val="tx1"/>
            </w14:solidFill>
          </w14:textFill>
        </w:rPr>
        <w:t xml:space="preserve">  现场作业人员应配备与作业环境和作业内容相适配的劳动保护用品。</w:t>
      </w:r>
    </w:p>
    <w:p>
      <w:pPr>
        <w:widowControl/>
        <w:spacing w:line="360" w:lineRule="auto"/>
        <w:jc w:val="left"/>
        <w:rPr>
          <w:rFonts w:ascii="Times New Roman" w:hAnsi="Times New Roman" w:eastAsiaTheme="minorEastAsia"/>
          <w:snapToGrid w:val="0"/>
          <w:color w:val="000000" w:themeColor="text1"/>
          <w:kern w:val="0"/>
          <w:sz w:val="24"/>
          <w:szCs w:val="20"/>
          <w14:textFill>
            <w14:solidFill>
              <w14:schemeClr w14:val="tx1"/>
            </w14:solidFill>
          </w14:textFill>
        </w:rPr>
      </w:pPr>
      <w:r>
        <w:rPr>
          <w:rFonts w:ascii="Times New Roman" w:hAnsi="Times New Roman" w:eastAsiaTheme="minorEastAsia"/>
          <w:b/>
          <w:snapToGrid w:val="0"/>
          <w:color w:val="000000" w:themeColor="text1"/>
          <w:kern w:val="0"/>
          <w:sz w:val="24"/>
          <w:szCs w:val="20"/>
          <w14:textFill>
            <w14:solidFill>
              <w14:schemeClr w14:val="tx1"/>
            </w14:solidFill>
          </w14:textFill>
        </w:rPr>
        <w:t xml:space="preserve">2.6.2 </w:t>
      </w:r>
      <w:r>
        <w:rPr>
          <w:rFonts w:ascii="Times New Roman" w:hAnsi="Times New Roman" w:eastAsiaTheme="minorEastAsia"/>
          <w:snapToGrid w:val="0"/>
          <w:color w:val="000000" w:themeColor="text1"/>
          <w:kern w:val="0"/>
          <w:sz w:val="24"/>
          <w:szCs w:val="20"/>
          <w14:textFill>
            <w14:solidFill>
              <w14:schemeClr w14:val="tx1"/>
            </w14:solidFill>
          </w14:textFill>
        </w:rPr>
        <w:t xml:space="preserve"> 施工现场环境保护应符合下列规定：</w:t>
      </w:r>
    </w:p>
    <w:p>
      <w:pPr>
        <w:widowControl/>
        <w:spacing w:line="360" w:lineRule="auto"/>
        <w:ind w:firstLine="481" w:firstLineChars="200"/>
        <w:jc w:val="left"/>
        <w:rPr>
          <w:rFonts w:ascii="Times New Roman" w:hAnsi="Times New Roman" w:eastAsiaTheme="minorEastAsia"/>
          <w:snapToGrid w:val="0"/>
          <w:color w:val="000000" w:themeColor="text1"/>
          <w:kern w:val="0"/>
          <w:sz w:val="24"/>
          <w:szCs w:val="20"/>
          <w14:textFill>
            <w14:solidFill>
              <w14:schemeClr w14:val="tx1"/>
            </w14:solidFill>
          </w14:textFill>
        </w:rPr>
      </w:pPr>
      <w:r>
        <w:rPr>
          <w:rFonts w:ascii="Times New Roman" w:hAnsi="Times New Roman" w:eastAsiaTheme="minorEastAsia"/>
          <w:b/>
          <w:snapToGrid w:val="0"/>
          <w:color w:val="000000" w:themeColor="text1"/>
          <w:kern w:val="0"/>
          <w:sz w:val="24"/>
          <w:szCs w:val="20"/>
          <w14:textFill>
            <w14:solidFill>
              <w14:schemeClr w14:val="tx1"/>
            </w14:solidFill>
          </w14:textFill>
        </w:rPr>
        <w:t xml:space="preserve">1 </w:t>
      </w:r>
      <w:r>
        <w:rPr>
          <w:rFonts w:ascii="Times New Roman" w:hAnsi="Times New Roman" w:eastAsiaTheme="minorEastAsia"/>
          <w:snapToGrid w:val="0"/>
          <w:color w:val="000000" w:themeColor="text1"/>
          <w:kern w:val="0"/>
          <w:sz w:val="24"/>
          <w:szCs w:val="20"/>
          <w14:textFill>
            <w14:solidFill>
              <w14:schemeClr w14:val="tx1"/>
            </w14:solidFill>
          </w14:textFill>
        </w:rPr>
        <w:t xml:space="preserve"> 应建立施工现场环境保护制度；</w:t>
      </w:r>
    </w:p>
    <w:p>
      <w:pPr>
        <w:widowControl/>
        <w:spacing w:line="360" w:lineRule="auto"/>
        <w:ind w:firstLine="481" w:firstLineChars="200"/>
        <w:jc w:val="left"/>
        <w:rPr>
          <w:rFonts w:ascii="Times New Roman" w:hAnsi="Times New Roman" w:eastAsiaTheme="minorEastAsia"/>
          <w:snapToGrid w:val="0"/>
          <w:color w:val="000000" w:themeColor="text1"/>
          <w:kern w:val="0"/>
          <w:sz w:val="24"/>
          <w:szCs w:val="20"/>
          <w14:textFill>
            <w14:solidFill>
              <w14:schemeClr w14:val="tx1"/>
            </w14:solidFill>
          </w14:textFill>
        </w:rPr>
      </w:pPr>
      <w:r>
        <w:rPr>
          <w:rFonts w:ascii="Times New Roman" w:hAnsi="Times New Roman" w:eastAsiaTheme="minorEastAsia"/>
          <w:b/>
          <w:snapToGrid w:val="0"/>
          <w:color w:val="000000" w:themeColor="text1"/>
          <w:kern w:val="0"/>
          <w:sz w:val="24"/>
          <w:szCs w:val="20"/>
          <w14:textFill>
            <w14:solidFill>
              <w14:schemeClr w14:val="tx1"/>
            </w14:solidFill>
          </w14:textFill>
        </w:rPr>
        <w:t xml:space="preserve">2 </w:t>
      </w:r>
      <w:r>
        <w:rPr>
          <w:rFonts w:ascii="Times New Roman" w:hAnsi="Times New Roman" w:eastAsiaTheme="minorEastAsia"/>
          <w:snapToGrid w:val="0"/>
          <w:color w:val="000000" w:themeColor="text1"/>
          <w:kern w:val="0"/>
          <w:sz w:val="24"/>
          <w:szCs w:val="20"/>
          <w14:textFill>
            <w14:solidFill>
              <w14:schemeClr w14:val="tx1"/>
            </w14:solidFill>
          </w14:textFill>
        </w:rPr>
        <w:t xml:space="preserve"> 施工噪声应符合建筑施工场界环境噪声排放标准；</w:t>
      </w:r>
    </w:p>
    <w:p>
      <w:pPr>
        <w:widowControl/>
        <w:spacing w:line="360" w:lineRule="auto"/>
        <w:ind w:firstLine="481" w:firstLineChars="200"/>
        <w:jc w:val="left"/>
        <w:rPr>
          <w:rFonts w:ascii="Times New Roman" w:hAnsi="Times New Roman" w:eastAsiaTheme="minorEastAsia"/>
          <w:snapToGrid w:val="0"/>
          <w:color w:val="000000" w:themeColor="text1"/>
          <w:kern w:val="0"/>
          <w:sz w:val="24"/>
          <w:szCs w:val="20"/>
          <w14:textFill>
            <w14:solidFill>
              <w14:schemeClr w14:val="tx1"/>
            </w14:solidFill>
          </w14:textFill>
        </w:rPr>
      </w:pPr>
      <w:r>
        <w:rPr>
          <w:rFonts w:ascii="Times New Roman" w:hAnsi="Times New Roman" w:eastAsiaTheme="minorEastAsia"/>
          <w:b/>
          <w:snapToGrid w:val="0"/>
          <w:color w:val="000000" w:themeColor="text1"/>
          <w:kern w:val="0"/>
          <w:sz w:val="24"/>
          <w:szCs w:val="20"/>
          <w14:textFill>
            <w14:solidFill>
              <w14:schemeClr w14:val="tx1"/>
            </w14:solidFill>
          </w14:textFill>
        </w:rPr>
        <w:t xml:space="preserve">3 </w:t>
      </w:r>
      <w:r>
        <w:rPr>
          <w:rFonts w:ascii="Times New Roman" w:hAnsi="Times New Roman" w:eastAsiaTheme="minorEastAsia"/>
          <w:snapToGrid w:val="0"/>
          <w:color w:val="000000" w:themeColor="text1"/>
          <w:kern w:val="0"/>
          <w:sz w:val="24"/>
          <w:szCs w:val="20"/>
          <w14:textFill>
            <w14:solidFill>
              <w14:schemeClr w14:val="tx1"/>
            </w14:solidFill>
          </w14:textFill>
        </w:rPr>
        <w:t xml:space="preserve"> 对施工过程中的扬尘（大气）、废水（污水）及其它污染应采取有效的防治措施；</w:t>
      </w:r>
    </w:p>
    <w:p>
      <w:pPr>
        <w:widowControl/>
        <w:spacing w:line="360" w:lineRule="auto"/>
        <w:ind w:firstLine="481" w:firstLineChars="200"/>
        <w:jc w:val="left"/>
        <w:rPr>
          <w:rFonts w:ascii="Times New Roman" w:hAnsi="Times New Roman" w:eastAsiaTheme="minorEastAsia"/>
          <w:snapToGrid w:val="0"/>
          <w:color w:val="000000" w:themeColor="text1"/>
          <w:kern w:val="0"/>
          <w:sz w:val="24"/>
          <w:szCs w:val="20"/>
          <w14:textFill>
            <w14:solidFill>
              <w14:schemeClr w14:val="tx1"/>
            </w14:solidFill>
          </w14:textFill>
        </w:rPr>
      </w:pPr>
      <w:r>
        <w:rPr>
          <w:rFonts w:ascii="Times New Roman" w:hAnsi="Times New Roman" w:eastAsiaTheme="minorEastAsia"/>
          <w:b/>
          <w:snapToGrid w:val="0"/>
          <w:color w:val="000000" w:themeColor="text1"/>
          <w:kern w:val="0"/>
          <w:sz w:val="24"/>
          <w:szCs w:val="20"/>
          <w14:textFill>
            <w14:solidFill>
              <w14:schemeClr w14:val="tx1"/>
            </w14:solidFill>
          </w14:textFill>
        </w:rPr>
        <w:t xml:space="preserve">4 </w:t>
      </w:r>
      <w:r>
        <w:rPr>
          <w:rFonts w:ascii="Times New Roman" w:hAnsi="Times New Roman" w:eastAsiaTheme="minorEastAsia"/>
          <w:snapToGrid w:val="0"/>
          <w:color w:val="000000" w:themeColor="text1"/>
          <w:kern w:val="0"/>
          <w:sz w:val="24"/>
          <w:szCs w:val="20"/>
          <w14:textFill>
            <w14:solidFill>
              <w14:schemeClr w14:val="tx1"/>
            </w14:solidFill>
          </w14:textFill>
        </w:rPr>
        <w:t xml:space="preserve"> 施工垃圾、生活垃圾、废弃物（污油等）应分类存放、分类管理，并应明确标识、及时处理。</w:t>
      </w:r>
    </w:p>
    <w:p>
      <w:pPr>
        <w:widowControl/>
        <w:spacing w:line="360" w:lineRule="auto"/>
        <w:rPr>
          <w:rFonts w:ascii="Times New Roman" w:hAnsi="Times New Roman" w:eastAsiaTheme="minorEastAsia"/>
          <w:snapToGrid w:val="0"/>
          <w:color w:val="000000" w:themeColor="text1"/>
          <w:kern w:val="0"/>
          <w:sz w:val="24"/>
          <w:szCs w:val="20"/>
          <w14:textFill>
            <w14:solidFill>
              <w14:schemeClr w14:val="tx1"/>
            </w14:solidFill>
          </w14:textFill>
        </w:rPr>
      </w:pPr>
      <w:r>
        <w:rPr>
          <w:rFonts w:ascii="Times New Roman" w:hAnsi="Times New Roman" w:eastAsiaTheme="minorEastAsia"/>
          <w:b/>
          <w:snapToGrid w:val="0"/>
          <w:color w:val="000000" w:themeColor="text1"/>
          <w:kern w:val="0"/>
          <w:sz w:val="24"/>
          <w:szCs w:val="20"/>
          <w14:textFill>
            <w14:solidFill>
              <w14:schemeClr w14:val="tx1"/>
            </w14:solidFill>
          </w14:textFill>
        </w:rPr>
        <w:t xml:space="preserve">2.6.3 </w:t>
      </w:r>
      <w:r>
        <w:rPr>
          <w:rFonts w:ascii="Times New Roman" w:hAnsi="Times New Roman" w:eastAsiaTheme="minorEastAsia"/>
          <w:snapToGrid w:val="0"/>
          <w:color w:val="000000" w:themeColor="text1"/>
          <w:kern w:val="0"/>
          <w:sz w:val="24"/>
          <w:szCs w:val="20"/>
          <w14:textFill>
            <w14:solidFill>
              <w14:schemeClr w14:val="tx1"/>
            </w14:solidFill>
          </w14:textFill>
        </w:rPr>
        <w:t xml:space="preserve"> 在安装工艺、机械、电气、仪表及控制系统等设备、零部件和原材料、半成品、成品前，应确认品种、规格、性能</w:t>
      </w:r>
      <w:r>
        <w:rPr>
          <w:rFonts w:hint="eastAsia" w:ascii="Times New Roman" w:hAnsi="Times New Roman" w:eastAsiaTheme="minorEastAsia"/>
          <w:snapToGrid w:val="0"/>
          <w:color w:val="000000" w:themeColor="text1"/>
          <w:kern w:val="0"/>
          <w:sz w:val="24"/>
          <w:szCs w:val="20"/>
          <w14:textFill>
            <w14:solidFill>
              <w14:schemeClr w14:val="tx1"/>
            </w14:solidFill>
          </w14:textFill>
        </w:rPr>
        <w:t>应</w:t>
      </w:r>
      <w:r>
        <w:rPr>
          <w:rFonts w:ascii="Times New Roman" w:hAnsi="Times New Roman" w:eastAsiaTheme="minorEastAsia"/>
          <w:snapToGrid w:val="0"/>
          <w:color w:val="000000" w:themeColor="text1"/>
          <w:kern w:val="0"/>
          <w:sz w:val="24"/>
          <w:szCs w:val="20"/>
          <w14:textFill>
            <w14:solidFill>
              <w14:schemeClr w14:val="tx1"/>
            </w14:solidFill>
          </w14:textFill>
        </w:rPr>
        <w:t>符合国家有关规范的规定和工程设计要求。</w:t>
      </w:r>
    </w:p>
    <w:p>
      <w:pPr>
        <w:widowControl/>
        <w:spacing w:line="360" w:lineRule="auto"/>
        <w:rPr>
          <w:rFonts w:ascii="Times New Roman" w:hAnsi="Times New Roman" w:eastAsiaTheme="minorEastAsia"/>
          <w:snapToGrid w:val="0"/>
          <w:color w:val="000000" w:themeColor="text1"/>
          <w:kern w:val="0"/>
          <w:sz w:val="24"/>
          <w:szCs w:val="20"/>
          <w14:textFill>
            <w14:solidFill>
              <w14:schemeClr w14:val="tx1"/>
            </w14:solidFill>
          </w14:textFill>
        </w:rPr>
      </w:pPr>
      <w:r>
        <w:rPr>
          <w:rFonts w:ascii="Times New Roman" w:hAnsi="Times New Roman" w:eastAsiaTheme="minorEastAsia"/>
          <w:b/>
          <w:snapToGrid w:val="0"/>
          <w:color w:val="000000" w:themeColor="text1"/>
          <w:kern w:val="0"/>
          <w:sz w:val="24"/>
          <w:szCs w:val="20"/>
          <w14:textFill>
            <w14:solidFill>
              <w14:schemeClr w14:val="tx1"/>
            </w14:solidFill>
          </w14:textFill>
        </w:rPr>
        <w:t xml:space="preserve">2.6.4 </w:t>
      </w:r>
      <w:r>
        <w:rPr>
          <w:rFonts w:ascii="Times New Roman" w:hAnsi="Times New Roman" w:eastAsiaTheme="minorEastAsia"/>
          <w:snapToGrid w:val="0"/>
          <w:color w:val="000000" w:themeColor="text1"/>
          <w:kern w:val="0"/>
          <w:sz w:val="24"/>
          <w:szCs w:val="20"/>
          <w14:textFill>
            <w14:solidFill>
              <w14:schemeClr w14:val="tx1"/>
            </w14:solidFill>
          </w14:textFill>
        </w:rPr>
        <w:t xml:space="preserve"> 工程安装使用的计量和检测器具、仪器、仪表和设备精度等级应符合被检测项目精度要求，并应</w:t>
      </w:r>
      <w:r>
        <w:rPr>
          <w:rFonts w:hint="eastAsia" w:ascii="Times New Roman" w:hAnsi="Times New Roman" w:eastAsiaTheme="minorEastAsia"/>
          <w:snapToGrid w:val="0"/>
          <w:color w:val="000000" w:themeColor="text1"/>
          <w:kern w:val="0"/>
          <w:sz w:val="24"/>
          <w:szCs w:val="20"/>
          <w14:textFill>
            <w14:solidFill>
              <w14:schemeClr w14:val="tx1"/>
            </w14:solidFill>
          </w14:textFill>
        </w:rPr>
        <w:t>按国家有关安全技术标准或规定</w:t>
      </w:r>
      <w:r>
        <w:rPr>
          <w:rFonts w:ascii="Times New Roman" w:hAnsi="Times New Roman" w:eastAsiaTheme="minorEastAsia"/>
          <w:snapToGrid w:val="0"/>
          <w:color w:val="000000" w:themeColor="text1"/>
          <w:kern w:val="0"/>
          <w:sz w:val="24"/>
          <w:szCs w:val="20"/>
          <w14:textFill>
            <w14:solidFill>
              <w14:schemeClr w14:val="tx1"/>
            </w14:solidFill>
          </w14:textFill>
        </w:rPr>
        <w:t>校验。</w:t>
      </w:r>
    </w:p>
    <w:p>
      <w:pPr>
        <w:widowControl/>
        <w:spacing w:line="360" w:lineRule="auto"/>
        <w:rPr>
          <w:rFonts w:ascii="Times New Roman" w:hAnsi="Times New Roman" w:eastAsiaTheme="minorEastAsia"/>
          <w:snapToGrid w:val="0"/>
          <w:color w:val="000000" w:themeColor="text1"/>
          <w:kern w:val="0"/>
          <w:sz w:val="24"/>
          <w:szCs w:val="20"/>
          <w14:textFill>
            <w14:solidFill>
              <w14:schemeClr w14:val="tx1"/>
            </w14:solidFill>
          </w14:textFill>
        </w:rPr>
      </w:pPr>
      <w:r>
        <w:rPr>
          <w:rFonts w:ascii="Times New Roman" w:hAnsi="Times New Roman" w:eastAsiaTheme="minorEastAsia"/>
          <w:b/>
          <w:snapToGrid w:val="0"/>
          <w:color w:val="000000" w:themeColor="text1"/>
          <w:kern w:val="0"/>
          <w:sz w:val="24"/>
          <w:szCs w:val="20"/>
          <w14:textFill>
            <w14:solidFill>
              <w14:schemeClr w14:val="tx1"/>
            </w14:solidFill>
          </w14:textFill>
        </w:rPr>
        <w:t xml:space="preserve">2.6.5 </w:t>
      </w:r>
      <w:r>
        <w:rPr>
          <w:rFonts w:ascii="Times New Roman" w:hAnsi="Times New Roman" w:eastAsiaTheme="minorEastAsia"/>
          <w:snapToGrid w:val="0"/>
          <w:color w:val="000000" w:themeColor="text1"/>
          <w:kern w:val="0"/>
          <w:sz w:val="24"/>
          <w:szCs w:val="20"/>
          <w14:textFill>
            <w14:solidFill>
              <w14:schemeClr w14:val="tx1"/>
            </w14:solidFill>
          </w14:textFill>
        </w:rPr>
        <w:t xml:space="preserve"> 锅炉、压力容器、起重机等特种设备应按国家有关安全技术监察规</w:t>
      </w:r>
      <w:r>
        <w:rPr>
          <w:rFonts w:hint="eastAsia" w:ascii="Times New Roman" w:hAnsi="Times New Roman" w:eastAsiaTheme="minorEastAsia"/>
          <w:snapToGrid w:val="0"/>
          <w:color w:val="000000" w:themeColor="text1"/>
          <w:kern w:val="0"/>
          <w:sz w:val="24"/>
          <w:szCs w:val="20"/>
          <w14:textFill>
            <w14:solidFill>
              <w14:schemeClr w14:val="tx1"/>
            </w14:solidFill>
          </w14:textFill>
        </w:rPr>
        <w:t>定</w:t>
      </w:r>
      <w:r>
        <w:rPr>
          <w:rFonts w:ascii="Times New Roman" w:hAnsi="Times New Roman" w:eastAsiaTheme="minorEastAsia"/>
          <w:snapToGrid w:val="0"/>
          <w:color w:val="000000" w:themeColor="text1"/>
          <w:kern w:val="0"/>
          <w:sz w:val="24"/>
          <w:szCs w:val="20"/>
          <w14:textFill>
            <w14:solidFill>
              <w14:schemeClr w14:val="tx1"/>
            </w14:solidFill>
          </w14:textFill>
        </w:rPr>
        <w:t>进行安装、试验、检验、验收。</w:t>
      </w:r>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2.6.6</w:t>
      </w:r>
      <w:r>
        <w:rPr>
          <w:rFonts w:eastAsiaTheme="minorEastAsia"/>
          <w:color w:val="000000" w:themeColor="text1"/>
          <w14:textFill>
            <w14:solidFill>
              <w14:schemeClr w14:val="tx1"/>
            </w14:solidFill>
          </w14:textFill>
        </w:rPr>
        <w:t xml:space="preserve">  对于有恒温、恒湿等要求的机械设备，应在厂房内的恒温、恒湿达到设计要求后再安装。</w:t>
      </w:r>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 xml:space="preserve">2.6.7 </w:t>
      </w:r>
      <w:r>
        <w:rPr>
          <w:rFonts w:eastAsiaTheme="minorEastAsia"/>
          <w:color w:val="000000" w:themeColor="text1"/>
          <w14:textFill>
            <w14:solidFill>
              <w14:schemeClr w14:val="tx1"/>
            </w14:solidFill>
          </w14:textFill>
        </w:rPr>
        <w:t xml:space="preserve"> 火法冶金炉窑安装前</w:t>
      </w:r>
      <w:r>
        <w:rPr>
          <w:rFonts w:hint="eastAsia" w:eastAsiaTheme="minorEastAsia"/>
          <w:color w:val="000000" w:themeColor="text1"/>
          <w14:textFill>
            <w14:solidFill>
              <w14:schemeClr w14:val="tx1"/>
            </w14:solidFill>
          </w14:textFill>
        </w:rPr>
        <w:t>，</w:t>
      </w:r>
      <w:r>
        <w:rPr>
          <w:rFonts w:eastAsiaTheme="minorEastAsia"/>
          <w:color w:val="000000" w:themeColor="text1"/>
          <w14:textFill>
            <w14:solidFill>
              <w14:schemeClr w14:val="tx1"/>
            </w14:solidFill>
          </w14:textFill>
        </w:rPr>
        <w:t>应设置纵横向基础中心线永久性中心标板。托轮装置基础周边应设置沉降观测点及标高基准点。</w:t>
      </w:r>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2.6.8</w:t>
      </w:r>
      <w:r>
        <w:rPr>
          <w:rFonts w:eastAsiaTheme="minorEastAsia"/>
          <w:color w:val="000000" w:themeColor="text1"/>
          <w14:textFill>
            <w14:solidFill>
              <w14:schemeClr w14:val="tx1"/>
            </w14:solidFill>
          </w14:textFill>
        </w:rPr>
        <w:t xml:space="preserve">  火法冶金炉氧枪与氧气接触的零部件应脱脂处理。</w:t>
      </w:r>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2.6.9</w:t>
      </w:r>
      <w:r>
        <w:rPr>
          <w:rFonts w:eastAsiaTheme="minorEastAsia"/>
          <w:color w:val="000000" w:themeColor="text1"/>
          <w14:textFill>
            <w14:solidFill>
              <w14:schemeClr w14:val="tx1"/>
            </w14:solidFill>
          </w14:textFill>
        </w:rPr>
        <w:t xml:space="preserve">  电除尘器升压试验前</w:t>
      </w:r>
      <w:r>
        <w:rPr>
          <w:rFonts w:hint="eastAsia" w:eastAsiaTheme="minorEastAsia"/>
          <w:color w:val="000000" w:themeColor="text1"/>
          <w14:textFill>
            <w14:solidFill>
              <w14:schemeClr w14:val="tx1"/>
            </w14:solidFill>
          </w14:textFill>
        </w:rPr>
        <w:t>，</w:t>
      </w:r>
      <w:r>
        <w:rPr>
          <w:rFonts w:eastAsiaTheme="minorEastAsia"/>
          <w:color w:val="000000" w:themeColor="text1"/>
          <w14:textFill>
            <w14:solidFill>
              <w14:schemeClr w14:val="tx1"/>
            </w14:solidFill>
          </w14:textFill>
        </w:rPr>
        <w:t>应确认电场内部无人、所有人孔门已密封并已投入安全联锁装置。</w:t>
      </w:r>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2.6.10</w:t>
      </w:r>
      <w:r>
        <w:rPr>
          <w:rFonts w:eastAsiaTheme="minorEastAsia"/>
          <w:color w:val="000000" w:themeColor="text1"/>
          <w14:textFill>
            <w14:solidFill>
              <w14:schemeClr w14:val="tx1"/>
            </w14:solidFill>
          </w14:textFill>
        </w:rPr>
        <w:t xml:space="preserve">  转化器触媒</w:t>
      </w:r>
      <w:r>
        <w:rPr>
          <w:rFonts w:eastAsiaTheme="minorEastAsia"/>
          <w:color w:val="auto"/>
        </w:rPr>
        <w:t>人工</w:t>
      </w:r>
      <w:r>
        <w:rPr>
          <w:rFonts w:eastAsiaTheme="minorEastAsia"/>
          <w:color w:val="000000" w:themeColor="text1"/>
          <w14:textFill>
            <w14:solidFill>
              <w14:schemeClr w14:val="tx1"/>
            </w14:solidFill>
          </w14:textFill>
        </w:rPr>
        <w:t>充填时应采取通风措施。</w:t>
      </w:r>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2.6.11</w:t>
      </w:r>
      <w:r>
        <w:rPr>
          <w:rFonts w:eastAsiaTheme="minorEastAsia"/>
          <w:color w:val="000000" w:themeColor="text1"/>
          <w14:textFill>
            <w14:solidFill>
              <w14:schemeClr w14:val="tx1"/>
            </w14:solidFill>
          </w14:textFill>
        </w:rPr>
        <w:t xml:space="preserve">  冶金炉窑耐火砌体的砌筑应符合下列规定：</w:t>
      </w:r>
    </w:p>
    <w:p>
      <w:pPr>
        <w:pStyle w:val="82"/>
        <w:ind w:firstLine="481" w:firstLineChars="200"/>
        <w:rPr>
          <w:rFonts w:eastAsiaTheme="minorEastAsia"/>
          <w:color w:val="000000" w:themeColor="text1"/>
          <w:szCs w:val="24"/>
          <w14:textFill>
            <w14:solidFill>
              <w14:schemeClr w14:val="tx1"/>
            </w14:solidFill>
          </w14:textFill>
        </w:rPr>
      </w:pPr>
      <w:r>
        <w:rPr>
          <w:rFonts w:eastAsiaTheme="minorEastAsia"/>
          <w:b/>
          <w:color w:val="000000" w:themeColor="text1"/>
          <w14:textFill>
            <w14:solidFill>
              <w14:schemeClr w14:val="tx1"/>
            </w14:solidFill>
          </w14:textFill>
        </w:rPr>
        <w:t>1</w:t>
      </w:r>
      <w:r>
        <w:rPr>
          <w:rFonts w:eastAsiaTheme="minorEastAsia"/>
          <w:b/>
          <w:color w:val="000000" w:themeColor="text1"/>
          <w:szCs w:val="24"/>
          <w14:textFill>
            <w14:solidFill>
              <w14:schemeClr w14:val="tx1"/>
            </w14:solidFill>
          </w14:textFill>
        </w:rPr>
        <w:t xml:space="preserve">  </w:t>
      </w:r>
      <w:r>
        <w:rPr>
          <w:rFonts w:eastAsiaTheme="minorEastAsia"/>
          <w:color w:val="000000" w:themeColor="text1"/>
          <w14:textFill>
            <w14:solidFill>
              <w14:schemeClr w14:val="tx1"/>
            </w14:solidFill>
          </w14:textFill>
        </w:rPr>
        <w:t>冶金炉窑耐火材料砌体应根据耐火材料理化性质设置膨胀结构；</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szCs w:val="24"/>
          <w14:textFill>
            <w14:solidFill>
              <w14:schemeClr w14:val="tx1"/>
            </w14:solidFill>
          </w14:textFill>
        </w:rPr>
        <w:t>2</w:t>
      </w:r>
      <w:r>
        <w:rPr>
          <w:rFonts w:eastAsiaTheme="minorEastAsia"/>
          <w:color w:val="000000" w:themeColor="text1"/>
          <w:szCs w:val="24"/>
          <w14:textFill>
            <w14:solidFill>
              <w14:schemeClr w14:val="tx1"/>
            </w14:solidFill>
          </w14:textFill>
        </w:rPr>
        <w:t xml:space="preserve">  </w:t>
      </w:r>
      <w:r>
        <w:rPr>
          <w:rFonts w:eastAsiaTheme="minorEastAsia"/>
          <w:color w:val="000000" w:themeColor="text1"/>
          <w14:textFill>
            <w14:solidFill>
              <w14:schemeClr w14:val="tx1"/>
            </w14:solidFill>
          </w14:textFill>
        </w:rPr>
        <w:t>冶金炉窑拱脚砖应紧靠拱脚梁或金属箍。吊挂砖主要受力部位</w:t>
      </w:r>
      <w:r>
        <w:rPr>
          <w:rFonts w:hint="eastAsia" w:eastAsiaTheme="minorEastAsia"/>
          <w:color w:val="000000" w:themeColor="text1"/>
          <w14:textFill>
            <w14:solidFill>
              <w14:schemeClr w14:val="tx1"/>
            </w14:solidFill>
          </w14:textFill>
        </w:rPr>
        <w:t>不得</w:t>
      </w:r>
      <w:r>
        <w:rPr>
          <w:rFonts w:eastAsiaTheme="minorEastAsia"/>
          <w:color w:val="000000" w:themeColor="text1"/>
          <w14:textFill>
            <w14:solidFill>
              <w14:schemeClr w14:val="tx1"/>
            </w14:solidFill>
          </w14:textFill>
        </w:rPr>
        <w:t>有裂纹，其余部位不得有可见裂纹；</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3</w:t>
      </w:r>
      <w:r>
        <w:rPr>
          <w:rFonts w:eastAsiaTheme="minorEastAsia"/>
          <w:b/>
          <w:color w:val="000000" w:themeColor="text1"/>
          <w:szCs w:val="24"/>
          <w14:textFill>
            <w14:solidFill>
              <w14:schemeClr w14:val="tx1"/>
            </w14:solidFill>
          </w14:textFill>
        </w:rPr>
        <w:t xml:space="preserve"> </w:t>
      </w:r>
      <w:r>
        <w:rPr>
          <w:rFonts w:eastAsiaTheme="minorEastAsia"/>
          <w:color w:val="000000" w:themeColor="text1"/>
          <w:szCs w:val="24"/>
          <w14:textFill>
            <w14:solidFill>
              <w14:schemeClr w14:val="tx1"/>
            </w14:solidFill>
          </w14:textFill>
        </w:rPr>
        <w:t xml:space="preserve"> </w:t>
      </w:r>
      <w:r>
        <w:rPr>
          <w:rFonts w:eastAsiaTheme="minorEastAsia"/>
          <w:color w:val="000000" w:themeColor="text1"/>
          <w14:textFill>
            <w14:solidFill>
              <w14:schemeClr w14:val="tx1"/>
            </w14:solidFill>
          </w14:textFill>
        </w:rPr>
        <w:t>冶金炉窑锚固件应焊接牢固。锚固砖主要受力部位</w:t>
      </w:r>
      <w:r>
        <w:rPr>
          <w:rFonts w:hint="eastAsia" w:eastAsiaTheme="minorEastAsia"/>
          <w:color w:val="000000" w:themeColor="text1"/>
          <w14:textFill>
            <w14:solidFill>
              <w14:schemeClr w14:val="tx1"/>
            </w14:solidFill>
          </w14:textFill>
        </w:rPr>
        <w:t>不得</w:t>
      </w:r>
      <w:r>
        <w:rPr>
          <w:rFonts w:eastAsiaTheme="minorEastAsia"/>
          <w:color w:val="000000" w:themeColor="text1"/>
          <w14:textFill>
            <w14:solidFill>
              <w14:schemeClr w14:val="tx1"/>
            </w14:solidFill>
          </w14:textFill>
        </w:rPr>
        <w:t>有裂纹，其余部位不得有可见裂纹；</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4</w:t>
      </w:r>
      <w:r>
        <w:rPr>
          <w:rFonts w:eastAsiaTheme="minorEastAsia"/>
          <w:color w:val="000000" w:themeColor="text1"/>
          <w14:textFill>
            <w14:solidFill>
              <w14:schemeClr w14:val="tx1"/>
            </w14:solidFill>
          </w14:textFill>
        </w:rPr>
        <w:t xml:space="preserve">  冶金炉炉底工作层反拱拱脚砖应砌入墙内。反拱砌体与侧墙、端墙的接触面应湿砌，并应接合严密、牢固。反拱下部有捣打料层时，应待捣打料层干燥并达到设计要求和施工要求后，再进行反拱施工。</w:t>
      </w:r>
    </w:p>
    <w:p>
      <w:pPr>
        <w:pStyle w:val="3"/>
        <w:spacing w:before="120" w:beforeLines="50" w:after="120" w:afterLines="50" w:line="360" w:lineRule="auto"/>
        <w:jc w:val="center"/>
        <w:rPr>
          <w:rFonts w:ascii="Times New Roman" w:hAnsi="Times New Roman" w:eastAsiaTheme="minorEastAsia"/>
          <w:color w:val="000000" w:themeColor="text1"/>
          <w:sz w:val="28"/>
          <w:szCs w:val="28"/>
          <w14:textFill>
            <w14:solidFill>
              <w14:schemeClr w14:val="tx1"/>
            </w14:solidFill>
          </w14:textFill>
        </w:rPr>
      </w:pPr>
      <w:bookmarkStart w:id="59" w:name="_Toc118452935"/>
      <w:bookmarkStart w:id="60" w:name="_Toc27465"/>
      <w:r>
        <w:rPr>
          <w:rFonts w:ascii="Times New Roman" w:hAnsi="Times New Roman" w:eastAsiaTheme="minorEastAsia"/>
          <w:color w:val="000000" w:themeColor="text1"/>
          <w:sz w:val="28"/>
          <w:szCs w:val="28"/>
          <w14:textFill>
            <w14:solidFill>
              <w14:schemeClr w14:val="tx1"/>
            </w14:solidFill>
          </w14:textFill>
        </w:rPr>
        <w:t>2.7  工程运行与维</w:t>
      </w:r>
      <w:bookmarkEnd w:id="59"/>
      <w:bookmarkEnd w:id="60"/>
      <w:r>
        <w:rPr>
          <w:rFonts w:ascii="Times New Roman" w:hAnsi="Times New Roman" w:eastAsiaTheme="minorEastAsia"/>
          <w:color w:val="000000" w:themeColor="text1"/>
          <w:sz w:val="28"/>
          <w:szCs w:val="28"/>
          <w14:textFill>
            <w14:solidFill>
              <w14:schemeClr w14:val="tx1"/>
            </w14:solidFill>
          </w14:textFill>
        </w:rPr>
        <w:t>护</w:t>
      </w:r>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 xml:space="preserve">2.7.1  </w:t>
      </w:r>
      <w:r>
        <w:rPr>
          <w:rFonts w:hint="eastAsia" w:eastAsiaTheme="minorEastAsia"/>
          <w:color w:val="000000" w:themeColor="text1"/>
          <w14:textFill>
            <w14:solidFill>
              <w14:schemeClr w14:val="tx1"/>
            </w14:solidFill>
          </w14:textFill>
        </w:rPr>
        <w:t>工程运行前，应建立安全生产管理体系，按国家有关安全技术标准或规定设置安全生产管理机构、配备安全生产管理人员。</w:t>
      </w:r>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 xml:space="preserve">2.7.2  </w:t>
      </w:r>
      <w:r>
        <w:rPr>
          <w:rFonts w:hint="eastAsia" w:eastAsiaTheme="minorEastAsia"/>
          <w:color w:val="000000" w:themeColor="text1"/>
          <w14:textFill>
            <w14:solidFill>
              <w14:schemeClr w14:val="tx1"/>
            </w14:solidFill>
          </w14:textFill>
        </w:rPr>
        <w:t>工程运行前，</w:t>
      </w:r>
      <w:r>
        <w:rPr>
          <w:rFonts w:eastAsiaTheme="minorEastAsia"/>
          <w:color w:val="000000" w:themeColor="text1"/>
          <w14:textFill>
            <w14:solidFill>
              <w14:schemeClr w14:val="tx1"/>
            </w14:solidFill>
          </w14:textFill>
        </w:rPr>
        <w:t>应建立健全全员安全生产责任制，建立健全运</w:t>
      </w:r>
      <w:r>
        <w:rPr>
          <w:rFonts w:hint="eastAsia" w:eastAsiaTheme="minorEastAsia"/>
          <w:color w:val="000000" w:themeColor="text1"/>
          <w14:textFill>
            <w14:solidFill>
              <w14:schemeClr w14:val="tx1"/>
            </w14:solidFill>
          </w14:textFill>
        </w:rPr>
        <w:t>行与</w:t>
      </w:r>
      <w:r>
        <w:rPr>
          <w:rFonts w:eastAsiaTheme="minorEastAsia"/>
          <w:color w:val="000000" w:themeColor="text1"/>
          <w14:textFill>
            <w14:solidFill>
              <w14:schemeClr w14:val="tx1"/>
            </w14:solidFill>
          </w14:textFill>
        </w:rPr>
        <w:t>维</w:t>
      </w:r>
      <w:r>
        <w:rPr>
          <w:rFonts w:hint="eastAsia" w:eastAsiaTheme="minorEastAsia"/>
          <w:color w:val="000000" w:themeColor="text1"/>
          <w14:textFill>
            <w14:solidFill>
              <w14:schemeClr w14:val="tx1"/>
            </w14:solidFill>
          </w14:textFill>
        </w:rPr>
        <w:t>护</w:t>
      </w:r>
      <w:r>
        <w:rPr>
          <w:rFonts w:eastAsiaTheme="minorEastAsia"/>
          <w:color w:val="000000" w:themeColor="text1"/>
          <w14:textFill>
            <w14:solidFill>
              <w14:schemeClr w14:val="tx1"/>
            </w14:solidFill>
          </w14:textFill>
        </w:rPr>
        <w:t>管理规章制度，制订运</w:t>
      </w:r>
      <w:r>
        <w:rPr>
          <w:rFonts w:hint="eastAsia" w:eastAsiaTheme="minorEastAsia"/>
          <w:color w:val="000000" w:themeColor="text1"/>
          <w14:textFill>
            <w14:solidFill>
              <w14:schemeClr w14:val="tx1"/>
            </w14:solidFill>
          </w14:textFill>
        </w:rPr>
        <w:t>行与</w:t>
      </w:r>
      <w:r>
        <w:rPr>
          <w:rFonts w:eastAsiaTheme="minorEastAsia"/>
          <w:color w:val="000000" w:themeColor="text1"/>
          <w14:textFill>
            <w14:solidFill>
              <w14:schemeClr w14:val="tx1"/>
            </w14:solidFill>
          </w14:textFill>
        </w:rPr>
        <w:t>维</w:t>
      </w:r>
      <w:r>
        <w:rPr>
          <w:rFonts w:hint="eastAsia" w:eastAsiaTheme="minorEastAsia"/>
          <w:color w:val="000000" w:themeColor="text1"/>
          <w14:textFill>
            <w14:solidFill>
              <w14:schemeClr w14:val="tx1"/>
            </w14:solidFill>
          </w14:textFill>
        </w:rPr>
        <w:t>护</w:t>
      </w:r>
      <w:r>
        <w:rPr>
          <w:rFonts w:eastAsiaTheme="minorEastAsia"/>
          <w:color w:val="000000" w:themeColor="text1"/>
          <w14:textFill>
            <w14:solidFill>
              <w14:schemeClr w14:val="tx1"/>
            </w14:solidFill>
          </w14:textFill>
        </w:rPr>
        <w:t>标准</w:t>
      </w:r>
      <w:r>
        <w:rPr>
          <w:rFonts w:hint="eastAsia" w:eastAsiaTheme="minorEastAsia"/>
          <w:color w:val="000000" w:themeColor="text1"/>
          <w14:textFill>
            <w14:solidFill>
              <w14:schemeClr w14:val="tx1"/>
            </w14:solidFill>
          </w14:textFill>
        </w:rPr>
        <w:t>，</w:t>
      </w:r>
      <w:r>
        <w:rPr>
          <w:rFonts w:eastAsiaTheme="minorEastAsia"/>
          <w:color w:val="000000" w:themeColor="text1"/>
          <w14:textFill>
            <w14:solidFill>
              <w14:schemeClr w14:val="tx1"/>
            </w14:solidFill>
          </w14:textFill>
        </w:rPr>
        <w:t>编制操作规程，文件、记录具有时效性且处于受控状态。</w:t>
      </w:r>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 xml:space="preserve">2.7.3  </w:t>
      </w:r>
      <w:r>
        <w:rPr>
          <w:rFonts w:hint="eastAsia" w:eastAsiaTheme="minorEastAsia"/>
          <w:color w:val="000000" w:themeColor="text1"/>
          <w14:textFill>
            <w14:solidFill>
              <w14:schemeClr w14:val="tx1"/>
            </w14:solidFill>
          </w14:textFill>
        </w:rPr>
        <w:t>工程运行前，</w:t>
      </w:r>
      <w:r>
        <w:rPr>
          <w:rFonts w:eastAsiaTheme="minorEastAsia"/>
          <w:color w:val="000000" w:themeColor="text1"/>
          <w14:textFill>
            <w14:solidFill>
              <w14:schemeClr w14:val="tx1"/>
            </w14:solidFill>
          </w14:textFill>
        </w:rPr>
        <w:t>应对各类危险因素进行辨识，对辨识出的重大危险源应设置安全警示标志，并应进行危险提示、警示。</w:t>
      </w:r>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 xml:space="preserve">2.7.4 </w:t>
      </w:r>
      <w:r>
        <w:rPr>
          <w:rFonts w:eastAsiaTheme="minorEastAsia"/>
          <w:color w:val="000000" w:themeColor="text1"/>
          <w14:textFill>
            <w14:solidFill>
              <w14:schemeClr w14:val="tx1"/>
            </w14:solidFill>
          </w14:textFill>
        </w:rPr>
        <w:t xml:space="preserve"> </w:t>
      </w:r>
      <w:r>
        <w:rPr>
          <w:rFonts w:hint="eastAsia" w:eastAsiaTheme="minorEastAsia"/>
          <w:color w:val="000000" w:themeColor="text1"/>
          <w14:textFill>
            <w14:solidFill>
              <w14:schemeClr w14:val="tx1"/>
            </w14:solidFill>
          </w14:textFill>
        </w:rPr>
        <w:t>工程运行前，</w:t>
      </w:r>
      <w:r>
        <w:rPr>
          <w:rFonts w:eastAsiaTheme="minorEastAsia"/>
          <w:color w:val="000000" w:themeColor="text1"/>
          <w14:textFill>
            <w14:solidFill>
              <w14:schemeClr w14:val="tx1"/>
            </w14:solidFill>
          </w14:textFill>
        </w:rPr>
        <w:t>对于存在或者产生职业病危害的工作场所、作业岗位、设备、设施等，在醒目位置应设置图形、警示线、警示语句等警示标识。</w:t>
      </w:r>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 xml:space="preserve">2.7.5 </w:t>
      </w:r>
      <w:r>
        <w:rPr>
          <w:rFonts w:eastAsiaTheme="minorEastAsia"/>
          <w:color w:val="000000" w:themeColor="text1"/>
          <w14:textFill>
            <w14:solidFill>
              <w14:schemeClr w14:val="tx1"/>
            </w14:solidFill>
          </w14:textFill>
        </w:rPr>
        <w:t xml:space="preserve"> </w:t>
      </w:r>
      <w:r>
        <w:rPr>
          <w:rFonts w:hint="eastAsia" w:eastAsiaTheme="minorEastAsia"/>
          <w:color w:val="000000" w:themeColor="text1"/>
          <w14:textFill>
            <w14:solidFill>
              <w14:schemeClr w14:val="tx1"/>
            </w14:solidFill>
          </w14:textFill>
        </w:rPr>
        <w:t>工程运行前，</w:t>
      </w:r>
      <w:r>
        <w:rPr>
          <w:rFonts w:eastAsiaTheme="minorEastAsia"/>
          <w:color w:val="000000" w:themeColor="text1"/>
          <w14:textFill>
            <w14:solidFill>
              <w14:schemeClr w14:val="tx1"/>
            </w14:solidFill>
          </w14:textFill>
        </w:rPr>
        <w:t>应制定危险废物管理计划、建立危险废物管理台账；对盛装危险废物的容器和包装物以及收集、贮存、运输、利用、处置危险废物的设施、场所，应设置危险废物识别标志。</w:t>
      </w:r>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 xml:space="preserve">2.7.6 </w:t>
      </w:r>
      <w:r>
        <w:rPr>
          <w:rFonts w:eastAsiaTheme="minorEastAsia"/>
          <w:color w:val="000000" w:themeColor="text1"/>
          <w14:textFill>
            <w14:solidFill>
              <w14:schemeClr w14:val="tx1"/>
            </w14:solidFill>
          </w14:textFill>
        </w:rPr>
        <w:t xml:space="preserve"> </w:t>
      </w:r>
      <w:r>
        <w:rPr>
          <w:rFonts w:hint="eastAsia" w:eastAsiaTheme="minorEastAsia"/>
          <w:color w:val="000000" w:themeColor="text1"/>
          <w14:textFill>
            <w14:solidFill>
              <w14:schemeClr w14:val="tx1"/>
            </w14:solidFill>
          </w14:textFill>
        </w:rPr>
        <w:t>工程运行前</w:t>
      </w:r>
      <w:r>
        <w:rPr>
          <w:rFonts w:eastAsiaTheme="minorEastAsia"/>
          <w:color w:val="000000" w:themeColor="text1"/>
          <w14:textFill>
            <w14:solidFill>
              <w14:schemeClr w14:val="tx1"/>
            </w14:solidFill>
          </w14:textFill>
        </w:rPr>
        <w:t>应建立应急救援组织，配备应急救援器材、设备和物资，编制应急救援预案。</w:t>
      </w:r>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 xml:space="preserve">2.7.7 </w:t>
      </w:r>
      <w:r>
        <w:rPr>
          <w:rFonts w:eastAsiaTheme="minorEastAsia"/>
          <w:color w:val="000000" w:themeColor="text1"/>
          <w14:textFill>
            <w14:solidFill>
              <w14:schemeClr w14:val="tx1"/>
            </w14:solidFill>
          </w14:textFill>
        </w:rPr>
        <w:t xml:space="preserve"> 工程试运行应符合下列规定：</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1</w:t>
      </w:r>
      <w:r>
        <w:rPr>
          <w:rFonts w:eastAsiaTheme="minorEastAsia"/>
          <w:color w:val="000000" w:themeColor="text1"/>
          <w14:textFill>
            <w14:solidFill>
              <w14:schemeClr w14:val="tx1"/>
            </w14:solidFill>
          </w14:textFill>
        </w:rPr>
        <w:t xml:space="preserve">  配套建设的环境保护设施、安全设施、职业病防护设施、消防设施应与主体工程同时进行试生产（试运行）；</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2</w:t>
      </w:r>
      <w:r>
        <w:rPr>
          <w:rFonts w:eastAsiaTheme="minorEastAsia"/>
          <w:color w:val="000000" w:themeColor="text1"/>
          <w14:textFill>
            <w14:solidFill>
              <w14:schemeClr w14:val="tx1"/>
            </w14:solidFill>
          </w14:textFill>
        </w:rPr>
        <w:t xml:space="preserve">  应对安全设施、职业病防护设施和消防设施的试运行情况编制评价报告、申请验收；</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 xml:space="preserve">3  </w:t>
      </w:r>
      <w:r>
        <w:rPr>
          <w:rFonts w:eastAsiaTheme="minorEastAsia"/>
          <w:color w:val="000000" w:themeColor="text1"/>
          <w14:textFill>
            <w14:solidFill>
              <w14:schemeClr w14:val="tx1"/>
            </w14:solidFill>
          </w14:textFill>
        </w:rPr>
        <w:t>试运行期间</w:t>
      </w:r>
      <w:r>
        <w:rPr>
          <w:rFonts w:hint="eastAsia" w:eastAsiaTheme="minorEastAsia"/>
          <w:color w:val="000000" w:themeColor="text1"/>
          <w14:textFill>
            <w14:solidFill>
              <w14:schemeClr w14:val="tx1"/>
            </w14:solidFill>
          </w14:textFill>
        </w:rPr>
        <w:t>的</w:t>
      </w:r>
      <w:r>
        <w:rPr>
          <w:rFonts w:eastAsiaTheme="minorEastAsia"/>
          <w:color w:val="000000" w:themeColor="text1"/>
          <w14:textFill>
            <w14:solidFill>
              <w14:schemeClr w14:val="tx1"/>
            </w14:solidFill>
          </w14:textFill>
        </w:rPr>
        <w:t>污染物排放应符合国家</w:t>
      </w:r>
      <w:r>
        <w:rPr>
          <w:rFonts w:hint="eastAsia" w:eastAsiaTheme="minorEastAsia"/>
          <w:color w:val="000000" w:themeColor="text1"/>
          <w14:textFill>
            <w14:solidFill>
              <w14:schemeClr w14:val="tx1"/>
            </w14:solidFill>
          </w14:textFill>
        </w:rPr>
        <w:t>及项目所在</w:t>
      </w:r>
      <w:r>
        <w:rPr>
          <w:rFonts w:eastAsiaTheme="minorEastAsia"/>
          <w:color w:val="000000" w:themeColor="text1"/>
          <w14:textFill>
            <w14:solidFill>
              <w14:schemeClr w14:val="tx1"/>
            </w14:solidFill>
          </w14:textFill>
        </w:rPr>
        <w:t>地有关污染物排放</w:t>
      </w:r>
      <w:r>
        <w:rPr>
          <w:rFonts w:hint="eastAsia" w:eastAsiaTheme="minorEastAsia"/>
          <w:color w:val="000000" w:themeColor="text1"/>
          <w14:textFill>
            <w14:solidFill>
              <w14:schemeClr w14:val="tx1"/>
            </w14:solidFill>
          </w14:textFill>
        </w:rPr>
        <w:t>的规定</w:t>
      </w:r>
      <w:r>
        <w:rPr>
          <w:rFonts w:eastAsiaTheme="minorEastAsia"/>
          <w:color w:val="000000" w:themeColor="text1"/>
          <w14:textFill>
            <w14:solidFill>
              <w14:schemeClr w14:val="tx1"/>
            </w14:solidFill>
          </w14:textFill>
        </w:rPr>
        <w:t>。企业应对建设项目环境保护设施试运行情况和建设项目对环境的影响进行监测、编制验收监测(调查)报告、进行项目竣工环境保护验收，并应向环境保护主管部门申请排污许可证；</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 xml:space="preserve">4 </w:t>
      </w:r>
      <w:r>
        <w:rPr>
          <w:rFonts w:eastAsiaTheme="minorEastAsia"/>
          <w:color w:val="000000" w:themeColor="text1"/>
          <w14:textFill>
            <w14:solidFill>
              <w14:schemeClr w14:val="tx1"/>
            </w14:solidFill>
          </w14:textFill>
        </w:rPr>
        <w:t xml:space="preserve"> 通过相关验收并取得环境保护主管部门排污许可证前，重有色金属冶金主体工程不得投入生产或者使用；</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5</w:t>
      </w:r>
      <w:r>
        <w:rPr>
          <w:rFonts w:eastAsiaTheme="minorEastAsia"/>
          <w:color w:val="000000" w:themeColor="text1"/>
          <w14:textFill>
            <w14:solidFill>
              <w14:schemeClr w14:val="tx1"/>
            </w14:solidFill>
          </w14:textFill>
        </w:rPr>
        <w:t xml:space="preserve">  冶炼生产系统事故停运时，应先停生产系统，后停污染防治设施；冶炼生产系统开车时，应先开污染防治设施，待运行稳定后再开生产系统。</w:t>
      </w:r>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 xml:space="preserve">2.7.8 </w:t>
      </w:r>
      <w:r>
        <w:rPr>
          <w:rFonts w:eastAsiaTheme="minorEastAsia"/>
          <w:color w:val="000000" w:themeColor="text1"/>
          <w14:textFill>
            <w14:solidFill>
              <w14:schemeClr w14:val="tx1"/>
            </w14:solidFill>
          </w14:textFill>
        </w:rPr>
        <w:t xml:space="preserve"> 工程</w:t>
      </w:r>
      <w:r>
        <w:rPr>
          <w:rFonts w:hint="eastAsia" w:eastAsiaTheme="minorEastAsia"/>
          <w:color w:val="000000" w:themeColor="text1"/>
          <w14:textFill>
            <w14:solidFill>
              <w14:schemeClr w14:val="tx1"/>
            </w14:solidFill>
          </w14:textFill>
        </w:rPr>
        <w:t>运行期间，</w:t>
      </w:r>
      <w:r>
        <w:rPr>
          <w:rFonts w:eastAsiaTheme="minorEastAsia"/>
          <w:color w:val="000000" w:themeColor="text1"/>
          <w14:textFill>
            <w14:solidFill>
              <w14:schemeClr w14:val="tx1"/>
            </w14:solidFill>
          </w14:textFill>
        </w:rPr>
        <w:t>应</w:t>
      </w:r>
      <w:r>
        <w:rPr>
          <w:rFonts w:hint="eastAsia" w:eastAsiaTheme="minorEastAsia"/>
          <w:color w:val="000000" w:themeColor="text1"/>
          <w14:textFill>
            <w14:solidFill>
              <w14:schemeClr w14:val="tx1"/>
            </w14:solidFill>
          </w14:textFill>
        </w:rPr>
        <w:t>按照现行国家有关安全规范，进行</w:t>
      </w:r>
      <w:r>
        <w:rPr>
          <w:rFonts w:eastAsiaTheme="minorEastAsia"/>
          <w:color w:val="000000" w:themeColor="text1"/>
          <w14:textFill>
            <w14:solidFill>
              <w14:schemeClr w14:val="tx1"/>
            </w14:solidFill>
          </w14:textFill>
        </w:rPr>
        <w:t>下列</w:t>
      </w:r>
      <w:r>
        <w:rPr>
          <w:rFonts w:hint="eastAsia" w:eastAsiaTheme="minorEastAsia"/>
          <w:color w:val="000000" w:themeColor="text1"/>
          <w14:textFill>
            <w14:solidFill>
              <w14:schemeClr w14:val="tx1"/>
            </w14:solidFill>
          </w14:textFill>
        </w:rPr>
        <w:t>设备设施的维护</w:t>
      </w:r>
      <w:r>
        <w:rPr>
          <w:rFonts w:eastAsiaTheme="minorEastAsia"/>
          <w:color w:val="000000" w:themeColor="text1"/>
          <w14:textFill>
            <w14:solidFill>
              <w14:schemeClr w14:val="tx1"/>
            </w14:solidFill>
          </w14:textFill>
        </w:rPr>
        <w:t>：</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1</w:t>
      </w:r>
      <w:r>
        <w:rPr>
          <w:rFonts w:eastAsiaTheme="minorEastAsia"/>
          <w:color w:val="000000" w:themeColor="text1"/>
          <w14:textFill>
            <w14:solidFill>
              <w14:schemeClr w14:val="tx1"/>
            </w14:solidFill>
          </w14:textFill>
        </w:rPr>
        <w:t xml:space="preserve">  对安全防护装置或安全附件、环</w:t>
      </w:r>
      <w:r>
        <w:rPr>
          <w:rFonts w:hint="eastAsia" w:eastAsiaTheme="minorEastAsia"/>
          <w:color w:val="000000" w:themeColor="text1"/>
          <w14:textFill>
            <w14:solidFill>
              <w14:schemeClr w14:val="tx1"/>
            </w14:solidFill>
          </w14:textFill>
        </w:rPr>
        <w:t>境</w:t>
      </w:r>
      <w:r>
        <w:rPr>
          <w:rFonts w:eastAsiaTheme="minorEastAsia"/>
          <w:color w:val="000000" w:themeColor="text1"/>
          <w14:textFill>
            <w14:solidFill>
              <w14:schemeClr w14:val="tx1"/>
            </w14:solidFill>
          </w14:textFill>
        </w:rPr>
        <w:t>保</w:t>
      </w:r>
      <w:r>
        <w:rPr>
          <w:rFonts w:hint="eastAsia" w:eastAsiaTheme="minorEastAsia"/>
          <w:color w:val="000000" w:themeColor="text1"/>
          <w14:textFill>
            <w14:solidFill>
              <w14:schemeClr w14:val="tx1"/>
            </w14:solidFill>
          </w14:textFill>
        </w:rPr>
        <w:t>护</w:t>
      </w:r>
      <w:r>
        <w:rPr>
          <w:rFonts w:eastAsiaTheme="minorEastAsia"/>
          <w:color w:val="000000" w:themeColor="text1"/>
          <w14:textFill>
            <w14:solidFill>
              <w14:schemeClr w14:val="tx1"/>
            </w14:solidFill>
          </w14:textFill>
        </w:rPr>
        <w:t>装置、消防设备进行检查、校验；不得擅自拆除或停用；</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 xml:space="preserve">2 </w:t>
      </w:r>
      <w:r>
        <w:rPr>
          <w:rFonts w:eastAsiaTheme="minorEastAsia"/>
          <w:color w:val="000000" w:themeColor="text1"/>
          <w14:textFill>
            <w14:solidFill>
              <w14:schemeClr w14:val="tx1"/>
            </w14:solidFill>
          </w14:textFill>
        </w:rPr>
        <w:t xml:space="preserve"> 对相关特种设备进行安全检查、检测、维护和保养；</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3</w:t>
      </w:r>
      <w:r>
        <w:rPr>
          <w:rFonts w:eastAsiaTheme="minorEastAsia"/>
          <w:color w:val="000000" w:themeColor="text1"/>
          <w14:textFill>
            <w14:solidFill>
              <w14:schemeClr w14:val="tx1"/>
            </w14:solidFill>
          </w14:textFill>
        </w:rPr>
        <w:t xml:space="preserve">  对吊运盛装熔融金属的吊具、罐体（本体、耳轴）进行安全检查和探伤检测；</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 xml:space="preserve">4 </w:t>
      </w:r>
      <w:r>
        <w:rPr>
          <w:rFonts w:eastAsiaTheme="minorEastAsia"/>
          <w:color w:val="000000" w:themeColor="text1"/>
          <w14:textFill>
            <w14:solidFill>
              <w14:schemeClr w14:val="tx1"/>
            </w14:solidFill>
          </w14:textFill>
        </w:rPr>
        <w:t xml:space="preserve"> 对盛装或贮存危化品的设施进行检查和检测；</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5</w:t>
      </w:r>
      <w:r>
        <w:rPr>
          <w:rFonts w:eastAsiaTheme="minorEastAsia"/>
          <w:color w:val="000000" w:themeColor="text1"/>
          <w14:textFill>
            <w14:solidFill>
              <w14:schemeClr w14:val="tx1"/>
            </w14:solidFill>
          </w14:textFill>
        </w:rPr>
        <w:t xml:space="preserve">  对工厂保护接地、工作接地、防静电接地设施进行检查和检测；</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6</w:t>
      </w:r>
      <w:r>
        <w:rPr>
          <w:rFonts w:eastAsiaTheme="minorEastAsia"/>
          <w:color w:val="000000" w:themeColor="text1"/>
          <w14:textFill>
            <w14:solidFill>
              <w14:schemeClr w14:val="tx1"/>
            </w14:solidFill>
          </w14:textFill>
        </w:rPr>
        <w:t xml:space="preserve">  对承受重荷载和受高温辐射、热渣喷溅、酸碱腐蚀等危害的建(构)筑物进行安全检测和鉴定。</w:t>
      </w:r>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 xml:space="preserve">2.7.9 </w:t>
      </w:r>
      <w:r>
        <w:rPr>
          <w:rFonts w:eastAsiaTheme="minorEastAsia"/>
          <w:color w:val="000000" w:themeColor="text1"/>
          <w14:textFill>
            <w14:solidFill>
              <w14:schemeClr w14:val="tx1"/>
            </w14:solidFill>
          </w14:textFill>
        </w:rPr>
        <w:t xml:space="preserve"> 工程检修应符合下列规定：</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auto"/>
        </w:rPr>
        <w:t>1</w:t>
      </w:r>
      <w:r>
        <w:rPr>
          <w:rFonts w:eastAsiaTheme="minorEastAsia"/>
          <w:color w:val="auto"/>
        </w:rPr>
        <w:t xml:space="preserve">  检修易燃易爆、有毒、有腐蚀性物质、惰性气体、蒸汽的设备和管道时，应</w:t>
      </w:r>
      <w:r>
        <w:rPr>
          <w:rFonts w:eastAsiaTheme="minorEastAsia"/>
          <w:color w:val="000000" w:themeColor="text1"/>
          <w14:textFill>
            <w14:solidFill>
              <w14:schemeClr w14:val="tx1"/>
            </w14:solidFill>
          </w14:textFill>
        </w:rPr>
        <w:t>切断入口阀门，并应加设盲板或拆除管道进行隔绝；</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 xml:space="preserve">2 </w:t>
      </w:r>
      <w:r>
        <w:rPr>
          <w:rFonts w:eastAsiaTheme="minorEastAsia"/>
          <w:color w:val="000000" w:themeColor="text1"/>
          <w14:textFill>
            <w14:solidFill>
              <w14:schemeClr w14:val="tx1"/>
            </w14:solidFill>
          </w14:textFill>
        </w:rPr>
        <w:t xml:space="preserve"> 检修或清理塔、罐、烟道、炉内等受限空间时，应配备通风设施、个人防护装备和应急装备并应设置安全警示标识。封闭空间作业，应设专人监护；</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 xml:space="preserve">3 </w:t>
      </w:r>
      <w:r>
        <w:rPr>
          <w:rFonts w:eastAsiaTheme="minorEastAsia"/>
          <w:color w:val="000000" w:themeColor="text1"/>
          <w14:textFill>
            <w14:solidFill>
              <w14:schemeClr w14:val="tx1"/>
            </w14:solidFill>
          </w14:textFill>
        </w:rPr>
        <w:t xml:space="preserve"> 检修旋转设备时，应停电、验电、接地、上锁、挂牌后作业；</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4</w:t>
      </w:r>
      <w:r>
        <w:rPr>
          <w:rFonts w:eastAsiaTheme="minorEastAsia"/>
          <w:color w:val="000000" w:themeColor="text1"/>
          <w14:textFill>
            <w14:solidFill>
              <w14:schemeClr w14:val="tx1"/>
            </w14:solidFill>
          </w14:textFill>
        </w:rPr>
        <w:t xml:space="preserve">  </w:t>
      </w:r>
      <w:r>
        <w:rPr>
          <w:rFonts w:hint="eastAsia" w:eastAsiaTheme="minorEastAsia"/>
          <w:color w:val="000000" w:themeColor="text1"/>
          <w14:textFill>
            <w14:solidFill>
              <w14:schemeClr w14:val="tx1"/>
            </w14:solidFill>
          </w14:textFill>
        </w:rPr>
        <w:t>在</w:t>
      </w:r>
      <w:r>
        <w:rPr>
          <w:rFonts w:eastAsiaTheme="minorEastAsia"/>
          <w:color w:val="000000" w:themeColor="text1"/>
          <w14:textFill>
            <w14:solidFill>
              <w14:schemeClr w14:val="tx1"/>
            </w14:solidFill>
          </w14:textFill>
        </w:rPr>
        <w:t>大于等于2m的高处作业时</w:t>
      </w:r>
      <w:r>
        <w:rPr>
          <w:rFonts w:hint="eastAsia" w:eastAsiaTheme="minorEastAsia"/>
          <w:color w:val="000000" w:themeColor="text1"/>
          <w14:textFill>
            <w14:solidFill>
              <w14:schemeClr w14:val="tx1"/>
            </w14:solidFill>
          </w14:textFill>
        </w:rPr>
        <w:t>，</w:t>
      </w:r>
      <w:r>
        <w:rPr>
          <w:rFonts w:eastAsiaTheme="minorEastAsia"/>
          <w:color w:val="000000" w:themeColor="text1"/>
          <w14:textFill>
            <w14:solidFill>
              <w14:schemeClr w14:val="tx1"/>
            </w14:solidFill>
          </w14:textFill>
        </w:rPr>
        <w:t>应系好安全带或佩戴安全绳；</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5</w:t>
      </w:r>
      <w:r>
        <w:rPr>
          <w:rFonts w:eastAsiaTheme="minorEastAsia"/>
          <w:color w:val="000000" w:themeColor="text1"/>
          <w14:textFill>
            <w14:solidFill>
              <w14:schemeClr w14:val="tx1"/>
            </w14:solidFill>
          </w14:textFill>
        </w:rPr>
        <w:t xml:space="preserve">  使用气焊、气割动火作业时，</w:t>
      </w:r>
      <w:r>
        <w:rPr>
          <w:rFonts w:hint="eastAsia" w:eastAsiaTheme="minorEastAsia"/>
          <w:color w:val="000000" w:themeColor="text1"/>
          <w14:textFill>
            <w14:solidFill>
              <w14:schemeClr w14:val="tx1"/>
            </w14:solidFill>
          </w14:textFill>
        </w:rPr>
        <w:t>不得</w:t>
      </w:r>
      <w:r>
        <w:rPr>
          <w:rFonts w:eastAsiaTheme="minorEastAsia"/>
          <w:color w:val="000000" w:themeColor="text1"/>
          <w14:textFill>
            <w14:solidFill>
              <w14:schemeClr w14:val="tx1"/>
            </w14:solidFill>
          </w14:textFill>
        </w:rPr>
        <w:t>将氧气、乙炔混装、混存、接触高温或撞击；</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6</w:t>
      </w:r>
      <w:r>
        <w:rPr>
          <w:rFonts w:eastAsiaTheme="minorEastAsia"/>
          <w:color w:val="000000" w:themeColor="text1"/>
          <w14:textFill>
            <w14:solidFill>
              <w14:schemeClr w14:val="tx1"/>
            </w14:solidFill>
          </w14:textFill>
        </w:rPr>
        <w:t xml:space="preserve">  作业现场可能危及安全的坑、井、沟、孔洞等应采取防护措施，并应设置警示标志，夜间应设置警示红灯；</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7</w:t>
      </w:r>
      <w:r>
        <w:rPr>
          <w:rFonts w:eastAsiaTheme="minorEastAsia"/>
          <w:color w:val="000000" w:themeColor="text1"/>
          <w14:textFill>
            <w14:solidFill>
              <w14:schemeClr w14:val="tx1"/>
            </w14:solidFill>
          </w14:textFill>
        </w:rPr>
        <w:t xml:space="preserve">  检修期间应采取</w:t>
      </w:r>
      <w:r>
        <w:rPr>
          <w:rFonts w:ascii="宋体" w:hAnsi="宋体" w:eastAsiaTheme="minorEastAsia"/>
          <w:color w:val="000000" w:themeColor="text1"/>
          <w14:textFill>
            <w14:solidFill>
              <w14:schemeClr w14:val="tx1"/>
            </w14:solidFill>
          </w14:textFill>
        </w:rPr>
        <w:t>“</w:t>
      </w:r>
      <w:r>
        <w:rPr>
          <w:rFonts w:eastAsiaTheme="minorEastAsia"/>
          <w:color w:val="000000" w:themeColor="text1"/>
          <w14:textFill>
            <w14:solidFill>
              <w14:schemeClr w14:val="tx1"/>
            </w14:solidFill>
          </w14:textFill>
        </w:rPr>
        <w:t>三废</w:t>
      </w:r>
      <w:r>
        <w:rPr>
          <w:rFonts w:ascii="宋体" w:hAnsi="宋体" w:eastAsiaTheme="minorEastAsia"/>
          <w:color w:val="000000" w:themeColor="text1"/>
          <w14:textFill>
            <w14:solidFill>
              <w14:schemeClr w14:val="tx1"/>
            </w14:solidFill>
          </w14:textFill>
        </w:rPr>
        <w:t>”</w:t>
      </w:r>
      <w:r>
        <w:rPr>
          <w:rFonts w:eastAsiaTheme="minorEastAsia"/>
          <w:color w:val="000000" w:themeColor="text1"/>
          <w14:textFill>
            <w14:solidFill>
              <w14:schemeClr w14:val="tx1"/>
            </w14:solidFill>
          </w14:textFill>
        </w:rPr>
        <w:t>排放控制措施，废物、废油应分类收集、存放，冲洗废水应清、污分流。</w:t>
      </w:r>
    </w:p>
    <w:p>
      <w:pPr>
        <w:pStyle w:val="3"/>
        <w:spacing w:before="120" w:beforeLines="50" w:after="120" w:afterLines="50" w:line="360" w:lineRule="auto"/>
        <w:jc w:val="center"/>
        <w:rPr>
          <w:rFonts w:ascii="Times New Roman" w:hAnsi="Times New Roman" w:eastAsiaTheme="minorEastAsia"/>
          <w:color w:val="000000" w:themeColor="text1"/>
          <w:sz w:val="28"/>
          <w:szCs w:val="28"/>
          <w14:textFill>
            <w14:solidFill>
              <w14:schemeClr w14:val="tx1"/>
            </w14:solidFill>
          </w14:textFill>
        </w:rPr>
      </w:pPr>
      <w:bookmarkStart w:id="61" w:name="_Toc8726"/>
      <w:bookmarkStart w:id="62" w:name="_Toc118452936"/>
      <w:r>
        <w:rPr>
          <w:rFonts w:ascii="Times New Roman" w:hAnsi="Times New Roman" w:eastAsiaTheme="minorEastAsia"/>
          <w:color w:val="000000" w:themeColor="text1"/>
          <w:sz w:val="28"/>
          <w:szCs w:val="28"/>
          <w14:textFill>
            <w14:solidFill>
              <w14:schemeClr w14:val="tx1"/>
            </w14:solidFill>
          </w14:textFill>
        </w:rPr>
        <w:t>2.8  工程</w:t>
      </w:r>
      <w:bookmarkEnd w:id="61"/>
      <w:r>
        <w:rPr>
          <w:rFonts w:ascii="Times New Roman" w:hAnsi="Times New Roman" w:eastAsiaTheme="minorEastAsia"/>
          <w:color w:val="000000" w:themeColor="text1"/>
          <w:sz w:val="28"/>
          <w:szCs w:val="28"/>
          <w14:textFill>
            <w14:solidFill>
              <w14:schemeClr w14:val="tx1"/>
            </w14:solidFill>
          </w14:textFill>
        </w:rPr>
        <w:t>拆除</w:t>
      </w:r>
      <w:bookmarkEnd w:id="62"/>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2.8.1</w:t>
      </w:r>
      <w:r>
        <w:rPr>
          <w:rFonts w:eastAsiaTheme="minorEastAsia"/>
          <w:color w:val="000000" w:themeColor="text1"/>
          <w14:textFill>
            <w14:solidFill>
              <w14:schemeClr w14:val="tx1"/>
            </w14:solidFill>
          </w14:textFill>
        </w:rPr>
        <w:t xml:space="preserve">  工程拆除活动应编制污染防治方案和环境事故应急预案，应对拆除活动可能污染的土壤、水和大气以及周边环境敏感点进行识别和分析。</w:t>
      </w:r>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2.8.2</w:t>
      </w:r>
      <w:r>
        <w:rPr>
          <w:rFonts w:eastAsiaTheme="minorEastAsia"/>
          <w:color w:val="000000" w:themeColor="text1"/>
          <w14:textFill>
            <w14:solidFill>
              <w14:schemeClr w14:val="tx1"/>
            </w14:solidFill>
          </w14:textFill>
        </w:rPr>
        <w:t xml:space="preserve">  拆除活动应符合下列安全规定：</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1</w:t>
      </w:r>
      <w:r>
        <w:rPr>
          <w:rFonts w:eastAsiaTheme="minorEastAsia"/>
          <w:color w:val="000000" w:themeColor="text1"/>
          <w14:textFill>
            <w14:solidFill>
              <w14:schemeClr w14:val="tx1"/>
            </w14:solidFill>
          </w14:textFill>
        </w:rPr>
        <w:t xml:space="preserve">  拆除施工</w:t>
      </w:r>
      <w:r>
        <w:rPr>
          <w:rFonts w:hint="eastAsia" w:eastAsiaTheme="minorEastAsia"/>
          <w:color w:val="000000" w:themeColor="text1"/>
          <w14:textFill>
            <w14:solidFill>
              <w14:schemeClr w14:val="tx1"/>
            </w14:solidFill>
          </w14:textFill>
        </w:rPr>
        <w:t>时，</w:t>
      </w:r>
      <w:r>
        <w:rPr>
          <w:rFonts w:eastAsiaTheme="minorEastAsia"/>
          <w:color w:val="000000" w:themeColor="text1"/>
          <w14:textFill>
            <w14:solidFill>
              <w14:schemeClr w14:val="tx1"/>
            </w14:solidFill>
          </w14:textFill>
        </w:rPr>
        <w:t>应先切断被拆除项目的电源、水源和气源；</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2</w:t>
      </w:r>
      <w:r>
        <w:rPr>
          <w:rFonts w:eastAsiaTheme="minorEastAsia"/>
          <w:color w:val="000000" w:themeColor="text1"/>
          <w14:textFill>
            <w14:solidFill>
              <w14:schemeClr w14:val="tx1"/>
            </w14:solidFill>
          </w14:textFill>
        </w:rPr>
        <w:t xml:space="preserve">  对高环境风险设施拆除作业时，应采取防</w:t>
      </w:r>
      <w:r>
        <w:rPr>
          <w:rFonts w:hint="eastAsia" w:eastAsiaTheme="minorEastAsia"/>
          <w:color w:val="000000" w:themeColor="text1"/>
          <w14:textFill>
            <w14:solidFill>
              <w14:schemeClr w14:val="tx1"/>
            </w14:solidFill>
          </w14:textFill>
        </w:rPr>
        <w:t>止发生</w:t>
      </w:r>
      <w:r>
        <w:rPr>
          <w:rFonts w:eastAsiaTheme="minorEastAsia"/>
          <w:color w:val="000000" w:themeColor="text1"/>
          <w14:textFill>
            <w14:solidFill>
              <w14:schemeClr w14:val="tx1"/>
            </w14:solidFill>
          </w14:textFill>
        </w:rPr>
        <w:t>有毒有害物质释放、危害人体健康和环境突发事件的</w:t>
      </w:r>
      <w:r>
        <w:rPr>
          <w:rFonts w:hint="eastAsia" w:eastAsiaTheme="minorEastAsia"/>
          <w:color w:val="000000" w:themeColor="text1"/>
          <w14:textFill>
            <w14:solidFill>
              <w14:schemeClr w14:val="tx1"/>
            </w14:solidFill>
          </w14:textFill>
        </w:rPr>
        <w:t>措施</w:t>
      </w:r>
      <w:r>
        <w:rPr>
          <w:rFonts w:eastAsiaTheme="minorEastAsia"/>
          <w:color w:val="000000" w:themeColor="text1"/>
          <w14:textFill>
            <w14:solidFill>
              <w14:schemeClr w14:val="tx1"/>
            </w14:solidFill>
          </w14:textFill>
        </w:rPr>
        <w:t>；</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 xml:space="preserve">3 </w:t>
      </w:r>
      <w:r>
        <w:rPr>
          <w:rFonts w:eastAsiaTheme="minorEastAsia"/>
          <w:color w:val="000000" w:themeColor="text1"/>
          <w14:textFill>
            <w14:solidFill>
              <w14:schemeClr w14:val="tx1"/>
            </w14:solidFill>
          </w14:textFill>
        </w:rPr>
        <w:t xml:space="preserve"> 对管道或容器进行切割作业时，应检查并确认管道或容器内无可燃气体或爆炸性粉尘等残留物；</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4</w:t>
      </w:r>
      <w:r>
        <w:rPr>
          <w:rFonts w:eastAsiaTheme="minorEastAsia"/>
          <w:color w:val="000000" w:themeColor="text1"/>
          <w14:textFill>
            <w14:solidFill>
              <w14:schemeClr w14:val="tx1"/>
            </w14:solidFill>
          </w14:textFill>
        </w:rPr>
        <w:t xml:space="preserve">  主体结构拆除应先拆除非承重结构及附属设施，再拆除承重结构；</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5</w:t>
      </w:r>
      <w:r>
        <w:rPr>
          <w:rFonts w:eastAsiaTheme="minorEastAsia"/>
          <w:color w:val="000000" w:themeColor="text1"/>
          <w14:textFill>
            <w14:solidFill>
              <w14:schemeClr w14:val="tx1"/>
            </w14:solidFill>
          </w14:textFill>
        </w:rPr>
        <w:t xml:space="preserve">  拆除施工应从上至下逐层拆除、分段进行，不得垂直交叉作业。</w:t>
      </w:r>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2.8.3</w:t>
      </w:r>
      <w:r>
        <w:rPr>
          <w:rFonts w:eastAsiaTheme="minorEastAsia"/>
          <w:color w:val="000000" w:themeColor="text1"/>
          <w14:textFill>
            <w14:solidFill>
              <w14:schemeClr w14:val="tx1"/>
            </w14:solidFill>
          </w14:textFill>
        </w:rPr>
        <w:t xml:space="preserve">  拆除活动中污、废水处理应符合下列规定：</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1</w:t>
      </w:r>
      <w:r>
        <w:rPr>
          <w:rFonts w:eastAsiaTheme="minorEastAsia"/>
          <w:color w:val="000000" w:themeColor="text1"/>
          <w14:textFill>
            <w14:solidFill>
              <w14:schemeClr w14:val="tx1"/>
            </w14:solidFill>
          </w14:textFill>
        </w:rPr>
        <w:t xml:space="preserve">  拆除现场遗留的及拆除过程中产生的废水、污水、清洗废水、积水应收集处理，不得随意排放；</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2</w:t>
      </w:r>
      <w:r>
        <w:rPr>
          <w:rFonts w:eastAsiaTheme="minorEastAsia"/>
          <w:color w:val="000000" w:themeColor="text1"/>
          <w14:textFill>
            <w14:solidFill>
              <w14:schemeClr w14:val="tx1"/>
            </w14:solidFill>
          </w14:textFill>
        </w:rPr>
        <w:t xml:space="preserve">  物料放空、拆解、清洗、临时堆放等区域，应设置防雨、防渗、拦挡等隔离设施。</w:t>
      </w:r>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2.8.4</w:t>
      </w:r>
      <w:r>
        <w:rPr>
          <w:rFonts w:eastAsiaTheme="minorEastAsia"/>
          <w:color w:val="000000" w:themeColor="text1"/>
          <w14:textFill>
            <w14:solidFill>
              <w14:schemeClr w14:val="tx1"/>
            </w14:solidFill>
          </w14:textFill>
        </w:rPr>
        <w:t xml:space="preserve">  拆除活动中固体废物处理应符合下列规定：</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 xml:space="preserve">1 </w:t>
      </w:r>
      <w:r>
        <w:rPr>
          <w:rFonts w:eastAsiaTheme="minorEastAsia"/>
          <w:color w:val="000000" w:themeColor="text1"/>
          <w14:textFill>
            <w14:solidFill>
              <w14:schemeClr w14:val="tx1"/>
            </w14:solidFill>
          </w14:textFill>
        </w:rPr>
        <w:t xml:space="preserve"> 收集易燃易爆、有毒、强腐蚀性遗留物料或残留污染物时</w:t>
      </w:r>
      <w:r>
        <w:rPr>
          <w:rFonts w:hint="eastAsia" w:eastAsiaTheme="minorEastAsia"/>
          <w:color w:val="000000" w:themeColor="text1"/>
          <w14:textFill>
            <w14:solidFill>
              <w14:schemeClr w14:val="tx1"/>
            </w14:solidFill>
          </w14:textFill>
        </w:rPr>
        <w:t>，</w:t>
      </w:r>
      <w:r>
        <w:rPr>
          <w:rFonts w:eastAsiaTheme="minorEastAsia"/>
          <w:color w:val="000000" w:themeColor="text1"/>
          <w14:textFill>
            <w14:solidFill>
              <w14:schemeClr w14:val="tx1"/>
            </w14:solidFill>
          </w14:textFill>
        </w:rPr>
        <w:t>应设置安全防范设施；收集挥发或半挥发遗留物料或残留污染物时</w:t>
      </w:r>
      <w:r>
        <w:rPr>
          <w:rFonts w:hint="eastAsia" w:eastAsiaTheme="minorEastAsia"/>
          <w:color w:val="000000" w:themeColor="text1"/>
          <w14:textFill>
            <w14:solidFill>
              <w14:schemeClr w14:val="tx1"/>
            </w14:solidFill>
          </w14:textFill>
        </w:rPr>
        <w:t>，</w:t>
      </w:r>
      <w:r>
        <w:rPr>
          <w:rFonts w:eastAsiaTheme="minorEastAsia"/>
          <w:color w:val="000000" w:themeColor="text1"/>
          <w14:textFill>
            <w14:solidFill>
              <w14:schemeClr w14:val="tx1"/>
            </w14:solidFill>
          </w14:textFill>
        </w:rPr>
        <w:t>应在封闭空间内操作，并应设置气体收集系统和净化处理装置；</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 xml:space="preserve">2 </w:t>
      </w:r>
      <w:r>
        <w:rPr>
          <w:rFonts w:eastAsiaTheme="minorEastAsia"/>
          <w:color w:val="000000" w:themeColor="text1"/>
          <w14:textFill>
            <w14:solidFill>
              <w14:schemeClr w14:val="tx1"/>
            </w14:solidFill>
          </w14:textFill>
        </w:rPr>
        <w:t xml:space="preserve"> 拆除后遗留的固体废物，应按一般工业固体废物、危险废物分类暂存。贮存区域应采取防渗漏等措施。挥发性、半挥发性液体及半固态物质处理应采用密闭的容器贮存；</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 xml:space="preserve">3 </w:t>
      </w:r>
      <w:r>
        <w:rPr>
          <w:rFonts w:eastAsiaTheme="minorEastAsia"/>
          <w:color w:val="000000" w:themeColor="text1"/>
          <w14:textFill>
            <w14:solidFill>
              <w14:schemeClr w14:val="tx1"/>
            </w14:solidFill>
          </w14:textFill>
        </w:rPr>
        <w:t xml:space="preserve"> 在厂房内设施环境风险解除前</w:t>
      </w:r>
      <w:r>
        <w:rPr>
          <w:rFonts w:hint="eastAsia" w:eastAsiaTheme="minorEastAsia"/>
          <w:color w:val="000000" w:themeColor="text1"/>
          <w14:textFill>
            <w14:solidFill>
              <w14:schemeClr w14:val="tx1"/>
            </w14:solidFill>
          </w14:textFill>
        </w:rPr>
        <w:t>，</w:t>
      </w:r>
      <w:r>
        <w:rPr>
          <w:rFonts w:eastAsiaTheme="minorEastAsia"/>
          <w:color w:val="000000" w:themeColor="text1"/>
          <w14:textFill>
            <w14:solidFill>
              <w14:schemeClr w14:val="tx1"/>
            </w14:solidFill>
          </w14:textFill>
        </w:rPr>
        <w:t>不得拆除建筑物房顶</w:t>
      </w:r>
      <w:r>
        <w:rPr>
          <w:rFonts w:hint="eastAsia" w:eastAsiaTheme="minorEastAsia"/>
          <w:color w:val="000000" w:themeColor="text1"/>
          <w14:textFill>
            <w14:solidFill>
              <w14:schemeClr w14:val="tx1"/>
            </w14:solidFill>
          </w14:textFill>
        </w:rPr>
        <w:t>。</w:t>
      </w:r>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2.8.5</w:t>
      </w:r>
      <w:r>
        <w:rPr>
          <w:rFonts w:eastAsiaTheme="minorEastAsia"/>
          <w:color w:val="000000" w:themeColor="text1"/>
          <w14:textFill>
            <w14:solidFill>
              <w14:schemeClr w14:val="tx1"/>
            </w14:solidFill>
          </w14:textFill>
        </w:rPr>
        <w:t xml:space="preserve">  拆除活动应保留下列区域的基础信息：</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1</w:t>
      </w:r>
      <w:r>
        <w:rPr>
          <w:rFonts w:eastAsiaTheme="minorEastAsia"/>
          <w:color w:val="000000" w:themeColor="text1"/>
          <w14:textFill>
            <w14:solidFill>
              <w14:schemeClr w14:val="tx1"/>
            </w14:solidFill>
          </w14:textFill>
        </w:rPr>
        <w:t xml:space="preserve">  遗留物料、残留污染物、遗留设备、建（构）筑物等土壤污染风险点所在区域；</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2</w:t>
      </w:r>
      <w:r>
        <w:rPr>
          <w:rFonts w:eastAsiaTheme="minorEastAsia"/>
          <w:color w:val="000000" w:themeColor="text1"/>
          <w14:textFill>
            <w14:solidFill>
              <w14:schemeClr w14:val="tx1"/>
            </w14:solidFill>
          </w14:textFill>
        </w:rPr>
        <w:t xml:space="preserve">  拆除过程发现的因物料或污染物泄漏而受到影响的区域；</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3</w:t>
      </w:r>
      <w:r>
        <w:rPr>
          <w:rFonts w:eastAsiaTheme="minorEastAsia"/>
          <w:color w:val="000000" w:themeColor="text1"/>
          <w14:textFill>
            <w14:solidFill>
              <w14:schemeClr w14:val="tx1"/>
            </w14:solidFill>
          </w14:textFill>
        </w:rPr>
        <w:t xml:space="preserve">  土壤颜色、质地、气味等发生明显变化的疑似土壤污染区域。</w:t>
      </w:r>
    </w:p>
    <w:p>
      <w:pPr>
        <w:pStyle w:val="3"/>
        <w:spacing w:before="120" w:beforeLines="50" w:after="120" w:afterLines="50" w:line="360" w:lineRule="auto"/>
        <w:jc w:val="center"/>
        <w:rPr>
          <w:rFonts w:ascii="Times New Roman" w:hAnsi="Times New Roman" w:eastAsiaTheme="minorEastAsia"/>
          <w:color w:val="000000" w:themeColor="text1"/>
          <w:sz w:val="28"/>
          <w:szCs w:val="28"/>
          <w14:textFill>
            <w14:solidFill>
              <w14:schemeClr w14:val="tx1"/>
            </w14:solidFill>
          </w14:textFill>
        </w:rPr>
      </w:pPr>
      <w:bookmarkStart w:id="63" w:name="bookmark24"/>
      <w:bookmarkEnd w:id="63"/>
      <w:bookmarkStart w:id="64" w:name="_Toc118452937"/>
      <w:r>
        <w:rPr>
          <w:rFonts w:ascii="Times New Roman" w:hAnsi="Times New Roman" w:eastAsiaTheme="minorEastAsia"/>
          <w:color w:val="000000" w:themeColor="text1"/>
          <w:sz w:val="28"/>
          <w:szCs w:val="28"/>
          <w14:textFill>
            <w14:solidFill>
              <w14:schemeClr w14:val="tx1"/>
            </w14:solidFill>
          </w14:textFill>
        </w:rPr>
        <w:t>2.9  土壤污染风险管控和修复</w:t>
      </w:r>
      <w:bookmarkEnd w:id="64"/>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 xml:space="preserve">2.9.1 </w:t>
      </w:r>
      <w:r>
        <w:rPr>
          <w:rFonts w:eastAsiaTheme="minorEastAsia"/>
          <w:color w:val="000000" w:themeColor="text1"/>
          <w14:textFill>
            <w14:solidFill>
              <w14:schemeClr w14:val="tx1"/>
            </w14:solidFill>
          </w14:textFill>
        </w:rPr>
        <w:t xml:space="preserve"> 重有色金属冶金工程关停时，应调查项目厂址土壤污染状况，调查发现土壤超标的应评估土壤污染风险。</w:t>
      </w:r>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 xml:space="preserve">2.9.2 </w:t>
      </w:r>
      <w:r>
        <w:rPr>
          <w:rFonts w:eastAsiaTheme="minorEastAsia"/>
          <w:color w:val="000000" w:themeColor="text1"/>
          <w14:textFill>
            <w14:solidFill>
              <w14:schemeClr w14:val="tx1"/>
            </w14:solidFill>
          </w14:textFill>
        </w:rPr>
        <w:t xml:space="preserve"> 项目厂址经土壤污染风险评估认定存在土壤污染风险的，应纳入建设用地土壤污染风险管控和修复名录，按要求开展土壤污染风险管控、修复活动，并不得作为住宅、公共管理与公共服务用地。</w:t>
      </w:r>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 xml:space="preserve">2.9.3  </w:t>
      </w:r>
      <w:r>
        <w:rPr>
          <w:rFonts w:eastAsiaTheme="minorEastAsia"/>
          <w:color w:val="000000" w:themeColor="text1"/>
          <w14:textFill>
            <w14:solidFill>
              <w14:schemeClr w14:val="tx1"/>
            </w14:solidFill>
          </w14:textFill>
        </w:rPr>
        <w:t>实施风险管控、修复活动，不得对厂址土壤和周边环境造成新的污染。</w:t>
      </w:r>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 xml:space="preserve">2.9.4  </w:t>
      </w:r>
      <w:r>
        <w:rPr>
          <w:rFonts w:eastAsiaTheme="minorEastAsia"/>
          <w:color w:val="000000" w:themeColor="text1"/>
          <w14:textFill>
            <w14:solidFill>
              <w14:schemeClr w14:val="tx1"/>
            </w14:solidFill>
          </w14:textFill>
        </w:rPr>
        <w:t>风险管控、修复活动完成后，应对风险管控效果、修复效果另行进行评估；经评估需要实施后期管理的，应按照要求实施后期管理。</w:t>
      </w:r>
    </w:p>
    <w:p>
      <w:pPr>
        <w:pStyle w:val="82"/>
        <w:ind w:firstLine="0"/>
        <w:rPr>
          <w:rFonts w:eastAsiaTheme="minorEastAsia"/>
          <w:color w:val="000000" w:themeColor="text1"/>
          <w:szCs w:val="24"/>
          <w14:textFill>
            <w14:solidFill>
              <w14:schemeClr w14:val="tx1"/>
            </w14:solidFill>
          </w14:textFill>
        </w:rPr>
      </w:pPr>
      <w:r>
        <w:rPr>
          <w:rFonts w:eastAsiaTheme="minorEastAsia"/>
          <w:b/>
          <w:color w:val="000000" w:themeColor="text1"/>
          <w14:textFill>
            <w14:solidFill>
              <w14:schemeClr w14:val="tx1"/>
            </w14:solidFill>
          </w14:textFill>
        </w:rPr>
        <w:t xml:space="preserve">2.9.5 </w:t>
      </w:r>
      <w:r>
        <w:rPr>
          <w:rFonts w:eastAsiaTheme="minorEastAsia"/>
          <w:color w:val="000000" w:themeColor="text1"/>
          <w14:textFill>
            <w14:solidFill>
              <w14:schemeClr w14:val="tx1"/>
            </w14:solidFill>
          </w14:textFill>
        </w:rPr>
        <w:t xml:space="preserve"> 对达到土壤污染风险评估报告确定的风险管控、修复目标的建设用地地块，应申请移出建设用地土壤污染风险管控和修复名录。未达到土壤污染风险评估报告确定的风险管控、修复目标的建设用地地块，</w:t>
      </w:r>
      <w:r>
        <w:rPr>
          <w:rFonts w:hint="eastAsia" w:eastAsiaTheme="minorEastAsia"/>
          <w:color w:val="000000" w:themeColor="text1"/>
          <w14:textFill>
            <w14:solidFill>
              <w14:schemeClr w14:val="tx1"/>
            </w14:solidFill>
          </w14:textFill>
        </w:rPr>
        <w:t>不得</w:t>
      </w:r>
      <w:r>
        <w:rPr>
          <w:rFonts w:eastAsiaTheme="minorEastAsia"/>
          <w:color w:val="000000" w:themeColor="text1"/>
          <w14:textFill>
            <w14:solidFill>
              <w14:schemeClr w14:val="tx1"/>
            </w14:solidFill>
          </w14:textFill>
        </w:rPr>
        <w:t>开工建设任何与风险管控、修复无关的项目。</w:t>
      </w:r>
    </w:p>
    <w:p>
      <w:pPr>
        <w:pStyle w:val="134"/>
        <w:spacing w:line="360" w:lineRule="auto"/>
        <w:ind w:firstLine="0"/>
        <w:rPr>
          <w:rFonts w:ascii="Times New Roman" w:hAnsi="Times New Roman" w:eastAsiaTheme="minorEastAsia"/>
          <w:b w:val="0"/>
          <w:snapToGrid/>
          <w:color w:val="000000" w:themeColor="text1"/>
          <w:kern w:val="2"/>
          <w:szCs w:val="24"/>
          <w14:textFill>
            <w14:solidFill>
              <w14:schemeClr w14:val="tx1"/>
            </w14:solidFill>
          </w14:textFill>
        </w:rPr>
      </w:pPr>
    </w:p>
    <w:p>
      <w:pPr>
        <w:pStyle w:val="134"/>
        <w:spacing w:line="360" w:lineRule="auto"/>
        <w:ind w:firstLine="0"/>
        <w:rPr>
          <w:rFonts w:ascii="Times New Roman" w:hAnsi="Times New Roman"/>
        </w:rPr>
        <w:sectPr>
          <w:headerReference r:id="rId8" w:type="default"/>
          <w:headerReference r:id="rId9" w:type="even"/>
          <w:pgSz w:w="11906" w:h="16838"/>
          <w:pgMar w:top="1134" w:right="1531" w:bottom="1134" w:left="1531" w:header="0" w:footer="737" w:gutter="0"/>
          <w:pgNumType w:start="0"/>
          <w:cols w:space="720" w:num="1"/>
          <w:docGrid w:linePitch="312" w:charSpace="0"/>
        </w:sectPr>
      </w:pPr>
    </w:p>
    <w:p>
      <w:pPr>
        <w:pStyle w:val="129"/>
        <w:spacing w:before="0" w:after="0" w:line="360" w:lineRule="auto"/>
        <w:rPr>
          <w:rFonts w:ascii="Times New Roman" w:hAnsi="Times New Roman" w:eastAsiaTheme="minorEastAsia"/>
          <w:b/>
          <w:color w:val="000000" w:themeColor="text1"/>
          <w14:textFill>
            <w14:solidFill>
              <w14:schemeClr w14:val="tx1"/>
            </w14:solidFill>
          </w14:textFill>
        </w:rPr>
      </w:pPr>
      <w:bookmarkStart w:id="65" w:name="_Toc118452938"/>
      <w:r>
        <w:rPr>
          <w:rFonts w:ascii="Times New Roman" w:hAnsi="Times New Roman" w:eastAsiaTheme="minorEastAsia"/>
          <w:b/>
          <w:color w:val="000000" w:themeColor="text1"/>
          <w14:textFill>
            <w14:solidFill>
              <w14:schemeClr w14:val="tx1"/>
            </w14:solidFill>
          </w14:textFill>
        </w:rPr>
        <w:t>3  物料贮存与预处理</w:t>
      </w:r>
      <w:bookmarkEnd w:id="65"/>
    </w:p>
    <w:p>
      <w:pPr>
        <w:pStyle w:val="3"/>
        <w:spacing w:before="120" w:beforeLines="50" w:after="120" w:afterLines="50" w:line="360" w:lineRule="auto"/>
        <w:jc w:val="center"/>
        <w:rPr>
          <w:rFonts w:ascii="Times New Roman" w:hAnsi="Times New Roman" w:eastAsiaTheme="minorEastAsia"/>
          <w:color w:val="000000" w:themeColor="text1"/>
          <w:sz w:val="28"/>
          <w:szCs w:val="28"/>
          <w14:textFill>
            <w14:solidFill>
              <w14:schemeClr w14:val="tx1"/>
            </w14:solidFill>
          </w14:textFill>
        </w:rPr>
      </w:pPr>
      <w:bookmarkStart w:id="66" w:name="_Toc118452939"/>
      <w:r>
        <w:rPr>
          <w:rFonts w:ascii="Times New Roman" w:hAnsi="Times New Roman" w:eastAsiaTheme="minorEastAsia"/>
          <w:color w:val="000000" w:themeColor="text1"/>
          <w:sz w:val="28"/>
          <w:szCs w:val="28"/>
          <w14:textFill>
            <w14:solidFill>
              <w14:schemeClr w14:val="tx1"/>
            </w14:solidFill>
          </w14:textFill>
        </w:rPr>
        <w:t>3.1  物料贮存</w:t>
      </w:r>
      <w:bookmarkEnd w:id="66"/>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3.1.1</w:t>
      </w:r>
      <w:r>
        <w:rPr>
          <w:rFonts w:eastAsiaTheme="minorEastAsia"/>
          <w:color w:val="000000" w:themeColor="text1"/>
          <w14:textFill>
            <w14:solidFill>
              <w14:schemeClr w14:val="tx1"/>
            </w14:solidFill>
          </w14:textFill>
        </w:rPr>
        <w:t xml:space="preserve">  精矿等主原料的贮存应符合下列规定：</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1</w:t>
      </w:r>
      <w:r>
        <w:rPr>
          <w:rFonts w:eastAsiaTheme="minorEastAsia"/>
          <w:color w:val="000000" w:themeColor="text1"/>
          <w14:textFill>
            <w14:solidFill>
              <w14:schemeClr w14:val="tx1"/>
            </w14:solidFill>
          </w14:textFill>
        </w:rPr>
        <w:t xml:space="preserve">  精矿、细粒熔剂、固态燃料应贮存于封闭库房内；</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2</w:t>
      </w:r>
      <w:r>
        <w:rPr>
          <w:rFonts w:eastAsiaTheme="minorEastAsia"/>
          <w:color w:val="000000" w:themeColor="text1"/>
          <w14:textFill>
            <w14:solidFill>
              <w14:schemeClr w14:val="tx1"/>
            </w14:solidFill>
          </w14:textFill>
        </w:rPr>
        <w:t xml:space="preserve">  原料应按袋装与散装、块矿与粉矿、无腐蚀性与有腐蚀性等物料特性分类贮存；</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3</w:t>
      </w:r>
      <w:r>
        <w:rPr>
          <w:rFonts w:eastAsiaTheme="minorEastAsia"/>
          <w:color w:val="000000" w:themeColor="text1"/>
          <w14:textFill>
            <w14:solidFill>
              <w14:schemeClr w14:val="tx1"/>
            </w14:solidFill>
          </w14:textFill>
        </w:rPr>
        <w:t xml:space="preserve">  贮存精矿的半地下式矿仓应采取防渗、防水措施；</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4</w:t>
      </w:r>
      <w:r>
        <w:rPr>
          <w:rFonts w:eastAsiaTheme="minorEastAsia"/>
          <w:color w:val="000000" w:themeColor="text1"/>
          <w14:textFill>
            <w14:solidFill>
              <w14:schemeClr w14:val="tx1"/>
            </w14:solidFill>
          </w14:textFill>
        </w:rPr>
        <w:t xml:space="preserve">  贮存含重有色金属再生资源的矿仓应进行防渗处理。</w:t>
      </w:r>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 xml:space="preserve">3.1.2 </w:t>
      </w:r>
      <w:r>
        <w:rPr>
          <w:rFonts w:eastAsiaTheme="minorEastAsia"/>
          <w:color w:val="000000" w:themeColor="text1"/>
          <w14:textFill>
            <w14:solidFill>
              <w14:schemeClr w14:val="tx1"/>
            </w14:solidFill>
          </w14:textFill>
        </w:rPr>
        <w:t xml:space="preserve"> </w:t>
      </w:r>
      <w:r>
        <w:rPr>
          <w:rFonts w:hint="eastAsia" w:eastAsiaTheme="minorEastAsia"/>
          <w:color w:val="000000" w:themeColor="text1"/>
          <w14:textFill>
            <w14:solidFill>
              <w14:schemeClr w14:val="tx1"/>
            </w14:solidFill>
          </w14:textFill>
        </w:rPr>
        <w:t>物料贮存区</w:t>
      </w:r>
      <w:r>
        <w:rPr>
          <w:rFonts w:eastAsiaTheme="minorEastAsia"/>
          <w:color w:val="000000" w:themeColor="text1"/>
          <w14:textFill>
            <w14:solidFill>
              <w14:schemeClr w14:val="tx1"/>
            </w14:solidFill>
          </w14:textFill>
        </w:rPr>
        <w:t>应设置运载精矿等物料车辆</w:t>
      </w:r>
      <w:r>
        <w:rPr>
          <w:rFonts w:hint="eastAsia" w:eastAsiaTheme="minorEastAsia"/>
          <w:color w:val="000000" w:themeColor="text1"/>
          <w14:textFill>
            <w14:solidFill>
              <w14:schemeClr w14:val="tx1"/>
            </w14:solidFill>
          </w14:textFill>
        </w:rPr>
        <w:t>的</w:t>
      </w:r>
      <w:r>
        <w:rPr>
          <w:rFonts w:eastAsiaTheme="minorEastAsia"/>
          <w:color w:val="000000" w:themeColor="text1"/>
          <w14:textFill>
            <w14:solidFill>
              <w14:schemeClr w14:val="tx1"/>
            </w14:solidFill>
          </w14:textFill>
        </w:rPr>
        <w:t>冲洗设施，包括冲洗水收集、沉淀处理装置；沉淀水应循环利用，沉淀污泥应回收利用。</w:t>
      </w:r>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3.1.3</w:t>
      </w:r>
      <w:r>
        <w:rPr>
          <w:rFonts w:eastAsiaTheme="minorEastAsia"/>
          <w:color w:val="000000" w:themeColor="text1"/>
          <w14:textFill>
            <w14:solidFill>
              <w14:schemeClr w14:val="tx1"/>
            </w14:solidFill>
          </w14:textFill>
        </w:rPr>
        <w:t xml:space="preserve">  原（粉）煤贮存仓的电气设备应选用防爆型或采取防爆措施，禁止将易燃、易爆物混入煤料。</w:t>
      </w:r>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 xml:space="preserve">3.1.4 </w:t>
      </w:r>
      <w:r>
        <w:rPr>
          <w:rFonts w:eastAsiaTheme="minorEastAsia"/>
          <w:color w:val="000000" w:themeColor="text1"/>
          <w14:textFill>
            <w14:solidFill>
              <w14:schemeClr w14:val="tx1"/>
            </w14:solidFill>
          </w14:textFill>
        </w:rPr>
        <w:t xml:space="preserve"> 粉煤仓应设置泄爆设施、粉煤过热监测和自燃防护设施。</w:t>
      </w:r>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3.1.5</w:t>
      </w:r>
      <w:r>
        <w:rPr>
          <w:rFonts w:eastAsiaTheme="minorEastAsia"/>
          <w:color w:val="000000" w:themeColor="text1"/>
          <w14:textFill>
            <w14:solidFill>
              <w14:schemeClr w14:val="tx1"/>
            </w14:solidFill>
          </w14:textFill>
        </w:rPr>
        <w:t xml:space="preserve">  使用或产生的危险化学品应单独存放，不得与易燃、易爆、腐蚀性物品等一起存放；贮存仓库应采取技术防范措施。</w:t>
      </w:r>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3.1.6</w:t>
      </w:r>
      <w:r>
        <w:rPr>
          <w:rFonts w:eastAsiaTheme="minorEastAsia"/>
          <w:color w:val="000000" w:themeColor="text1"/>
          <w14:textFill>
            <w14:solidFill>
              <w14:schemeClr w14:val="tx1"/>
            </w14:solidFill>
          </w14:textFill>
        </w:rPr>
        <w:t xml:space="preserve">  储存易燃易爆等危险品的大包装桶应单层堆放。</w:t>
      </w:r>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3.1.7</w:t>
      </w:r>
      <w:r>
        <w:rPr>
          <w:rFonts w:eastAsiaTheme="minorEastAsia"/>
          <w:color w:val="000000" w:themeColor="text1"/>
          <w14:textFill>
            <w14:solidFill>
              <w14:schemeClr w14:val="tx1"/>
            </w14:solidFill>
          </w14:textFill>
        </w:rPr>
        <w:t xml:space="preserve">  储存区内易燃、易爆、有毒、强腐蚀性及强氧化性液体储存及装卸应符合下列规定：</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1</w:t>
      </w:r>
      <w:r>
        <w:rPr>
          <w:rFonts w:eastAsiaTheme="minorEastAsia"/>
          <w:color w:val="000000" w:themeColor="text1"/>
          <w14:textFill>
            <w14:solidFill>
              <w14:schemeClr w14:val="tx1"/>
            </w14:solidFill>
          </w14:textFill>
        </w:rPr>
        <w:t xml:space="preserve">  储罐应设</w:t>
      </w:r>
      <w:r>
        <w:rPr>
          <w:rFonts w:hint="eastAsia" w:eastAsiaTheme="minorEastAsia"/>
          <w:color w:val="000000" w:themeColor="text1"/>
          <w14:textFill>
            <w14:solidFill>
              <w14:schemeClr w14:val="tx1"/>
            </w14:solidFill>
          </w14:textFill>
        </w:rPr>
        <w:t>置</w:t>
      </w:r>
      <w:r>
        <w:rPr>
          <w:rFonts w:eastAsiaTheme="minorEastAsia"/>
          <w:color w:val="000000" w:themeColor="text1"/>
          <w14:textFill>
            <w14:solidFill>
              <w14:schemeClr w14:val="tx1"/>
            </w14:solidFill>
          </w14:textFill>
        </w:rPr>
        <w:t>围堰，围堰内有效容积不应小于其中最大单台储罐有效容积的110%；围堰应根据储存液体的种类和建设地点的特点采取防渗、防腐措施；</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2</w:t>
      </w:r>
      <w:r>
        <w:rPr>
          <w:rFonts w:eastAsiaTheme="minorEastAsia"/>
          <w:color w:val="000000" w:themeColor="text1"/>
          <w14:textFill>
            <w14:solidFill>
              <w14:schemeClr w14:val="tx1"/>
            </w14:solidFill>
          </w14:textFill>
        </w:rPr>
        <w:t xml:space="preserve">  围堰内地面标高应低于周围道路和地面标高；</w:t>
      </w:r>
    </w:p>
    <w:p>
      <w:pPr>
        <w:pStyle w:val="82"/>
        <w:ind w:firstLine="481" w:firstLineChars="200"/>
        <w:rPr>
          <w:rFonts w:eastAsiaTheme="minorEastAsia"/>
          <w:color w:val="auto"/>
        </w:rPr>
      </w:pPr>
      <w:r>
        <w:rPr>
          <w:rFonts w:eastAsiaTheme="minorEastAsia"/>
          <w:b/>
          <w:color w:val="auto"/>
        </w:rPr>
        <w:t>3</w:t>
      </w:r>
      <w:r>
        <w:rPr>
          <w:rFonts w:eastAsiaTheme="minorEastAsia"/>
          <w:color w:val="auto"/>
        </w:rPr>
        <w:t xml:space="preserve">  储罐与建筑物、围堰以及储罐相互间距离应符合防火、安全和检修的要求；</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4</w:t>
      </w:r>
      <w:r>
        <w:rPr>
          <w:rFonts w:eastAsiaTheme="minorEastAsia"/>
          <w:color w:val="000000" w:themeColor="text1"/>
          <w14:textFill>
            <w14:solidFill>
              <w14:schemeClr w14:val="tx1"/>
            </w14:solidFill>
          </w14:textFill>
        </w:rPr>
        <w:t xml:space="preserve">  围堰范围内初期雨水应根据储存物料性质单独收集处理并</w:t>
      </w:r>
      <w:r>
        <w:rPr>
          <w:rFonts w:hint="eastAsia" w:eastAsiaTheme="minorEastAsia"/>
          <w:color w:val="000000" w:themeColor="text1"/>
          <w14:textFill>
            <w14:solidFill>
              <w14:schemeClr w14:val="tx1"/>
            </w14:solidFill>
          </w14:textFill>
        </w:rPr>
        <w:t>应</w:t>
      </w:r>
      <w:r>
        <w:rPr>
          <w:rFonts w:eastAsiaTheme="minorEastAsia"/>
          <w:color w:val="000000" w:themeColor="text1"/>
          <w14:textFill>
            <w14:solidFill>
              <w14:schemeClr w14:val="tx1"/>
            </w14:solidFill>
          </w14:textFill>
        </w:rPr>
        <w:t>回用；</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5</w:t>
      </w:r>
      <w:r>
        <w:rPr>
          <w:rFonts w:eastAsiaTheme="minorEastAsia"/>
          <w:color w:val="000000" w:themeColor="text1"/>
          <w14:textFill>
            <w14:solidFill>
              <w14:schemeClr w14:val="tx1"/>
            </w14:solidFill>
          </w14:textFill>
        </w:rPr>
        <w:t xml:space="preserve">  位于严寒地区的浓硫酸储罐，应采取保温伴热措施；</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6</w:t>
      </w:r>
      <w:r>
        <w:rPr>
          <w:rFonts w:eastAsiaTheme="minorEastAsia"/>
          <w:color w:val="000000" w:themeColor="text1"/>
          <w14:textFill>
            <w14:solidFill>
              <w14:schemeClr w14:val="tx1"/>
            </w14:solidFill>
          </w14:textFill>
        </w:rPr>
        <w:t xml:space="preserve">  装卸储槽周围地面及储存库地面应根据储存液体种类采取防渗、防腐措施，在最低点应设置集液坑。</w:t>
      </w:r>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 xml:space="preserve">3.1.8 </w:t>
      </w:r>
      <w:r>
        <w:rPr>
          <w:rFonts w:eastAsiaTheme="minorEastAsia"/>
          <w:color w:val="000000" w:themeColor="text1"/>
          <w14:textFill>
            <w14:solidFill>
              <w14:schemeClr w14:val="tx1"/>
            </w14:solidFill>
          </w14:textFill>
        </w:rPr>
        <w:t xml:space="preserve"> 耐火材料贮存仓库应采取防雨、防潮措施。</w:t>
      </w:r>
    </w:p>
    <w:p>
      <w:pPr>
        <w:pStyle w:val="3"/>
        <w:spacing w:before="120" w:beforeLines="50" w:after="120" w:afterLines="50" w:line="360" w:lineRule="auto"/>
        <w:jc w:val="center"/>
        <w:rPr>
          <w:rFonts w:ascii="Times New Roman" w:hAnsi="Times New Roman" w:eastAsiaTheme="minorEastAsia"/>
          <w:color w:val="000000" w:themeColor="text1"/>
          <w:sz w:val="28"/>
          <w:szCs w:val="28"/>
          <w14:textFill>
            <w14:solidFill>
              <w14:schemeClr w14:val="tx1"/>
            </w14:solidFill>
          </w14:textFill>
        </w:rPr>
      </w:pPr>
      <w:bookmarkStart w:id="67" w:name="_Toc118452940"/>
      <w:r>
        <w:rPr>
          <w:rFonts w:ascii="Times New Roman" w:hAnsi="Times New Roman" w:eastAsiaTheme="minorEastAsia"/>
          <w:color w:val="000000" w:themeColor="text1"/>
          <w:sz w:val="28"/>
          <w:szCs w:val="28"/>
          <w14:textFill>
            <w14:solidFill>
              <w14:schemeClr w14:val="tx1"/>
            </w14:solidFill>
          </w14:textFill>
        </w:rPr>
        <w:t>3.2  再生原料预处理</w:t>
      </w:r>
      <w:bookmarkEnd w:id="67"/>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3.2.1</w:t>
      </w:r>
      <w:r>
        <w:rPr>
          <w:rFonts w:eastAsiaTheme="minorEastAsia"/>
          <w:color w:val="000000" w:themeColor="text1"/>
          <w14:textFill>
            <w14:solidFill>
              <w14:schemeClr w14:val="tx1"/>
            </w14:solidFill>
          </w14:textFill>
        </w:rPr>
        <w:t xml:space="preserve">  再生重有色金属原料预处理厂房应设置原料卸货区、拆解作业区和贮料区，并应设立明显区分标识。</w:t>
      </w:r>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3.2.2</w:t>
      </w:r>
      <w:r>
        <w:rPr>
          <w:rFonts w:eastAsiaTheme="minorEastAsia"/>
          <w:color w:val="000000" w:themeColor="text1"/>
          <w14:textFill>
            <w14:solidFill>
              <w14:schemeClr w14:val="tx1"/>
            </w14:solidFill>
          </w14:textFill>
        </w:rPr>
        <w:t xml:space="preserve">  含铜、铅等重有色金属废物拆解应符合下列规定：</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1</w:t>
      </w:r>
      <w:r>
        <w:rPr>
          <w:rFonts w:eastAsiaTheme="minorEastAsia"/>
          <w:color w:val="000000" w:themeColor="text1"/>
          <w14:textFill>
            <w14:solidFill>
              <w14:schemeClr w14:val="tx1"/>
            </w14:solidFill>
          </w14:textFill>
        </w:rPr>
        <w:t xml:space="preserve">  拆解作业场所应设在厂房内；</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2</w:t>
      </w:r>
      <w:r>
        <w:rPr>
          <w:rFonts w:eastAsiaTheme="minorEastAsia"/>
          <w:color w:val="000000" w:themeColor="text1"/>
          <w14:textFill>
            <w14:solidFill>
              <w14:schemeClr w14:val="tx1"/>
            </w14:solidFill>
          </w14:textFill>
        </w:rPr>
        <w:t xml:space="preserve">  含油废物拆解应配套单独设施收集废油等液态废物；</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3</w:t>
      </w:r>
      <w:r>
        <w:rPr>
          <w:rFonts w:eastAsiaTheme="minorEastAsia"/>
          <w:color w:val="000000" w:themeColor="text1"/>
          <w14:textFill>
            <w14:solidFill>
              <w14:schemeClr w14:val="tx1"/>
            </w14:solidFill>
          </w14:textFill>
        </w:rPr>
        <w:t xml:space="preserve">  含酸等腐蚀性介质废物拆解应配套单独设施收集硫酸盐等危险废物；</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 xml:space="preserve">4  </w:t>
      </w:r>
      <w:r>
        <w:rPr>
          <w:rFonts w:eastAsiaTheme="minorEastAsia"/>
          <w:color w:val="000000" w:themeColor="text1"/>
          <w14:textFill>
            <w14:solidFill>
              <w14:schemeClr w14:val="tx1"/>
            </w14:solidFill>
          </w14:textFill>
        </w:rPr>
        <w:t>切割作业区应配套相应的收尘设施，或将其布置在配备收尘净化设施的密闭场所内；</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 xml:space="preserve">5 </w:t>
      </w:r>
      <w:r>
        <w:rPr>
          <w:rFonts w:eastAsiaTheme="minorEastAsia"/>
          <w:color w:val="000000" w:themeColor="text1"/>
          <w14:textFill>
            <w14:solidFill>
              <w14:schemeClr w14:val="tx1"/>
            </w14:solidFill>
          </w14:textFill>
        </w:rPr>
        <w:t xml:space="preserve"> 废旧电池拆解时，应进行残余电量检测，并</w:t>
      </w:r>
      <w:r>
        <w:rPr>
          <w:rFonts w:hint="eastAsia" w:eastAsiaTheme="minorEastAsia"/>
          <w:color w:val="000000" w:themeColor="text1"/>
          <w14:textFill>
            <w14:solidFill>
              <w14:schemeClr w14:val="tx1"/>
            </w14:solidFill>
          </w14:textFill>
        </w:rPr>
        <w:t>应根</w:t>
      </w:r>
      <w:r>
        <w:rPr>
          <w:rFonts w:eastAsiaTheme="minorEastAsia"/>
          <w:color w:val="000000" w:themeColor="text1"/>
          <w14:textFill>
            <w14:solidFill>
              <w14:schemeClr w14:val="tx1"/>
            </w14:solidFill>
          </w14:textFill>
        </w:rPr>
        <w:t>据</w:t>
      </w:r>
      <w:r>
        <w:rPr>
          <w:rFonts w:hint="eastAsia" w:eastAsiaTheme="minorEastAsia"/>
          <w:color w:val="000000" w:themeColor="text1"/>
          <w14:textFill>
            <w14:solidFill>
              <w14:schemeClr w14:val="tx1"/>
            </w14:solidFill>
          </w14:textFill>
        </w:rPr>
        <w:t>检测结果</w:t>
      </w:r>
      <w:r>
        <w:rPr>
          <w:rFonts w:eastAsiaTheme="minorEastAsia"/>
          <w:color w:val="000000" w:themeColor="text1"/>
          <w14:textFill>
            <w14:solidFill>
              <w14:schemeClr w14:val="tx1"/>
            </w14:solidFill>
          </w14:textFill>
        </w:rPr>
        <w:t>确定安全拆解方案；</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6</w:t>
      </w:r>
      <w:r>
        <w:rPr>
          <w:rFonts w:eastAsiaTheme="minorEastAsia"/>
          <w:color w:val="000000" w:themeColor="text1"/>
          <w14:textFill>
            <w14:solidFill>
              <w14:schemeClr w14:val="tx1"/>
            </w14:solidFill>
          </w14:textFill>
        </w:rPr>
        <w:t xml:space="preserve">  拆解过程产生挥发性、有害性气体时，应设置环集吸收设施。</w:t>
      </w:r>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3.2.3</w:t>
      </w:r>
      <w:r>
        <w:rPr>
          <w:rFonts w:eastAsiaTheme="minorEastAsia"/>
          <w:color w:val="000000" w:themeColor="text1"/>
          <w14:textFill>
            <w14:solidFill>
              <w14:schemeClr w14:val="tx1"/>
            </w14:solidFill>
          </w14:textFill>
        </w:rPr>
        <w:t xml:space="preserve">  拆解后物料堆放应符合下列规定：</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 xml:space="preserve">1  </w:t>
      </w:r>
      <w:r>
        <w:rPr>
          <w:rFonts w:eastAsiaTheme="minorEastAsia"/>
          <w:color w:val="000000" w:themeColor="text1"/>
          <w14:textFill>
            <w14:solidFill>
              <w14:schemeClr w14:val="tx1"/>
            </w14:solidFill>
          </w14:textFill>
        </w:rPr>
        <w:t>应设置不可回收物资与危险废物贮存区；</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 xml:space="preserve">2  </w:t>
      </w:r>
      <w:r>
        <w:rPr>
          <w:rFonts w:eastAsiaTheme="minorEastAsia"/>
          <w:color w:val="000000" w:themeColor="text1"/>
          <w14:textFill>
            <w14:solidFill>
              <w14:schemeClr w14:val="tx1"/>
            </w14:solidFill>
          </w14:textFill>
        </w:rPr>
        <w:t>堆场应设置永久性硬地面，并应设置在室内。</w:t>
      </w:r>
    </w:p>
    <w:p>
      <w:pPr>
        <w:pStyle w:val="134"/>
        <w:spacing w:line="360" w:lineRule="auto"/>
        <w:ind w:firstLine="0"/>
        <w:rPr>
          <w:rFonts w:ascii="Times New Roman" w:hAnsi="Times New Roman" w:eastAsiaTheme="minorEastAsia"/>
          <w:b w:val="0"/>
          <w:snapToGrid/>
          <w:color w:val="000000" w:themeColor="text1"/>
          <w:kern w:val="2"/>
          <w:szCs w:val="24"/>
          <w14:textFill>
            <w14:solidFill>
              <w14:schemeClr w14:val="tx1"/>
            </w14:solidFill>
          </w14:textFill>
        </w:rPr>
      </w:pPr>
    </w:p>
    <w:p>
      <w:pPr>
        <w:pStyle w:val="134"/>
        <w:spacing w:line="360" w:lineRule="auto"/>
        <w:ind w:firstLine="0"/>
        <w:rPr>
          <w:rFonts w:ascii="Times New Roman" w:hAnsi="Times New Roman"/>
        </w:rPr>
        <w:sectPr>
          <w:headerReference r:id="rId10" w:type="default"/>
          <w:headerReference r:id="rId11" w:type="even"/>
          <w:pgSz w:w="11906" w:h="16838"/>
          <w:pgMar w:top="1134" w:right="1531" w:bottom="1134" w:left="1531" w:header="0" w:footer="737" w:gutter="0"/>
          <w:pgNumType w:start="0"/>
          <w:cols w:space="720" w:num="1"/>
          <w:docGrid w:linePitch="312" w:charSpace="0"/>
        </w:sectPr>
      </w:pPr>
    </w:p>
    <w:p>
      <w:pPr>
        <w:pStyle w:val="129"/>
        <w:spacing w:before="120" w:beforeLines="50" w:after="120" w:afterLines="50" w:line="360" w:lineRule="auto"/>
        <w:rPr>
          <w:rFonts w:ascii="Times New Roman" w:hAnsi="Times New Roman" w:eastAsiaTheme="minorEastAsia"/>
          <w:b/>
          <w:color w:val="000000" w:themeColor="text1"/>
          <w14:textFill>
            <w14:solidFill>
              <w14:schemeClr w14:val="tx1"/>
            </w14:solidFill>
          </w14:textFill>
        </w:rPr>
      </w:pPr>
      <w:bookmarkStart w:id="68" w:name="_Toc118452941"/>
      <w:r>
        <w:rPr>
          <w:rFonts w:ascii="Times New Roman" w:hAnsi="Times New Roman" w:eastAsiaTheme="minorEastAsia"/>
          <w:b/>
          <w:color w:val="000000" w:themeColor="text1"/>
          <w14:textFill>
            <w14:solidFill>
              <w14:schemeClr w14:val="tx1"/>
            </w14:solidFill>
          </w14:textFill>
        </w:rPr>
        <w:t>4  火法冶金</w:t>
      </w:r>
      <w:bookmarkEnd w:id="68"/>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4.0.1</w:t>
      </w:r>
      <w:r>
        <w:rPr>
          <w:rFonts w:eastAsiaTheme="minorEastAsia"/>
          <w:color w:val="000000" w:themeColor="text1"/>
          <w14:textFill>
            <w14:solidFill>
              <w14:schemeClr w14:val="tx1"/>
            </w14:solidFill>
          </w14:textFill>
        </w:rPr>
        <w:t xml:space="preserve">  火法冶金生产厂房熔融体作业区配置应符合下列规定：</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1</w:t>
      </w:r>
      <w:r>
        <w:rPr>
          <w:rFonts w:eastAsiaTheme="minorEastAsia"/>
          <w:color w:val="000000" w:themeColor="text1"/>
          <w14:textFill>
            <w14:solidFill>
              <w14:schemeClr w14:val="tx1"/>
            </w14:solidFill>
          </w14:textFill>
        </w:rPr>
        <w:t xml:space="preserve">  熔融体作业区范围内及其下方、上空</w:t>
      </w:r>
      <w:r>
        <w:rPr>
          <w:rFonts w:hint="eastAsia" w:eastAsiaTheme="minorEastAsia"/>
          <w:color w:val="000000" w:themeColor="text1"/>
          <w14:textFill>
            <w14:solidFill>
              <w14:schemeClr w14:val="tx1"/>
            </w14:solidFill>
          </w14:textFill>
        </w:rPr>
        <w:t>不得</w:t>
      </w:r>
      <w:r>
        <w:rPr>
          <w:rFonts w:eastAsiaTheme="minorEastAsia"/>
          <w:color w:val="000000" w:themeColor="text1"/>
          <w14:textFill>
            <w14:solidFill>
              <w14:schemeClr w14:val="tx1"/>
            </w14:solidFill>
          </w14:textFill>
        </w:rPr>
        <w:t>设置车间生活间等设施；</w:t>
      </w:r>
    </w:p>
    <w:p>
      <w:pPr>
        <w:pStyle w:val="82"/>
        <w:ind w:firstLine="481" w:firstLineChars="200"/>
        <w:rPr>
          <w:rFonts w:eastAsiaTheme="minorEastAsia"/>
          <w:b/>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2</w:t>
      </w:r>
      <w:r>
        <w:rPr>
          <w:rFonts w:eastAsiaTheme="minorEastAsia"/>
          <w:color w:val="000000" w:themeColor="text1"/>
          <w14:textFill>
            <w14:solidFill>
              <w14:schemeClr w14:val="tx1"/>
            </w14:solidFill>
          </w14:textFill>
        </w:rPr>
        <w:t xml:space="preserve">  应采取防止雨雪飘淋进入车间内的措施，</w:t>
      </w:r>
      <w:r>
        <w:rPr>
          <w:rFonts w:hint="eastAsia" w:eastAsiaTheme="minorEastAsia"/>
          <w:color w:val="000000" w:themeColor="text1"/>
          <w14:textFill>
            <w14:solidFill>
              <w14:schemeClr w14:val="tx1"/>
            </w14:solidFill>
          </w14:textFill>
        </w:rPr>
        <w:t>防止</w:t>
      </w:r>
      <w:r>
        <w:rPr>
          <w:rFonts w:eastAsiaTheme="minorEastAsia"/>
          <w:color w:val="000000" w:themeColor="text1"/>
          <w14:textFill>
            <w14:solidFill>
              <w14:schemeClr w14:val="tx1"/>
            </w14:solidFill>
          </w14:textFill>
        </w:rPr>
        <w:t>地面、水沟有积水；</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 xml:space="preserve">3 </w:t>
      </w:r>
      <w:r>
        <w:rPr>
          <w:rFonts w:eastAsiaTheme="minorEastAsia"/>
          <w:color w:val="000000" w:themeColor="text1"/>
          <w14:textFill>
            <w14:solidFill>
              <w14:schemeClr w14:val="tx1"/>
            </w14:solidFill>
          </w14:textFill>
        </w:rPr>
        <w:t xml:space="preserve"> 冶金炉炉底周围</w:t>
      </w:r>
      <w:r>
        <w:rPr>
          <w:rFonts w:hint="eastAsia" w:eastAsiaTheme="minorEastAsia"/>
          <w:color w:val="000000" w:themeColor="text1"/>
          <w14:textFill>
            <w14:solidFill>
              <w14:schemeClr w14:val="tx1"/>
            </w14:solidFill>
          </w14:textFill>
        </w:rPr>
        <w:t>不得</w:t>
      </w:r>
      <w:r>
        <w:rPr>
          <w:rFonts w:eastAsiaTheme="minorEastAsia"/>
          <w:color w:val="000000" w:themeColor="text1"/>
          <w14:textFill>
            <w14:solidFill>
              <w14:schemeClr w14:val="tx1"/>
            </w14:solidFill>
          </w14:textFill>
        </w:rPr>
        <w:t>敷设地下电缆，</w:t>
      </w:r>
      <w:r>
        <w:rPr>
          <w:rFonts w:hint="eastAsia" w:eastAsiaTheme="minorEastAsia"/>
          <w:color w:val="000000" w:themeColor="text1"/>
          <w14:textFill>
            <w14:solidFill>
              <w14:schemeClr w14:val="tx1"/>
            </w14:solidFill>
          </w14:textFill>
        </w:rPr>
        <w:t>不得</w:t>
      </w:r>
      <w:r>
        <w:rPr>
          <w:rFonts w:eastAsiaTheme="minorEastAsia"/>
          <w:color w:val="000000" w:themeColor="text1"/>
          <w14:textFill>
            <w14:solidFill>
              <w14:schemeClr w14:val="tx1"/>
            </w14:solidFill>
          </w14:textFill>
        </w:rPr>
        <w:t>设置水管阀门井；</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 xml:space="preserve">4 </w:t>
      </w:r>
      <w:r>
        <w:rPr>
          <w:rFonts w:eastAsiaTheme="minorEastAsia"/>
          <w:color w:val="000000" w:themeColor="text1"/>
          <w14:textFill>
            <w14:solidFill>
              <w14:schemeClr w14:val="tx1"/>
            </w14:solidFill>
          </w14:textFill>
        </w:rPr>
        <w:t xml:space="preserve"> 熔体排放口及熔体流槽下方</w:t>
      </w:r>
      <w:r>
        <w:rPr>
          <w:rFonts w:hint="eastAsia" w:eastAsiaTheme="minorEastAsia"/>
          <w:color w:val="000000" w:themeColor="text1"/>
          <w14:textFill>
            <w14:solidFill>
              <w14:schemeClr w14:val="tx1"/>
            </w14:solidFill>
          </w14:textFill>
        </w:rPr>
        <w:t>不得</w:t>
      </w:r>
      <w:r>
        <w:rPr>
          <w:rFonts w:eastAsiaTheme="minorEastAsia"/>
          <w:color w:val="000000" w:themeColor="text1"/>
          <w14:textFill>
            <w14:solidFill>
              <w14:schemeClr w14:val="tx1"/>
            </w14:solidFill>
          </w14:textFill>
        </w:rPr>
        <w:t>敷设电线电缆、燃料管道，</w:t>
      </w:r>
      <w:r>
        <w:rPr>
          <w:rFonts w:hint="eastAsia" w:eastAsiaTheme="minorEastAsia"/>
          <w:color w:val="000000" w:themeColor="text1"/>
          <w14:textFill>
            <w14:solidFill>
              <w14:schemeClr w14:val="tx1"/>
            </w14:solidFill>
          </w14:textFill>
        </w:rPr>
        <w:t>不得</w:t>
      </w:r>
      <w:r>
        <w:rPr>
          <w:rFonts w:eastAsiaTheme="minorEastAsia"/>
          <w:color w:val="000000" w:themeColor="text1"/>
          <w14:textFill>
            <w14:solidFill>
              <w14:schemeClr w14:val="tx1"/>
            </w14:solidFill>
          </w14:textFill>
        </w:rPr>
        <w:t>设置水管阀门井。</w:t>
      </w:r>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4.0.2</w:t>
      </w:r>
      <w:r>
        <w:rPr>
          <w:rFonts w:eastAsiaTheme="minorEastAsia"/>
          <w:color w:val="000000" w:themeColor="text1"/>
          <w14:textFill>
            <w14:solidFill>
              <w14:schemeClr w14:val="tx1"/>
            </w14:solidFill>
          </w14:textFill>
        </w:rPr>
        <w:t xml:space="preserve">  采用火法工艺的冶金工程，应配套设置冶炼烟气收集及净化系统、监测报警系统和应急处理系统；冶炼烟气制酸和尾气净化系统不得设置烟气旁路。</w:t>
      </w:r>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 xml:space="preserve">4.0.3 </w:t>
      </w:r>
      <w:r>
        <w:rPr>
          <w:rFonts w:eastAsiaTheme="minorEastAsia"/>
          <w:color w:val="000000" w:themeColor="text1"/>
          <w14:textFill>
            <w14:solidFill>
              <w14:schemeClr w14:val="tx1"/>
            </w14:solidFill>
          </w14:textFill>
        </w:rPr>
        <w:t xml:space="preserve"> 重有色金属冶金炉窑冷却水循环系统应符合下列规定：</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1</w:t>
      </w:r>
      <w:r>
        <w:rPr>
          <w:rFonts w:eastAsiaTheme="minorEastAsia"/>
          <w:color w:val="000000" w:themeColor="text1"/>
          <w14:textFill>
            <w14:solidFill>
              <w14:schemeClr w14:val="tx1"/>
            </w14:solidFill>
          </w14:textFill>
        </w:rPr>
        <w:t xml:space="preserve">  应设置供水不中断保障设施；</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 xml:space="preserve">2 </w:t>
      </w:r>
      <w:r>
        <w:rPr>
          <w:rFonts w:eastAsiaTheme="minorEastAsia"/>
          <w:color w:val="000000" w:themeColor="text1"/>
          <w14:textFill>
            <w14:solidFill>
              <w14:schemeClr w14:val="tx1"/>
            </w14:solidFill>
          </w14:textFill>
        </w:rPr>
        <w:t xml:space="preserve"> 冶炼炉窑的闭路循环水冷元件应设置出水温度、进出水流量差监测报警装置；开路水冷元件应设置进水流量、压力监测报警装置，出水温度应</w:t>
      </w:r>
      <w:r>
        <w:rPr>
          <w:rFonts w:hint="eastAsia" w:eastAsiaTheme="minorEastAsia"/>
          <w:color w:val="000000" w:themeColor="text1"/>
          <w14:textFill>
            <w14:solidFill>
              <w14:schemeClr w14:val="tx1"/>
            </w14:solidFill>
          </w14:textFill>
        </w:rPr>
        <w:t>按操作和</w:t>
      </w:r>
      <w:r>
        <w:rPr>
          <w:rFonts w:eastAsiaTheme="minorEastAsia"/>
          <w:color w:val="000000" w:themeColor="text1"/>
          <w14:textFill>
            <w14:solidFill>
              <w14:schemeClr w14:val="tx1"/>
            </w14:solidFill>
          </w14:textFill>
        </w:rPr>
        <w:t>维护规程</w:t>
      </w:r>
      <w:r>
        <w:rPr>
          <w:rFonts w:hint="eastAsia" w:eastAsiaTheme="minorEastAsia"/>
          <w:color w:val="000000" w:themeColor="text1"/>
          <w14:textFill>
            <w14:solidFill>
              <w14:schemeClr w14:val="tx1"/>
            </w14:solidFill>
          </w14:textFill>
        </w:rPr>
        <w:t>的</w:t>
      </w:r>
      <w:r>
        <w:rPr>
          <w:rFonts w:eastAsiaTheme="minorEastAsia"/>
          <w:color w:val="000000" w:themeColor="text1"/>
          <w14:textFill>
            <w14:solidFill>
              <w14:schemeClr w14:val="tx1"/>
            </w14:solidFill>
          </w14:textFill>
        </w:rPr>
        <w:t>要求</w:t>
      </w:r>
      <w:r>
        <w:rPr>
          <w:rFonts w:hint="eastAsia" w:eastAsiaTheme="minorEastAsia"/>
          <w:color w:val="000000" w:themeColor="text1"/>
          <w14:textFill>
            <w14:solidFill>
              <w14:schemeClr w14:val="tx1"/>
            </w14:solidFill>
          </w14:textFill>
        </w:rPr>
        <w:t>进行</w:t>
      </w:r>
      <w:r>
        <w:rPr>
          <w:rFonts w:eastAsiaTheme="minorEastAsia"/>
          <w:color w:val="000000" w:themeColor="text1"/>
          <w14:textFill>
            <w14:solidFill>
              <w14:schemeClr w14:val="tx1"/>
            </w14:solidFill>
          </w14:textFill>
        </w:rPr>
        <w:t>人工检测；</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3</w:t>
      </w:r>
      <w:r>
        <w:rPr>
          <w:rFonts w:eastAsiaTheme="minorEastAsia"/>
          <w:color w:val="000000" w:themeColor="text1"/>
          <w14:textFill>
            <w14:solidFill>
              <w14:schemeClr w14:val="tx1"/>
            </w14:solidFill>
          </w14:textFill>
        </w:rPr>
        <w:t xml:space="preserve">  冷却水水质应满足安全运行要求。</w:t>
      </w:r>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4.0.4</w:t>
      </w:r>
      <w:r>
        <w:rPr>
          <w:rFonts w:eastAsiaTheme="minorEastAsia"/>
          <w:color w:val="000000" w:themeColor="text1"/>
          <w14:textFill>
            <w14:solidFill>
              <w14:schemeClr w14:val="tx1"/>
            </w14:solidFill>
          </w14:textFill>
        </w:rPr>
        <w:t xml:space="preserve">  熔池熔炼、吹炼、烟化等可能产生炉渣泡沫化的冶金炉应制定防控泡沫渣产生的操作规程，并应配套泡沫渣应急处置措施。</w:t>
      </w:r>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 xml:space="preserve">4.0.5 </w:t>
      </w:r>
      <w:r>
        <w:rPr>
          <w:rFonts w:eastAsiaTheme="minorEastAsia"/>
          <w:color w:val="000000" w:themeColor="text1"/>
          <w14:textFill>
            <w14:solidFill>
              <w14:schemeClr w14:val="tx1"/>
            </w14:solidFill>
          </w14:textFill>
        </w:rPr>
        <w:t xml:space="preserve"> 回转式冶金炉应设置事故断电、低风压状态及其他紧急状态下的倾转装置，并应设置应急电源等保障倾转装置安全运行。</w:t>
      </w:r>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4.0.6</w:t>
      </w:r>
      <w:r>
        <w:rPr>
          <w:rFonts w:eastAsiaTheme="minorEastAsia"/>
          <w:color w:val="000000" w:themeColor="text1"/>
          <w14:textFill>
            <w14:solidFill>
              <w14:schemeClr w14:val="tx1"/>
            </w14:solidFill>
          </w14:textFill>
        </w:rPr>
        <w:t xml:space="preserve">  浸没式顶吹熔池熔炼炉和吹炼炉喷枪系统应符合下列规定：</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1</w:t>
      </w:r>
      <w:r>
        <w:rPr>
          <w:rFonts w:eastAsiaTheme="minorEastAsia"/>
          <w:color w:val="000000" w:themeColor="text1"/>
          <w14:textFill>
            <w14:solidFill>
              <w14:schemeClr w14:val="tx1"/>
            </w14:solidFill>
          </w14:textFill>
        </w:rPr>
        <w:t xml:space="preserve">  应设置喷枪紧急提升装置，喷枪提升系统与给料系统、供风系统间应设置联锁装置；</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2</w:t>
      </w:r>
      <w:r>
        <w:rPr>
          <w:rFonts w:eastAsiaTheme="minorEastAsia"/>
          <w:color w:val="000000" w:themeColor="text1"/>
          <w14:textFill>
            <w14:solidFill>
              <w14:schemeClr w14:val="tx1"/>
            </w14:solidFill>
          </w14:textFill>
        </w:rPr>
        <w:t xml:space="preserve">  喷枪提升装置应设置有双电源或直流电源等应急电源供电系统。</w:t>
      </w:r>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4.0.7</w:t>
      </w:r>
      <w:r>
        <w:rPr>
          <w:rFonts w:eastAsiaTheme="minorEastAsia"/>
          <w:color w:val="000000" w:themeColor="text1"/>
          <w14:textFill>
            <w14:solidFill>
              <w14:schemeClr w14:val="tx1"/>
            </w14:solidFill>
          </w14:textFill>
        </w:rPr>
        <w:t xml:space="preserve">  倾动式精炼炉的液压驱动装置，应具有紧急停止时炉体自动复位到安全位置的功能。</w:t>
      </w:r>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4.0.8</w:t>
      </w:r>
      <w:r>
        <w:rPr>
          <w:rFonts w:eastAsiaTheme="minorEastAsia"/>
          <w:color w:val="000000" w:themeColor="text1"/>
          <w14:textFill>
            <w14:solidFill>
              <w14:schemeClr w14:val="tx1"/>
            </w14:solidFill>
          </w14:textFill>
        </w:rPr>
        <w:t xml:space="preserve">  固定式阳极炉等精炼炉采用气体还原剂时，应设置还原剂管道及插管的固定装置。</w:t>
      </w:r>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 xml:space="preserve">4.0.9 </w:t>
      </w:r>
      <w:r>
        <w:rPr>
          <w:rFonts w:eastAsiaTheme="minorEastAsia"/>
          <w:color w:val="000000" w:themeColor="text1"/>
          <w14:textFill>
            <w14:solidFill>
              <w14:schemeClr w14:val="tx1"/>
            </w14:solidFill>
          </w14:textFill>
        </w:rPr>
        <w:t xml:space="preserve"> 回转阳极炉的驱动装置，应具有快慢转速功能。</w:t>
      </w:r>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 xml:space="preserve">4.0.10 </w:t>
      </w:r>
      <w:r>
        <w:rPr>
          <w:rFonts w:eastAsiaTheme="minorEastAsia"/>
          <w:color w:val="000000" w:themeColor="text1"/>
          <w14:textFill>
            <w14:solidFill>
              <w14:schemeClr w14:val="tx1"/>
            </w14:solidFill>
          </w14:textFill>
        </w:rPr>
        <w:t xml:space="preserve"> 电炉电极安全设施应符合下列规定：</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1</w:t>
      </w:r>
      <w:r>
        <w:rPr>
          <w:rFonts w:eastAsiaTheme="minorEastAsia"/>
          <w:color w:val="000000" w:themeColor="text1"/>
          <w14:textFill>
            <w14:solidFill>
              <w14:schemeClr w14:val="tx1"/>
            </w14:solidFill>
          </w14:textFill>
        </w:rPr>
        <w:t xml:space="preserve">  电极糊添加和电极检修平台应设置绝缘保护装置,且电极之间应设置绝缘挡板等设施，绝缘挡板高度不应小于1400mm。石墨电极在添加和检修时</w:t>
      </w:r>
      <w:r>
        <w:rPr>
          <w:rFonts w:hint="eastAsia" w:eastAsiaTheme="minorEastAsia"/>
          <w:color w:val="000000" w:themeColor="text1"/>
          <w14:textFill>
            <w14:solidFill>
              <w14:schemeClr w14:val="tx1"/>
            </w14:solidFill>
          </w14:textFill>
        </w:rPr>
        <w:t>，</w:t>
      </w:r>
      <w:r>
        <w:rPr>
          <w:rFonts w:eastAsiaTheme="minorEastAsia"/>
          <w:color w:val="000000" w:themeColor="text1"/>
          <w14:textFill>
            <w14:solidFill>
              <w14:schemeClr w14:val="tx1"/>
            </w14:solidFill>
          </w14:textFill>
        </w:rPr>
        <w:t>不得带电作业；</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2</w:t>
      </w:r>
      <w:r>
        <w:rPr>
          <w:rFonts w:eastAsiaTheme="minorEastAsia"/>
          <w:color w:val="000000" w:themeColor="text1"/>
          <w14:textFill>
            <w14:solidFill>
              <w14:schemeClr w14:val="tx1"/>
            </w14:solidFill>
          </w14:textFill>
        </w:rPr>
        <w:t xml:space="preserve">  电极检修平台上方的检修起重机应设置不少于两级的绝缘保护装置；</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 xml:space="preserve">3 </w:t>
      </w:r>
      <w:r>
        <w:rPr>
          <w:rFonts w:eastAsiaTheme="minorEastAsia"/>
          <w:color w:val="000000" w:themeColor="text1"/>
          <w14:textFill>
            <w14:solidFill>
              <w14:schemeClr w14:val="tx1"/>
            </w14:solidFill>
          </w14:textFill>
        </w:rPr>
        <w:t xml:space="preserve"> 电极把持器和支撑装置相连的管道应采用绝缘支吊架。</w:t>
      </w:r>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 xml:space="preserve">4.0.11 </w:t>
      </w:r>
      <w:r>
        <w:rPr>
          <w:rFonts w:eastAsiaTheme="minorEastAsia"/>
          <w:color w:val="000000" w:themeColor="text1"/>
          <w14:textFill>
            <w14:solidFill>
              <w14:schemeClr w14:val="tx1"/>
            </w14:solidFill>
          </w14:textFill>
        </w:rPr>
        <w:t xml:space="preserve"> 冶金炉控制室应符合下列规定：</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1</w:t>
      </w:r>
      <w:r>
        <w:rPr>
          <w:rFonts w:eastAsiaTheme="minorEastAsia"/>
          <w:color w:val="000000" w:themeColor="text1"/>
          <w14:textFill>
            <w14:solidFill>
              <w14:schemeClr w14:val="tx1"/>
            </w14:solidFill>
          </w14:textFill>
        </w:rPr>
        <w:t xml:space="preserve">  控制室应避开加料、排料（渣）、炉口等区域设置；</w:t>
      </w:r>
    </w:p>
    <w:p>
      <w:pPr>
        <w:pStyle w:val="82"/>
        <w:ind w:firstLine="481" w:firstLineChars="200"/>
        <w:rPr>
          <w:rFonts w:eastAsiaTheme="minorEastAsia"/>
          <w:bCs/>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 xml:space="preserve">2 </w:t>
      </w:r>
      <w:r>
        <w:rPr>
          <w:rFonts w:eastAsiaTheme="minorEastAsia"/>
          <w:color w:val="000000" w:themeColor="text1"/>
          <w14:textFill>
            <w14:solidFill>
              <w14:schemeClr w14:val="tx1"/>
            </w14:solidFill>
          </w14:textFill>
        </w:rPr>
        <w:t xml:space="preserve"> 控制室</w:t>
      </w:r>
      <w:r>
        <w:rPr>
          <w:rFonts w:hint="eastAsia" w:eastAsiaTheme="minorEastAsia"/>
          <w:color w:val="000000" w:themeColor="text1"/>
          <w14:textFill>
            <w14:solidFill>
              <w14:schemeClr w14:val="tx1"/>
            </w14:solidFill>
          </w14:textFill>
        </w:rPr>
        <w:t>位</w:t>
      </w:r>
      <w:r>
        <w:rPr>
          <w:rFonts w:eastAsiaTheme="minorEastAsia"/>
          <w:color w:val="000000" w:themeColor="text1"/>
          <w14:textFill>
            <w14:solidFill>
              <w14:schemeClr w14:val="tx1"/>
            </w14:solidFill>
          </w14:textFill>
        </w:rPr>
        <w:t>于冶金炉主要操作区平台时，</w:t>
      </w:r>
      <w:r>
        <w:rPr>
          <w:rFonts w:hint="eastAsia" w:eastAsiaTheme="minorEastAsia"/>
          <w:color w:val="000000" w:themeColor="text1"/>
          <w14:textFill>
            <w14:solidFill>
              <w14:schemeClr w14:val="tx1"/>
            </w14:solidFill>
          </w14:textFill>
        </w:rPr>
        <w:t>不得</w:t>
      </w:r>
      <w:r>
        <w:rPr>
          <w:rFonts w:eastAsiaTheme="minorEastAsia"/>
          <w:color w:val="000000" w:themeColor="text1"/>
          <w14:textFill>
            <w14:solidFill>
              <w14:schemeClr w14:val="tx1"/>
            </w14:solidFill>
          </w14:textFill>
        </w:rPr>
        <w:t>采用钢结构围护墙体，楼板应采用钢筋混凝土组合楼板，面向冶金炉一侧的墙应采用防护墙，背对冶金炉一侧应设置安全疏散门和通道；</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 xml:space="preserve">3 </w:t>
      </w:r>
      <w:r>
        <w:rPr>
          <w:rFonts w:eastAsiaTheme="minorEastAsia"/>
          <w:color w:val="000000" w:themeColor="text1"/>
          <w14:textFill>
            <w14:solidFill>
              <w14:schemeClr w14:val="tx1"/>
            </w14:solidFill>
          </w14:textFill>
        </w:rPr>
        <w:t xml:space="preserve"> 建筑面积大于60m</w:t>
      </w:r>
      <w:r>
        <w:rPr>
          <w:rFonts w:eastAsiaTheme="minorEastAsia"/>
          <w:color w:val="000000" w:themeColor="text1"/>
          <w:vertAlign w:val="superscript"/>
          <w14:textFill>
            <w14:solidFill>
              <w14:schemeClr w14:val="tx1"/>
            </w14:solidFill>
          </w14:textFill>
        </w:rPr>
        <w:t>2</w:t>
      </w:r>
      <w:r>
        <w:rPr>
          <w:rFonts w:eastAsiaTheme="minorEastAsia"/>
          <w:color w:val="000000" w:themeColor="text1"/>
          <w14:textFill>
            <w14:solidFill>
              <w14:schemeClr w14:val="tx1"/>
            </w14:solidFill>
          </w14:textFill>
        </w:rPr>
        <w:t>的控制室，安全出口不应少于2个。</w:t>
      </w:r>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4.0.12</w:t>
      </w:r>
      <w:r>
        <w:rPr>
          <w:rFonts w:eastAsiaTheme="minorEastAsia"/>
          <w:color w:val="000000" w:themeColor="text1"/>
          <w14:textFill>
            <w14:solidFill>
              <w14:schemeClr w14:val="tx1"/>
            </w14:solidFill>
          </w14:textFill>
        </w:rPr>
        <w:t xml:space="preserve">  运输熔体及高温焙砂出入厂房，应设置安全专用通道。</w:t>
      </w:r>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 xml:space="preserve">4.0.13 </w:t>
      </w:r>
      <w:r>
        <w:rPr>
          <w:rFonts w:eastAsiaTheme="minorEastAsia"/>
          <w:color w:val="000000" w:themeColor="text1"/>
          <w14:textFill>
            <w14:solidFill>
              <w14:schemeClr w14:val="tx1"/>
            </w14:solidFill>
          </w14:textFill>
        </w:rPr>
        <w:t xml:space="preserve"> 冶金炉应设置炉体温度监测报警装置，并应配有针对炉体温度过高的应急处置设施。</w:t>
      </w:r>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 xml:space="preserve">4.0.14 </w:t>
      </w:r>
      <w:r>
        <w:rPr>
          <w:rFonts w:eastAsiaTheme="minorEastAsia"/>
          <w:color w:val="000000" w:themeColor="text1"/>
          <w14:textFill>
            <w14:solidFill>
              <w14:schemeClr w14:val="tx1"/>
            </w14:solidFill>
          </w14:textFill>
        </w:rPr>
        <w:t xml:space="preserve"> 冶金炉窑产物排放口应设置集烟、集尘装置。</w:t>
      </w:r>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 xml:space="preserve">4.0.15  </w:t>
      </w:r>
      <w:r>
        <w:rPr>
          <w:rFonts w:eastAsiaTheme="minorEastAsia"/>
          <w:color w:val="000000" w:themeColor="text1"/>
          <w14:textFill>
            <w14:solidFill>
              <w14:schemeClr w14:val="tx1"/>
            </w14:solidFill>
          </w14:textFill>
        </w:rPr>
        <w:t>产生、盛装熔体的炉窑及熔体输送、浇铸等设施的底部周围应设置能够处置泄漏熔体的安全坑、挡火墙、隔离带等安全设施</w:t>
      </w:r>
      <w:r>
        <w:rPr>
          <w:rFonts w:hint="eastAsia" w:eastAsiaTheme="minorEastAsia"/>
          <w:color w:val="000000" w:themeColor="text1"/>
          <w14:textFill>
            <w14:solidFill>
              <w14:schemeClr w14:val="tx1"/>
            </w14:solidFill>
          </w14:textFill>
        </w:rPr>
        <w:t>，</w:t>
      </w:r>
      <w:r>
        <w:rPr>
          <w:rFonts w:eastAsiaTheme="minorEastAsia"/>
          <w:color w:val="000000" w:themeColor="text1"/>
          <w14:textFill>
            <w14:solidFill>
              <w14:schemeClr w14:val="tx1"/>
            </w14:solidFill>
          </w14:textFill>
        </w:rPr>
        <w:t>并应保持干燥，应储备沙袋等应急处置物资。</w:t>
      </w:r>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 xml:space="preserve">4.0.16 </w:t>
      </w:r>
      <w:r>
        <w:rPr>
          <w:rFonts w:eastAsiaTheme="minorEastAsia"/>
          <w:color w:val="000000" w:themeColor="text1"/>
          <w14:textFill>
            <w14:solidFill>
              <w14:schemeClr w14:val="tx1"/>
            </w14:solidFill>
          </w14:textFill>
        </w:rPr>
        <w:t xml:space="preserve"> 熔体粒化应设置防爆、隔爆安全设施。</w:t>
      </w:r>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4.0.17</w:t>
      </w:r>
      <w:r>
        <w:rPr>
          <w:rFonts w:eastAsiaTheme="minorEastAsia"/>
          <w:color w:val="000000" w:themeColor="text1"/>
          <w14:textFill>
            <w14:solidFill>
              <w14:schemeClr w14:val="tx1"/>
            </w14:solidFill>
          </w14:textFill>
        </w:rPr>
        <w:t xml:space="preserve">  锡火法精炼应符合下列规定：</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1</w:t>
      </w:r>
      <w:r>
        <w:rPr>
          <w:rFonts w:eastAsiaTheme="minorEastAsia"/>
          <w:color w:val="000000" w:themeColor="text1"/>
          <w14:textFill>
            <w14:solidFill>
              <w14:schemeClr w14:val="tx1"/>
            </w14:solidFill>
          </w14:textFill>
        </w:rPr>
        <w:t xml:space="preserve">  存放加铝除砷、锑及除残铝所产铝渣的库房应采取防雨、防水措施，并应设置砷化氢气体监测设施；</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2</w:t>
      </w:r>
      <w:r>
        <w:rPr>
          <w:rFonts w:eastAsiaTheme="minorEastAsia"/>
          <w:color w:val="000000" w:themeColor="text1"/>
          <w14:textFill>
            <w14:solidFill>
              <w14:schemeClr w14:val="tx1"/>
            </w14:solidFill>
          </w14:textFill>
        </w:rPr>
        <w:t xml:space="preserve">  铝渣、热离析渣、炭渣、含砷较高的热物料应在通风干燥的专用场地堆存，不得与潮料混合；</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3</w:t>
      </w:r>
      <w:r>
        <w:rPr>
          <w:rFonts w:eastAsiaTheme="minorEastAsia"/>
          <w:color w:val="000000" w:themeColor="text1"/>
          <w14:textFill>
            <w14:solidFill>
              <w14:schemeClr w14:val="tx1"/>
            </w14:solidFill>
          </w14:textFill>
        </w:rPr>
        <w:t xml:space="preserve">  精炼锅、渣斗坑、离心机、结晶机作业锅应设置通风除尘装置；</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 xml:space="preserve">4 </w:t>
      </w:r>
      <w:r>
        <w:rPr>
          <w:rFonts w:eastAsiaTheme="minorEastAsia"/>
          <w:color w:val="000000" w:themeColor="text1"/>
          <w14:textFill>
            <w14:solidFill>
              <w14:schemeClr w14:val="tx1"/>
            </w14:solidFill>
          </w14:textFill>
        </w:rPr>
        <w:t xml:space="preserve"> 使用燃油、燃气为燃料的锡火法精炼锅废气抽风系统与燃气燃烧器应设置温度检测和联锁装置。</w:t>
      </w:r>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4.0.18</w:t>
      </w:r>
      <w:r>
        <w:rPr>
          <w:rFonts w:eastAsiaTheme="minorEastAsia"/>
          <w:color w:val="000000" w:themeColor="text1"/>
          <w14:textFill>
            <w14:solidFill>
              <w14:schemeClr w14:val="tx1"/>
            </w14:solidFill>
          </w14:textFill>
        </w:rPr>
        <w:t xml:space="preserve">  电炉制备锌粉应符合下列规定：</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 xml:space="preserve">1 </w:t>
      </w:r>
      <w:r>
        <w:rPr>
          <w:rFonts w:eastAsiaTheme="minorEastAsia"/>
          <w:color w:val="000000" w:themeColor="text1"/>
          <w14:textFill>
            <w14:solidFill>
              <w14:schemeClr w14:val="tx1"/>
            </w14:solidFill>
          </w14:textFill>
        </w:rPr>
        <w:t xml:space="preserve"> 锌焙砂制备锌粉的电炉应釆用正压操作，电极孔、加料溜管、焙砂加料螺旋给料机应釆用氮气密封；</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2</w:t>
      </w:r>
      <w:r>
        <w:rPr>
          <w:rFonts w:eastAsiaTheme="minorEastAsia"/>
          <w:color w:val="000000" w:themeColor="text1"/>
          <w14:textFill>
            <w14:solidFill>
              <w14:schemeClr w14:val="tx1"/>
            </w14:solidFill>
          </w14:textFill>
        </w:rPr>
        <w:t xml:space="preserve">  含锌烟气快速冷却冷凝系统应正压运行，锌粉排放装置应釆用氮气密封；</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 xml:space="preserve">3 </w:t>
      </w:r>
      <w:r>
        <w:rPr>
          <w:rFonts w:eastAsiaTheme="minorEastAsia"/>
          <w:color w:val="000000" w:themeColor="text1"/>
          <w14:textFill>
            <w14:solidFill>
              <w14:schemeClr w14:val="tx1"/>
            </w14:solidFill>
          </w14:textFill>
        </w:rPr>
        <w:t xml:space="preserve"> 电炉顶部操作台和焙砂加料仓顶部平台应设置一氧化碳浓度监测报警装置。</w:t>
      </w:r>
      <w:bookmarkStart w:id="69" w:name="OLE_LINK6"/>
      <w:bookmarkStart w:id="70" w:name="OLE_LINK5"/>
      <w:r>
        <w:rPr>
          <w:rFonts w:eastAsiaTheme="minorEastAsia"/>
          <w:color w:val="000000" w:themeColor="text1"/>
          <w14:textFill>
            <w14:solidFill>
              <w14:schemeClr w14:val="tx1"/>
            </w14:solidFill>
          </w14:textFill>
        </w:rPr>
        <w:t>烟气快速冷却冷凝器及除尘器</w:t>
      </w:r>
      <w:bookmarkEnd w:id="69"/>
      <w:bookmarkEnd w:id="70"/>
      <w:r>
        <w:rPr>
          <w:rFonts w:eastAsiaTheme="minorEastAsia"/>
          <w:color w:val="000000" w:themeColor="text1"/>
          <w14:textFill>
            <w14:solidFill>
              <w14:schemeClr w14:val="tx1"/>
            </w14:solidFill>
          </w14:textFill>
        </w:rPr>
        <w:t>室内配置时，锌粉排出区域应设置一氧化碳和低氧浓度监测报警装置；</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 xml:space="preserve">4 </w:t>
      </w:r>
      <w:r>
        <w:rPr>
          <w:rFonts w:eastAsiaTheme="minorEastAsia"/>
          <w:color w:val="000000" w:themeColor="text1"/>
          <w14:textFill>
            <w14:solidFill>
              <w14:schemeClr w14:val="tx1"/>
            </w14:solidFill>
          </w14:textFill>
        </w:rPr>
        <w:t xml:space="preserve"> 电炉烟气快速冷却的冷凝器及除尘器应设置泄爆装置，排泄管应引至室外。</w:t>
      </w:r>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4.0.19</w:t>
      </w:r>
      <w:r>
        <w:rPr>
          <w:rFonts w:eastAsiaTheme="minorEastAsia"/>
          <w:color w:val="000000" w:themeColor="text1"/>
          <w14:textFill>
            <w14:solidFill>
              <w14:schemeClr w14:val="tx1"/>
            </w14:solidFill>
          </w14:textFill>
        </w:rPr>
        <w:t xml:space="preserve">  空气喷吹制备锌粉时应符合下列规定：</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1</w:t>
      </w:r>
      <w:r>
        <w:rPr>
          <w:rFonts w:eastAsiaTheme="minorEastAsia"/>
          <w:color w:val="000000" w:themeColor="text1"/>
          <w14:textFill>
            <w14:solidFill>
              <w14:schemeClr w14:val="tx1"/>
            </w14:solidFill>
          </w14:textFill>
        </w:rPr>
        <w:t xml:space="preserve">  布置在室内的袋式除尘器应设置泄爆装置，排泄管应引至室外；</w:t>
      </w:r>
    </w:p>
    <w:p>
      <w:pPr>
        <w:pStyle w:val="82"/>
        <w:ind w:firstLine="481" w:firstLineChars="200"/>
        <w:rPr>
          <w:rFonts w:eastAsiaTheme="minorEastAsia"/>
          <w:color w:val="000000" w:themeColor="text1"/>
          <w:szCs w:val="24"/>
          <w14:textFill>
            <w14:solidFill>
              <w14:schemeClr w14:val="tx1"/>
            </w14:solidFill>
          </w14:textFill>
        </w:rPr>
      </w:pPr>
      <w:r>
        <w:rPr>
          <w:rFonts w:eastAsiaTheme="minorEastAsia"/>
          <w:b/>
          <w:color w:val="000000" w:themeColor="text1"/>
          <w14:textFill>
            <w14:solidFill>
              <w14:schemeClr w14:val="tx1"/>
            </w14:solidFill>
          </w14:textFill>
        </w:rPr>
        <w:t>2</w:t>
      </w:r>
      <w:r>
        <w:rPr>
          <w:rFonts w:eastAsiaTheme="minorEastAsia"/>
          <w:color w:val="000000" w:themeColor="text1"/>
          <w14:textFill>
            <w14:solidFill>
              <w14:schemeClr w14:val="tx1"/>
            </w14:solidFill>
          </w14:textFill>
        </w:rPr>
        <w:t xml:space="preserve">  收集锌粉的袋式除尘器应布置在系统的负压段上。袋式除尘器配置在室</w:t>
      </w:r>
      <w:r>
        <w:rPr>
          <w:rFonts w:eastAsiaTheme="minorEastAsia"/>
          <w:color w:val="000000" w:themeColor="text1"/>
          <w:szCs w:val="24"/>
          <w14:textFill>
            <w14:solidFill>
              <w14:schemeClr w14:val="tx1"/>
            </w14:solidFill>
          </w14:textFill>
        </w:rPr>
        <w:t>内时，建筑物应满足</w:t>
      </w:r>
      <w:r>
        <w:rPr>
          <w:rFonts w:hint="eastAsia" w:eastAsiaTheme="minorEastAsia"/>
          <w:color w:val="000000" w:themeColor="text1"/>
          <w:szCs w:val="24"/>
          <w14:textFill>
            <w14:solidFill>
              <w14:schemeClr w14:val="tx1"/>
            </w14:solidFill>
          </w14:textFill>
        </w:rPr>
        <w:t>现行国家有关</w:t>
      </w:r>
      <w:r>
        <w:rPr>
          <w:rFonts w:eastAsiaTheme="minorEastAsia"/>
          <w:color w:val="000000" w:themeColor="text1"/>
          <w:szCs w:val="24"/>
          <w14:textFill>
            <w14:solidFill>
              <w14:schemeClr w14:val="tx1"/>
            </w14:solidFill>
          </w14:textFill>
        </w:rPr>
        <w:t>防火</w:t>
      </w:r>
      <w:r>
        <w:rPr>
          <w:rFonts w:hint="eastAsia" w:eastAsiaTheme="minorEastAsia"/>
          <w:color w:val="000000" w:themeColor="text1"/>
          <w:szCs w:val="24"/>
          <w14:textFill>
            <w14:solidFill>
              <w14:schemeClr w14:val="tx1"/>
            </w14:solidFill>
          </w14:textFill>
        </w:rPr>
        <w:t>、</w:t>
      </w:r>
      <w:r>
        <w:rPr>
          <w:rFonts w:eastAsiaTheme="minorEastAsia"/>
          <w:color w:val="000000" w:themeColor="text1"/>
          <w:szCs w:val="24"/>
          <w14:textFill>
            <w14:solidFill>
              <w14:schemeClr w14:val="tx1"/>
            </w14:solidFill>
          </w14:textFill>
        </w:rPr>
        <w:t>防爆</w:t>
      </w:r>
      <w:r>
        <w:rPr>
          <w:rFonts w:hint="eastAsia" w:eastAsiaTheme="minorEastAsia"/>
          <w:color w:val="000000" w:themeColor="text1"/>
          <w:szCs w:val="24"/>
          <w14:textFill>
            <w14:solidFill>
              <w14:schemeClr w14:val="tx1"/>
            </w14:solidFill>
          </w14:textFill>
        </w:rPr>
        <w:t>标准</w:t>
      </w:r>
      <w:r>
        <w:rPr>
          <w:rFonts w:eastAsiaTheme="minorEastAsia"/>
          <w:color w:val="000000" w:themeColor="text1"/>
          <w:szCs w:val="24"/>
          <w14:textFill>
            <w14:solidFill>
              <w14:schemeClr w14:val="tx1"/>
            </w14:solidFill>
          </w14:textFill>
        </w:rPr>
        <w:t>要求。</w:t>
      </w:r>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4.0.20</w:t>
      </w:r>
      <w:r>
        <w:rPr>
          <w:rFonts w:eastAsiaTheme="minorEastAsia"/>
          <w:color w:val="000000" w:themeColor="text1"/>
          <w14:textFill>
            <w14:solidFill>
              <w14:schemeClr w14:val="tx1"/>
            </w14:solidFill>
          </w14:textFill>
        </w:rPr>
        <w:t xml:space="preserve">  水力雾化制备锌粉系统高压水出口至雾化器入口的高压管道接口、弯头应采取防护套管</w:t>
      </w:r>
      <w:r>
        <w:rPr>
          <w:rFonts w:hint="eastAsia" w:eastAsiaTheme="minorEastAsia"/>
          <w:color w:val="000000" w:themeColor="text1"/>
          <w14:textFill>
            <w14:solidFill>
              <w14:schemeClr w14:val="tx1"/>
            </w14:solidFill>
          </w14:textFill>
        </w:rPr>
        <w:t>等</w:t>
      </w:r>
      <w:r>
        <w:rPr>
          <w:rFonts w:eastAsiaTheme="minorEastAsia"/>
          <w:color w:val="000000" w:themeColor="text1"/>
          <w14:textFill>
            <w14:solidFill>
              <w14:schemeClr w14:val="tx1"/>
            </w14:solidFill>
          </w14:textFill>
        </w:rPr>
        <w:t>防护措施，并应固定管道。</w:t>
      </w:r>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 xml:space="preserve">4.0.21 </w:t>
      </w:r>
      <w:r>
        <w:rPr>
          <w:rFonts w:eastAsiaTheme="minorEastAsia"/>
          <w:color w:val="000000" w:themeColor="text1"/>
          <w14:textFill>
            <w14:solidFill>
              <w14:schemeClr w14:val="tx1"/>
            </w14:solidFill>
          </w14:textFill>
        </w:rPr>
        <w:t xml:space="preserve"> 用于吊运熔融体物料的起重设备应符合冶金起重机技术条件之铸造起重机要求，并</w:t>
      </w:r>
      <w:r>
        <w:rPr>
          <w:rFonts w:hint="eastAsia" w:eastAsiaTheme="minorEastAsia"/>
          <w:color w:val="000000" w:themeColor="text1"/>
          <w14:textFill>
            <w14:solidFill>
              <w14:schemeClr w14:val="tx1"/>
            </w14:solidFill>
          </w14:textFill>
        </w:rPr>
        <w:t>应</w:t>
      </w:r>
      <w:r>
        <w:rPr>
          <w:rFonts w:eastAsiaTheme="minorEastAsia"/>
          <w:color w:val="000000" w:themeColor="text1"/>
          <w14:textFill>
            <w14:solidFill>
              <w14:schemeClr w14:val="tx1"/>
            </w14:solidFill>
          </w14:textFill>
        </w:rPr>
        <w:t>设</w:t>
      </w:r>
      <w:r>
        <w:rPr>
          <w:rFonts w:hint="eastAsia" w:eastAsiaTheme="minorEastAsia"/>
          <w:color w:val="000000" w:themeColor="text1"/>
          <w14:textFill>
            <w14:solidFill>
              <w14:schemeClr w14:val="tx1"/>
            </w14:solidFill>
          </w14:textFill>
        </w:rPr>
        <w:t>置</w:t>
      </w:r>
      <w:r>
        <w:rPr>
          <w:rFonts w:eastAsiaTheme="minorEastAsia"/>
          <w:color w:val="000000" w:themeColor="text1"/>
          <w14:textFill>
            <w14:solidFill>
              <w14:schemeClr w14:val="tx1"/>
            </w14:solidFill>
          </w14:textFill>
        </w:rPr>
        <w:t>一级负荷电源。</w:t>
      </w:r>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 xml:space="preserve">4.0.22 </w:t>
      </w:r>
      <w:r>
        <w:rPr>
          <w:rFonts w:eastAsiaTheme="minorEastAsia"/>
          <w:color w:val="000000" w:themeColor="text1"/>
          <w14:textFill>
            <w14:solidFill>
              <w14:schemeClr w14:val="tx1"/>
            </w14:solidFill>
          </w14:textFill>
        </w:rPr>
        <w:t xml:space="preserve"> 涉汞冶炼过程应符合下列规定：</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1</w:t>
      </w:r>
      <w:r>
        <w:rPr>
          <w:rFonts w:eastAsiaTheme="minorEastAsia"/>
          <w:color w:val="000000" w:themeColor="text1"/>
          <w14:textFill>
            <w14:solidFill>
              <w14:schemeClr w14:val="tx1"/>
            </w14:solidFill>
          </w14:textFill>
        </w:rPr>
        <w:t xml:space="preserve">  冶炼过程应在密闭系统中进行；</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2</w:t>
      </w:r>
      <w:r>
        <w:rPr>
          <w:rFonts w:eastAsiaTheme="minorEastAsia"/>
          <w:color w:val="000000" w:themeColor="text1"/>
          <w14:textFill>
            <w14:solidFill>
              <w14:schemeClr w14:val="tx1"/>
            </w14:solidFill>
          </w14:textFill>
        </w:rPr>
        <w:t xml:space="preserve">  汞产品应密闭贮存，贮存仓库应设置备用排风设施，并应设置不间断电源；</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3</w:t>
      </w:r>
      <w:r>
        <w:rPr>
          <w:rFonts w:eastAsiaTheme="minorEastAsia"/>
          <w:color w:val="000000" w:themeColor="text1"/>
          <w14:textFill>
            <w14:solidFill>
              <w14:schemeClr w14:val="tx1"/>
            </w14:solidFill>
          </w14:textFill>
        </w:rPr>
        <w:t xml:space="preserve">  设备维修检修过程中应采取排风防护措施。</w:t>
      </w:r>
    </w:p>
    <w:p>
      <w:pPr>
        <w:pStyle w:val="82"/>
        <w:ind w:firstLine="0"/>
        <w:rPr>
          <w:rFonts w:eastAsiaTheme="minorEastAsia"/>
          <w:b/>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 xml:space="preserve">4.0.23  </w:t>
      </w:r>
      <w:r>
        <w:rPr>
          <w:rFonts w:eastAsiaTheme="minorEastAsia"/>
          <w:color w:val="000000" w:themeColor="text1"/>
          <w14:textFill>
            <w14:solidFill>
              <w14:schemeClr w14:val="tx1"/>
            </w14:solidFill>
          </w14:textFill>
        </w:rPr>
        <w:t>采用富氧熔炼的冶金炉，供氧系统与压缩空气供气系统以及燃料、还原剂供给系统间应设置联锁控制，当供气系统压力降低或停风时应能快速切断燃料、还原剂与氧气供给。</w:t>
      </w:r>
    </w:p>
    <w:p>
      <w:pPr>
        <w:pStyle w:val="134"/>
        <w:spacing w:line="360" w:lineRule="auto"/>
        <w:ind w:firstLine="0"/>
        <w:rPr>
          <w:rFonts w:ascii="Times New Roman" w:hAnsi="Times New Roman" w:eastAsiaTheme="minorEastAsia"/>
          <w:b w:val="0"/>
          <w:snapToGrid/>
          <w:color w:val="000000" w:themeColor="text1"/>
          <w:kern w:val="2"/>
          <w:szCs w:val="24"/>
          <w14:textFill>
            <w14:solidFill>
              <w14:schemeClr w14:val="tx1"/>
            </w14:solidFill>
          </w14:textFill>
        </w:rPr>
      </w:pPr>
    </w:p>
    <w:p>
      <w:pPr>
        <w:pStyle w:val="134"/>
        <w:spacing w:line="360" w:lineRule="auto"/>
        <w:ind w:firstLine="0"/>
        <w:rPr>
          <w:rFonts w:ascii="Times New Roman" w:hAnsi="Times New Roman"/>
        </w:rPr>
        <w:sectPr>
          <w:headerReference r:id="rId12" w:type="default"/>
          <w:headerReference r:id="rId13" w:type="even"/>
          <w:pgSz w:w="11906" w:h="16838"/>
          <w:pgMar w:top="1134" w:right="1531" w:bottom="1134" w:left="1531" w:header="0" w:footer="737" w:gutter="0"/>
          <w:cols w:space="720" w:num="1"/>
          <w:docGrid w:linePitch="312" w:charSpace="0"/>
        </w:sectPr>
      </w:pPr>
    </w:p>
    <w:p>
      <w:pPr>
        <w:pStyle w:val="129"/>
        <w:spacing w:before="120" w:beforeLines="50" w:after="120" w:afterLines="50" w:line="360" w:lineRule="auto"/>
        <w:rPr>
          <w:rFonts w:ascii="Times New Roman" w:hAnsi="Times New Roman" w:eastAsiaTheme="minorEastAsia"/>
          <w:b/>
          <w:color w:val="000000" w:themeColor="text1"/>
          <w14:textFill>
            <w14:solidFill>
              <w14:schemeClr w14:val="tx1"/>
            </w14:solidFill>
          </w14:textFill>
        </w:rPr>
      </w:pPr>
      <w:bookmarkStart w:id="71" w:name="_Toc118452942"/>
      <w:r>
        <w:rPr>
          <w:rFonts w:ascii="Times New Roman" w:hAnsi="Times New Roman" w:eastAsiaTheme="minorEastAsia"/>
          <w:b/>
          <w:color w:val="000000" w:themeColor="text1"/>
          <w14:textFill>
            <w14:solidFill>
              <w14:schemeClr w14:val="tx1"/>
            </w14:solidFill>
          </w14:textFill>
        </w:rPr>
        <w:t>5  湿法冶金</w:t>
      </w:r>
      <w:bookmarkEnd w:id="71"/>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5.0.1</w:t>
      </w:r>
      <w:r>
        <w:rPr>
          <w:rFonts w:eastAsiaTheme="minorEastAsia"/>
          <w:color w:val="000000" w:themeColor="text1"/>
          <w14:textFill>
            <w14:solidFill>
              <w14:schemeClr w14:val="tx1"/>
            </w14:solidFill>
          </w14:textFill>
        </w:rPr>
        <w:t xml:space="preserve">  铜电解精炼二段脱铜电解槽面应设置排气罩及机械排风装置</w:t>
      </w:r>
      <w:r>
        <w:rPr>
          <w:rFonts w:hint="eastAsia" w:eastAsiaTheme="minorEastAsia"/>
          <w:color w:val="000000" w:themeColor="text1"/>
          <w14:textFill>
            <w14:solidFill>
              <w14:schemeClr w14:val="tx1"/>
            </w14:solidFill>
          </w14:textFill>
        </w:rPr>
        <w:t>；</w:t>
      </w:r>
      <w:r>
        <w:rPr>
          <w:rFonts w:eastAsiaTheme="minorEastAsia"/>
          <w:color w:val="000000" w:themeColor="text1"/>
          <w14:textFill>
            <w14:solidFill>
              <w14:schemeClr w14:val="tx1"/>
            </w14:solidFill>
          </w14:textFill>
        </w:rPr>
        <w:t>排风装置的风机与脱铜电解整流设备之间应联锁控制，砷化氢等剧毒气体不得外逸。</w:t>
      </w:r>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5.0.2</w:t>
      </w:r>
      <w:r>
        <w:rPr>
          <w:rFonts w:eastAsiaTheme="minorEastAsia"/>
          <w:color w:val="000000" w:themeColor="text1"/>
          <w14:textFill>
            <w14:solidFill>
              <w14:schemeClr w14:val="tx1"/>
            </w14:solidFill>
          </w14:textFill>
        </w:rPr>
        <w:t xml:space="preserve">  氯化电解槽面及贮槽液面应设置气体收集设施，收集的氯气应循环使用或吸收处理。</w:t>
      </w:r>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5.0.3</w:t>
      </w:r>
      <w:r>
        <w:rPr>
          <w:rFonts w:eastAsiaTheme="minorEastAsia"/>
          <w:color w:val="000000" w:themeColor="text1"/>
          <w14:textFill>
            <w14:solidFill>
              <w14:schemeClr w14:val="tx1"/>
            </w14:solidFill>
          </w14:textFill>
        </w:rPr>
        <w:t xml:space="preserve">  萃取系统应符合下列规定：</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1</w:t>
      </w:r>
      <w:r>
        <w:rPr>
          <w:rFonts w:eastAsiaTheme="minorEastAsia"/>
          <w:color w:val="000000" w:themeColor="text1"/>
          <w14:textFill>
            <w14:solidFill>
              <w14:schemeClr w14:val="tx1"/>
            </w14:solidFill>
          </w14:textFill>
        </w:rPr>
        <w:t xml:space="preserve">  萃取厂房、萃取剂及溶剂油贮罐区应采取防火、防爆、防雷措施；</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2</w:t>
      </w:r>
      <w:r>
        <w:rPr>
          <w:rFonts w:eastAsiaTheme="minorEastAsia"/>
          <w:color w:val="000000" w:themeColor="text1"/>
          <w14:textFill>
            <w14:solidFill>
              <w14:schemeClr w14:val="tx1"/>
            </w14:solidFill>
          </w14:textFill>
        </w:rPr>
        <w:t xml:space="preserve">  采用易燃易爆的萃取剂、溶剂油时，应设置监测报警装置和有机相接地等防静电设施，并应采用防爆型电气设备；</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3</w:t>
      </w:r>
      <w:r>
        <w:rPr>
          <w:rFonts w:eastAsiaTheme="minorEastAsia"/>
          <w:color w:val="000000" w:themeColor="text1"/>
          <w14:textFill>
            <w14:solidFill>
              <w14:schemeClr w14:val="tx1"/>
            </w14:solidFill>
          </w14:textFill>
        </w:rPr>
        <w:t xml:space="preserve">  防火设计应按物质的火灾危险特征确定的火灾危险性类别设计，并应设置自动灭火系统；</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4</w:t>
      </w:r>
      <w:r>
        <w:rPr>
          <w:rFonts w:eastAsiaTheme="minorEastAsia"/>
          <w:color w:val="000000" w:themeColor="text1"/>
          <w14:textFill>
            <w14:solidFill>
              <w14:schemeClr w14:val="tx1"/>
            </w14:solidFill>
          </w14:textFill>
        </w:rPr>
        <w:t xml:space="preserve">  多列萃取箱配置在同一建筑防火分区内时，每列萃取箱应分别设置围堰，并应设置导液设施；相邻两列萃取箱之间应规范设置逃生主通道；</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5</w:t>
      </w:r>
      <w:r>
        <w:rPr>
          <w:rFonts w:eastAsiaTheme="minorEastAsia"/>
          <w:color w:val="000000" w:themeColor="text1"/>
          <w14:textFill>
            <w14:solidFill>
              <w14:schemeClr w14:val="tx1"/>
            </w14:solidFill>
          </w14:textFill>
        </w:rPr>
        <w:t xml:space="preserve">  萃取剂和溶剂油应设置在单独的厂房贮存</w:t>
      </w:r>
      <w:r>
        <w:rPr>
          <w:rFonts w:hint="eastAsia" w:eastAsiaTheme="minorEastAsia"/>
          <w:color w:val="000000" w:themeColor="text1"/>
          <w14:textFill>
            <w14:solidFill>
              <w14:schemeClr w14:val="tx1"/>
            </w14:solidFill>
          </w14:textFill>
        </w:rPr>
        <w:t>，</w:t>
      </w:r>
      <w:r>
        <w:rPr>
          <w:rFonts w:eastAsiaTheme="minorEastAsia"/>
          <w:color w:val="000000" w:themeColor="text1"/>
          <w14:textFill>
            <w14:solidFill>
              <w14:schemeClr w14:val="tx1"/>
            </w14:solidFill>
          </w14:textFill>
        </w:rPr>
        <w:t>溶剂油不得使用沟槽倒运；</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6</w:t>
      </w:r>
      <w:r>
        <w:rPr>
          <w:rFonts w:eastAsiaTheme="minorEastAsia"/>
          <w:color w:val="000000" w:themeColor="text1"/>
          <w14:textFill>
            <w14:solidFill>
              <w14:schemeClr w14:val="tx1"/>
            </w14:solidFill>
          </w14:textFill>
        </w:rPr>
        <w:t xml:space="preserve">  在萃取厂房入口</w:t>
      </w:r>
      <w:r>
        <w:rPr>
          <w:rFonts w:hint="eastAsia" w:eastAsiaTheme="minorEastAsia"/>
          <w:color w:val="000000" w:themeColor="text1"/>
          <w14:textFill>
            <w14:solidFill>
              <w14:schemeClr w14:val="tx1"/>
            </w14:solidFill>
          </w14:textFill>
        </w:rPr>
        <w:t>，</w:t>
      </w:r>
      <w:r>
        <w:rPr>
          <w:rFonts w:eastAsiaTheme="minorEastAsia"/>
          <w:color w:val="000000" w:themeColor="text1"/>
          <w14:textFill>
            <w14:solidFill>
              <w14:schemeClr w14:val="tx1"/>
            </w14:solidFill>
          </w14:textFill>
        </w:rPr>
        <w:t>应设置人体静电消除设施。</w:t>
      </w:r>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5.0.4</w:t>
      </w:r>
      <w:r>
        <w:rPr>
          <w:rFonts w:eastAsiaTheme="minorEastAsia"/>
          <w:color w:val="000000" w:themeColor="text1"/>
          <w14:textFill>
            <w14:solidFill>
              <w14:schemeClr w14:val="tx1"/>
            </w14:solidFill>
          </w14:textFill>
        </w:rPr>
        <w:t xml:space="preserve">  加压浸出系统应符合下列规定：</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1</w:t>
      </w:r>
      <w:r>
        <w:rPr>
          <w:rFonts w:eastAsiaTheme="minorEastAsia"/>
          <w:color w:val="000000" w:themeColor="text1"/>
          <w14:textFill>
            <w14:solidFill>
              <w14:schemeClr w14:val="tx1"/>
            </w14:solidFill>
          </w14:textFill>
        </w:rPr>
        <w:t xml:space="preserve">  加压釜与氧气、蒸汽、硫酸等管道间应设置自动切断阀，并应在失效状态下关闭；</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2</w:t>
      </w:r>
      <w:r>
        <w:rPr>
          <w:rFonts w:eastAsiaTheme="minorEastAsia"/>
          <w:color w:val="000000" w:themeColor="text1"/>
          <w14:textFill>
            <w14:solidFill>
              <w14:schemeClr w14:val="tx1"/>
            </w14:solidFill>
          </w14:textFill>
        </w:rPr>
        <w:t xml:space="preserve">  氧压浸出釜配置在室内时，厂房应设置泄爆面。控制室、值班室等不应与氧压浸出釜贴邻配置。</w:t>
      </w:r>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 xml:space="preserve">5.0.5 </w:t>
      </w:r>
      <w:r>
        <w:rPr>
          <w:rFonts w:eastAsiaTheme="minorEastAsia"/>
          <w:color w:val="000000" w:themeColor="text1"/>
          <w14:textFill>
            <w14:solidFill>
              <w14:schemeClr w14:val="tx1"/>
            </w14:solidFill>
          </w14:textFill>
        </w:rPr>
        <w:t xml:space="preserve"> 锌电积车间应按一级负荷供电，生产中锌不得反溶，电解液循环泵和起重机不得断电。</w:t>
      </w:r>
    </w:p>
    <w:p>
      <w:pPr>
        <w:pStyle w:val="82"/>
        <w:ind w:firstLine="0"/>
        <w:jc w:val="left"/>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5.0.6</w:t>
      </w:r>
      <w:r>
        <w:rPr>
          <w:rFonts w:eastAsiaTheme="minorEastAsia"/>
          <w:color w:val="000000" w:themeColor="text1"/>
          <w14:textFill>
            <w14:solidFill>
              <w14:schemeClr w14:val="tx1"/>
            </w14:solidFill>
          </w14:textFill>
        </w:rPr>
        <w:t xml:space="preserve">  湿法冶金车间应符合下列规定：</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1</w:t>
      </w:r>
      <w:r>
        <w:rPr>
          <w:rFonts w:eastAsiaTheme="minorEastAsia"/>
          <w:color w:val="000000" w:themeColor="text1"/>
          <w14:textFill>
            <w14:solidFill>
              <w14:schemeClr w14:val="tx1"/>
            </w14:solidFill>
          </w14:textFill>
        </w:rPr>
        <w:t xml:space="preserve">  产生砷化氢气体等有毒气体的工艺设备及附近区域、产生酸雾的浸出槽等工艺设备、产生氢气的工艺设备应设置气体收集处理设施，处理后</w:t>
      </w:r>
      <w:r>
        <w:rPr>
          <w:rFonts w:hint="eastAsia" w:eastAsiaTheme="minorEastAsia"/>
          <w:color w:val="000000" w:themeColor="text1"/>
          <w14:textFill>
            <w14:solidFill>
              <w14:schemeClr w14:val="tx1"/>
            </w14:solidFill>
          </w14:textFill>
        </w:rPr>
        <w:t>的</w:t>
      </w:r>
      <w:r>
        <w:rPr>
          <w:rFonts w:eastAsiaTheme="minorEastAsia"/>
          <w:color w:val="000000" w:themeColor="text1"/>
          <w14:textFill>
            <w14:solidFill>
              <w14:schemeClr w14:val="tx1"/>
            </w14:solidFill>
          </w14:textFill>
        </w:rPr>
        <w:t>气体应达标集中排放；</w:t>
      </w:r>
    </w:p>
    <w:p>
      <w:pPr>
        <w:pStyle w:val="82"/>
        <w:ind w:firstLine="481" w:firstLineChars="200"/>
        <w:rPr>
          <w:rFonts w:eastAsiaTheme="minorEastAsia"/>
          <w:b/>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2</w:t>
      </w:r>
      <w:r>
        <w:rPr>
          <w:rFonts w:eastAsiaTheme="minorEastAsia"/>
          <w:color w:val="000000" w:themeColor="text1"/>
          <w:sz w:val="22"/>
          <w14:textFill>
            <w14:solidFill>
              <w14:schemeClr w14:val="tx1"/>
            </w14:solidFill>
          </w14:textFill>
        </w:rPr>
        <w:t xml:space="preserve">  </w:t>
      </w:r>
      <w:r>
        <w:rPr>
          <w:rFonts w:eastAsiaTheme="minorEastAsia"/>
          <w:color w:val="000000" w:themeColor="text1"/>
          <w14:textFill>
            <w14:solidFill>
              <w14:schemeClr w14:val="tx1"/>
            </w14:solidFill>
          </w14:textFill>
        </w:rPr>
        <w:t>产生砷化氢等有毒气体的工艺设备及附近区域应设置探测报警装置；</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 xml:space="preserve">3  </w:t>
      </w:r>
      <w:r>
        <w:rPr>
          <w:rFonts w:eastAsiaTheme="minorEastAsia"/>
          <w:color w:val="000000" w:themeColor="text1"/>
          <w14:textFill>
            <w14:solidFill>
              <w14:schemeClr w14:val="tx1"/>
            </w14:solidFill>
          </w14:textFill>
        </w:rPr>
        <w:t>产生氢气的工艺设备应设置接地防静电设施；</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 xml:space="preserve">4 </w:t>
      </w:r>
      <w:r>
        <w:rPr>
          <w:rFonts w:eastAsiaTheme="minorEastAsia"/>
          <w:color w:val="000000" w:themeColor="text1"/>
          <w14:textFill>
            <w14:solidFill>
              <w14:schemeClr w14:val="tx1"/>
            </w14:solidFill>
          </w14:textFill>
        </w:rPr>
        <w:t xml:space="preserve"> 湿法工艺过程产生的氢气无法采取吸收消除措施时，应采取稀释措施，</w:t>
      </w:r>
      <w:r>
        <w:rPr>
          <w:rFonts w:hint="eastAsia" w:eastAsiaTheme="minorEastAsia"/>
          <w:color w:val="000000" w:themeColor="text1"/>
          <w14:textFill>
            <w14:solidFill>
              <w14:schemeClr w14:val="tx1"/>
            </w14:solidFill>
          </w14:textFill>
        </w:rPr>
        <w:t>并应</w:t>
      </w:r>
      <w:r>
        <w:rPr>
          <w:rFonts w:eastAsiaTheme="minorEastAsia"/>
          <w:color w:val="000000" w:themeColor="text1"/>
          <w14:textFill>
            <w14:solidFill>
              <w14:schemeClr w14:val="tx1"/>
            </w14:solidFill>
          </w14:textFill>
        </w:rPr>
        <w:t>使</w:t>
      </w:r>
      <w:r>
        <w:rPr>
          <w:rFonts w:hint="eastAsia" w:eastAsiaTheme="minorEastAsia"/>
          <w:color w:val="000000" w:themeColor="text1"/>
          <w14:textFill>
            <w14:solidFill>
              <w14:schemeClr w14:val="tx1"/>
            </w14:solidFill>
          </w14:textFill>
        </w:rPr>
        <w:t>氢气</w:t>
      </w:r>
      <w:r>
        <w:rPr>
          <w:rFonts w:eastAsiaTheme="minorEastAsia"/>
          <w:color w:val="000000" w:themeColor="text1"/>
          <w14:textFill>
            <w14:solidFill>
              <w14:schemeClr w14:val="tx1"/>
            </w14:solidFill>
          </w14:textFill>
        </w:rPr>
        <w:t>浓度低于</w:t>
      </w:r>
      <w:r>
        <w:rPr>
          <w:rFonts w:hint="eastAsia" w:eastAsiaTheme="minorEastAsia"/>
          <w:color w:val="000000" w:themeColor="text1"/>
          <w14:textFill>
            <w14:solidFill>
              <w14:schemeClr w14:val="tx1"/>
            </w14:solidFill>
          </w14:textFill>
        </w:rPr>
        <w:t>氢气</w:t>
      </w:r>
      <w:r>
        <w:rPr>
          <w:rFonts w:eastAsiaTheme="minorEastAsia"/>
          <w:color w:val="000000" w:themeColor="text1"/>
          <w14:textFill>
            <w14:solidFill>
              <w14:schemeClr w14:val="tx1"/>
            </w14:solidFill>
          </w14:textFill>
        </w:rPr>
        <w:t>极限爆炸浓度低限值的50%。</w:t>
      </w:r>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 xml:space="preserve">5.0.7 </w:t>
      </w:r>
      <w:r>
        <w:rPr>
          <w:rFonts w:eastAsiaTheme="minorEastAsia"/>
          <w:color w:val="000000" w:themeColor="text1"/>
          <w14:textFill>
            <w14:solidFill>
              <w14:schemeClr w14:val="tx1"/>
            </w14:solidFill>
          </w14:textFill>
        </w:rPr>
        <w:t xml:space="preserve"> </w:t>
      </w:r>
      <w:r>
        <w:rPr>
          <w:rFonts w:eastAsiaTheme="minorEastAsia"/>
          <w:bCs/>
          <w:color w:val="000000" w:themeColor="text1"/>
          <w14:textFill>
            <w14:solidFill>
              <w14:schemeClr w14:val="tx1"/>
            </w14:solidFill>
          </w14:textFill>
        </w:rPr>
        <w:t>湿法冶金工业场地应设置事故应急收集设施。</w:t>
      </w:r>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5.0.8</w:t>
      </w:r>
      <w:r>
        <w:rPr>
          <w:rFonts w:eastAsiaTheme="minorEastAsia"/>
          <w:color w:val="000000" w:themeColor="text1"/>
          <w14:textFill>
            <w14:solidFill>
              <w14:schemeClr w14:val="tx1"/>
            </w14:solidFill>
          </w14:textFill>
        </w:rPr>
        <w:t xml:space="preserve">  重有色金属电解槽与接触梁柱、楼板应采取绝缘措施，电解出装槽的起重机应选用绝缘型起重机。</w:t>
      </w:r>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 xml:space="preserve">5.0.9 </w:t>
      </w:r>
      <w:r>
        <w:rPr>
          <w:rFonts w:eastAsiaTheme="minorEastAsia"/>
          <w:color w:val="000000" w:themeColor="text1"/>
          <w14:textFill>
            <w14:solidFill>
              <w14:schemeClr w14:val="tx1"/>
            </w14:solidFill>
          </w14:textFill>
        </w:rPr>
        <w:t xml:space="preserve"> 湿法车间接触腐蚀性介质的厂房楼面、地面、柱子基础、设备基础等应</w:t>
      </w:r>
      <w:r>
        <w:rPr>
          <w:rFonts w:hint="eastAsia" w:eastAsiaTheme="minorEastAsia"/>
          <w:color w:val="000000" w:themeColor="text1"/>
          <w14:textFill>
            <w14:solidFill>
              <w14:schemeClr w14:val="tx1"/>
            </w14:solidFill>
          </w14:textFill>
        </w:rPr>
        <w:t>进行</w:t>
      </w:r>
      <w:r>
        <w:rPr>
          <w:rFonts w:eastAsiaTheme="minorEastAsia"/>
          <w:color w:val="000000" w:themeColor="text1"/>
          <w14:textFill>
            <w14:solidFill>
              <w14:schemeClr w14:val="tx1"/>
            </w14:solidFill>
          </w14:textFill>
        </w:rPr>
        <w:t>防腐处理。</w:t>
      </w:r>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 xml:space="preserve">5.0.10  </w:t>
      </w:r>
      <w:r>
        <w:rPr>
          <w:rFonts w:eastAsiaTheme="minorEastAsia"/>
          <w:color w:val="000000" w:themeColor="text1"/>
          <w14:textFill>
            <w14:solidFill>
              <w14:schemeClr w14:val="tx1"/>
            </w14:solidFill>
          </w14:textFill>
        </w:rPr>
        <w:t>废旧电池处置浸出、萃取厂房地面</w:t>
      </w:r>
      <w:r>
        <w:rPr>
          <w:rFonts w:hint="eastAsia" w:eastAsiaTheme="minorEastAsia"/>
          <w:color w:val="000000" w:themeColor="text1"/>
          <w14:textFill>
            <w14:solidFill>
              <w14:schemeClr w14:val="tx1"/>
            </w14:solidFill>
          </w14:textFill>
        </w:rPr>
        <w:t>进行</w:t>
      </w:r>
      <w:r>
        <w:rPr>
          <w:rFonts w:eastAsiaTheme="minorEastAsia"/>
          <w:color w:val="000000" w:themeColor="text1"/>
          <w14:textFill>
            <w14:solidFill>
              <w14:schemeClr w14:val="tx1"/>
            </w14:solidFill>
          </w14:textFill>
        </w:rPr>
        <w:t>下沉处理时，应符合下列规定：</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1</w:t>
      </w:r>
      <w:r>
        <w:rPr>
          <w:rFonts w:eastAsiaTheme="minorEastAsia"/>
          <w:color w:val="000000" w:themeColor="text1"/>
          <w14:textFill>
            <w14:solidFill>
              <w14:schemeClr w14:val="tx1"/>
            </w14:solidFill>
          </w14:textFill>
        </w:rPr>
        <w:t xml:space="preserve">  下沉高度的墙面应采取防渗漏、防腐蚀措施；</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2</w:t>
      </w:r>
      <w:r>
        <w:rPr>
          <w:rFonts w:eastAsiaTheme="minorEastAsia"/>
          <w:color w:val="000000" w:themeColor="text1"/>
          <w14:textFill>
            <w14:solidFill>
              <w14:schemeClr w14:val="tx1"/>
            </w14:solidFill>
          </w14:textFill>
        </w:rPr>
        <w:t xml:space="preserve">  厂房内应配备导流沟、应急池等废液截流和收集设施；</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3</w:t>
      </w:r>
      <w:r>
        <w:rPr>
          <w:rFonts w:eastAsiaTheme="minorEastAsia"/>
          <w:color w:val="000000" w:themeColor="text1"/>
          <w14:textFill>
            <w14:solidFill>
              <w14:schemeClr w14:val="tx1"/>
            </w14:solidFill>
          </w14:textFill>
        </w:rPr>
        <w:t xml:space="preserve">  厂房内应设置安全岛和逃生通道。</w:t>
      </w:r>
    </w:p>
    <w:p>
      <w:pPr>
        <w:pStyle w:val="134"/>
        <w:spacing w:line="360" w:lineRule="auto"/>
        <w:ind w:firstLine="0"/>
        <w:rPr>
          <w:rFonts w:ascii="Times New Roman" w:hAnsi="Times New Roman" w:eastAsiaTheme="minorEastAsia"/>
          <w:b w:val="0"/>
          <w:color w:val="000000" w:themeColor="text1"/>
          <w:szCs w:val="24"/>
          <w14:textFill>
            <w14:solidFill>
              <w14:schemeClr w14:val="tx1"/>
            </w14:solidFill>
          </w14:textFill>
        </w:rPr>
      </w:pPr>
      <w:r>
        <w:rPr>
          <w:rFonts w:ascii="Times New Roman" w:hAnsi="Times New Roman" w:eastAsiaTheme="minorEastAsia"/>
          <w:color w:val="000000" w:themeColor="text1"/>
          <w:szCs w:val="24"/>
          <w14:textFill>
            <w14:solidFill>
              <w14:schemeClr w14:val="tx1"/>
            </w14:solidFill>
          </w14:textFill>
        </w:rPr>
        <w:t>5.0.11</w:t>
      </w:r>
      <w:r>
        <w:rPr>
          <w:rFonts w:ascii="Times New Roman" w:hAnsi="Times New Roman" w:eastAsiaTheme="minorEastAsia"/>
          <w:b w:val="0"/>
          <w:color w:val="000000" w:themeColor="text1"/>
          <w:szCs w:val="24"/>
          <w14:textFill>
            <w14:solidFill>
              <w14:schemeClr w14:val="tx1"/>
            </w14:solidFill>
          </w14:textFill>
        </w:rPr>
        <w:t xml:space="preserve">  储存含重有色金属的浆液或溶液的贮罐场地，应符合下列规定：</w:t>
      </w:r>
    </w:p>
    <w:p>
      <w:pPr>
        <w:pStyle w:val="134"/>
        <w:spacing w:line="360" w:lineRule="auto"/>
        <w:ind w:firstLine="481" w:firstLineChars="200"/>
        <w:rPr>
          <w:rFonts w:ascii="Times New Roman" w:hAnsi="Times New Roman" w:eastAsiaTheme="minorEastAsia"/>
          <w:b w:val="0"/>
          <w:color w:val="000000" w:themeColor="text1"/>
          <w:szCs w:val="24"/>
          <w14:textFill>
            <w14:solidFill>
              <w14:schemeClr w14:val="tx1"/>
            </w14:solidFill>
          </w14:textFill>
        </w:rPr>
      </w:pPr>
      <w:r>
        <w:rPr>
          <w:rFonts w:ascii="Times New Roman" w:hAnsi="Times New Roman" w:eastAsiaTheme="minorEastAsia"/>
          <w:color w:val="000000" w:themeColor="text1"/>
          <w:szCs w:val="24"/>
          <w14:textFill>
            <w14:solidFill>
              <w14:schemeClr w14:val="tx1"/>
            </w14:solidFill>
          </w14:textFill>
        </w:rPr>
        <w:t xml:space="preserve">1 </w:t>
      </w:r>
      <w:r>
        <w:rPr>
          <w:rFonts w:ascii="Times New Roman" w:hAnsi="Times New Roman" w:eastAsiaTheme="minorEastAsia"/>
          <w:b w:val="0"/>
          <w:color w:val="000000" w:themeColor="text1"/>
          <w:szCs w:val="24"/>
          <w14:textFill>
            <w14:solidFill>
              <w14:schemeClr w14:val="tx1"/>
            </w14:solidFill>
          </w14:textFill>
        </w:rPr>
        <w:t xml:space="preserve"> 储存场地应设置围堰、事故池及事故后处理设施；</w:t>
      </w:r>
    </w:p>
    <w:p>
      <w:pPr>
        <w:pStyle w:val="134"/>
        <w:spacing w:line="360" w:lineRule="auto"/>
        <w:ind w:firstLine="481" w:firstLineChars="200"/>
        <w:rPr>
          <w:rFonts w:ascii="Times New Roman" w:hAnsi="Times New Roman" w:eastAsiaTheme="minorEastAsia"/>
          <w:b w:val="0"/>
          <w:color w:val="000000" w:themeColor="text1"/>
          <w:szCs w:val="24"/>
          <w14:textFill>
            <w14:solidFill>
              <w14:schemeClr w14:val="tx1"/>
            </w14:solidFill>
          </w14:textFill>
        </w:rPr>
      </w:pPr>
      <w:r>
        <w:rPr>
          <w:rFonts w:ascii="Times New Roman" w:hAnsi="Times New Roman" w:eastAsiaTheme="minorEastAsia"/>
          <w:color w:val="000000" w:themeColor="text1"/>
          <w:szCs w:val="24"/>
          <w14:textFill>
            <w14:solidFill>
              <w14:schemeClr w14:val="tx1"/>
            </w14:solidFill>
          </w14:textFill>
        </w:rPr>
        <w:t xml:space="preserve">2 </w:t>
      </w:r>
      <w:r>
        <w:rPr>
          <w:rFonts w:ascii="Times New Roman" w:hAnsi="Times New Roman" w:eastAsiaTheme="minorEastAsia"/>
          <w:b w:val="0"/>
          <w:color w:val="000000" w:themeColor="text1"/>
          <w:szCs w:val="24"/>
          <w14:textFill>
            <w14:solidFill>
              <w14:schemeClr w14:val="tx1"/>
            </w14:solidFill>
          </w14:textFill>
        </w:rPr>
        <w:t xml:space="preserve"> 围堰、地面及事故池应采取防渗、防腐措施。</w:t>
      </w:r>
    </w:p>
    <w:p>
      <w:pPr>
        <w:pStyle w:val="134"/>
        <w:spacing w:line="360" w:lineRule="auto"/>
        <w:ind w:firstLine="0"/>
        <w:rPr>
          <w:rFonts w:ascii="Times New Roman" w:hAnsi="Times New Roman" w:eastAsiaTheme="minorEastAsia"/>
          <w:b w:val="0"/>
          <w:snapToGrid/>
          <w:color w:val="000000" w:themeColor="text1"/>
          <w:kern w:val="2"/>
          <w:szCs w:val="24"/>
          <w14:textFill>
            <w14:solidFill>
              <w14:schemeClr w14:val="tx1"/>
            </w14:solidFill>
          </w14:textFill>
        </w:rPr>
      </w:pPr>
    </w:p>
    <w:p>
      <w:pPr>
        <w:pStyle w:val="134"/>
        <w:spacing w:line="360" w:lineRule="auto"/>
        <w:ind w:firstLine="0"/>
        <w:rPr>
          <w:rFonts w:ascii="Times New Roman" w:hAnsi="Times New Roman"/>
        </w:rPr>
        <w:sectPr>
          <w:headerReference r:id="rId14" w:type="default"/>
          <w:headerReference r:id="rId15" w:type="even"/>
          <w:pgSz w:w="11906" w:h="16838"/>
          <w:pgMar w:top="1134" w:right="1531" w:bottom="1134" w:left="1531" w:header="0" w:footer="737" w:gutter="0"/>
          <w:cols w:space="720" w:num="1"/>
          <w:docGrid w:linePitch="312" w:charSpace="0"/>
        </w:sectPr>
      </w:pPr>
    </w:p>
    <w:p>
      <w:pPr>
        <w:pStyle w:val="129"/>
        <w:spacing w:before="120" w:beforeLines="50" w:after="120" w:afterLines="50" w:line="360" w:lineRule="auto"/>
        <w:rPr>
          <w:rFonts w:ascii="Times New Roman" w:hAnsi="Times New Roman" w:eastAsiaTheme="minorEastAsia"/>
          <w:b/>
          <w:color w:val="000000" w:themeColor="text1"/>
          <w14:textFill>
            <w14:solidFill>
              <w14:schemeClr w14:val="tx1"/>
            </w14:solidFill>
          </w14:textFill>
        </w:rPr>
      </w:pPr>
      <w:bookmarkStart w:id="72" w:name="_Toc118452943"/>
      <w:r>
        <w:rPr>
          <w:rFonts w:ascii="Times New Roman" w:hAnsi="Times New Roman" w:eastAsiaTheme="minorEastAsia"/>
          <w:b/>
          <w:color w:val="000000" w:themeColor="text1"/>
          <w14:textFill>
            <w14:solidFill>
              <w14:schemeClr w14:val="tx1"/>
            </w14:solidFill>
          </w14:textFill>
        </w:rPr>
        <w:t>6  冶炼烟气处理</w:t>
      </w:r>
      <w:bookmarkEnd w:id="72"/>
    </w:p>
    <w:p>
      <w:pPr>
        <w:pStyle w:val="3"/>
        <w:spacing w:before="120" w:beforeLines="50" w:after="120" w:afterLines="50" w:line="360" w:lineRule="auto"/>
        <w:jc w:val="center"/>
        <w:rPr>
          <w:rFonts w:ascii="Times New Roman" w:hAnsi="Times New Roman" w:eastAsiaTheme="minorEastAsia"/>
          <w:color w:val="000000" w:themeColor="text1"/>
          <w:sz w:val="28"/>
          <w:szCs w:val="28"/>
          <w14:textFill>
            <w14:solidFill>
              <w14:schemeClr w14:val="tx1"/>
            </w14:solidFill>
          </w14:textFill>
        </w:rPr>
      </w:pPr>
      <w:bookmarkStart w:id="73" w:name="_Toc8761167"/>
      <w:bookmarkStart w:id="74" w:name="_Toc118452944"/>
      <w:r>
        <w:rPr>
          <w:rFonts w:ascii="Times New Roman" w:hAnsi="Times New Roman" w:eastAsiaTheme="minorEastAsia"/>
          <w:color w:val="000000" w:themeColor="text1"/>
          <w:sz w:val="28"/>
          <w:szCs w:val="28"/>
          <w14:textFill>
            <w14:solidFill>
              <w14:schemeClr w14:val="tx1"/>
            </w14:solidFill>
          </w14:textFill>
        </w:rPr>
        <w:t>6.1</w:t>
      </w:r>
      <w:bookmarkEnd w:id="73"/>
      <w:r>
        <w:rPr>
          <w:rFonts w:ascii="Times New Roman" w:hAnsi="Times New Roman" w:eastAsiaTheme="minorEastAsia"/>
          <w:color w:val="000000" w:themeColor="text1"/>
          <w:sz w:val="28"/>
          <w:szCs w:val="28"/>
          <w14:textFill>
            <w14:solidFill>
              <w14:schemeClr w14:val="tx1"/>
            </w14:solidFill>
          </w14:textFill>
        </w:rPr>
        <w:t xml:space="preserve">  干式除尘</w:t>
      </w:r>
      <w:bookmarkEnd w:id="74"/>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6.1.1</w:t>
      </w:r>
      <w:r>
        <w:rPr>
          <w:rFonts w:eastAsiaTheme="minorEastAsia"/>
          <w:color w:val="000000" w:themeColor="text1"/>
          <w14:textFill>
            <w14:solidFill>
              <w14:schemeClr w14:val="tx1"/>
            </w14:solidFill>
          </w14:textFill>
        </w:rPr>
        <w:t xml:space="preserve">  干式除尘系统操作温度应在所处理的冶炼烟气露点以上。</w:t>
      </w:r>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6.1.2</w:t>
      </w:r>
      <w:r>
        <w:rPr>
          <w:rFonts w:eastAsiaTheme="minorEastAsia"/>
          <w:color w:val="000000" w:themeColor="text1"/>
          <w14:textFill>
            <w14:solidFill>
              <w14:schemeClr w14:val="tx1"/>
            </w14:solidFill>
          </w14:textFill>
        </w:rPr>
        <w:t xml:space="preserve">  采用骤冷收砷工艺处理含砷烟气时，所收集的固态三氧化二砷不得采用正压气力输送方式输送。</w:t>
      </w:r>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6.1.3</w:t>
      </w:r>
      <w:r>
        <w:rPr>
          <w:rFonts w:eastAsiaTheme="minorEastAsia"/>
          <w:color w:val="000000" w:themeColor="text1"/>
          <w14:textFill>
            <w14:solidFill>
              <w14:schemeClr w14:val="tx1"/>
            </w14:solidFill>
          </w14:textFill>
        </w:rPr>
        <w:t xml:space="preserve">  采用过滤式除尘器处理含有氟化氢的冶炼烟气时，不得采用含二氧化硅的滤料。</w:t>
      </w:r>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 xml:space="preserve">6.1.4 </w:t>
      </w:r>
      <w:r>
        <w:rPr>
          <w:rFonts w:eastAsiaTheme="minorEastAsia"/>
          <w:color w:val="000000" w:themeColor="text1"/>
          <w14:textFill>
            <w14:solidFill>
              <w14:schemeClr w14:val="tx1"/>
            </w14:solidFill>
          </w14:textFill>
        </w:rPr>
        <w:t xml:space="preserve"> 重有色金属冶炼烟气干式除尘过程收集的烟尘，应根据烟尘性质和类别按规范要求安全处置。</w:t>
      </w:r>
    </w:p>
    <w:p>
      <w:pPr>
        <w:pStyle w:val="3"/>
        <w:spacing w:before="120" w:beforeLines="50" w:after="120" w:afterLines="50" w:line="360" w:lineRule="auto"/>
        <w:jc w:val="center"/>
        <w:rPr>
          <w:rFonts w:ascii="Times New Roman" w:hAnsi="Times New Roman" w:eastAsiaTheme="minorEastAsia"/>
          <w:color w:val="000000" w:themeColor="text1"/>
          <w:sz w:val="28"/>
          <w:szCs w:val="28"/>
          <w14:textFill>
            <w14:solidFill>
              <w14:schemeClr w14:val="tx1"/>
            </w14:solidFill>
          </w14:textFill>
        </w:rPr>
      </w:pPr>
      <w:bookmarkStart w:id="75" w:name="_Toc118452945"/>
      <w:r>
        <w:rPr>
          <w:rFonts w:ascii="Times New Roman" w:hAnsi="Times New Roman" w:eastAsiaTheme="minorEastAsia"/>
          <w:color w:val="000000" w:themeColor="text1"/>
          <w:sz w:val="28"/>
          <w:szCs w:val="28"/>
          <w14:textFill>
            <w14:solidFill>
              <w14:schemeClr w14:val="tx1"/>
            </w14:solidFill>
          </w14:textFill>
        </w:rPr>
        <w:t>6.2  净化与制酸</w:t>
      </w:r>
      <w:bookmarkEnd w:id="75"/>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6.2.1</w:t>
      </w:r>
      <w:r>
        <w:rPr>
          <w:rFonts w:eastAsiaTheme="minorEastAsia"/>
          <w:color w:val="000000" w:themeColor="text1"/>
          <w14:textFill>
            <w14:solidFill>
              <w14:schemeClr w14:val="tx1"/>
            </w14:solidFill>
          </w14:textFill>
        </w:rPr>
        <w:t xml:space="preserve">  含可溶性有毒气体污染物的废液应在废液处理前脱吸，脱吸后气体应返回系统或处理达标后排放。</w:t>
      </w:r>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6.2.2</w:t>
      </w:r>
      <w:r>
        <w:rPr>
          <w:rFonts w:eastAsiaTheme="minorEastAsia"/>
          <w:color w:val="000000" w:themeColor="text1"/>
          <w14:textFill>
            <w14:solidFill>
              <w14:schemeClr w14:val="tx1"/>
            </w14:solidFill>
          </w14:textFill>
        </w:rPr>
        <w:t xml:space="preserve">  烟气洗涤净化和废酸处理产生的危险废渣应规范化管理、安全处置。</w:t>
      </w:r>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6.2.3</w:t>
      </w:r>
      <w:r>
        <w:rPr>
          <w:rFonts w:eastAsiaTheme="minorEastAsia"/>
          <w:color w:val="000000" w:themeColor="text1"/>
          <w14:textFill>
            <w14:solidFill>
              <w14:schemeClr w14:val="tx1"/>
            </w14:solidFill>
          </w14:textFill>
        </w:rPr>
        <w:t xml:space="preserve">  采用硫化工艺处理废酸时，应符合下列规定：</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1</w:t>
      </w:r>
      <w:r>
        <w:rPr>
          <w:rFonts w:eastAsiaTheme="minorEastAsia"/>
          <w:color w:val="000000" w:themeColor="text1"/>
          <w14:textFill>
            <w14:solidFill>
              <w14:schemeClr w14:val="tx1"/>
            </w14:solidFill>
          </w14:textFill>
        </w:rPr>
        <w:t xml:space="preserve">  废酸处理装置及生产场所应设置硫化氢收集、净化装置；</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2</w:t>
      </w:r>
      <w:r>
        <w:rPr>
          <w:rFonts w:eastAsiaTheme="minorEastAsia"/>
          <w:color w:val="000000" w:themeColor="text1"/>
          <w14:textFill>
            <w14:solidFill>
              <w14:schemeClr w14:val="tx1"/>
            </w14:solidFill>
          </w14:textFill>
        </w:rPr>
        <w:t xml:space="preserve">  硫化区域应设置固定式硫化氢监测报警装置。</w:t>
      </w:r>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6.2.4</w:t>
      </w:r>
      <w:r>
        <w:rPr>
          <w:rFonts w:eastAsiaTheme="minorEastAsia"/>
          <w:color w:val="000000" w:themeColor="text1"/>
          <w14:textFill>
            <w14:solidFill>
              <w14:schemeClr w14:val="tx1"/>
            </w14:solidFill>
          </w14:textFill>
        </w:rPr>
        <w:t xml:space="preserve">  浓硫酸循环槽应设置溢流、排气、排</w:t>
      </w:r>
      <w:r>
        <w:rPr>
          <w:rFonts w:hint="eastAsia" w:eastAsiaTheme="minorEastAsia"/>
          <w:color w:val="000000" w:themeColor="text1"/>
          <w14:textFill>
            <w14:solidFill>
              <w14:schemeClr w14:val="tx1"/>
            </w14:solidFill>
          </w14:textFill>
        </w:rPr>
        <w:t>污</w:t>
      </w:r>
      <w:r>
        <w:rPr>
          <w:rFonts w:eastAsiaTheme="minorEastAsia"/>
          <w:color w:val="000000" w:themeColor="text1"/>
          <w14:textFill>
            <w14:solidFill>
              <w14:schemeClr w14:val="tx1"/>
            </w14:solidFill>
          </w14:textFill>
        </w:rPr>
        <w:t>（酸）设施。</w:t>
      </w:r>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 xml:space="preserve">6.2.5 </w:t>
      </w:r>
      <w:r>
        <w:rPr>
          <w:rFonts w:eastAsiaTheme="minorEastAsia"/>
          <w:color w:val="000000" w:themeColor="text1"/>
          <w14:textFill>
            <w14:solidFill>
              <w14:schemeClr w14:val="tx1"/>
            </w14:solidFill>
          </w14:textFill>
        </w:rPr>
        <w:t xml:space="preserve"> 浓硫酸冷却采用循环水时，酸冷却器酸侧压力应高于水侧压力。</w:t>
      </w:r>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 xml:space="preserve">6.2.6 </w:t>
      </w:r>
      <w:r>
        <w:rPr>
          <w:rFonts w:eastAsiaTheme="minorEastAsia"/>
          <w:color w:val="000000" w:themeColor="text1"/>
          <w14:textFill>
            <w14:solidFill>
              <w14:schemeClr w14:val="tx1"/>
            </w14:solidFill>
          </w14:textFill>
        </w:rPr>
        <w:t xml:space="preserve"> 浓硫酸管道上的连接法兰应设置防喷溅护罩。</w:t>
      </w:r>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6.2.7</w:t>
      </w:r>
      <w:r>
        <w:rPr>
          <w:rFonts w:eastAsiaTheme="minorEastAsia"/>
          <w:color w:val="000000" w:themeColor="text1"/>
          <w14:textFill>
            <w14:solidFill>
              <w14:schemeClr w14:val="tx1"/>
            </w14:solidFill>
          </w14:textFill>
        </w:rPr>
        <w:t xml:space="preserve">  浓硫酸储罐应设置溢流、排净、呼吸装置，储存及装卸发烟硫酸应设置回收三氧化硫气体的设施。</w:t>
      </w:r>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 xml:space="preserve">6.2.8 </w:t>
      </w:r>
      <w:r>
        <w:rPr>
          <w:rFonts w:eastAsiaTheme="minorEastAsia"/>
          <w:color w:val="000000" w:themeColor="text1"/>
          <w14:textFill>
            <w14:solidFill>
              <w14:schemeClr w14:val="tx1"/>
            </w14:solidFill>
          </w14:textFill>
        </w:rPr>
        <w:t xml:space="preserve"> 硫酸储罐区的浓硫酸地下槽应布置在浓硫酸储罐围堰外。</w:t>
      </w:r>
    </w:p>
    <w:p>
      <w:pPr>
        <w:pStyle w:val="3"/>
        <w:spacing w:before="120" w:beforeLines="50" w:after="120" w:afterLines="50" w:line="360" w:lineRule="auto"/>
        <w:jc w:val="center"/>
        <w:rPr>
          <w:rFonts w:ascii="Times New Roman" w:hAnsi="Times New Roman" w:eastAsiaTheme="minorEastAsia"/>
          <w:color w:val="000000" w:themeColor="text1"/>
          <w:sz w:val="28"/>
          <w:szCs w:val="28"/>
          <w14:textFill>
            <w14:solidFill>
              <w14:schemeClr w14:val="tx1"/>
            </w14:solidFill>
          </w14:textFill>
        </w:rPr>
      </w:pPr>
      <w:bookmarkStart w:id="76" w:name="_Toc118452946"/>
      <w:r>
        <w:rPr>
          <w:rFonts w:ascii="Times New Roman" w:hAnsi="Times New Roman" w:eastAsiaTheme="minorEastAsia"/>
          <w:color w:val="000000" w:themeColor="text1"/>
          <w:sz w:val="28"/>
          <w:szCs w:val="28"/>
          <w14:textFill>
            <w14:solidFill>
              <w14:schemeClr w14:val="tx1"/>
            </w14:solidFill>
          </w14:textFill>
        </w:rPr>
        <w:t>6.3  脱硫、脱硝</w:t>
      </w:r>
      <w:bookmarkEnd w:id="76"/>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 xml:space="preserve">6.3.1 </w:t>
      </w:r>
      <w:r>
        <w:rPr>
          <w:rFonts w:eastAsiaTheme="minorEastAsia"/>
          <w:color w:val="000000" w:themeColor="text1"/>
          <w14:textFill>
            <w14:solidFill>
              <w14:schemeClr w14:val="tx1"/>
            </w14:solidFill>
          </w14:textFill>
        </w:rPr>
        <w:t xml:space="preserve"> 烟气温度超过湿法脱硫工艺、设备要求时，应采取预降温措施。</w:t>
      </w:r>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6.3.2</w:t>
      </w:r>
      <w:r>
        <w:rPr>
          <w:rFonts w:eastAsiaTheme="minorEastAsia"/>
          <w:color w:val="000000" w:themeColor="text1"/>
          <w14:textFill>
            <w14:solidFill>
              <w14:schemeClr w14:val="tx1"/>
            </w14:solidFill>
          </w14:textFill>
        </w:rPr>
        <w:t xml:space="preserve">  脱硫剂料仓带压时，</w:t>
      </w:r>
      <w:r>
        <w:rPr>
          <w:rFonts w:hint="eastAsia" w:eastAsiaTheme="minorEastAsia"/>
          <w:color w:val="000000" w:themeColor="text1"/>
          <w14:textFill>
            <w14:solidFill>
              <w14:schemeClr w14:val="tx1"/>
            </w14:solidFill>
          </w14:textFill>
        </w:rPr>
        <w:t>在</w:t>
      </w:r>
      <w:r>
        <w:rPr>
          <w:rFonts w:eastAsiaTheme="minorEastAsia"/>
          <w:color w:val="000000" w:themeColor="text1"/>
          <w14:textFill>
            <w14:solidFill>
              <w14:schemeClr w14:val="tx1"/>
            </w14:solidFill>
          </w14:textFill>
        </w:rPr>
        <w:t>料仓顶部应设置呼吸阀。</w:t>
      </w:r>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 xml:space="preserve">6.3.3 </w:t>
      </w:r>
      <w:r>
        <w:rPr>
          <w:rFonts w:eastAsiaTheme="minorEastAsia"/>
          <w:color w:val="000000" w:themeColor="text1"/>
          <w14:textFill>
            <w14:solidFill>
              <w14:schemeClr w14:val="tx1"/>
            </w14:solidFill>
          </w14:textFill>
        </w:rPr>
        <w:t xml:space="preserve"> 烟气中含有氟化氢、氯化氢、二噁英、三氧化硫、酸雾、油、重金属及其化合物、颗粒物等组分时，应按脱硫工艺要求设置预处理设施。</w:t>
      </w:r>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 xml:space="preserve">6.3.4 </w:t>
      </w:r>
      <w:r>
        <w:rPr>
          <w:rFonts w:eastAsiaTheme="minorEastAsia"/>
          <w:color w:val="000000" w:themeColor="text1"/>
          <w14:textFill>
            <w14:solidFill>
              <w14:schemeClr w14:val="tx1"/>
            </w14:solidFill>
          </w14:textFill>
        </w:rPr>
        <w:t xml:space="preserve"> 采用活性焦脱硫工艺时，应符合下列规定：</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 xml:space="preserve">1 </w:t>
      </w:r>
      <w:r>
        <w:rPr>
          <w:rFonts w:eastAsiaTheme="minorEastAsia"/>
          <w:color w:val="000000" w:themeColor="text1"/>
          <w14:textFill>
            <w14:solidFill>
              <w14:schemeClr w14:val="tx1"/>
            </w14:solidFill>
          </w14:textFill>
        </w:rPr>
        <w:t xml:space="preserve"> 吸收塔应设置氮气喷入设施和空气导入设施；</w:t>
      </w:r>
      <w:r>
        <w:rPr>
          <w:rFonts w:hint="eastAsia" w:eastAsiaTheme="minorEastAsia"/>
          <w:color w:val="000000" w:themeColor="text1"/>
          <w14:textFill>
            <w14:solidFill>
              <w14:schemeClr w14:val="tx1"/>
            </w14:solidFill>
          </w14:textFill>
        </w:rPr>
        <w:t>在</w:t>
      </w:r>
      <w:r>
        <w:rPr>
          <w:rFonts w:eastAsiaTheme="minorEastAsia"/>
          <w:color w:val="000000" w:themeColor="text1"/>
          <w14:textFill>
            <w14:solidFill>
              <w14:schemeClr w14:val="tx1"/>
            </w14:solidFill>
          </w14:textFill>
        </w:rPr>
        <w:t>吸收塔活性焦进料口、出料口应安装具有锁气功能的卸料器；</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 xml:space="preserve">2 </w:t>
      </w:r>
      <w:r>
        <w:rPr>
          <w:rFonts w:eastAsiaTheme="minorEastAsia"/>
          <w:color w:val="000000" w:themeColor="text1"/>
          <w14:textFill>
            <w14:solidFill>
              <w14:schemeClr w14:val="tx1"/>
            </w14:solidFill>
          </w14:textFill>
        </w:rPr>
        <w:t xml:space="preserve"> </w:t>
      </w:r>
      <w:r>
        <w:rPr>
          <w:rFonts w:hint="eastAsia" w:eastAsiaTheme="minorEastAsia"/>
          <w:color w:val="000000" w:themeColor="text1"/>
          <w14:textFill>
            <w14:solidFill>
              <w14:schemeClr w14:val="tx1"/>
            </w14:solidFill>
          </w14:textFill>
        </w:rPr>
        <w:t>在</w:t>
      </w:r>
      <w:r>
        <w:rPr>
          <w:rFonts w:eastAsiaTheme="minorEastAsia"/>
          <w:color w:val="000000" w:themeColor="text1"/>
          <w14:textFill>
            <w14:solidFill>
              <w14:schemeClr w14:val="tx1"/>
            </w14:solidFill>
          </w14:textFill>
        </w:rPr>
        <w:t>再生塔活性焦进出口应设置具有双层锁气功能和氮气密封系统的给料阀和卸料器，再生塔应设置氮气喷入设施。被加热气体出口烟气氧含量应小于3%；</w:t>
      </w:r>
    </w:p>
    <w:p>
      <w:pPr>
        <w:pStyle w:val="82"/>
        <w:ind w:firstLine="481" w:firstLineChars="20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 xml:space="preserve">3  </w:t>
      </w:r>
      <w:r>
        <w:rPr>
          <w:rFonts w:eastAsiaTheme="minorEastAsia"/>
          <w:color w:val="000000" w:themeColor="text1"/>
          <w14:textFill>
            <w14:solidFill>
              <w14:schemeClr w14:val="tx1"/>
            </w14:solidFill>
          </w14:textFill>
        </w:rPr>
        <w:t>应设置蒸汽消防设施。</w:t>
      </w:r>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 xml:space="preserve">6.3.5  </w:t>
      </w:r>
      <w:r>
        <w:rPr>
          <w:rFonts w:eastAsiaTheme="minorEastAsia"/>
          <w:color w:val="000000" w:themeColor="text1"/>
          <w14:textFill>
            <w14:solidFill>
              <w14:schemeClr w14:val="tx1"/>
            </w14:solidFill>
          </w14:textFill>
        </w:rPr>
        <w:t>采用溶剂吸附再生脱硫工艺时，</w:t>
      </w:r>
      <w:r>
        <w:rPr>
          <w:rFonts w:hint="eastAsia" w:eastAsiaTheme="minorEastAsia"/>
          <w:color w:val="000000" w:themeColor="text1"/>
          <w14:textFill>
            <w14:solidFill>
              <w14:schemeClr w14:val="tx1"/>
            </w14:solidFill>
          </w14:textFill>
        </w:rPr>
        <w:t>在</w:t>
      </w:r>
      <w:r>
        <w:rPr>
          <w:rFonts w:eastAsiaTheme="minorEastAsia"/>
          <w:color w:val="000000" w:themeColor="text1"/>
          <w14:textFill>
            <w14:solidFill>
              <w14:schemeClr w14:val="tx1"/>
            </w14:solidFill>
          </w14:textFill>
        </w:rPr>
        <w:t>再生塔出口应设置安全阀以及压力检测、控制和报警装置，安全阀出口管应接至前端预洗涤或吸收设备。</w:t>
      </w:r>
    </w:p>
    <w:p>
      <w:pPr>
        <w:pStyle w:val="82"/>
        <w:ind w:firstLine="0"/>
        <w:rPr>
          <w:rFonts w:eastAsiaTheme="minorEastAsia"/>
          <w:color w:val="000000" w:themeColor="text1"/>
          <w14:textFill>
            <w14:solidFill>
              <w14:schemeClr w14:val="tx1"/>
            </w14:solidFill>
          </w14:textFill>
        </w:rPr>
      </w:pPr>
      <w:r>
        <w:rPr>
          <w:rFonts w:eastAsiaTheme="minorEastAsia"/>
          <w:b/>
          <w:color w:val="000000" w:themeColor="text1"/>
          <w14:textFill>
            <w14:solidFill>
              <w14:schemeClr w14:val="tx1"/>
            </w14:solidFill>
          </w14:textFill>
        </w:rPr>
        <w:t xml:space="preserve">6.3.6  </w:t>
      </w:r>
      <w:r>
        <w:rPr>
          <w:rFonts w:eastAsiaTheme="minorEastAsia"/>
          <w:color w:val="000000" w:themeColor="text1"/>
          <w14:textFill>
            <w14:solidFill>
              <w14:schemeClr w14:val="tx1"/>
            </w14:solidFill>
          </w14:textFill>
        </w:rPr>
        <w:t>采用双氧水脱硫工艺时，双氧水储槽应设置温度监测、报警装置并应与降温装置联锁。</w:t>
      </w:r>
      <w:r>
        <w:rPr>
          <w:rFonts w:hint="eastAsia" w:eastAsiaTheme="minorEastAsia"/>
          <w:color w:val="000000" w:themeColor="text1"/>
          <w14:textFill>
            <w14:solidFill>
              <w14:schemeClr w14:val="tx1"/>
            </w14:solidFill>
          </w14:textFill>
        </w:rPr>
        <w:t>在</w:t>
      </w:r>
      <w:r>
        <w:rPr>
          <w:rFonts w:eastAsiaTheme="minorEastAsia"/>
          <w:color w:val="000000" w:themeColor="text1"/>
          <w14:textFill>
            <w14:solidFill>
              <w14:schemeClr w14:val="tx1"/>
            </w14:solidFill>
          </w14:textFill>
        </w:rPr>
        <w:t>罐体顶部应设置放空设施，</w:t>
      </w:r>
      <w:r>
        <w:rPr>
          <w:rFonts w:eastAsiaTheme="minorEastAsia"/>
          <w:color w:val="000000" w:themeColor="text1"/>
          <w:szCs w:val="24"/>
          <w14:textFill>
            <w14:solidFill>
              <w14:schemeClr w14:val="tx1"/>
            </w14:solidFill>
          </w14:textFill>
        </w:rPr>
        <w:t>排放口</w:t>
      </w:r>
      <w:r>
        <w:rPr>
          <w:rFonts w:eastAsiaTheme="minorEastAsia"/>
          <w:color w:val="000000" w:themeColor="text1"/>
          <w14:textFill>
            <w14:solidFill>
              <w14:schemeClr w14:val="tx1"/>
            </w14:solidFill>
          </w14:textFill>
        </w:rPr>
        <w:t>应接</w:t>
      </w:r>
      <w:r>
        <w:rPr>
          <w:rFonts w:hint="eastAsia" w:eastAsiaTheme="minorEastAsia"/>
          <w:color w:val="000000" w:themeColor="text1"/>
          <w14:textFill>
            <w14:solidFill>
              <w14:schemeClr w14:val="tx1"/>
            </w14:solidFill>
          </w14:textFill>
        </w:rPr>
        <w:t>至</w:t>
      </w:r>
      <w:r>
        <w:rPr>
          <w:rFonts w:eastAsiaTheme="minorEastAsia"/>
          <w:color w:val="000000" w:themeColor="text1"/>
          <w14:textFill>
            <w14:solidFill>
              <w14:schemeClr w14:val="tx1"/>
            </w14:solidFill>
          </w14:textFill>
        </w:rPr>
        <w:t>安全</w:t>
      </w:r>
      <w:r>
        <w:rPr>
          <w:rFonts w:hint="eastAsia" w:eastAsiaTheme="minorEastAsia"/>
          <w:color w:val="000000" w:themeColor="text1"/>
          <w14:textFill>
            <w14:solidFill>
              <w14:schemeClr w14:val="tx1"/>
            </w14:solidFill>
          </w14:textFill>
        </w:rPr>
        <w:t>区域</w:t>
      </w:r>
      <w:r>
        <w:rPr>
          <w:rFonts w:eastAsiaTheme="minorEastAsia"/>
          <w:color w:val="000000" w:themeColor="text1"/>
          <w14:textFill>
            <w14:solidFill>
              <w14:schemeClr w14:val="tx1"/>
            </w14:solidFill>
          </w14:textFill>
        </w:rPr>
        <w:t>。</w:t>
      </w:r>
    </w:p>
    <w:p>
      <w:pPr>
        <w:adjustRightInd w:val="0"/>
        <w:snapToGrid w:val="0"/>
        <w:spacing w:line="360" w:lineRule="auto"/>
        <w:rPr>
          <w:rFonts w:ascii="Times New Roman" w:hAnsi="Times New Roman"/>
          <w:snapToGrid w:val="0"/>
          <w:color w:val="000000" w:themeColor="text1"/>
          <w:kern w:val="0"/>
          <w:sz w:val="24"/>
          <w:szCs w:val="24"/>
          <w14:textFill>
            <w14:solidFill>
              <w14:schemeClr w14:val="tx1"/>
            </w14:solidFill>
          </w14:textFill>
        </w:rPr>
      </w:pPr>
      <w:r>
        <w:rPr>
          <w:rFonts w:ascii="Times New Roman" w:hAnsi="Times New Roman"/>
          <w:b/>
          <w:snapToGrid w:val="0"/>
          <w:color w:val="000000" w:themeColor="text1"/>
          <w:kern w:val="0"/>
          <w:sz w:val="24"/>
          <w:szCs w:val="24"/>
          <w14:textFill>
            <w14:solidFill>
              <w14:schemeClr w14:val="tx1"/>
            </w14:solidFill>
          </w14:textFill>
        </w:rPr>
        <w:t>6.3.7</w:t>
      </w:r>
      <w:r>
        <w:rPr>
          <w:rFonts w:ascii="Times New Roman" w:hAnsi="Times New Roman"/>
          <w:snapToGrid w:val="0"/>
          <w:color w:val="000000" w:themeColor="text1"/>
          <w:kern w:val="0"/>
          <w:sz w:val="24"/>
          <w:szCs w:val="24"/>
          <w14:textFill>
            <w14:solidFill>
              <w14:schemeClr w14:val="tx1"/>
            </w14:solidFill>
          </w14:textFill>
        </w:rPr>
        <w:t xml:space="preserve">  脱硫、脱硝采用液氨或氨水时，应符合下列规定：</w:t>
      </w:r>
    </w:p>
    <w:p>
      <w:pPr>
        <w:adjustRightInd w:val="0"/>
        <w:snapToGrid w:val="0"/>
        <w:spacing w:line="360" w:lineRule="auto"/>
        <w:ind w:firstLine="481"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b/>
          <w:color w:val="000000" w:themeColor="text1"/>
          <w:sz w:val="24"/>
          <w:szCs w:val="24"/>
          <w14:textFill>
            <w14:solidFill>
              <w14:schemeClr w14:val="tx1"/>
            </w14:solidFill>
          </w14:textFill>
        </w:rPr>
        <w:t xml:space="preserve">1 </w:t>
      </w:r>
      <w:r>
        <w:rPr>
          <w:rFonts w:ascii="Times New Roman" w:hAnsi="Times New Roman"/>
          <w:color w:val="000000" w:themeColor="text1"/>
          <w:sz w:val="24"/>
          <w:szCs w:val="24"/>
          <w14:textFill>
            <w14:solidFill>
              <w14:schemeClr w14:val="tx1"/>
            </w14:solidFill>
          </w14:textFill>
        </w:rPr>
        <w:t xml:space="preserve"> 液氨储罐设计压力不应低于2.16MPa，工作压力应不超过1.6MPa；</w:t>
      </w:r>
    </w:p>
    <w:p>
      <w:pPr>
        <w:adjustRightInd w:val="0"/>
        <w:snapToGrid w:val="0"/>
        <w:spacing w:line="360" w:lineRule="auto"/>
        <w:ind w:firstLine="481"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b/>
          <w:color w:val="000000" w:themeColor="text1"/>
          <w:sz w:val="24"/>
          <w:szCs w:val="24"/>
          <w14:textFill>
            <w14:solidFill>
              <w14:schemeClr w14:val="tx1"/>
            </w14:solidFill>
          </w14:textFill>
        </w:rPr>
        <w:t xml:space="preserve">2  </w:t>
      </w:r>
      <w:r>
        <w:rPr>
          <w:rFonts w:ascii="Times New Roman" w:hAnsi="Times New Roman"/>
          <w:color w:val="000000" w:themeColor="text1"/>
          <w:sz w:val="24"/>
          <w:szCs w:val="24"/>
          <w14:textFill>
            <w14:solidFill>
              <w14:schemeClr w14:val="tx1"/>
            </w14:solidFill>
          </w14:textFill>
        </w:rPr>
        <w:t>液氨储罐应设置喷水设施，并应与罐内温度联锁；</w:t>
      </w:r>
    </w:p>
    <w:p>
      <w:pPr>
        <w:adjustRightInd w:val="0"/>
        <w:snapToGrid w:val="0"/>
        <w:spacing w:line="360" w:lineRule="auto"/>
        <w:ind w:firstLine="481"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b/>
          <w:color w:val="000000" w:themeColor="text1"/>
          <w:sz w:val="24"/>
          <w:szCs w:val="24"/>
          <w14:textFill>
            <w14:solidFill>
              <w14:schemeClr w14:val="tx1"/>
            </w14:solidFill>
          </w14:textFill>
        </w:rPr>
        <w:t xml:space="preserve">3  </w:t>
      </w:r>
      <w:r>
        <w:rPr>
          <w:rFonts w:ascii="Times New Roman" w:hAnsi="Times New Roman"/>
          <w:color w:val="000000" w:themeColor="text1"/>
          <w:sz w:val="24"/>
          <w:szCs w:val="24"/>
          <w14:textFill>
            <w14:solidFill>
              <w14:schemeClr w14:val="tx1"/>
            </w14:solidFill>
          </w14:textFill>
        </w:rPr>
        <w:t>液氨储罐应设置液位计、压力表和安全阀；</w:t>
      </w:r>
    </w:p>
    <w:p>
      <w:pPr>
        <w:adjustRightInd w:val="0"/>
        <w:snapToGrid w:val="0"/>
        <w:spacing w:line="360" w:lineRule="auto"/>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4  液氨（氨水）储罐不得布置在室内；</w:t>
      </w:r>
    </w:p>
    <w:p>
      <w:pPr>
        <w:adjustRightInd w:val="0"/>
        <w:snapToGrid w:val="0"/>
        <w:spacing w:line="360" w:lineRule="auto"/>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5  液氨（氨水）储罐区应设置防雷接地设施；</w:t>
      </w:r>
    </w:p>
    <w:p>
      <w:pPr>
        <w:adjustRightInd w:val="0"/>
        <w:snapToGrid w:val="0"/>
        <w:spacing w:line="360" w:lineRule="auto"/>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6  液氨储罐区应设置氮气吹扫管线、消防水及应急水槽（应急水池）；</w:t>
      </w:r>
    </w:p>
    <w:p>
      <w:pPr>
        <w:adjustRightInd w:val="0"/>
        <w:snapToGrid w:val="0"/>
        <w:spacing w:line="360" w:lineRule="auto"/>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7  液氨（氨水）设备、管道、管件、阀门等不得采用铜或含铜材质；</w:t>
      </w:r>
    </w:p>
    <w:p>
      <w:pPr>
        <w:adjustRightInd w:val="0"/>
        <w:snapToGrid w:val="0"/>
        <w:spacing w:line="360" w:lineRule="auto"/>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8  液氨（氨水）储罐区、蒸发区和卸料区，应设置氨气泄漏检测报警装置。</w:t>
      </w:r>
    </w:p>
    <w:p>
      <w:pPr>
        <w:adjustRightInd w:val="0"/>
        <w:snapToGrid w:val="0"/>
        <w:spacing w:line="360" w:lineRule="auto"/>
        <w:rPr>
          <w:rFonts w:ascii="Times New Roman" w:hAnsi="Times New Roman"/>
          <w:snapToGrid w:val="0"/>
          <w:color w:val="000000" w:themeColor="text1"/>
          <w:kern w:val="0"/>
          <w:sz w:val="24"/>
          <w:szCs w:val="24"/>
          <w14:textFill>
            <w14:solidFill>
              <w14:schemeClr w14:val="tx1"/>
            </w14:solidFill>
          </w14:textFill>
        </w:rPr>
      </w:pPr>
      <w:r>
        <w:rPr>
          <w:rFonts w:ascii="Times New Roman" w:hAnsi="Times New Roman"/>
          <w:b/>
          <w:snapToGrid w:val="0"/>
          <w:color w:val="000000" w:themeColor="text1"/>
          <w:kern w:val="0"/>
          <w:sz w:val="24"/>
          <w:szCs w:val="24"/>
          <w14:textFill>
            <w14:solidFill>
              <w14:schemeClr w14:val="tx1"/>
            </w14:solidFill>
          </w14:textFill>
        </w:rPr>
        <w:t>6.3.8</w:t>
      </w:r>
      <w:r>
        <w:rPr>
          <w:rFonts w:ascii="Times New Roman" w:hAnsi="Times New Roman"/>
          <w:snapToGrid w:val="0"/>
          <w:color w:val="000000" w:themeColor="text1"/>
          <w:kern w:val="0"/>
          <w:sz w:val="24"/>
          <w:szCs w:val="24"/>
          <w14:textFill>
            <w14:solidFill>
              <w14:schemeClr w14:val="tx1"/>
            </w14:solidFill>
          </w14:textFill>
        </w:rPr>
        <w:t xml:space="preserve">  脱硝采用臭氧作氧化剂时，应符合下列规定：</w:t>
      </w:r>
    </w:p>
    <w:p>
      <w:pPr>
        <w:adjustRightInd w:val="0"/>
        <w:snapToGrid w:val="0"/>
        <w:spacing w:line="360" w:lineRule="auto"/>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1  臭氧发生器厂房应设置防雷接地设施；</w:t>
      </w:r>
    </w:p>
    <w:p>
      <w:pPr>
        <w:adjustRightInd w:val="0"/>
        <w:snapToGrid w:val="0"/>
        <w:spacing w:line="360" w:lineRule="auto"/>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2  臭氧发生器厂房内应设置氧气（臭氧）浓度检测报警；</w:t>
      </w:r>
    </w:p>
    <w:p>
      <w:pPr>
        <w:adjustRightInd w:val="0"/>
        <w:snapToGrid w:val="0"/>
        <w:spacing w:line="360" w:lineRule="auto"/>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3  臭氧发生器氧气入口管线应设置紧急切断阀；</w:t>
      </w:r>
    </w:p>
    <w:p>
      <w:pPr>
        <w:adjustRightInd w:val="0"/>
        <w:snapToGrid w:val="0"/>
        <w:spacing w:line="360" w:lineRule="auto"/>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4  反应区入口臭氧压力应高于被处理烟气的压力；</w:t>
      </w:r>
    </w:p>
    <w:p>
      <w:pPr>
        <w:adjustRightInd w:val="0"/>
        <w:snapToGrid w:val="0"/>
        <w:spacing w:line="360" w:lineRule="auto"/>
        <w:ind w:firstLine="480" w:firstLineChars="200"/>
        <w:rPr>
          <w:rFonts w:ascii="Times New Roman" w:hAnsi="Times New Roman" w:eastAsiaTheme="minorEastAsia"/>
          <w:color w:val="000000" w:themeColor="text1"/>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5  反应区出口应设置氧气（臭氧）浓度检测报警联锁装置。</w:t>
      </w:r>
    </w:p>
    <w:p>
      <w:pPr>
        <w:pStyle w:val="3"/>
        <w:spacing w:before="120" w:beforeLines="50" w:after="120" w:afterLines="50" w:line="360" w:lineRule="auto"/>
        <w:jc w:val="center"/>
        <w:rPr>
          <w:rFonts w:ascii="Times New Roman" w:hAnsi="Times New Roman" w:eastAsiaTheme="minorEastAsia"/>
          <w:color w:val="000000" w:themeColor="text1"/>
          <w:sz w:val="28"/>
          <w:szCs w:val="28"/>
          <w14:textFill>
            <w14:solidFill>
              <w14:schemeClr w14:val="tx1"/>
            </w14:solidFill>
          </w14:textFill>
        </w:rPr>
      </w:pPr>
      <w:bookmarkStart w:id="77" w:name="_Toc118452947"/>
      <w:bookmarkStart w:id="78" w:name="_Toc89283794"/>
      <w:r>
        <w:rPr>
          <w:rFonts w:ascii="Times New Roman" w:hAnsi="Times New Roman" w:eastAsiaTheme="minorEastAsia"/>
          <w:color w:val="000000" w:themeColor="text1"/>
          <w:sz w:val="28"/>
          <w:szCs w:val="28"/>
          <w14:textFill>
            <w14:solidFill>
              <w14:schemeClr w14:val="tx1"/>
            </w14:solidFill>
          </w14:textFill>
        </w:rPr>
        <w:t>6.4  余热回收</w:t>
      </w:r>
      <w:bookmarkEnd w:id="77"/>
      <w:bookmarkEnd w:id="78"/>
    </w:p>
    <w:p>
      <w:pPr>
        <w:pStyle w:val="134"/>
        <w:spacing w:line="360" w:lineRule="auto"/>
        <w:ind w:firstLine="0"/>
        <w:rPr>
          <w:rFonts w:ascii="Times New Roman" w:hAnsi="Times New Roman" w:eastAsiaTheme="minorEastAsia"/>
          <w:color w:val="000000" w:themeColor="text1"/>
          <w14:textFill>
            <w14:solidFill>
              <w14:schemeClr w14:val="tx1"/>
            </w14:solidFill>
          </w14:textFill>
        </w:rPr>
      </w:pPr>
      <w:bookmarkStart w:id="79" w:name="_Toc480664272"/>
      <w:bookmarkEnd w:id="79"/>
      <w:r>
        <w:rPr>
          <w:rFonts w:ascii="Times New Roman" w:hAnsi="Times New Roman" w:eastAsiaTheme="minorEastAsia"/>
          <w:color w:val="000000" w:themeColor="text1"/>
          <w14:textFill>
            <w14:solidFill>
              <w14:schemeClr w14:val="tx1"/>
            </w14:solidFill>
          </w14:textFill>
        </w:rPr>
        <w:t xml:space="preserve">6.4.1  </w:t>
      </w:r>
      <w:r>
        <w:rPr>
          <w:rFonts w:ascii="Times New Roman" w:hAnsi="Times New Roman" w:eastAsiaTheme="minorEastAsia"/>
          <w:b w:val="0"/>
          <w:color w:val="000000" w:themeColor="text1"/>
          <w14:textFill>
            <w14:solidFill>
              <w14:schemeClr w14:val="tx1"/>
            </w14:solidFill>
          </w14:textFill>
        </w:rPr>
        <w:t>冶金炉窑或反应器应根据烟气条件，本着可行性与经济性原则，采用余热锅炉、换热器或直接预热炉料等方式回收余热。</w:t>
      </w:r>
    </w:p>
    <w:p>
      <w:pPr>
        <w:pStyle w:val="134"/>
        <w:spacing w:line="360" w:lineRule="auto"/>
        <w:ind w:firstLine="0"/>
        <w:rPr>
          <w:rFonts w:ascii="Times New Roman" w:hAnsi="Times New Roman" w:eastAsiaTheme="minorEastAsia"/>
          <w:b w:val="0"/>
          <w:color w:val="000000" w:themeColor="text1"/>
          <w:szCs w:val="24"/>
          <w14:textFill>
            <w14:solidFill>
              <w14:schemeClr w14:val="tx1"/>
            </w14:solidFill>
          </w14:textFill>
        </w:rPr>
      </w:pPr>
      <w:r>
        <w:rPr>
          <w:rFonts w:ascii="Times New Roman" w:hAnsi="Times New Roman" w:eastAsiaTheme="minorEastAsia"/>
          <w:color w:val="000000" w:themeColor="text1"/>
          <w14:textFill>
            <w14:solidFill>
              <w14:schemeClr w14:val="tx1"/>
            </w14:solidFill>
          </w14:textFill>
        </w:rPr>
        <w:t xml:space="preserve">6.4.2  </w:t>
      </w:r>
      <w:r>
        <w:rPr>
          <w:rFonts w:ascii="Times New Roman" w:hAnsi="Times New Roman" w:eastAsiaTheme="minorEastAsia"/>
          <w:b w:val="0"/>
          <w:color w:val="000000" w:themeColor="text1"/>
          <w14:textFill>
            <w14:solidFill>
              <w14:schemeClr w14:val="tx1"/>
            </w14:solidFill>
          </w14:textFill>
        </w:rPr>
        <w:t>处理硫化矿物的重有色金属冶金炉窑，烟气余热回收装置排气温度应根据烟气露点和后续烟气处理系统要求确定。</w:t>
      </w:r>
      <w:bookmarkStart w:id="80" w:name="_GoBack"/>
      <w:bookmarkEnd w:id="80"/>
    </w:p>
    <w:sectPr>
      <w:headerReference r:id="rId16" w:type="default"/>
      <w:pgSz w:w="11906" w:h="16838"/>
      <w:pgMar w:top="1134" w:right="1531" w:bottom="1134" w:left="1531" w:header="0" w:footer="737"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Arial">
    <w:altName w:val="Times New Roman"/>
    <w:panose1 w:val="020B0604020202020204"/>
    <w:charset w:val="00"/>
    <w:family w:val="swiss"/>
    <w:pitch w:val="default"/>
    <w:sig w:usb0="00000000" w:usb1="00000000" w:usb2="00000009" w:usb3="00000000" w:csb0="000001FF" w:csb1="00000000"/>
  </w:font>
  <w:font w:name="Calibri Light">
    <w:altName w:val="DejaVu Sans"/>
    <w:panose1 w:val="020F0302020204030204"/>
    <w:charset w:val="00"/>
    <w:family w:val="swiss"/>
    <w:pitch w:val="default"/>
    <w:sig w:usb0="00000000" w:usb1="00000000" w:usb2="00000000" w:usb3="00000000" w:csb0="0000019F" w:csb1="00000000"/>
  </w:font>
  <w:font w:name="Courier New">
    <w:altName w:val="DejaVu Sans"/>
    <w:panose1 w:val="02070309020205020404"/>
    <w:charset w:val="00"/>
    <w:family w:val="modern"/>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TimesNewRomanPS-BoldMT">
    <w:altName w:val="Times New Roman"/>
    <w:panose1 w:val="00000000000000000000"/>
    <w:charset w:val="00"/>
    <w:family w:val="roman"/>
    <w:pitch w:val="default"/>
    <w:sig w:usb0="00000000" w:usb1="00000000" w:usb2="00000000" w:usb3="00000000" w:csb0="00000001" w:csb1="00000000"/>
  </w:font>
  <w:font w:name="TimesNewRomanPSMT">
    <w:altName w:val="Times New Roman"/>
    <w:panose1 w:val="00000000000000000000"/>
    <w:charset w:val="80"/>
    <w:family w:val="auto"/>
    <w:pitch w:val="default"/>
    <w:sig w:usb0="00000000" w:usb1="00000000" w:usb2="00000010" w:usb3="00000000" w:csb0="00060000" w:csb1="00000000"/>
  </w:font>
  <w:font w:name="楷体_GB2312">
    <w:panose1 w:val="02010609030101010101"/>
    <w:charset w:val="86"/>
    <w:family w:val="modern"/>
    <w:pitch w:val="default"/>
    <w:sig w:usb0="00000001" w:usb1="080E0000" w:usb2="00000000" w:usb3="00000000" w:csb0="00040000" w:csb1="00000000"/>
  </w:font>
  <w:font w:name="Batang">
    <w:altName w:val="宋体"/>
    <w:panose1 w:val="02030600000101010101"/>
    <w:charset w:val="81"/>
    <w:family w:val="roman"/>
    <w:pitch w:val="default"/>
    <w:sig w:usb0="00000000" w:usb1="00000000" w:usb2="00000030" w:usb3="00000000" w:csb0="0008009F"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Microsoft YaHei">
    <w:altName w:val="黑体"/>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2035462"/>
      <w:docPartObj>
        <w:docPartGallery w:val="AutoText"/>
      </w:docPartObj>
    </w:sdtPr>
    <w:sdtEndPr>
      <w:rPr>
        <w:rFonts w:ascii="Times New Roman" w:hAnsi="Times New Roman"/>
      </w:rPr>
    </w:sdtEndPr>
    <w:sdtContent>
      <w:p>
        <w:pPr>
          <w:pStyle w:val="19"/>
          <w:jc w:val="center"/>
          <w:rPr>
            <w:rFonts w:ascii="Times New Roman" w:hAnsi="Times New Roman"/>
          </w:rPr>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lang w:val="zh-CN"/>
          </w:rPr>
          <w:t>1</w:t>
        </w:r>
        <w:r>
          <w:rPr>
            <w:rFonts w:ascii="Times New Roman" w:hAnsi="Times New Roman"/>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ED795F"/>
    <w:multiLevelType w:val="multilevel"/>
    <w:tmpl w:val="05ED795F"/>
    <w:lvl w:ilvl="0" w:tentative="0">
      <w:start w:val="1"/>
      <w:numFmt w:val="decimal"/>
      <w:lvlText w:val="%1"/>
      <w:lvlJc w:val="left"/>
      <w:pPr>
        <w:ind w:left="595" w:hanging="595"/>
      </w:pPr>
      <w:rPr>
        <w:rFonts w:hint="eastAsia"/>
      </w:rPr>
    </w:lvl>
    <w:lvl w:ilvl="1" w:tentative="0">
      <w:start w:val="1"/>
      <w:numFmt w:val="decimal"/>
      <w:lvlText w:val="%1.%2"/>
      <w:lvlJc w:val="left"/>
      <w:pPr>
        <w:ind w:left="0" w:firstLine="0"/>
      </w:pPr>
      <w:rPr>
        <w:rFonts w:hint="eastAsia"/>
      </w:rPr>
    </w:lvl>
    <w:lvl w:ilvl="2" w:tentative="0">
      <w:start w:val="1"/>
      <w:numFmt w:val="decimal"/>
      <w:pStyle w:val="177"/>
      <w:lvlText w:val="%1.%2.%3"/>
      <w:lvlJc w:val="left"/>
      <w:pPr>
        <w:ind w:left="595" w:hanging="595"/>
      </w:pPr>
      <w:rPr>
        <w:rFonts w:hint="eastAsia" w:ascii="Times New Roman" w:hAnsi="Times New Roman" w:cs="Times New Roman"/>
        <w:b w:val="0"/>
        <w:bCs w:val="0"/>
        <w:i w:val="0"/>
        <w:iCs w:val="0"/>
        <w:caps w:val="0"/>
        <w:smallCaps w:val="0"/>
        <w:strike w:val="0"/>
        <w:dstrike w:val="0"/>
        <w:vanish w:val="0"/>
        <w:color w:val="000000"/>
        <w:spacing w:val="0"/>
        <w:position w:val="0"/>
        <w:sz w:val="24"/>
        <w:szCs w:val="18"/>
        <w:u w:val="none"/>
        <w:vertAlign w:val="baseline"/>
      </w:rPr>
    </w:lvl>
    <w:lvl w:ilvl="3" w:tentative="0">
      <w:start w:val="1"/>
      <w:numFmt w:val="decimal"/>
      <w:lvlText w:val="%1.%2.%3.%4"/>
      <w:lvlJc w:val="left"/>
      <w:pPr>
        <w:ind w:left="5272" w:hanging="595"/>
      </w:pPr>
      <w:rPr>
        <w:rFonts w:hint="eastAsia"/>
      </w:rPr>
    </w:lvl>
    <w:lvl w:ilvl="4" w:tentative="0">
      <w:start w:val="1"/>
      <w:numFmt w:val="decimal"/>
      <w:lvlText w:val="%1.%2.%3.%4.%5"/>
      <w:lvlJc w:val="left"/>
      <w:pPr>
        <w:ind w:left="6831" w:hanging="595"/>
      </w:pPr>
      <w:rPr>
        <w:rFonts w:hint="eastAsia"/>
      </w:rPr>
    </w:lvl>
    <w:lvl w:ilvl="5" w:tentative="0">
      <w:start w:val="1"/>
      <w:numFmt w:val="decimal"/>
      <w:lvlText w:val="%1.%2.%3.%4.%5.%6"/>
      <w:lvlJc w:val="left"/>
      <w:pPr>
        <w:ind w:left="8390" w:hanging="595"/>
      </w:pPr>
      <w:rPr>
        <w:rFonts w:hint="eastAsia"/>
      </w:rPr>
    </w:lvl>
    <w:lvl w:ilvl="6" w:tentative="0">
      <w:start w:val="1"/>
      <w:numFmt w:val="decimal"/>
      <w:lvlText w:val="%1.%2.%3.%4.%5.%6.%7"/>
      <w:lvlJc w:val="left"/>
      <w:pPr>
        <w:ind w:left="9949" w:hanging="595"/>
      </w:pPr>
      <w:rPr>
        <w:rFonts w:hint="eastAsia"/>
      </w:rPr>
    </w:lvl>
    <w:lvl w:ilvl="7" w:tentative="0">
      <w:start w:val="1"/>
      <w:numFmt w:val="decimal"/>
      <w:lvlText w:val="%1.%2.%3.%4.%5.%6.%7.%8"/>
      <w:lvlJc w:val="left"/>
      <w:pPr>
        <w:ind w:left="11508" w:hanging="595"/>
      </w:pPr>
      <w:rPr>
        <w:rFonts w:hint="eastAsia"/>
      </w:rPr>
    </w:lvl>
    <w:lvl w:ilvl="8" w:tentative="0">
      <w:start w:val="1"/>
      <w:numFmt w:val="decimal"/>
      <w:lvlText w:val="%1.%2.%3.%4.%5.%6.%7.%8.%9"/>
      <w:lvlJc w:val="left"/>
      <w:pPr>
        <w:ind w:left="13067" w:hanging="595"/>
      </w:pPr>
      <w:rPr>
        <w:rFonts w:hint="eastAsia"/>
      </w:rPr>
    </w:lvl>
  </w:abstractNum>
  <w:abstractNum w:abstractNumId="1">
    <w:nsid w:val="087072CA"/>
    <w:multiLevelType w:val="multilevel"/>
    <w:tmpl w:val="087072CA"/>
    <w:lvl w:ilvl="0" w:tentative="0">
      <w:start w:val="1"/>
      <w:numFmt w:val="upperRoman"/>
      <w:pStyle w:val="142"/>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8C97F0D"/>
    <w:multiLevelType w:val="multilevel"/>
    <w:tmpl w:val="18C97F0D"/>
    <w:lvl w:ilvl="0" w:tentative="0">
      <w:start w:val="1"/>
      <w:numFmt w:val="decimal"/>
      <w:pStyle w:val="203"/>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2C1B4F39"/>
    <w:multiLevelType w:val="multilevel"/>
    <w:tmpl w:val="2C1B4F39"/>
    <w:lvl w:ilvl="0" w:tentative="0">
      <w:start w:val="1"/>
      <w:numFmt w:val="decimal"/>
      <w:pStyle w:val="156"/>
      <w:lvlText w:val="%1."/>
      <w:lvlJc w:val="left"/>
      <w:pPr>
        <w:ind w:left="585" w:hanging="420"/>
      </w:pPr>
      <w:rPr>
        <w:rFonts w:hint="default"/>
      </w:rPr>
    </w:lvl>
    <w:lvl w:ilvl="1" w:tentative="0">
      <w:start w:val="1"/>
      <w:numFmt w:val="lowerLetter"/>
      <w:lvlText w:val="%2)"/>
      <w:lvlJc w:val="left"/>
      <w:pPr>
        <w:ind w:left="1005" w:hanging="420"/>
      </w:pPr>
    </w:lvl>
    <w:lvl w:ilvl="2" w:tentative="0">
      <w:start w:val="1"/>
      <w:numFmt w:val="lowerRoman"/>
      <w:lvlText w:val="%3."/>
      <w:lvlJc w:val="right"/>
      <w:pPr>
        <w:ind w:left="1425" w:hanging="420"/>
      </w:pPr>
    </w:lvl>
    <w:lvl w:ilvl="3" w:tentative="0">
      <w:start w:val="1"/>
      <w:numFmt w:val="decimal"/>
      <w:lvlText w:val="%4."/>
      <w:lvlJc w:val="left"/>
      <w:pPr>
        <w:ind w:left="1845" w:hanging="420"/>
      </w:pPr>
    </w:lvl>
    <w:lvl w:ilvl="4" w:tentative="0">
      <w:start w:val="1"/>
      <w:numFmt w:val="lowerLetter"/>
      <w:lvlText w:val="%5)"/>
      <w:lvlJc w:val="left"/>
      <w:pPr>
        <w:ind w:left="2265" w:hanging="420"/>
      </w:pPr>
    </w:lvl>
    <w:lvl w:ilvl="5" w:tentative="0">
      <w:start w:val="1"/>
      <w:numFmt w:val="lowerRoman"/>
      <w:lvlText w:val="%6."/>
      <w:lvlJc w:val="right"/>
      <w:pPr>
        <w:ind w:left="2685" w:hanging="420"/>
      </w:pPr>
    </w:lvl>
    <w:lvl w:ilvl="6" w:tentative="0">
      <w:start w:val="1"/>
      <w:numFmt w:val="decimal"/>
      <w:lvlText w:val="%7."/>
      <w:lvlJc w:val="left"/>
      <w:pPr>
        <w:ind w:left="3105" w:hanging="420"/>
      </w:pPr>
    </w:lvl>
    <w:lvl w:ilvl="7" w:tentative="0">
      <w:start w:val="1"/>
      <w:numFmt w:val="lowerLetter"/>
      <w:lvlText w:val="%8)"/>
      <w:lvlJc w:val="left"/>
      <w:pPr>
        <w:ind w:left="3525" w:hanging="420"/>
      </w:pPr>
    </w:lvl>
    <w:lvl w:ilvl="8" w:tentative="0">
      <w:start w:val="1"/>
      <w:numFmt w:val="lowerRoman"/>
      <w:lvlText w:val="%9."/>
      <w:lvlJc w:val="right"/>
      <w:pPr>
        <w:ind w:left="3945" w:hanging="420"/>
      </w:pPr>
    </w:lvl>
  </w:abstractNum>
  <w:abstractNum w:abstractNumId="4">
    <w:nsid w:val="35FD6A81"/>
    <w:multiLevelType w:val="multilevel"/>
    <w:tmpl w:val="35FD6A81"/>
    <w:lvl w:ilvl="0" w:tentative="0">
      <w:start w:val="1"/>
      <w:numFmt w:val="decimal"/>
      <w:pStyle w:val="89"/>
      <w:lvlText w:val="%1."/>
      <w:lvlJc w:val="left"/>
      <w:pPr>
        <w:ind w:left="0" w:firstLine="0"/>
      </w:pPr>
      <w:rPr>
        <w:rFonts w:hint="eastAsia"/>
      </w:rPr>
    </w:lvl>
    <w:lvl w:ilvl="1" w:tentative="0">
      <w:start w:val="1"/>
      <w:numFmt w:val="lowerLetter"/>
      <w:lvlText w:val="%2)"/>
      <w:lvlJc w:val="left"/>
      <w:pPr>
        <w:ind w:left="1657" w:hanging="420"/>
      </w:pPr>
    </w:lvl>
    <w:lvl w:ilvl="2" w:tentative="0">
      <w:start w:val="1"/>
      <w:numFmt w:val="lowerRoman"/>
      <w:lvlText w:val="%3."/>
      <w:lvlJc w:val="right"/>
      <w:pPr>
        <w:ind w:left="2077" w:hanging="420"/>
      </w:pPr>
    </w:lvl>
    <w:lvl w:ilvl="3" w:tentative="0">
      <w:start w:val="1"/>
      <w:numFmt w:val="decimal"/>
      <w:lvlText w:val="%4."/>
      <w:lvlJc w:val="left"/>
      <w:pPr>
        <w:ind w:left="2497" w:hanging="420"/>
      </w:pPr>
    </w:lvl>
    <w:lvl w:ilvl="4" w:tentative="0">
      <w:start w:val="1"/>
      <w:numFmt w:val="lowerLetter"/>
      <w:lvlText w:val="%5)"/>
      <w:lvlJc w:val="left"/>
      <w:pPr>
        <w:ind w:left="2917" w:hanging="420"/>
      </w:pPr>
    </w:lvl>
    <w:lvl w:ilvl="5" w:tentative="0">
      <w:start w:val="1"/>
      <w:numFmt w:val="lowerRoman"/>
      <w:lvlText w:val="%6."/>
      <w:lvlJc w:val="right"/>
      <w:pPr>
        <w:ind w:left="3337" w:hanging="420"/>
      </w:pPr>
    </w:lvl>
    <w:lvl w:ilvl="6" w:tentative="0">
      <w:start w:val="1"/>
      <w:numFmt w:val="decimal"/>
      <w:lvlText w:val="%7."/>
      <w:lvlJc w:val="left"/>
      <w:pPr>
        <w:ind w:left="3757" w:hanging="420"/>
      </w:pPr>
    </w:lvl>
    <w:lvl w:ilvl="7" w:tentative="0">
      <w:start w:val="1"/>
      <w:numFmt w:val="lowerLetter"/>
      <w:lvlText w:val="%8)"/>
      <w:lvlJc w:val="left"/>
      <w:pPr>
        <w:ind w:left="4177" w:hanging="420"/>
      </w:pPr>
    </w:lvl>
    <w:lvl w:ilvl="8" w:tentative="0">
      <w:start w:val="1"/>
      <w:numFmt w:val="lowerRoman"/>
      <w:lvlText w:val="%9."/>
      <w:lvlJc w:val="right"/>
      <w:pPr>
        <w:ind w:left="4597" w:hanging="420"/>
      </w:pPr>
    </w:lvl>
  </w:abstractNum>
  <w:abstractNum w:abstractNumId="5">
    <w:nsid w:val="537C0346"/>
    <w:multiLevelType w:val="multilevel"/>
    <w:tmpl w:val="537C0346"/>
    <w:lvl w:ilvl="0" w:tentative="0">
      <w:start w:val="1"/>
      <w:numFmt w:val="decimal"/>
      <w:pStyle w:val="189"/>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7E1E10B9"/>
    <w:multiLevelType w:val="multilevel"/>
    <w:tmpl w:val="7E1E10B9"/>
    <w:lvl w:ilvl="0" w:tentative="0">
      <w:start w:val="1"/>
      <w:numFmt w:val="upperRoman"/>
      <w:pStyle w:val="180"/>
      <w:lvlText w:val="%1、"/>
      <w:lvlJc w:val="left"/>
      <w:pPr>
        <w:ind w:left="846" w:hanging="42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num w:numId="1">
    <w:abstractNumId w:val="4"/>
  </w:num>
  <w:num w:numId="2">
    <w:abstractNumId w:val="1"/>
  </w:num>
  <w:num w:numId="3">
    <w:abstractNumId w:val="3"/>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59"/>
    <w:rsid w:val="000002C4"/>
    <w:rsid w:val="00000D7E"/>
    <w:rsid w:val="0000134F"/>
    <w:rsid w:val="00001C77"/>
    <w:rsid w:val="00001E25"/>
    <w:rsid w:val="000028F7"/>
    <w:rsid w:val="00002F02"/>
    <w:rsid w:val="00003158"/>
    <w:rsid w:val="00003EB9"/>
    <w:rsid w:val="00005B85"/>
    <w:rsid w:val="0000606F"/>
    <w:rsid w:val="0000642F"/>
    <w:rsid w:val="00006F41"/>
    <w:rsid w:val="000078C7"/>
    <w:rsid w:val="00010C7B"/>
    <w:rsid w:val="0001126B"/>
    <w:rsid w:val="0001370D"/>
    <w:rsid w:val="00013D3A"/>
    <w:rsid w:val="00014286"/>
    <w:rsid w:val="0001461E"/>
    <w:rsid w:val="00014E85"/>
    <w:rsid w:val="00014EBF"/>
    <w:rsid w:val="00015001"/>
    <w:rsid w:val="00015E15"/>
    <w:rsid w:val="000178A6"/>
    <w:rsid w:val="0002097C"/>
    <w:rsid w:val="0002106E"/>
    <w:rsid w:val="0002127B"/>
    <w:rsid w:val="00021E28"/>
    <w:rsid w:val="0002298C"/>
    <w:rsid w:val="00022B9E"/>
    <w:rsid w:val="000235B8"/>
    <w:rsid w:val="000237FE"/>
    <w:rsid w:val="0002402E"/>
    <w:rsid w:val="00024477"/>
    <w:rsid w:val="000264C6"/>
    <w:rsid w:val="00026925"/>
    <w:rsid w:val="00026A08"/>
    <w:rsid w:val="00026AE9"/>
    <w:rsid w:val="00026DAE"/>
    <w:rsid w:val="0002757F"/>
    <w:rsid w:val="00031032"/>
    <w:rsid w:val="00031A03"/>
    <w:rsid w:val="00034EB9"/>
    <w:rsid w:val="00035461"/>
    <w:rsid w:val="000356F2"/>
    <w:rsid w:val="00035C57"/>
    <w:rsid w:val="000363EC"/>
    <w:rsid w:val="000401F3"/>
    <w:rsid w:val="0004177A"/>
    <w:rsid w:val="00042DAF"/>
    <w:rsid w:val="0004385D"/>
    <w:rsid w:val="000444A2"/>
    <w:rsid w:val="000450B7"/>
    <w:rsid w:val="000458A9"/>
    <w:rsid w:val="00045C54"/>
    <w:rsid w:val="00046CEE"/>
    <w:rsid w:val="00046F88"/>
    <w:rsid w:val="0005193A"/>
    <w:rsid w:val="00051BAD"/>
    <w:rsid w:val="00051F98"/>
    <w:rsid w:val="00053CB5"/>
    <w:rsid w:val="00055F74"/>
    <w:rsid w:val="00056F0E"/>
    <w:rsid w:val="0006196D"/>
    <w:rsid w:val="00061E8E"/>
    <w:rsid w:val="00062389"/>
    <w:rsid w:val="000630BA"/>
    <w:rsid w:val="00063B6E"/>
    <w:rsid w:val="00065AE0"/>
    <w:rsid w:val="00065DCC"/>
    <w:rsid w:val="000677C2"/>
    <w:rsid w:val="00067800"/>
    <w:rsid w:val="000704E8"/>
    <w:rsid w:val="000705A9"/>
    <w:rsid w:val="00071CE1"/>
    <w:rsid w:val="000720EB"/>
    <w:rsid w:val="00072454"/>
    <w:rsid w:val="00072F4B"/>
    <w:rsid w:val="000732F4"/>
    <w:rsid w:val="00073E7B"/>
    <w:rsid w:val="000742FB"/>
    <w:rsid w:val="0007476A"/>
    <w:rsid w:val="00075C18"/>
    <w:rsid w:val="00076351"/>
    <w:rsid w:val="00076662"/>
    <w:rsid w:val="000768D6"/>
    <w:rsid w:val="0008030E"/>
    <w:rsid w:val="00080C14"/>
    <w:rsid w:val="00082254"/>
    <w:rsid w:val="000822FA"/>
    <w:rsid w:val="00082309"/>
    <w:rsid w:val="00082AD4"/>
    <w:rsid w:val="00083106"/>
    <w:rsid w:val="00083B30"/>
    <w:rsid w:val="000843AD"/>
    <w:rsid w:val="000856D3"/>
    <w:rsid w:val="000860CE"/>
    <w:rsid w:val="0008737A"/>
    <w:rsid w:val="0009238C"/>
    <w:rsid w:val="0009250B"/>
    <w:rsid w:val="00093A65"/>
    <w:rsid w:val="00093D4E"/>
    <w:rsid w:val="0009404D"/>
    <w:rsid w:val="000952FF"/>
    <w:rsid w:val="000954BF"/>
    <w:rsid w:val="000955D0"/>
    <w:rsid w:val="00095B06"/>
    <w:rsid w:val="00095BE8"/>
    <w:rsid w:val="00095C58"/>
    <w:rsid w:val="000960E3"/>
    <w:rsid w:val="00097344"/>
    <w:rsid w:val="000975C4"/>
    <w:rsid w:val="000A051E"/>
    <w:rsid w:val="000A18F6"/>
    <w:rsid w:val="000A20A2"/>
    <w:rsid w:val="000A4F8E"/>
    <w:rsid w:val="000A5D71"/>
    <w:rsid w:val="000A666A"/>
    <w:rsid w:val="000A67FB"/>
    <w:rsid w:val="000A75D3"/>
    <w:rsid w:val="000A7C9C"/>
    <w:rsid w:val="000B14FB"/>
    <w:rsid w:val="000B16EF"/>
    <w:rsid w:val="000B24E2"/>
    <w:rsid w:val="000B2DF9"/>
    <w:rsid w:val="000B4330"/>
    <w:rsid w:val="000B52CE"/>
    <w:rsid w:val="000B69CE"/>
    <w:rsid w:val="000B6BBE"/>
    <w:rsid w:val="000C01E6"/>
    <w:rsid w:val="000C0691"/>
    <w:rsid w:val="000C08B5"/>
    <w:rsid w:val="000C0F10"/>
    <w:rsid w:val="000C150D"/>
    <w:rsid w:val="000C1A54"/>
    <w:rsid w:val="000C2678"/>
    <w:rsid w:val="000C39A4"/>
    <w:rsid w:val="000C6BE5"/>
    <w:rsid w:val="000C78DF"/>
    <w:rsid w:val="000D225B"/>
    <w:rsid w:val="000D232A"/>
    <w:rsid w:val="000D3DB0"/>
    <w:rsid w:val="000D5DFE"/>
    <w:rsid w:val="000D6576"/>
    <w:rsid w:val="000D6EF7"/>
    <w:rsid w:val="000D70BE"/>
    <w:rsid w:val="000E0531"/>
    <w:rsid w:val="000E12D8"/>
    <w:rsid w:val="000E22AC"/>
    <w:rsid w:val="000E231C"/>
    <w:rsid w:val="000E257E"/>
    <w:rsid w:val="000E3BE3"/>
    <w:rsid w:val="000E3F83"/>
    <w:rsid w:val="000E44F9"/>
    <w:rsid w:val="000E4F6B"/>
    <w:rsid w:val="000E732A"/>
    <w:rsid w:val="000F036F"/>
    <w:rsid w:val="000F0536"/>
    <w:rsid w:val="000F0FCD"/>
    <w:rsid w:val="000F16D1"/>
    <w:rsid w:val="000F3E3E"/>
    <w:rsid w:val="000F4461"/>
    <w:rsid w:val="000F44A7"/>
    <w:rsid w:val="0010399D"/>
    <w:rsid w:val="00103A06"/>
    <w:rsid w:val="00103D44"/>
    <w:rsid w:val="00103DF2"/>
    <w:rsid w:val="00104BDC"/>
    <w:rsid w:val="00104EC8"/>
    <w:rsid w:val="00104EEA"/>
    <w:rsid w:val="00105ED8"/>
    <w:rsid w:val="00105FCA"/>
    <w:rsid w:val="0010604C"/>
    <w:rsid w:val="0010748B"/>
    <w:rsid w:val="001076B5"/>
    <w:rsid w:val="00110C3C"/>
    <w:rsid w:val="00112488"/>
    <w:rsid w:val="0011264A"/>
    <w:rsid w:val="00113ACC"/>
    <w:rsid w:val="00114661"/>
    <w:rsid w:val="00114BAE"/>
    <w:rsid w:val="0011527D"/>
    <w:rsid w:val="00120D80"/>
    <w:rsid w:val="00122BE1"/>
    <w:rsid w:val="001245DB"/>
    <w:rsid w:val="0012480C"/>
    <w:rsid w:val="0012724F"/>
    <w:rsid w:val="00127303"/>
    <w:rsid w:val="0013047A"/>
    <w:rsid w:val="00130BCD"/>
    <w:rsid w:val="0013131F"/>
    <w:rsid w:val="001326C7"/>
    <w:rsid w:val="001330B4"/>
    <w:rsid w:val="00133415"/>
    <w:rsid w:val="001334F9"/>
    <w:rsid w:val="0013409E"/>
    <w:rsid w:val="0013589D"/>
    <w:rsid w:val="00136B86"/>
    <w:rsid w:val="00137116"/>
    <w:rsid w:val="00137DEF"/>
    <w:rsid w:val="00140CBE"/>
    <w:rsid w:val="001419B4"/>
    <w:rsid w:val="00141FB9"/>
    <w:rsid w:val="00142044"/>
    <w:rsid w:val="0014299D"/>
    <w:rsid w:val="00142E1F"/>
    <w:rsid w:val="0014366A"/>
    <w:rsid w:val="001451EF"/>
    <w:rsid w:val="001462D9"/>
    <w:rsid w:val="00146E03"/>
    <w:rsid w:val="00147ABB"/>
    <w:rsid w:val="00147AF7"/>
    <w:rsid w:val="00147B1B"/>
    <w:rsid w:val="00151203"/>
    <w:rsid w:val="001515D1"/>
    <w:rsid w:val="00153BD9"/>
    <w:rsid w:val="00154511"/>
    <w:rsid w:val="00156B9E"/>
    <w:rsid w:val="00156FBB"/>
    <w:rsid w:val="001601C3"/>
    <w:rsid w:val="001604DD"/>
    <w:rsid w:val="001609BF"/>
    <w:rsid w:val="0016253B"/>
    <w:rsid w:val="001628C8"/>
    <w:rsid w:val="0016290C"/>
    <w:rsid w:val="00162C28"/>
    <w:rsid w:val="00162CEA"/>
    <w:rsid w:val="0016431B"/>
    <w:rsid w:val="0016438C"/>
    <w:rsid w:val="001675F9"/>
    <w:rsid w:val="001679E3"/>
    <w:rsid w:val="00167B9E"/>
    <w:rsid w:val="00171CE8"/>
    <w:rsid w:val="00173429"/>
    <w:rsid w:val="00173799"/>
    <w:rsid w:val="00174705"/>
    <w:rsid w:val="00174D49"/>
    <w:rsid w:val="0017523B"/>
    <w:rsid w:val="0017575B"/>
    <w:rsid w:val="00176DF9"/>
    <w:rsid w:val="00180418"/>
    <w:rsid w:val="00181CAC"/>
    <w:rsid w:val="00182F6B"/>
    <w:rsid w:val="001831FD"/>
    <w:rsid w:val="00183CC3"/>
    <w:rsid w:val="001841E2"/>
    <w:rsid w:val="0018494F"/>
    <w:rsid w:val="00185966"/>
    <w:rsid w:val="001865D6"/>
    <w:rsid w:val="00186A1E"/>
    <w:rsid w:val="001871F1"/>
    <w:rsid w:val="00187476"/>
    <w:rsid w:val="00187EDF"/>
    <w:rsid w:val="00191388"/>
    <w:rsid w:val="00191894"/>
    <w:rsid w:val="00192BB6"/>
    <w:rsid w:val="00192DFF"/>
    <w:rsid w:val="001936ED"/>
    <w:rsid w:val="00193FE2"/>
    <w:rsid w:val="00195970"/>
    <w:rsid w:val="001960B7"/>
    <w:rsid w:val="001968C6"/>
    <w:rsid w:val="001A07A2"/>
    <w:rsid w:val="001A14D2"/>
    <w:rsid w:val="001A272A"/>
    <w:rsid w:val="001A28A3"/>
    <w:rsid w:val="001A3721"/>
    <w:rsid w:val="001A4563"/>
    <w:rsid w:val="001A4E0F"/>
    <w:rsid w:val="001A6642"/>
    <w:rsid w:val="001A6732"/>
    <w:rsid w:val="001A6D11"/>
    <w:rsid w:val="001A7491"/>
    <w:rsid w:val="001A7541"/>
    <w:rsid w:val="001B0986"/>
    <w:rsid w:val="001B1F49"/>
    <w:rsid w:val="001B3223"/>
    <w:rsid w:val="001B4470"/>
    <w:rsid w:val="001B5964"/>
    <w:rsid w:val="001B5A6B"/>
    <w:rsid w:val="001B5F26"/>
    <w:rsid w:val="001C1363"/>
    <w:rsid w:val="001C139F"/>
    <w:rsid w:val="001C190E"/>
    <w:rsid w:val="001C3D63"/>
    <w:rsid w:val="001C5077"/>
    <w:rsid w:val="001C5274"/>
    <w:rsid w:val="001C5696"/>
    <w:rsid w:val="001C631D"/>
    <w:rsid w:val="001C653F"/>
    <w:rsid w:val="001C65AB"/>
    <w:rsid w:val="001D2884"/>
    <w:rsid w:val="001D43DC"/>
    <w:rsid w:val="001D51EA"/>
    <w:rsid w:val="001D7457"/>
    <w:rsid w:val="001E13AC"/>
    <w:rsid w:val="001E168A"/>
    <w:rsid w:val="001E1AEF"/>
    <w:rsid w:val="001E2D7F"/>
    <w:rsid w:val="001E5919"/>
    <w:rsid w:val="001E6784"/>
    <w:rsid w:val="001F03F3"/>
    <w:rsid w:val="001F0C0D"/>
    <w:rsid w:val="001F1B38"/>
    <w:rsid w:val="001F2180"/>
    <w:rsid w:val="001F3C85"/>
    <w:rsid w:val="001F3F22"/>
    <w:rsid w:val="001F685E"/>
    <w:rsid w:val="002010CB"/>
    <w:rsid w:val="00201793"/>
    <w:rsid w:val="00201C06"/>
    <w:rsid w:val="00201EAF"/>
    <w:rsid w:val="00202282"/>
    <w:rsid w:val="00204665"/>
    <w:rsid w:val="00205CCA"/>
    <w:rsid w:val="002069C1"/>
    <w:rsid w:val="00206C23"/>
    <w:rsid w:val="0021054F"/>
    <w:rsid w:val="00211B6A"/>
    <w:rsid w:val="00214371"/>
    <w:rsid w:val="0021655D"/>
    <w:rsid w:val="002166E2"/>
    <w:rsid w:val="002169B7"/>
    <w:rsid w:val="00217C7E"/>
    <w:rsid w:val="002207D0"/>
    <w:rsid w:val="002216C3"/>
    <w:rsid w:val="00221A2D"/>
    <w:rsid w:val="00222C92"/>
    <w:rsid w:val="002231F5"/>
    <w:rsid w:val="00225F4D"/>
    <w:rsid w:val="00226756"/>
    <w:rsid w:val="0022690B"/>
    <w:rsid w:val="00226F5C"/>
    <w:rsid w:val="0022788A"/>
    <w:rsid w:val="00230D35"/>
    <w:rsid w:val="00231F92"/>
    <w:rsid w:val="00233EBF"/>
    <w:rsid w:val="0023495F"/>
    <w:rsid w:val="002353BF"/>
    <w:rsid w:val="00235462"/>
    <w:rsid w:val="00235604"/>
    <w:rsid w:val="00236572"/>
    <w:rsid w:val="00237FF2"/>
    <w:rsid w:val="00242095"/>
    <w:rsid w:val="00243A2A"/>
    <w:rsid w:val="002451AB"/>
    <w:rsid w:val="00245B5B"/>
    <w:rsid w:val="0024716D"/>
    <w:rsid w:val="0025189F"/>
    <w:rsid w:val="00252C9D"/>
    <w:rsid w:val="002532EC"/>
    <w:rsid w:val="00254406"/>
    <w:rsid w:val="00255A26"/>
    <w:rsid w:val="00261115"/>
    <w:rsid w:val="00262259"/>
    <w:rsid w:val="0026331B"/>
    <w:rsid w:val="0026393A"/>
    <w:rsid w:val="002649E9"/>
    <w:rsid w:val="00264E09"/>
    <w:rsid w:val="00265C9A"/>
    <w:rsid w:val="00271CCF"/>
    <w:rsid w:val="00272237"/>
    <w:rsid w:val="002746FF"/>
    <w:rsid w:val="002754CA"/>
    <w:rsid w:val="00275C20"/>
    <w:rsid w:val="00276529"/>
    <w:rsid w:val="002765AD"/>
    <w:rsid w:val="00276804"/>
    <w:rsid w:val="00276A0B"/>
    <w:rsid w:val="00277149"/>
    <w:rsid w:val="00277A3B"/>
    <w:rsid w:val="00280F7D"/>
    <w:rsid w:val="002816AE"/>
    <w:rsid w:val="002832E1"/>
    <w:rsid w:val="002839E1"/>
    <w:rsid w:val="0028470E"/>
    <w:rsid w:val="00290A7E"/>
    <w:rsid w:val="002913F8"/>
    <w:rsid w:val="00291A6B"/>
    <w:rsid w:val="002922CE"/>
    <w:rsid w:val="00292CF6"/>
    <w:rsid w:val="00294C3E"/>
    <w:rsid w:val="002953F9"/>
    <w:rsid w:val="00295CF1"/>
    <w:rsid w:val="00296613"/>
    <w:rsid w:val="00296A25"/>
    <w:rsid w:val="002A11B7"/>
    <w:rsid w:val="002A1D22"/>
    <w:rsid w:val="002A2241"/>
    <w:rsid w:val="002A2EF8"/>
    <w:rsid w:val="002A3827"/>
    <w:rsid w:val="002A414D"/>
    <w:rsid w:val="002A4BA8"/>
    <w:rsid w:val="002A54A6"/>
    <w:rsid w:val="002B0EC3"/>
    <w:rsid w:val="002B13C3"/>
    <w:rsid w:val="002B1553"/>
    <w:rsid w:val="002B166E"/>
    <w:rsid w:val="002B32E0"/>
    <w:rsid w:val="002B384A"/>
    <w:rsid w:val="002B402F"/>
    <w:rsid w:val="002B410D"/>
    <w:rsid w:val="002B43EF"/>
    <w:rsid w:val="002B635C"/>
    <w:rsid w:val="002B679F"/>
    <w:rsid w:val="002C0974"/>
    <w:rsid w:val="002C0ECB"/>
    <w:rsid w:val="002C1C28"/>
    <w:rsid w:val="002C1D45"/>
    <w:rsid w:val="002C4CE9"/>
    <w:rsid w:val="002C4F13"/>
    <w:rsid w:val="002C50B0"/>
    <w:rsid w:val="002C67FE"/>
    <w:rsid w:val="002C7293"/>
    <w:rsid w:val="002C7BB7"/>
    <w:rsid w:val="002C7FE4"/>
    <w:rsid w:val="002D0775"/>
    <w:rsid w:val="002D158B"/>
    <w:rsid w:val="002D2114"/>
    <w:rsid w:val="002D2E6A"/>
    <w:rsid w:val="002D31AA"/>
    <w:rsid w:val="002D75E3"/>
    <w:rsid w:val="002E1516"/>
    <w:rsid w:val="002E2451"/>
    <w:rsid w:val="002E38B4"/>
    <w:rsid w:val="002E4F07"/>
    <w:rsid w:val="002E6490"/>
    <w:rsid w:val="002E6D1C"/>
    <w:rsid w:val="002E6F78"/>
    <w:rsid w:val="002F0D46"/>
    <w:rsid w:val="002F0EAB"/>
    <w:rsid w:val="002F2ADF"/>
    <w:rsid w:val="002F30C0"/>
    <w:rsid w:val="002F54C2"/>
    <w:rsid w:val="002F5DF8"/>
    <w:rsid w:val="002F623A"/>
    <w:rsid w:val="002F7625"/>
    <w:rsid w:val="002F7EAF"/>
    <w:rsid w:val="00300C39"/>
    <w:rsid w:val="003015BB"/>
    <w:rsid w:val="003029B6"/>
    <w:rsid w:val="00303341"/>
    <w:rsid w:val="00303C8B"/>
    <w:rsid w:val="003041AE"/>
    <w:rsid w:val="0030483E"/>
    <w:rsid w:val="00306053"/>
    <w:rsid w:val="00306504"/>
    <w:rsid w:val="0030711C"/>
    <w:rsid w:val="0030738F"/>
    <w:rsid w:val="00310A1B"/>
    <w:rsid w:val="00310BFA"/>
    <w:rsid w:val="003113D0"/>
    <w:rsid w:val="00311C55"/>
    <w:rsid w:val="003122EB"/>
    <w:rsid w:val="00314D57"/>
    <w:rsid w:val="003163E4"/>
    <w:rsid w:val="00320083"/>
    <w:rsid w:val="00320CE2"/>
    <w:rsid w:val="003235FD"/>
    <w:rsid w:val="003238C3"/>
    <w:rsid w:val="00323B4B"/>
    <w:rsid w:val="003257F2"/>
    <w:rsid w:val="00325D05"/>
    <w:rsid w:val="00326CE0"/>
    <w:rsid w:val="003314C9"/>
    <w:rsid w:val="00333131"/>
    <w:rsid w:val="00333FCD"/>
    <w:rsid w:val="00334107"/>
    <w:rsid w:val="00334AA2"/>
    <w:rsid w:val="00335C7F"/>
    <w:rsid w:val="003362F0"/>
    <w:rsid w:val="0033688E"/>
    <w:rsid w:val="00337273"/>
    <w:rsid w:val="00337C9E"/>
    <w:rsid w:val="00337CE6"/>
    <w:rsid w:val="00340DB4"/>
    <w:rsid w:val="00342FCC"/>
    <w:rsid w:val="00343555"/>
    <w:rsid w:val="003446C8"/>
    <w:rsid w:val="00344706"/>
    <w:rsid w:val="0034522F"/>
    <w:rsid w:val="00345A76"/>
    <w:rsid w:val="00346C54"/>
    <w:rsid w:val="00351838"/>
    <w:rsid w:val="003537A5"/>
    <w:rsid w:val="0036003B"/>
    <w:rsid w:val="0036045C"/>
    <w:rsid w:val="0036050C"/>
    <w:rsid w:val="0036051E"/>
    <w:rsid w:val="00360DE7"/>
    <w:rsid w:val="003618C8"/>
    <w:rsid w:val="00361B95"/>
    <w:rsid w:val="00361D9A"/>
    <w:rsid w:val="00362D1C"/>
    <w:rsid w:val="0036544B"/>
    <w:rsid w:val="003655C8"/>
    <w:rsid w:val="00371235"/>
    <w:rsid w:val="00371A0B"/>
    <w:rsid w:val="0037208A"/>
    <w:rsid w:val="00373503"/>
    <w:rsid w:val="0037373E"/>
    <w:rsid w:val="00375ED3"/>
    <w:rsid w:val="00377225"/>
    <w:rsid w:val="003818A9"/>
    <w:rsid w:val="00381EA4"/>
    <w:rsid w:val="00381F61"/>
    <w:rsid w:val="00383C4F"/>
    <w:rsid w:val="00384528"/>
    <w:rsid w:val="003856EC"/>
    <w:rsid w:val="003857A9"/>
    <w:rsid w:val="00386235"/>
    <w:rsid w:val="0039021D"/>
    <w:rsid w:val="003906CE"/>
    <w:rsid w:val="00390FF1"/>
    <w:rsid w:val="003914CC"/>
    <w:rsid w:val="003954D6"/>
    <w:rsid w:val="00395B7C"/>
    <w:rsid w:val="003965A5"/>
    <w:rsid w:val="00397918"/>
    <w:rsid w:val="003A0380"/>
    <w:rsid w:val="003A07F5"/>
    <w:rsid w:val="003A326F"/>
    <w:rsid w:val="003A35CA"/>
    <w:rsid w:val="003A3CD5"/>
    <w:rsid w:val="003A4E4A"/>
    <w:rsid w:val="003A52AB"/>
    <w:rsid w:val="003A652C"/>
    <w:rsid w:val="003B052D"/>
    <w:rsid w:val="003B0D3A"/>
    <w:rsid w:val="003B348F"/>
    <w:rsid w:val="003B364C"/>
    <w:rsid w:val="003B3B39"/>
    <w:rsid w:val="003B3DB8"/>
    <w:rsid w:val="003C1BFC"/>
    <w:rsid w:val="003C5402"/>
    <w:rsid w:val="003C5B4F"/>
    <w:rsid w:val="003C5FC7"/>
    <w:rsid w:val="003C6313"/>
    <w:rsid w:val="003C7D27"/>
    <w:rsid w:val="003C7DD6"/>
    <w:rsid w:val="003D009B"/>
    <w:rsid w:val="003D12D5"/>
    <w:rsid w:val="003D1611"/>
    <w:rsid w:val="003D2C48"/>
    <w:rsid w:val="003D3330"/>
    <w:rsid w:val="003D3489"/>
    <w:rsid w:val="003D4344"/>
    <w:rsid w:val="003D539B"/>
    <w:rsid w:val="003D5BA5"/>
    <w:rsid w:val="003D62BA"/>
    <w:rsid w:val="003D64D2"/>
    <w:rsid w:val="003D67D5"/>
    <w:rsid w:val="003D7FF5"/>
    <w:rsid w:val="003E0ABB"/>
    <w:rsid w:val="003E15EC"/>
    <w:rsid w:val="003E22D8"/>
    <w:rsid w:val="003E3C53"/>
    <w:rsid w:val="003E41FA"/>
    <w:rsid w:val="003E4D68"/>
    <w:rsid w:val="003E4EF2"/>
    <w:rsid w:val="003E551E"/>
    <w:rsid w:val="003E6870"/>
    <w:rsid w:val="003E755C"/>
    <w:rsid w:val="003E7AC9"/>
    <w:rsid w:val="003F0B8A"/>
    <w:rsid w:val="003F15F2"/>
    <w:rsid w:val="003F1B27"/>
    <w:rsid w:val="003F206A"/>
    <w:rsid w:val="003F2126"/>
    <w:rsid w:val="003F4D5E"/>
    <w:rsid w:val="003F5021"/>
    <w:rsid w:val="003F522D"/>
    <w:rsid w:val="003F54CC"/>
    <w:rsid w:val="003F6448"/>
    <w:rsid w:val="003F67C2"/>
    <w:rsid w:val="003F7F4A"/>
    <w:rsid w:val="00400AD7"/>
    <w:rsid w:val="00401C90"/>
    <w:rsid w:val="004036FA"/>
    <w:rsid w:val="00403902"/>
    <w:rsid w:val="00405616"/>
    <w:rsid w:val="004058B4"/>
    <w:rsid w:val="004060ED"/>
    <w:rsid w:val="004070D9"/>
    <w:rsid w:val="00411BE5"/>
    <w:rsid w:val="00412430"/>
    <w:rsid w:val="004124A7"/>
    <w:rsid w:val="0041284B"/>
    <w:rsid w:val="00413467"/>
    <w:rsid w:val="004139B7"/>
    <w:rsid w:val="00413C2D"/>
    <w:rsid w:val="00414B97"/>
    <w:rsid w:val="004162FA"/>
    <w:rsid w:val="00416610"/>
    <w:rsid w:val="0041669E"/>
    <w:rsid w:val="00416FB4"/>
    <w:rsid w:val="00417244"/>
    <w:rsid w:val="0041736E"/>
    <w:rsid w:val="00417BD3"/>
    <w:rsid w:val="004204C3"/>
    <w:rsid w:val="00421B41"/>
    <w:rsid w:val="00421C4B"/>
    <w:rsid w:val="0042246A"/>
    <w:rsid w:val="00423368"/>
    <w:rsid w:val="00424C3A"/>
    <w:rsid w:val="00425523"/>
    <w:rsid w:val="0043043D"/>
    <w:rsid w:val="00432065"/>
    <w:rsid w:val="00432CEF"/>
    <w:rsid w:val="00432E06"/>
    <w:rsid w:val="0043309E"/>
    <w:rsid w:val="00434B9A"/>
    <w:rsid w:val="004351C3"/>
    <w:rsid w:val="00440242"/>
    <w:rsid w:val="00441ACC"/>
    <w:rsid w:val="00443186"/>
    <w:rsid w:val="00444611"/>
    <w:rsid w:val="004448ED"/>
    <w:rsid w:val="0044559B"/>
    <w:rsid w:val="004459A4"/>
    <w:rsid w:val="00445B15"/>
    <w:rsid w:val="00445F96"/>
    <w:rsid w:val="00446C2B"/>
    <w:rsid w:val="0044734F"/>
    <w:rsid w:val="004500A9"/>
    <w:rsid w:val="004506F8"/>
    <w:rsid w:val="00451FB5"/>
    <w:rsid w:val="004529DC"/>
    <w:rsid w:val="0045301F"/>
    <w:rsid w:val="004536FA"/>
    <w:rsid w:val="0045441A"/>
    <w:rsid w:val="00456384"/>
    <w:rsid w:val="004572DB"/>
    <w:rsid w:val="00457302"/>
    <w:rsid w:val="00457E1F"/>
    <w:rsid w:val="0046010B"/>
    <w:rsid w:val="00461C0C"/>
    <w:rsid w:val="00462632"/>
    <w:rsid w:val="00462646"/>
    <w:rsid w:val="00462754"/>
    <w:rsid w:val="0046573F"/>
    <w:rsid w:val="004671F6"/>
    <w:rsid w:val="00471E1A"/>
    <w:rsid w:val="00472745"/>
    <w:rsid w:val="0047445D"/>
    <w:rsid w:val="00475DAD"/>
    <w:rsid w:val="00475E5A"/>
    <w:rsid w:val="004772CA"/>
    <w:rsid w:val="00481C18"/>
    <w:rsid w:val="00483048"/>
    <w:rsid w:val="00483D34"/>
    <w:rsid w:val="00485060"/>
    <w:rsid w:val="00485E83"/>
    <w:rsid w:val="00490052"/>
    <w:rsid w:val="00490E6E"/>
    <w:rsid w:val="004929A9"/>
    <w:rsid w:val="00492A66"/>
    <w:rsid w:val="004942AE"/>
    <w:rsid w:val="0049478F"/>
    <w:rsid w:val="00495DAA"/>
    <w:rsid w:val="00496FA1"/>
    <w:rsid w:val="004A0588"/>
    <w:rsid w:val="004A0D99"/>
    <w:rsid w:val="004A0DAA"/>
    <w:rsid w:val="004A0DCC"/>
    <w:rsid w:val="004A464F"/>
    <w:rsid w:val="004A5425"/>
    <w:rsid w:val="004A6AC2"/>
    <w:rsid w:val="004B03BD"/>
    <w:rsid w:val="004B0C24"/>
    <w:rsid w:val="004B1F37"/>
    <w:rsid w:val="004B257E"/>
    <w:rsid w:val="004B363C"/>
    <w:rsid w:val="004B4D4E"/>
    <w:rsid w:val="004B51BE"/>
    <w:rsid w:val="004B6134"/>
    <w:rsid w:val="004B6F9B"/>
    <w:rsid w:val="004C164F"/>
    <w:rsid w:val="004C177A"/>
    <w:rsid w:val="004C24B6"/>
    <w:rsid w:val="004C25C1"/>
    <w:rsid w:val="004C294D"/>
    <w:rsid w:val="004C32AA"/>
    <w:rsid w:val="004C3445"/>
    <w:rsid w:val="004C3695"/>
    <w:rsid w:val="004C3CA0"/>
    <w:rsid w:val="004C3D53"/>
    <w:rsid w:val="004C48B6"/>
    <w:rsid w:val="004C5D57"/>
    <w:rsid w:val="004C5F51"/>
    <w:rsid w:val="004C699F"/>
    <w:rsid w:val="004C6B15"/>
    <w:rsid w:val="004C6D09"/>
    <w:rsid w:val="004C7B65"/>
    <w:rsid w:val="004C7E99"/>
    <w:rsid w:val="004D031F"/>
    <w:rsid w:val="004D368A"/>
    <w:rsid w:val="004D48CC"/>
    <w:rsid w:val="004D5568"/>
    <w:rsid w:val="004E063A"/>
    <w:rsid w:val="004E1388"/>
    <w:rsid w:val="004E325C"/>
    <w:rsid w:val="004E3361"/>
    <w:rsid w:val="004E3A3B"/>
    <w:rsid w:val="004E57B3"/>
    <w:rsid w:val="004E5E9E"/>
    <w:rsid w:val="004E6F05"/>
    <w:rsid w:val="004E737A"/>
    <w:rsid w:val="004F062E"/>
    <w:rsid w:val="004F08B6"/>
    <w:rsid w:val="004F1D4D"/>
    <w:rsid w:val="004F36B6"/>
    <w:rsid w:val="004F4283"/>
    <w:rsid w:val="004F471D"/>
    <w:rsid w:val="004F5A7F"/>
    <w:rsid w:val="004F6969"/>
    <w:rsid w:val="004F6F04"/>
    <w:rsid w:val="004F77A6"/>
    <w:rsid w:val="00500175"/>
    <w:rsid w:val="005018D8"/>
    <w:rsid w:val="00503073"/>
    <w:rsid w:val="005036C1"/>
    <w:rsid w:val="00503BE2"/>
    <w:rsid w:val="0050502A"/>
    <w:rsid w:val="00505991"/>
    <w:rsid w:val="00506C2D"/>
    <w:rsid w:val="00507014"/>
    <w:rsid w:val="005076F4"/>
    <w:rsid w:val="005103B7"/>
    <w:rsid w:val="005111B3"/>
    <w:rsid w:val="00512323"/>
    <w:rsid w:val="0051698D"/>
    <w:rsid w:val="00517B35"/>
    <w:rsid w:val="00520BB1"/>
    <w:rsid w:val="00522709"/>
    <w:rsid w:val="005233F7"/>
    <w:rsid w:val="005237B4"/>
    <w:rsid w:val="005243C0"/>
    <w:rsid w:val="0052473F"/>
    <w:rsid w:val="00526754"/>
    <w:rsid w:val="00527B0B"/>
    <w:rsid w:val="005305F3"/>
    <w:rsid w:val="00530648"/>
    <w:rsid w:val="00531148"/>
    <w:rsid w:val="005320B4"/>
    <w:rsid w:val="00533049"/>
    <w:rsid w:val="00533C35"/>
    <w:rsid w:val="005347B0"/>
    <w:rsid w:val="00534FDD"/>
    <w:rsid w:val="00535092"/>
    <w:rsid w:val="00535396"/>
    <w:rsid w:val="00535FDA"/>
    <w:rsid w:val="00537219"/>
    <w:rsid w:val="00540249"/>
    <w:rsid w:val="00541735"/>
    <w:rsid w:val="00542175"/>
    <w:rsid w:val="00543012"/>
    <w:rsid w:val="00543E37"/>
    <w:rsid w:val="00546587"/>
    <w:rsid w:val="005510F0"/>
    <w:rsid w:val="00551D8C"/>
    <w:rsid w:val="005523BD"/>
    <w:rsid w:val="0055274D"/>
    <w:rsid w:val="00554D6A"/>
    <w:rsid w:val="00555470"/>
    <w:rsid w:val="0055592F"/>
    <w:rsid w:val="00555E95"/>
    <w:rsid w:val="0055626E"/>
    <w:rsid w:val="005571D5"/>
    <w:rsid w:val="00557DC1"/>
    <w:rsid w:val="00560DE3"/>
    <w:rsid w:val="00562B02"/>
    <w:rsid w:val="005637DE"/>
    <w:rsid w:val="005644B9"/>
    <w:rsid w:val="005670D2"/>
    <w:rsid w:val="00567359"/>
    <w:rsid w:val="00567922"/>
    <w:rsid w:val="00567C17"/>
    <w:rsid w:val="00570928"/>
    <w:rsid w:val="00570C4F"/>
    <w:rsid w:val="00570C64"/>
    <w:rsid w:val="00570EE5"/>
    <w:rsid w:val="005711A5"/>
    <w:rsid w:val="005712CB"/>
    <w:rsid w:val="005725B7"/>
    <w:rsid w:val="00575B0B"/>
    <w:rsid w:val="00576869"/>
    <w:rsid w:val="00576BA1"/>
    <w:rsid w:val="005820D2"/>
    <w:rsid w:val="00582C34"/>
    <w:rsid w:val="005839EE"/>
    <w:rsid w:val="0058526B"/>
    <w:rsid w:val="00585857"/>
    <w:rsid w:val="00586EFA"/>
    <w:rsid w:val="00587522"/>
    <w:rsid w:val="00587B0D"/>
    <w:rsid w:val="00590CB0"/>
    <w:rsid w:val="00591280"/>
    <w:rsid w:val="005923FA"/>
    <w:rsid w:val="00594272"/>
    <w:rsid w:val="00595AF1"/>
    <w:rsid w:val="005A0695"/>
    <w:rsid w:val="005A077F"/>
    <w:rsid w:val="005A1244"/>
    <w:rsid w:val="005A467F"/>
    <w:rsid w:val="005A5689"/>
    <w:rsid w:val="005A611B"/>
    <w:rsid w:val="005A7857"/>
    <w:rsid w:val="005B053D"/>
    <w:rsid w:val="005B1860"/>
    <w:rsid w:val="005B1D6E"/>
    <w:rsid w:val="005B3EA7"/>
    <w:rsid w:val="005B43A4"/>
    <w:rsid w:val="005B4C6C"/>
    <w:rsid w:val="005B5512"/>
    <w:rsid w:val="005B6633"/>
    <w:rsid w:val="005C11D3"/>
    <w:rsid w:val="005C2433"/>
    <w:rsid w:val="005C2BB4"/>
    <w:rsid w:val="005C38AD"/>
    <w:rsid w:val="005C3DE4"/>
    <w:rsid w:val="005C4396"/>
    <w:rsid w:val="005C5729"/>
    <w:rsid w:val="005C6341"/>
    <w:rsid w:val="005C64DA"/>
    <w:rsid w:val="005C6A76"/>
    <w:rsid w:val="005C7E8C"/>
    <w:rsid w:val="005D1E29"/>
    <w:rsid w:val="005D33B2"/>
    <w:rsid w:val="005D5C73"/>
    <w:rsid w:val="005D6BBF"/>
    <w:rsid w:val="005D7C07"/>
    <w:rsid w:val="005E05E4"/>
    <w:rsid w:val="005E32B4"/>
    <w:rsid w:val="005E5172"/>
    <w:rsid w:val="005E6EEF"/>
    <w:rsid w:val="005E7158"/>
    <w:rsid w:val="005E75E2"/>
    <w:rsid w:val="005F03FC"/>
    <w:rsid w:val="005F07E6"/>
    <w:rsid w:val="005F08FF"/>
    <w:rsid w:val="005F1394"/>
    <w:rsid w:val="005F27E9"/>
    <w:rsid w:val="005F2E3B"/>
    <w:rsid w:val="005F330F"/>
    <w:rsid w:val="005F498E"/>
    <w:rsid w:val="005F509F"/>
    <w:rsid w:val="005F5478"/>
    <w:rsid w:val="005F7911"/>
    <w:rsid w:val="00600FDC"/>
    <w:rsid w:val="00601260"/>
    <w:rsid w:val="006018A5"/>
    <w:rsid w:val="00604F24"/>
    <w:rsid w:val="006050FE"/>
    <w:rsid w:val="006074CC"/>
    <w:rsid w:val="00610EDB"/>
    <w:rsid w:val="00612202"/>
    <w:rsid w:val="0061227C"/>
    <w:rsid w:val="006131F5"/>
    <w:rsid w:val="006148BB"/>
    <w:rsid w:val="00615D0E"/>
    <w:rsid w:val="00620686"/>
    <w:rsid w:val="00620973"/>
    <w:rsid w:val="00621080"/>
    <w:rsid w:val="006212AF"/>
    <w:rsid w:val="00623579"/>
    <w:rsid w:val="00623BA8"/>
    <w:rsid w:val="006242AF"/>
    <w:rsid w:val="00625767"/>
    <w:rsid w:val="006270A4"/>
    <w:rsid w:val="00630FA7"/>
    <w:rsid w:val="00632463"/>
    <w:rsid w:val="006324E5"/>
    <w:rsid w:val="00632BE8"/>
    <w:rsid w:val="0063305F"/>
    <w:rsid w:val="0063362D"/>
    <w:rsid w:val="006337A7"/>
    <w:rsid w:val="00633CC6"/>
    <w:rsid w:val="00634B12"/>
    <w:rsid w:val="0063545C"/>
    <w:rsid w:val="00635FDF"/>
    <w:rsid w:val="00636F09"/>
    <w:rsid w:val="006370A7"/>
    <w:rsid w:val="00637255"/>
    <w:rsid w:val="006372B5"/>
    <w:rsid w:val="00641436"/>
    <w:rsid w:val="00641555"/>
    <w:rsid w:val="006419D7"/>
    <w:rsid w:val="006420F9"/>
    <w:rsid w:val="00642DDB"/>
    <w:rsid w:val="00642E17"/>
    <w:rsid w:val="0064378E"/>
    <w:rsid w:val="006460F8"/>
    <w:rsid w:val="006472C8"/>
    <w:rsid w:val="00647BF2"/>
    <w:rsid w:val="00650538"/>
    <w:rsid w:val="00652842"/>
    <w:rsid w:val="00653223"/>
    <w:rsid w:val="00653CBB"/>
    <w:rsid w:val="00654A83"/>
    <w:rsid w:val="00655072"/>
    <w:rsid w:val="006558B0"/>
    <w:rsid w:val="00655CFB"/>
    <w:rsid w:val="00657A41"/>
    <w:rsid w:val="00660522"/>
    <w:rsid w:val="00661215"/>
    <w:rsid w:val="00661982"/>
    <w:rsid w:val="00662C90"/>
    <w:rsid w:val="00665672"/>
    <w:rsid w:val="006668E1"/>
    <w:rsid w:val="00670077"/>
    <w:rsid w:val="00670347"/>
    <w:rsid w:val="00670DE9"/>
    <w:rsid w:val="006713AE"/>
    <w:rsid w:val="0067150C"/>
    <w:rsid w:val="006717DF"/>
    <w:rsid w:val="00671864"/>
    <w:rsid w:val="00673D07"/>
    <w:rsid w:val="006746FD"/>
    <w:rsid w:val="0067624A"/>
    <w:rsid w:val="006772C0"/>
    <w:rsid w:val="00682A33"/>
    <w:rsid w:val="00684821"/>
    <w:rsid w:val="0068660D"/>
    <w:rsid w:val="00687F8E"/>
    <w:rsid w:val="006908EF"/>
    <w:rsid w:val="00690C1B"/>
    <w:rsid w:val="0069150E"/>
    <w:rsid w:val="00691DB3"/>
    <w:rsid w:val="00692A07"/>
    <w:rsid w:val="00692F51"/>
    <w:rsid w:val="00693396"/>
    <w:rsid w:val="00693DBA"/>
    <w:rsid w:val="00694674"/>
    <w:rsid w:val="00696003"/>
    <w:rsid w:val="00696818"/>
    <w:rsid w:val="0069738A"/>
    <w:rsid w:val="006A0BB5"/>
    <w:rsid w:val="006A1221"/>
    <w:rsid w:val="006A173E"/>
    <w:rsid w:val="006A1D4B"/>
    <w:rsid w:val="006A27E8"/>
    <w:rsid w:val="006A2DD7"/>
    <w:rsid w:val="006A2EA8"/>
    <w:rsid w:val="006A3698"/>
    <w:rsid w:val="006A3830"/>
    <w:rsid w:val="006A3C22"/>
    <w:rsid w:val="006A3EE8"/>
    <w:rsid w:val="006A72F2"/>
    <w:rsid w:val="006A7A61"/>
    <w:rsid w:val="006B027B"/>
    <w:rsid w:val="006B057B"/>
    <w:rsid w:val="006B1D0D"/>
    <w:rsid w:val="006B21E9"/>
    <w:rsid w:val="006B2A9E"/>
    <w:rsid w:val="006B3B19"/>
    <w:rsid w:val="006B4DCD"/>
    <w:rsid w:val="006B50C4"/>
    <w:rsid w:val="006B572A"/>
    <w:rsid w:val="006B6498"/>
    <w:rsid w:val="006B7A3A"/>
    <w:rsid w:val="006C114A"/>
    <w:rsid w:val="006C1F6D"/>
    <w:rsid w:val="006C2A41"/>
    <w:rsid w:val="006C3065"/>
    <w:rsid w:val="006C3381"/>
    <w:rsid w:val="006C491F"/>
    <w:rsid w:val="006C59D1"/>
    <w:rsid w:val="006C61E3"/>
    <w:rsid w:val="006C66B2"/>
    <w:rsid w:val="006C6A76"/>
    <w:rsid w:val="006C6DB9"/>
    <w:rsid w:val="006C6E19"/>
    <w:rsid w:val="006C7950"/>
    <w:rsid w:val="006D0D0E"/>
    <w:rsid w:val="006D1507"/>
    <w:rsid w:val="006D1B81"/>
    <w:rsid w:val="006D4198"/>
    <w:rsid w:val="006D5BFF"/>
    <w:rsid w:val="006D6785"/>
    <w:rsid w:val="006D7046"/>
    <w:rsid w:val="006E04CC"/>
    <w:rsid w:val="006E0663"/>
    <w:rsid w:val="006E0A5A"/>
    <w:rsid w:val="006E2EC1"/>
    <w:rsid w:val="006E4BBC"/>
    <w:rsid w:val="006F0E47"/>
    <w:rsid w:val="006F0EC2"/>
    <w:rsid w:val="006F1720"/>
    <w:rsid w:val="006F25B3"/>
    <w:rsid w:val="006F2945"/>
    <w:rsid w:val="006F2ADA"/>
    <w:rsid w:val="006F3C28"/>
    <w:rsid w:val="006F5734"/>
    <w:rsid w:val="006F582A"/>
    <w:rsid w:val="006F5BD6"/>
    <w:rsid w:val="006F5ED0"/>
    <w:rsid w:val="006F7854"/>
    <w:rsid w:val="006F7EE2"/>
    <w:rsid w:val="00701616"/>
    <w:rsid w:val="00701D76"/>
    <w:rsid w:val="00702873"/>
    <w:rsid w:val="007039DF"/>
    <w:rsid w:val="00703B3A"/>
    <w:rsid w:val="007046F7"/>
    <w:rsid w:val="00704F5E"/>
    <w:rsid w:val="00705521"/>
    <w:rsid w:val="007055C5"/>
    <w:rsid w:val="0070624C"/>
    <w:rsid w:val="007075A4"/>
    <w:rsid w:val="007105DE"/>
    <w:rsid w:val="00710D47"/>
    <w:rsid w:val="0071240E"/>
    <w:rsid w:val="00712ABF"/>
    <w:rsid w:val="0071349F"/>
    <w:rsid w:val="007134DF"/>
    <w:rsid w:val="0071416E"/>
    <w:rsid w:val="00715AD3"/>
    <w:rsid w:val="00716200"/>
    <w:rsid w:val="0071670B"/>
    <w:rsid w:val="00716BDD"/>
    <w:rsid w:val="007208BD"/>
    <w:rsid w:val="00721A73"/>
    <w:rsid w:val="00721BDE"/>
    <w:rsid w:val="007220AE"/>
    <w:rsid w:val="007237FB"/>
    <w:rsid w:val="00723F10"/>
    <w:rsid w:val="0072460C"/>
    <w:rsid w:val="00725FED"/>
    <w:rsid w:val="00727C8D"/>
    <w:rsid w:val="00730028"/>
    <w:rsid w:val="00732A2C"/>
    <w:rsid w:val="00732A69"/>
    <w:rsid w:val="00733305"/>
    <w:rsid w:val="007338D9"/>
    <w:rsid w:val="00733E20"/>
    <w:rsid w:val="00734E6D"/>
    <w:rsid w:val="00734EE2"/>
    <w:rsid w:val="00736243"/>
    <w:rsid w:val="00736652"/>
    <w:rsid w:val="00736D33"/>
    <w:rsid w:val="007375FC"/>
    <w:rsid w:val="00737880"/>
    <w:rsid w:val="00737DFD"/>
    <w:rsid w:val="00740A20"/>
    <w:rsid w:val="00740A57"/>
    <w:rsid w:val="00740E6B"/>
    <w:rsid w:val="007413D5"/>
    <w:rsid w:val="0074237F"/>
    <w:rsid w:val="0074289D"/>
    <w:rsid w:val="00742E80"/>
    <w:rsid w:val="007437B3"/>
    <w:rsid w:val="00744619"/>
    <w:rsid w:val="00745A5B"/>
    <w:rsid w:val="00745B66"/>
    <w:rsid w:val="00747089"/>
    <w:rsid w:val="00750DBA"/>
    <w:rsid w:val="00751C0C"/>
    <w:rsid w:val="00751CFC"/>
    <w:rsid w:val="00752930"/>
    <w:rsid w:val="00752B9E"/>
    <w:rsid w:val="0075458D"/>
    <w:rsid w:val="00754C46"/>
    <w:rsid w:val="0075566F"/>
    <w:rsid w:val="00755D2D"/>
    <w:rsid w:val="00760EE3"/>
    <w:rsid w:val="00761366"/>
    <w:rsid w:val="00761B04"/>
    <w:rsid w:val="00762258"/>
    <w:rsid w:val="007626C9"/>
    <w:rsid w:val="00762A27"/>
    <w:rsid w:val="00762BFC"/>
    <w:rsid w:val="007632B6"/>
    <w:rsid w:val="00765E9E"/>
    <w:rsid w:val="0076665F"/>
    <w:rsid w:val="00767500"/>
    <w:rsid w:val="00767546"/>
    <w:rsid w:val="00770AC6"/>
    <w:rsid w:val="00771E84"/>
    <w:rsid w:val="00772AFA"/>
    <w:rsid w:val="00772E3D"/>
    <w:rsid w:val="00772F5B"/>
    <w:rsid w:val="007742C1"/>
    <w:rsid w:val="0077433B"/>
    <w:rsid w:val="00774DB2"/>
    <w:rsid w:val="0077562F"/>
    <w:rsid w:val="00776BFC"/>
    <w:rsid w:val="00777D1A"/>
    <w:rsid w:val="007807BF"/>
    <w:rsid w:val="00781556"/>
    <w:rsid w:val="00781F27"/>
    <w:rsid w:val="00782752"/>
    <w:rsid w:val="00783829"/>
    <w:rsid w:val="007846A8"/>
    <w:rsid w:val="00784A21"/>
    <w:rsid w:val="00784B46"/>
    <w:rsid w:val="00785EE9"/>
    <w:rsid w:val="007870FB"/>
    <w:rsid w:val="00787AD9"/>
    <w:rsid w:val="007907F2"/>
    <w:rsid w:val="00792A4E"/>
    <w:rsid w:val="007936E6"/>
    <w:rsid w:val="00793F7A"/>
    <w:rsid w:val="0079421B"/>
    <w:rsid w:val="0079527B"/>
    <w:rsid w:val="00797015"/>
    <w:rsid w:val="007A20F8"/>
    <w:rsid w:val="007A261D"/>
    <w:rsid w:val="007A3CA9"/>
    <w:rsid w:val="007A54B3"/>
    <w:rsid w:val="007A5A2B"/>
    <w:rsid w:val="007A5CD3"/>
    <w:rsid w:val="007A6822"/>
    <w:rsid w:val="007A75A1"/>
    <w:rsid w:val="007B0597"/>
    <w:rsid w:val="007B1687"/>
    <w:rsid w:val="007B2FB5"/>
    <w:rsid w:val="007B3D39"/>
    <w:rsid w:val="007B4131"/>
    <w:rsid w:val="007B4410"/>
    <w:rsid w:val="007B45B3"/>
    <w:rsid w:val="007B55EA"/>
    <w:rsid w:val="007B609A"/>
    <w:rsid w:val="007C19F8"/>
    <w:rsid w:val="007C2767"/>
    <w:rsid w:val="007C286A"/>
    <w:rsid w:val="007C30E3"/>
    <w:rsid w:val="007C3C7C"/>
    <w:rsid w:val="007C40D1"/>
    <w:rsid w:val="007C4D7C"/>
    <w:rsid w:val="007D071E"/>
    <w:rsid w:val="007D0A77"/>
    <w:rsid w:val="007D10DE"/>
    <w:rsid w:val="007D1573"/>
    <w:rsid w:val="007D1FFB"/>
    <w:rsid w:val="007D21D5"/>
    <w:rsid w:val="007D225A"/>
    <w:rsid w:val="007D247B"/>
    <w:rsid w:val="007D2B29"/>
    <w:rsid w:val="007D40EE"/>
    <w:rsid w:val="007D4B5A"/>
    <w:rsid w:val="007D5122"/>
    <w:rsid w:val="007D6086"/>
    <w:rsid w:val="007D61DE"/>
    <w:rsid w:val="007D67EB"/>
    <w:rsid w:val="007D6918"/>
    <w:rsid w:val="007D7128"/>
    <w:rsid w:val="007D7451"/>
    <w:rsid w:val="007E000C"/>
    <w:rsid w:val="007E1957"/>
    <w:rsid w:val="007E20C9"/>
    <w:rsid w:val="007E2186"/>
    <w:rsid w:val="007E35C5"/>
    <w:rsid w:val="007E4E18"/>
    <w:rsid w:val="007E5618"/>
    <w:rsid w:val="007E5BFD"/>
    <w:rsid w:val="007F025F"/>
    <w:rsid w:val="007F199B"/>
    <w:rsid w:val="007F33F1"/>
    <w:rsid w:val="007F3555"/>
    <w:rsid w:val="007F3BCA"/>
    <w:rsid w:val="007F424D"/>
    <w:rsid w:val="007F5170"/>
    <w:rsid w:val="007F5F09"/>
    <w:rsid w:val="007F6A43"/>
    <w:rsid w:val="007F75E3"/>
    <w:rsid w:val="007F7F7C"/>
    <w:rsid w:val="00801236"/>
    <w:rsid w:val="0080188B"/>
    <w:rsid w:val="00801892"/>
    <w:rsid w:val="00803482"/>
    <w:rsid w:val="00803C73"/>
    <w:rsid w:val="00804866"/>
    <w:rsid w:val="00805000"/>
    <w:rsid w:val="0080604A"/>
    <w:rsid w:val="0080687F"/>
    <w:rsid w:val="00806DDF"/>
    <w:rsid w:val="008072D1"/>
    <w:rsid w:val="0081010B"/>
    <w:rsid w:val="008118EC"/>
    <w:rsid w:val="00811F97"/>
    <w:rsid w:val="008136E8"/>
    <w:rsid w:val="00813E20"/>
    <w:rsid w:val="008154D7"/>
    <w:rsid w:val="00816F3C"/>
    <w:rsid w:val="008201C1"/>
    <w:rsid w:val="008201E6"/>
    <w:rsid w:val="00820995"/>
    <w:rsid w:val="008210DA"/>
    <w:rsid w:val="00822CCE"/>
    <w:rsid w:val="00826259"/>
    <w:rsid w:val="00830B35"/>
    <w:rsid w:val="00831A42"/>
    <w:rsid w:val="00832E32"/>
    <w:rsid w:val="00833CCE"/>
    <w:rsid w:val="00836804"/>
    <w:rsid w:val="008369EE"/>
    <w:rsid w:val="00836A78"/>
    <w:rsid w:val="00836E99"/>
    <w:rsid w:val="00840ED7"/>
    <w:rsid w:val="00841FEE"/>
    <w:rsid w:val="0084262E"/>
    <w:rsid w:val="00843AF2"/>
    <w:rsid w:val="008458A6"/>
    <w:rsid w:val="00845BBC"/>
    <w:rsid w:val="00846CDD"/>
    <w:rsid w:val="00846E0D"/>
    <w:rsid w:val="008474E6"/>
    <w:rsid w:val="00847741"/>
    <w:rsid w:val="00850124"/>
    <w:rsid w:val="008502C9"/>
    <w:rsid w:val="00850564"/>
    <w:rsid w:val="008514AB"/>
    <w:rsid w:val="008533FE"/>
    <w:rsid w:val="00857682"/>
    <w:rsid w:val="00860FC9"/>
    <w:rsid w:val="00862023"/>
    <w:rsid w:val="0086407F"/>
    <w:rsid w:val="00865BD5"/>
    <w:rsid w:val="00866888"/>
    <w:rsid w:val="008727DE"/>
    <w:rsid w:val="008730A8"/>
    <w:rsid w:val="008742AB"/>
    <w:rsid w:val="00876739"/>
    <w:rsid w:val="00880F33"/>
    <w:rsid w:val="0088120D"/>
    <w:rsid w:val="00882C6B"/>
    <w:rsid w:val="0088379F"/>
    <w:rsid w:val="00883E5A"/>
    <w:rsid w:val="00884B03"/>
    <w:rsid w:val="00884B5E"/>
    <w:rsid w:val="00885066"/>
    <w:rsid w:val="00885287"/>
    <w:rsid w:val="0089087A"/>
    <w:rsid w:val="008914ED"/>
    <w:rsid w:val="008917DC"/>
    <w:rsid w:val="0089193F"/>
    <w:rsid w:val="008929B1"/>
    <w:rsid w:val="00893987"/>
    <w:rsid w:val="00894899"/>
    <w:rsid w:val="00894DDC"/>
    <w:rsid w:val="0089537E"/>
    <w:rsid w:val="008957C7"/>
    <w:rsid w:val="00895888"/>
    <w:rsid w:val="00897EC0"/>
    <w:rsid w:val="008A187D"/>
    <w:rsid w:val="008A1DAC"/>
    <w:rsid w:val="008A2C00"/>
    <w:rsid w:val="008A3BCD"/>
    <w:rsid w:val="008A5BC8"/>
    <w:rsid w:val="008A6646"/>
    <w:rsid w:val="008A6A8D"/>
    <w:rsid w:val="008A7999"/>
    <w:rsid w:val="008B0B79"/>
    <w:rsid w:val="008B20E0"/>
    <w:rsid w:val="008B27AA"/>
    <w:rsid w:val="008B39A2"/>
    <w:rsid w:val="008B3A66"/>
    <w:rsid w:val="008B458C"/>
    <w:rsid w:val="008B6730"/>
    <w:rsid w:val="008C01C3"/>
    <w:rsid w:val="008C05C6"/>
    <w:rsid w:val="008C0990"/>
    <w:rsid w:val="008C0B0A"/>
    <w:rsid w:val="008C0C9F"/>
    <w:rsid w:val="008C1B00"/>
    <w:rsid w:val="008C3185"/>
    <w:rsid w:val="008C37EF"/>
    <w:rsid w:val="008C6AF4"/>
    <w:rsid w:val="008C7220"/>
    <w:rsid w:val="008C772C"/>
    <w:rsid w:val="008C7969"/>
    <w:rsid w:val="008D04E3"/>
    <w:rsid w:val="008D0C4E"/>
    <w:rsid w:val="008D148A"/>
    <w:rsid w:val="008D30AA"/>
    <w:rsid w:val="008D3869"/>
    <w:rsid w:val="008D5C35"/>
    <w:rsid w:val="008D611F"/>
    <w:rsid w:val="008D7F83"/>
    <w:rsid w:val="008E01A3"/>
    <w:rsid w:val="008E1A83"/>
    <w:rsid w:val="008E4B23"/>
    <w:rsid w:val="008E5568"/>
    <w:rsid w:val="008E6075"/>
    <w:rsid w:val="008E6892"/>
    <w:rsid w:val="008E7C9E"/>
    <w:rsid w:val="008F0997"/>
    <w:rsid w:val="008F1E6B"/>
    <w:rsid w:val="008F20F3"/>
    <w:rsid w:val="008F4202"/>
    <w:rsid w:val="008F4CA7"/>
    <w:rsid w:val="008F5003"/>
    <w:rsid w:val="008F7443"/>
    <w:rsid w:val="008F7F00"/>
    <w:rsid w:val="0090197A"/>
    <w:rsid w:val="00901E21"/>
    <w:rsid w:val="00902DE8"/>
    <w:rsid w:val="00903553"/>
    <w:rsid w:val="00905057"/>
    <w:rsid w:val="009050DD"/>
    <w:rsid w:val="00905A59"/>
    <w:rsid w:val="00905D31"/>
    <w:rsid w:val="0090622B"/>
    <w:rsid w:val="00906908"/>
    <w:rsid w:val="0091062F"/>
    <w:rsid w:val="009115CD"/>
    <w:rsid w:val="00911FB8"/>
    <w:rsid w:val="0091310D"/>
    <w:rsid w:val="009132CF"/>
    <w:rsid w:val="00914BA7"/>
    <w:rsid w:val="00914EE0"/>
    <w:rsid w:val="009150C6"/>
    <w:rsid w:val="00916109"/>
    <w:rsid w:val="00916F62"/>
    <w:rsid w:val="00917298"/>
    <w:rsid w:val="00920865"/>
    <w:rsid w:val="00921906"/>
    <w:rsid w:val="00922278"/>
    <w:rsid w:val="00923E50"/>
    <w:rsid w:val="0092478C"/>
    <w:rsid w:val="009247EC"/>
    <w:rsid w:val="00924936"/>
    <w:rsid w:val="00924A31"/>
    <w:rsid w:val="00924C1C"/>
    <w:rsid w:val="00924E19"/>
    <w:rsid w:val="0092546B"/>
    <w:rsid w:val="009266CD"/>
    <w:rsid w:val="00927451"/>
    <w:rsid w:val="009301A4"/>
    <w:rsid w:val="00930938"/>
    <w:rsid w:val="00932475"/>
    <w:rsid w:val="00934F87"/>
    <w:rsid w:val="009355D6"/>
    <w:rsid w:val="0093637B"/>
    <w:rsid w:val="00937135"/>
    <w:rsid w:val="00940DD9"/>
    <w:rsid w:val="00941672"/>
    <w:rsid w:val="00941A82"/>
    <w:rsid w:val="0094295C"/>
    <w:rsid w:val="00943AE8"/>
    <w:rsid w:val="009443A3"/>
    <w:rsid w:val="00944A31"/>
    <w:rsid w:val="00944EB5"/>
    <w:rsid w:val="0094516D"/>
    <w:rsid w:val="0094687C"/>
    <w:rsid w:val="00946A70"/>
    <w:rsid w:val="00946B02"/>
    <w:rsid w:val="00947748"/>
    <w:rsid w:val="00950AC5"/>
    <w:rsid w:val="00950EB5"/>
    <w:rsid w:val="00951D6A"/>
    <w:rsid w:val="0095240C"/>
    <w:rsid w:val="009546FD"/>
    <w:rsid w:val="00954C76"/>
    <w:rsid w:val="0095525A"/>
    <w:rsid w:val="00956AF3"/>
    <w:rsid w:val="00956E74"/>
    <w:rsid w:val="009574A1"/>
    <w:rsid w:val="00960105"/>
    <w:rsid w:val="00960E0D"/>
    <w:rsid w:val="00962035"/>
    <w:rsid w:val="009628C9"/>
    <w:rsid w:val="00962BAC"/>
    <w:rsid w:val="009630C2"/>
    <w:rsid w:val="00965A0B"/>
    <w:rsid w:val="0096674B"/>
    <w:rsid w:val="0097054F"/>
    <w:rsid w:val="00970987"/>
    <w:rsid w:val="00974274"/>
    <w:rsid w:val="009750B6"/>
    <w:rsid w:val="009758BA"/>
    <w:rsid w:val="00976626"/>
    <w:rsid w:val="00977EFB"/>
    <w:rsid w:val="00980507"/>
    <w:rsid w:val="00981AD6"/>
    <w:rsid w:val="009820CD"/>
    <w:rsid w:val="00982122"/>
    <w:rsid w:val="00983FAE"/>
    <w:rsid w:val="00985821"/>
    <w:rsid w:val="00986567"/>
    <w:rsid w:val="009905C0"/>
    <w:rsid w:val="00990ECA"/>
    <w:rsid w:val="00991128"/>
    <w:rsid w:val="009917B7"/>
    <w:rsid w:val="00992F17"/>
    <w:rsid w:val="00993A09"/>
    <w:rsid w:val="00995C71"/>
    <w:rsid w:val="00996D59"/>
    <w:rsid w:val="00997017"/>
    <w:rsid w:val="009A0E1A"/>
    <w:rsid w:val="009A162C"/>
    <w:rsid w:val="009A1B3C"/>
    <w:rsid w:val="009A1F97"/>
    <w:rsid w:val="009A2919"/>
    <w:rsid w:val="009A3A47"/>
    <w:rsid w:val="009A3CB7"/>
    <w:rsid w:val="009A48DC"/>
    <w:rsid w:val="009A4BC0"/>
    <w:rsid w:val="009A689C"/>
    <w:rsid w:val="009A6D7D"/>
    <w:rsid w:val="009A7C42"/>
    <w:rsid w:val="009B0DC2"/>
    <w:rsid w:val="009B177A"/>
    <w:rsid w:val="009B1B72"/>
    <w:rsid w:val="009B3767"/>
    <w:rsid w:val="009B3A0C"/>
    <w:rsid w:val="009B4355"/>
    <w:rsid w:val="009B4BA6"/>
    <w:rsid w:val="009B50F1"/>
    <w:rsid w:val="009B69DE"/>
    <w:rsid w:val="009B6E2D"/>
    <w:rsid w:val="009B6ED2"/>
    <w:rsid w:val="009B6F3C"/>
    <w:rsid w:val="009B6FB4"/>
    <w:rsid w:val="009C01E8"/>
    <w:rsid w:val="009C09D2"/>
    <w:rsid w:val="009C137E"/>
    <w:rsid w:val="009C2C25"/>
    <w:rsid w:val="009C522B"/>
    <w:rsid w:val="009C56EE"/>
    <w:rsid w:val="009C5C88"/>
    <w:rsid w:val="009C6725"/>
    <w:rsid w:val="009C6757"/>
    <w:rsid w:val="009C7BB4"/>
    <w:rsid w:val="009D0FED"/>
    <w:rsid w:val="009D2B20"/>
    <w:rsid w:val="009D3BB9"/>
    <w:rsid w:val="009D41D1"/>
    <w:rsid w:val="009D4687"/>
    <w:rsid w:val="009D5D26"/>
    <w:rsid w:val="009D5EA8"/>
    <w:rsid w:val="009D71D7"/>
    <w:rsid w:val="009E1E27"/>
    <w:rsid w:val="009E2F98"/>
    <w:rsid w:val="009E300F"/>
    <w:rsid w:val="009E3B0E"/>
    <w:rsid w:val="009E3C32"/>
    <w:rsid w:val="009E407A"/>
    <w:rsid w:val="009E5099"/>
    <w:rsid w:val="009E5984"/>
    <w:rsid w:val="009E753F"/>
    <w:rsid w:val="009F07DF"/>
    <w:rsid w:val="009F0AE3"/>
    <w:rsid w:val="009F148B"/>
    <w:rsid w:val="009F18F5"/>
    <w:rsid w:val="009F1990"/>
    <w:rsid w:val="009F1E1D"/>
    <w:rsid w:val="009F28F5"/>
    <w:rsid w:val="009F445D"/>
    <w:rsid w:val="009F56C7"/>
    <w:rsid w:val="009F6786"/>
    <w:rsid w:val="009F6F28"/>
    <w:rsid w:val="00A002E5"/>
    <w:rsid w:val="00A00FF4"/>
    <w:rsid w:val="00A031F7"/>
    <w:rsid w:val="00A03CEF"/>
    <w:rsid w:val="00A047CE"/>
    <w:rsid w:val="00A06CEA"/>
    <w:rsid w:val="00A100B4"/>
    <w:rsid w:val="00A10DDE"/>
    <w:rsid w:val="00A1223C"/>
    <w:rsid w:val="00A131C9"/>
    <w:rsid w:val="00A13D38"/>
    <w:rsid w:val="00A15767"/>
    <w:rsid w:val="00A16422"/>
    <w:rsid w:val="00A16F0A"/>
    <w:rsid w:val="00A22D33"/>
    <w:rsid w:val="00A23071"/>
    <w:rsid w:val="00A23991"/>
    <w:rsid w:val="00A24006"/>
    <w:rsid w:val="00A2427B"/>
    <w:rsid w:val="00A2494F"/>
    <w:rsid w:val="00A269F8"/>
    <w:rsid w:val="00A2785D"/>
    <w:rsid w:val="00A3021D"/>
    <w:rsid w:val="00A30DAA"/>
    <w:rsid w:val="00A3156B"/>
    <w:rsid w:val="00A3183A"/>
    <w:rsid w:val="00A31CFD"/>
    <w:rsid w:val="00A323AB"/>
    <w:rsid w:val="00A32B66"/>
    <w:rsid w:val="00A33BCD"/>
    <w:rsid w:val="00A34001"/>
    <w:rsid w:val="00A34EB3"/>
    <w:rsid w:val="00A35227"/>
    <w:rsid w:val="00A35953"/>
    <w:rsid w:val="00A359E5"/>
    <w:rsid w:val="00A35C3B"/>
    <w:rsid w:val="00A362B2"/>
    <w:rsid w:val="00A36D2F"/>
    <w:rsid w:val="00A37475"/>
    <w:rsid w:val="00A40F81"/>
    <w:rsid w:val="00A41351"/>
    <w:rsid w:val="00A42552"/>
    <w:rsid w:val="00A43121"/>
    <w:rsid w:val="00A435AB"/>
    <w:rsid w:val="00A45F3A"/>
    <w:rsid w:val="00A46638"/>
    <w:rsid w:val="00A46D60"/>
    <w:rsid w:val="00A4759C"/>
    <w:rsid w:val="00A53D55"/>
    <w:rsid w:val="00A542E4"/>
    <w:rsid w:val="00A54FB7"/>
    <w:rsid w:val="00A55178"/>
    <w:rsid w:val="00A56B77"/>
    <w:rsid w:val="00A574A2"/>
    <w:rsid w:val="00A57B54"/>
    <w:rsid w:val="00A57F3D"/>
    <w:rsid w:val="00A6155D"/>
    <w:rsid w:val="00A62228"/>
    <w:rsid w:val="00A64552"/>
    <w:rsid w:val="00A647E3"/>
    <w:rsid w:val="00A650F1"/>
    <w:rsid w:val="00A65B66"/>
    <w:rsid w:val="00A65D22"/>
    <w:rsid w:val="00A663E8"/>
    <w:rsid w:val="00A66703"/>
    <w:rsid w:val="00A7101E"/>
    <w:rsid w:val="00A721BD"/>
    <w:rsid w:val="00A73674"/>
    <w:rsid w:val="00A74325"/>
    <w:rsid w:val="00A745E4"/>
    <w:rsid w:val="00A7460A"/>
    <w:rsid w:val="00A75BE7"/>
    <w:rsid w:val="00A75CB9"/>
    <w:rsid w:val="00A760DA"/>
    <w:rsid w:val="00A766A0"/>
    <w:rsid w:val="00A80B47"/>
    <w:rsid w:val="00A82A1C"/>
    <w:rsid w:val="00A836D3"/>
    <w:rsid w:val="00A844D4"/>
    <w:rsid w:val="00A854A3"/>
    <w:rsid w:val="00A857E9"/>
    <w:rsid w:val="00A85F3E"/>
    <w:rsid w:val="00A862EC"/>
    <w:rsid w:val="00A866E5"/>
    <w:rsid w:val="00A866FB"/>
    <w:rsid w:val="00A902B3"/>
    <w:rsid w:val="00A914D6"/>
    <w:rsid w:val="00A92579"/>
    <w:rsid w:val="00A9299E"/>
    <w:rsid w:val="00A95B8D"/>
    <w:rsid w:val="00A95ED7"/>
    <w:rsid w:val="00A96210"/>
    <w:rsid w:val="00A96290"/>
    <w:rsid w:val="00A97B33"/>
    <w:rsid w:val="00AA07AE"/>
    <w:rsid w:val="00AA1CD9"/>
    <w:rsid w:val="00AA1FFF"/>
    <w:rsid w:val="00AA23F9"/>
    <w:rsid w:val="00AA2BAA"/>
    <w:rsid w:val="00AA2DDB"/>
    <w:rsid w:val="00AA63B7"/>
    <w:rsid w:val="00AA6C8C"/>
    <w:rsid w:val="00AA7104"/>
    <w:rsid w:val="00AB15BC"/>
    <w:rsid w:val="00AB43A5"/>
    <w:rsid w:val="00AB4CF1"/>
    <w:rsid w:val="00AB5E3F"/>
    <w:rsid w:val="00AC5AC8"/>
    <w:rsid w:val="00AC67D1"/>
    <w:rsid w:val="00AC7961"/>
    <w:rsid w:val="00AD2955"/>
    <w:rsid w:val="00AD375C"/>
    <w:rsid w:val="00AD5770"/>
    <w:rsid w:val="00AD58D4"/>
    <w:rsid w:val="00AD6505"/>
    <w:rsid w:val="00AD7713"/>
    <w:rsid w:val="00AE006A"/>
    <w:rsid w:val="00AE0449"/>
    <w:rsid w:val="00AE1CCB"/>
    <w:rsid w:val="00AE300A"/>
    <w:rsid w:val="00AE3264"/>
    <w:rsid w:val="00AE3C32"/>
    <w:rsid w:val="00AE4352"/>
    <w:rsid w:val="00AE5793"/>
    <w:rsid w:val="00AE63D3"/>
    <w:rsid w:val="00AF0788"/>
    <w:rsid w:val="00AF09C7"/>
    <w:rsid w:val="00AF1B70"/>
    <w:rsid w:val="00AF239D"/>
    <w:rsid w:val="00AF4067"/>
    <w:rsid w:val="00AF418C"/>
    <w:rsid w:val="00AF4C63"/>
    <w:rsid w:val="00AF50ED"/>
    <w:rsid w:val="00AF653F"/>
    <w:rsid w:val="00AF7A22"/>
    <w:rsid w:val="00B00DFE"/>
    <w:rsid w:val="00B034F4"/>
    <w:rsid w:val="00B04AE2"/>
    <w:rsid w:val="00B05F90"/>
    <w:rsid w:val="00B061E4"/>
    <w:rsid w:val="00B06446"/>
    <w:rsid w:val="00B064D2"/>
    <w:rsid w:val="00B06A59"/>
    <w:rsid w:val="00B11E66"/>
    <w:rsid w:val="00B11EDA"/>
    <w:rsid w:val="00B12076"/>
    <w:rsid w:val="00B1278E"/>
    <w:rsid w:val="00B13372"/>
    <w:rsid w:val="00B134D9"/>
    <w:rsid w:val="00B14C56"/>
    <w:rsid w:val="00B169BF"/>
    <w:rsid w:val="00B16C99"/>
    <w:rsid w:val="00B16F2B"/>
    <w:rsid w:val="00B16FE3"/>
    <w:rsid w:val="00B17B8C"/>
    <w:rsid w:val="00B206C3"/>
    <w:rsid w:val="00B21094"/>
    <w:rsid w:val="00B216D3"/>
    <w:rsid w:val="00B231F6"/>
    <w:rsid w:val="00B23BED"/>
    <w:rsid w:val="00B23F54"/>
    <w:rsid w:val="00B25960"/>
    <w:rsid w:val="00B27510"/>
    <w:rsid w:val="00B27D9B"/>
    <w:rsid w:val="00B30A88"/>
    <w:rsid w:val="00B30B0C"/>
    <w:rsid w:val="00B312CC"/>
    <w:rsid w:val="00B315C8"/>
    <w:rsid w:val="00B33071"/>
    <w:rsid w:val="00B34AF4"/>
    <w:rsid w:val="00B34E4F"/>
    <w:rsid w:val="00B3589C"/>
    <w:rsid w:val="00B37C95"/>
    <w:rsid w:val="00B40920"/>
    <w:rsid w:val="00B41B6E"/>
    <w:rsid w:val="00B41E63"/>
    <w:rsid w:val="00B4219C"/>
    <w:rsid w:val="00B43BB5"/>
    <w:rsid w:val="00B43E34"/>
    <w:rsid w:val="00B44C7E"/>
    <w:rsid w:val="00B47BB7"/>
    <w:rsid w:val="00B47FCC"/>
    <w:rsid w:val="00B502E4"/>
    <w:rsid w:val="00B527AF"/>
    <w:rsid w:val="00B53806"/>
    <w:rsid w:val="00B53F85"/>
    <w:rsid w:val="00B54044"/>
    <w:rsid w:val="00B543BA"/>
    <w:rsid w:val="00B558D8"/>
    <w:rsid w:val="00B56462"/>
    <w:rsid w:val="00B564EE"/>
    <w:rsid w:val="00B62973"/>
    <w:rsid w:val="00B62A23"/>
    <w:rsid w:val="00B64C3D"/>
    <w:rsid w:val="00B651BA"/>
    <w:rsid w:val="00B654BE"/>
    <w:rsid w:val="00B65C67"/>
    <w:rsid w:val="00B674E9"/>
    <w:rsid w:val="00B70255"/>
    <w:rsid w:val="00B71204"/>
    <w:rsid w:val="00B71265"/>
    <w:rsid w:val="00B724DF"/>
    <w:rsid w:val="00B72CCC"/>
    <w:rsid w:val="00B73F5C"/>
    <w:rsid w:val="00B74F65"/>
    <w:rsid w:val="00B7578A"/>
    <w:rsid w:val="00B769FC"/>
    <w:rsid w:val="00B76B6D"/>
    <w:rsid w:val="00B813C7"/>
    <w:rsid w:val="00B81D5A"/>
    <w:rsid w:val="00B82528"/>
    <w:rsid w:val="00B827DA"/>
    <w:rsid w:val="00B84543"/>
    <w:rsid w:val="00B84884"/>
    <w:rsid w:val="00B8499E"/>
    <w:rsid w:val="00B90FA1"/>
    <w:rsid w:val="00B914B4"/>
    <w:rsid w:val="00B92859"/>
    <w:rsid w:val="00B92B48"/>
    <w:rsid w:val="00B93226"/>
    <w:rsid w:val="00B93662"/>
    <w:rsid w:val="00B93AF5"/>
    <w:rsid w:val="00B943D0"/>
    <w:rsid w:val="00B95143"/>
    <w:rsid w:val="00B95F95"/>
    <w:rsid w:val="00B968E0"/>
    <w:rsid w:val="00B977C3"/>
    <w:rsid w:val="00B97D7A"/>
    <w:rsid w:val="00B97EF7"/>
    <w:rsid w:val="00BA1C5B"/>
    <w:rsid w:val="00BA1DF4"/>
    <w:rsid w:val="00BA1FCB"/>
    <w:rsid w:val="00BA330E"/>
    <w:rsid w:val="00BA44E1"/>
    <w:rsid w:val="00BA452F"/>
    <w:rsid w:val="00BA4785"/>
    <w:rsid w:val="00BA5066"/>
    <w:rsid w:val="00BA70D1"/>
    <w:rsid w:val="00BB0648"/>
    <w:rsid w:val="00BB0703"/>
    <w:rsid w:val="00BB1CA5"/>
    <w:rsid w:val="00BB2499"/>
    <w:rsid w:val="00BB610E"/>
    <w:rsid w:val="00BB755D"/>
    <w:rsid w:val="00BB79F9"/>
    <w:rsid w:val="00BB7BB9"/>
    <w:rsid w:val="00BC1AFF"/>
    <w:rsid w:val="00BC1F51"/>
    <w:rsid w:val="00BC2553"/>
    <w:rsid w:val="00BC3DCF"/>
    <w:rsid w:val="00BC454A"/>
    <w:rsid w:val="00BC47AA"/>
    <w:rsid w:val="00BC52DF"/>
    <w:rsid w:val="00BC59B9"/>
    <w:rsid w:val="00BC5DE0"/>
    <w:rsid w:val="00BC61ED"/>
    <w:rsid w:val="00BC64C4"/>
    <w:rsid w:val="00BC691F"/>
    <w:rsid w:val="00BD1A84"/>
    <w:rsid w:val="00BD4836"/>
    <w:rsid w:val="00BD5B70"/>
    <w:rsid w:val="00BD7A5D"/>
    <w:rsid w:val="00BD7C09"/>
    <w:rsid w:val="00BE1805"/>
    <w:rsid w:val="00BE2061"/>
    <w:rsid w:val="00BE2185"/>
    <w:rsid w:val="00BE668C"/>
    <w:rsid w:val="00BE7678"/>
    <w:rsid w:val="00BE7C24"/>
    <w:rsid w:val="00BF0773"/>
    <w:rsid w:val="00BF0CBC"/>
    <w:rsid w:val="00BF1513"/>
    <w:rsid w:val="00BF1A9B"/>
    <w:rsid w:val="00BF1B92"/>
    <w:rsid w:val="00BF27FF"/>
    <w:rsid w:val="00BF31E9"/>
    <w:rsid w:val="00BF3FE6"/>
    <w:rsid w:val="00BF452E"/>
    <w:rsid w:val="00BF6C3B"/>
    <w:rsid w:val="00BF76EC"/>
    <w:rsid w:val="00BF797C"/>
    <w:rsid w:val="00C02041"/>
    <w:rsid w:val="00C02BCB"/>
    <w:rsid w:val="00C02C59"/>
    <w:rsid w:val="00C02C93"/>
    <w:rsid w:val="00C0382F"/>
    <w:rsid w:val="00C05C1D"/>
    <w:rsid w:val="00C05C42"/>
    <w:rsid w:val="00C06D9D"/>
    <w:rsid w:val="00C06F3D"/>
    <w:rsid w:val="00C077C3"/>
    <w:rsid w:val="00C07F90"/>
    <w:rsid w:val="00C10266"/>
    <w:rsid w:val="00C116CC"/>
    <w:rsid w:val="00C13D9B"/>
    <w:rsid w:val="00C14226"/>
    <w:rsid w:val="00C151FC"/>
    <w:rsid w:val="00C15BF2"/>
    <w:rsid w:val="00C16106"/>
    <w:rsid w:val="00C16878"/>
    <w:rsid w:val="00C22586"/>
    <w:rsid w:val="00C238B8"/>
    <w:rsid w:val="00C24603"/>
    <w:rsid w:val="00C24DB0"/>
    <w:rsid w:val="00C25D16"/>
    <w:rsid w:val="00C26B56"/>
    <w:rsid w:val="00C26C5D"/>
    <w:rsid w:val="00C26EC7"/>
    <w:rsid w:val="00C27A04"/>
    <w:rsid w:val="00C30150"/>
    <w:rsid w:val="00C317F4"/>
    <w:rsid w:val="00C32167"/>
    <w:rsid w:val="00C325D1"/>
    <w:rsid w:val="00C33F82"/>
    <w:rsid w:val="00C34361"/>
    <w:rsid w:val="00C344A8"/>
    <w:rsid w:val="00C34994"/>
    <w:rsid w:val="00C3534E"/>
    <w:rsid w:val="00C37E4A"/>
    <w:rsid w:val="00C40764"/>
    <w:rsid w:val="00C40B31"/>
    <w:rsid w:val="00C429C7"/>
    <w:rsid w:val="00C435E5"/>
    <w:rsid w:val="00C44334"/>
    <w:rsid w:val="00C44CA6"/>
    <w:rsid w:val="00C4503F"/>
    <w:rsid w:val="00C4560A"/>
    <w:rsid w:val="00C456A5"/>
    <w:rsid w:val="00C51F1D"/>
    <w:rsid w:val="00C536B6"/>
    <w:rsid w:val="00C53B05"/>
    <w:rsid w:val="00C542B2"/>
    <w:rsid w:val="00C54DE7"/>
    <w:rsid w:val="00C5526A"/>
    <w:rsid w:val="00C55575"/>
    <w:rsid w:val="00C5607C"/>
    <w:rsid w:val="00C56819"/>
    <w:rsid w:val="00C573C5"/>
    <w:rsid w:val="00C5750E"/>
    <w:rsid w:val="00C57B58"/>
    <w:rsid w:val="00C60962"/>
    <w:rsid w:val="00C60AD8"/>
    <w:rsid w:val="00C610AD"/>
    <w:rsid w:val="00C646B0"/>
    <w:rsid w:val="00C64ADF"/>
    <w:rsid w:val="00C666D9"/>
    <w:rsid w:val="00C66727"/>
    <w:rsid w:val="00C6780A"/>
    <w:rsid w:val="00C713E0"/>
    <w:rsid w:val="00C716E6"/>
    <w:rsid w:val="00C724C0"/>
    <w:rsid w:val="00C76315"/>
    <w:rsid w:val="00C76C52"/>
    <w:rsid w:val="00C77069"/>
    <w:rsid w:val="00C77548"/>
    <w:rsid w:val="00C77A02"/>
    <w:rsid w:val="00C815D7"/>
    <w:rsid w:val="00C82261"/>
    <w:rsid w:val="00C82920"/>
    <w:rsid w:val="00C833B9"/>
    <w:rsid w:val="00C87C4C"/>
    <w:rsid w:val="00C92BF2"/>
    <w:rsid w:val="00C93B9D"/>
    <w:rsid w:val="00C95395"/>
    <w:rsid w:val="00C95DCB"/>
    <w:rsid w:val="00C96C44"/>
    <w:rsid w:val="00C96CB9"/>
    <w:rsid w:val="00C96FD2"/>
    <w:rsid w:val="00C97570"/>
    <w:rsid w:val="00CA079F"/>
    <w:rsid w:val="00CA2277"/>
    <w:rsid w:val="00CA4201"/>
    <w:rsid w:val="00CA4DFA"/>
    <w:rsid w:val="00CA4E02"/>
    <w:rsid w:val="00CA5991"/>
    <w:rsid w:val="00CA59D8"/>
    <w:rsid w:val="00CA6E81"/>
    <w:rsid w:val="00CB0446"/>
    <w:rsid w:val="00CB0F3D"/>
    <w:rsid w:val="00CB133B"/>
    <w:rsid w:val="00CB34FB"/>
    <w:rsid w:val="00CB38AC"/>
    <w:rsid w:val="00CB3A19"/>
    <w:rsid w:val="00CB4153"/>
    <w:rsid w:val="00CB4676"/>
    <w:rsid w:val="00CB5D4C"/>
    <w:rsid w:val="00CB69F3"/>
    <w:rsid w:val="00CB7422"/>
    <w:rsid w:val="00CB75F7"/>
    <w:rsid w:val="00CC0499"/>
    <w:rsid w:val="00CC0D60"/>
    <w:rsid w:val="00CC1469"/>
    <w:rsid w:val="00CC2730"/>
    <w:rsid w:val="00CC28E7"/>
    <w:rsid w:val="00CC2C09"/>
    <w:rsid w:val="00CC320F"/>
    <w:rsid w:val="00CC3ABF"/>
    <w:rsid w:val="00CC3B20"/>
    <w:rsid w:val="00CC5FF1"/>
    <w:rsid w:val="00CC63C4"/>
    <w:rsid w:val="00CD0B17"/>
    <w:rsid w:val="00CD1894"/>
    <w:rsid w:val="00CD327B"/>
    <w:rsid w:val="00CD3805"/>
    <w:rsid w:val="00CD4D36"/>
    <w:rsid w:val="00CD5738"/>
    <w:rsid w:val="00CD5878"/>
    <w:rsid w:val="00CD5973"/>
    <w:rsid w:val="00CD5FAD"/>
    <w:rsid w:val="00CD60F5"/>
    <w:rsid w:val="00CD70DD"/>
    <w:rsid w:val="00CD7991"/>
    <w:rsid w:val="00CE0475"/>
    <w:rsid w:val="00CE15CD"/>
    <w:rsid w:val="00CE1A1F"/>
    <w:rsid w:val="00CE330E"/>
    <w:rsid w:val="00CE3336"/>
    <w:rsid w:val="00CE3496"/>
    <w:rsid w:val="00CE3C0B"/>
    <w:rsid w:val="00CE3E73"/>
    <w:rsid w:val="00CE5929"/>
    <w:rsid w:val="00CE5B22"/>
    <w:rsid w:val="00CE62B4"/>
    <w:rsid w:val="00CE66FE"/>
    <w:rsid w:val="00CE74A7"/>
    <w:rsid w:val="00CE7610"/>
    <w:rsid w:val="00CF0CF6"/>
    <w:rsid w:val="00CF10C5"/>
    <w:rsid w:val="00CF16EC"/>
    <w:rsid w:val="00CF25D7"/>
    <w:rsid w:val="00CF3029"/>
    <w:rsid w:val="00CF3BB6"/>
    <w:rsid w:val="00CF40AC"/>
    <w:rsid w:val="00CF4689"/>
    <w:rsid w:val="00CF4777"/>
    <w:rsid w:val="00CF4BBC"/>
    <w:rsid w:val="00CF68B4"/>
    <w:rsid w:val="00CF7514"/>
    <w:rsid w:val="00CF7BE1"/>
    <w:rsid w:val="00CF7DA9"/>
    <w:rsid w:val="00D00335"/>
    <w:rsid w:val="00D01650"/>
    <w:rsid w:val="00D036D7"/>
    <w:rsid w:val="00D069E7"/>
    <w:rsid w:val="00D06B12"/>
    <w:rsid w:val="00D070EF"/>
    <w:rsid w:val="00D073D0"/>
    <w:rsid w:val="00D108A5"/>
    <w:rsid w:val="00D11663"/>
    <w:rsid w:val="00D117C0"/>
    <w:rsid w:val="00D11CB8"/>
    <w:rsid w:val="00D12002"/>
    <w:rsid w:val="00D12EEC"/>
    <w:rsid w:val="00D1336E"/>
    <w:rsid w:val="00D13E7D"/>
    <w:rsid w:val="00D158D2"/>
    <w:rsid w:val="00D15A64"/>
    <w:rsid w:val="00D16C40"/>
    <w:rsid w:val="00D1754C"/>
    <w:rsid w:val="00D17845"/>
    <w:rsid w:val="00D17D66"/>
    <w:rsid w:val="00D20996"/>
    <w:rsid w:val="00D20ECD"/>
    <w:rsid w:val="00D21993"/>
    <w:rsid w:val="00D22D8C"/>
    <w:rsid w:val="00D234CE"/>
    <w:rsid w:val="00D23685"/>
    <w:rsid w:val="00D23952"/>
    <w:rsid w:val="00D24172"/>
    <w:rsid w:val="00D248FE"/>
    <w:rsid w:val="00D255F5"/>
    <w:rsid w:val="00D25E11"/>
    <w:rsid w:val="00D2645D"/>
    <w:rsid w:val="00D27EAC"/>
    <w:rsid w:val="00D31D5F"/>
    <w:rsid w:val="00D32340"/>
    <w:rsid w:val="00D32885"/>
    <w:rsid w:val="00D33052"/>
    <w:rsid w:val="00D332D6"/>
    <w:rsid w:val="00D34697"/>
    <w:rsid w:val="00D354BC"/>
    <w:rsid w:val="00D359D5"/>
    <w:rsid w:val="00D36118"/>
    <w:rsid w:val="00D37FB4"/>
    <w:rsid w:val="00D41D25"/>
    <w:rsid w:val="00D41D7B"/>
    <w:rsid w:val="00D424C0"/>
    <w:rsid w:val="00D429D6"/>
    <w:rsid w:val="00D44FC5"/>
    <w:rsid w:val="00D46741"/>
    <w:rsid w:val="00D51CBA"/>
    <w:rsid w:val="00D52FD2"/>
    <w:rsid w:val="00D538C9"/>
    <w:rsid w:val="00D55763"/>
    <w:rsid w:val="00D5595F"/>
    <w:rsid w:val="00D60889"/>
    <w:rsid w:val="00D60D0B"/>
    <w:rsid w:val="00D633FB"/>
    <w:rsid w:val="00D64C09"/>
    <w:rsid w:val="00D66E12"/>
    <w:rsid w:val="00D67F21"/>
    <w:rsid w:val="00D707CC"/>
    <w:rsid w:val="00D70D3A"/>
    <w:rsid w:val="00D716D8"/>
    <w:rsid w:val="00D7287C"/>
    <w:rsid w:val="00D72CAD"/>
    <w:rsid w:val="00D735DC"/>
    <w:rsid w:val="00D74649"/>
    <w:rsid w:val="00D756F6"/>
    <w:rsid w:val="00D769BF"/>
    <w:rsid w:val="00D7791F"/>
    <w:rsid w:val="00D77973"/>
    <w:rsid w:val="00D807FB"/>
    <w:rsid w:val="00D81347"/>
    <w:rsid w:val="00D81CE4"/>
    <w:rsid w:val="00D82A5A"/>
    <w:rsid w:val="00D833C3"/>
    <w:rsid w:val="00D8508D"/>
    <w:rsid w:val="00D85733"/>
    <w:rsid w:val="00D85C44"/>
    <w:rsid w:val="00D85FAB"/>
    <w:rsid w:val="00D87CB4"/>
    <w:rsid w:val="00D91579"/>
    <w:rsid w:val="00D924B1"/>
    <w:rsid w:val="00D92760"/>
    <w:rsid w:val="00D92956"/>
    <w:rsid w:val="00D94C07"/>
    <w:rsid w:val="00D950D5"/>
    <w:rsid w:val="00D96187"/>
    <w:rsid w:val="00D97805"/>
    <w:rsid w:val="00D978EC"/>
    <w:rsid w:val="00DA0411"/>
    <w:rsid w:val="00DA1454"/>
    <w:rsid w:val="00DA2187"/>
    <w:rsid w:val="00DA2596"/>
    <w:rsid w:val="00DA33E2"/>
    <w:rsid w:val="00DA3F9A"/>
    <w:rsid w:val="00DA4B79"/>
    <w:rsid w:val="00DA4D22"/>
    <w:rsid w:val="00DA56E1"/>
    <w:rsid w:val="00DA5E0C"/>
    <w:rsid w:val="00DA6AD8"/>
    <w:rsid w:val="00DA72EC"/>
    <w:rsid w:val="00DB086F"/>
    <w:rsid w:val="00DB0B80"/>
    <w:rsid w:val="00DB183D"/>
    <w:rsid w:val="00DB1A18"/>
    <w:rsid w:val="00DB2686"/>
    <w:rsid w:val="00DB3828"/>
    <w:rsid w:val="00DB5897"/>
    <w:rsid w:val="00DB6B1A"/>
    <w:rsid w:val="00DB6BB0"/>
    <w:rsid w:val="00DB6C6F"/>
    <w:rsid w:val="00DB6D72"/>
    <w:rsid w:val="00DB7C2A"/>
    <w:rsid w:val="00DC0AB2"/>
    <w:rsid w:val="00DC1BF0"/>
    <w:rsid w:val="00DC4254"/>
    <w:rsid w:val="00DC5508"/>
    <w:rsid w:val="00DC6503"/>
    <w:rsid w:val="00DC66A1"/>
    <w:rsid w:val="00DC672B"/>
    <w:rsid w:val="00DC6B3F"/>
    <w:rsid w:val="00DC7588"/>
    <w:rsid w:val="00DD0E83"/>
    <w:rsid w:val="00DD21E8"/>
    <w:rsid w:val="00DD2274"/>
    <w:rsid w:val="00DD3F5B"/>
    <w:rsid w:val="00DD41C7"/>
    <w:rsid w:val="00DD5551"/>
    <w:rsid w:val="00DD57BA"/>
    <w:rsid w:val="00DD7B43"/>
    <w:rsid w:val="00DE08AA"/>
    <w:rsid w:val="00DE0BD8"/>
    <w:rsid w:val="00DE319F"/>
    <w:rsid w:val="00DE3EBD"/>
    <w:rsid w:val="00DE457A"/>
    <w:rsid w:val="00DE4CAC"/>
    <w:rsid w:val="00DE553A"/>
    <w:rsid w:val="00DE7C79"/>
    <w:rsid w:val="00DE7D2E"/>
    <w:rsid w:val="00DF1573"/>
    <w:rsid w:val="00DF17C6"/>
    <w:rsid w:val="00DF1DA6"/>
    <w:rsid w:val="00DF2D2E"/>
    <w:rsid w:val="00DF3785"/>
    <w:rsid w:val="00DF4FFE"/>
    <w:rsid w:val="00DF51F0"/>
    <w:rsid w:val="00DF5377"/>
    <w:rsid w:val="00DF5597"/>
    <w:rsid w:val="00DF588E"/>
    <w:rsid w:val="00DF70AE"/>
    <w:rsid w:val="00DF748F"/>
    <w:rsid w:val="00DF7ADE"/>
    <w:rsid w:val="00E00623"/>
    <w:rsid w:val="00E03C8B"/>
    <w:rsid w:val="00E03E65"/>
    <w:rsid w:val="00E04223"/>
    <w:rsid w:val="00E04527"/>
    <w:rsid w:val="00E04734"/>
    <w:rsid w:val="00E04B5B"/>
    <w:rsid w:val="00E04DD5"/>
    <w:rsid w:val="00E051FA"/>
    <w:rsid w:val="00E05F14"/>
    <w:rsid w:val="00E07DAB"/>
    <w:rsid w:val="00E10902"/>
    <w:rsid w:val="00E109DA"/>
    <w:rsid w:val="00E1193F"/>
    <w:rsid w:val="00E1243B"/>
    <w:rsid w:val="00E130C1"/>
    <w:rsid w:val="00E132E2"/>
    <w:rsid w:val="00E13A2B"/>
    <w:rsid w:val="00E13E3A"/>
    <w:rsid w:val="00E1415E"/>
    <w:rsid w:val="00E14729"/>
    <w:rsid w:val="00E14C80"/>
    <w:rsid w:val="00E15D9D"/>
    <w:rsid w:val="00E164F1"/>
    <w:rsid w:val="00E22A12"/>
    <w:rsid w:val="00E248B3"/>
    <w:rsid w:val="00E24D01"/>
    <w:rsid w:val="00E252DA"/>
    <w:rsid w:val="00E25753"/>
    <w:rsid w:val="00E25CB7"/>
    <w:rsid w:val="00E269A7"/>
    <w:rsid w:val="00E26A67"/>
    <w:rsid w:val="00E27066"/>
    <w:rsid w:val="00E27556"/>
    <w:rsid w:val="00E3101C"/>
    <w:rsid w:val="00E33DD3"/>
    <w:rsid w:val="00E37E41"/>
    <w:rsid w:val="00E40902"/>
    <w:rsid w:val="00E40C67"/>
    <w:rsid w:val="00E413D8"/>
    <w:rsid w:val="00E424D7"/>
    <w:rsid w:val="00E425FC"/>
    <w:rsid w:val="00E4417B"/>
    <w:rsid w:val="00E46E05"/>
    <w:rsid w:val="00E501C9"/>
    <w:rsid w:val="00E5063F"/>
    <w:rsid w:val="00E51216"/>
    <w:rsid w:val="00E53BC3"/>
    <w:rsid w:val="00E54BD3"/>
    <w:rsid w:val="00E54C92"/>
    <w:rsid w:val="00E55BFF"/>
    <w:rsid w:val="00E56056"/>
    <w:rsid w:val="00E56547"/>
    <w:rsid w:val="00E620D5"/>
    <w:rsid w:val="00E64AA8"/>
    <w:rsid w:val="00E656B4"/>
    <w:rsid w:val="00E702B0"/>
    <w:rsid w:val="00E7071E"/>
    <w:rsid w:val="00E70BDC"/>
    <w:rsid w:val="00E74C74"/>
    <w:rsid w:val="00E77BAB"/>
    <w:rsid w:val="00E80039"/>
    <w:rsid w:val="00E80325"/>
    <w:rsid w:val="00E805A4"/>
    <w:rsid w:val="00E80EAC"/>
    <w:rsid w:val="00E81839"/>
    <w:rsid w:val="00E82C1D"/>
    <w:rsid w:val="00E83035"/>
    <w:rsid w:val="00E83779"/>
    <w:rsid w:val="00E8409C"/>
    <w:rsid w:val="00E852C6"/>
    <w:rsid w:val="00E85AE4"/>
    <w:rsid w:val="00E87721"/>
    <w:rsid w:val="00E91480"/>
    <w:rsid w:val="00E91631"/>
    <w:rsid w:val="00E91C7D"/>
    <w:rsid w:val="00E92A4B"/>
    <w:rsid w:val="00E945D6"/>
    <w:rsid w:val="00E9590D"/>
    <w:rsid w:val="00E96D33"/>
    <w:rsid w:val="00E970D2"/>
    <w:rsid w:val="00E97591"/>
    <w:rsid w:val="00EA2720"/>
    <w:rsid w:val="00EA32AF"/>
    <w:rsid w:val="00EA40A0"/>
    <w:rsid w:val="00EA4B3D"/>
    <w:rsid w:val="00EA4FDC"/>
    <w:rsid w:val="00EA6187"/>
    <w:rsid w:val="00EA7F46"/>
    <w:rsid w:val="00EB0907"/>
    <w:rsid w:val="00EB0CD1"/>
    <w:rsid w:val="00EB0E7F"/>
    <w:rsid w:val="00EB0EAE"/>
    <w:rsid w:val="00EB1E3C"/>
    <w:rsid w:val="00EB2DC4"/>
    <w:rsid w:val="00EB414D"/>
    <w:rsid w:val="00EB64CF"/>
    <w:rsid w:val="00EB6DBE"/>
    <w:rsid w:val="00EC0509"/>
    <w:rsid w:val="00EC1763"/>
    <w:rsid w:val="00EC228D"/>
    <w:rsid w:val="00EC2B13"/>
    <w:rsid w:val="00EC31B1"/>
    <w:rsid w:val="00EC47CA"/>
    <w:rsid w:val="00EC47CE"/>
    <w:rsid w:val="00EC6372"/>
    <w:rsid w:val="00ED04F8"/>
    <w:rsid w:val="00ED05FE"/>
    <w:rsid w:val="00ED2321"/>
    <w:rsid w:val="00ED2545"/>
    <w:rsid w:val="00ED2B15"/>
    <w:rsid w:val="00ED2ECE"/>
    <w:rsid w:val="00ED474D"/>
    <w:rsid w:val="00ED4F7C"/>
    <w:rsid w:val="00ED5655"/>
    <w:rsid w:val="00ED5E19"/>
    <w:rsid w:val="00ED67F0"/>
    <w:rsid w:val="00ED6E00"/>
    <w:rsid w:val="00ED7317"/>
    <w:rsid w:val="00EE051D"/>
    <w:rsid w:val="00EE1AC5"/>
    <w:rsid w:val="00EE40D4"/>
    <w:rsid w:val="00EE52AC"/>
    <w:rsid w:val="00EE71D9"/>
    <w:rsid w:val="00EF06EF"/>
    <w:rsid w:val="00EF0898"/>
    <w:rsid w:val="00EF0DF1"/>
    <w:rsid w:val="00EF191D"/>
    <w:rsid w:val="00EF2889"/>
    <w:rsid w:val="00EF4957"/>
    <w:rsid w:val="00EF496E"/>
    <w:rsid w:val="00EF4A6D"/>
    <w:rsid w:val="00EF4B62"/>
    <w:rsid w:val="00EF6887"/>
    <w:rsid w:val="00F01542"/>
    <w:rsid w:val="00F02261"/>
    <w:rsid w:val="00F0478A"/>
    <w:rsid w:val="00F04DC0"/>
    <w:rsid w:val="00F04F2A"/>
    <w:rsid w:val="00F05B10"/>
    <w:rsid w:val="00F05FB9"/>
    <w:rsid w:val="00F06CA2"/>
    <w:rsid w:val="00F1031A"/>
    <w:rsid w:val="00F105A5"/>
    <w:rsid w:val="00F10867"/>
    <w:rsid w:val="00F10941"/>
    <w:rsid w:val="00F1248F"/>
    <w:rsid w:val="00F132EB"/>
    <w:rsid w:val="00F13305"/>
    <w:rsid w:val="00F133CC"/>
    <w:rsid w:val="00F13FFE"/>
    <w:rsid w:val="00F14515"/>
    <w:rsid w:val="00F14D14"/>
    <w:rsid w:val="00F1797B"/>
    <w:rsid w:val="00F2115D"/>
    <w:rsid w:val="00F220CD"/>
    <w:rsid w:val="00F22FEC"/>
    <w:rsid w:val="00F242E8"/>
    <w:rsid w:val="00F25728"/>
    <w:rsid w:val="00F260F3"/>
    <w:rsid w:val="00F26223"/>
    <w:rsid w:val="00F26357"/>
    <w:rsid w:val="00F27C7B"/>
    <w:rsid w:val="00F3040D"/>
    <w:rsid w:val="00F3142B"/>
    <w:rsid w:val="00F31F54"/>
    <w:rsid w:val="00F34064"/>
    <w:rsid w:val="00F34B9C"/>
    <w:rsid w:val="00F3520B"/>
    <w:rsid w:val="00F35A62"/>
    <w:rsid w:val="00F40159"/>
    <w:rsid w:val="00F41AE9"/>
    <w:rsid w:val="00F41F5D"/>
    <w:rsid w:val="00F43EF1"/>
    <w:rsid w:val="00F4776D"/>
    <w:rsid w:val="00F50DFA"/>
    <w:rsid w:val="00F513C3"/>
    <w:rsid w:val="00F51EE4"/>
    <w:rsid w:val="00F52C8D"/>
    <w:rsid w:val="00F547D0"/>
    <w:rsid w:val="00F57ABD"/>
    <w:rsid w:val="00F57DE9"/>
    <w:rsid w:val="00F6055F"/>
    <w:rsid w:val="00F611E0"/>
    <w:rsid w:val="00F631FE"/>
    <w:rsid w:val="00F63D09"/>
    <w:rsid w:val="00F64771"/>
    <w:rsid w:val="00F66695"/>
    <w:rsid w:val="00F70017"/>
    <w:rsid w:val="00F702AE"/>
    <w:rsid w:val="00F718D3"/>
    <w:rsid w:val="00F73A03"/>
    <w:rsid w:val="00F762A4"/>
    <w:rsid w:val="00F779C6"/>
    <w:rsid w:val="00F800C0"/>
    <w:rsid w:val="00F84203"/>
    <w:rsid w:val="00F84ECD"/>
    <w:rsid w:val="00F87A24"/>
    <w:rsid w:val="00F904B5"/>
    <w:rsid w:val="00F91F6B"/>
    <w:rsid w:val="00F9232E"/>
    <w:rsid w:val="00F92B04"/>
    <w:rsid w:val="00F9376D"/>
    <w:rsid w:val="00F93A89"/>
    <w:rsid w:val="00F953BC"/>
    <w:rsid w:val="00F961D9"/>
    <w:rsid w:val="00F96E5E"/>
    <w:rsid w:val="00F97DA1"/>
    <w:rsid w:val="00FA0EAC"/>
    <w:rsid w:val="00FA1E01"/>
    <w:rsid w:val="00FA1E3D"/>
    <w:rsid w:val="00FA20DC"/>
    <w:rsid w:val="00FA2849"/>
    <w:rsid w:val="00FA5257"/>
    <w:rsid w:val="00FA58BB"/>
    <w:rsid w:val="00FA687A"/>
    <w:rsid w:val="00FB1D45"/>
    <w:rsid w:val="00FB3D0C"/>
    <w:rsid w:val="00FB3EFE"/>
    <w:rsid w:val="00FB48D4"/>
    <w:rsid w:val="00FB4A1B"/>
    <w:rsid w:val="00FB5430"/>
    <w:rsid w:val="00FB5CCF"/>
    <w:rsid w:val="00FB6888"/>
    <w:rsid w:val="00FC1F31"/>
    <w:rsid w:val="00FC29F2"/>
    <w:rsid w:val="00FC3D58"/>
    <w:rsid w:val="00FC3FF9"/>
    <w:rsid w:val="00FC4FE1"/>
    <w:rsid w:val="00FC71C3"/>
    <w:rsid w:val="00FC75BF"/>
    <w:rsid w:val="00FC7B6A"/>
    <w:rsid w:val="00FC7CE7"/>
    <w:rsid w:val="00FD03F4"/>
    <w:rsid w:val="00FD0D40"/>
    <w:rsid w:val="00FD118F"/>
    <w:rsid w:val="00FD208E"/>
    <w:rsid w:val="00FD252B"/>
    <w:rsid w:val="00FD2C04"/>
    <w:rsid w:val="00FD36C0"/>
    <w:rsid w:val="00FD4529"/>
    <w:rsid w:val="00FD4ACD"/>
    <w:rsid w:val="00FD5327"/>
    <w:rsid w:val="00FD572F"/>
    <w:rsid w:val="00FD63C3"/>
    <w:rsid w:val="00FD673E"/>
    <w:rsid w:val="00FD6FCB"/>
    <w:rsid w:val="00FD7EDE"/>
    <w:rsid w:val="00FE116D"/>
    <w:rsid w:val="00FE126D"/>
    <w:rsid w:val="00FE18AB"/>
    <w:rsid w:val="00FE471B"/>
    <w:rsid w:val="00FE6F8C"/>
    <w:rsid w:val="00FE7B02"/>
    <w:rsid w:val="00FE7DAF"/>
    <w:rsid w:val="00FF0952"/>
    <w:rsid w:val="00FF2A91"/>
    <w:rsid w:val="00FF41C1"/>
    <w:rsid w:val="00FF4CAE"/>
    <w:rsid w:val="00FF5B94"/>
    <w:rsid w:val="00FF5DC6"/>
    <w:rsid w:val="00FF79EE"/>
    <w:rsid w:val="01E53451"/>
    <w:rsid w:val="02113F30"/>
    <w:rsid w:val="023B591A"/>
    <w:rsid w:val="033913D5"/>
    <w:rsid w:val="03584D7F"/>
    <w:rsid w:val="048707F7"/>
    <w:rsid w:val="06C5533A"/>
    <w:rsid w:val="07DF1DA3"/>
    <w:rsid w:val="07F1200D"/>
    <w:rsid w:val="08AE3331"/>
    <w:rsid w:val="0915113D"/>
    <w:rsid w:val="092E40DD"/>
    <w:rsid w:val="0994527E"/>
    <w:rsid w:val="09B80F66"/>
    <w:rsid w:val="0A3D607A"/>
    <w:rsid w:val="0A6A33C1"/>
    <w:rsid w:val="0AC4630F"/>
    <w:rsid w:val="0B9A3A9C"/>
    <w:rsid w:val="0C5158E4"/>
    <w:rsid w:val="0E5809BB"/>
    <w:rsid w:val="105E65D5"/>
    <w:rsid w:val="10CD2711"/>
    <w:rsid w:val="11B33F1C"/>
    <w:rsid w:val="12246E02"/>
    <w:rsid w:val="12452B28"/>
    <w:rsid w:val="13D873C8"/>
    <w:rsid w:val="15944812"/>
    <w:rsid w:val="17420CAC"/>
    <w:rsid w:val="195D501C"/>
    <w:rsid w:val="1A9E7DAA"/>
    <w:rsid w:val="1BDC3C59"/>
    <w:rsid w:val="1C727E03"/>
    <w:rsid w:val="1F0662BA"/>
    <w:rsid w:val="20416507"/>
    <w:rsid w:val="20736AD3"/>
    <w:rsid w:val="215E75B6"/>
    <w:rsid w:val="225A7023"/>
    <w:rsid w:val="228C418C"/>
    <w:rsid w:val="25E105C1"/>
    <w:rsid w:val="268C2DB7"/>
    <w:rsid w:val="29324346"/>
    <w:rsid w:val="29735819"/>
    <w:rsid w:val="2A183A56"/>
    <w:rsid w:val="2A732EB3"/>
    <w:rsid w:val="2A8707B2"/>
    <w:rsid w:val="2C2A223C"/>
    <w:rsid w:val="2C731295"/>
    <w:rsid w:val="2D5F2F6B"/>
    <w:rsid w:val="2D791CC3"/>
    <w:rsid w:val="2DF30059"/>
    <w:rsid w:val="2DFA714A"/>
    <w:rsid w:val="2E1A5370"/>
    <w:rsid w:val="2E364708"/>
    <w:rsid w:val="2E6D5DF6"/>
    <w:rsid w:val="2E754A07"/>
    <w:rsid w:val="2E7B6652"/>
    <w:rsid w:val="2EAE27D2"/>
    <w:rsid w:val="2EB54A86"/>
    <w:rsid w:val="2F1A7DBC"/>
    <w:rsid w:val="2F3C2D1D"/>
    <w:rsid w:val="2FD23E4B"/>
    <w:rsid w:val="301A3B29"/>
    <w:rsid w:val="305807C8"/>
    <w:rsid w:val="326068D9"/>
    <w:rsid w:val="330437A4"/>
    <w:rsid w:val="338C0F20"/>
    <w:rsid w:val="38274046"/>
    <w:rsid w:val="38C07A62"/>
    <w:rsid w:val="38F53BEE"/>
    <w:rsid w:val="3AC30521"/>
    <w:rsid w:val="3CAF09BF"/>
    <w:rsid w:val="3FF83075"/>
    <w:rsid w:val="40076536"/>
    <w:rsid w:val="40311FA3"/>
    <w:rsid w:val="40543866"/>
    <w:rsid w:val="40E046A1"/>
    <w:rsid w:val="41521861"/>
    <w:rsid w:val="41AC77C1"/>
    <w:rsid w:val="41C9621F"/>
    <w:rsid w:val="41DF29F3"/>
    <w:rsid w:val="42631AEC"/>
    <w:rsid w:val="42F706EA"/>
    <w:rsid w:val="43AE2F7A"/>
    <w:rsid w:val="45B91D06"/>
    <w:rsid w:val="46455A52"/>
    <w:rsid w:val="47A25F38"/>
    <w:rsid w:val="48353159"/>
    <w:rsid w:val="4A660A73"/>
    <w:rsid w:val="4A8279F8"/>
    <w:rsid w:val="4BA21AB7"/>
    <w:rsid w:val="4C511CCD"/>
    <w:rsid w:val="4CE32A9C"/>
    <w:rsid w:val="4DAB33C8"/>
    <w:rsid w:val="4FE27768"/>
    <w:rsid w:val="502268A6"/>
    <w:rsid w:val="510844DC"/>
    <w:rsid w:val="517E5840"/>
    <w:rsid w:val="51D134EC"/>
    <w:rsid w:val="51F701FD"/>
    <w:rsid w:val="51FC4249"/>
    <w:rsid w:val="525B5348"/>
    <w:rsid w:val="529504C3"/>
    <w:rsid w:val="545E6336"/>
    <w:rsid w:val="555B64E8"/>
    <w:rsid w:val="56361B2A"/>
    <w:rsid w:val="57094027"/>
    <w:rsid w:val="574A1A82"/>
    <w:rsid w:val="57772581"/>
    <w:rsid w:val="59681A2E"/>
    <w:rsid w:val="59A67FAB"/>
    <w:rsid w:val="59DF5FBF"/>
    <w:rsid w:val="5A391AD2"/>
    <w:rsid w:val="5A6B0C17"/>
    <w:rsid w:val="5CF74AEF"/>
    <w:rsid w:val="5F2A46CC"/>
    <w:rsid w:val="5F477D29"/>
    <w:rsid w:val="5FDE0613"/>
    <w:rsid w:val="60A90977"/>
    <w:rsid w:val="60FC04E3"/>
    <w:rsid w:val="60FC3F00"/>
    <w:rsid w:val="61052122"/>
    <w:rsid w:val="634C2855"/>
    <w:rsid w:val="64DD417E"/>
    <w:rsid w:val="66513520"/>
    <w:rsid w:val="66847674"/>
    <w:rsid w:val="66DF66CE"/>
    <w:rsid w:val="66E65294"/>
    <w:rsid w:val="68805E5A"/>
    <w:rsid w:val="6AB369BA"/>
    <w:rsid w:val="6B6D7C3C"/>
    <w:rsid w:val="6B817B52"/>
    <w:rsid w:val="6C2544D4"/>
    <w:rsid w:val="6C290781"/>
    <w:rsid w:val="6C35133D"/>
    <w:rsid w:val="6C6A0968"/>
    <w:rsid w:val="6C745A55"/>
    <w:rsid w:val="6CC21F50"/>
    <w:rsid w:val="6D551B7F"/>
    <w:rsid w:val="6DA42135"/>
    <w:rsid w:val="6E3546E0"/>
    <w:rsid w:val="6E4E350D"/>
    <w:rsid w:val="6E835E05"/>
    <w:rsid w:val="6EAB0E1B"/>
    <w:rsid w:val="71627DBE"/>
    <w:rsid w:val="71686F7C"/>
    <w:rsid w:val="71CE2CBE"/>
    <w:rsid w:val="722C3039"/>
    <w:rsid w:val="7231355A"/>
    <w:rsid w:val="73821DBD"/>
    <w:rsid w:val="73EE3FCA"/>
    <w:rsid w:val="73F93A18"/>
    <w:rsid w:val="745D6CB6"/>
    <w:rsid w:val="752E7578"/>
    <w:rsid w:val="75701C75"/>
    <w:rsid w:val="77B7325B"/>
    <w:rsid w:val="77DF23B8"/>
    <w:rsid w:val="78D378E3"/>
    <w:rsid w:val="78E14B1B"/>
    <w:rsid w:val="79442D85"/>
    <w:rsid w:val="796A0823"/>
    <w:rsid w:val="7B69232F"/>
    <w:rsid w:val="7D7977C3"/>
    <w:rsid w:val="7E5A654E"/>
    <w:rsid w:val="7ED145EE"/>
    <w:rsid w:val="7F646DFF"/>
    <w:rsid w:val="7FF2764F"/>
    <w:rsid w:val="BDFF11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37"/>
    <w:qFormat/>
    <w:uiPriority w:val="0"/>
    <w:pPr>
      <w:keepNext/>
      <w:keepLines/>
      <w:spacing w:before="340" w:after="330" w:line="576" w:lineRule="auto"/>
      <w:outlineLvl w:val="0"/>
    </w:pPr>
    <w:rPr>
      <w:rFonts w:ascii="Times New Roman" w:hAnsi="Times New Roman"/>
      <w:b/>
      <w:bCs/>
      <w:kern w:val="44"/>
      <w:sz w:val="44"/>
      <w:szCs w:val="44"/>
    </w:rPr>
  </w:style>
  <w:style w:type="paragraph" w:styleId="3">
    <w:name w:val="heading 2"/>
    <w:basedOn w:val="1"/>
    <w:next w:val="1"/>
    <w:link w:val="38"/>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link w:val="39"/>
    <w:qFormat/>
    <w:uiPriority w:val="0"/>
    <w:pPr>
      <w:keepNext/>
      <w:keepLines/>
      <w:spacing w:before="260" w:after="260" w:line="416" w:lineRule="auto"/>
      <w:outlineLvl w:val="2"/>
    </w:pPr>
    <w:rPr>
      <w:b/>
      <w:bCs/>
      <w:sz w:val="32"/>
      <w:szCs w:val="32"/>
    </w:rPr>
  </w:style>
  <w:style w:type="paragraph" w:styleId="5">
    <w:name w:val="heading 4"/>
    <w:basedOn w:val="1"/>
    <w:next w:val="1"/>
    <w:link w:val="40"/>
    <w:qFormat/>
    <w:uiPriority w:val="0"/>
    <w:pPr>
      <w:keepNext/>
      <w:keepLines/>
      <w:spacing w:before="280" w:after="290" w:line="376" w:lineRule="auto"/>
      <w:outlineLvl w:val="3"/>
    </w:pPr>
    <w:rPr>
      <w:rFonts w:ascii="Cambria" w:hAnsi="Cambria"/>
      <w:b/>
      <w:bCs/>
      <w:sz w:val="28"/>
      <w:szCs w:val="28"/>
    </w:rPr>
  </w:style>
  <w:style w:type="paragraph" w:styleId="6">
    <w:name w:val="heading 5"/>
    <w:basedOn w:val="1"/>
    <w:next w:val="1"/>
    <w:link w:val="41"/>
    <w:qFormat/>
    <w:uiPriority w:val="0"/>
    <w:pPr>
      <w:keepNext/>
      <w:keepLines/>
      <w:widowControl/>
      <w:tabs>
        <w:tab w:val="left" w:pos="1008"/>
      </w:tabs>
      <w:spacing w:before="280" w:after="290" w:line="376" w:lineRule="auto"/>
      <w:ind w:left="1008" w:hanging="1008"/>
      <w:jc w:val="left"/>
      <w:outlineLvl w:val="4"/>
    </w:pPr>
    <w:rPr>
      <w:rFonts w:ascii="Times New Roman" w:hAnsi="Times New Roman"/>
      <w:b/>
      <w:kern w:val="0"/>
      <w:sz w:val="28"/>
      <w:szCs w:val="20"/>
    </w:rPr>
  </w:style>
  <w:style w:type="paragraph" w:styleId="7">
    <w:name w:val="heading 6"/>
    <w:basedOn w:val="1"/>
    <w:next w:val="1"/>
    <w:link w:val="42"/>
    <w:qFormat/>
    <w:uiPriority w:val="0"/>
    <w:pPr>
      <w:keepNext/>
      <w:keepLines/>
      <w:widowControl/>
      <w:tabs>
        <w:tab w:val="left" w:pos="1152"/>
      </w:tabs>
      <w:spacing w:before="240" w:after="64" w:line="320" w:lineRule="auto"/>
      <w:ind w:left="1152" w:hanging="1152"/>
      <w:jc w:val="left"/>
      <w:outlineLvl w:val="5"/>
    </w:pPr>
    <w:rPr>
      <w:rFonts w:ascii="Arial" w:hAnsi="Arial" w:eastAsia="黑体"/>
      <w:b/>
      <w:kern w:val="0"/>
      <w:sz w:val="24"/>
      <w:szCs w:val="20"/>
    </w:rPr>
  </w:style>
  <w:style w:type="paragraph" w:styleId="8">
    <w:name w:val="heading 7"/>
    <w:basedOn w:val="1"/>
    <w:next w:val="1"/>
    <w:link w:val="43"/>
    <w:qFormat/>
    <w:uiPriority w:val="0"/>
    <w:pPr>
      <w:keepNext/>
      <w:keepLines/>
      <w:widowControl/>
      <w:tabs>
        <w:tab w:val="left" w:pos="1296"/>
      </w:tabs>
      <w:spacing w:before="240" w:after="64" w:line="320" w:lineRule="auto"/>
      <w:ind w:left="1296" w:hanging="1296"/>
      <w:jc w:val="left"/>
      <w:outlineLvl w:val="6"/>
    </w:pPr>
    <w:rPr>
      <w:rFonts w:ascii="Times New Roman" w:hAnsi="Times New Roman"/>
      <w:b/>
      <w:kern w:val="0"/>
      <w:sz w:val="24"/>
      <w:szCs w:val="20"/>
    </w:rPr>
  </w:style>
  <w:style w:type="paragraph" w:styleId="9">
    <w:name w:val="heading 8"/>
    <w:basedOn w:val="1"/>
    <w:next w:val="1"/>
    <w:link w:val="44"/>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szCs w:val="20"/>
    </w:rPr>
  </w:style>
  <w:style w:type="paragraph" w:styleId="10">
    <w:name w:val="heading 9"/>
    <w:basedOn w:val="1"/>
    <w:next w:val="1"/>
    <w:link w:val="45"/>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0"/>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qFormat/>
    <w:uiPriority w:val="0"/>
    <w:pPr>
      <w:widowControl/>
      <w:spacing w:beforeLines="50" w:line="320" w:lineRule="exact"/>
      <w:ind w:firstLine="200" w:firstLineChars="200"/>
    </w:pPr>
    <w:rPr>
      <w:rFonts w:ascii="Calibri Light" w:hAnsi="Calibri Light" w:eastAsia="黑体"/>
      <w:sz w:val="20"/>
      <w:szCs w:val="20"/>
    </w:rPr>
  </w:style>
  <w:style w:type="paragraph" w:styleId="12">
    <w:name w:val="Document Map"/>
    <w:basedOn w:val="1"/>
    <w:link w:val="85"/>
    <w:unhideWhenUsed/>
    <w:qFormat/>
    <w:uiPriority w:val="0"/>
    <w:pPr>
      <w:widowControl/>
      <w:spacing w:beforeLines="50" w:line="320" w:lineRule="exact"/>
      <w:ind w:firstLine="200" w:firstLineChars="200"/>
    </w:pPr>
    <w:rPr>
      <w:rFonts w:ascii="宋体" w:hAnsi="Times New Roman"/>
      <w:sz w:val="18"/>
      <w:szCs w:val="18"/>
    </w:rPr>
  </w:style>
  <w:style w:type="paragraph" w:styleId="13">
    <w:name w:val="annotation text"/>
    <w:basedOn w:val="1"/>
    <w:link w:val="54"/>
    <w:unhideWhenUsed/>
    <w:qFormat/>
    <w:uiPriority w:val="0"/>
    <w:pPr>
      <w:jc w:val="left"/>
    </w:pPr>
  </w:style>
  <w:style w:type="paragraph" w:styleId="14">
    <w:name w:val="Body Text"/>
    <w:basedOn w:val="1"/>
    <w:link w:val="56"/>
    <w:unhideWhenUsed/>
    <w:qFormat/>
    <w:uiPriority w:val="0"/>
    <w:pPr>
      <w:widowControl/>
      <w:spacing w:beforeLines="50" w:after="120" w:line="320" w:lineRule="exact"/>
      <w:ind w:firstLine="200" w:firstLineChars="200"/>
    </w:pPr>
    <w:rPr>
      <w:rFonts w:ascii="Times New Roman" w:hAnsi="Times New Roman"/>
      <w:szCs w:val="24"/>
    </w:rPr>
  </w:style>
  <w:style w:type="paragraph" w:styleId="15">
    <w:name w:val="Plain Text"/>
    <w:basedOn w:val="1"/>
    <w:link w:val="64"/>
    <w:qFormat/>
    <w:uiPriority w:val="99"/>
    <w:rPr>
      <w:rFonts w:ascii="宋体" w:hAnsi="Courier New"/>
    </w:rPr>
  </w:style>
  <w:style w:type="paragraph" w:styleId="16">
    <w:name w:val="Date"/>
    <w:basedOn w:val="1"/>
    <w:next w:val="1"/>
    <w:link w:val="59"/>
    <w:unhideWhenUsed/>
    <w:qFormat/>
    <w:uiPriority w:val="0"/>
    <w:pPr>
      <w:ind w:left="100" w:leftChars="2500"/>
    </w:pPr>
  </w:style>
  <w:style w:type="paragraph" w:styleId="17">
    <w:name w:val="Body Text Indent 2"/>
    <w:basedOn w:val="1"/>
    <w:link w:val="265"/>
    <w:unhideWhenUsed/>
    <w:qFormat/>
    <w:uiPriority w:val="99"/>
    <w:pPr>
      <w:spacing w:after="120" w:line="480" w:lineRule="auto"/>
      <w:ind w:left="420" w:leftChars="200"/>
    </w:pPr>
    <w:rPr>
      <w:rFonts w:asciiTheme="minorHAnsi" w:hAnsiTheme="minorHAnsi" w:eastAsiaTheme="minorEastAsia" w:cstheme="minorBidi"/>
    </w:rPr>
  </w:style>
  <w:style w:type="paragraph" w:styleId="18">
    <w:name w:val="Balloon Text"/>
    <w:basedOn w:val="1"/>
    <w:link w:val="68"/>
    <w:unhideWhenUsed/>
    <w:qFormat/>
    <w:uiPriority w:val="0"/>
    <w:rPr>
      <w:sz w:val="18"/>
      <w:szCs w:val="18"/>
    </w:rPr>
  </w:style>
  <w:style w:type="paragraph" w:styleId="19">
    <w:name w:val="footer"/>
    <w:basedOn w:val="1"/>
    <w:link w:val="67"/>
    <w:unhideWhenUsed/>
    <w:qFormat/>
    <w:uiPriority w:val="99"/>
    <w:pPr>
      <w:tabs>
        <w:tab w:val="center" w:pos="4153"/>
        <w:tab w:val="right" w:pos="8306"/>
      </w:tabs>
      <w:snapToGrid w:val="0"/>
      <w:jc w:val="left"/>
    </w:pPr>
    <w:rPr>
      <w:sz w:val="18"/>
      <w:szCs w:val="18"/>
    </w:rPr>
  </w:style>
  <w:style w:type="paragraph" w:styleId="20">
    <w:name w:val="header"/>
    <w:basedOn w:val="1"/>
    <w:link w:val="51"/>
    <w:unhideWhenUsed/>
    <w:qFormat/>
    <w:uiPriority w:val="99"/>
    <w:pPr>
      <w:pBdr>
        <w:bottom w:val="single" w:color="auto" w:sz="6" w:space="1"/>
      </w:pBdr>
      <w:tabs>
        <w:tab w:val="center" w:pos="4153"/>
        <w:tab w:val="right" w:pos="8306"/>
      </w:tabs>
      <w:snapToGrid w:val="0"/>
      <w:jc w:val="center"/>
    </w:pPr>
    <w:rPr>
      <w:sz w:val="18"/>
      <w:szCs w:val="18"/>
    </w:rPr>
  </w:style>
  <w:style w:type="paragraph" w:styleId="21">
    <w:name w:val="toc 1"/>
    <w:basedOn w:val="1"/>
    <w:next w:val="1"/>
    <w:unhideWhenUsed/>
    <w:qFormat/>
    <w:uiPriority w:val="39"/>
    <w:pPr>
      <w:widowControl/>
      <w:spacing w:after="100" w:line="276" w:lineRule="auto"/>
      <w:jc w:val="left"/>
    </w:pPr>
    <w:rPr>
      <w:kern w:val="0"/>
      <w:sz w:val="22"/>
    </w:rPr>
  </w:style>
  <w:style w:type="paragraph" w:styleId="22">
    <w:name w:val="toc 2"/>
    <w:basedOn w:val="1"/>
    <w:next w:val="1"/>
    <w:unhideWhenUsed/>
    <w:qFormat/>
    <w:uiPriority w:val="39"/>
    <w:pPr>
      <w:ind w:left="420" w:leftChars="200"/>
    </w:pPr>
  </w:style>
  <w:style w:type="paragraph" w:styleId="23">
    <w:name w:val="HTML Preformatted"/>
    <w:basedOn w:val="1"/>
    <w:link w:val="57"/>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25">
    <w:name w:val="Title"/>
    <w:basedOn w:val="1"/>
    <w:next w:val="1"/>
    <w:link w:val="74"/>
    <w:qFormat/>
    <w:uiPriority w:val="0"/>
    <w:pPr>
      <w:spacing w:after="60" w:line="439" w:lineRule="auto"/>
      <w:jc w:val="center"/>
      <w:outlineLvl w:val="0"/>
    </w:pPr>
    <w:rPr>
      <w:rFonts w:ascii="Cambria" w:hAnsi="Cambria"/>
      <w:b/>
      <w:bCs/>
      <w:sz w:val="32"/>
      <w:szCs w:val="32"/>
    </w:rPr>
  </w:style>
  <w:style w:type="paragraph" w:styleId="26">
    <w:name w:val="annotation subject"/>
    <w:basedOn w:val="13"/>
    <w:next w:val="13"/>
    <w:link w:val="53"/>
    <w:unhideWhenUsed/>
    <w:qFormat/>
    <w:uiPriority w:val="0"/>
    <w:rPr>
      <w:b/>
      <w:bCs/>
    </w:rPr>
  </w:style>
  <w:style w:type="paragraph" w:styleId="27">
    <w:name w:val="Body Text First Indent"/>
    <w:basedOn w:val="14"/>
    <w:link w:val="72"/>
    <w:unhideWhenUsed/>
    <w:qFormat/>
    <w:uiPriority w:val="99"/>
    <w:pPr>
      <w:widowControl w:val="0"/>
      <w:spacing w:beforeLines="0" w:line="440" w:lineRule="auto"/>
      <w:ind w:firstLine="420" w:firstLineChars="100"/>
    </w:pPr>
    <w:rPr>
      <w:rFonts w:ascii="Calibri" w:hAnsi="Calibri"/>
      <w:sz w:val="24"/>
      <w:szCs w:val="22"/>
    </w:rPr>
  </w:style>
  <w:style w:type="table" w:styleId="29">
    <w:name w:val="Table Grid"/>
    <w:basedOn w:val="2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qFormat/>
    <w:uiPriority w:val="22"/>
    <w:rPr>
      <w:b/>
      <w:bCs/>
    </w:rPr>
  </w:style>
  <w:style w:type="character" w:styleId="32">
    <w:name w:val="page number"/>
    <w:qFormat/>
    <w:uiPriority w:val="99"/>
    <w:rPr>
      <w:rFonts w:eastAsia="Times New Roman" w:cs="Times New Roman"/>
      <w:sz w:val="21"/>
    </w:rPr>
  </w:style>
  <w:style w:type="character" w:styleId="33">
    <w:name w:val="FollowedHyperlink"/>
    <w:basedOn w:val="30"/>
    <w:semiHidden/>
    <w:unhideWhenUsed/>
    <w:qFormat/>
    <w:uiPriority w:val="99"/>
    <w:rPr>
      <w:color w:val="800080" w:themeColor="followedHyperlink"/>
      <w:u w:val="single"/>
      <w14:textFill>
        <w14:solidFill>
          <w14:schemeClr w14:val="folHlink"/>
        </w14:solidFill>
      </w14:textFill>
    </w:rPr>
  </w:style>
  <w:style w:type="character" w:styleId="34">
    <w:name w:val="Emphasis"/>
    <w:qFormat/>
    <w:uiPriority w:val="20"/>
    <w:rPr>
      <w:i/>
      <w:iCs/>
    </w:rPr>
  </w:style>
  <w:style w:type="character" w:styleId="35">
    <w:name w:val="Hyperlink"/>
    <w:basedOn w:val="30"/>
    <w:unhideWhenUsed/>
    <w:qFormat/>
    <w:uiPriority w:val="99"/>
    <w:rPr>
      <w:color w:val="0000FF"/>
      <w:u w:val="single"/>
    </w:rPr>
  </w:style>
  <w:style w:type="character" w:styleId="36">
    <w:name w:val="annotation reference"/>
    <w:unhideWhenUsed/>
    <w:qFormat/>
    <w:uiPriority w:val="0"/>
    <w:rPr>
      <w:sz w:val="21"/>
      <w:szCs w:val="21"/>
    </w:rPr>
  </w:style>
  <w:style w:type="character" w:customStyle="1" w:styleId="37">
    <w:name w:val="标题 1 Char"/>
    <w:basedOn w:val="30"/>
    <w:link w:val="2"/>
    <w:qFormat/>
    <w:uiPriority w:val="9"/>
    <w:rPr>
      <w:rFonts w:ascii="Times New Roman" w:hAnsi="Times New Roman" w:eastAsia="宋体" w:cs="Times New Roman"/>
      <w:b/>
      <w:bCs/>
      <w:kern w:val="44"/>
      <w:sz w:val="44"/>
      <w:szCs w:val="44"/>
    </w:rPr>
  </w:style>
  <w:style w:type="character" w:customStyle="1" w:styleId="38">
    <w:name w:val="标题 2 Char"/>
    <w:basedOn w:val="30"/>
    <w:link w:val="3"/>
    <w:qFormat/>
    <w:uiPriority w:val="0"/>
    <w:rPr>
      <w:rFonts w:ascii="Cambria" w:hAnsi="Cambria" w:eastAsia="宋体" w:cs="Times New Roman"/>
      <w:b/>
      <w:bCs/>
      <w:sz w:val="32"/>
      <w:szCs w:val="32"/>
    </w:rPr>
  </w:style>
  <w:style w:type="character" w:customStyle="1" w:styleId="39">
    <w:name w:val="标题 3 Char"/>
    <w:basedOn w:val="30"/>
    <w:link w:val="4"/>
    <w:qFormat/>
    <w:uiPriority w:val="0"/>
    <w:rPr>
      <w:b/>
      <w:bCs/>
      <w:sz w:val="32"/>
      <w:szCs w:val="32"/>
    </w:rPr>
  </w:style>
  <w:style w:type="character" w:customStyle="1" w:styleId="40">
    <w:name w:val="标题 4 Char"/>
    <w:basedOn w:val="30"/>
    <w:link w:val="5"/>
    <w:qFormat/>
    <w:uiPriority w:val="0"/>
    <w:rPr>
      <w:rFonts w:ascii="Cambria" w:hAnsi="Cambria" w:eastAsia="宋体" w:cs="Times New Roman"/>
      <w:b/>
      <w:bCs/>
      <w:sz w:val="28"/>
      <w:szCs w:val="28"/>
    </w:rPr>
  </w:style>
  <w:style w:type="character" w:customStyle="1" w:styleId="41">
    <w:name w:val="标题 5 Char"/>
    <w:basedOn w:val="30"/>
    <w:link w:val="6"/>
    <w:qFormat/>
    <w:uiPriority w:val="0"/>
    <w:rPr>
      <w:rFonts w:ascii="Times New Roman" w:hAnsi="Times New Roman" w:eastAsia="宋体" w:cs="Times New Roman"/>
      <w:b/>
      <w:kern w:val="0"/>
      <w:sz w:val="28"/>
      <w:szCs w:val="20"/>
    </w:rPr>
  </w:style>
  <w:style w:type="character" w:customStyle="1" w:styleId="42">
    <w:name w:val="标题 6 Char"/>
    <w:basedOn w:val="30"/>
    <w:link w:val="7"/>
    <w:qFormat/>
    <w:uiPriority w:val="0"/>
    <w:rPr>
      <w:rFonts w:ascii="Arial" w:hAnsi="Arial" w:eastAsia="黑体" w:cs="Times New Roman"/>
      <w:b/>
      <w:kern w:val="0"/>
      <w:sz w:val="24"/>
      <w:szCs w:val="20"/>
    </w:rPr>
  </w:style>
  <w:style w:type="character" w:customStyle="1" w:styleId="43">
    <w:name w:val="标题 7 Char"/>
    <w:basedOn w:val="30"/>
    <w:link w:val="8"/>
    <w:qFormat/>
    <w:uiPriority w:val="0"/>
    <w:rPr>
      <w:rFonts w:ascii="Times New Roman" w:hAnsi="Times New Roman" w:eastAsia="宋体" w:cs="Times New Roman"/>
      <w:b/>
      <w:kern w:val="0"/>
      <w:sz w:val="24"/>
      <w:szCs w:val="20"/>
    </w:rPr>
  </w:style>
  <w:style w:type="character" w:customStyle="1" w:styleId="44">
    <w:name w:val="标题 8 Char"/>
    <w:basedOn w:val="30"/>
    <w:link w:val="9"/>
    <w:qFormat/>
    <w:uiPriority w:val="0"/>
    <w:rPr>
      <w:rFonts w:ascii="Arial" w:hAnsi="Arial" w:eastAsia="黑体" w:cs="Times New Roman"/>
      <w:kern w:val="0"/>
      <w:sz w:val="24"/>
      <w:szCs w:val="20"/>
    </w:rPr>
  </w:style>
  <w:style w:type="character" w:customStyle="1" w:styleId="45">
    <w:name w:val="标题 9 Char"/>
    <w:basedOn w:val="30"/>
    <w:link w:val="10"/>
    <w:qFormat/>
    <w:uiPriority w:val="0"/>
    <w:rPr>
      <w:rFonts w:ascii="Arial" w:hAnsi="Arial" w:eastAsia="黑体" w:cs="Times New Roman"/>
      <w:kern w:val="0"/>
      <w:szCs w:val="20"/>
    </w:rPr>
  </w:style>
  <w:style w:type="character" w:customStyle="1" w:styleId="46">
    <w:name w:val="fontstyle01"/>
    <w:basedOn w:val="30"/>
    <w:qFormat/>
    <w:uiPriority w:val="0"/>
    <w:rPr>
      <w:rFonts w:hint="eastAsia" w:ascii="黑体" w:hAnsi="黑体" w:eastAsia="黑体"/>
      <w:color w:val="000000"/>
      <w:sz w:val="48"/>
      <w:szCs w:val="48"/>
    </w:rPr>
  </w:style>
  <w:style w:type="character" w:customStyle="1" w:styleId="47">
    <w:name w:val="条文说明 Char"/>
    <w:link w:val="48"/>
    <w:qFormat/>
    <w:locked/>
    <w:uiPriority w:val="0"/>
    <w:rPr>
      <w:rFonts w:ascii="仿宋_GB2312" w:eastAsia="仿宋_GB2312"/>
      <w:color w:val="000000"/>
      <w:szCs w:val="28"/>
    </w:rPr>
  </w:style>
  <w:style w:type="paragraph" w:customStyle="1" w:styleId="48">
    <w:name w:val="条文说明"/>
    <w:basedOn w:val="1"/>
    <w:link w:val="47"/>
    <w:qFormat/>
    <w:uiPriority w:val="0"/>
    <w:pPr>
      <w:adjustRightInd w:val="0"/>
      <w:snapToGrid w:val="0"/>
      <w:spacing w:line="312" w:lineRule="auto"/>
      <w:ind w:firstLine="200" w:firstLineChars="200"/>
    </w:pPr>
    <w:rPr>
      <w:rFonts w:ascii="仿宋_GB2312" w:eastAsia="仿宋_GB2312"/>
      <w:color w:val="000000"/>
      <w:szCs w:val="28"/>
    </w:rPr>
  </w:style>
  <w:style w:type="character" w:customStyle="1" w:styleId="49">
    <w:name w:val="批注主题 Char1"/>
    <w:basedOn w:val="50"/>
    <w:semiHidden/>
    <w:qFormat/>
    <w:uiPriority w:val="99"/>
    <w:rPr>
      <w:b/>
      <w:bCs/>
    </w:rPr>
  </w:style>
  <w:style w:type="character" w:customStyle="1" w:styleId="50">
    <w:name w:val="批注文字 Char1"/>
    <w:basedOn w:val="30"/>
    <w:semiHidden/>
    <w:qFormat/>
    <w:uiPriority w:val="99"/>
  </w:style>
  <w:style w:type="character" w:customStyle="1" w:styleId="51">
    <w:name w:val="页眉 Char"/>
    <w:basedOn w:val="30"/>
    <w:link w:val="20"/>
    <w:qFormat/>
    <w:uiPriority w:val="99"/>
    <w:rPr>
      <w:sz w:val="18"/>
      <w:szCs w:val="18"/>
    </w:rPr>
  </w:style>
  <w:style w:type="character" w:customStyle="1" w:styleId="52">
    <w:name w:val="apple-converted-space"/>
    <w:qFormat/>
    <w:uiPriority w:val="0"/>
  </w:style>
  <w:style w:type="character" w:customStyle="1" w:styleId="53">
    <w:name w:val="批注主题 Char"/>
    <w:basedOn w:val="54"/>
    <w:link w:val="26"/>
    <w:semiHidden/>
    <w:qFormat/>
    <w:uiPriority w:val="0"/>
    <w:rPr>
      <w:b/>
      <w:bCs/>
    </w:rPr>
  </w:style>
  <w:style w:type="character" w:customStyle="1" w:styleId="54">
    <w:name w:val="批注文字 Char"/>
    <w:basedOn w:val="30"/>
    <w:link w:val="13"/>
    <w:qFormat/>
    <w:uiPriority w:val="0"/>
  </w:style>
  <w:style w:type="character" w:customStyle="1" w:styleId="55">
    <w:name w:val="正文文本首行缩进 字符"/>
    <w:basedOn w:val="56"/>
    <w:qFormat/>
    <w:uiPriority w:val="0"/>
    <w:rPr>
      <w:rFonts w:ascii="Times New Roman" w:hAnsi="Times New Roman" w:eastAsia="宋体" w:cs="Times New Roman"/>
      <w:szCs w:val="24"/>
    </w:rPr>
  </w:style>
  <w:style w:type="character" w:customStyle="1" w:styleId="56">
    <w:name w:val="正文文本 Char"/>
    <w:basedOn w:val="30"/>
    <w:link w:val="14"/>
    <w:semiHidden/>
    <w:qFormat/>
    <w:uiPriority w:val="0"/>
    <w:rPr>
      <w:rFonts w:ascii="Times New Roman" w:hAnsi="Times New Roman" w:eastAsia="宋体" w:cs="Times New Roman"/>
      <w:szCs w:val="24"/>
    </w:rPr>
  </w:style>
  <w:style w:type="character" w:customStyle="1" w:styleId="57">
    <w:name w:val="HTML 预设格式 Char"/>
    <w:basedOn w:val="30"/>
    <w:link w:val="23"/>
    <w:qFormat/>
    <w:uiPriority w:val="99"/>
    <w:rPr>
      <w:rFonts w:ascii="宋体" w:hAnsi="宋体" w:eastAsia="宋体" w:cs="宋体"/>
      <w:kern w:val="0"/>
      <w:sz w:val="24"/>
      <w:szCs w:val="24"/>
    </w:rPr>
  </w:style>
  <w:style w:type="character" w:customStyle="1" w:styleId="58">
    <w:name w:val="fontstyle21"/>
    <w:basedOn w:val="30"/>
    <w:qFormat/>
    <w:uiPriority w:val="0"/>
    <w:rPr>
      <w:rFonts w:hint="default" w:ascii="TimesNewRomanPS-BoldMT" w:hAnsi="TimesNewRomanPS-BoldMT"/>
      <w:b/>
      <w:bCs/>
      <w:color w:val="000000"/>
      <w:sz w:val="28"/>
      <w:szCs w:val="28"/>
    </w:rPr>
  </w:style>
  <w:style w:type="character" w:customStyle="1" w:styleId="59">
    <w:name w:val="日期 Char"/>
    <w:basedOn w:val="30"/>
    <w:link w:val="16"/>
    <w:qFormat/>
    <w:uiPriority w:val="0"/>
  </w:style>
  <w:style w:type="character" w:customStyle="1" w:styleId="60">
    <w:name w:val="纯文本 Char1"/>
    <w:basedOn w:val="30"/>
    <w:semiHidden/>
    <w:qFormat/>
    <w:uiPriority w:val="99"/>
    <w:rPr>
      <w:rFonts w:ascii="宋体" w:hAnsi="Courier New" w:eastAsia="宋体" w:cs="Courier New"/>
      <w:szCs w:val="21"/>
    </w:rPr>
  </w:style>
  <w:style w:type="character" w:customStyle="1" w:styleId="61">
    <w:name w:val="CB04 Char"/>
    <w:link w:val="62"/>
    <w:qFormat/>
    <w:locked/>
    <w:uiPriority w:val="0"/>
    <w:rPr>
      <w:rFonts w:ascii="Arial" w:hAnsi="Arial" w:eastAsia="仿宋_GB2312" w:cs="Arial"/>
      <w:sz w:val="24"/>
      <w:szCs w:val="24"/>
    </w:rPr>
  </w:style>
  <w:style w:type="paragraph" w:customStyle="1" w:styleId="62">
    <w:name w:val="CB04"/>
    <w:next w:val="63"/>
    <w:link w:val="61"/>
    <w:qFormat/>
    <w:uiPriority w:val="0"/>
    <w:pPr>
      <w:spacing w:before="120" w:after="120" w:line="360" w:lineRule="auto"/>
    </w:pPr>
    <w:rPr>
      <w:rFonts w:ascii="Arial" w:hAnsi="Arial" w:eastAsia="仿宋_GB2312" w:cs="Arial"/>
      <w:kern w:val="2"/>
      <w:sz w:val="24"/>
      <w:szCs w:val="24"/>
      <w:lang w:val="en-US" w:eastAsia="zh-CN" w:bidi="ar-SA"/>
    </w:rPr>
  </w:style>
  <w:style w:type="paragraph" w:customStyle="1" w:styleId="63">
    <w:name w:val="CB00"/>
    <w:qFormat/>
    <w:uiPriority w:val="0"/>
    <w:pPr>
      <w:spacing w:before="120" w:after="120" w:line="360" w:lineRule="auto"/>
      <w:ind w:firstLine="200" w:firstLineChars="200"/>
    </w:pPr>
    <w:rPr>
      <w:rFonts w:ascii="Arial" w:hAnsi="Arial" w:eastAsia="宋体" w:cs="Times New Roman"/>
      <w:kern w:val="2"/>
      <w:sz w:val="24"/>
      <w:szCs w:val="24"/>
      <w:lang w:val="en-US" w:eastAsia="zh-CN" w:bidi="ar-SA"/>
    </w:rPr>
  </w:style>
  <w:style w:type="character" w:customStyle="1" w:styleId="64">
    <w:name w:val="纯文本 Char"/>
    <w:link w:val="15"/>
    <w:qFormat/>
    <w:uiPriority w:val="99"/>
    <w:rPr>
      <w:rFonts w:ascii="宋体" w:hAnsi="Courier New"/>
    </w:rPr>
  </w:style>
  <w:style w:type="character" w:customStyle="1" w:styleId="65">
    <w:name w:val="ENFI表体 Char Char"/>
    <w:link w:val="66"/>
    <w:qFormat/>
    <w:uiPriority w:val="0"/>
    <w:rPr>
      <w:rFonts w:ascii="Times New Roman" w:hAnsi="Times New Roman" w:eastAsia="宋体" w:cs="Times New Roman"/>
      <w:kern w:val="0"/>
      <w:szCs w:val="20"/>
    </w:rPr>
  </w:style>
  <w:style w:type="paragraph" w:customStyle="1" w:styleId="66">
    <w:name w:val="ENFI表体"/>
    <w:basedOn w:val="1"/>
    <w:link w:val="65"/>
    <w:qFormat/>
    <w:uiPriority w:val="0"/>
    <w:pPr>
      <w:widowControl/>
      <w:adjustRightInd w:val="0"/>
      <w:snapToGrid w:val="0"/>
      <w:spacing w:line="240" w:lineRule="atLeast"/>
      <w:jc w:val="center"/>
    </w:pPr>
    <w:rPr>
      <w:rFonts w:ascii="Times New Roman" w:hAnsi="Times New Roman"/>
      <w:kern w:val="0"/>
      <w:szCs w:val="20"/>
    </w:rPr>
  </w:style>
  <w:style w:type="character" w:customStyle="1" w:styleId="67">
    <w:name w:val="页脚 Char"/>
    <w:basedOn w:val="30"/>
    <w:link w:val="19"/>
    <w:qFormat/>
    <w:uiPriority w:val="99"/>
    <w:rPr>
      <w:sz w:val="18"/>
      <w:szCs w:val="18"/>
    </w:rPr>
  </w:style>
  <w:style w:type="character" w:customStyle="1" w:styleId="68">
    <w:name w:val="批注框文本 Char"/>
    <w:basedOn w:val="30"/>
    <w:link w:val="18"/>
    <w:semiHidden/>
    <w:qFormat/>
    <w:uiPriority w:val="99"/>
    <w:rPr>
      <w:sz w:val="18"/>
      <w:szCs w:val="18"/>
    </w:rPr>
  </w:style>
  <w:style w:type="character" w:customStyle="1" w:styleId="69">
    <w:name w:val="fontstyle31"/>
    <w:basedOn w:val="30"/>
    <w:qFormat/>
    <w:uiPriority w:val="0"/>
    <w:rPr>
      <w:rFonts w:hint="eastAsia" w:ascii="宋体" w:hAnsi="宋体" w:eastAsia="宋体"/>
      <w:color w:val="000000"/>
      <w:sz w:val="18"/>
      <w:szCs w:val="18"/>
    </w:rPr>
  </w:style>
  <w:style w:type="character" w:customStyle="1" w:styleId="70">
    <w:name w:val="fontstyle11"/>
    <w:basedOn w:val="30"/>
    <w:qFormat/>
    <w:uiPriority w:val="0"/>
    <w:rPr>
      <w:rFonts w:hint="default" w:ascii="TimesNewRomanPSMT" w:hAnsi="TimesNewRomanPSMT"/>
      <w:color w:val="000000"/>
      <w:sz w:val="18"/>
      <w:szCs w:val="18"/>
    </w:rPr>
  </w:style>
  <w:style w:type="character" w:customStyle="1" w:styleId="71">
    <w:name w:val="fontstyle41"/>
    <w:basedOn w:val="30"/>
    <w:qFormat/>
    <w:uiPriority w:val="0"/>
    <w:rPr>
      <w:rFonts w:hint="default" w:ascii="TimesNewRomanPSMT" w:hAnsi="TimesNewRomanPSMT"/>
      <w:color w:val="000000"/>
      <w:sz w:val="18"/>
      <w:szCs w:val="18"/>
    </w:rPr>
  </w:style>
  <w:style w:type="character" w:customStyle="1" w:styleId="72">
    <w:name w:val="正文首行缩进 Char"/>
    <w:basedOn w:val="56"/>
    <w:link w:val="27"/>
    <w:semiHidden/>
    <w:qFormat/>
    <w:uiPriority w:val="99"/>
    <w:rPr>
      <w:rFonts w:ascii="Times New Roman" w:hAnsi="Times New Roman" w:eastAsia="宋体" w:cs="Times New Roman"/>
      <w:sz w:val="24"/>
      <w:szCs w:val="24"/>
    </w:rPr>
  </w:style>
  <w:style w:type="character" w:customStyle="1" w:styleId="73">
    <w:name w:val="high-light"/>
    <w:qFormat/>
    <w:uiPriority w:val="0"/>
  </w:style>
  <w:style w:type="character" w:customStyle="1" w:styleId="74">
    <w:name w:val="标题 Char1"/>
    <w:basedOn w:val="30"/>
    <w:link w:val="25"/>
    <w:qFormat/>
    <w:uiPriority w:val="0"/>
    <w:rPr>
      <w:rFonts w:ascii="Cambria" w:hAnsi="Cambria" w:eastAsia="宋体" w:cs="Times New Roman"/>
      <w:b/>
      <w:bCs/>
      <w:sz w:val="32"/>
      <w:szCs w:val="32"/>
    </w:rPr>
  </w:style>
  <w:style w:type="character" w:customStyle="1" w:styleId="75">
    <w:name w:val="标题 Char"/>
    <w:basedOn w:val="30"/>
    <w:qFormat/>
    <w:uiPriority w:val="10"/>
    <w:rPr>
      <w:rFonts w:ascii="Cambria" w:hAnsi="Cambria" w:eastAsia="宋体" w:cs="Times New Roman"/>
      <w:b/>
      <w:bCs/>
      <w:sz w:val="32"/>
      <w:szCs w:val="32"/>
    </w:rPr>
  </w:style>
  <w:style w:type="character" w:customStyle="1" w:styleId="76">
    <w:name w:val="页眉 Char1"/>
    <w:basedOn w:val="30"/>
    <w:qFormat/>
    <w:uiPriority w:val="99"/>
    <w:rPr>
      <w:sz w:val="18"/>
      <w:szCs w:val="18"/>
    </w:rPr>
  </w:style>
  <w:style w:type="character" w:customStyle="1" w:styleId="77">
    <w:name w:val="页脚 Char1"/>
    <w:basedOn w:val="30"/>
    <w:qFormat/>
    <w:uiPriority w:val="99"/>
    <w:rPr>
      <w:sz w:val="18"/>
      <w:szCs w:val="18"/>
    </w:rPr>
  </w:style>
  <w:style w:type="character" w:customStyle="1" w:styleId="78">
    <w:name w:val="trans"/>
    <w:qFormat/>
    <w:uiPriority w:val="0"/>
  </w:style>
  <w:style w:type="character" w:customStyle="1" w:styleId="79">
    <w:name w:val="批注框文本 Char1"/>
    <w:basedOn w:val="30"/>
    <w:qFormat/>
    <w:uiPriority w:val="0"/>
    <w:rPr>
      <w:sz w:val="18"/>
      <w:szCs w:val="18"/>
    </w:rPr>
  </w:style>
  <w:style w:type="character" w:customStyle="1" w:styleId="80">
    <w:name w:val="标题 2 Char1"/>
    <w:basedOn w:val="30"/>
    <w:qFormat/>
    <w:uiPriority w:val="0"/>
    <w:rPr>
      <w:rFonts w:ascii="Times New Roman" w:hAnsi="Times New Roman" w:eastAsia="宋体" w:cs="Times New Roman"/>
      <w:b/>
      <w:kern w:val="0"/>
      <w:sz w:val="32"/>
      <w:szCs w:val="20"/>
    </w:rPr>
  </w:style>
  <w:style w:type="character" w:customStyle="1" w:styleId="81">
    <w:name w:val="ENFI正文 Char Char"/>
    <w:link w:val="82"/>
    <w:qFormat/>
    <w:uiPriority w:val="0"/>
    <w:rPr>
      <w:rFonts w:ascii="Times New Roman" w:hAnsi="Times New Roman" w:eastAsia="宋体" w:cs="Times New Roman"/>
      <w:snapToGrid w:val="0"/>
      <w:color w:val="000000"/>
      <w:kern w:val="0"/>
      <w:sz w:val="24"/>
      <w:szCs w:val="20"/>
    </w:rPr>
  </w:style>
  <w:style w:type="paragraph" w:customStyle="1" w:styleId="82">
    <w:name w:val="ENFI正文"/>
    <w:basedOn w:val="1"/>
    <w:link w:val="81"/>
    <w:qFormat/>
    <w:uiPriority w:val="0"/>
    <w:pPr>
      <w:adjustRightInd w:val="0"/>
      <w:snapToGrid w:val="0"/>
      <w:spacing w:line="360" w:lineRule="auto"/>
      <w:ind w:firstLine="567"/>
    </w:pPr>
    <w:rPr>
      <w:rFonts w:ascii="Times New Roman" w:hAnsi="Times New Roman"/>
      <w:snapToGrid w:val="0"/>
      <w:color w:val="000000"/>
      <w:kern w:val="0"/>
      <w:sz w:val="24"/>
      <w:szCs w:val="20"/>
    </w:rPr>
  </w:style>
  <w:style w:type="character" w:customStyle="1" w:styleId="83">
    <w:name w:val="ENFI图表标题 Char"/>
    <w:link w:val="84"/>
    <w:qFormat/>
    <w:uiPriority w:val="0"/>
    <w:rPr>
      <w:rFonts w:ascii="Times New Roman" w:hAnsi="Times New Roman" w:eastAsia="宋体" w:cs="Times New Roman"/>
      <w:b/>
      <w:kern w:val="0"/>
      <w:sz w:val="24"/>
      <w:szCs w:val="20"/>
    </w:rPr>
  </w:style>
  <w:style w:type="paragraph" w:customStyle="1" w:styleId="84">
    <w:name w:val="ENFI图表标题"/>
    <w:basedOn w:val="1"/>
    <w:link w:val="83"/>
    <w:qFormat/>
    <w:uiPriority w:val="0"/>
    <w:pPr>
      <w:widowControl/>
      <w:adjustRightInd w:val="0"/>
      <w:snapToGrid w:val="0"/>
      <w:spacing w:before="120" w:line="240" w:lineRule="atLeast"/>
      <w:jc w:val="center"/>
    </w:pPr>
    <w:rPr>
      <w:rFonts w:ascii="Times New Roman" w:hAnsi="Times New Roman"/>
      <w:b/>
      <w:kern w:val="0"/>
      <w:sz w:val="24"/>
      <w:szCs w:val="20"/>
    </w:rPr>
  </w:style>
  <w:style w:type="character" w:customStyle="1" w:styleId="85">
    <w:name w:val="文档结构图 Char"/>
    <w:basedOn w:val="30"/>
    <w:link w:val="12"/>
    <w:qFormat/>
    <w:uiPriority w:val="0"/>
    <w:rPr>
      <w:rFonts w:ascii="宋体" w:hAnsi="Times New Roman" w:eastAsia="宋体" w:cs="Times New Roman"/>
      <w:sz w:val="18"/>
      <w:szCs w:val="18"/>
    </w:rPr>
  </w:style>
  <w:style w:type="character" w:customStyle="1" w:styleId="86">
    <w:name w:val="high-light-bg"/>
    <w:qFormat/>
    <w:uiPriority w:val="0"/>
  </w:style>
  <w:style w:type="character" w:customStyle="1" w:styleId="87">
    <w:name w:val="op_dict_text22"/>
    <w:qFormat/>
    <w:uiPriority w:val="0"/>
  </w:style>
  <w:style w:type="character" w:customStyle="1" w:styleId="88">
    <w:name w:val="word"/>
    <w:qFormat/>
    <w:uiPriority w:val="0"/>
    <w:rPr>
      <w:rFonts w:cs="Times New Roman"/>
    </w:rPr>
  </w:style>
  <w:style w:type="paragraph" w:customStyle="1" w:styleId="89">
    <w:name w:val="标准说明  文  编号"/>
    <w:basedOn w:val="90"/>
    <w:qFormat/>
    <w:uiPriority w:val="0"/>
    <w:pPr>
      <w:numPr>
        <w:ilvl w:val="0"/>
        <w:numId w:val="1"/>
      </w:numPr>
      <w:ind w:firstLine="480"/>
    </w:pPr>
    <w:rPr>
      <w:i/>
      <w:shd w:val="clear" w:color="auto" w:fill="FFC000"/>
    </w:rPr>
  </w:style>
  <w:style w:type="paragraph" w:customStyle="1" w:styleId="90">
    <w:name w:val="标准说明  文"/>
    <w:basedOn w:val="1"/>
    <w:qFormat/>
    <w:uiPriority w:val="0"/>
    <w:pPr>
      <w:spacing w:line="400" w:lineRule="exact"/>
      <w:ind w:firstLine="562"/>
      <w:jc w:val="center"/>
    </w:pPr>
    <w:rPr>
      <w:rFonts w:ascii="宋体" w:hAnsi="宋体" w:cs="宋体"/>
      <w:bCs/>
      <w:color w:val="FF0000"/>
      <w:kern w:val="0"/>
      <w:sz w:val="24"/>
      <w:szCs w:val="21"/>
    </w:rPr>
  </w:style>
  <w:style w:type="paragraph" w:customStyle="1" w:styleId="91">
    <w:name w:val="标准说明  章"/>
    <w:basedOn w:val="1"/>
    <w:next w:val="92"/>
    <w:qFormat/>
    <w:uiPriority w:val="0"/>
    <w:pPr>
      <w:keepNext/>
      <w:widowControl/>
      <w:spacing w:beforeLines="50" w:after="120"/>
      <w:jc w:val="center"/>
      <w:outlineLvl w:val="0"/>
    </w:pPr>
    <w:rPr>
      <w:rFonts w:ascii="Times New Roman" w:hAnsi="Times New Roman"/>
      <w:sz w:val="32"/>
      <w:szCs w:val="24"/>
    </w:rPr>
  </w:style>
  <w:style w:type="paragraph" w:customStyle="1" w:styleId="92">
    <w:name w:val="标准说明  条"/>
    <w:basedOn w:val="1"/>
    <w:qFormat/>
    <w:uiPriority w:val="0"/>
    <w:pPr>
      <w:widowControl/>
      <w:spacing w:line="400" w:lineRule="exact"/>
    </w:pPr>
    <w:rPr>
      <w:rFonts w:ascii="Times New Roman" w:hAnsi="Times New Roman"/>
      <w:sz w:val="24"/>
      <w:szCs w:val="24"/>
    </w:rPr>
  </w:style>
  <w:style w:type="paragraph" w:customStyle="1" w:styleId="93">
    <w:name w:val="样式 四号 首行缩进:  2 字符 段前: 0.5 行 段后: 6 磅"/>
    <w:basedOn w:val="1"/>
    <w:qFormat/>
    <w:uiPriority w:val="0"/>
    <w:pPr>
      <w:widowControl/>
      <w:spacing w:beforeLines="50" w:after="120"/>
      <w:ind w:firstLine="200" w:firstLineChars="200"/>
    </w:pPr>
    <w:rPr>
      <w:rFonts w:ascii="Times New Roman" w:hAnsi="Times New Roman" w:cs="宋体"/>
      <w:sz w:val="28"/>
      <w:szCs w:val="20"/>
    </w:rPr>
  </w:style>
  <w:style w:type="paragraph" w:customStyle="1" w:styleId="94">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95">
    <w:name w:val="标目录 英"/>
    <w:basedOn w:val="1"/>
    <w:qFormat/>
    <w:uiPriority w:val="0"/>
    <w:pPr>
      <w:widowControl/>
      <w:spacing w:beforeLines="50" w:line="320" w:lineRule="exact"/>
      <w:ind w:firstLine="200" w:firstLineChars="200"/>
    </w:pPr>
    <w:rPr>
      <w:rFonts w:ascii="Times New Roman" w:hAnsi="Times New Roman"/>
      <w:sz w:val="24"/>
      <w:szCs w:val="24"/>
    </w:rPr>
  </w:style>
  <w:style w:type="paragraph" w:customStyle="1" w:styleId="96">
    <w:name w:val="xl8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97">
    <w:name w:val="标准  条"/>
    <w:basedOn w:val="1"/>
    <w:qFormat/>
    <w:uiPriority w:val="0"/>
    <w:pPr>
      <w:widowControl/>
      <w:spacing w:line="400" w:lineRule="atLeast"/>
    </w:pPr>
    <w:rPr>
      <w:rFonts w:ascii="Times New Roman" w:hAnsi="Times New Roman" w:cs="宋体"/>
      <w:kern w:val="0"/>
      <w:sz w:val="24"/>
      <w:szCs w:val="20"/>
    </w:rPr>
  </w:style>
  <w:style w:type="paragraph" w:customStyle="1" w:styleId="98">
    <w:name w:val="合同 条"/>
    <w:basedOn w:val="1"/>
    <w:qFormat/>
    <w:uiPriority w:val="0"/>
    <w:pPr>
      <w:widowControl/>
      <w:spacing w:beforeLines="50" w:line="460" w:lineRule="exact"/>
      <w:ind w:left="561" w:hanging="561" w:hangingChars="200"/>
    </w:pPr>
    <w:rPr>
      <w:rFonts w:ascii="Times New Roman" w:hAnsi="Times New Roman" w:cs="宋体"/>
      <w:b/>
      <w:bCs/>
      <w:sz w:val="28"/>
      <w:szCs w:val="20"/>
    </w:rPr>
  </w:style>
  <w:style w:type="paragraph" w:customStyle="1" w:styleId="99">
    <w:name w:val="xl78"/>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100">
    <w:name w:val="标准1  章"/>
    <w:basedOn w:val="101"/>
    <w:qFormat/>
    <w:uiPriority w:val="0"/>
    <w:pPr>
      <w:spacing w:before="720" w:after="120" w:line="240" w:lineRule="auto"/>
      <w:ind w:firstLine="0" w:firstLineChars="0"/>
    </w:pPr>
    <w:rPr>
      <w:rFonts w:cs="宋体"/>
      <w:bCs w:val="0"/>
      <w:sz w:val="24"/>
      <w:szCs w:val="20"/>
    </w:rPr>
  </w:style>
  <w:style w:type="paragraph" w:customStyle="1" w:styleId="101">
    <w:name w:val="xu标题1"/>
    <w:basedOn w:val="1"/>
    <w:qFormat/>
    <w:uiPriority w:val="0"/>
    <w:pPr>
      <w:spacing w:beforeLines="100" w:afterLines="50" w:line="320" w:lineRule="exact"/>
      <w:ind w:firstLine="200" w:firstLineChars="200"/>
      <w:jc w:val="center"/>
      <w:textAlignment w:val="center"/>
      <w:outlineLvl w:val="0"/>
    </w:pPr>
    <w:rPr>
      <w:rFonts w:ascii="Times New Roman" w:hAnsi="Times New Roman"/>
      <w:bCs/>
      <w:kern w:val="44"/>
      <w:sz w:val="32"/>
      <w:szCs w:val="32"/>
    </w:rPr>
  </w:style>
  <w:style w:type="paragraph" w:customStyle="1" w:styleId="102">
    <w:name w:val="样式 样式 样式 小四 黑色 左 段前: 5 磅 段后: 5 磅 + 首行缩进:  1.98 字符 + 首行缩进:  1.98 ..."/>
    <w:basedOn w:val="1"/>
    <w:qFormat/>
    <w:uiPriority w:val="0"/>
    <w:pPr>
      <w:widowControl/>
      <w:snapToGrid w:val="0"/>
      <w:spacing w:beforeLines="50" w:line="320" w:lineRule="exact"/>
      <w:ind w:firstLine="475" w:firstLineChars="198"/>
    </w:pPr>
    <w:rPr>
      <w:rFonts w:ascii="Times New Roman" w:hAnsi="Times New Roman" w:cs="宋体"/>
      <w:color w:val="000000"/>
      <w:kern w:val="0"/>
      <w:sz w:val="24"/>
      <w:szCs w:val="20"/>
    </w:rPr>
  </w:style>
  <w:style w:type="paragraph" w:customStyle="1" w:styleId="103">
    <w:name w:val="首行缩进 1.5 字符"/>
    <w:basedOn w:val="1"/>
    <w:qFormat/>
    <w:uiPriority w:val="0"/>
    <w:pPr>
      <w:widowControl/>
      <w:spacing w:beforeLines="30" w:line="320" w:lineRule="exact"/>
      <w:ind w:firstLine="360" w:firstLineChars="150"/>
    </w:pPr>
    <w:rPr>
      <w:rFonts w:ascii="Times New Roman" w:hAnsi="Times New Roman" w:cs="宋体"/>
      <w:kern w:val="0"/>
      <w:sz w:val="24"/>
      <w:szCs w:val="20"/>
    </w:rPr>
  </w:style>
  <w:style w:type="paragraph" w:styleId="104">
    <w:name w:val="No Spacing"/>
    <w:qFormat/>
    <w:uiPriority w:val="99"/>
    <w:pPr>
      <w:spacing w:beforeLines="50"/>
      <w:ind w:firstLine="200" w:firstLineChars="200"/>
      <w:jc w:val="both"/>
    </w:pPr>
    <w:rPr>
      <w:rFonts w:ascii="Times New Roman" w:hAnsi="Times New Roman" w:eastAsia="宋体" w:cs="Times New Roman"/>
      <w:kern w:val="2"/>
      <w:sz w:val="21"/>
      <w:szCs w:val="24"/>
      <w:lang w:val="en-US" w:eastAsia="zh-CN" w:bidi="ar-SA"/>
    </w:rPr>
  </w:style>
  <w:style w:type="paragraph" w:customStyle="1" w:styleId="105">
    <w:name w:val="列出段落1"/>
    <w:basedOn w:val="1"/>
    <w:qFormat/>
    <w:uiPriority w:val="34"/>
    <w:pPr>
      <w:widowControl/>
      <w:spacing w:beforeLines="50" w:line="320" w:lineRule="exact"/>
      <w:ind w:firstLine="420" w:firstLineChars="200"/>
    </w:pPr>
    <w:rPr>
      <w:rFonts w:ascii="Times New Roman" w:hAnsi="Times New Roman"/>
      <w:szCs w:val="24"/>
    </w:rPr>
  </w:style>
  <w:style w:type="paragraph" w:customStyle="1" w:styleId="106">
    <w:name w:val="xl6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107">
    <w:name w:val="标准说明  节"/>
    <w:basedOn w:val="1"/>
    <w:qFormat/>
    <w:uiPriority w:val="0"/>
    <w:pPr>
      <w:keepNext/>
      <w:widowControl/>
      <w:spacing w:before="156"/>
      <w:jc w:val="center"/>
      <w:outlineLvl w:val="1"/>
    </w:pPr>
    <w:rPr>
      <w:rFonts w:ascii="Times New Roman" w:hAnsi="Times New Roman" w:eastAsia="黑体"/>
      <w:sz w:val="28"/>
      <w:szCs w:val="24"/>
    </w:rPr>
  </w:style>
  <w:style w:type="paragraph" w:customStyle="1" w:styleId="108">
    <w:name w:val="标扉 名称"/>
    <w:basedOn w:val="1"/>
    <w:qFormat/>
    <w:uiPriority w:val="0"/>
    <w:pPr>
      <w:widowControl/>
      <w:spacing w:beforeLines="50" w:line="320" w:lineRule="exact"/>
      <w:ind w:firstLine="200" w:firstLineChars="200"/>
    </w:pPr>
    <w:rPr>
      <w:rFonts w:ascii="黑体" w:hAnsi="Times New Roman" w:eastAsia="黑体" w:cs="宋体"/>
      <w:sz w:val="48"/>
      <w:szCs w:val="20"/>
    </w:rPr>
  </w:style>
  <w:style w:type="paragraph" w:customStyle="1" w:styleId="109">
    <w:name w:val="xl86"/>
    <w:basedOn w:val="1"/>
    <w:qFormat/>
    <w:uiPriority w:val="0"/>
    <w:pPr>
      <w:widowControl/>
      <w:spacing w:before="100" w:beforeAutospacing="1" w:after="100" w:afterAutospacing="1"/>
      <w:jc w:val="center"/>
      <w:textAlignment w:val="center"/>
    </w:pPr>
    <w:rPr>
      <w:rFonts w:ascii="宋体" w:hAnsi="宋体" w:cs="宋体"/>
      <w:kern w:val="0"/>
      <w:sz w:val="24"/>
      <w:szCs w:val="24"/>
    </w:rPr>
  </w:style>
  <w:style w:type="paragraph" w:customStyle="1" w:styleId="110">
    <w:name w:val="xu标准5 文　首行缩进:  2 字符"/>
    <w:basedOn w:val="1"/>
    <w:qFormat/>
    <w:uiPriority w:val="0"/>
    <w:pPr>
      <w:spacing w:line="300" w:lineRule="exact"/>
      <w:ind w:firstLine="200" w:firstLineChars="200"/>
    </w:pPr>
    <w:rPr>
      <w:rFonts w:ascii="Times New Roman" w:hAnsi="Times New Roman" w:cs="宋体"/>
      <w:sz w:val="20"/>
      <w:szCs w:val="20"/>
    </w:rPr>
  </w:style>
  <w:style w:type="paragraph" w:customStyle="1" w:styleId="111">
    <w:name w:val="标扉 国标字"/>
    <w:basedOn w:val="1"/>
    <w:qFormat/>
    <w:uiPriority w:val="0"/>
    <w:pPr>
      <w:widowControl/>
      <w:spacing w:beforeLines="50" w:line="320" w:lineRule="exact"/>
      <w:ind w:firstLine="200" w:firstLineChars="200"/>
    </w:pPr>
    <w:rPr>
      <w:rFonts w:ascii="宋体" w:hAnsi="宋体" w:cs="宋体"/>
      <w:sz w:val="36"/>
      <w:szCs w:val="20"/>
    </w:rPr>
  </w:style>
  <w:style w:type="paragraph" w:customStyle="1" w:styleId="112">
    <w:name w:val="xl75"/>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113">
    <w:name w:val="xu标准标题 3 条"/>
    <w:basedOn w:val="114"/>
    <w:qFormat/>
    <w:uiPriority w:val="0"/>
    <w:pPr>
      <w:spacing w:beforeLines="50" w:afterLines="0" w:line="360" w:lineRule="exact"/>
      <w:jc w:val="left"/>
      <w:outlineLvl w:val="9"/>
    </w:pPr>
    <w:rPr>
      <w:b w:val="0"/>
      <w:bCs w:val="0"/>
    </w:rPr>
  </w:style>
  <w:style w:type="paragraph" w:customStyle="1" w:styleId="114">
    <w:name w:val="xu标准标题 2"/>
    <w:basedOn w:val="115"/>
    <w:qFormat/>
    <w:uiPriority w:val="0"/>
    <w:pPr>
      <w:pageBreakBefore w:val="0"/>
      <w:spacing w:before="240" w:after="120"/>
      <w:ind w:left="0"/>
      <w:outlineLvl w:val="1"/>
    </w:pPr>
    <w:rPr>
      <w:rFonts w:cs="Times New Roman"/>
      <w:sz w:val="24"/>
    </w:rPr>
  </w:style>
  <w:style w:type="paragraph" w:customStyle="1" w:styleId="115">
    <w:name w:val="xu标准标题 1"/>
    <w:basedOn w:val="1"/>
    <w:qFormat/>
    <w:uiPriority w:val="0"/>
    <w:pPr>
      <w:pageBreakBefore/>
      <w:spacing w:beforeLines="100" w:afterLines="50"/>
      <w:ind w:left="425"/>
      <w:jc w:val="center"/>
      <w:textAlignment w:val="center"/>
      <w:outlineLvl w:val="0"/>
    </w:pPr>
    <w:rPr>
      <w:rFonts w:ascii="Times New Roman" w:hAnsi="Times New Roman" w:cs="宋体"/>
      <w:b/>
      <w:bCs/>
      <w:kern w:val="44"/>
      <w:sz w:val="28"/>
      <w:szCs w:val="20"/>
    </w:rPr>
  </w:style>
  <w:style w:type="paragraph" w:customStyle="1" w:styleId="116">
    <w:name w:val="xl124"/>
    <w:basedOn w:val="1"/>
    <w:qFormat/>
    <w:uiPriority w:val="0"/>
    <w:pPr>
      <w:widowControl/>
      <w:pBdr>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117">
    <w:name w:val="xl101"/>
    <w:basedOn w:val="1"/>
    <w:qFormat/>
    <w:uiPriority w:val="0"/>
    <w:pPr>
      <w:widowControl/>
      <w:pBdr>
        <w:left w:val="single" w:color="auto" w:sz="4" w:space="0"/>
        <w:bottom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118">
    <w:name w:val="xl76"/>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119">
    <w:name w:val="样式 表格中 + 加粗"/>
    <w:basedOn w:val="120"/>
    <w:qFormat/>
    <w:uiPriority w:val="0"/>
    <w:pPr>
      <w:jc w:val="left"/>
    </w:pPr>
    <w:rPr>
      <w:b/>
      <w:bCs/>
    </w:rPr>
  </w:style>
  <w:style w:type="paragraph" w:customStyle="1" w:styleId="120">
    <w:name w:val="表格中"/>
    <w:basedOn w:val="121"/>
    <w:qFormat/>
    <w:uiPriority w:val="0"/>
    <w:pPr>
      <w:widowControl w:val="0"/>
      <w:spacing w:beforeLines="0"/>
      <w:ind w:firstLine="0" w:firstLineChars="0"/>
      <w:jc w:val="center"/>
    </w:pPr>
    <w:rPr>
      <w:sz w:val="21"/>
      <w:szCs w:val="20"/>
    </w:rPr>
  </w:style>
  <w:style w:type="paragraph" w:customStyle="1" w:styleId="121">
    <w:name w:val="表中 小四"/>
    <w:basedOn w:val="1"/>
    <w:qFormat/>
    <w:uiPriority w:val="0"/>
    <w:pPr>
      <w:widowControl/>
      <w:suppressAutoHyphens/>
      <w:autoSpaceDE w:val="0"/>
      <w:snapToGrid w:val="0"/>
      <w:spacing w:beforeLines="50" w:line="320" w:lineRule="exact"/>
      <w:ind w:firstLine="200" w:firstLineChars="200"/>
    </w:pPr>
    <w:rPr>
      <w:rFonts w:ascii="Times New Roman" w:hAnsi="Times New Roman"/>
      <w:sz w:val="24"/>
      <w:szCs w:val="24"/>
    </w:rPr>
  </w:style>
  <w:style w:type="paragraph" w:customStyle="1" w:styleId="122">
    <w:name w:val="xl111"/>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123">
    <w:name w:val="xl93"/>
    <w:basedOn w:val="1"/>
    <w:qFormat/>
    <w:uiPriority w:val="0"/>
    <w:pPr>
      <w:widowControl/>
      <w:pBdr>
        <w:bottom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124">
    <w:name w:val="xl10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125">
    <w:name w:val="标扉 出版社"/>
    <w:basedOn w:val="1"/>
    <w:qFormat/>
    <w:uiPriority w:val="0"/>
    <w:pPr>
      <w:widowControl/>
      <w:spacing w:beforeLines="50" w:line="320" w:lineRule="exact"/>
      <w:ind w:firstLine="200" w:firstLineChars="200"/>
    </w:pPr>
    <w:rPr>
      <w:rFonts w:ascii="Times New Roman" w:hAnsi="Times New Roman" w:cs="宋体"/>
      <w:sz w:val="32"/>
      <w:szCs w:val="20"/>
    </w:rPr>
  </w:style>
  <w:style w:type="paragraph" w:customStyle="1" w:styleId="126">
    <w:name w:val="编制正文"/>
    <w:basedOn w:val="1"/>
    <w:qFormat/>
    <w:uiPriority w:val="0"/>
    <w:pPr>
      <w:tabs>
        <w:tab w:val="left" w:pos="0"/>
        <w:tab w:val="left" w:pos="7012"/>
      </w:tabs>
      <w:autoSpaceDE w:val="0"/>
      <w:autoSpaceDN w:val="0"/>
      <w:adjustRightInd w:val="0"/>
      <w:snapToGrid w:val="0"/>
      <w:spacing w:line="360" w:lineRule="auto"/>
      <w:jc w:val="left"/>
    </w:pPr>
    <w:rPr>
      <w:rFonts w:ascii="Times New Roman" w:hAnsi="Times New Roman"/>
      <w:szCs w:val="21"/>
    </w:rPr>
  </w:style>
  <w:style w:type="paragraph" w:customStyle="1" w:styleId="127">
    <w:name w:val="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8">
    <w:name w:val="标英 目录1"/>
    <w:basedOn w:val="1"/>
    <w:qFormat/>
    <w:uiPriority w:val="0"/>
    <w:pPr>
      <w:widowControl/>
      <w:spacing w:beforeLines="50" w:line="320" w:lineRule="exact"/>
      <w:ind w:firstLine="200" w:firstLineChars="200"/>
    </w:pPr>
    <w:rPr>
      <w:rFonts w:ascii="Times New Roman" w:hAnsi="Times New Roman"/>
      <w:sz w:val="24"/>
      <w:szCs w:val="24"/>
    </w:rPr>
  </w:style>
  <w:style w:type="paragraph" w:customStyle="1" w:styleId="129">
    <w:name w:val="0609 标题"/>
    <w:basedOn w:val="2"/>
    <w:qFormat/>
    <w:uiPriority w:val="0"/>
    <w:pPr>
      <w:spacing w:before="300" w:after="240" w:line="276" w:lineRule="auto"/>
      <w:jc w:val="center"/>
    </w:pPr>
    <w:rPr>
      <w:rFonts w:ascii="黑体" w:hAnsi="黑体" w:eastAsia="黑体"/>
      <w:b w:val="0"/>
      <w:sz w:val="32"/>
      <w:szCs w:val="32"/>
    </w:rPr>
  </w:style>
  <w:style w:type="paragraph" w:customStyle="1" w:styleId="130">
    <w:name w:val="xl9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131">
    <w:name w:val="xu标题 2A   小四号"/>
    <w:basedOn w:val="132"/>
    <w:qFormat/>
    <w:uiPriority w:val="0"/>
    <w:pPr>
      <w:tabs>
        <w:tab w:val="left" w:pos="709"/>
      </w:tabs>
    </w:pPr>
    <w:rPr>
      <w:b w:val="0"/>
      <w:sz w:val="24"/>
    </w:rPr>
  </w:style>
  <w:style w:type="paragraph" w:customStyle="1" w:styleId="132">
    <w:name w:val="xu标题 2"/>
    <w:basedOn w:val="1"/>
    <w:qFormat/>
    <w:uiPriority w:val="0"/>
    <w:pPr>
      <w:widowControl/>
      <w:tabs>
        <w:tab w:val="left" w:pos="709"/>
      </w:tabs>
      <w:spacing w:after="120"/>
      <w:ind w:left="567" w:hanging="567"/>
      <w:jc w:val="center"/>
      <w:textAlignment w:val="center"/>
      <w:outlineLvl w:val="1"/>
    </w:pPr>
    <w:rPr>
      <w:rFonts w:ascii="Times New Roman" w:hAnsi="Times New Roman"/>
      <w:b/>
      <w:bCs/>
      <w:color w:val="000000"/>
      <w:kern w:val="0"/>
      <w:sz w:val="32"/>
      <w:szCs w:val="36"/>
    </w:rPr>
  </w:style>
  <w:style w:type="paragraph" w:customStyle="1" w:styleId="133">
    <w:name w:val="合同  款小条"/>
    <w:basedOn w:val="15"/>
    <w:qFormat/>
    <w:uiPriority w:val="0"/>
    <w:pPr>
      <w:widowControl/>
      <w:spacing w:beforeLines="50" w:line="500" w:lineRule="exact"/>
      <w:ind w:left="485" w:leftChars="202" w:firstLine="560" w:firstLineChars="200"/>
    </w:pPr>
    <w:rPr>
      <w:rFonts w:ascii="Times New Roman" w:hAnsi="Times New Roman" w:cs="宋体"/>
      <w:sz w:val="28"/>
      <w:szCs w:val="20"/>
    </w:rPr>
  </w:style>
  <w:style w:type="paragraph" w:customStyle="1" w:styleId="134">
    <w:name w:val="规范条文"/>
    <w:basedOn w:val="1"/>
    <w:qFormat/>
    <w:uiPriority w:val="0"/>
    <w:pPr>
      <w:adjustRightInd w:val="0"/>
      <w:snapToGrid w:val="0"/>
      <w:spacing w:line="500" w:lineRule="exact"/>
      <w:ind w:firstLine="567"/>
    </w:pPr>
    <w:rPr>
      <w:rFonts w:eastAsia="仿宋_GB2312"/>
      <w:b/>
      <w:snapToGrid w:val="0"/>
      <w:color w:val="000000"/>
      <w:kern w:val="0"/>
      <w:sz w:val="24"/>
      <w:szCs w:val="20"/>
    </w:rPr>
  </w:style>
  <w:style w:type="paragraph" w:customStyle="1" w:styleId="135">
    <w:name w:val="标准  正文 首行缩进:  2 字符"/>
    <w:basedOn w:val="136"/>
    <w:qFormat/>
    <w:uiPriority w:val="0"/>
    <w:pPr>
      <w:ind w:firstLine="392" w:firstLineChars="200"/>
    </w:pPr>
    <w:rPr>
      <w:rFonts w:cs="宋体"/>
      <w:szCs w:val="20"/>
    </w:rPr>
  </w:style>
  <w:style w:type="paragraph" w:customStyle="1" w:styleId="136">
    <w:name w:val="标准4  款"/>
    <w:basedOn w:val="1"/>
    <w:qFormat/>
    <w:uiPriority w:val="0"/>
    <w:pPr>
      <w:spacing w:line="300" w:lineRule="exact"/>
      <w:ind w:firstLine="294" w:firstLineChars="150"/>
    </w:pPr>
    <w:rPr>
      <w:rFonts w:ascii="Times New Roman" w:hAnsi="Times New Roman"/>
      <w:spacing w:val="8"/>
      <w:kern w:val="0"/>
      <w:sz w:val="18"/>
      <w:szCs w:val="21"/>
    </w:rPr>
  </w:style>
  <w:style w:type="paragraph" w:customStyle="1" w:styleId="137">
    <w:name w:val="进度表  五号 居中"/>
    <w:basedOn w:val="1"/>
    <w:qFormat/>
    <w:uiPriority w:val="0"/>
    <w:pPr>
      <w:widowControl/>
      <w:snapToGrid w:val="0"/>
      <w:spacing w:beforeLines="50" w:line="320" w:lineRule="exact"/>
      <w:ind w:firstLine="200" w:firstLineChars="200"/>
    </w:pPr>
    <w:rPr>
      <w:rFonts w:ascii="Times New Roman" w:hAnsi="Times New Roman" w:cs="宋体"/>
      <w:kern w:val="0"/>
      <w:szCs w:val="20"/>
    </w:rPr>
  </w:style>
  <w:style w:type="paragraph" w:customStyle="1" w:styleId="138">
    <w:name w:val="xl11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139">
    <w:name w:val="xl103"/>
    <w:basedOn w:val="1"/>
    <w:qFormat/>
    <w:uiPriority w:val="0"/>
    <w:pPr>
      <w:widowControl/>
      <w:pBdr>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140">
    <w:name w:val="xl72"/>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141">
    <w:name w:val="xu标题 附录2"/>
    <w:basedOn w:val="101"/>
    <w:qFormat/>
    <w:uiPriority w:val="0"/>
    <w:pPr>
      <w:spacing w:before="240" w:after="120"/>
      <w:ind w:firstLine="0" w:firstLineChars="0"/>
      <w:outlineLvl w:val="1"/>
    </w:pPr>
    <w:rPr>
      <w:rFonts w:cs="宋体"/>
      <w:sz w:val="28"/>
      <w:szCs w:val="20"/>
    </w:rPr>
  </w:style>
  <w:style w:type="paragraph" w:customStyle="1" w:styleId="142">
    <w:name w:val="标准 条编号2"/>
    <w:basedOn w:val="97"/>
    <w:qFormat/>
    <w:uiPriority w:val="0"/>
    <w:pPr>
      <w:keepNext/>
      <w:numPr>
        <w:ilvl w:val="0"/>
        <w:numId w:val="2"/>
      </w:numPr>
      <w:spacing w:line="400" w:lineRule="exact"/>
      <w:ind w:left="720" w:hanging="720"/>
      <w:jc w:val="left"/>
    </w:pPr>
    <w:rPr>
      <w:rFonts w:eastAsia="黑体"/>
      <w:bCs/>
      <w:color w:val="000000"/>
    </w:rPr>
  </w:style>
  <w:style w:type="paragraph" w:customStyle="1" w:styleId="143">
    <w:name w:val="xl113"/>
    <w:basedOn w:val="1"/>
    <w:qFormat/>
    <w:uiPriority w:val="0"/>
    <w:pPr>
      <w:widowControl/>
      <w:pBdr>
        <w:lef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144">
    <w:name w:val="xl94"/>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145">
    <w:name w:val="xl123"/>
    <w:basedOn w:val="1"/>
    <w:qFormat/>
    <w:uiPriority w:val="0"/>
    <w:pPr>
      <w:widowControl/>
      <w:spacing w:before="100" w:beforeAutospacing="1" w:after="100" w:afterAutospacing="1"/>
      <w:jc w:val="left"/>
      <w:textAlignment w:val="center"/>
    </w:pPr>
    <w:rPr>
      <w:rFonts w:ascii="宋体" w:hAnsi="宋体" w:cs="宋体"/>
      <w:kern w:val="0"/>
      <w:sz w:val="24"/>
      <w:szCs w:val="24"/>
    </w:rPr>
  </w:style>
  <w:style w:type="paragraph" w:customStyle="1" w:styleId="146">
    <w:name w:val="xl73"/>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147">
    <w:name w:val="标准 扉 名称"/>
    <w:basedOn w:val="108"/>
    <w:qFormat/>
    <w:uiPriority w:val="0"/>
    <w:pPr>
      <w:widowControl w:val="0"/>
      <w:spacing w:beforeLines="0" w:line="240" w:lineRule="auto"/>
      <w:ind w:firstLine="0" w:firstLineChars="0"/>
      <w:jc w:val="center"/>
    </w:pPr>
    <w:rPr>
      <w:rFonts w:ascii="宋体" w:hAnsi="宋体" w:eastAsia="宋体"/>
      <w:spacing w:val="24"/>
      <w:sz w:val="32"/>
    </w:rPr>
  </w:style>
  <w:style w:type="paragraph" w:customStyle="1" w:styleId="148">
    <w:name w:val="表右小五 1"/>
    <w:basedOn w:val="1"/>
    <w:qFormat/>
    <w:uiPriority w:val="0"/>
    <w:pPr>
      <w:widowControl/>
      <w:spacing w:beforeLines="50" w:line="320" w:lineRule="exact"/>
      <w:ind w:right="100" w:rightChars="100" w:firstLine="200" w:firstLineChars="200"/>
      <w:jc w:val="right"/>
    </w:pPr>
    <w:rPr>
      <w:rFonts w:ascii="Times New Roman" w:hAnsi="Times New Roman"/>
      <w:sz w:val="18"/>
      <w:szCs w:val="24"/>
    </w:rPr>
  </w:style>
  <w:style w:type="paragraph" w:customStyle="1" w:styleId="149">
    <w:name w:val="xl115"/>
    <w:basedOn w:val="1"/>
    <w:qFormat/>
    <w:uiPriority w:val="0"/>
    <w:pPr>
      <w:widowControl/>
      <w:pBdr>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150">
    <w:name w:val="标准  附录  条"/>
    <w:basedOn w:val="97"/>
    <w:qFormat/>
    <w:uiPriority w:val="0"/>
  </w:style>
  <w:style w:type="paragraph" w:customStyle="1" w:styleId="151">
    <w:name w:val="插图"/>
    <w:basedOn w:val="1"/>
    <w:qFormat/>
    <w:uiPriority w:val="0"/>
    <w:pPr>
      <w:widowControl/>
      <w:ind w:firstLine="200" w:firstLineChars="200"/>
    </w:pPr>
    <w:rPr>
      <w:rFonts w:ascii="Times New Roman" w:hAnsi="Times New Roman"/>
      <w:szCs w:val="24"/>
    </w:rPr>
  </w:style>
  <w:style w:type="paragraph" w:customStyle="1" w:styleId="152">
    <w:name w:val="首行缩进:  3 字符"/>
    <w:basedOn w:val="1"/>
    <w:qFormat/>
    <w:uiPriority w:val="0"/>
    <w:pPr>
      <w:tabs>
        <w:tab w:val="left" w:pos="1008"/>
      </w:tabs>
      <w:spacing w:beforeLines="50" w:line="320" w:lineRule="exact"/>
      <w:ind w:left="1440" w:leftChars="300" w:hanging="720" w:hangingChars="300"/>
    </w:pPr>
    <w:rPr>
      <w:rFonts w:ascii="Times New Roman" w:hAnsi="Times New Roman" w:cs="宋体"/>
      <w:kern w:val="0"/>
      <w:sz w:val="24"/>
      <w:szCs w:val="20"/>
    </w:rPr>
  </w:style>
  <w:style w:type="paragraph" w:customStyle="1" w:styleId="153">
    <w:name w:val="标封 GB号"/>
    <w:basedOn w:val="1"/>
    <w:qFormat/>
    <w:uiPriority w:val="0"/>
    <w:pPr>
      <w:widowControl/>
      <w:spacing w:beforeLines="50" w:line="320" w:lineRule="exact"/>
      <w:ind w:firstLine="200" w:firstLineChars="200"/>
    </w:pPr>
    <w:rPr>
      <w:rFonts w:ascii="Times New Roman" w:hAnsi="Times New Roman"/>
      <w:sz w:val="24"/>
      <w:szCs w:val="24"/>
    </w:rPr>
  </w:style>
  <w:style w:type="paragraph" w:customStyle="1" w:styleId="154">
    <w:name w:val="_Style 3"/>
    <w:basedOn w:val="1"/>
    <w:qFormat/>
    <w:uiPriority w:val="0"/>
    <w:rPr>
      <w:rFonts w:ascii="Times New Roman" w:hAnsi="Times New Roman"/>
      <w:szCs w:val="20"/>
    </w:rPr>
  </w:style>
  <w:style w:type="paragraph" w:customStyle="1" w:styleId="155">
    <w:name w:val="xl108"/>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156">
    <w:name w:val="标准  条文说明  款文 斜体  编号"/>
    <w:basedOn w:val="157"/>
    <w:qFormat/>
    <w:uiPriority w:val="0"/>
    <w:pPr>
      <w:numPr>
        <w:ilvl w:val="0"/>
        <w:numId w:val="3"/>
      </w:numPr>
      <w:tabs>
        <w:tab w:val="left" w:pos="993"/>
      </w:tabs>
      <w:ind w:left="0" w:firstLine="480"/>
    </w:pPr>
  </w:style>
  <w:style w:type="paragraph" w:customStyle="1" w:styleId="157">
    <w:name w:val="标准  条文说明  文 斜体"/>
    <w:basedOn w:val="90"/>
    <w:qFormat/>
    <w:uiPriority w:val="0"/>
    <w:rPr>
      <w:i/>
      <w:shd w:val="clear" w:color="auto" w:fill="FFC000"/>
    </w:rPr>
  </w:style>
  <w:style w:type="paragraph" w:customStyle="1" w:styleId="158">
    <w:name w:val="xu标准6 文　首行缩进:  7.5 字符"/>
    <w:basedOn w:val="159"/>
    <w:qFormat/>
    <w:uiPriority w:val="0"/>
    <w:pPr>
      <w:spacing w:line="240" w:lineRule="auto"/>
      <w:ind w:firstLine="792" w:firstLineChars="300"/>
    </w:pPr>
    <w:rPr>
      <w:color w:val="000000"/>
    </w:rPr>
  </w:style>
  <w:style w:type="paragraph" w:customStyle="1" w:styleId="159">
    <w:name w:val="xu标准5 文　首行缩进:  5字符"/>
    <w:basedOn w:val="1"/>
    <w:qFormat/>
    <w:uiPriority w:val="0"/>
    <w:pPr>
      <w:spacing w:line="400" w:lineRule="atLeast"/>
      <w:ind w:firstLine="528" w:firstLineChars="200"/>
    </w:pPr>
    <w:rPr>
      <w:rFonts w:ascii="Times New Roman" w:hAnsi="Times New Roman" w:cs="宋体"/>
      <w:spacing w:val="12"/>
      <w:sz w:val="24"/>
      <w:szCs w:val="20"/>
    </w:rPr>
  </w:style>
  <w:style w:type="paragraph" w:customStyle="1" w:styleId="160">
    <w:name w:val="标英目录2"/>
    <w:basedOn w:val="1"/>
    <w:qFormat/>
    <w:uiPriority w:val="0"/>
    <w:pPr>
      <w:widowControl/>
      <w:spacing w:beforeLines="50" w:line="320" w:lineRule="exact"/>
      <w:ind w:left="100" w:leftChars="100" w:firstLine="200" w:firstLineChars="200"/>
    </w:pPr>
    <w:rPr>
      <w:rFonts w:ascii="Times New Roman" w:hAnsi="Times New Roman"/>
      <w:sz w:val="24"/>
      <w:szCs w:val="24"/>
    </w:rPr>
  </w:style>
  <w:style w:type="paragraph" w:customStyle="1" w:styleId="161">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32"/>
      <w:szCs w:val="32"/>
    </w:rPr>
  </w:style>
  <w:style w:type="paragraph" w:customStyle="1" w:styleId="162">
    <w:name w:val="xu标题 1A"/>
    <w:basedOn w:val="101"/>
    <w:qFormat/>
    <w:uiPriority w:val="0"/>
    <w:pPr>
      <w:spacing w:before="240" w:after="120"/>
      <w:ind w:firstLine="640"/>
    </w:pPr>
    <w:rPr>
      <w:rFonts w:cs="宋体"/>
      <w:bCs w:val="0"/>
      <w:sz w:val="28"/>
      <w:szCs w:val="20"/>
    </w:rPr>
  </w:style>
  <w:style w:type="paragraph" w:customStyle="1" w:styleId="163">
    <w:name w:val="标准  小款"/>
    <w:basedOn w:val="164"/>
    <w:qFormat/>
    <w:uiPriority w:val="0"/>
    <w:pPr>
      <w:ind w:left="1202" w:leftChars="399" w:hanging="364" w:hangingChars="151"/>
    </w:pPr>
  </w:style>
  <w:style w:type="paragraph" w:customStyle="1" w:styleId="164">
    <w:name w:val="xu标准4  款"/>
    <w:basedOn w:val="97"/>
    <w:qFormat/>
    <w:uiPriority w:val="0"/>
    <w:pPr>
      <w:ind w:firstLine="480" w:firstLineChars="200"/>
    </w:pPr>
    <w:rPr>
      <w:rFonts w:cs="Times New Roman"/>
      <w:color w:val="333333"/>
      <w:szCs w:val="24"/>
      <w:shd w:val="clear" w:color="auto" w:fill="FFFFFF"/>
    </w:rPr>
  </w:style>
  <w:style w:type="paragraph" w:customStyle="1" w:styleId="165">
    <w:name w:val="标扉 单位"/>
    <w:basedOn w:val="1"/>
    <w:qFormat/>
    <w:uiPriority w:val="0"/>
    <w:pPr>
      <w:widowControl/>
      <w:spacing w:beforeLines="50" w:line="320" w:lineRule="exact"/>
      <w:ind w:firstLine="200" w:firstLineChars="200"/>
    </w:pPr>
    <w:rPr>
      <w:rFonts w:ascii="Times New Roman" w:hAnsi="Times New Roman" w:cs="宋体"/>
      <w:color w:val="000000"/>
      <w:sz w:val="30"/>
      <w:szCs w:val="20"/>
    </w:rPr>
  </w:style>
  <w:style w:type="paragraph" w:customStyle="1" w:styleId="166">
    <w:name w:val="样式 表格左 + 加粗"/>
    <w:basedOn w:val="167"/>
    <w:qFormat/>
    <w:uiPriority w:val="0"/>
    <w:rPr>
      <w:b/>
      <w:bCs/>
    </w:rPr>
  </w:style>
  <w:style w:type="paragraph" w:customStyle="1" w:styleId="167">
    <w:name w:val="表格左"/>
    <w:basedOn w:val="120"/>
    <w:qFormat/>
    <w:uiPriority w:val="0"/>
    <w:pPr>
      <w:spacing w:line="240" w:lineRule="auto"/>
      <w:jc w:val="left"/>
    </w:pPr>
    <w:rPr>
      <w:rFonts w:cs="宋体"/>
    </w:rPr>
  </w:style>
  <w:style w:type="paragraph" w:customStyle="1" w:styleId="168">
    <w:name w:val="xl95"/>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169">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70">
    <w:name w:val="xl98"/>
    <w:basedOn w:val="1"/>
    <w:qFormat/>
    <w:uiPriority w:val="0"/>
    <w:pPr>
      <w:widowControl/>
      <w:pBdr>
        <w:lef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171">
    <w:name w:val="xl7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172">
    <w:name w:val="xl114"/>
    <w:basedOn w:val="1"/>
    <w:qFormat/>
    <w:uiPriority w:val="0"/>
    <w:pPr>
      <w:widowControl/>
      <w:spacing w:before="100" w:beforeAutospacing="1" w:after="100" w:afterAutospacing="1"/>
      <w:jc w:val="left"/>
      <w:textAlignment w:val="center"/>
    </w:pPr>
    <w:rPr>
      <w:rFonts w:ascii="宋体" w:hAnsi="宋体" w:cs="宋体"/>
      <w:kern w:val="0"/>
      <w:sz w:val="24"/>
      <w:szCs w:val="24"/>
    </w:rPr>
  </w:style>
  <w:style w:type="paragraph" w:customStyle="1" w:styleId="173">
    <w:name w:val="标准表格  左  6号"/>
    <w:basedOn w:val="1"/>
    <w:qFormat/>
    <w:uiPriority w:val="0"/>
    <w:pPr>
      <w:jc w:val="left"/>
    </w:pPr>
    <w:rPr>
      <w:rFonts w:ascii="Times New Roman" w:hAnsi="Times New Roman"/>
      <w:sz w:val="15"/>
      <w:szCs w:val="24"/>
    </w:rPr>
  </w:style>
  <w:style w:type="paragraph" w:customStyle="1" w:styleId="174">
    <w:name w:val="xu标准2 节"/>
    <w:basedOn w:val="175"/>
    <w:qFormat/>
    <w:uiPriority w:val="0"/>
    <w:pPr>
      <w:pageBreakBefore w:val="0"/>
      <w:outlineLvl w:val="1"/>
    </w:pPr>
    <w:rPr>
      <w:rFonts w:eastAsia="黑体" w:cs="Times New Roman"/>
      <w:b w:val="0"/>
      <w:color w:val="000000"/>
      <w:sz w:val="28"/>
      <w:szCs w:val="28"/>
    </w:rPr>
  </w:style>
  <w:style w:type="paragraph" w:customStyle="1" w:styleId="175">
    <w:name w:val="xu标准1 章"/>
    <w:basedOn w:val="1"/>
    <w:qFormat/>
    <w:uiPriority w:val="0"/>
    <w:pPr>
      <w:pageBreakBefore/>
      <w:widowControl/>
      <w:spacing w:beforeLines="100" w:after="120"/>
      <w:jc w:val="center"/>
      <w:outlineLvl w:val="0"/>
    </w:pPr>
    <w:rPr>
      <w:rFonts w:ascii="Times New Roman" w:hAnsi="Times New Roman" w:cs="宋体"/>
      <w:b/>
      <w:sz w:val="30"/>
      <w:szCs w:val="30"/>
    </w:rPr>
  </w:style>
  <w:style w:type="paragraph" w:customStyle="1" w:styleId="176">
    <w:name w:val="标封 国"/>
    <w:basedOn w:val="1"/>
    <w:qFormat/>
    <w:uiPriority w:val="0"/>
    <w:pPr>
      <w:widowControl/>
      <w:spacing w:beforeLines="50" w:line="320" w:lineRule="exact"/>
      <w:ind w:firstLine="200" w:firstLineChars="200"/>
    </w:pPr>
    <w:rPr>
      <w:rFonts w:ascii="Times New Roman" w:hAnsi="Times New Roman"/>
      <w:sz w:val="32"/>
      <w:szCs w:val="32"/>
    </w:rPr>
  </w:style>
  <w:style w:type="paragraph" w:customStyle="1" w:styleId="177">
    <w:name w:val="xu标准3  条"/>
    <w:basedOn w:val="174"/>
    <w:qFormat/>
    <w:uiPriority w:val="0"/>
    <w:pPr>
      <w:widowControl w:val="0"/>
      <w:numPr>
        <w:ilvl w:val="2"/>
        <w:numId w:val="4"/>
      </w:numPr>
      <w:spacing w:beforeLines="0" w:after="0" w:line="400" w:lineRule="atLeast"/>
      <w:ind w:hanging="470" w:hangingChars="470"/>
      <w:jc w:val="both"/>
      <w:outlineLvl w:val="9"/>
    </w:pPr>
    <w:rPr>
      <w:rFonts w:eastAsia="宋体"/>
      <w:b/>
      <w:color w:val="auto"/>
      <w:sz w:val="24"/>
    </w:rPr>
  </w:style>
  <w:style w:type="paragraph" w:customStyle="1" w:styleId="178">
    <w:name w:val="标封 英"/>
    <w:basedOn w:val="1"/>
    <w:qFormat/>
    <w:uiPriority w:val="0"/>
    <w:pPr>
      <w:widowControl/>
      <w:spacing w:beforeLines="50" w:line="320" w:lineRule="exact"/>
      <w:ind w:firstLine="200" w:firstLineChars="200"/>
    </w:pPr>
    <w:rPr>
      <w:rFonts w:ascii="Times New Roman" w:hAnsi="Times New Roman" w:eastAsia="黑体"/>
      <w:b/>
      <w:sz w:val="30"/>
      <w:szCs w:val="30"/>
    </w:rPr>
  </w:style>
  <w:style w:type="paragraph" w:styleId="179">
    <w:name w:val="List Paragraph"/>
    <w:basedOn w:val="1"/>
    <w:qFormat/>
    <w:uiPriority w:val="34"/>
    <w:pPr>
      <w:ind w:firstLine="420" w:firstLineChars="200"/>
    </w:pPr>
  </w:style>
  <w:style w:type="paragraph" w:customStyle="1" w:styleId="180">
    <w:name w:val="xu标准2A  小节"/>
    <w:basedOn w:val="181"/>
    <w:qFormat/>
    <w:uiPriority w:val="0"/>
    <w:pPr>
      <w:numPr>
        <w:ilvl w:val="0"/>
        <w:numId w:val="5"/>
      </w:numPr>
      <w:tabs>
        <w:tab w:val="left" w:pos="360"/>
      </w:tabs>
      <w:ind w:left="0" w:firstLine="0"/>
      <w:jc w:val="left"/>
      <w:outlineLvl w:val="2"/>
    </w:pPr>
  </w:style>
  <w:style w:type="paragraph" w:customStyle="1" w:styleId="181">
    <w:name w:val="TOC 标题1"/>
    <w:basedOn w:val="2"/>
    <w:next w:val="1"/>
    <w:unhideWhenUsed/>
    <w:qFormat/>
    <w:uiPriority w:val="39"/>
    <w:pPr>
      <w:widowControl/>
      <w:spacing w:before="120" w:after="0" w:line="240" w:lineRule="auto"/>
      <w:jc w:val="center"/>
      <w:outlineLvl w:val="9"/>
    </w:pPr>
    <w:rPr>
      <w:rFonts w:ascii="Calibri Light" w:hAnsi="Calibri Light"/>
      <w:bCs w:val="0"/>
      <w:color w:val="000000"/>
      <w:kern w:val="0"/>
      <w:sz w:val="28"/>
      <w:szCs w:val="32"/>
    </w:rPr>
  </w:style>
  <w:style w:type="paragraph" w:customStyle="1" w:styleId="182">
    <w:name w:val="标准 扉 GB"/>
    <w:basedOn w:val="1"/>
    <w:qFormat/>
    <w:uiPriority w:val="0"/>
    <w:pPr>
      <w:jc w:val="center"/>
    </w:pPr>
    <w:rPr>
      <w:rFonts w:ascii="Times New Roman" w:hAnsi="Times New Roman" w:eastAsia="黑体"/>
      <w:b/>
      <w:sz w:val="30"/>
      <w:szCs w:val="30"/>
    </w:rPr>
  </w:style>
  <w:style w:type="paragraph" w:customStyle="1" w:styleId="183">
    <w:name w:val="xl96"/>
    <w:basedOn w:val="1"/>
    <w:qFormat/>
    <w:uiPriority w:val="0"/>
    <w:pPr>
      <w:widowControl/>
      <w:pBdr>
        <w:lef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184">
    <w:name w:val="标准  表标题中"/>
    <w:basedOn w:val="1"/>
    <w:next w:val="1"/>
    <w:qFormat/>
    <w:uiPriority w:val="0"/>
    <w:pPr>
      <w:tabs>
        <w:tab w:val="left" w:pos="3248"/>
      </w:tabs>
      <w:spacing w:beforeLines="50" w:afterLines="50" w:line="400" w:lineRule="exact"/>
      <w:jc w:val="center"/>
    </w:pPr>
    <w:rPr>
      <w:rFonts w:ascii="Times New Roman" w:hAnsi="Times New Roman"/>
      <w:bCs/>
      <w:color w:val="000000"/>
      <w:sz w:val="24"/>
      <w:szCs w:val="21"/>
    </w:rPr>
  </w:style>
  <w:style w:type="paragraph" w:customStyle="1" w:styleId="185">
    <w:name w:val="标封 国标字"/>
    <w:basedOn w:val="1"/>
    <w:qFormat/>
    <w:uiPriority w:val="0"/>
    <w:pPr>
      <w:widowControl/>
      <w:adjustRightInd w:val="0"/>
      <w:spacing w:beforeLines="50" w:line="320" w:lineRule="exact"/>
      <w:ind w:firstLine="200" w:firstLineChars="200"/>
    </w:pPr>
    <w:rPr>
      <w:rFonts w:ascii="Times New Roman" w:hAnsi="Times New Roman" w:eastAsia="黑体"/>
      <w:spacing w:val="134"/>
      <w:kern w:val="0"/>
      <w:sz w:val="44"/>
      <w:szCs w:val="44"/>
    </w:rPr>
  </w:style>
  <w:style w:type="paragraph" w:customStyle="1" w:styleId="186">
    <w:name w:val="xu标准3   强条"/>
    <w:basedOn w:val="177"/>
    <w:qFormat/>
    <w:uiPriority w:val="0"/>
    <w:rPr>
      <w:rFonts w:eastAsia="黑体"/>
    </w:rPr>
  </w:style>
  <w:style w:type="paragraph" w:customStyle="1" w:styleId="187">
    <w:name w:val="xl10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188">
    <w:name w:val="xl92"/>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189">
    <w:name w:val="标准  条文说明  款文  斜体 编号A"/>
    <w:basedOn w:val="156"/>
    <w:qFormat/>
    <w:uiPriority w:val="0"/>
    <w:pPr>
      <w:numPr>
        <w:ilvl w:val="0"/>
        <w:numId w:val="6"/>
      </w:numPr>
      <w:tabs>
        <w:tab w:val="left" w:pos="854"/>
        <w:tab w:val="clear" w:pos="993"/>
      </w:tabs>
      <w:ind w:left="0" w:firstLine="480"/>
    </w:pPr>
  </w:style>
  <w:style w:type="paragraph" w:customStyle="1" w:styleId="190">
    <w:name w:val="标扉 英"/>
    <w:basedOn w:val="1"/>
    <w:qFormat/>
    <w:uiPriority w:val="0"/>
    <w:pPr>
      <w:widowControl/>
      <w:spacing w:beforeLines="50" w:line="320" w:lineRule="exact"/>
      <w:ind w:firstLine="200" w:firstLineChars="200"/>
    </w:pPr>
    <w:rPr>
      <w:rFonts w:ascii="Times New Roman" w:hAnsi="Times New Roman" w:eastAsia="黑体"/>
      <w:b/>
      <w:sz w:val="30"/>
      <w:szCs w:val="30"/>
    </w:rPr>
  </w:style>
  <w:style w:type="paragraph" w:customStyle="1" w:styleId="191">
    <w:name w:val="xl91"/>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192">
    <w:name w:val="标准  款编号"/>
    <w:basedOn w:val="164"/>
    <w:qFormat/>
    <w:uiPriority w:val="0"/>
    <w:pPr>
      <w:widowControl w:val="0"/>
      <w:spacing w:line="240" w:lineRule="auto"/>
      <w:jc w:val="left"/>
    </w:pPr>
    <w:rPr>
      <w:color w:val="000000"/>
      <w:sz w:val="18"/>
      <w:szCs w:val="18"/>
      <w:shd w:val="clear" w:color="auto" w:fill="auto"/>
    </w:rPr>
  </w:style>
  <w:style w:type="paragraph" w:customStyle="1" w:styleId="193">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32"/>
      <w:szCs w:val="32"/>
    </w:rPr>
  </w:style>
  <w:style w:type="paragraph" w:customStyle="1" w:styleId="194">
    <w:name w:val="xl10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195">
    <w:name w:val="xl74"/>
    <w:basedOn w:val="1"/>
    <w:qFormat/>
    <w:uiPriority w:val="0"/>
    <w:pPr>
      <w:widowControl/>
      <w:pBdr>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196">
    <w:name w:val="标准 扉 国 + 红色"/>
    <w:basedOn w:val="197"/>
    <w:qFormat/>
    <w:uiPriority w:val="0"/>
    <w:pPr>
      <w:jc w:val="center"/>
    </w:pPr>
    <w:rPr>
      <w:rFonts w:cs="宋体"/>
      <w:color w:val="FF0000"/>
      <w:spacing w:val="14"/>
      <w:kern w:val="0"/>
      <w:szCs w:val="20"/>
    </w:rPr>
  </w:style>
  <w:style w:type="paragraph" w:customStyle="1" w:styleId="197">
    <w:name w:val="标准 封 国"/>
    <w:basedOn w:val="176"/>
    <w:qFormat/>
    <w:uiPriority w:val="0"/>
    <w:pPr>
      <w:widowControl w:val="0"/>
      <w:spacing w:beforeLines="0" w:line="240" w:lineRule="auto"/>
      <w:ind w:firstLine="0" w:firstLineChars="0"/>
    </w:pPr>
    <w:rPr>
      <w:rFonts w:ascii="黑体" w:hAnsi="黑体" w:eastAsia="黑体"/>
      <w:sz w:val="28"/>
    </w:rPr>
  </w:style>
  <w:style w:type="paragraph" w:customStyle="1" w:styleId="198">
    <w:name w:val="合同 签字"/>
    <w:basedOn w:val="1"/>
    <w:qFormat/>
    <w:uiPriority w:val="0"/>
    <w:pPr>
      <w:widowControl/>
      <w:spacing w:beforeLines="50" w:line="320" w:lineRule="exact"/>
      <w:ind w:firstLine="480" w:firstLineChars="200"/>
    </w:pPr>
    <w:rPr>
      <w:rFonts w:ascii="Times New Roman" w:hAnsi="Times New Roman" w:cs="宋体"/>
      <w:sz w:val="28"/>
      <w:szCs w:val="20"/>
    </w:rPr>
  </w:style>
  <w:style w:type="paragraph" w:customStyle="1" w:styleId="199">
    <w:name w:val="标准 扉 北京"/>
    <w:basedOn w:val="125"/>
    <w:qFormat/>
    <w:uiPriority w:val="0"/>
    <w:pPr>
      <w:widowControl w:val="0"/>
      <w:spacing w:beforeLines="0" w:line="240" w:lineRule="auto"/>
      <w:ind w:firstLine="0" w:firstLineChars="0"/>
      <w:jc w:val="center"/>
    </w:pPr>
    <w:rPr>
      <w:rFonts w:ascii="黑体" w:hAnsi="黑体" w:eastAsia="黑体"/>
      <w:spacing w:val="20"/>
      <w:sz w:val="24"/>
    </w:rPr>
  </w:style>
  <w:style w:type="paragraph" w:customStyle="1" w:styleId="200">
    <w:name w:val="进度表 五号 右"/>
    <w:basedOn w:val="1"/>
    <w:qFormat/>
    <w:uiPriority w:val="0"/>
    <w:pPr>
      <w:widowControl/>
      <w:snapToGrid w:val="0"/>
      <w:spacing w:beforeLines="50" w:line="320" w:lineRule="exact"/>
      <w:ind w:firstLine="200" w:firstLineChars="200"/>
      <w:jc w:val="right"/>
    </w:pPr>
    <w:rPr>
      <w:rFonts w:ascii="Times New Roman" w:hAnsi="Times New Roman" w:cs="宋体"/>
      <w:kern w:val="0"/>
      <w:szCs w:val="20"/>
    </w:rPr>
  </w:style>
  <w:style w:type="paragraph" w:customStyle="1" w:styleId="201">
    <w:name w:val="合同  签字"/>
    <w:basedOn w:val="1"/>
    <w:qFormat/>
    <w:uiPriority w:val="0"/>
    <w:pPr>
      <w:widowControl/>
      <w:spacing w:beforeLines="50" w:line="320" w:lineRule="exact"/>
      <w:ind w:firstLine="480" w:firstLineChars="200"/>
    </w:pPr>
    <w:rPr>
      <w:rFonts w:ascii="Times New Roman" w:hAnsi="Times New Roman"/>
      <w:sz w:val="28"/>
      <w:szCs w:val="20"/>
    </w:rPr>
  </w:style>
  <w:style w:type="paragraph" w:customStyle="1" w:styleId="202">
    <w:name w:val="xl11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03">
    <w:name w:val="xu标准  款 编号"/>
    <w:basedOn w:val="192"/>
    <w:qFormat/>
    <w:uiPriority w:val="0"/>
    <w:pPr>
      <w:numPr>
        <w:ilvl w:val="0"/>
        <w:numId w:val="7"/>
      </w:numPr>
      <w:tabs>
        <w:tab w:val="left" w:pos="728"/>
      </w:tabs>
      <w:spacing w:line="400" w:lineRule="exact"/>
      <w:ind w:firstLine="0" w:firstLineChars="0"/>
      <w:jc w:val="both"/>
    </w:pPr>
    <w:rPr>
      <w:rFonts w:cs="宋体"/>
      <w:sz w:val="24"/>
    </w:rPr>
  </w:style>
  <w:style w:type="paragraph" w:customStyle="1" w:styleId="204">
    <w:name w:val="xu标题4"/>
    <w:basedOn w:val="1"/>
    <w:qFormat/>
    <w:uiPriority w:val="0"/>
    <w:pPr>
      <w:widowControl/>
      <w:spacing w:beforeLines="50" w:line="320" w:lineRule="exact"/>
      <w:ind w:firstLine="281" w:firstLineChars="100"/>
      <w:outlineLvl w:val="3"/>
    </w:pPr>
    <w:rPr>
      <w:rFonts w:ascii="Times New Roman" w:hAnsi="Times New Roman"/>
      <w:b/>
      <w:bCs/>
      <w:kern w:val="0"/>
      <w:sz w:val="28"/>
      <w:szCs w:val="28"/>
    </w:rPr>
  </w:style>
  <w:style w:type="paragraph" w:customStyle="1" w:styleId="205">
    <w:name w:val="xl7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06">
    <w:name w:val="表中  小五"/>
    <w:basedOn w:val="1"/>
    <w:qFormat/>
    <w:uiPriority w:val="0"/>
    <w:pPr>
      <w:widowControl/>
      <w:spacing w:beforeLines="50" w:line="240" w:lineRule="exact"/>
      <w:ind w:firstLine="200" w:firstLineChars="200"/>
    </w:pPr>
    <w:rPr>
      <w:rFonts w:ascii="Times New Roman" w:hAnsi="Times New Roman"/>
      <w:w w:val="95"/>
      <w:kern w:val="0"/>
      <w:sz w:val="18"/>
      <w:szCs w:val="28"/>
    </w:rPr>
  </w:style>
  <w:style w:type="paragraph" w:customStyle="1" w:styleId="207">
    <w:name w:val="xl81"/>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08">
    <w:name w:val="标准 扉 国 + 非加粗"/>
    <w:basedOn w:val="209"/>
    <w:qFormat/>
    <w:uiPriority w:val="0"/>
    <w:pPr>
      <w:spacing w:before="120"/>
    </w:pPr>
    <w:rPr>
      <w:rFonts w:ascii="宋体" w:hAnsi="宋体" w:eastAsia="宋体"/>
      <w:b w:val="0"/>
      <w:bCs w:val="0"/>
    </w:rPr>
  </w:style>
  <w:style w:type="paragraph" w:customStyle="1" w:styleId="209">
    <w:name w:val="标准 扉 国"/>
    <w:basedOn w:val="1"/>
    <w:qFormat/>
    <w:uiPriority w:val="0"/>
    <w:pPr>
      <w:jc w:val="center"/>
    </w:pPr>
    <w:rPr>
      <w:rFonts w:eastAsia="黑体"/>
      <w:b/>
      <w:bCs/>
      <w:sz w:val="28"/>
      <w:szCs w:val="30"/>
    </w:rPr>
  </w:style>
  <w:style w:type="paragraph" w:customStyle="1" w:styleId="210">
    <w:name w:val="xl100"/>
    <w:basedOn w:val="1"/>
    <w:qFormat/>
    <w:uiPriority w:val="0"/>
    <w:pPr>
      <w:widowControl/>
      <w:pBdr>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211">
    <w:name w:val="xl82"/>
    <w:basedOn w:val="1"/>
    <w:qFormat/>
    <w:uiPriority w:val="0"/>
    <w:pPr>
      <w:widowControl/>
      <w:pBdr>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12">
    <w:name w:val="标准 表格中 + 小六"/>
    <w:basedOn w:val="120"/>
    <w:qFormat/>
    <w:uiPriority w:val="0"/>
    <w:pPr>
      <w:suppressAutoHyphens w:val="0"/>
      <w:autoSpaceDE/>
      <w:adjustRightInd w:val="0"/>
      <w:spacing w:line="240" w:lineRule="auto"/>
    </w:pPr>
    <w:rPr>
      <w:sz w:val="13"/>
    </w:rPr>
  </w:style>
  <w:style w:type="paragraph" w:customStyle="1" w:styleId="213">
    <w:name w:val="xl6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14">
    <w:name w:val="标准  附录（续）"/>
    <w:basedOn w:val="215"/>
    <w:qFormat/>
    <w:uiPriority w:val="0"/>
    <w:pPr>
      <w:tabs>
        <w:tab w:val="left" w:pos="3248"/>
      </w:tabs>
    </w:pPr>
  </w:style>
  <w:style w:type="paragraph" w:customStyle="1" w:styleId="215">
    <w:name w:val="标准  附录  2级"/>
    <w:basedOn w:val="184"/>
    <w:qFormat/>
    <w:uiPriority w:val="0"/>
    <w:pPr>
      <w:spacing w:afterLines="30"/>
    </w:pPr>
    <w:rPr>
      <w:szCs w:val="24"/>
    </w:rPr>
  </w:style>
  <w:style w:type="paragraph" w:customStyle="1" w:styleId="216">
    <w:name w:val="首行缩进 2 字符 小四"/>
    <w:basedOn w:val="1"/>
    <w:qFormat/>
    <w:uiPriority w:val="0"/>
    <w:pPr>
      <w:snapToGrid w:val="0"/>
      <w:spacing w:beforeLines="30" w:line="320" w:lineRule="exact"/>
      <w:ind w:firstLine="480" w:firstLineChars="200"/>
    </w:pPr>
    <w:rPr>
      <w:rFonts w:ascii="Times New Roman" w:hAnsi="Times New Roman" w:cs="宋体"/>
      <w:sz w:val="24"/>
      <w:szCs w:val="20"/>
    </w:rPr>
  </w:style>
  <w:style w:type="paragraph" w:customStyle="1" w:styleId="217">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18">
    <w:name w:val="reader-word-layer"/>
    <w:basedOn w:val="1"/>
    <w:qFormat/>
    <w:uiPriority w:val="0"/>
    <w:pPr>
      <w:widowControl/>
      <w:spacing w:beforeAutospacing="1" w:after="100" w:afterAutospacing="1"/>
      <w:jc w:val="left"/>
    </w:pPr>
    <w:rPr>
      <w:rFonts w:ascii="宋体" w:hAnsi="宋体" w:cs="宋体"/>
      <w:kern w:val="0"/>
      <w:sz w:val="24"/>
      <w:szCs w:val="24"/>
    </w:rPr>
  </w:style>
  <w:style w:type="paragraph" w:customStyle="1" w:styleId="219">
    <w:name w:val="正文缩进   首行缩进:  0 毫米"/>
    <w:basedOn w:val="1"/>
    <w:qFormat/>
    <w:uiPriority w:val="0"/>
    <w:pPr>
      <w:snapToGrid w:val="0"/>
      <w:spacing w:beforeLines="30" w:line="320" w:lineRule="exact"/>
      <w:ind w:firstLine="200" w:firstLineChars="200"/>
    </w:pPr>
    <w:rPr>
      <w:rFonts w:ascii="Times New Roman" w:hAnsi="Times New Roman"/>
      <w:kern w:val="0"/>
      <w:szCs w:val="21"/>
    </w:rPr>
  </w:style>
  <w:style w:type="paragraph" w:customStyle="1" w:styleId="220">
    <w:name w:val="xl12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21">
    <w:name w:val="xl83"/>
    <w:basedOn w:val="1"/>
    <w:qFormat/>
    <w:uiPriority w:val="0"/>
    <w:pPr>
      <w:widowControl/>
      <w:pBdr>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22">
    <w:name w:val="xl102"/>
    <w:basedOn w:val="1"/>
    <w:qFormat/>
    <w:uiPriority w:val="0"/>
    <w:pPr>
      <w:widowControl/>
      <w:pBdr>
        <w:bottom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223">
    <w:name w:val="ENFI表体格式"/>
    <w:basedOn w:val="1"/>
    <w:qFormat/>
    <w:uiPriority w:val="0"/>
    <w:pPr>
      <w:widowControl/>
      <w:adjustRightInd w:val="0"/>
      <w:snapToGrid w:val="0"/>
      <w:jc w:val="center"/>
    </w:pPr>
    <w:rPr>
      <w:rFonts w:ascii="Times New Roman" w:hAnsi="Times New Roman" w:eastAsia="仿宋_GB2312"/>
      <w:color w:val="FF0000"/>
      <w:kern w:val="0"/>
      <w:szCs w:val="20"/>
    </w:rPr>
  </w:style>
  <w:style w:type="paragraph" w:customStyle="1" w:styleId="224">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25">
    <w:name w:val="标准 扉 出版社"/>
    <w:basedOn w:val="125"/>
    <w:qFormat/>
    <w:uiPriority w:val="0"/>
    <w:pPr>
      <w:widowControl w:val="0"/>
      <w:spacing w:beforeLines="0" w:line="240" w:lineRule="auto"/>
      <w:ind w:firstLine="0" w:firstLineChars="0"/>
      <w:jc w:val="center"/>
    </w:pPr>
    <w:rPr>
      <w:spacing w:val="20"/>
      <w:sz w:val="24"/>
    </w:rPr>
  </w:style>
  <w:style w:type="paragraph" w:customStyle="1" w:styleId="226">
    <w:name w:val="xl97"/>
    <w:basedOn w:val="1"/>
    <w:qFormat/>
    <w:uiPriority w:val="0"/>
    <w:pPr>
      <w:widowControl/>
      <w:pBdr>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27">
    <w:name w:val="xl8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28">
    <w:name w:val="xu标题1A"/>
    <w:basedOn w:val="1"/>
    <w:qFormat/>
    <w:uiPriority w:val="0"/>
    <w:pPr>
      <w:widowControl/>
      <w:spacing w:beforeLines="50" w:after="156" w:line="320" w:lineRule="exact"/>
      <w:ind w:firstLine="200" w:firstLineChars="200"/>
      <w:textAlignment w:val="center"/>
      <w:outlineLvl w:val="0"/>
    </w:pPr>
    <w:rPr>
      <w:rFonts w:ascii="Times New Roman" w:hAnsi="Times New Roman"/>
      <w:bCs/>
      <w:kern w:val="44"/>
      <w:sz w:val="32"/>
      <w:szCs w:val="32"/>
    </w:rPr>
  </w:style>
  <w:style w:type="paragraph" w:customStyle="1" w:styleId="229">
    <w:name w:val="xl70"/>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30">
    <w:name w:val="标准 扉 英"/>
    <w:basedOn w:val="1"/>
    <w:qFormat/>
    <w:uiPriority w:val="0"/>
    <w:pPr>
      <w:jc w:val="center"/>
    </w:pPr>
    <w:rPr>
      <w:rFonts w:ascii="Times New Roman" w:hAnsi="Times New Roman" w:eastAsia="黑体"/>
      <w:color w:val="000000"/>
      <w:szCs w:val="30"/>
    </w:rPr>
  </w:style>
  <w:style w:type="paragraph" w:customStyle="1" w:styleId="231">
    <w:name w:val="合同 文字主"/>
    <w:basedOn w:val="1"/>
    <w:qFormat/>
    <w:uiPriority w:val="0"/>
    <w:pPr>
      <w:widowControl/>
      <w:spacing w:beforeLines="50" w:line="460" w:lineRule="exact"/>
      <w:ind w:firstLine="600" w:firstLineChars="200"/>
    </w:pPr>
    <w:rPr>
      <w:rFonts w:ascii="Times New Roman" w:hAnsi="Times New Roman"/>
      <w:sz w:val="24"/>
      <w:szCs w:val="20"/>
    </w:rPr>
  </w:style>
  <w:style w:type="paragraph" w:customStyle="1" w:styleId="232">
    <w:name w:val="font7"/>
    <w:basedOn w:val="1"/>
    <w:qFormat/>
    <w:uiPriority w:val="0"/>
    <w:pPr>
      <w:widowControl/>
      <w:spacing w:before="100" w:beforeAutospacing="1" w:after="100" w:afterAutospacing="1"/>
      <w:jc w:val="left"/>
    </w:pPr>
    <w:rPr>
      <w:rFonts w:ascii="宋体" w:hAnsi="宋体" w:cs="宋体"/>
      <w:color w:val="000000"/>
      <w:kern w:val="0"/>
      <w:sz w:val="22"/>
    </w:rPr>
  </w:style>
  <w:style w:type="paragraph" w:customStyle="1" w:styleId="233">
    <w:name w:val="xl99"/>
    <w:basedOn w:val="1"/>
    <w:qFormat/>
    <w:uiPriority w:val="0"/>
    <w:pPr>
      <w:widowControl/>
      <w:spacing w:before="100" w:beforeAutospacing="1" w:after="100" w:afterAutospacing="1"/>
      <w:jc w:val="left"/>
      <w:textAlignment w:val="center"/>
    </w:pPr>
    <w:rPr>
      <w:rFonts w:ascii="宋体" w:hAnsi="宋体" w:cs="宋体"/>
      <w:kern w:val="0"/>
      <w:sz w:val="24"/>
      <w:szCs w:val="24"/>
    </w:rPr>
  </w:style>
  <w:style w:type="paragraph" w:customStyle="1" w:styleId="234">
    <w:name w:val="首行缩进 4 字符"/>
    <w:basedOn w:val="1"/>
    <w:qFormat/>
    <w:uiPriority w:val="0"/>
    <w:pPr>
      <w:widowControl/>
      <w:spacing w:beforeLines="50" w:line="320" w:lineRule="exact"/>
      <w:ind w:firstLine="1209" w:firstLineChars="400"/>
    </w:pPr>
    <w:rPr>
      <w:rFonts w:ascii="Times New Roman" w:hAnsi="Times New Roman" w:eastAsia="仿宋_GB2312" w:cs="宋体"/>
      <w:color w:val="000000"/>
      <w:kern w:val="0"/>
      <w:sz w:val="28"/>
      <w:szCs w:val="20"/>
    </w:rPr>
  </w:style>
  <w:style w:type="paragraph" w:customStyle="1" w:styleId="235">
    <w:name w:val="xl8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36">
    <w:name w:val="标准说明  文  编号  A"/>
    <w:basedOn w:val="89"/>
    <w:qFormat/>
    <w:uiPriority w:val="0"/>
    <w:pPr>
      <w:ind w:left="720"/>
    </w:pPr>
  </w:style>
  <w:style w:type="paragraph" w:customStyle="1" w:styleId="237">
    <w:name w:val="表格左 五"/>
    <w:basedOn w:val="1"/>
    <w:qFormat/>
    <w:uiPriority w:val="0"/>
    <w:pPr>
      <w:widowControl/>
      <w:spacing w:line="320" w:lineRule="exact"/>
    </w:pPr>
    <w:rPr>
      <w:rFonts w:ascii="Times New Roman" w:hAnsi="Times New Roman" w:cs="宋体"/>
      <w:kern w:val="0"/>
      <w:szCs w:val="20"/>
    </w:rPr>
  </w:style>
  <w:style w:type="paragraph" w:customStyle="1" w:styleId="238">
    <w:name w:val="样式 (中文) 黑体 一号 居中 首行缩进:  1.83 厘米"/>
    <w:basedOn w:val="1"/>
    <w:qFormat/>
    <w:uiPriority w:val="0"/>
    <w:pPr>
      <w:widowControl/>
      <w:spacing w:beforeLines="50" w:line="320" w:lineRule="exact"/>
      <w:ind w:firstLine="200" w:firstLineChars="200"/>
    </w:pPr>
    <w:rPr>
      <w:rFonts w:ascii="Times New Roman" w:hAnsi="Times New Roman" w:eastAsia="黑体" w:cs="宋体"/>
      <w:sz w:val="52"/>
      <w:szCs w:val="20"/>
    </w:rPr>
  </w:style>
  <w:style w:type="paragraph" w:customStyle="1" w:styleId="239">
    <w:name w:val="xl11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40">
    <w:name w:val="标准  前言"/>
    <w:basedOn w:val="1"/>
    <w:next w:val="1"/>
    <w:qFormat/>
    <w:uiPriority w:val="0"/>
    <w:pPr>
      <w:pageBreakBefore/>
      <w:spacing w:beforeLines="50" w:line="320" w:lineRule="exact"/>
      <w:jc w:val="center"/>
    </w:pPr>
    <w:rPr>
      <w:rFonts w:ascii="Times New Roman" w:hAnsi="Times New Roman"/>
      <w:sz w:val="24"/>
      <w:szCs w:val="24"/>
    </w:rPr>
  </w:style>
  <w:style w:type="paragraph" w:customStyle="1" w:styleId="241">
    <w:name w:val="font0"/>
    <w:basedOn w:val="1"/>
    <w:qFormat/>
    <w:uiPriority w:val="0"/>
    <w:pPr>
      <w:widowControl/>
      <w:spacing w:before="100" w:beforeAutospacing="1" w:after="100" w:afterAutospacing="1"/>
      <w:jc w:val="left"/>
    </w:pPr>
    <w:rPr>
      <w:rFonts w:ascii="宋体" w:hAnsi="宋体" w:cs="宋体"/>
      <w:color w:val="000000"/>
      <w:kern w:val="0"/>
      <w:sz w:val="22"/>
    </w:rPr>
  </w:style>
  <w:style w:type="paragraph" w:customStyle="1" w:styleId="242">
    <w:name w:val="目录"/>
    <w:basedOn w:val="1"/>
    <w:qFormat/>
    <w:uiPriority w:val="0"/>
    <w:pPr>
      <w:widowControl/>
      <w:spacing w:beforeLines="50" w:line="320" w:lineRule="exact"/>
      <w:ind w:firstLine="200" w:firstLineChars="200"/>
    </w:pPr>
    <w:rPr>
      <w:rFonts w:ascii="Times New Roman" w:hAnsi="Times New Roman"/>
      <w:sz w:val="24"/>
      <w:szCs w:val="24"/>
    </w:rPr>
  </w:style>
  <w:style w:type="paragraph" w:customStyle="1" w:styleId="243">
    <w:name w:val="xl120"/>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44">
    <w:name w:val="表格右"/>
    <w:basedOn w:val="167"/>
    <w:qFormat/>
    <w:uiPriority w:val="0"/>
    <w:pPr>
      <w:jc w:val="right"/>
    </w:pPr>
  </w:style>
  <w:style w:type="paragraph" w:customStyle="1" w:styleId="245">
    <w:name w:val="合同  文字"/>
    <w:basedOn w:val="15"/>
    <w:qFormat/>
    <w:uiPriority w:val="0"/>
    <w:pPr>
      <w:widowControl/>
      <w:spacing w:beforeLines="50" w:line="500" w:lineRule="exact"/>
      <w:ind w:firstLine="1120" w:firstLineChars="400"/>
    </w:pPr>
    <w:rPr>
      <w:rFonts w:ascii="Times New Roman" w:hAnsi="Times New Roman" w:cs="宋体"/>
      <w:sz w:val="28"/>
      <w:szCs w:val="20"/>
    </w:rPr>
  </w:style>
  <w:style w:type="paragraph" w:customStyle="1" w:styleId="246">
    <w:name w:val="xl105"/>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47">
    <w:name w:val="合同  文字 缩"/>
    <w:basedOn w:val="245"/>
    <w:qFormat/>
    <w:uiPriority w:val="0"/>
    <w:pPr>
      <w:ind w:left="3130"/>
    </w:pPr>
  </w:style>
  <w:style w:type="paragraph" w:customStyle="1" w:styleId="248">
    <w:name w:val="xl10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49">
    <w:name w:val="TOC 标题1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50">
    <w:name w:val="xl122"/>
    <w:basedOn w:val="1"/>
    <w:qFormat/>
    <w:uiPriority w:val="0"/>
    <w:pPr>
      <w:widowControl/>
      <w:pBdr>
        <w:lef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251">
    <w:name w:val="xl71"/>
    <w:basedOn w:val="1"/>
    <w:qFormat/>
    <w:uiPriority w:val="0"/>
    <w:pPr>
      <w:widowControl/>
      <w:pBdr>
        <w:lef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52">
    <w:name w:val="xu标准4  小款"/>
    <w:basedOn w:val="164"/>
    <w:qFormat/>
    <w:uiPriority w:val="0"/>
    <w:pPr>
      <w:spacing w:line="400" w:lineRule="exact"/>
      <w:ind w:left="840" w:leftChars="400" w:firstLine="0" w:firstLineChars="0"/>
    </w:pPr>
    <w:rPr>
      <w:rFonts w:cs="宋体"/>
      <w:szCs w:val="18"/>
      <w:shd w:val="clear" w:color="auto" w:fill="auto"/>
    </w:rPr>
  </w:style>
  <w:style w:type="paragraph" w:customStyle="1" w:styleId="253">
    <w:name w:val="xl11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54">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55">
    <w:name w:val="xl8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56">
    <w:name w:val="标准说明  名"/>
    <w:basedOn w:val="90"/>
    <w:qFormat/>
    <w:uiPriority w:val="0"/>
    <w:pPr>
      <w:ind w:left="1740" w:leftChars="200" w:hanging="1320" w:hangingChars="550"/>
    </w:pPr>
  </w:style>
  <w:style w:type="paragraph" w:customStyle="1" w:styleId="257">
    <w:name w:val="标准引用"/>
    <w:basedOn w:val="1"/>
    <w:qFormat/>
    <w:uiPriority w:val="0"/>
    <w:pPr>
      <w:widowControl/>
      <w:spacing w:line="280" w:lineRule="exact"/>
      <w:jc w:val="center"/>
    </w:pPr>
    <w:rPr>
      <w:rFonts w:ascii="Times New Roman" w:hAnsi="Times New Roman"/>
      <w:sz w:val="18"/>
      <w:szCs w:val="18"/>
    </w:rPr>
  </w:style>
  <w:style w:type="paragraph" w:customStyle="1" w:styleId="258">
    <w:name w:val="xl85"/>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59">
    <w:name w:val="font6"/>
    <w:basedOn w:val="1"/>
    <w:qFormat/>
    <w:uiPriority w:val="0"/>
    <w:pPr>
      <w:widowControl/>
      <w:spacing w:before="100" w:beforeAutospacing="1" w:after="100" w:afterAutospacing="1"/>
      <w:jc w:val="left"/>
    </w:pPr>
    <w:rPr>
      <w:rFonts w:ascii="宋体" w:hAnsi="宋体" w:cs="宋体"/>
      <w:color w:val="000000"/>
      <w:kern w:val="0"/>
      <w:sz w:val="22"/>
    </w:rPr>
  </w:style>
  <w:style w:type="paragraph" w:customStyle="1" w:styleId="260">
    <w:name w:val="xl11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61">
    <w:name w:val="xl87"/>
    <w:basedOn w:val="1"/>
    <w:qFormat/>
    <w:uiPriority w:val="0"/>
    <w:pPr>
      <w:widowControl/>
      <w:pBdr>
        <w:top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62">
    <w:name w:val="xl66"/>
    <w:basedOn w:val="1"/>
    <w:qFormat/>
    <w:uiPriority w:val="0"/>
    <w:pPr>
      <w:widowControl/>
      <w:spacing w:before="100" w:beforeAutospacing="1" w:after="100" w:afterAutospacing="1"/>
      <w:jc w:val="center"/>
      <w:textAlignment w:val="center"/>
    </w:pPr>
    <w:rPr>
      <w:rFonts w:ascii="宋体" w:hAnsi="宋体" w:cs="宋体"/>
      <w:kern w:val="0"/>
      <w:sz w:val="24"/>
      <w:szCs w:val="24"/>
    </w:rPr>
  </w:style>
  <w:style w:type="paragraph" w:customStyle="1" w:styleId="263">
    <w:name w:val="修订1"/>
    <w:semiHidden/>
    <w:qFormat/>
    <w:uiPriority w:val="99"/>
    <w:rPr>
      <w:rFonts w:ascii="Calibri" w:hAnsi="Calibri" w:eastAsia="宋体" w:cs="Times New Roman"/>
      <w:kern w:val="2"/>
      <w:sz w:val="21"/>
      <w:szCs w:val="22"/>
      <w:lang w:val="en-US" w:eastAsia="zh-CN" w:bidi="ar-SA"/>
    </w:rPr>
  </w:style>
  <w:style w:type="paragraph" w:customStyle="1" w:styleId="264">
    <w:name w:val="p0"/>
    <w:basedOn w:val="1"/>
    <w:qFormat/>
    <w:uiPriority w:val="0"/>
    <w:pPr>
      <w:widowControl/>
    </w:pPr>
    <w:rPr>
      <w:rFonts w:ascii="Times New Roman" w:hAnsi="Times New Roman"/>
      <w:kern w:val="0"/>
      <w:szCs w:val="21"/>
    </w:rPr>
  </w:style>
  <w:style w:type="character" w:customStyle="1" w:styleId="265">
    <w:name w:val="正文文本缩进 2 Char"/>
    <w:basedOn w:val="30"/>
    <w:link w:val="17"/>
    <w:qFormat/>
    <w:uiPriority w:val="99"/>
    <w:rPr>
      <w:rFonts w:asciiTheme="minorHAnsi" w:hAnsiTheme="minorHAnsi" w:eastAsiaTheme="minorEastAsia" w:cstheme="minorBidi"/>
      <w:kern w:val="2"/>
      <w:sz w:val="21"/>
      <w:szCs w:val="22"/>
    </w:rPr>
  </w:style>
  <w:style w:type="paragraph" w:customStyle="1" w:styleId="266">
    <w:name w:val="Body text|1"/>
    <w:basedOn w:val="1"/>
    <w:link w:val="267"/>
    <w:qFormat/>
    <w:uiPriority w:val="0"/>
    <w:pPr>
      <w:spacing w:line="372" w:lineRule="auto"/>
      <w:ind w:firstLine="400"/>
    </w:pPr>
    <w:rPr>
      <w:rFonts w:ascii="宋体" w:hAnsi="宋体" w:cs="宋体"/>
      <w:sz w:val="20"/>
      <w:szCs w:val="20"/>
      <w:lang w:val="zh-TW" w:eastAsia="zh-TW" w:bidi="zh-TW"/>
    </w:rPr>
  </w:style>
  <w:style w:type="character" w:customStyle="1" w:styleId="267">
    <w:name w:val="Body text|1_"/>
    <w:basedOn w:val="30"/>
    <w:link w:val="266"/>
    <w:qFormat/>
    <w:uiPriority w:val="0"/>
    <w:rPr>
      <w:rFonts w:ascii="宋体" w:hAnsi="宋体" w:cs="宋体"/>
      <w:kern w:val="2"/>
      <w:lang w:val="zh-TW" w:eastAsia="zh-TW" w:bidi="zh-TW"/>
    </w:rPr>
  </w:style>
  <w:style w:type="paragraph" w:customStyle="1" w:styleId="268">
    <w:name w:val="Body text|3"/>
    <w:basedOn w:val="1"/>
    <w:qFormat/>
    <w:uiPriority w:val="0"/>
    <w:pPr>
      <w:spacing w:after="1460"/>
      <w:jc w:val="right"/>
    </w:pPr>
    <w:rPr>
      <w:b/>
      <w:bCs/>
      <w:sz w:val="28"/>
      <w:szCs w:val="28"/>
    </w:rPr>
  </w:style>
  <w:style w:type="paragraph" w:customStyle="1" w:styleId="269">
    <w:name w:val="Body text|2"/>
    <w:basedOn w:val="1"/>
    <w:qFormat/>
    <w:uiPriority w:val="0"/>
    <w:rPr>
      <w:sz w:val="22"/>
    </w:rPr>
  </w:style>
  <w:style w:type="paragraph" w:customStyle="1" w:styleId="270">
    <w:name w:val="修订2"/>
    <w:hidden/>
    <w:semiHidden/>
    <w:qFormat/>
    <w:uiPriority w:val="99"/>
    <w:rPr>
      <w:rFonts w:ascii="Calibri" w:hAnsi="Calibri" w:eastAsia="宋体" w:cs="Times New Roman"/>
      <w:kern w:val="2"/>
      <w:sz w:val="21"/>
      <w:szCs w:val="22"/>
      <w:lang w:val="en-US" w:eastAsia="zh-CN" w:bidi="ar-SA"/>
    </w:rPr>
  </w:style>
  <w:style w:type="paragraph" w:customStyle="1" w:styleId="271">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272">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273">
    <w:name w:val="tree_name"/>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274">
    <w:name w:val="text"/>
    <w:basedOn w:val="30"/>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header" Target="header13.xml"/><Relationship Id="rId15" Type="http://schemas.openxmlformats.org/officeDocument/2006/relationships/header" Target="header12.xml"/><Relationship Id="rId14" Type="http://schemas.openxmlformats.org/officeDocument/2006/relationships/header" Target="header11.xml"/><Relationship Id="rId13" Type="http://schemas.openxmlformats.org/officeDocument/2006/relationships/header" Target="header10.xml"/><Relationship Id="rId12" Type="http://schemas.openxmlformats.org/officeDocument/2006/relationships/header" Target="header9.xml"/><Relationship Id="rId11" Type="http://schemas.openxmlformats.org/officeDocument/2006/relationships/header" Target="header8.xml"/><Relationship Id="rId10" Type="http://schemas.openxmlformats.org/officeDocument/2006/relationships/header" Target="head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UQi.me</Company>
  <Pages>50</Pages>
  <Words>6006</Words>
  <Characters>34237</Characters>
  <Lines>285</Lines>
  <Paragraphs>80</Paragraphs>
  <TotalTime>2</TotalTime>
  <ScaleCrop>false</ScaleCrop>
  <LinksUpToDate>false</LinksUpToDate>
  <CharactersWithSpaces>40163</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2023-04-17T10:40:00Z</dcterms:created>
  <dc:creator>尉克俭</dc:creator>
  <cp:lastModifiedBy>luoxy</cp:lastModifiedBy>
  <cp:lastPrinted>2022-10-28T09:38:00Z</cp:lastPrinted>
  <dcterms:modified xsi:type="dcterms:W3CDTF">2023-09-27T10:55:29Z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C7A483F4361F4729838DC358ACE56C18</vt:lpwstr>
  </property>
</Properties>
</file>