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eastAsia="楷体_GB2312"/>
          <w:b/>
          <w:spacing w:val="0"/>
          <w:w w:val="130"/>
          <w:sz w:val="28"/>
          <w:szCs w:val="28"/>
        </w:rPr>
      </w:pPr>
      <w:r>
        <w:rPr>
          <w:rFonts w:eastAsia="楷体_GB2312"/>
          <w:b/>
          <w:spacing w:val="0"/>
          <w:w w:val="130"/>
          <w:sz w:val="28"/>
          <w:szCs w:val="28"/>
        </w:rPr>
        <w:t>UDC</w:t>
      </w:r>
    </w:p>
    <w:p>
      <w:pPr>
        <w:wordWrap w:val="0"/>
        <w:ind w:firstLine="0"/>
        <w:jc w:val="right"/>
      </w:pPr>
      <w:r>
        <w:rPr>
          <w:rFonts w:eastAsia="黑体"/>
          <w:spacing w:val="20"/>
          <w:sz w:val="36"/>
          <w:szCs w:val="36"/>
        </w:rPr>
        <w:t>中华人民共和国国家标准</w:t>
      </w:r>
      <w:r>
        <w:rPr>
          <w:rFonts w:hint="eastAsia" w:eastAsia="黑体"/>
          <w:spacing w:val="20"/>
          <w:sz w:val="36"/>
          <w:szCs w:val="36"/>
        </w:rPr>
        <w:t xml:space="preserve">    </w:t>
      </w:r>
      <w:r>
        <w:rPr>
          <w:rFonts w:eastAsia="Batang"/>
          <w:b/>
          <w:spacing w:val="0"/>
          <w:w w:val="130"/>
          <w:sz w:val="96"/>
          <w:szCs w:val="96"/>
        </w:rPr>
        <w:t>GB</w:t>
      </w:r>
    </w:p>
    <w:p>
      <w:pPr>
        <w:ind w:firstLine="0"/>
        <w:rPr>
          <w:b/>
          <w:spacing w:val="0"/>
          <w:sz w:val="28"/>
        </w:rPr>
      </w:pPr>
      <w:r>
        <w:rPr>
          <w:b/>
          <w:spacing w:val="0"/>
          <w:sz w:val="28"/>
        </w:rPr>
        <w:t xml:space="preserve">P </w:t>
      </w:r>
      <w:r>
        <w:rPr>
          <w:rFonts w:hint="eastAsia"/>
        </w:rPr>
        <w:t xml:space="preserve">     </w:t>
      </w:r>
      <w:r>
        <w:t xml:space="preserve">                                   </w:t>
      </w:r>
      <w:r>
        <w:rPr>
          <w:rFonts w:hint="eastAsia"/>
        </w:rPr>
        <w:t xml:space="preserve">              </w:t>
      </w:r>
      <w:r>
        <w:t xml:space="preserve">   </w:t>
      </w:r>
      <w:r>
        <w:rPr>
          <w:b/>
          <w:spacing w:val="0"/>
          <w:sz w:val="28"/>
        </w:rPr>
        <w:t>GB 550XX—202X</w:t>
      </w:r>
    </w:p>
    <w:p>
      <w:pPr>
        <w:ind w:firstLine="0"/>
      </w:pPr>
      <w:r>
        <w:pict>
          <v:line id="Line 4" o:spid="_x0000_s1035" o:spt="20" style="position:absolute;left:0pt;flip:y;margin-left:7.5pt;margin-top:4.8pt;height:0.55pt;width:440.85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">
            <v:path arrowok="t"/>
            <v:fill focussize="0,0"/>
            <v:stroke/>
            <v:imagedata o:title=""/>
            <o:lock v:ext="edit"/>
          </v:line>
        </w:pict>
      </w:r>
    </w:p>
    <w:p>
      <w:pPr>
        <w:widowControl w:val="0"/>
        <w:spacing w:line="360" w:lineRule="auto"/>
        <w:ind w:firstLine="0"/>
        <w:jc w:val="center"/>
        <w:rPr>
          <w:rFonts w:asciiTheme="minorEastAsia" w:hAnsiTheme="minorEastAsia" w:eastAsiaTheme="minorEastAsia"/>
          <w:b/>
          <w:color w:val="000000" w:themeColor="text1"/>
          <w:spacing w:val="0"/>
          <w:kern w:val="2"/>
          <w:sz w:val="44"/>
          <w:szCs w:val="44"/>
        </w:rPr>
      </w:pPr>
      <w:r>
        <w:rPr>
          <w:rFonts w:hint="eastAsia" w:asciiTheme="minorEastAsia" w:hAnsiTheme="minorEastAsia" w:eastAsiaTheme="minorEastAsia"/>
          <w:b/>
          <w:color w:val="000000" w:themeColor="text1"/>
          <w:spacing w:val="0"/>
          <w:kern w:val="2"/>
          <w:sz w:val="44"/>
          <w:szCs w:val="44"/>
        </w:rPr>
        <w:t>有色金属加工工程项目规范</w:t>
      </w:r>
    </w:p>
    <w:p>
      <w:pPr>
        <w:ind w:firstLine="0"/>
        <w:jc w:val="center"/>
        <w:rPr>
          <w:rFonts w:ascii="Calibri" w:hAnsi="Calibri"/>
          <w:b/>
          <w:spacing w:val="0"/>
          <w:kern w:val="2"/>
          <w:sz w:val="28"/>
          <w:szCs w:val="28"/>
        </w:rPr>
      </w:pPr>
      <w:r>
        <w:rPr>
          <w:rFonts w:ascii="Calibri" w:hAnsi="Calibri"/>
          <w:b/>
          <w:spacing w:val="0"/>
          <w:kern w:val="2"/>
          <w:sz w:val="28"/>
          <w:szCs w:val="28"/>
        </w:rPr>
        <w:t>Projectcode for Nonferrouse metal working engineering</w:t>
      </w:r>
    </w:p>
    <w:p>
      <w:pPr>
        <w:ind w:firstLine="0"/>
      </w:pPr>
    </w:p>
    <w:p>
      <w:pPr>
        <w:ind w:firstLine="0"/>
        <w:jc w:val="center"/>
        <w:rPr>
          <w:rFonts w:ascii="Calibri" w:hAnsi="Calibri"/>
          <w:b/>
          <w:spacing w:val="0"/>
          <w:kern w:val="2"/>
          <w:sz w:val="32"/>
          <w:szCs w:val="32"/>
        </w:rPr>
      </w:pPr>
      <w:r>
        <w:rPr>
          <w:rFonts w:hint="eastAsia" w:ascii="Calibri" w:hAnsi="Calibri"/>
          <w:b/>
          <w:spacing w:val="0"/>
          <w:kern w:val="2"/>
          <w:sz w:val="32"/>
          <w:szCs w:val="32"/>
        </w:rPr>
        <w:t>（征求意见稿）</w:t>
      </w: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pPr>
    </w:p>
    <w:p>
      <w:pPr>
        <w:ind w:firstLine="0"/>
        <w:rPr>
          <w:rFonts w:ascii="Calibri" w:hAnsi="Calibri" w:eastAsia="黑体"/>
          <w:spacing w:val="0"/>
          <w:kern w:val="2"/>
          <w:sz w:val="28"/>
          <w:szCs w:val="28"/>
        </w:rPr>
      </w:pPr>
      <w:r>
        <w:rPr>
          <w:rFonts w:ascii="Calibri" w:hAnsi="Calibri" w:eastAsia="黑体"/>
          <w:spacing w:val="0"/>
          <w:kern w:val="2"/>
          <w:sz w:val="28"/>
          <w:szCs w:val="28"/>
        </w:rPr>
        <w:pict>
          <v:line id="_x0000_s1037" o:spid="_x0000_s1037" o:spt="20" style="position:absolute;left:0pt;flip:y;margin-left:0.3pt;margin-top:35.35pt;height:0.55pt;width:435.9pt;z-index:251666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">
            <v:path arrowok="t"/>
            <v:fill focussize="0,0"/>
            <v:stroke/>
            <v:imagedata o:title=""/>
            <o:lock v:ext="edit"/>
          </v:line>
        </w:pict>
      </w:r>
      <w:r>
        <w:rPr>
          <w:rFonts w:ascii="Calibri" w:hAnsi="Calibri" w:eastAsia="黑体"/>
          <w:spacing w:val="0"/>
          <w:kern w:val="2"/>
          <w:sz w:val="28"/>
          <w:szCs w:val="28"/>
        </w:rPr>
        <w:t>202X－XX－XX  发布                     202X－XX－XX  实施</w:t>
      </w:r>
    </w:p>
    <w:tbl>
      <w:tblPr>
        <w:tblStyle w:val="36"/>
        <w:tblW w:w="5620" w:type="dxa"/>
        <w:tblInd w:w="0" w:type="dxa"/>
        <w:tblLayout w:type="autofit"/>
        <w:tblCellMar>
          <w:top w:w="0" w:type="dxa"/>
          <w:left w:w="0" w:type="dxa"/>
          <w:bottom w:w="0" w:type="dxa"/>
          <w:right w:w="0" w:type="dxa"/>
        </w:tblCellMar>
      </w:tblPr>
      <w:tblGrid>
        <w:gridCol w:w="5620"/>
      </w:tblGrid>
      <w:tr>
        <w:tblPrEx>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pPr>
              <w:ind w:firstLine="0"/>
              <w:rPr>
                <w:rFonts w:ascii="Calibri" w:hAnsi="Calibri" w:eastAsia="黑体"/>
                <w:color w:val="000000"/>
                <w:spacing w:val="0"/>
                <w:kern w:val="2"/>
                <w:sz w:val="28"/>
                <w:szCs w:val="28"/>
              </w:rPr>
            </w:pPr>
          </w:p>
          <w:p>
            <w:pPr>
              <w:ind w:firstLine="0"/>
              <w:rPr>
                <w:rFonts w:ascii="Calibri" w:hAnsi="Calibri" w:eastAsia="黑体"/>
                <w:color w:val="000000"/>
                <w:spacing w:val="0"/>
                <w:kern w:val="2"/>
                <w:sz w:val="28"/>
                <w:szCs w:val="28"/>
              </w:rPr>
            </w:pPr>
            <w:r>
              <w:rPr>
                <w:rFonts w:ascii="Calibri" w:hAnsi="Calibri" w:eastAsia="黑体"/>
                <w:color w:val="000000"/>
                <w:spacing w:val="0"/>
                <w:kern w:val="2"/>
                <w:sz w:val="28"/>
                <w:szCs w:val="28"/>
              </w:rPr>
              <w:pict>
                <v:shape id="文本框 5" o:spid="_x0000_s1036" o:spt="202" type="#_x0000_t202" style="position:absolute;left:0pt;margin-left:330.9pt;margin-top:11.95pt;height:38.5pt;width:84.55pt;z-index:251665408;mso-width-relative:page;mso-height-relative:page;"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">
                  <v:path/>
                  <v:fill on="t" focussize="0,0"/>
                  <v:stroke on="f" weight="0.5pt" joinstyle="miter"/>
                  <v:imagedata o:title=""/>
                  <o:lock v:ext="edit"/>
                  <v:textbox>
                    <w:txbxContent>
                      <w:p>
                        <w:pPr>
                          <w:ind w:firstLine="0"/>
                          <w:rPr>
                            <w:rFonts w:ascii="黑体" w:eastAsia="黑体"/>
                            <w:color w:val="000000"/>
                            <w:sz w:val="28"/>
                            <w:szCs w:val="28"/>
                          </w:rPr>
                        </w:pPr>
                        <w:r>
                          <w:rPr>
                            <w:rFonts w:hint="eastAsia" w:ascii="黑体" w:eastAsia="黑体"/>
                            <w:color w:val="000000"/>
                            <w:sz w:val="28"/>
                            <w:szCs w:val="28"/>
                          </w:rPr>
                          <w:t>联合发布</w:t>
                        </w:r>
                      </w:p>
                    </w:txbxContent>
                  </v:textbox>
                </v:shape>
              </w:pict>
            </w:r>
            <w:r>
              <w:rPr>
                <w:rFonts w:ascii="Calibri" w:hAnsi="Calibri" w:eastAsia="黑体"/>
                <w:color w:val="000000"/>
                <w:spacing w:val="0"/>
                <w:kern w:val="2"/>
                <w:sz w:val="28"/>
                <w:szCs w:val="28"/>
              </w:rPr>
              <w:t>中华人民共和国住房和城乡建设部</w:t>
            </w:r>
          </w:p>
        </w:tc>
      </w:tr>
      <w:tr>
        <w:tblPrEx>
          <w:tblCellMar>
            <w:top w:w="0" w:type="dxa"/>
            <w:left w:w="0" w:type="dxa"/>
            <w:bottom w:w="0" w:type="dxa"/>
            <w:right w:w="0" w:type="dxa"/>
          </w:tblCellMar>
        </w:tblPrEx>
        <w:trPr>
          <w:trHeight w:val="375" w:hRule="atLeast"/>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pPr>
              <w:ind w:firstLine="0"/>
              <w:rPr>
                <w:rFonts w:ascii="Calibri" w:hAnsi="Calibri" w:eastAsia="黑体"/>
                <w:color w:val="000000"/>
                <w:spacing w:val="0"/>
                <w:kern w:val="2"/>
                <w:sz w:val="28"/>
                <w:szCs w:val="28"/>
              </w:rPr>
            </w:pPr>
            <w:r>
              <w:rPr>
                <w:rFonts w:ascii="Calibri" w:hAnsi="Calibri" w:eastAsia="黑体"/>
                <w:color w:val="000000"/>
                <w:spacing w:val="0"/>
                <w:kern w:val="2"/>
                <w:sz w:val="28"/>
                <w:szCs w:val="28"/>
              </w:rPr>
              <w:t>国家市场监督管理总局</w:t>
            </w:r>
          </w:p>
        </w:tc>
      </w:tr>
    </w:tbl>
    <w:p>
      <w:pPr>
        <w:ind w:firstLine="0"/>
      </w:pPr>
    </w:p>
    <w:p>
      <w:pPr>
        <w:pStyle w:val="85"/>
        <w:ind w:firstLine="0" w:firstLineChars="0"/>
        <w:rPr>
          <w:sz w:val="24"/>
          <w:szCs w:val="24"/>
        </w:rPr>
        <w:sectPr>
          <w:headerReference r:id="rId5" w:type="default"/>
          <w:footerReference r:id="rId7" w:type="default"/>
          <w:headerReference r:id="rId6" w:type="even"/>
          <w:footnotePr>
            <w:numRestart w:val="eachPage"/>
          </w:footnotePr>
          <w:pgSz w:w="11906" w:h="16838"/>
          <w:pgMar w:top="1134" w:right="1418" w:bottom="1134" w:left="1418" w:header="0" w:footer="567" w:gutter="0"/>
          <w:pgNumType w:start="1"/>
          <w:cols w:space="720" w:num="1"/>
          <w:docGrid w:linePitch="447" w:charSpace="4499"/>
        </w:sectPr>
      </w:pPr>
    </w:p>
    <w:p>
      <w:pPr>
        <w:pStyle w:val="2"/>
        <w:keepNext w:val="0"/>
        <w:keepLines w:val="0"/>
        <w:widowControl w:val="0"/>
        <w:spacing w:after="0"/>
        <w:jc w:val="center"/>
        <w:rPr>
          <w:rFonts w:eastAsiaTheme="majorEastAsia"/>
          <w:spacing w:val="0"/>
          <w:sz w:val="30"/>
          <w:szCs w:val="30"/>
        </w:rPr>
      </w:pPr>
      <w:bookmarkStart w:id="33" w:name="_GoBack"/>
      <w:bookmarkEnd w:id="33"/>
      <w:r>
        <w:rPr>
          <w:rFonts w:hint="eastAsia" w:eastAsiaTheme="majorEastAsia"/>
          <w:spacing w:val="0"/>
          <w:sz w:val="30"/>
          <w:szCs w:val="30"/>
        </w:rPr>
        <w:t>前  言</w:t>
      </w:r>
    </w:p>
    <w:p>
      <w:pPr>
        <w:ind w:firstLine="460" w:firstLineChars="200"/>
        <w:jc w:val="both"/>
      </w:pPr>
      <w:r>
        <w:rPr>
          <w:rFonts w:hint="eastAsia"/>
        </w:rPr>
        <w:t>为适应国际技术法规与技术标准通行规则，2016年以来，住房和城乡建设部陆续印发《深化工程建设标准化工作改革的意见》等文件，提出政府制定强制性标准、社会团体制定自愿采用性标准的长远目标，明确了逐步用全文强制性工程建设规范取代现行标准中分散的强制性条文的改革任务，逐步形成由法律、行政法规、部门规章中的技术性规定与全文强制性工程建设规范构成的</w:t>
      </w:r>
      <w:r>
        <w:rPr>
          <w:rFonts w:hint="eastAsia" w:ascii="宋体" w:hAnsi="宋体"/>
        </w:rPr>
        <w:t>“</w:t>
      </w:r>
      <w:r>
        <w:rPr>
          <w:rFonts w:hint="eastAsia"/>
        </w:rPr>
        <w:t>技术法规</w:t>
      </w:r>
      <w:r>
        <w:rPr>
          <w:rFonts w:hint="eastAsia" w:ascii="宋体" w:hAnsi="宋体"/>
        </w:rPr>
        <w:t>”</w:t>
      </w:r>
      <w:r>
        <w:rPr>
          <w:rFonts w:hint="eastAsia"/>
        </w:rPr>
        <w:t>体系。</w:t>
      </w:r>
    </w:p>
    <w:p>
      <w:pPr>
        <w:ind w:firstLine="461" w:firstLineChars="200"/>
        <w:jc w:val="both"/>
      </w:pPr>
      <w:r>
        <w:rPr>
          <w:rFonts w:hint="eastAsia"/>
          <w:b/>
        </w:rPr>
        <w:t>关于规范种类。</w:t>
      </w:r>
      <w:r>
        <w:rPr>
          <w:rFonts w:hint="eastAsia"/>
        </w:rPr>
        <w:t>强制性工程建设规范体系覆盖工程建设领域各类建设工程项目，分为工程项目类规范(简称项目规范)和通用技术类规范(简称通用规范)两种类型。项目规范以工程建设项目整体为对象，以项目的规模、布局、功能、性能和关键技术措施等五大要素为主要内容。通用规范以实现工程建设项目功能性能要求的各专业通用技术为对象，以勘察、设计、施工、维修、养护等通用技术要求为主要内容。在全文强制性工程建设规范体系中，项目规范为主干，通用规范是对各类项目共性的、通用的专业性关键技术措施的规定。</w:t>
      </w:r>
    </w:p>
    <w:p>
      <w:pPr>
        <w:ind w:firstLine="461" w:firstLineChars="200"/>
        <w:jc w:val="both"/>
      </w:pPr>
      <w:r>
        <w:rPr>
          <w:rFonts w:hint="eastAsia"/>
          <w:b/>
        </w:rPr>
        <w:t>关于五大要素指标</w:t>
      </w:r>
      <w:r>
        <w:rPr>
          <w:rFonts w:hint="eastAsia"/>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项目构成和用途，明确项目的基本组成单元，是项目发挥预期作用的保障。项目的性能要求主要规定建设工程项目建设水平或技术水平的高低程度，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ind w:firstLine="461" w:firstLineChars="200"/>
        <w:jc w:val="both"/>
      </w:pPr>
      <w:r>
        <w:rPr>
          <w:rFonts w:hint="eastAsia"/>
          <w:b/>
        </w:rPr>
        <w:t>关于规范实施</w:t>
      </w:r>
      <w:r>
        <w:rPr>
          <w:rFonts w:hint="eastAsia"/>
        </w:rPr>
        <w:t>。强制性工程建设规范具有强制约束力，是保障人民生命财产安全、人身健康、工程安全、生态环境安全、公众权益和公众利益，以及促进能源资源节约利用、满足经济社会管理等方面的控制性底线要求，工程建设项目的勘察、设计、施工、验收、维修、养护、拆除等建设活动全过程中必须严格执行，其中，对于既有建筑改造项目(指不改变现有使用功能) ,当条件不具备、执行现行规范确有困难时，应不低于原建造时的标准。与强制性工程建设规范配套的推荐性工程建设标准是经过实践检验的、保障达到强制性规范要求的成熟技术措施，一般情况下也应当执行。在满足强制性工程建设规范规定的项目功能、性能要求和关键技术措施的前提下，可合理选用相关团体标准、企业标准，使项目功能、性能更加优化或达到更高水平。推荐性工程建设标准、团体标准、企业标准要与强制性工程建设规范协调配套，各项技术要求不得低于强制性工程建设规范的相关技术水平。</w:t>
      </w:r>
    </w:p>
    <w:p>
      <w:pPr>
        <w:ind w:firstLine="460" w:firstLineChars="200"/>
        <w:jc w:val="both"/>
      </w:pPr>
      <w:r>
        <w:rPr>
          <w:rFonts w:hint="eastAsia"/>
        </w:rPr>
        <w:t>强制性工程建设规范实施后，现行相关工程建设国家标准、行业标准中的强制性条文同时废止。现行工程建设地方标准中的强制性条文应及时修订，且不得低于强制性工程建设规范的规定。现行工程建设标准(包括强制性标准和推荐性标准)中有关规定与强制性工程建设规范的规定不一致的，以强制性工程建设规范的规定为准。</w:t>
      </w:r>
    </w:p>
    <w:p>
      <w:pPr>
        <w:pStyle w:val="85"/>
        <w:ind w:firstLine="0" w:firstLineChars="0"/>
        <w:rPr>
          <w:rFonts w:ascii="Times New Roman" w:hAnsi="Times New Roman"/>
          <w:spacing w:val="-5"/>
          <w:kern w:val="0"/>
          <w:sz w:val="24"/>
          <w:szCs w:val="20"/>
        </w:rPr>
      </w:pPr>
    </w:p>
    <w:p>
      <w:pPr>
        <w:pStyle w:val="85"/>
        <w:ind w:firstLine="0" w:firstLineChars="0"/>
        <w:rPr>
          <w:sz w:val="24"/>
          <w:szCs w:val="24"/>
        </w:rPr>
        <w:sectPr>
          <w:headerReference r:id="rId8" w:type="default"/>
          <w:footerReference r:id="rId10" w:type="default"/>
          <w:headerReference r:id="rId9" w:type="even"/>
          <w:footnotePr>
            <w:numRestart w:val="eachPage"/>
          </w:footnotePr>
          <w:pgSz w:w="11906" w:h="16838"/>
          <w:pgMar w:top="1134" w:right="1418" w:bottom="1134" w:left="1418" w:header="0" w:footer="567" w:gutter="0"/>
          <w:pgNumType w:start="1"/>
          <w:cols w:space="720" w:num="1"/>
          <w:docGrid w:linePitch="447" w:charSpace="4499"/>
        </w:sectPr>
      </w:pPr>
    </w:p>
    <w:p>
      <w:pPr>
        <w:pStyle w:val="2"/>
        <w:keepNext w:val="0"/>
        <w:keepLines w:val="0"/>
        <w:widowControl w:val="0"/>
        <w:spacing w:after="0"/>
        <w:jc w:val="center"/>
        <w:rPr>
          <w:rFonts w:eastAsiaTheme="majorEastAsia"/>
          <w:spacing w:val="0"/>
          <w:sz w:val="30"/>
          <w:szCs w:val="30"/>
        </w:rPr>
      </w:pPr>
      <w:r>
        <w:rPr>
          <w:rFonts w:hint="eastAsia" w:eastAsiaTheme="majorEastAsia"/>
          <w:spacing w:val="0"/>
          <w:sz w:val="30"/>
          <w:szCs w:val="30"/>
        </w:rPr>
        <w:t>目  录</w:t>
      </w:r>
    </w:p>
    <w:p>
      <w:pPr>
        <w:ind w:firstLine="0"/>
      </w:pPr>
    </w:p>
    <w:p>
      <w:pPr>
        <w:pStyle w:val="29"/>
        <w:tabs>
          <w:tab w:val="right" w:leader="dot" w:pos="8505"/>
          <w:tab w:val="clear" w:pos="8305"/>
        </w:tabs>
        <w:ind w:left="425" w:leftChars="185"/>
        <w:rPr>
          <w:rFonts w:asciiTheme="minorHAnsi" w:hAnsiTheme="minorHAnsi" w:eastAsiaTheme="minorEastAsia" w:cstheme="minorBidi"/>
          <w:spacing w:val="0"/>
          <w:kern w:val="2"/>
          <w:sz w:val="21"/>
          <w:szCs w:val="22"/>
        </w:rPr>
      </w:pPr>
      <w:r>
        <w:fldChar w:fldCharType="begin"/>
      </w:r>
      <w:r>
        <w:instrText xml:space="preserve"> TOC \o "1-3" \h \z \u </w:instrText>
      </w:r>
      <w:r>
        <w:fldChar w:fldCharType="separate"/>
      </w:r>
      <w:r>
        <w:fldChar w:fldCharType="begin"/>
      </w:r>
      <w:r>
        <w:instrText xml:space="preserve"> HYPERLINK \l "_Toc126931130" </w:instrText>
      </w:r>
      <w:r>
        <w:fldChar w:fldCharType="separate"/>
      </w:r>
      <w:r>
        <w:rPr>
          <w:rStyle w:val="45"/>
          <w:b/>
        </w:rPr>
        <w:t>1</w:t>
      </w:r>
      <w:r>
        <w:rPr>
          <w:rStyle w:val="45"/>
        </w:rPr>
        <w:t xml:space="preserve">  </w:t>
      </w:r>
      <w:r>
        <w:rPr>
          <w:rStyle w:val="45"/>
          <w:rFonts w:hint="eastAsia"/>
        </w:rPr>
        <w:t>总</w:t>
      </w:r>
      <w:r>
        <w:rPr>
          <w:rStyle w:val="45"/>
        </w:rPr>
        <w:t xml:space="preserve">  </w:t>
      </w:r>
      <w:r>
        <w:rPr>
          <w:rStyle w:val="45"/>
          <w:rFonts w:hint="eastAsia"/>
        </w:rPr>
        <w:t>则</w:t>
      </w:r>
      <w:r>
        <w:tab/>
      </w:r>
      <w:r>
        <w:fldChar w:fldCharType="begin"/>
      </w:r>
      <w:r>
        <w:instrText xml:space="preserve"> PAGEREF _Toc126931130 \h </w:instrText>
      </w:r>
      <w:r>
        <w:fldChar w:fldCharType="separate"/>
      </w:r>
      <w:r>
        <w:t>1</w:t>
      </w:r>
      <w:r>
        <w:fldChar w:fldCharType="end"/>
      </w:r>
      <w:r>
        <w:fldChar w:fldCharType="end"/>
      </w:r>
    </w:p>
    <w:p>
      <w:pPr>
        <w:pStyle w:val="29"/>
        <w:tabs>
          <w:tab w:val="right" w:leader="dot" w:pos="8505"/>
          <w:tab w:val="clear" w:pos="8305"/>
        </w:tabs>
        <w:ind w:left="425" w:leftChars="185"/>
        <w:rPr>
          <w:rFonts w:asciiTheme="minorHAnsi" w:hAnsiTheme="minorHAnsi" w:eastAsiaTheme="minorEastAsia" w:cstheme="minorBidi"/>
          <w:spacing w:val="0"/>
          <w:kern w:val="2"/>
          <w:sz w:val="21"/>
          <w:szCs w:val="22"/>
        </w:rPr>
      </w:pPr>
      <w:r>
        <w:fldChar w:fldCharType="begin"/>
      </w:r>
      <w:r>
        <w:instrText xml:space="preserve"> HYPERLINK \l "_Toc126931131" </w:instrText>
      </w:r>
      <w:r>
        <w:fldChar w:fldCharType="separate"/>
      </w:r>
      <w:r>
        <w:rPr>
          <w:rStyle w:val="45"/>
          <w:b/>
        </w:rPr>
        <w:t>2</w:t>
      </w:r>
      <w:r>
        <w:rPr>
          <w:rStyle w:val="45"/>
        </w:rPr>
        <w:t xml:space="preserve">  </w:t>
      </w:r>
      <w:r>
        <w:rPr>
          <w:rStyle w:val="45"/>
          <w:rFonts w:hint="eastAsia"/>
        </w:rPr>
        <w:t>基本规定</w:t>
      </w:r>
      <w:r>
        <w:tab/>
      </w:r>
      <w:r>
        <w:fldChar w:fldCharType="begin"/>
      </w:r>
      <w:r>
        <w:instrText xml:space="preserve"> PAGEREF _Toc126931131 \h </w:instrText>
      </w:r>
      <w:r>
        <w:fldChar w:fldCharType="separate"/>
      </w:r>
      <w:r>
        <w:t>2</w:t>
      </w:r>
      <w:r>
        <w:fldChar w:fldCharType="end"/>
      </w:r>
      <w:r>
        <w:fldChar w:fldCharType="end"/>
      </w:r>
    </w:p>
    <w:p>
      <w:pPr>
        <w:pStyle w:val="29"/>
        <w:tabs>
          <w:tab w:val="right" w:leader="dot" w:pos="8505"/>
          <w:tab w:val="clear" w:pos="8305"/>
        </w:tabs>
        <w:ind w:left="425" w:leftChars="185"/>
        <w:rPr>
          <w:rFonts w:asciiTheme="minorHAnsi" w:hAnsiTheme="minorHAnsi" w:eastAsiaTheme="minorEastAsia" w:cstheme="minorBidi"/>
          <w:spacing w:val="0"/>
          <w:kern w:val="2"/>
          <w:sz w:val="21"/>
          <w:szCs w:val="22"/>
        </w:rPr>
      </w:pPr>
      <w:r>
        <w:fldChar w:fldCharType="begin"/>
      </w:r>
      <w:r>
        <w:instrText xml:space="preserve"> HYPERLINK \l "_Toc126931132" </w:instrText>
      </w:r>
      <w:r>
        <w:fldChar w:fldCharType="separate"/>
      </w:r>
      <w:r>
        <w:rPr>
          <w:rStyle w:val="45"/>
          <w:b/>
        </w:rPr>
        <w:t>3</w:t>
      </w:r>
      <w:r>
        <w:rPr>
          <w:rStyle w:val="45"/>
        </w:rPr>
        <w:t xml:space="preserve">  </w:t>
      </w:r>
      <w:r>
        <w:rPr>
          <w:rStyle w:val="45"/>
          <w:rFonts w:hint="eastAsia"/>
        </w:rPr>
        <w:t>规划和布局</w:t>
      </w:r>
      <w:r>
        <w:tab/>
      </w:r>
      <w:r>
        <w:fldChar w:fldCharType="begin"/>
      </w:r>
      <w:r>
        <w:instrText xml:space="preserve"> PAGEREF _Toc126931132 \h </w:instrText>
      </w:r>
      <w:r>
        <w:fldChar w:fldCharType="separate"/>
      </w:r>
      <w:r>
        <w:t>3</w:t>
      </w:r>
      <w:r>
        <w:fldChar w:fldCharType="end"/>
      </w:r>
      <w:r>
        <w:fldChar w:fldCharType="end"/>
      </w:r>
    </w:p>
    <w:p>
      <w:pPr>
        <w:pStyle w:val="29"/>
        <w:tabs>
          <w:tab w:val="right" w:leader="dot" w:pos="8505"/>
          <w:tab w:val="clear" w:pos="8305"/>
        </w:tabs>
        <w:ind w:left="851" w:leftChars="370"/>
        <w:rPr>
          <w:rFonts w:asciiTheme="minorHAnsi" w:hAnsiTheme="minorHAnsi" w:eastAsiaTheme="minorEastAsia" w:cstheme="minorBidi"/>
          <w:spacing w:val="0"/>
          <w:kern w:val="2"/>
          <w:sz w:val="21"/>
          <w:szCs w:val="22"/>
        </w:rPr>
      </w:pPr>
      <w:r>
        <w:fldChar w:fldCharType="begin"/>
      </w:r>
      <w:r>
        <w:instrText xml:space="preserve"> HYPERLINK \l "_Toc126931133" </w:instrText>
      </w:r>
      <w:r>
        <w:fldChar w:fldCharType="separate"/>
      </w:r>
      <w:r>
        <w:rPr>
          <w:rStyle w:val="45"/>
          <w:b/>
        </w:rPr>
        <w:t>3.1</w:t>
      </w:r>
      <w:r>
        <w:rPr>
          <w:rStyle w:val="45"/>
        </w:rPr>
        <w:t xml:space="preserve">  </w:t>
      </w:r>
      <w:r>
        <w:rPr>
          <w:rStyle w:val="45"/>
          <w:rFonts w:hint="eastAsia"/>
        </w:rPr>
        <w:t>厂址选择</w:t>
      </w:r>
      <w:r>
        <w:tab/>
      </w:r>
      <w:r>
        <w:fldChar w:fldCharType="begin"/>
      </w:r>
      <w:r>
        <w:instrText xml:space="preserve"> PAGEREF _Toc126931133 \h </w:instrText>
      </w:r>
      <w:r>
        <w:fldChar w:fldCharType="separate"/>
      </w:r>
      <w:r>
        <w:t>3</w:t>
      </w:r>
      <w:r>
        <w:fldChar w:fldCharType="end"/>
      </w:r>
      <w:r>
        <w:fldChar w:fldCharType="end"/>
      </w:r>
    </w:p>
    <w:p>
      <w:pPr>
        <w:pStyle w:val="29"/>
        <w:tabs>
          <w:tab w:val="right" w:leader="dot" w:pos="8505"/>
          <w:tab w:val="clear" w:pos="8305"/>
        </w:tabs>
        <w:ind w:left="851" w:leftChars="370"/>
        <w:rPr>
          <w:rFonts w:asciiTheme="minorHAnsi" w:hAnsiTheme="minorHAnsi" w:eastAsiaTheme="minorEastAsia" w:cstheme="minorBidi"/>
          <w:spacing w:val="0"/>
          <w:kern w:val="2"/>
          <w:sz w:val="21"/>
          <w:szCs w:val="22"/>
        </w:rPr>
      </w:pPr>
      <w:r>
        <w:fldChar w:fldCharType="begin"/>
      </w:r>
      <w:r>
        <w:instrText xml:space="preserve"> HYPERLINK \l "_Toc126931134" </w:instrText>
      </w:r>
      <w:r>
        <w:fldChar w:fldCharType="separate"/>
      </w:r>
      <w:r>
        <w:rPr>
          <w:rStyle w:val="45"/>
          <w:b/>
        </w:rPr>
        <w:t>3.2</w:t>
      </w:r>
      <w:r>
        <w:rPr>
          <w:rStyle w:val="45"/>
        </w:rPr>
        <w:t xml:space="preserve">  </w:t>
      </w:r>
      <w:r>
        <w:rPr>
          <w:rStyle w:val="45"/>
          <w:rFonts w:hint="eastAsia"/>
        </w:rPr>
        <w:t>总平面布置和竖向布置</w:t>
      </w:r>
      <w:r>
        <w:tab/>
      </w:r>
      <w:r>
        <w:fldChar w:fldCharType="begin"/>
      </w:r>
      <w:r>
        <w:instrText xml:space="preserve"> PAGEREF _Toc126931134 \h </w:instrText>
      </w:r>
      <w:r>
        <w:fldChar w:fldCharType="separate"/>
      </w:r>
      <w:r>
        <w:t>4</w:t>
      </w:r>
      <w:r>
        <w:fldChar w:fldCharType="end"/>
      </w:r>
      <w:r>
        <w:fldChar w:fldCharType="end"/>
      </w:r>
    </w:p>
    <w:p>
      <w:pPr>
        <w:pStyle w:val="29"/>
        <w:tabs>
          <w:tab w:val="right" w:leader="dot" w:pos="8505"/>
          <w:tab w:val="clear" w:pos="8305"/>
        </w:tabs>
        <w:ind w:left="425" w:leftChars="185"/>
        <w:rPr>
          <w:rFonts w:asciiTheme="minorHAnsi" w:hAnsiTheme="minorHAnsi" w:eastAsiaTheme="minorEastAsia" w:cstheme="minorBidi"/>
          <w:spacing w:val="0"/>
          <w:kern w:val="2"/>
          <w:sz w:val="21"/>
          <w:szCs w:val="22"/>
        </w:rPr>
      </w:pPr>
      <w:r>
        <w:fldChar w:fldCharType="begin"/>
      </w:r>
      <w:r>
        <w:instrText xml:space="preserve"> HYPERLINK \l "_Toc126931135" </w:instrText>
      </w:r>
      <w:r>
        <w:fldChar w:fldCharType="separate"/>
      </w:r>
      <w:r>
        <w:rPr>
          <w:rStyle w:val="45"/>
          <w:b/>
        </w:rPr>
        <w:t xml:space="preserve">4  </w:t>
      </w:r>
      <w:r>
        <w:rPr>
          <w:rStyle w:val="45"/>
          <w:rFonts w:hint="eastAsia"/>
        </w:rPr>
        <w:t>主要生产设施</w:t>
      </w:r>
      <w:r>
        <w:tab/>
      </w:r>
      <w:r>
        <w:fldChar w:fldCharType="begin"/>
      </w:r>
      <w:r>
        <w:instrText xml:space="preserve"> PAGEREF _Toc126931135 \h </w:instrText>
      </w:r>
      <w:r>
        <w:fldChar w:fldCharType="separate"/>
      </w:r>
      <w:r>
        <w:t>5</w:t>
      </w:r>
      <w:r>
        <w:fldChar w:fldCharType="end"/>
      </w:r>
      <w:r>
        <w:fldChar w:fldCharType="end"/>
      </w:r>
    </w:p>
    <w:p>
      <w:pPr>
        <w:pStyle w:val="29"/>
        <w:tabs>
          <w:tab w:val="right" w:leader="dot" w:pos="8505"/>
          <w:tab w:val="clear" w:pos="8305"/>
        </w:tabs>
        <w:ind w:left="851" w:leftChars="370"/>
        <w:rPr>
          <w:rFonts w:asciiTheme="minorHAnsi" w:hAnsiTheme="minorHAnsi" w:eastAsiaTheme="minorEastAsia" w:cstheme="minorBidi"/>
          <w:spacing w:val="0"/>
          <w:kern w:val="2"/>
          <w:sz w:val="21"/>
          <w:szCs w:val="22"/>
        </w:rPr>
      </w:pPr>
      <w:r>
        <w:fldChar w:fldCharType="begin"/>
      </w:r>
      <w:r>
        <w:instrText xml:space="preserve"> HYPERLINK \l "_Toc126931136" </w:instrText>
      </w:r>
      <w:r>
        <w:fldChar w:fldCharType="separate"/>
      </w:r>
      <w:r>
        <w:rPr>
          <w:rStyle w:val="45"/>
          <w:b/>
        </w:rPr>
        <w:t>4.1</w:t>
      </w:r>
      <w:r>
        <w:rPr>
          <w:rStyle w:val="45"/>
        </w:rPr>
        <w:t xml:space="preserve">  </w:t>
      </w:r>
      <w:r>
        <w:rPr>
          <w:rStyle w:val="45"/>
          <w:rFonts w:hint="eastAsia"/>
        </w:rPr>
        <w:t>一般规定</w:t>
      </w:r>
      <w:r>
        <w:tab/>
      </w:r>
      <w:r>
        <w:fldChar w:fldCharType="begin"/>
      </w:r>
      <w:r>
        <w:instrText xml:space="preserve"> PAGEREF _Toc126931136 \h </w:instrText>
      </w:r>
      <w:r>
        <w:fldChar w:fldCharType="separate"/>
      </w:r>
      <w:r>
        <w:t>5</w:t>
      </w:r>
      <w:r>
        <w:fldChar w:fldCharType="end"/>
      </w:r>
      <w:r>
        <w:fldChar w:fldCharType="end"/>
      </w:r>
    </w:p>
    <w:p>
      <w:pPr>
        <w:pStyle w:val="29"/>
        <w:tabs>
          <w:tab w:val="right" w:leader="dot" w:pos="8505"/>
          <w:tab w:val="clear" w:pos="8305"/>
        </w:tabs>
        <w:ind w:left="851" w:leftChars="370"/>
        <w:rPr>
          <w:rFonts w:asciiTheme="minorHAnsi" w:hAnsiTheme="minorHAnsi" w:eastAsiaTheme="minorEastAsia" w:cstheme="minorBidi"/>
          <w:spacing w:val="0"/>
          <w:kern w:val="2"/>
          <w:sz w:val="21"/>
          <w:szCs w:val="22"/>
        </w:rPr>
      </w:pPr>
      <w:r>
        <w:fldChar w:fldCharType="begin"/>
      </w:r>
      <w:r>
        <w:instrText xml:space="preserve"> HYPERLINK \l "_Toc126931137" </w:instrText>
      </w:r>
      <w:r>
        <w:fldChar w:fldCharType="separate"/>
      </w:r>
      <w:r>
        <w:rPr>
          <w:rStyle w:val="45"/>
          <w:b/>
        </w:rPr>
        <w:t>4.2</w:t>
      </w:r>
      <w:r>
        <w:rPr>
          <w:rStyle w:val="45"/>
        </w:rPr>
        <w:t xml:space="preserve">  </w:t>
      </w:r>
      <w:r>
        <w:rPr>
          <w:rStyle w:val="45"/>
          <w:rFonts w:hint="eastAsia"/>
        </w:rPr>
        <w:t>原料处理和熔铸设施</w:t>
      </w:r>
      <w:r>
        <w:tab/>
      </w:r>
      <w:r>
        <w:fldChar w:fldCharType="begin"/>
      </w:r>
      <w:r>
        <w:instrText xml:space="preserve"> PAGEREF _Toc126931137 \h </w:instrText>
      </w:r>
      <w:r>
        <w:fldChar w:fldCharType="separate"/>
      </w:r>
      <w:r>
        <w:t>6</w:t>
      </w:r>
      <w:r>
        <w:fldChar w:fldCharType="end"/>
      </w:r>
      <w:r>
        <w:fldChar w:fldCharType="end"/>
      </w:r>
    </w:p>
    <w:p>
      <w:pPr>
        <w:pStyle w:val="29"/>
        <w:tabs>
          <w:tab w:val="right" w:leader="dot" w:pos="8505"/>
          <w:tab w:val="clear" w:pos="8305"/>
        </w:tabs>
        <w:ind w:left="851" w:leftChars="370"/>
        <w:rPr>
          <w:rFonts w:asciiTheme="minorHAnsi" w:hAnsiTheme="minorHAnsi" w:eastAsiaTheme="minorEastAsia" w:cstheme="minorBidi"/>
          <w:spacing w:val="0"/>
          <w:kern w:val="2"/>
          <w:sz w:val="21"/>
          <w:szCs w:val="22"/>
        </w:rPr>
      </w:pPr>
      <w:r>
        <w:fldChar w:fldCharType="begin"/>
      </w:r>
      <w:r>
        <w:instrText xml:space="preserve"> HYPERLINK \l "_Toc126931138" </w:instrText>
      </w:r>
      <w:r>
        <w:fldChar w:fldCharType="separate"/>
      </w:r>
      <w:r>
        <w:rPr>
          <w:rStyle w:val="45"/>
          <w:b/>
        </w:rPr>
        <w:t>4.3</w:t>
      </w:r>
      <w:r>
        <w:rPr>
          <w:rStyle w:val="45"/>
        </w:rPr>
        <w:t xml:space="preserve">  </w:t>
      </w:r>
      <w:r>
        <w:rPr>
          <w:rStyle w:val="45"/>
          <w:rFonts w:hint="eastAsia"/>
        </w:rPr>
        <w:t>其他主要生产设施</w:t>
      </w:r>
      <w:r>
        <w:tab/>
      </w:r>
      <w:r>
        <w:fldChar w:fldCharType="begin"/>
      </w:r>
      <w:r>
        <w:instrText xml:space="preserve"> PAGEREF _Toc126931138 \h </w:instrText>
      </w:r>
      <w:r>
        <w:fldChar w:fldCharType="separate"/>
      </w:r>
      <w:r>
        <w:t>7</w:t>
      </w:r>
      <w:r>
        <w:fldChar w:fldCharType="end"/>
      </w:r>
      <w:r>
        <w:fldChar w:fldCharType="end"/>
      </w:r>
    </w:p>
    <w:p>
      <w:pPr>
        <w:pStyle w:val="29"/>
        <w:tabs>
          <w:tab w:val="right" w:leader="dot" w:pos="8505"/>
          <w:tab w:val="clear" w:pos="8305"/>
        </w:tabs>
        <w:ind w:left="425" w:leftChars="185"/>
        <w:rPr>
          <w:rFonts w:asciiTheme="minorHAnsi" w:hAnsiTheme="minorHAnsi" w:eastAsiaTheme="minorEastAsia" w:cstheme="minorBidi"/>
          <w:spacing w:val="0"/>
          <w:kern w:val="2"/>
          <w:sz w:val="21"/>
          <w:szCs w:val="22"/>
        </w:rPr>
      </w:pPr>
      <w:r>
        <w:fldChar w:fldCharType="begin"/>
      </w:r>
      <w:r>
        <w:instrText xml:space="preserve"> HYPERLINK \l "_Toc126931139" </w:instrText>
      </w:r>
      <w:r>
        <w:fldChar w:fldCharType="separate"/>
      </w:r>
      <w:r>
        <w:rPr>
          <w:rStyle w:val="45"/>
          <w:b/>
        </w:rPr>
        <w:t>5</w:t>
      </w:r>
      <w:r>
        <w:rPr>
          <w:rStyle w:val="45"/>
        </w:rPr>
        <w:t xml:space="preserve">  </w:t>
      </w:r>
      <w:r>
        <w:rPr>
          <w:rStyle w:val="45"/>
          <w:rFonts w:hint="eastAsia"/>
        </w:rPr>
        <w:t>施工安装和验收</w:t>
      </w:r>
      <w:r>
        <w:tab/>
      </w:r>
      <w:r>
        <w:fldChar w:fldCharType="begin"/>
      </w:r>
      <w:r>
        <w:instrText xml:space="preserve"> PAGEREF _Toc126931139 \h </w:instrText>
      </w:r>
      <w:r>
        <w:fldChar w:fldCharType="separate"/>
      </w:r>
      <w:r>
        <w:t>9</w:t>
      </w:r>
      <w:r>
        <w:fldChar w:fldCharType="end"/>
      </w:r>
      <w:r>
        <w:fldChar w:fldCharType="end"/>
      </w:r>
    </w:p>
    <w:p>
      <w:pPr>
        <w:pStyle w:val="29"/>
        <w:tabs>
          <w:tab w:val="right" w:leader="dot" w:pos="8505"/>
          <w:tab w:val="clear" w:pos="8305"/>
        </w:tabs>
        <w:ind w:left="425" w:leftChars="185"/>
        <w:rPr>
          <w:rFonts w:asciiTheme="minorHAnsi" w:hAnsiTheme="minorHAnsi" w:eastAsiaTheme="minorEastAsia" w:cstheme="minorBidi"/>
          <w:spacing w:val="0"/>
          <w:kern w:val="2"/>
          <w:sz w:val="21"/>
          <w:szCs w:val="22"/>
        </w:rPr>
      </w:pPr>
      <w:r>
        <w:fldChar w:fldCharType="begin"/>
      </w:r>
      <w:r>
        <w:instrText xml:space="preserve"> HYPERLINK \l "_Toc126931140" </w:instrText>
      </w:r>
      <w:r>
        <w:fldChar w:fldCharType="separate"/>
      </w:r>
      <w:r>
        <w:rPr>
          <w:rStyle w:val="45"/>
          <w:b/>
        </w:rPr>
        <w:t>6</w:t>
      </w:r>
      <w:r>
        <w:rPr>
          <w:rStyle w:val="45"/>
        </w:rPr>
        <w:t xml:space="preserve">  </w:t>
      </w:r>
      <w:r>
        <w:rPr>
          <w:rStyle w:val="45"/>
          <w:rFonts w:hint="eastAsia"/>
        </w:rPr>
        <w:t>维修与拆除</w:t>
      </w:r>
      <w:r>
        <w:tab/>
      </w:r>
      <w:r>
        <w:fldChar w:fldCharType="begin"/>
      </w:r>
      <w:r>
        <w:instrText xml:space="preserve"> PAGEREF _Toc126931140 \h </w:instrText>
      </w:r>
      <w:r>
        <w:fldChar w:fldCharType="separate"/>
      </w:r>
      <w:r>
        <w:t>10</w:t>
      </w:r>
      <w:r>
        <w:fldChar w:fldCharType="end"/>
      </w:r>
      <w:r>
        <w:fldChar w:fldCharType="end"/>
      </w:r>
    </w:p>
    <w:p>
      <w:pPr>
        <w:pStyle w:val="29"/>
        <w:tabs>
          <w:tab w:val="right" w:leader="dot" w:pos="8505"/>
          <w:tab w:val="clear" w:pos="8305"/>
        </w:tabs>
        <w:ind w:left="425" w:leftChars="185"/>
        <w:rPr>
          <w:rFonts w:asciiTheme="minorHAnsi" w:hAnsiTheme="minorHAnsi" w:eastAsiaTheme="minorEastAsia" w:cstheme="minorBidi"/>
          <w:spacing w:val="0"/>
          <w:kern w:val="2"/>
          <w:sz w:val="21"/>
          <w:szCs w:val="22"/>
        </w:rPr>
      </w:pPr>
      <w:r>
        <w:rPr>
          <w:rStyle w:val="45"/>
          <w:rFonts w:hint="eastAsia"/>
          <w:color w:val="000000" w:themeColor="text1"/>
          <w:u w:val="none"/>
        </w:rPr>
        <w:t>附：</w:t>
      </w:r>
      <w:r>
        <w:fldChar w:fldCharType="begin"/>
      </w:r>
      <w:r>
        <w:instrText xml:space="preserve"> HYPERLINK \l "_Toc126931141" </w:instrText>
      </w:r>
      <w:r>
        <w:fldChar w:fldCharType="separate"/>
      </w:r>
      <w:r>
        <w:rPr>
          <w:rStyle w:val="45"/>
          <w:rFonts w:hint="eastAsia"/>
        </w:rPr>
        <w:t>条文说明</w:t>
      </w:r>
      <w:r>
        <w:tab/>
      </w:r>
      <w:r>
        <w:fldChar w:fldCharType="begin"/>
      </w:r>
      <w:r>
        <w:instrText xml:space="preserve"> PAGEREF _Toc126931141 \h </w:instrText>
      </w:r>
      <w:r>
        <w:fldChar w:fldCharType="separate"/>
      </w:r>
      <w:r>
        <w:t>11</w:t>
      </w:r>
      <w:r>
        <w:fldChar w:fldCharType="end"/>
      </w:r>
      <w:r>
        <w:fldChar w:fldCharType="end"/>
      </w:r>
      <w:r>
        <w:fldChar w:fldCharType="begin"/>
      </w:r>
      <w:r>
        <w:instrText xml:space="preserve"> HYPERLINK \l "_Toc126931142" </w:instrText>
      </w:r>
      <w:r>
        <w:fldChar w:fldCharType="separate"/>
      </w:r>
      <w:r>
        <w:fldChar w:fldCharType="end"/>
      </w:r>
    </w:p>
    <w:p>
      <w:pPr>
        <w:pStyle w:val="85"/>
        <w:ind w:firstLine="0" w:firstLineChars="0"/>
        <w:rPr>
          <w:sz w:val="24"/>
          <w:szCs w:val="24"/>
        </w:rPr>
        <w:sectPr>
          <w:headerReference r:id="rId11" w:type="default"/>
          <w:footerReference r:id="rId13" w:type="default"/>
          <w:headerReference r:id="rId12" w:type="even"/>
          <w:footnotePr>
            <w:numRestart w:val="eachPage"/>
          </w:footnotePr>
          <w:pgSz w:w="11906" w:h="16838"/>
          <w:pgMar w:top="1134" w:right="1418" w:bottom="1134" w:left="1418" w:header="0" w:footer="567" w:gutter="0"/>
          <w:pgNumType w:start="1"/>
          <w:cols w:space="720" w:num="1"/>
          <w:docGrid w:linePitch="447" w:charSpace="4499"/>
        </w:sectPr>
      </w:pPr>
      <w:r>
        <w:fldChar w:fldCharType="end"/>
      </w:r>
    </w:p>
    <w:p>
      <w:pPr>
        <w:pStyle w:val="2"/>
        <w:keepNext w:val="0"/>
        <w:keepLines w:val="0"/>
        <w:widowControl w:val="0"/>
        <w:spacing w:after="0"/>
        <w:jc w:val="center"/>
        <w:rPr>
          <w:rFonts w:eastAsiaTheme="majorEastAsia"/>
          <w:spacing w:val="0"/>
          <w:sz w:val="30"/>
          <w:szCs w:val="30"/>
        </w:rPr>
      </w:pPr>
      <w:bookmarkStart w:id="0" w:name="_Toc126850488"/>
      <w:bookmarkStart w:id="1" w:name="_Toc126931130"/>
      <w:bookmarkStart w:id="2" w:name="_Toc126929547"/>
      <w:r>
        <w:rPr>
          <w:rFonts w:eastAsiaTheme="majorEastAsia"/>
          <w:spacing w:val="0"/>
          <w:sz w:val="30"/>
          <w:szCs w:val="30"/>
        </w:rPr>
        <w:t xml:space="preserve">1  </w:t>
      </w:r>
      <w:r>
        <w:rPr>
          <w:rFonts w:hint="eastAsia" w:eastAsiaTheme="majorEastAsia"/>
          <w:spacing w:val="0"/>
          <w:sz w:val="30"/>
          <w:szCs w:val="30"/>
        </w:rPr>
        <w:t>总</w:t>
      </w:r>
      <w:r>
        <w:rPr>
          <w:rFonts w:eastAsiaTheme="majorEastAsia"/>
          <w:spacing w:val="0"/>
          <w:sz w:val="30"/>
          <w:szCs w:val="30"/>
        </w:rPr>
        <w:t xml:space="preserve">  </w:t>
      </w:r>
      <w:r>
        <w:rPr>
          <w:rFonts w:hint="eastAsia" w:eastAsiaTheme="majorEastAsia"/>
          <w:spacing w:val="0"/>
          <w:sz w:val="30"/>
          <w:szCs w:val="30"/>
        </w:rPr>
        <w:t>则</w:t>
      </w:r>
      <w:bookmarkEnd w:id="0"/>
      <w:bookmarkEnd w:id="1"/>
      <w:bookmarkEnd w:id="2"/>
    </w:p>
    <w:p>
      <w:pPr>
        <w:ind w:firstLine="0"/>
        <w:jc w:val="both"/>
      </w:pPr>
      <w:r>
        <w:rPr>
          <w:b/>
        </w:rPr>
        <w:t>1.0.1</w:t>
      </w:r>
      <w:r>
        <w:t xml:space="preserve"> </w:t>
      </w:r>
      <w:r>
        <w:rPr>
          <w:rFonts w:hint="eastAsia"/>
        </w:rPr>
        <w:t xml:space="preserve"> </w:t>
      </w:r>
      <w:r>
        <w:t>为促进我国有色金属加工产业高质量可持续发展，有效地保障人民生命财产安全、人身健康、工程质量安全、生态环境安全、公众权益和公共利益，促进能源资源节约利用，满足国家经济建设和社会发展，实现工程的基本功能和性能，制定本规范。</w:t>
      </w:r>
    </w:p>
    <w:p>
      <w:pPr>
        <w:ind w:firstLine="0"/>
        <w:jc w:val="both"/>
      </w:pPr>
      <w:r>
        <w:rPr>
          <w:b/>
        </w:rPr>
        <w:t>1.0.2</w:t>
      </w:r>
      <w:r>
        <w:t xml:space="preserve"> </w:t>
      </w:r>
      <w:r>
        <w:rPr>
          <w:rFonts w:hint="eastAsia"/>
        </w:rPr>
        <w:t xml:space="preserve"> 新建、扩建和改建的有色金属加工工程项目必须执行本规范。</w:t>
      </w:r>
    </w:p>
    <w:p>
      <w:pPr>
        <w:ind w:firstLine="0"/>
        <w:jc w:val="both"/>
      </w:pPr>
      <w:r>
        <w:rPr>
          <w:b/>
        </w:rPr>
        <w:t>1.0.3</w:t>
      </w:r>
      <w:r>
        <w:rPr>
          <w:rFonts w:hint="eastAsia"/>
        </w:rPr>
        <w:t xml:space="preserve">  有色金属加工工程应以实现安全生产、节能高效、保护环境为目标，并应遵循下列原则：</w:t>
      </w:r>
    </w:p>
    <w:p>
      <w:pPr>
        <w:ind w:firstLine="461" w:firstLineChars="200"/>
        <w:jc w:val="both"/>
      </w:pPr>
      <w:r>
        <w:rPr>
          <w:b/>
        </w:rPr>
        <w:t>1</w:t>
      </w:r>
      <w:r>
        <w:rPr>
          <w:rFonts w:hint="eastAsia"/>
        </w:rPr>
        <w:t xml:space="preserve">  符合国家能源、生态环境、土地利用和应急管理等政策；</w:t>
      </w:r>
    </w:p>
    <w:p>
      <w:pPr>
        <w:ind w:firstLine="461" w:firstLineChars="200"/>
        <w:jc w:val="both"/>
      </w:pPr>
      <w:r>
        <w:rPr>
          <w:b/>
        </w:rPr>
        <w:t>2</w:t>
      </w:r>
      <w:r>
        <w:rPr>
          <w:rFonts w:hint="eastAsia"/>
        </w:rPr>
        <w:t xml:space="preserve">  保障人身、财产和公共安全；</w:t>
      </w:r>
    </w:p>
    <w:p>
      <w:pPr>
        <w:ind w:firstLine="461" w:firstLineChars="200"/>
        <w:jc w:val="both"/>
      </w:pPr>
      <w:r>
        <w:rPr>
          <w:b/>
        </w:rPr>
        <w:t>3</w:t>
      </w:r>
      <w:r>
        <w:rPr>
          <w:rFonts w:hint="eastAsia"/>
        </w:rPr>
        <w:t xml:space="preserve">  采用现代信息技术，鼓励工程技术创新；</w:t>
      </w:r>
    </w:p>
    <w:p>
      <w:pPr>
        <w:ind w:firstLine="461" w:firstLineChars="200"/>
        <w:jc w:val="both"/>
      </w:pPr>
      <w:r>
        <w:rPr>
          <w:b/>
        </w:rPr>
        <w:t>4</w:t>
      </w:r>
      <w:r>
        <w:rPr>
          <w:rFonts w:hint="eastAsia"/>
        </w:rPr>
        <w:t xml:space="preserve">  保证工程建设质量，提高运行维护水平。</w:t>
      </w:r>
    </w:p>
    <w:p>
      <w:pPr>
        <w:ind w:firstLine="0"/>
        <w:jc w:val="both"/>
      </w:pPr>
      <w:r>
        <w:rPr>
          <w:b/>
        </w:rPr>
        <w:t>1.0.4</w:t>
      </w:r>
      <w:r>
        <w:t xml:space="preserve">  </w:t>
      </w:r>
      <w:r>
        <w:rPr>
          <w:rFonts w:hint="eastAsia"/>
        </w:rPr>
        <w:t>工程建设所采用的技术方法和措施是否符合本规范要求，由相关责任主体判定。其中，创新性的技术方法和措施，应进行论证并符合本规范中有关性能的要求。</w:t>
      </w:r>
    </w:p>
    <w:p>
      <w:pPr>
        <w:pStyle w:val="85"/>
        <w:ind w:firstLine="0" w:firstLineChars="0"/>
        <w:rPr>
          <w:sz w:val="24"/>
          <w:szCs w:val="24"/>
        </w:rPr>
      </w:pPr>
      <w:bookmarkStart w:id="3" w:name="_Toc126929548"/>
      <w:bookmarkStart w:id="4" w:name="_Toc126850489"/>
      <w:bookmarkStart w:id="5" w:name="_Toc126931131"/>
    </w:p>
    <w:p>
      <w:pPr>
        <w:pStyle w:val="85"/>
        <w:ind w:firstLine="0" w:firstLineChars="0"/>
        <w:rPr>
          <w:sz w:val="24"/>
          <w:szCs w:val="24"/>
        </w:rPr>
        <w:sectPr>
          <w:headerReference r:id="rId14" w:type="default"/>
          <w:footerReference r:id="rId16" w:type="default"/>
          <w:headerReference r:id="rId15" w:type="even"/>
          <w:footnotePr>
            <w:numRestart w:val="eachPage"/>
          </w:footnotePr>
          <w:pgSz w:w="11906" w:h="16838"/>
          <w:pgMar w:top="1134" w:right="1418" w:bottom="1134" w:left="1418" w:header="0" w:footer="567" w:gutter="0"/>
          <w:pgNumType w:start="1"/>
          <w:cols w:space="720" w:num="1"/>
          <w:docGrid w:linePitch="447" w:charSpace="4499"/>
        </w:sectPr>
      </w:pPr>
    </w:p>
    <w:p>
      <w:pPr>
        <w:pStyle w:val="2"/>
        <w:keepNext w:val="0"/>
        <w:keepLines w:val="0"/>
        <w:widowControl w:val="0"/>
        <w:spacing w:after="0"/>
        <w:jc w:val="center"/>
        <w:rPr>
          <w:rFonts w:eastAsiaTheme="majorEastAsia"/>
          <w:spacing w:val="0"/>
          <w:sz w:val="30"/>
          <w:szCs w:val="30"/>
        </w:rPr>
      </w:pPr>
      <w:r>
        <w:rPr>
          <w:rFonts w:eastAsiaTheme="majorEastAsia"/>
          <w:spacing w:val="0"/>
          <w:sz w:val="30"/>
          <w:szCs w:val="30"/>
        </w:rPr>
        <w:t xml:space="preserve">2  </w:t>
      </w:r>
      <w:r>
        <w:rPr>
          <w:rFonts w:hint="eastAsia" w:eastAsiaTheme="majorEastAsia"/>
          <w:spacing w:val="0"/>
          <w:sz w:val="30"/>
          <w:szCs w:val="30"/>
        </w:rPr>
        <w:t>基本规定</w:t>
      </w:r>
      <w:bookmarkEnd w:id="3"/>
      <w:bookmarkEnd w:id="4"/>
      <w:bookmarkEnd w:id="5"/>
    </w:p>
    <w:p>
      <w:pPr>
        <w:spacing w:line="360" w:lineRule="auto"/>
        <w:ind w:firstLine="0"/>
        <w:jc w:val="both"/>
      </w:pPr>
      <w:r>
        <w:rPr>
          <w:b/>
        </w:rPr>
        <w:t>2.</w:t>
      </w:r>
      <w:r>
        <w:rPr>
          <w:rFonts w:hint="eastAsia"/>
          <w:b/>
        </w:rPr>
        <w:t>0</w:t>
      </w:r>
      <w:r>
        <w:rPr>
          <w:b/>
        </w:rPr>
        <w:t>.1</w:t>
      </w:r>
      <w:r>
        <w:rPr>
          <w:rFonts w:hint="eastAsia"/>
        </w:rPr>
        <w:t xml:space="preserve">  有色金属加工工程项目的建设规模和产品方案必须符合国家产业政策和准入条件的要求。</w:t>
      </w:r>
    </w:p>
    <w:p>
      <w:pPr>
        <w:spacing w:line="360" w:lineRule="auto"/>
        <w:ind w:firstLine="0"/>
        <w:jc w:val="both"/>
      </w:pPr>
      <w:r>
        <w:rPr>
          <w:b/>
        </w:rPr>
        <w:t>2.</w:t>
      </w:r>
      <w:r>
        <w:rPr>
          <w:rFonts w:hint="eastAsia"/>
          <w:b/>
        </w:rPr>
        <w:t>0</w:t>
      </w:r>
      <w:r>
        <w:rPr>
          <w:b/>
        </w:rPr>
        <w:t>.2</w:t>
      </w:r>
      <w:r>
        <w:rPr>
          <w:rFonts w:hint="eastAsia"/>
        </w:rPr>
        <w:t xml:space="preserve">  有色金属加工工程的项目功能和组成应满足建设规模和产品方案的生产要求。</w:t>
      </w:r>
    </w:p>
    <w:p>
      <w:pPr>
        <w:spacing w:line="360" w:lineRule="auto"/>
        <w:ind w:firstLine="0"/>
        <w:jc w:val="both"/>
      </w:pPr>
      <w:r>
        <w:rPr>
          <w:b/>
        </w:rPr>
        <w:t>2.</w:t>
      </w:r>
      <w:r>
        <w:rPr>
          <w:rFonts w:hint="eastAsia"/>
          <w:b/>
        </w:rPr>
        <w:t>0</w:t>
      </w:r>
      <w:r>
        <w:rPr>
          <w:b/>
        </w:rPr>
        <w:t>.3</w:t>
      </w:r>
      <w:r>
        <w:rPr>
          <w:rFonts w:hint="eastAsia"/>
        </w:rPr>
        <w:t xml:space="preserve">  有色金属加工工程项目应采用节能、环保、安全的工艺和设备，不应采用淘汰落后的工艺技术及装备。</w:t>
      </w:r>
    </w:p>
    <w:p>
      <w:pPr>
        <w:spacing w:line="360" w:lineRule="auto"/>
        <w:ind w:firstLine="0"/>
        <w:jc w:val="both"/>
        <w:rPr>
          <w:color w:val="000000" w:themeColor="text1"/>
        </w:rPr>
      </w:pPr>
      <w:r>
        <w:rPr>
          <w:b/>
        </w:rPr>
        <w:t>2.</w:t>
      </w:r>
      <w:r>
        <w:rPr>
          <w:rFonts w:hint="eastAsia"/>
          <w:b/>
        </w:rPr>
        <w:t>0</w:t>
      </w:r>
      <w:r>
        <w:rPr>
          <w:b/>
        </w:rPr>
        <w:t>.</w:t>
      </w:r>
      <w:r>
        <w:rPr>
          <w:rFonts w:hint="eastAsia"/>
          <w:b/>
        </w:rPr>
        <w:t xml:space="preserve">4  </w:t>
      </w:r>
      <w:r>
        <w:rPr>
          <w:rFonts w:hint="eastAsia"/>
        </w:rPr>
        <w:t>有色金属加工工程的</w:t>
      </w:r>
      <w:r>
        <w:rPr>
          <w:rFonts w:hint="eastAsia"/>
          <w:color w:val="000000" w:themeColor="text1"/>
        </w:rPr>
        <w:t>安全设施、消防设施、</w:t>
      </w:r>
      <w:r>
        <w:rPr>
          <w:color w:val="000000" w:themeColor="text1"/>
        </w:rPr>
        <w:t>职业病防护设施、</w:t>
      </w:r>
      <w:r>
        <w:rPr>
          <w:rFonts w:hint="eastAsia"/>
          <w:color w:val="000000" w:themeColor="text1"/>
        </w:rPr>
        <w:t>环境保护设施等配套设施必须</w:t>
      </w:r>
      <w:r>
        <w:rPr>
          <w:color w:val="000000" w:themeColor="text1"/>
        </w:rPr>
        <w:t>与主体工程同时设计，同时施工，同时投入生产</w:t>
      </w:r>
      <w:r>
        <w:rPr>
          <w:rFonts w:hint="eastAsia"/>
          <w:color w:val="000000" w:themeColor="text1"/>
        </w:rPr>
        <w:t>和</w:t>
      </w:r>
      <w:r>
        <w:rPr>
          <w:color w:val="000000" w:themeColor="text1"/>
        </w:rPr>
        <w:t>使用</w:t>
      </w:r>
      <w:r>
        <w:rPr>
          <w:rFonts w:hint="eastAsia"/>
          <w:color w:val="000000" w:themeColor="text1"/>
        </w:rPr>
        <w:t>。</w:t>
      </w:r>
    </w:p>
    <w:p>
      <w:pPr>
        <w:spacing w:line="360" w:lineRule="auto"/>
        <w:ind w:firstLine="0"/>
        <w:jc w:val="both"/>
      </w:pPr>
    </w:p>
    <w:p>
      <w:pPr>
        <w:pStyle w:val="85"/>
        <w:ind w:firstLine="0" w:firstLineChars="0"/>
        <w:rPr>
          <w:sz w:val="24"/>
          <w:szCs w:val="24"/>
        </w:rPr>
        <w:sectPr>
          <w:headerReference r:id="rId17" w:type="default"/>
          <w:footerReference r:id="rId19" w:type="default"/>
          <w:headerReference r:id="rId18" w:type="even"/>
          <w:footnotePr>
            <w:numRestart w:val="eachPage"/>
          </w:footnotePr>
          <w:pgSz w:w="11906" w:h="16838"/>
          <w:pgMar w:top="1134" w:right="1418" w:bottom="1134" w:left="1418" w:header="0" w:footer="567" w:gutter="0"/>
          <w:pgNumType w:start="1"/>
          <w:cols w:space="720" w:num="1"/>
          <w:docGrid w:linePitch="447" w:charSpace="4499"/>
        </w:sectPr>
      </w:pPr>
    </w:p>
    <w:p>
      <w:pPr>
        <w:pStyle w:val="2"/>
        <w:keepNext w:val="0"/>
        <w:keepLines w:val="0"/>
        <w:widowControl w:val="0"/>
        <w:spacing w:after="0"/>
        <w:jc w:val="center"/>
        <w:rPr>
          <w:rFonts w:eastAsiaTheme="majorEastAsia"/>
          <w:spacing w:val="0"/>
          <w:sz w:val="30"/>
          <w:szCs w:val="30"/>
        </w:rPr>
      </w:pPr>
      <w:bookmarkStart w:id="6" w:name="_Toc126929549"/>
      <w:bookmarkStart w:id="7" w:name="_Toc126931132"/>
      <w:bookmarkStart w:id="8" w:name="_Toc126850490"/>
      <w:r>
        <w:rPr>
          <w:rFonts w:hint="eastAsia" w:eastAsiaTheme="majorEastAsia"/>
          <w:spacing w:val="0"/>
          <w:sz w:val="30"/>
          <w:szCs w:val="30"/>
        </w:rPr>
        <w:t>3</w:t>
      </w:r>
      <w:r>
        <w:rPr>
          <w:rFonts w:eastAsiaTheme="majorEastAsia"/>
          <w:spacing w:val="0"/>
          <w:sz w:val="30"/>
          <w:szCs w:val="30"/>
        </w:rPr>
        <w:t xml:space="preserve">  </w:t>
      </w:r>
      <w:r>
        <w:rPr>
          <w:rFonts w:hint="eastAsia" w:eastAsiaTheme="majorEastAsia"/>
          <w:spacing w:val="0"/>
          <w:sz w:val="30"/>
          <w:szCs w:val="30"/>
        </w:rPr>
        <w:t>规划和布局</w:t>
      </w:r>
      <w:bookmarkEnd w:id="6"/>
      <w:bookmarkEnd w:id="7"/>
      <w:bookmarkEnd w:id="8"/>
    </w:p>
    <w:p>
      <w:pPr>
        <w:pStyle w:val="5"/>
        <w:keepNext w:val="0"/>
        <w:keepLines w:val="0"/>
        <w:widowControl w:val="0"/>
        <w:adjustRightInd w:val="0"/>
        <w:snapToGrid w:val="0"/>
        <w:jc w:val="center"/>
        <w:rPr>
          <w:snapToGrid w:val="0"/>
          <w:spacing w:val="0"/>
          <w:kern w:val="24"/>
          <w:sz w:val="28"/>
          <w:szCs w:val="28"/>
        </w:rPr>
      </w:pPr>
      <w:bookmarkStart w:id="9" w:name="_Toc126931133"/>
      <w:bookmarkStart w:id="10" w:name="_Toc126929550"/>
      <w:bookmarkStart w:id="11" w:name="_Toc126850491"/>
      <w:r>
        <w:rPr>
          <w:rFonts w:hint="eastAsia"/>
          <w:snapToGrid w:val="0"/>
          <w:spacing w:val="0"/>
          <w:kern w:val="24"/>
          <w:sz w:val="28"/>
          <w:szCs w:val="28"/>
        </w:rPr>
        <w:t>3</w:t>
      </w:r>
      <w:r>
        <w:rPr>
          <w:snapToGrid w:val="0"/>
          <w:spacing w:val="0"/>
          <w:kern w:val="24"/>
          <w:sz w:val="28"/>
          <w:szCs w:val="28"/>
        </w:rPr>
        <w:t>.</w:t>
      </w:r>
      <w:r>
        <w:rPr>
          <w:rFonts w:hint="eastAsia"/>
          <w:snapToGrid w:val="0"/>
          <w:spacing w:val="0"/>
          <w:kern w:val="24"/>
          <w:sz w:val="28"/>
          <w:szCs w:val="28"/>
        </w:rPr>
        <w:t>1</w:t>
      </w:r>
      <w:r>
        <w:rPr>
          <w:snapToGrid w:val="0"/>
          <w:spacing w:val="0"/>
          <w:kern w:val="24"/>
          <w:sz w:val="28"/>
          <w:szCs w:val="28"/>
        </w:rPr>
        <w:t xml:space="preserve">  </w:t>
      </w:r>
      <w:r>
        <w:rPr>
          <w:rFonts w:hint="eastAsia"/>
          <w:snapToGrid w:val="0"/>
          <w:spacing w:val="0"/>
          <w:kern w:val="24"/>
          <w:sz w:val="28"/>
          <w:szCs w:val="28"/>
        </w:rPr>
        <w:t>厂址选择</w:t>
      </w:r>
      <w:bookmarkEnd w:id="9"/>
      <w:bookmarkEnd w:id="10"/>
      <w:bookmarkEnd w:id="11"/>
    </w:p>
    <w:p>
      <w:pPr>
        <w:spacing w:line="360" w:lineRule="auto"/>
        <w:ind w:firstLine="0"/>
        <w:jc w:val="both"/>
      </w:pPr>
      <w:r>
        <w:rPr>
          <w:rFonts w:hint="eastAsia"/>
          <w:b/>
        </w:rPr>
        <w:t>3</w:t>
      </w:r>
      <w:r>
        <w:rPr>
          <w:b/>
        </w:rPr>
        <w:t>.</w:t>
      </w:r>
      <w:r>
        <w:rPr>
          <w:rFonts w:hint="eastAsia"/>
          <w:b/>
        </w:rPr>
        <w:t>1.1</w:t>
      </w:r>
      <w:r>
        <w:rPr>
          <w:rFonts w:hint="eastAsia"/>
        </w:rPr>
        <w:t xml:space="preserve">  </w:t>
      </w:r>
      <w:r>
        <w:t>厂址选择应符合自然环境条件、资源条件、工业布局、物料运输方式和安全生产等</w:t>
      </w:r>
      <w:r>
        <w:rPr>
          <w:rFonts w:hint="eastAsia"/>
        </w:rPr>
        <w:t>方面</w:t>
      </w:r>
      <w:r>
        <w:t>的要求，并应</w:t>
      </w:r>
      <w:r>
        <w:rPr>
          <w:rFonts w:hint="eastAsia"/>
        </w:rPr>
        <w:t>符合</w:t>
      </w:r>
      <w:r>
        <w:t>国土空间规划及工业园区规划的要求。</w:t>
      </w:r>
    </w:p>
    <w:p>
      <w:pPr>
        <w:widowControl w:val="0"/>
        <w:tabs>
          <w:tab w:val="left" w:pos="2205"/>
          <w:tab w:val="center" w:pos="4465"/>
        </w:tabs>
        <w:spacing w:line="360" w:lineRule="auto"/>
        <w:ind w:firstLine="0"/>
        <w:jc w:val="both"/>
      </w:pPr>
      <w:r>
        <w:rPr>
          <w:rFonts w:hint="eastAsia"/>
          <w:b/>
        </w:rPr>
        <w:t>3</w:t>
      </w:r>
      <w:r>
        <w:rPr>
          <w:b/>
        </w:rPr>
        <w:t>.</w:t>
      </w:r>
      <w:r>
        <w:rPr>
          <w:rFonts w:hint="eastAsia"/>
          <w:b/>
        </w:rPr>
        <w:t>1</w:t>
      </w:r>
      <w:r>
        <w:rPr>
          <w:b/>
        </w:rPr>
        <w:t>.2</w:t>
      </w:r>
      <w:r>
        <w:rPr>
          <w:rFonts w:hint="eastAsia"/>
        </w:rPr>
        <w:t xml:space="preserve">  </w:t>
      </w:r>
      <w:r>
        <w:t>厂址应选择在不受洪水、潮水或内涝威胁及潮涌危害的地区。当条件受限时，应采取防洪、排涝措施</w:t>
      </w:r>
      <w:r>
        <w:rPr>
          <w:rFonts w:hint="eastAsia"/>
        </w:rPr>
        <w:t>。不同规模企业的防护等级和</w:t>
      </w:r>
      <w:r>
        <w:t>防洪标准</w:t>
      </w:r>
      <w:r>
        <w:rPr>
          <w:rFonts w:hint="eastAsia"/>
        </w:rPr>
        <w:t>应符合表3.1.1</w:t>
      </w:r>
      <w:r>
        <w:t>的规定。</w:t>
      </w:r>
    </w:p>
    <w:p>
      <w:pPr>
        <w:spacing w:line="360" w:lineRule="auto"/>
        <w:ind w:firstLine="0"/>
        <w:jc w:val="center"/>
      </w:pPr>
      <w:r>
        <w:t xml:space="preserve">表 </w:t>
      </w:r>
      <w:r>
        <w:rPr>
          <w:rFonts w:hint="eastAsia"/>
        </w:rPr>
        <w:t>3.1.1</w:t>
      </w:r>
      <w:r>
        <w:t xml:space="preserve"> </w:t>
      </w:r>
      <w:r>
        <w:rPr>
          <w:rFonts w:hint="eastAsia"/>
        </w:rPr>
        <w:t xml:space="preserve"> </w:t>
      </w:r>
      <w:r>
        <w:t>工矿企业的防护等级和防洪标准</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2548"/>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274" w:type="dxa"/>
            <w:vAlign w:val="center"/>
          </w:tcPr>
          <w:p>
            <w:pPr>
              <w:spacing w:line="240" w:lineRule="auto"/>
              <w:ind w:firstLine="0"/>
              <w:jc w:val="center"/>
            </w:pPr>
            <w:r>
              <w:t>防护等级</w:t>
            </w:r>
          </w:p>
        </w:tc>
        <w:tc>
          <w:tcPr>
            <w:tcW w:w="2548" w:type="dxa"/>
            <w:vAlign w:val="center"/>
          </w:tcPr>
          <w:p>
            <w:pPr>
              <w:spacing w:line="240" w:lineRule="auto"/>
              <w:ind w:firstLine="0"/>
              <w:jc w:val="center"/>
            </w:pPr>
            <w:r>
              <w:t>工矿企业规模</w:t>
            </w:r>
          </w:p>
        </w:tc>
        <w:tc>
          <w:tcPr>
            <w:tcW w:w="2795" w:type="dxa"/>
            <w:vAlign w:val="center"/>
          </w:tcPr>
          <w:p>
            <w:pPr>
              <w:spacing w:line="240" w:lineRule="auto"/>
              <w:ind w:firstLine="0"/>
              <w:jc w:val="center"/>
            </w:pPr>
            <w:r>
              <w:t>防洪标准</w:t>
            </w:r>
          </w:p>
          <w:p>
            <w:pPr>
              <w:spacing w:line="240" w:lineRule="auto"/>
              <w:ind w:firstLine="0"/>
              <w:jc w:val="center"/>
            </w:pPr>
            <w:r>
              <w:t>[重现期（年）]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74" w:type="dxa"/>
            <w:vAlign w:val="center"/>
          </w:tcPr>
          <w:p>
            <w:pPr>
              <w:spacing w:line="240" w:lineRule="auto"/>
              <w:ind w:firstLine="0"/>
              <w:jc w:val="center"/>
            </w:pPr>
            <w:r>
              <w:t>I</w:t>
            </w:r>
          </w:p>
        </w:tc>
        <w:tc>
          <w:tcPr>
            <w:tcW w:w="2548" w:type="dxa"/>
            <w:vAlign w:val="center"/>
          </w:tcPr>
          <w:p>
            <w:pPr>
              <w:spacing w:line="240" w:lineRule="auto"/>
              <w:ind w:firstLine="0"/>
              <w:jc w:val="center"/>
            </w:pPr>
            <w:r>
              <w:t>特大型</w:t>
            </w:r>
          </w:p>
        </w:tc>
        <w:tc>
          <w:tcPr>
            <w:tcW w:w="2795" w:type="dxa"/>
            <w:vAlign w:val="center"/>
          </w:tcPr>
          <w:p>
            <w:pPr>
              <w:spacing w:line="240" w:lineRule="auto"/>
              <w:ind w:firstLine="0"/>
              <w:jc w:val="center"/>
            </w:pPr>
            <w:r>
              <w:t>200～100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274" w:type="dxa"/>
            <w:vAlign w:val="center"/>
          </w:tcPr>
          <w:p>
            <w:pPr>
              <w:spacing w:line="240" w:lineRule="auto"/>
              <w:ind w:firstLine="0"/>
              <w:jc w:val="center"/>
            </w:pPr>
            <w:r>
              <w:t>II</w:t>
            </w:r>
          </w:p>
        </w:tc>
        <w:tc>
          <w:tcPr>
            <w:tcW w:w="2548" w:type="dxa"/>
            <w:vAlign w:val="center"/>
          </w:tcPr>
          <w:p>
            <w:pPr>
              <w:spacing w:line="240" w:lineRule="auto"/>
              <w:ind w:firstLine="0"/>
              <w:jc w:val="center"/>
            </w:pPr>
            <w:r>
              <w:t>大型</w:t>
            </w:r>
          </w:p>
        </w:tc>
        <w:tc>
          <w:tcPr>
            <w:tcW w:w="2795" w:type="dxa"/>
            <w:vAlign w:val="center"/>
          </w:tcPr>
          <w:p>
            <w:pPr>
              <w:spacing w:line="240" w:lineRule="auto"/>
              <w:ind w:firstLine="0"/>
              <w:jc w:val="center"/>
            </w:pPr>
            <w:r>
              <w:t>100～50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74" w:type="dxa"/>
            <w:vAlign w:val="center"/>
          </w:tcPr>
          <w:p>
            <w:pPr>
              <w:spacing w:line="240" w:lineRule="auto"/>
              <w:ind w:firstLine="0"/>
              <w:jc w:val="center"/>
            </w:pPr>
            <w:r>
              <w:t>III</w:t>
            </w:r>
          </w:p>
        </w:tc>
        <w:tc>
          <w:tcPr>
            <w:tcW w:w="2548" w:type="dxa"/>
            <w:vAlign w:val="center"/>
          </w:tcPr>
          <w:p>
            <w:pPr>
              <w:spacing w:line="240" w:lineRule="auto"/>
              <w:ind w:firstLine="0"/>
              <w:jc w:val="center"/>
            </w:pPr>
            <w:r>
              <w:t>中型</w:t>
            </w:r>
          </w:p>
        </w:tc>
        <w:tc>
          <w:tcPr>
            <w:tcW w:w="2795" w:type="dxa"/>
            <w:vAlign w:val="center"/>
          </w:tcPr>
          <w:p>
            <w:pPr>
              <w:spacing w:line="240" w:lineRule="auto"/>
              <w:ind w:firstLine="0"/>
              <w:jc w:val="center"/>
            </w:pPr>
            <w:r>
              <w:t>50～20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274" w:type="dxa"/>
            <w:vAlign w:val="center"/>
          </w:tcPr>
          <w:p>
            <w:pPr>
              <w:spacing w:line="240" w:lineRule="auto"/>
              <w:ind w:firstLine="0"/>
              <w:jc w:val="center"/>
            </w:pPr>
            <w:r>
              <w:t>IV</w:t>
            </w:r>
          </w:p>
        </w:tc>
        <w:tc>
          <w:tcPr>
            <w:tcW w:w="2548" w:type="dxa"/>
            <w:vAlign w:val="center"/>
          </w:tcPr>
          <w:p>
            <w:pPr>
              <w:spacing w:line="240" w:lineRule="auto"/>
              <w:ind w:firstLine="0"/>
              <w:jc w:val="center"/>
            </w:pPr>
            <w:r>
              <w:t>小型</w:t>
            </w:r>
          </w:p>
        </w:tc>
        <w:tc>
          <w:tcPr>
            <w:tcW w:w="2795" w:type="dxa"/>
            <w:vAlign w:val="center"/>
          </w:tcPr>
          <w:p>
            <w:pPr>
              <w:spacing w:line="240" w:lineRule="auto"/>
              <w:ind w:firstLine="0"/>
              <w:jc w:val="center"/>
            </w:pPr>
            <w:r>
              <w:t>20～10</w:t>
            </w:r>
          </w:p>
        </w:tc>
      </w:tr>
    </w:tbl>
    <w:p>
      <w:pPr>
        <w:spacing w:line="360" w:lineRule="auto"/>
        <w:ind w:firstLine="0"/>
      </w:pPr>
    </w:p>
    <w:p>
      <w:pPr>
        <w:spacing w:line="360" w:lineRule="auto"/>
        <w:ind w:firstLine="0"/>
        <w:jc w:val="both"/>
      </w:pPr>
      <w:r>
        <w:rPr>
          <w:rFonts w:hint="eastAsia"/>
          <w:b/>
        </w:rPr>
        <w:t>3</w:t>
      </w:r>
      <w:r>
        <w:rPr>
          <w:b/>
        </w:rPr>
        <w:t>.</w:t>
      </w:r>
      <w:r>
        <w:rPr>
          <w:rFonts w:hint="eastAsia"/>
          <w:b/>
        </w:rPr>
        <w:t>1</w:t>
      </w:r>
      <w:r>
        <w:rPr>
          <w:b/>
        </w:rPr>
        <w:t>.3</w:t>
      </w:r>
      <w:r>
        <w:rPr>
          <w:rFonts w:hint="eastAsia"/>
        </w:rPr>
        <w:t xml:space="preserve">  </w:t>
      </w:r>
      <w:r>
        <w:t>厂址选择不得占用国家确定的水土保持长期定位观测站</w:t>
      </w:r>
      <w:r>
        <w:rPr>
          <w:rFonts w:hint="eastAsia"/>
        </w:rPr>
        <w:t>，</w:t>
      </w:r>
      <w:r>
        <w:t>不应对现有土地和植被的水土保持功能造成破坏。</w:t>
      </w:r>
    </w:p>
    <w:p>
      <w:pPr>
        <w:spacing w:line="360" w:lineRule="auto"/>
        <w:ind w:firstLine="0"/>
        <w:jc w:val="both"/>
      </w:pPr>
      <w:r>
        <w:rPr>
          <w:rFonts w:hint="eastAsia"/>
          <w:b/>
        </w:rPr>
        <w:t>3</w:t>
      </w:r>
      <w:r>
        <w:rPr>
          <w:b/>
        </w:rPr>
        <w:t>.</w:t>
      </w:r>
      <w:r>
        <w:rPr>
          <w:rFonts w:hint="eastAsia"/>
          <w:b/>
        </w:rPr>
        <w:t>1</w:t>
      </w:r>
      <w:r>
        <w:rPr>
          <w:b/>
        </w:rPr>
        <w:t>.4</w:t>
      </w:r>
      <w:r>
        <w:rPr>
          <w:rFonts w:hint="eastAsia"/>
        </w:rPr>
        <w:t xml:space="preserve">  </w:t>
      </w:r>
      <w:r>
        <w:t>厂址应具有满足建设需要的工程地质、水文地质和环境地质条件</w:t>
      </w:r>
      <w:r>
        <w:rPr>
          <w:rFonts w:hint="eastAsia"/>
        </w:rPr>
        <w:t>。</w:t>
      </w:r>
      <w:r>
        <w:t>下列地段和地区不应选为厂址：</w:t>
      </w:r>
    </w:p>
    <w:p>
      <w:pPr>
        <w:widowControl w:val="0"/>
        <w:snapToGrid w:val="0"/>
        <w:spacing w:line="360" w:lineRule="auto"/>
        <w:ind w:firstLine="461" w:firstLineChars="200"/>
        <w:jc w:val="both"/>
      </w:pPr>
      <w:r>
        <w:rPr>
          <w:b/>
        </w:rPr>
        <w:t>1</w:t>
      </w:r>
      <w:r>
        <w:t xml:space="preserve">  全新世活动断裂和抗震设防烈度高于9度的地震区，受海啸或</w:t>
      </w:r>
      <w:r>
        <w:rPr>
          <w:rFonts w:hint="eastAsia"/>
        </w:rPr>
        <w:t>潮涌</w:t>
      </w:r>
      <w:r>
        <w:t>危害的地区；</w:t>
      </w:r>
    </w:p>
    <w:p>
      <w:pPr>
        <w:widowControl w:val="0"/>
        <w:snapToGrid w:val="0"/>
        <w:spacing w:line="360" w:lineRule="auto"/>
        <w:ind w:firstLine="461" w:firstLineChars="200"/>
        <w:jc w:val="both"/>
      </w:pPr>
      <w:r>
        <w:rPr>
          <w:b/>
        </w:rPr>
        <w:t>2</w:t>
      </w:r>
      <w:r>
        <w:t xml:space="preserve">  </w:t>
      </w:r>
      <w:r>
        <w:rPr>
          <w:rFonts w:hint="eastAsia"/>
        </w:rPr>
        <w:t>国务院及其有关主管部门、省、自治区、直辖市人民政府</w:t>
      </w:r>
      <w:r>
        <w:t>划定的或城市规划确定的生活居住区、文教区、水源保护区、名胜古迹、疗养区、自然保护区、风景名胜区和其它需要保护的区域；</w:t>
      </w:r>
    </w:p>
    <w:p>
      <w:pPr>
        <w:widowControl w:val="0"/>
        <w:snapToGrid w:val="0"/>
        <w:spacing w:line="360" w:lineRule="auto"/>
        <w:ind w:firstLine="461" w:firstLineChars="200"/>
        <w:jc w:val="both"/>
      </w:pPr>
      <w:r>
        <w:rPr>
          <w:b/>
        </w:rPr>
        <w:t>3</w:t>
      </w:r>
      <w:r>
        <w:t xml:space="preserve">  具有开采价值的矿床上；</w:t>
      </w:r>
    </w:p>
    <w:p>
      <w:pPr>
        <w:widowControl w:val="0"/>
        <w:snapToGrid w:val="0"/>
        <w:spacing w:line="360" w:lineRule="auto"/>
        <w:ind w:firstLine="461" w:firstLineChars="200"/>
        <w:jc w:val="both"/>
      </w:pPr>
      <w:r>
        <w:rPr>
          <w:b/>
        </w:rPr>
        <w:t>4</w:t>
      </w:r>
      <w:r>
        <w:t xml:space="preserve">  供水水源的卫生保护区；</w:t>
      </w:r>
    </w:p>
    <w:p>
      <w:pPr>
        <w:widowControl w:val="0"/>
        <w:snapToGrid w:val="0"/>
        <w:spacing w:line="360" w:lineRule="auto"/>
        <w:ind w:firstLine="461" w:firstLineChars="200"/>
        <w:jc w:val="both"/>
      </w:pPr>
      <w:r>
        <w:rPr>
          <w:b/>
        </w:rPr>
        <w:t>5</w:t>
      </w:r>
      <w:r>
        <w:t xml:space="preserve">  </w:t>
      </w:r>
      <w:r>
        <w:rPr>
          <w:rFonts w:hint="eastAsia"/>
        </w:rPr>
        <w:t>存在</w:t>
      </w:r>
      <w:r>
        <w:t>泥石流、滑坡、流沙、溶洞等直接危害的地段；</w:t>
      </w:r>
    </w:p>
    <w:p>
      <w:pPr>
        <w:widowControl w:val="0"/>
        <w:snapToGrid w:val="0"/>
        <w:spacing w:line="360" w:lineRule="auto"/>
        <w:ind w:firstLine="461" w:firstLineChars="200"/>
        <w:jc w:val="both"/>
      </w:pPr>
      <w:r>
        <w:rPr>
          <w:b/>
        </w:rPr>
        <w:t>6</w:t>
      </w:r>
      <w:r>
        <w:t xml:space="preserve">  采矿陷落（错动）区地表界限内；</w:t>
      </w:r>
    </w:p>
    <w:p>
      <w:pPr>
        <w:widowControl w:val="0"/>
        <w:snapToGrid w:val="0"/>
        <w:spacing w:line="360" w:lineRule="auto"/>
        <w:ind w:firstLine="461" w:firstLineChars="200"/>
        <w:jc w:val="both"/>
      </w:pPr>
      <w:r>
        <w:rPr>
          <w:b/>
        </w:rPr>
        <w:t>7</w:t>
      </w:r>
      <w:r>
        <w:t xml:space="preserve">  爆破危险区界限内；</w:t>
      </w:r>
    </w:p>
    <w:p>
      <w:pPr>
        <w:widowControl w:val="0"/>
        <w:snapToGrid w:val="0"/>
        <w:spacing w:line="360" w:lineRule="auto"/>
        <w:ind w:firstLine="461" w:firstLineChars="200"/>
        <w:jc w:val="both"/>
      </w:pPr>
      <w:r>
        <w:rPr>
          <w:b/>
        </w:rPr>
        <w:t>8</w:t>
      </w:r>
      <w:r>
        <w:t xml:space="preserve">  经安全评估存在风险的水库、尾矿库、废物堆场的下游以及堤坝决溃时可能淹没的地区；</w:t>
      </w:r>
    </w:p>
    <w:p>
      <w:pPr>
        <w:widowControl w:val="0"/>
        <w:snapToGrid w:val="0"/>
        <w:spacing w:line="360" w:lineRule="auto"/>
        <w:ind w:firstLine="461" w:firstLineChars="200"/>
        <w:jc w:val="both"/>
      </w:pPr>
      <w:r>
        <w:rPr>
          <w:b/>
        </w:rPr>
        <w:t>9</w:t>
      </w:r>
      <w:r>
        <w:t xml:space="preserve">  对飞机起落、电台通讯、电视传播、雷达导航和重要的天文、气象、地震观察以及重要军事设施等有影响的范围内。</w:t>
      </w:r>
    </w:p>
    <w:p>
      <w:pPr>
        <w:pStyle w:val="5"/>
        <w:keepNext w:val="0"/>
        <w:keepLines w:val="0"/>
        <w:widowControl w:val="0"/>
        <w:adjustRightInd w:val="0"/>
        <w:snapToGrid w:val="0"/>
        <w:jc w:val="center"/>
        <w:rPr>
          <w:snapToGrid w:val="0"/>
          <w:spacing w:val="0"/>
          <w:kern w:val="24"/>
          <w:sz w:val="28"/>
          <w:szCs w:val="28"/>
        </w:rPr>
      </w:pPr>
      <w:bookmarkStart w:id="12" w:name="_Toc126929551"/>
      <w:bookmarkStart w:id="13" w:name="_Toc126931134"/>
      <w:bookmarkStart w:id="14" w:name="_Toc126850492"/>
      <w:r>
        <w:rPr>
          <w:rFonts w:hint="eastAsia"/>
          <w:snapToGrid w:val="0"/>
          <w:spacing w:val="0"/>
          <w:kern w:val="24"/>
          <w:sz w:val="28"/>
          <w:szCs w:val="28"/>
        </w:rPr>
        <w:t>3</w:t>
      </w:r>
      <w:r>
        <w:rPr>
          <w:snapToGrid w:val="0"/>
          <w:spacing w:val="0"/>
          <w:kern w:val="24"/>
          <w:sz w:val="28"/>
          <w:szCs w:val="28"/>
        </w:rPr>
        <w:t>.</w:t>
      </w:r>
      <w:r>
        <w:rPr>
          <w:rFonts w:hint="eastAsia"/>
          <w:snapToGrid w:val="0"/>
          <w:spacing w:val="0"/>
          <w:kern w:val="24"/>
          <w:sz w:val="28"/>
          <w:szCs w:val="28"/>
        </w:rPr>
        <w:t>2</w:t>
      </w:r>
      <w:r>
        <w:rPr>
          <w:snapToGrid w:val="0"/>
          <w:spacing w:val="0"/>
          <w:kern w:val="24"/>
          <w:sz w:val="28"/>
          <w:szCs w:val="28"/>
        </w:rPr>
        <w:t xml:space="preserve">  </w:t>
      </w:r>
      <w:r>
        <w:rPr>
          <w:rFonts w:hint="eastAsia"/>
          <w:snapToGrid w:val="0"/>
          <w:spacing w:val="0"/>
          <w:kern w:val="24"/>
          <w:sz w:val="28"/>
          <w:szCs w:val="28"/>
        </w:rPr>
        <w:t>总平面布置和竖向布置</w:t>
      </w:r>
      <w:bookmarkEnd w:id="12"/>
      <w:bookmarkEnd w:id="13"/>
      <w:bookmarkEnd w:id="14"/>
    </w:p>
    <w:p>
      <w:pPr>
        <w:spacing w:line="360" w:lineRule="auto"/>
        <w:ind w:firstLine="0"/>
        <w:jc w:val="both"/>
      </w:pPr>
      <w:r>
        <w:rPr>
          <w:rFonts w:hint="eastAsia"/>
          <w:b/>
        </w:rPr>
        <w:t>3</w:t>
      </w:r>
      <w:r>
        <w:rPr>
          <w:b/>
        </w:rPr>
        <w:t>.</w:t>
      </w:r>
      <w:r>
        <w:rPr>
          <w:rFonts w:hint="eastAsia"/>
          <w:b/>
        </w:rPr>
        <w:t>2</w:t>
      </w:r>
      <w:r>
        <w:rPr>
          <w:b/>
        </w:rPr>
        <w:t>.1</w:t>
      </w:r>
      <w:r>
        <w:rPr>
          <w:rFonts w:hint="eastAsia"/>
        </w:rPr>
        <w:t xml:space="preserve">  </w:t>
      </w:r>
      <w:r>
        <w:t>产生有害气体、烟、雾、粉尘等有害物质的有色金属企业与居民区之间的防护距离应</w:t>
      </w:r>
      <w:r>
        <w:rPr>
          <w:rFonts w:hint="eastAsia"/>
        </w:rPr>
        <w:t>根据批复的环境影响评价结论确定。</w:t>
      </w:r>
    </w:p>
    <w:p>
      <w:pPr>
        <w:spacing w:line="360" w:lineRule="auto"/>
        <w:ind w:firstLine="0"/>
        <w:jc w:val="both"/>
      </w:pPr>
      <w:r>
        <w:rPr>
          <w:rFonts w:hint="eastAsia"/>
          <w:b/>
        </w:rPr>
        <w:t>3</w:t>
      </w:r>
      <w:r>
        <w:rPr>
          <w:b/>
        </w:rPr>
        <w:t>.</w:t>
      </w:r>
      <w:r>
        <w:rPr>
          <w:rFonts w:hint="eastAsia"/>
          <w:b/>
        </w:rPr>
        <w:t>2</w:t>
      </w:r>
      <w:r>
        <w:rPr>
          <w:b/>
        </w:rPr>
        <w:t>.</w:t>
      </w:r>
      <w:r>
        <w:rPr>
          <w:rFonts w:hint="eastAsia"/>
          <w:b/>
        </w:rPr>
        <w:t>2</w:t>
      </w:r>
      <w:r>
        <w:t xml:space="preserve"> </w:t>
      </w:r>
      <w:r>
        <w:rPr>
          <w:rFonts w:hint="eastAsia"/>
        </w:rPr>
        <w:t xml:space="preserve"> 存在爆炸风险的生产厂房和仓库、储罐，与其他车间、相邻企业的厂房、外部设施的安全距离应符合现行国家和项目所在地有关标准的规定。</w:t>
      </w:r>
    </w:p>
    <w:p>
      <w:pPr>
        <w:spacing w:line="360" w:lineRule="auto"/>
        <w:ind w:firstLine="0"/>
        <w:jc w:val="both"/>
      </w:pPr>
      <w:r>
        <w:rPr>
          <w:rFonts w:hint="eastAsia"/>
          <w:b/>
        </w:rPr>
        <w:t>3</w:t>
      </w:r>
      <w:r>
        <w:rPr>
          <w:b/>
        </w:rPr>
        <w:t>.</w:t>
      </w:r>
      <w:r>
        <w:rPr>
          <w:rFonts w:hint="eastAsia"/>
          <w:b/>
        </w:rPr>
        <w:t>2</w:t>
      </w:r>
      <w:r>
        <w:rPr>
          <w:b/>
        </w:rPr>
        <w:t>.3</w:t>
      </w:r>
      <w:r>
        <w:rPr>
          <w:rFonts w:hint="eastAsia"/>
        </w:rPr>
        <w:t xml:space="preserve">  场地设计标高的确定，应符合下列规定：</w:t>
      </w:r>
    </w:p>
    <w:p>
      <w:pPr>
        <w:spacing w:line="360" w:lineRule="auto"/>
        <w:ind w:firstLine="461" w:firstLineChars="200"/>
        <w:jc w:val="both"/>
      </w:pPr>
      <w:r>
        <w:rPr>
          <w:b/>
        </w:rPr>
        <w:t>1</w:t>
      </w:r>
      <w:r>
        <w:t xml:space="preserve">  </w:t>
      </w:r>
      <w:r>
        <w:rPr>
          <w:rFonts w:hint="eastAsia"/>
        </w:rPr>
        <w:t>场地设计标高应高于按照防洪标准确定洪水重现期的设计水位</w:t>
      </w:r>
      <w:r>
        <w:t>0.5m</w:t>
      </w:r>
      <w:r>
        <w:rPr>
          <w:rFonts w:hint="eastAsia"/>
        </w:rPr>
        <w:t>，当有波浪侵袭和存在壅水现象时，应加上波浪侵袭高度和壅水高度；</w:t>
      </w:r>
    </w:p>
    <w:p>
      <w:pPr>
        <w:spacing w:line="360" w:lineRule="auto"/>
        <w:ind w:firstLine="461" w:firstLineChars="200"/>
        <w:jc w:val="both"/>
      </w:pPr>
      <w:r>
        <w:rPr>
          <w:b/>
        </w:rPr>
        <w:t>2</w:t>
      </w:r>
      <w:r>
        <w:t xml:space="preserve">  </w:t>
      </w:r>
      <w:r>
        <w:rPr>
          <w:rFonts w:hint="eastAsia"/>
        </w:rPr>
        <w:t>场地设计标高应高于厂区周围汇水区域内的设计频率内涝水位；</w:t>
      </w:r>
      <w:r>
        <w:rPr>
          <w:rFonts w:hint="eastAsia"/>
          <w:snapToGrid w:val="0"/>
          <w:spacing w:val="0"/>
          <w:kern w:val="24"/>
          <w:szCs w:val="24"/>
        </w:rPr>
        <w:t>当场地设计标高不能高于厂区周围汇水区域内的设计频率内涝水位时</w:t>
      </w:r>
      <w:r>
        <w:rPr>
          <w:rFonts w:hint="eastAsia"/>
        </w:rPr>
        <w:t>，应设置防洪、防潮堤和采取防、排内涝水措施。</w:t>
      </w:r>
    </w:p>
    <w:p>
      <w:pPr>
        <w:spacing w:line="360" w:lineRule="auto"/>
        <w:ind w:firstLine="0"/>
        <w:jc w:val="both"/>
      </w:pPr>
      <w:r>
        <w:rPr>
          <w:rFonts w:hint="eastAsia"/>
          <w:b/>
        </w:rPr>
        <w:t>3</w:t>
      </w:r>
      <w:r>
        <w:rPr>
          <w:b/>
        </w:rPr>
        <w:t>.</w:t>
      </w:r>
      <w:r>
        <w:rPr>
          <w:rFonts w:hint="eastAsia"/>
          <w:b/>
        </w:rPr>
        <w:t>2</w:t>
      </w:r>
      <w:r>
        <w:rPr>
          <w:b/>
        </w:rPr>
        <w:t>.4</w:t>
      </w:r>
      <w:r>
        <w:rPr>
          <w:rFonts w:hint="eastAsia"/>
        </w:rPr>
        <w:t xml:space="preserve">  </w:t>
      </w:r>
      <w:r>
        <w:t>管线内介质具有毒性、易燃、易爆性质时，严禁穿越与管线无关的建筑、生产装置或贮罐区。</w:t>
      </w:r>
    </w:p>
    <w:p>
      <w:pPr>
        <w:spacing w:line="360" w:lineRule="auto"/>
        <w:ind w:firstLine="0"/>
        <w:jc w:val="both"/>
      </w:pPr>
      <w:r>
        <w:rPr>
          <w:rFonts w:hint="eastAsia"/>
          <w:b/>
        </w:rPr>
        <w:t>3</w:t>
      </w:r>
      <w:r>
        <w:rPr>
          <w:b/>
        </w:rPr>
        <w:t>.</w:t>
      </w:r>
      <w:r>
        <w:rPr>
          <w:rFonts w:hint="eastAsia"/>
          <w:b/>
        </w:rPr>
        <w:t>2</w:t>
      </w:r>
      <w:r>
        <w:rPr>
          <w:b/>
        </w:rPr>
        <w:t>.5</w:t>
      </w:r>
      <w:r>
        <w:t xml:space="preserve"> </w:t>
      </w:r>
      <w:r>
        <w:rPr>
          <w:rFonts w:hint="eastAsia"/>
        </w:rPr>
        <w:t xml:space="preserve"> </w:t>
      </w:r>
      <w:r>
        <w:t>下列管线严禁</w:t>
      </w:r>
      <w:r>
        <w:rPr>
          <w:rFonts w:hint="eastAsia"/>
        </w:rPr>
        <w:t>共沟敷设：</w:t>
      </w:r>
    </w:p>
    <w:p>
      <w:pPr>
        <w:spacing w:line="360" w:lineRule="auto"/>
        <w:ind w:firstLine="461" w:firstLineChars="200"/>
        <w:jc w:val="both"/>
      </w:pPr>
      <w:r>
        <w:rPr>
          <w:b/>
        </w:rPr>
        <w:t>1</w:t>
      </w:r>
      <w:r>
        <w:t xml:space="preserve">  </w:t>
      </w:r>
      <w:r>
        <w:rPr>
          <w:rFonts w:hint="eastAsia"/>
        </w:rPr>
        <w:t>可燃气体管、易燃液体管及易爆、有毒、有腐蚀性介质的管线；</w:t>
      </w:r>
    </w:p>
    <w:p>
      <w:pPr>
        <w:spacing w:line="360" w:lineRule="auto"/>
        <w:ind w:firstLine="461" w:firstLineChars="200"/>
        <w:jc w:val="both"/>
      </w:pPr>
      <w:r>
        <w:rPr>
          <w:b/>
        </w:rPr>
        <w:t>2</w:t>
      </w:r>
      <w:r>
        <w:t xml:space="preserve">  </w:t>
      </w:r>
      <w:r>
        <w:rPr>
          <w:rFonts w:hint="eastAsia"/>
        </w:rPr>
        <w:t>氧气管与易燃、可燃液体管；</w:t>
      </w:r>
    </w:p>
    <w:p>
      <w:pPr>
        <w:spacing w:line="360" w:lineRule="auto"/>
        <w:ind w:firstLine="461" w:firstLineChars="200"/>
        <w:jc w:val="both"/>
      </w:pPr>
      <w:r>
        <w:rPr>
          <w:b/>
        </w:rPr>
        <w:t>3</w:t>
      </w:r>
      <w:r>
        <w:t xml:space="preserve">  </w:t>
      </w:r>
      <w:r>
        <w:rPr>
          <w:rFonts w:hint="eastAsia"/>
        </w:rPr>
        <w:t>消防水管与火灾危险性属于甲、乙、丙类的液体、易燃、易爆气体、可燃气体、助燃气体、毒性气体和液体以及腐蚀性介质管线；</w:t>
      </w:r>
    </w:p>
    <w:p>
      <w:pPr>
        <w:spacing w:line="360" w:lineRule="auto"/>
        <w:ind w:firstLine="461" w:firstLineChars="200"/>
        <w:jc w:val="both"/>
      </w:pPr>
      <w:r>
        <w:rPr>
          <w:b/>
        </w:rPr>
        <w:t>4</w:t>
      </w:r>
      <w:r>
        <w:t xml:space="preserve">  </w:t>
      </w:r>
      <w:r>
        <w:rPr>
          <w:rFonts w:hint="eastAsia"/>
        </w:rPr>
        <w:t>通信电缆、电力电缆与热力管线、可燃（易爆）气体管、易燃液体管及有腐蚀性介质的管线。</w:t>
      </w:r>
    </w:p>
    <w:p>
      <w:pPr>
        <w:spacing w:line="360" w:lineRule="auto"/>
        <w:ind w:firstLine="0"/>
        <w:jc w:val="both"/>
      </w:pPr>
      <w:r>
        <w:rPr>
          <w:rFonts w:hint="eastAsia"/>
          <w:b/>
        </w:rPr>
        <w:t>3</w:t>
      </w:r>
      <w:r>
        <w:rPr>
          <w:b/>
        </w:rPr>
        <w:t>.</w:t>
      </w:r>
      <w:r>
        <w:rPr>
          <w:rFonts w:hint="eastAsia"/>
          <w:b/>
        </w:rPr>
        <w:t>2</w:t>
      </w:r>
      <w:r>
        <w:rPr>
          <w:b/>
        </w:rPr>
        <w:t>.6</w:t>
      </w:r>
      <w:r>
        <w:rPr>
          <w:rFonts w:hint="eastAsia"/>
        </w:rPr>
        <w:t xml:space="preserve">  </w:t>
      </w:r>
      <w:r>
        <w:t>架空电力线路不应跨越生产火灾危险性为甲、乙类的建（构）筑物</w:t>
      </w:r>
      <w:r>
        <w:rPr>
          <w:rFonts w:hint="eastAsia"/>
        </w:rPr>
        <w:t>和</w:t>
      </w:r>
      <w:r>
        <w:t>甲、乙、丙类液体及可燃、易燃气体储罐区。</w:t>
      </w:r>
    </w:p>
    <w:p>
      <w:pPr>
        <w:spacing w:line="360" w:lineRule="auto"/>
        <w:ind w:firstLine="0"/>
        <w:jc w:val="both"/>
      </w:pPr>
      <w:r>
        <w:rPr>
          <w:rFonts w:hint="eastAsia"/>
          <w:b/>
        </w:rPr>
        <w:t>3</w:t>
      </w:r>
      <w:r>
        <w:rPr>
          <w:b/>
        </w:rPr>
        <w:t>.</w:t>
      </w:r>
      <w:r>
        <w:rPr>
          <w:rFonts w:hint="eastAsia"/>
          <w:b/>
        </w:rPr>
        <w:t>2</w:t>
      </w:r>
      <w:r>
        <w:rPr>
          <w:b/>
        </w:rPr>
        <w:t>.7</w:t>
      </w:r>
      <w:r>
        <w:rPr>
          <w:rFonts w:hint="eastAsia"/>
        </w:rPr>
        <w:t xml:space="preserve">  运送</w:t>
      </w:r>
      <w:r>
        <w:t>铝、镁等金属液体车辆</w:t>
      </w:r>
      <w:r>
        <w:rPr>
          <w:rFonts w:hint="eastAsia"/>
        </w:rPr>
        <w:t>通过</w:t>
      </w:r>
      <w:r>
        <w:t>的道路，纵坡不应大于6%。</w:t>
      </w:r>
    </w:p>
    <w:p>
      <w:pPr>
        <w:pStyle w:val="85"/>
        <w:ind w:firstLine="0" w:firstLineChars="0"/>
        <w:rPr>
          <w:sz w:val="24"/>
          <w:szCs w:val="24"/>
        </w:rPr>
      </w:pPr>
      <w:bookmarkStart w:id="15" w:name="_Toc126929552"/>
      <w:bookmarkStart w:id="16" w:name="_Toc126931135"/>
      <w:bookmarkStart w:id="17" w:name="_Toc126850493"/>
    </w:p>
    <w:p>
      <w:pPr>
        <w:pStyle w:val="85"/>
        <w:ind w:firstLine="0" w:firstLineChars="0"/>
        <w:rPr>
          <w:sz w:val="24"/>
          <w:szCs w:val="24"/>
        </w:rPr>
        <w:sectPr>
          <w:headerReference r:id="rId20" w:type="default"/>
          <w:footerReference r:id="rId22" w:type="default"/>
          <w:headerReference r:id="rId21" w:type="even"/>
          <w:footnotePr>
            <w:numRestart w:val="eachPage"/>
          </w:footnotePr>
          <w:pgSz w:w="11906" w:h="16838"/>
          <w:pgMar w:top="1134" w:right="1418" w:bottom="1134" w:left="1418" w:header="0" w:footer="567" w:gutter="0"/>
          <w:pgNumType w:start="1"/>
          <w:cols w:space="720" w:num="1"/>
          <w:docGrid w:linePitch="447" w:charSpace="4499"/>
        </w:sectPr>
      </w:pPr>
    </w:p>
    <w:p>
      <w:pPr>
        <w:pStyle w:val="2"/>
        <w:keepNext w:val="0"/>
        <w:keepLines w:val="0"/>
        <w:widowControl w:val="0"/>
        <w:spacing w:after="0"/>
        <w:jc w:val="center"/>
        <w:rPr>
          <w:rFonts w:eastAsiaTheme="majorEastAsia"/>
          <w:spacing w:val="0"/>
          <w:sz w:val="30"/>
          <w:szCs w:val="30"/>
        </w:rPr>
      </w:pPr>
      <w:r>
        <w:rPr>
          <w:rFonts w:hint="eastAsia" w:eastAsiaTheme="majorEastAsia"/>
          <w:spacing w:val="0"/>
          <w:sz w:val="30"/>
          <w:szCs w:val="30"/>
        </w:rPr>
        <w:t>4</w:t>
      </w:r>
      <w:r>
        <w:rPr>
          <w:rFonts w:eastAsiaTheme="majorEastAsia"/>
          <w:spacing w:val="0"/>
          <w:sz w:val="30"/>
          <w:szCs w:val="30"/>
        </w:rPr>
        <w:t xml:space="preserve">  </w:t>
      </w:r>
      <w:r>
        <w:rPr>
          <w:rFonts w:hint="eastAsia" w:eastAsiaTheme="majorEastAsia"/>
          <w:spacing w:val="0"/>
          <w:sz w:val="30"/>
          <w:szCs w:val="30"/>
        </w:rPr>
        <w:t>主要生产设施</w:t>
      </w:r>
      <w:bookmarkEnd w:id="15"/>
      <w:bookmarkEnd w:id="16"/>
      <w:bookmarkEnd w:id="17"/>
    </w:p>
    <w:p>
      <w:pPr>
        <w:pStyle w:val="5"/>
        <w:keepNext w:val="0"/>
        <w:keepLines w:val="0"/>
        <w:widowControl w:val="0"/>
        <w:adjustRightInd w:val="0"/>
        <w:snapToGrid w:val="0"/>
        <w:jc w:val="center"/>
        <w:rPr>
          <w:snapToGrid w:val="0"/>
          <w:spacing w:val="0"/>
          <w:kern w:val="24"/>
          <w:sz w:val="28"/>
          <w:szCs w:val="28"/>
        </w:rPr>
      </w:pPr>
      <w:bookmarkStart w:id="18" w:name="_Toc126850494"/>
      <w:bookmarkStart w:id="19" w:name="_Toc126931136"/>
      <w:bookmarkStart w:id="20" w:name="_Toc126929553"/>
      <w:r>
        <w:rPr>
          <w:rFonts w:hint="eastAsia"/>
          <w:snapToGrid w:val="0"/>
          <w:spacing w:val="0"/>
          <w:kern w:val="24"/>
          <w:sz w:val="28"/>
          <w:szCs w:val="28"/>
        </w:rPr>
        <w:t>4</w:t>
      </w:r>
      <w:r>
        <w:rPr>
          <w:snapToGrid w:val="0"/>
          <w:spacing w:val="0"/>
          <w:kern w:val="24"/>
          <w:sz w:val="28"/>
          <w:szCs w:val="28"/>
        </w:rPr>
        <w:t>.</w:t>
      </w:r>
      <w:r>
        <w:rPr>
          <w:rFonts w:hint="eastAsia"/>
          <w:snapToGrid w:val="0"/>
          <w:spacing w:val="0"/>
          <w:kern w:val="24"/>
          <w:sz w:val="28"/>
          <w:szCs w:val="28"/>
        </w:rPr>
        <w:t>1</w:t>
      </w:r>
      <w:r>
        <w:rPr>
          <w:snapToGrid w:val="0"/>
          <w:spacing w:val="0"/>
          <w:kern w:val="24"/>
          <w:sz w:val="28"/>
          <w:szCs w:val="28"/>
        </w:rPr>
        <w:t xml:space="preserve">  </w:t>
      </w:r>
      <w:r>
        <w:rPr>
          <w:rFonts w:hint="eastAsia"/>
          <w:snapToGrid w:val="0"/>
          <w:spacing w:val="0"/>
          <w:kern w:val="24"/>
          <w:sz w:val="28"/>
          <w:szCs w:val="28"/>
        </w:rPr>
        <w:t>一般规定</w:t>
      </w:r>
      <w:bookmarkEnd w:id="18"/>
      <w:bookmarkEnd w:id="19"/>
      <w:bookmarkEnd w:id="20"/>
    </w:p>
    <w:p>
      <w:pPr>
        <w:ind w:firstLine="0"/>
        <w:jc w:val="both"/>
      </w:pPr>
      <w:r>
        <w:rPr>
          <w:rFonts w:hint="eastAsia"/>
          <w:b/>
        </w:rPr>
        <w:t>4</w:t>
      </w:r>
      <w:r>
        <w:rPr>
          <w:b/>
        </w:rPr>
        <w:t>.</w:t>
      </w:r>
      <w:r>
        <w:rPr>
          <w:rFonts w:hint="eastAsia"/>
          <w:b/>
        </w:rPr>
        <w:t>1</w:t>
      </w:r>
      <w:r>
        <w:rPr>
          <w:b/>
        </w:rPr>
        <w:t>.1</w:t>
      </w:r>
      <w:r>
        <w:rPr>
          <w:rFonts w:hint="eastAsia"/>
        </w:rPr>
        <w:t xml:space="preserve">  熔炼、保温设备及加热、热处理设备严禁直接采用煤或未经净化的发生炉煤气作为燃料。</w:t>
      </w:r>
    </w:p>
    <w:p>
      <w:pPr>
        <w:ind w:firstLine="0"/>
        <w:jc w:val="both"/>
      </w:pPr>
      <w:r>
        <w:rPr>
          <w:rFonts w:hint="eastAsia"/>
          <w:b/>
        </w:rPr>
        <w:t>4</w:t>
      </w:r>
      <w:r>
        <w:rPr>
          <w:b/>
        </w:rPr>
        <w:t>.</w:t>
      </w:r>
      <w:r>
        <w:rPr>
          <w:rFonts w:hint="eastAsia"/>
          <w:b/>
        </w:rPr>
        <w:t>1</w:t>
      </w:r>
      <w:r>
        <w:rPr>
          <w:b/>
        </w:rPr>
        <w:t>.</w:t>
      </w:r>
      <w:r>
        <w:rPr>
          <w:rFonts w:hint="eastAsia"/>
          <w:b/>
        </w:rPr>
        <w:t>2</w:t>
      </w:r>
      <w:r>
        <w:rPr>
          <w:rFonts w:hint="eastAsia"/>
        </w:rPr>
        <w:t xml:space="preserve">  采用煤气、天然气、液化气等可燃气体作为燃料的熔炼炉</w:t>
      </w:r>
      <w:r>
        <w:rPr>
          <w:rFonts w:hint="eastAsia"/>
          <w:color w:val="000000" w:themeColor="text1"/>
        </w:rPr>
        <w:t>、保温炉、加</w:t>
      </w:r>
      <w:r>
        <w:rPr>
          <w:rFonts w:hint="eastAsia"/>
        </w:rPr>
        <w:t>热炉、热处理炉等设备在可能发生泄漏、聚集的场所应设置固定式检测报警仪和安全警示标志，并应按相关规定采取防火、防爆和防泄漏措施。烧嘴等燃烧装置，应设置防突然熄火或点火失败的快速切断阀。</w:t>
      </w:r>
    </w:p>
    <w:p>
      <w:pPr>
        <w:ind w:firstLine="0"/>
        <w:jc w:val="both"/>
      </w:pPr>
      <w:r>
        <w:rPr>
          <w:rFonts w:hint="eastAsia"/>
          <w:b/>
        </w:rPr>
        <w:t>4</w:t>
      </w:r>
      <w:r>
        <w:rPr>
          <w:b/>
        </w:rPr>
        <w:t>.</w:t>
      </w:r>
      <w:r>
        <w:rPr>
          <w:rFonts w:hint="eastAsia"/>
          <w:b/>
        </w:rPr>
        <w:t>1</w:t>
      </w:r>
      <w:r>
        <w:rPr>
          <w:b/>
        </w:rPr>
        <w:t>.</w:t>
      </w:r>
      <w:r>
        <w:rPr>
          <w:rFonts w:hint="eastAsia"/>
          <w:b/>
        </w:rPr>
        <w:t>3</w:t>
      </w:r>
      <w:r>
        <w:rPr>
          <w:rFonts w:hint="eastAsia"/>
        </w:rPr>
        <w:t xml:space="preserve">  露天设置的可燃气（液）体的钢质储罐，应设置防雷接地装置，并应符合下列规定：</w:t>
      </w:r>
    </w:p>
    <w:p>
      <w:pPr>
        <w:ind w:firstLine="461" w:firstLineChars="200"/>
        <w:jc w:val="both"/>
      </w:pPr>
      <w:r>
        <w:rPr>
          <w:b/>
        </w:rPr>
        <w:t>1</w:t>
      </w:r>
      <w:r>
        <w:rPr>
          <w:rFonts w:hint="eastAsia"/>
        </w:rPr>
        <w:t xml:space="preserve">  闪接杆、线的保护范围应包括整个罐体；</w:t>
      </w:r>
    </w:p>
    <w:p>
      <w:pPr>
        <w:ind w:firstLine="461" w:firstLineChars="200"/>
        <w:jc w:val="both"/>
      </w:pPr>
      <w:r>
        <w:rPr>
          <w:b/>
        </w:rPr>
        <w:t>2</w:t>
      </w:r>
      <w:r>
        <w:rPr>
          <w:rFonts w:hint="eastAsia"/>
        </w:rPr>
        <w:t xml:space="preserve">  装有阻火器的甲、乙类液体地上固定顶罐，当顶板厚度小于4mm时，应装设闪接杆、线；</w:t>
      </w:r>
    </w:p>
    <w:p>
      <w:pPr>
        <w:ind w:left="460" w:firstLine="0"/>
        <w:jc w:val="both"/>
      </w:pPr>
      <w:r>
        <w:rPr>
          <w:rFonts w:hint="eastAsia"/>
          <w:b/>
          <w:snapToGrid w:val="0"/>
          <w:spacing w:val="0"/>
          <w:kern w:val="24"/>
          <w:szCs w:val="24"/>
        </w:rPr>
        <w:t xml:space="preserve">3  </w:t>
      </w:r>
      <w:r>
        <w:rPr>
          <w:rFonts w:hint="eastAsia"/>
        </w:rPr>
        <w:t>罐顶设有放散管的可燃气体储罐应设置闪接杆。</w:t>
      </w:r>
    </w:p>
    <w:p>
      <w:pPr>
        <w:ind w:firstLine="0"/>
        <w:jc w:val="both"/>
      </w:pPr>
      <w:r>
        <w:rPr>
          <w:rFonts w:hint="eastAsia"/>
          <w:b/>
        </w:rPr>
        <w:t>4</w:t>
      </w:r>
      <w:r>
        <w:rPr>
          <w:b/>
        </w:rPr>
        <w:t>.</w:t>
      </w:r>
      <w:r>
        <w:rPr>
          <w:rFonts w:hint="eastAsia"/>
          <w:b/>
        </w:rPr>
        <w:t>1</w:t>
      </w:r>
      <w:r>
        <w:rPr>
          <w:b/>
        </w:rPr>
        <w:t>.</w:t>
      </w:r>
      <w:r>
        <w:rPr>
          <w:rFonts w:hint="eastAsia"/>
          <w:b/>
        </w:rPr>
        <w:t>4</w:t>
      </w:r>
      <w:r>
        <w:rPr>
          <w:rFonts w:hint="eastAsia"/>
        </w:rPr>
        <w:t xml:space="preserve">  使用氨气（液氨）、氯气（液氯）等有毒有害气体的厂房（场所），安全设计应符合下列规定：</w:t>
      </w:r>
    </w:p>
    <w:p>
      <w:pPr>
        <w:widowControl w:val="0"/>
        <w:tabs>
          <w:tab w:val="left" w:pos="2205"/>
          <w:tab w:val="center" w:pos="4465"/>
        </w:tabs>
        <w:spacing w:line="360" w:lineRule="auto"/>
        <w:ind w:firstLine="481" w:firstLineChars="200"/>
        <w:jc w:val="both"/>
        <w:rPr>
          <w:snapToGrid w:val="0"/>
          <w:spacing w:val="0"/>
          <w:kern w:val="24"/>
          <w:szCs w:val="24"/>
        </w:rPr>
      </w:pPr>
      <w:r>
        <w:rPr>
          <w:b/>
          <w:snapToGrid w:val="0"/>
          <w:spacing w:val="0"/>
          <w:kern w:val="24"/>
          <w:szCs w:val="24"/>
        </w:rPr>
        <w:t>1</w:t>
      </w:r>
      <w:r>
        <w:rPr>
          <w:rFonts w:hint="eastAsia"/>
          <w:snapToGrid w:val="0"/>
          <w:spacing w:val="0"/>
          <w:kern w:val="24"/>
          <w:szCs w:val="24"/>
        </w:rPr>
        <w:t xml:space="preserve">  应设置气体浓度监测及报警装置；</w:t>
      </w:r>
    </w:p>
    <w:p>
      <w:pPr>
        <w:widowControl w:val="0"/>
        <w:tabs>
          <w:tab w:val="left" w:pos="2205"/>
          <w:tab w:val="center" w:pos="4465"/>
        </w:tabs>
        <w:spacing w:line="360" w:lineRule="auto"/>
        <w:ind w:firstLine="481" w:firstLineChars="200"/>
        <w:jc w:val="both"/>
        <w:rPr>
          <w:snapToGrid w:val="0"/>
          <w:spacing w:val="0"/>
          <w:kern w:val="24"/>
          <w:szCs w:val="24"/>
        </w:rPr>
      </w:pPr>
      <w:r>
        <w:rPr>
          <w:b/>
          <w:snapToGrid w:val="0"/>
          <w:spacing w:val="0"/>
          <w:kern w:val="24"/>
          <w:szCs w:val="24"/>
        </w:rPr>
        <w:t>2</w:t>
      </w:r>
      <w:r>
        <w:rPr>
          <w:rFonts w:hint="eastAsia"/>
          <w:snapToGrid w:val="0"/>
          <w:spacing w:val="0"/>
          <w:kern w:val="24"/>
          <w:szCs w:val="24"/>
        </w:rPr>
        <w:t xml:space="preserve">  应选用防爆型的生产设备及电气设备；</w:t>
      </w:r>
    </w:p>
    <w:p>
      <w:pPr>
        <w:widowControl w:val="0"/>
        <w:tabs>
          <w:tab w:val="left" w:pos="2205"/>
          <w:tab w:val="center" w:pos="4465"/>
        </w:tabs>
        <w:spacing w:line="360" w:lineRule="auto"/>
        <w:ind w:firstLine="481" w:firstLineChars="200"/>
        <w:jc w:val="both"/>
        <w:rPr>
          <w:snapToGrid w:val="0"/>
          <w:spacing w:val="0"/>
          <w:kern w:val="24"/>
          <w:szCs w:val="24"/>
        </w:rPr>
      </w:pPr>
      <w:r>
        <w:rPr>
          <w:rFonts w:hint="eastAsia"/>
          <w:b/>
          <w:snapToGrid w:val="0"/>
          <w:spacing w:val="0"/>
          <w:kern w:val="24"/>
          <w:szCs w:val="24"/>
        </w:rPr>
        <w:t xml:space="preserve">3  </w:t>
      </w:r>
      <w:r>
        <w:rPr>
          <w:rFonts w:hint="eastAsia"/>
          <w:snapToGrid w:val="0"/>
          <w:spacing w:val="0"/>
          <w:kern w:val="24"/>
          <w:szCs w:val="24"/>
        </w:rPr>
        <w:t>应有良好的通风条件；</w:t>
      </w:r>
    </w:p>
    <w:p>
      <w:pPr>
        <w:widowControl w:val="0"/>
        <w:tabs>
          <w:tab w:val="left" w:pos="2205"/>
          <w:tab w:val="center" w:pos="4465"/>
        </w:tabs>
        <w:spacing w:line="360" w:lineRule="auto"/>
        <w:ind w:firstLine="481" w:firstLineChars="200"/>
        <w:jc w:val="both"/>
        <w:rPr>
          <w:snapToGrid w:val="0"/>
          <w:spacing w:val="0"/>
          <w:kern w:val="24"/>
          <w:szCs w:val="24"/>
        </w:rPr>
      </w:pPr>
      <w:r>
        <w:rPr>
          <w:rFonts w:hint="eastAsia"/>
          <w:b/>
          <w:snapToGrid w:val="0"/>
          <w:spacing w:val="0"/>
          <w:kern w:val="24"/>
          <w:szCs w:val="24"/>
        </w:rPr>
        <w:t>4</w:t>
      </w:r>
      <w:r>
        <w:rPr>
          <w:rFonts w:hint="eastAsia"/>
          <w:snapToGrid w:val="0"/>
          <w:spacing w:val="0"/>
          <w:kern w:val="24"/>
          <w:szCs w:val="24"/>
        </w:rPr>
        <w:t xml:space="preserve">  应设置泄漏应急处理装置。</w:t>
      </w:r>
    </w:p>
    <w:p>
      <w:pPr>
        <w:ind w:firstLine="0"/>
        <w:jc w:val="both"/>
      </w:pPr>
      <w:r>
        <w:rPr>
          <w:rFonts w:hint="eastAsia"/>
          <w:b/>
        </w:rPr>
        <w:t>4</w:t>
      </w:r>
      <w:r>
        <w:rPr>
          <w:b/>
        </w:rPr>
        <w:t>.</w:t>
      </w:r>
      <w:r>
        <w:rPr>
          <w:rFonts w:hint="eastAsia"/>
          <w:b/>
        </w:rPr>
        <w:t>1</w:t>
      </w:r>
      <w:r>
        <w:rPr>
          <w:b/>
        </w:rPr>
        <w:t>.</w:t>
      </w:r>
      <w:r>
        <w:rPr>
          <w:rFonts w:hint="eastAsia"/>
          <w:b/>
        </w:rPr>
        <w:t>5</w:t>
      </w:r>
      <w:r>
        <w:t xml:space="preserve"> </w:t>
      </w:r>
      <w:r>
        <w:rPr>
          <w:rFonts w:hint="eastAsia"/>
        </w:rPr>
        <w:t xml:space="preserve"> 在使用酸、碱的作业场所，应采取防止人员灼伤的措施，并应设置洗眼器和安全喷淋洗涤设施。</w:t>
      </w:r>
    </w:p>
    <w:p>
      <w:pPr>
        <w:ind w:firstLine="0"/>
        <w:jc w:val="both"/>
      </w:pPr>
      <w:r>
        <w:rPr>
          <w:rFonts w:hint="eastAsia"/>
          <w:b/>
        </w:rPr>
        <w:t>4</w:t>
      </w:r>
      <w:r>
        <w:rPr>
          <w:b/>
        </w:rPr>
        <w:t>.</w:t>
      </w:r>
      <w:r>
        <w:rPr>
          <w:rFonts w:hint="eastAsia"/>
          <w:b/>
        </w:rPr>
        <w:t>1</w:t>
      </w:r>
      <w:r>
        <w:rPr>
          <w:b/>
        </w:rPr>
        <w:t>.</w:t>
      </w:r>
      <w:r>
        <w:rPr>
          <w:rFonts w:hint="eastAsia"/>
          <w:b/>
        </w:rPr>
        <w:t>6</w:t>
      </w:r>
      <w:r>
        <w:rPr>
          <w:rFonts w:hint="eastAsia"/>
        </w:rPr>
        <w:t xml:space="preserve">  贮存和使用含重金属的液体或液氯、酸、碱等有害化学品的场所，应设置围堰、事故池。围堰、地面及事故池应防渗、防腐，露天场所应防雨。</w:t>
      </w:r>
    </w:p>
    <w:p>
      <w:pPr>
        <w:ind w:firstLine="0"/>
        <w:jc w:val="both"/>
      </w:pPr>
      <w:r>
        <w:rPr>
          <w:rFonts w:hint="eastAsia"/>
          <w:b/>
        </w:rPr>
        <w:t>4</w:t>
      </w:r>
      <w:r>
        <w:rPr>
          <w:b/>
        </w:rPr>
        <w:t>.</w:t>
      </w:r>
      <w:r>
        <w:rPr>
          <w:rFonts w:hint="eastAsia"/>
          <w:b/>
        </w:rPr>
        <w:t>1</w:t>
      </w:r>
      <w:r>
        <w:rPr>
          <w:b/>
        </w:rPr>
        <w:t>.</w:t>
      </w:r>
      <w:r>
        <w:rPr>
          <w:rFonts w:hint="eastAsia"/>
          <w:b/>
        </w:rPr>
        <w:t>7</w:t>
      </w:r>
      <w:r>
        <w:rPr>
          <w:rFonts w:hint="eastAsia"/>
        </w:rPr>
        <w:t xml:space="preserve">  处理有爆炸危险性粉尘的干式除尘器应设置在负压段，并应符合下列规定：</w:t>
      </w:r>
    </w:p>
    <w:p>
      <w:pPr>
        <w:spacing w:line="360" w:lineRule="auto"/>
        <w:ind w:firstLine="461" w:firstLineChars="200"/>
        <w:jc w:val="both"/>
      </w:pPr>
      <w:r>
        <w:rPr>
          <w:b/>
        </w:rPr>
        <w:t>1</w:t>
      </w:r>
      <w:r>
        <w:rPr>
          <w:rFonts w:hint="eastAsia"/>
        </w:rPr>
        <w:t xml:space="preserve">  应采用防爆型布袋除尘器，且应采用抗静电并阻燃滤料。</w:t>
      </w:r>
    </w:p>
    <w:p>
      <w:pPr>
        <w:spacing w:line="360" w:lineRule="auto"/>
        <w:ind w:firstLine="461" w:firstLineChars="200"/>
        <w:jc w:val="both"/>
      </w:pPr>
      <w:r>
        <w:rPr>
          <w:b/>
        </w:rPr>
        <w:t>2</w:t>
      </w:r>
      <w:r>
        <w:rPr>
          <w:rFonts w:hint="eastAsia"/>
        </w:rPr>
        <w:t xml:space="preserve">  应设置自闭式泄压装置。</w:t>
      </w:r>
    </w:p>
    <w:p>
      <w:pPr>
        <w:spacing w:line="360" w:lineRule="auto"/>
        <w:ind w:firstLine="461" w:firstLineChars="200"/>
        <w:jc w:val="both"/>
      </w:pPr>
      <w:r>
        <w:rPr>
          <w:b/>
        </w:rPr>
        <w:t>3</w:t>
      </w:r>
      <w:r>
        <w:rPr>
          <w:rFonts w:hint="eastAsia"/>
        </w:rPr>
        <w:t xml:space="preserve">  应设置安全联锁装置或遥控装置，当存在爆炸危险时切断所有电机电源。</w:t>
      </w:r>
    </w:p>
    <w:p>
      <w:pPr>
        <w:ind w:firstLine="0"/>
        <w:jc w:val="both"/>
      </w:pPr>
      <w:r>
        <w:rPr>
          <w:rFonts w:hint="eastAsia"/>
          <w:b/>
        </w:rPr>
        <w:t>4</w:t>
      </w:r>
      <w:r>
        <w:rPr>
          <w:b/>
        </w:rPr>
        <w:t>.</w:t>
      </w:r>
      <w:r>
        <w:rPr>
          <w:rFonts w:hint="eastAsia"/>
          <w:b/>
        </w:rPr>
        <w:t>1</w:t>
      </w:r>
      <w:r>
        <w:rPr>
          <w:b/>
        </w:rPr>
        <w:t>.</w:t>
      </w:r>
      <w:r>
        <w:rPr>
          <w:rFonts w:hint="eastAsia"/>
          <w:b/>
        </w:rPr>
        <w:t>8</w:t>
      </w:r>
      <w:r>
        <w:rPr>
          <w:rFonts w:hint="eastAsia"/>
        </w:rPr>
        <w:t xml:space="preserve">  有爆炸危险的厂房或厂房内有爆炸危险的部位，应设置防爆墙、泄爆口等泄压设施。</w:t>
      </w:r>
    </w:p>
    <w:p>
      <w:pPr>
        <w:ind w:firstLine="0"/>
        <w:jc w:val="both"/>
      </w:pPr>
      <w:r>
        <w:rPr>
          <w:rFonts w:hint="eastAsia"/>
          <w:b/>
        </w:rPr>
        <w:t>4</w:t>
      </w:r>
      <w:r>
        <w:rPr>
          <w:b/>
        </w:rPr>
        <w:t>.</w:t>
      </w:r>
      <w:r>
        <w:rPr>
          <w:rFonts w:hint="eastAsia"/>
          <w:b/>
        </w:rPr>
        <w:t>1</w:t>
      </w:r>
      <w:r>
        <w:rPr>
          <w:b/>
        </w:rPr>
        <w:t>.</w:t>
      </w:r>
      <w:r>
        <w:rPr>
          <w:rFonts w:hint="eastAsia"/>
          <w:b/>
        </w:rPr>
        <w:t>9</w:t>
      </w:r>
      <w:r>
        <w:t xml:space="preserve"> </w:t>
      </w:r>
      <w:r>
        <w:rPr>
          <w:rFonts w:hint="eastAsia"/>
        </w:rPr>
        <w:t xml:space="preserve"> </w:t>
      </w:r>
      <w:r>
        <w:rPr>
          <w:rFonts w:hint="eastAsia"/>
          <w:snapToGrid w:val="0"/>
          <w:spacing w:val="0"/>
          <w:kern w:val="24"/>
          <w:szCs w:val="24"/>
        </w:rPr>
        <w:t>存在或</w:t>
      </w:r>
      <w:r>
        <w:rPr>
          <w:snapToGrid w:val="0"/>
          <w:spacing w:val="0"/>
          <w:kern w:val="24"/>
          <w:szCs w:val="24"/>
        </w:rPr>
        <w:t>可能发生急性职业病危害的有毒、有害的生产车间</w:t>
      </w:r>
      <w:r>
        <w:rPr>
          <w:rFonts w:hint="eastAsia"/>
          <w:snapToGrid w:val="0"/>
          <w:spacing w:val="0"/>
          <w:kern w:val="24"/>
          <w:szCs w:val="24"/>
        </w:rPr>
        <w:t>，</w:t>
      </w:r>
      <w:r>
        <w:rPr>
          <w:snapToGrid w:val="0"/>
          <w:spacing w:val="0"/>
          <w:kern w:val="24"/>
          <w:szCs w:val="24"/>
        </w:rPr>
        <w:t>应设置事故防范和应急救援设施及设备，并</w:t>
      </w:r>
      <w:r>
        <w:rPr>
          <w:rFonts w:hint="eastAsia"/>
          <w:snapToGrid w:val="0"/>
          <w:spacing w:val="0"/>
          <w:kern w:val="24"/>
          <w:szCs w:val="24"/>
        </w:rPr>
        <w:t>应设置</w:t>
      </w:r>
      <w:r>
        <w:rPr>
          <w:snapToGrid w:val="0"/>
          <w:spacing w:val="0"/>
          <w:kern w:val="24"/>
          <w:szCs w:val="24"/>
        </w:rPr>
        <w:t>应急通道</w:t>
      </w:r>
      <w:r>
        <w:rPr>
          <w:rFonts w:hint="eastAsia"/>
          <w:snapToGrid w:val="0"/>
          <w:spacing w:val="0"/>
          <w:kern w:val="24"/>
          <w:szCs w:val="24"/>
        </w:rPr>
        <w:t>和</w:t>
      </w:r>
      <w:r>
        <w:rPr>
          <w:snapToGrid w:val="0"/>
          <w:spacing w:val="0"/>
          <w:kern w:val="24"/>
          <w:szCs w:val="24"/>
        </w:rPr>
        <w:t>职业病危害警示标志</w:t>
      </w:r>
      <w:r>
        <w:t>。</w:t>
      </w:r>
    </w:p>
    <w:p>
      <w:pPr>
        <w:ind w:firstLine="0"/>
        <w:jc w:val="both"/>
      </w:pPr>
      <w:r>
        <w:rPr>
          <w:rFonts w:hint="eastAsia"/>
          <w:b/>
        </w:rPr>
        <w:t>4</w:t>
      </w:r>
      <w:r>
        <w:rPr>
          <w:b/>
        </w:rPr>
        <w:t>.</w:t>
      </w:r>
      <w:r>
        <w:rPr>
          <w:rFonts w:hint="eastAsia"/>
          <w:b/>
        </w:rPr>
        <w:t>1</w:t>
      </w:r>
      <w:r>
        <w:rPr>
          <w:b/>
        </w:rPr>
        <w:t>.</w:t>
      </w:r>
      <w:r>
        <w:rPr>
          <w:rFonts w:hint="eastAsia"/>
          <w:b/>
        </w:rPr>
        <w:t>10</w:t>
      </w:r>
      <w:r>
        <w:rPr>
          <w:rFonts w:hint="eastAsia"/>
        </w:rPr>
        <w:t xml:space="preserve">  厂界噪声和车间工作区域噪声水平应符合现行国家和项目所在地有关噪声标准的要求。</w:t>
      </w:r>
    </w:p>
    <w:p>
      <w:pPr>
        <w:ind w:firstLine="0"/>
        <w:jc w:val="both"/>
      </w:pPr>
      <w:r>
        <w:rPr>
          <w:rFonts w:hint="eastAsia"/>
          <w:b/>
        </w:rPr>
        <w:t>4.1.11</w:t>
      </w:r>
      <w:r>
        <w:rPr>
          <w:rFonts w:hint="eastAsia"/>
        </w:rPr>
        <w:t xml:space="preserve"> </w:t>
      </w:r>
      <w:r>
        <w:rPr>
          <w:rFonts w:hint="eastAsia"/>
          <w:snapToGrid w:val="0"/>
          <w:spacing w:val="0"/>
          <w:kern w:val="24"/>
          <w:szCs w:val="24"/>
        </w:rPr>
        <w:t xml:space="preserve"> 有色金属加工工程项目</w:t>
      </w:r>
      <w:r>
        <w:rPr>
          <w:snapToGrid w:val="0"/>
          <w:spacing w:val="0"/>
          <w:kern w:val="24"/>
          <w:szCs w:val="24"/>
        </w:rPr>
        <w:t>应按照《国家危险废物名录》、国家规定的危险废物鉴别标准(GB5085.1-7)和鉴别方法对项目投产后产生的固体废物进行危险废物鉴别</w:t>
      </w:r>
      <w:r>
        <w:rPr>
          <w:rFonts w:hint="eastAsia"/>
          <w:snapToGrid w:val="0"/>
          <w:spacing w:val="0"/>
          <w:kern w:val="24"/>
          <w:szCs w:val="24"/>
        </w:rPr>
        <w:t>。固体废物和危险废物的污染防治、利用处置和环境管理应符合现行国家和项目所在地有关法律法规和标准规范有关要求。</w:t>
      </w:r>
    </w:p>
    <w:p>
      <w:pPr>
        <w:ind w:firstLine="0"/>
        <w:jc w:val="both"/>
      </w:pPr>
      <w:r>
        <w:rPr>
          <w:rFonts w:hint="eastAsia"/>
          <w:b/>
        </w:rPr>
        <w:t>4</w:t>
      </w:r>
      <w:r>
        <w:rPr>
          <w:b/>
        </w:rPr>
        <w:t>.</w:t>
      </w:r>
      <w:r>
        <w:rPr>
          <w:rFonts w:hint="eastAsia"/>
          <w:b/>
        </w:rPr>
        <w:t>1</w:t>
      </w:r>
      <w:r>
        <w:rPr>
          <w:b/>
        </w:rPr>
        <w:t>.</w:t>
      </w:r>
      <w:r>
        <w:rPr>
          <w:rFonts w:hint="eastAsia"/>
          <w:b/>
        </w:rPr>
        <w:t>12</w:t>
      </w:r>
      <w:r>
        <w:rPr>
          <w:rFonts w:hint="eastAsia"/>
        </w:rPr>
        <w:t xml:space="preserve">  </w:t>
      </w:r>
      <w:r>
        <w:rPr>
          <w:rFonts w:hint="eastAsia"/>
          <w:snapToGrid w:val="0"/>
          <w:spacing w:val="0"/>
          <w:kern w:val="24"/>
          <w:szCs w:val="24"/>
        </w:rPr>
        <w:t>收集的烟尘灰、熔渣、废水及废液处理产生的污泥等含有铍、镉、砷、铬、镍等有毒元素的铜合金固体废物，应设置专用暂存库堆存；不回收利用时，应采取无害化处理或安全处置措施</w:t>
      </w:r>
    </w:p>
    <w:p>
      <w:pPr>
        <w:ind w:firstLine="0"/>
        <w:jc w:val="both"/>
      </w:pPr>
      <w:r>
        <w:rPr>
          <w:rFonts w:hint="eastAsia"/>
          <w:b/>
        </w:rPr>
        <w:t>4</w:t>
      </w:r>
      <w:r>
        <w:rPr>
          <w:b/>
        </w:rPr>
        <w:t>.</w:t>
      </w:r>
      <w:r>
        <w:rPr>
          <w:rFonts w:hint="eastAsia"/>
          <w:b/>
        </w:rPr>
        <w:t>1</w:t>
      </w:r>
      <w:r>
        <w:rPr>
          <w:b/>
        </w:rPr>
        <w:t>.1</w:t>
      </w:r>
      <w:r>
        <w:rPr>
          <w:rFonts w:hint="eastAsia"/>
          <w:b/>
        </w:rPr>
        <w:t>3</w:t>
      </w:r>
      <w:r>
        <w:rPr>
          <w:rFonts w:hint="eastAsia"/>
        </w:rPr>
        <w:t xml:space="preserve">  废水、废液污染物排放应符合国家和项目所在地有关污染物排放的规定。含铍、铬、镉、砷、铅、镍等第一类污染物的废液及漂洗废水，应分类收集，分质处理，严禁超标排放。</w:t>
      </w:r>
    </w:p>
    <w:p>
      <w:pPr>
        <w:ind w:firstLine="0"/>
        <w:jc w:val="both"/>
      </w:pPr>
      <w:r>
        <w:rPr>
          <w:rFonts w:hint="eastAsia"/>
          <w:b/>
        </w:rPr>
        <w:t xml:space="preserve">4.1.14  </w:t>
      </w:r>
      <w:r>
        <w:rPr>
          <w:rFonts w:hint="eastAsia"/>
        </w:rPr>
        <w:t>产生烟（粉）尘、二氧化硫、酸雾和其他有害气体的作业区，应设置通风净化装置；当烟气中二氧化硫、氮氧化物等浓度超过排放标准和污染物排放总量的要求，或烟气量超过相关单位产品基准排气量时，应设置脱硫、脱硝系统。</w:t>
      </w:r>
    </w:p>
    <w:p>
      <w:pPr>
        <w:ind w:firstLine="0"/>
        <w:jc w:val="both"/>
      </w:pPr>
      <w:r>
        <w:rPr>
          <w:rFonts w:hint="eastAsia"/>
          <w:b/>
        </w:rPr>
        <w:t>4.1.15</w:t>
      </w:r>
      <w:r>
        <w:rPr>
          <w:rFonts w:hint="eastAsia"/>
        </w:rPr>
        <w:t xml:space="preserve">  主要生产设施建筑物的安全等级不应低于二级，建筑结构设计使用年限不应低于</w:t>
      </w:r>
      <w:r>
        <w:t>50</w:t>
      </w:r>
      <w:r>
        <w:rPr>
          <w:rFonts w:hint="eastAsia"/>
        </w:rPr>
        <w:t>年。</w:t>
      </w:r>
    </w:p>
    <w:p>
      <w:pPr>
        <w:ind w:firstLine="0"/>
        <w:jc w:val="both"/>
      </w:pPr>
      <w:r>
        <w:rPr>
          <w:rFonts w:hint="eastAsia"/>
          <w:b/>
        </w:rPr>
        <w:t>4.1.16</w:t>
      </w:r>
      <w:r>
        <w:rPr>
          <w:rFonts w:hint="eastAsia"/>
        </w:rPr>
        <w:t xml:space="preserve">  主要生产设施建筑物的火灾危险性类别应为丁类，耐火等级不应低于二级。</w:t>
      </w:r>
    </w:p>
    <w:p>
      <w:pPr>
        <w:pStyle w:val="5"/>
        <w:keepNext w:val="0"/>
        <w:keepLines w:val="0"/>
        <w:widowControl w:val="0"/>
        <w:adjustRightInd w:val="0"/>
        <w:snapToGrid w:val="0"/>
        <w:jc w:val="center"/>
        <w:rPr>
          <w:snapToGrid w:val="0"/>
          <w:color w:val="000000" w:themeColor="text1"/>
          <w:spacing w:val="0"/>
          <w:kern w:val="24"/>
          <w:sz w:val="28"/>
          <w:szCs w:val="28"/>
        </w:rPr>
      </w:pPr>
      <w:bookmarkStart w:id="21" w:name="_Toc126931137"/>
      <w:bookmarkStart w:id="22" w:name="_Toc126850495"/>
      <w:bookmarkStart w:id="23" w:name="_Toc126929554"/>
      <w:r>
        <w:rPr>
          <w:rFonts w:hint="eastAsia"/>
          <w:snapToGrid w:val="0"/>
          <w:color w:val="000000" w:themeColor="text1"/>
          <w:spacing w:val="0"/>
          <w:kern w:val="24"/>
          <w:sz w:val="28"/>
          <w:szCs w:val="28"/>
        </w:rPr>
        <w:t>4</w:t>
      </w:r>
      <w:r>
        <w:rPr>
          <w:snapToGrid w:val="0"/>
          <w:color w:val="000000" w:themeColor="text1"/>
          <w:spacing w:val="0"/>
          <w:kern w:val="24"/>
          <w:sz w:val="28"/>
          <w:szCs w:val="28"/>
        </w:rPr>
        <w:t>.</w:t>
      </w:r>
      <w:r>
        <w:rPr>
          <w:rFonts w:hint="eastAsia"/>
          <w:snapToGrid w:val="0"/>
          <w:color w:val="000000" w:themeColor="text1"/>
          <w:spacing w:val="0"/>
          <w:kern w:val="24"/>
          <w:sz w:val="28"/>
          <w:szCs w:val="28"/>
        </w:rPr>
        <w:t>2</w:t>
      </w:r>
      <w:r>
        <w:rPr>
          <w:snapToGrid w:val="0"/>
          <w:color w:val="000000" w:themeColor="text1"/>
          <w:spacing w:val="0"/>
          <w:kern w:val="24"/>
          <w:sz w:val="28"/>
          <w:szCs w:val="28"/>
        </w:rPr>
        <w:t xml:space="preserve">  </w:t>
      </w:r>
      <w:r>
        <w:rPr>
          <w:rFonts w:hint="eastAsia"/>
          <w:snapToGrid w:val="0"/>
          <w:color w:val="000000" w:themeColor="text1"/>
          <w:spacing w:val="0"/>
          <w:kern w:val="24"/>
          <w:sz w:val="28"/>
          <w:szCs w:val="28"/>
        </w:rPr>
        <w:t>原料处理和熔铸设施</w:t>
      </w:r>
      <w:bookmarkEnd w:id="21"/>
      <w:bookmarkEnd w:id="22"/>
      <w:bookmarkEnd w:id="23"/>
    </w:p>
    <w:p>
      <w:pPr>
        <w:ind w:firstLine="0"/>
        <w:jc w:val="both"/>
        <w:rPr>
          <w:color w:val="000000" w:themeColor="text1"/>
        </w:rPr>
      </w:pPr>
      <w:r>
        <w:rPr>
          <w:rFonts w:hint="eastAsia"/>
          <w:b/>
          <w:color w:val="000000" w:themeColor="text1"/>
        </w:rPr>
        <w:t>4</w:t>
      </w:r>
      <w:r>
        <w:rPr>
          <w:b/>
          <w:color w:val="000000" w:themeColor="text1"/>
        </w:rPr>
        <w:t>.</w:t>
      </w:r>
      <w:r>
        <w:rPr>
          <w:rFonts w:hint="eastAsia"/>
          <w:b/>
          <w:color w:val="000000" w:themeColor="text1"/>
        </w:rPr>
        <w:t>2.1</w:t>
      </w:r>
      <w:r>
        <w:rPr>
          <w:color w:val="000000" w:themeColor="text1"/>
        </w:rPr>
        <w:t xml:space="preserve">  </w:t>
      </w:r>
      <w:r>
        <w:rPr>
          <w:rFonts w:hint="eastAsia"/>
          <w:color w:val="000000" w:themeColor="text1"/>
        </w:rPr>
        <w:t>废铜、废铝采用高温火法进行表面预处理和再生熔炼时，预处理设备和熔炼炉炉门及扒渣口等应设置集气罩，机械排烟系统应设置急冷却、活性炭吸附和高效除尘器等处理装置，并应防止或减少二噁英类有害物质的产生。</w:t>
      </w:r>
    </w:p>
    <w:p>
      <w:pPr>
        <w:ind w:firstLine="0"/>
        <w:jc w:val="both"/>
      </w:pPr>
      <w:r>
        <w:rPr>
          <w:rFonts w:hint="eastAsia"/>
          <w:b/>
        </w:rPr>
        <w:t>4</w:t>
      </w:r>
      <w:r>
        <w:rPr>
          <w:b/>
        </w:rPr>
        <w:t>.</w:t>
      </w:r>
      <w:r>
        <w:rPr>
          <w:rFonts w:hint="eastAsia"/>
          <w:b/>
        </w:rPr>
        <w:t>2</w:t>
      </w:r>
      <w:r>
        <w:rPr>
          <w:b/>
        </w:rPr>
        <w:t>.</w:t>
      </w:r>
      <w:r>
        <w:rPr>
          <w:rFonts w:hint="eastAsia"/>
          <w:b/>
        </w:rPr>
        <w:t>2</w:t>
      </w:r>
      <w:r>
        <w:t xml:space="preserve"> </w:t>
      </w:r>
      <w:r>
        <w:rPr>
          <w:rFonts w:hint="eastAsia"/>
        </w:rPr>
        <w:t xml:space="preserve"> 熔炼设备应设置排烟和除尘处理设施；当烟气中酸性有害气体超标时，应进行脱硫、脱酸处理。</w:t>
      </w:r>
    </w:p>
    <w:p>
      <w:pPr>
        <w:ind w:firstLine="0"/>
        <w:jc w:val="both"/>
      </w:pPr>
      <w:r>
        <w:rPr>
          <w:rFonts w:hint="eastAsia"/>
          <w:b/>
        </w:rPr>
        <w:t>4</w:t>
      </w:r>
      <w:r>
        <w:rPr>
          <w:b/>
        </w:rPr>
        <w:t>.</w:t>
      </w:r>
      <w:r>
        <w:rPr>
          <w:rFonts w:hint="eastAsia"/>
          <w:b/>
        </w:rPr>
        <w:t>2</w:t>
      </w:r>
      <w:r>
        <w:rPr>
          <w:b/>
        </w:rPr>
        <w:t>.</w:t>
      </w:r>
      <w:r>
        <w:rPr>
          <w:rFonts w:hint="eastAsia"/>
          <w:b/>
        </w:rPr>
        <w:t>3</w:t>
      </w:r>
      <w:r>
        <w:rPr>
          <w:rFonts w:hint="eastAsia"/>
        </w:rPr>
        <w:t xml:space="preserve">  熔炼、铸造含有铍、镉等有毒元素的铜合金时，应对烟尘逸散点采取密闭收集净化措施。经净化后的烟气应达到排放标准。</w:t>
      </w:r>
    </w:p>
    <w:p>
      <w:pPr>
        <w:ind w:firstLine="0"/>
        <w:jc w:val="both"/>
      </w:pPr>
      <w:r>
        <w:rPr>
          <w:rFonts w:hint="eastAsia"/>
          <w:b/>
        </w:rPr>
        <w:t>4</w:t>
      </w:r>
      <w:r>
        <w:rPr>
          <w:b/>
        </w:rPr>
        <w:t>.</w:t>
      </w:r>
      <w:r>
        <w:rPr>
          <w:rFonts w:hint="eastAsia"/>
          <w:b/>
        </w:rPr>
        <w:t>2</w:t>
      </w:r>
      <w:r>
        <w:rPr>
          <w:b/>
        </w:rPr>
        <w:t>.</w:t>
      </w:r>
      <w:r>
        <w:rPr>
          <w:rFonts w:hint="eastAsia"/>
          <w:b/>
        </w:rPr>
        <w:t>4</w:t>
      </w:r>
      <w:r>
        <w:rPr>
          <w:rFonts w:hint="eastAsia"/>
        </w:rPr>
        <w:t xml:space="preserve">  镁合金熔炉应采取完全封闭的气体保护措施，禁止使用六氯乙烷和SF6作为精炼剂、保护气体。</w:t>
      </w:r>
    </w:p>
    <w:p>
      <w:pPr>
        <w:ind w:firstLine="0"/>
        <w:jc w:val="both"/>
      </w:pPr>
      <w:r>
        <w:rPr>
          <w:rFonts w:hint="eastAsia"/>
          <w:b/>
        </w:rPr>
        <w:t>4</w:t>
      </w:r>
      <w:r>
        <w:rPr>
          <w:b/>
        </w:rPr>
        <w:t>.</w:t>
      </w:r>
      <w:r>
        <w:rPr>
          <w:rFonts w:hint="eastAsia"/>
          <w:b/>
        </w:rPr>
        <w:t>2</w:t>
      </w:r>
      <w:r>
        <w:rPr>
          <w:b/>
        </w:rPr>
        <w:t>.</w:t>
      </w:r>
      <w:r>
        <w:rPr>
          <w:rFonts w:hint="eastAsia"/>
          <w:b/>
        </w:rPr>
        <w:t>5</w:t>
      </w:r>
      <w:r>
        <w:rPr>
          <w:rFonts w:hint="eastAsia"/>
        </w:rPr>
        <w:t xml:space="preserve">  钛材熔炼用真空自耗电弧炉应设置防爆、泄爆设施。</w:t>
      </w:r>
    </w:p>
    <w:p>
      <w:pPr>
        <w:ind w:firstLine="0"/>
        <w:jc w:val="both"/>
      </w:pPr>
      <w:r>
        <w:rPr>
          <w:rFonts w:hint="eastAsia"/>
          <w:b/>
        </w:rPr>
        <w:t>4</w:t>
      </w:r>
      <w:r>
        <w:rPr>
          <w:b/>
        </w:rPr>
        <w:t>.</w:t>
      </w:r>
      <w:r>
        <w:rPr>
          <w:rFonts w:hint="eastAsia"/>
          <w:b/>
        </w:rPr>
        <w:t>2</w:t>
      </w:r>
      <w:r>
        <w:rPr>
          <w:b/>
        </w:rPr>
        <w:t>.</w:t>
      </w:r>
      <w:r>
        <w:rPr>
          <w:rFonts w:hint="eastAsia"/>
          <w:b/>
        </w:rPr>
        <w:t>6</w:t>
      </w:r>
      <w:r>
        <w:t xml:space="preserve"> </w:t>
      </w:r>
      <w:r>
        <w:rPr>
          <w:rFonts w:hint="eastAsia"/>
        </w:rPr>
        <w:t xml:space="preserve"> </w:t>
      </w:r>
      <w:r>
        <w:t>倾动式</w:t>
      </w:r>
      <w:r>
        <w:rPr>
          <w:rFonts w:hint="eastAsia"/>
        </w:rPr>
        <w:t>熔炼炉、保温</w:t>
      </w:r>
      <w:r>
        <w:t>炉的液压驱动装置，应具有紧急停止时炉体能自动倾动至安全位置的功能。</w:t>
      </w:r>
    </w:p>
    <w:p>
      <w:pPr>
        <w:ind w:firstLine="0"/>
        <w:jc w:val="both"/>
      </w:pPr>
      <w:r>
        <w:rPr>
          <w:rFonts w:hint="eastAsia"/>
          <w:b/>
        </w:rPr>
        <w:t>4</w:t>
      </w:r>
      <w:r>
        <w:rPr>
          <w:b/>
        </w:rPr>
        <w:t>.</w:t>
      </w:r>
      <w:r>
        <w:rPr>
          <w:rFonts w:hint="eastAsia"/>
          <w:b/>
        </w:rPr>
        <w:t>2</w:t>
      </w:r>
      <w:r>
        <w:rPr>
          <w:b/>
        </w:rPr>
        <w:t>.</w:t>
      </w:r>
      <w:r>
        <w:rPr>
          <w:rFonts w:hint="eastAsia"/>
          <w:b/>
        </w:rPr>
        <w:t>7</w:t>
      </w:r>
      <w:r>
        <w:rPr>
          <w:rFonts w:hint="eastAsia"/>
        </w:rPr>
        <w:t xml:space="preserve">  铜及铜合金感应熔炼炉和感应保温炉</w:t>
      </w:r>
      <w:r>
        <w:t>应设置事故坑</w:t>
      </w:r>
      <w:r>
        <w:rPr>
          <w:rFonts w:hint="eastAsia"/>
        </w:rPr>
        <w:t>和事故应急水，事故坑应能容纳炉内的全部铜液。有芯感应电炉应设置应急电源。</w:t>
      </w:r>
    </w:p>
    <w:p>
      <w:pPr>
        <w:ind w:firstLine="0"/>
        <w:jc w:val="both"/>
        <w:rPr>
          <w:highlight w:val="yellow"/>
        </w:rPr>
      </w:pPr>
      <w:r>
        <w:rPr>
          <w:rFonts w:hint="eastAsia"/>
          <w:b/>
        </w:rPr>
        <w:t>4</w:t>
      </w:r>
      <w:r>
        <w:rPr>
          <w:b/>
        </w:rPr>
        <w:t>.</w:t>
      </w:r>
      <w:r>
        <w:rPr>
          <w:rFonts w:hint="eastAsia"/>
          <w:b/>
        </w:rPr>
        <w:t>2</w:t>
      </w:r>
      <w:r>
        <w:rPr>
          <w:b/>
        </w:rPr>
        <w:t>.</w:t>
      </w:r>
      <w:r>
        <w:rPr>
          <w:rFonts w:hint="eastAsia"/>
          <w:b/>
        </w:rPr>
        <w:t>8</w:t>
      </w:r>
      <w:r>
        <w:rPr>
          <w:rFonts w:hint="eastAsia"/>
        </w:rPr>
        <w:t xml:space="preserve">  高温工作的熔炼、保温及铸造设备的水冷元件应设置应急冷却水源等应急设施。</w:t>
      </w:r>
    </w:p>
    <w:p>
      <w:pPr>
        <w:ind w:firstLine="0"/>
        <w:jc w:val="both"/>
      </w:pPr>
      <w:r>
        <w:rPr>
          <w:rFonts w:hint="eastAsia"/>
          <w:b/>
        </w:rPr>
        <w:t>4</w:t>
      </w:r>
      <w:r>
        <w:rPr>
          <w:b/>
        </w:rPr>
        <w:t>.</w:t>
      </w:r>
      <w:r>
        <w:rPr>
          <w:rFonts w:hint="eastAsia"/>
          <w:b/>
        </w:rPr>
        <w:t>2</w:t>
      </w:r>
      <w:r>
        <w:rPr>
          <w:b/>
        </w:rPr>
        <w:t>.</w:t>
      </w:r>
      <w:r>
        <w:rPr>
          <w:rFonts w:hint="eastAsia"/>
          <w:b/>
        </w:rPr>
        <w:t>9</w:t>
      </w:r>
      <w:r>
        <w:rPr>
          <w:rFonts w:hint="eastAsia"/>
        </w:rPr>
        <w:t xml:space="preserve">  铝及铝合金</w:t>
      </w:r>
      <w:r>
        <w:rPr>
          <w:rFonts w:hint="eastAsia"/>
          <w:snapToGrid w:val="0"/>
          <w:spacing w:val="0"/>
          <w:kern w:val="24"/>
          <w:szCs w:val="24"/>
        </w:rPr>
        <w:t>熔炼炉、保温炉、除气过滤设备、流槽和铸造机等设备，应设置熔融金属紧急排放和储存的设施，并在设备周围设置拦挡围堰；设备正上方不应设置通风装置、天窗、水管等存在滴水、漏水隐患的设施</w:t>
      </w:r>
      <w:r>
        <w:rPr>
          <w:rFonts w:hint="eastAsia"/>
        </w:rPr>
        <w:t>。</w:t>
      </w:r>
    </w:p>
    <w:p>
      <w:pPr>
        <w:ind w:firstLine="0"/>
        <w:jc w:val="both"/>
        <w:rPr>
          <w:snapToGrid w:val="0"/>
          <w:spacing w:val="0"/>
          <w:kern w:val="24"/>
          <w:szCs w:val="24"/>
        </w:rPr>
      </w:pPr>
      <w:r>
        <w:rPr>
          <w:rFonts w:hint="eastAsia"/>
          <w:b/>
        </w:rPr>
        <w:t>4</w:t>
      </w:r>
      <w:r>
        <w:rPr>
          <w:b/>
        </w:rPr>
        <w:t>.</w:t>
      </w:r>
      <w:r>
        <w:rPr>
          <w:rFonts w:hint="eastAsia"/>
          <w:b/>
        </w:rPr>
        <w:t>2</w:t>
      </w:r>
      <w:r>
        <w:rPr>
          <w:b/>
        </w:rPr>
        <w:t>.</w:t>
      </w:r>
      <w:r>
        <w:rPr>
          <w:rFonts w:hint="eastAsia"/>
          <w:b/>
        </w:rPr>
        <w:t>10</w:t>
      </w:r>
      <w:r>
        <w:rPr>
          <w:rFonts w:hint="eastAsia"/>
        </w:rPr>
        <w:t xml:space="preserve">  吊运高温熔融金属及熔渣的起重机应</w:t>
      </w:r>
      <w:r>
        <w:rPr>
          <w:rFonts w:hint="eastAsia"/>
          <w:snapToGrid w:val="0"/>
          <w:spacing w:val="0"/>
          <w:kern w:val="24"/>
          <w:szCs w:val="24"/>
        </w:rPr>
        <w:t>符合现行行业标准《冶金起重机技术条件 铸造起重机》JB/T7688.15的有关规定。</w:t>
      </w:r>
    </w:p>
    <w:p>
      <w:pPr>
        <w:ind w:firstLine="0"/>
        <w:jc w:val="both"/>
      </w:pPr>
      <w:r>
        <w:rPr>
          <w:rFonts w:hint="eastAsia"/>
          <w:b/>
        </w:rPr>
        <w:t>4</w:t>
      </w:r>
      <w:r>
        <w:rPr>
          <w:b/>
        </w:rPr>
        <w:t>.</w:t>
      </w:r>
      <w:r>
        <w:rPr>
          <w:rFonts w:hint="eastAsia"/>
          <w:b/>
        </w:rPr>
        <w:t>2</w:t>
      </w:r>
      <w:r>
        <w:rPr>
          <w:b/>
        </w:rPr>
        <w:t>.</w:t>
      </w:r>
      <w:r>
        <w:rPr>
          <w:rFonts w:hint="eastAsia"/>
          <w:b/>
        </w:rPr>
        <w:t>11</w:t>
      </w:r>
      <w:r>
        <w:rPr>
          <w:rFonts w:hint="eastAsia"/>
        </w:rPr>
        <w:t xml:space="preserve">  高温熔融金属熔炼、保温、运输、吊运过程中，应采取防止泄漏、喷溅、爆炸伤人的安全措施，影响区域不得有非生产性积水和易燃易爆物品。</w:t>
      </w:r>
    </w:p>
    <w:p>
      <w:pPr>
        <w:ind w:firstLine="0"/>
        <w:jc w:val="both"/>
      </w:pPr>
      <w:r>
        <w:rPr>
          <w:rFonts w:hint="eastAsia"/>
          <w:b/>
        </w:rPr>
        <w:t>4</w:t>
      </w:r>
      <w:r>
        <w:rPr>
          <w:b/>
        </w:rPr>
        <w:t>.</w:t>
      </w:r>
      <w:r>
        <w:rPr>
          <w:rFonts w:hint="eastAsia"/>
          <w:b/>
        </w:rPr>
        <w:t>2</w:t>
      </w:r>
      <w:r>
        <w:rPr>
          <w:b/>
        </w:rPr>
        <w:t>.</w:t>
      </w:r>
      <w:r>
        <w:rPr>
          <w:rFonts w:hint="eastAsia"/>
          <w:b/>
        </w:rPr>
        <w:t>12</w:t>
      </w:r>
      <w:r>
        <w:rPr>
          <w:rFonts w:hint="eastAsia"/>
        </w:rPr>
        <w:t xml:space="preserve">  吊运高温熔融金属时，吊罐（包）与大型槽体、高压设备、高压管路、压力容器的安全距离应符合有关国家现行标准的规定。运输高温熔融金属的专用路线，应避开煤气、氧气、氢气、天然气、水管等管道及电缆；确需通过的，应采取防护措施。</w:t>
      </w:r>
    </w:p>
    <w:p>
      <w:pPr>
        <w:ind w:firstLine="0"/>
        <w:jc w:val="both"/>
      </w:pPr>
      <w:r>
        <w:rPr>
          <w:rFonts w:hint="eastAsia"/>
          <w:b/>
        </w:rPr>
        <w:t>4</w:t>
      </w:r>
      <w:r>
        <w:rPr>
          <w:b/>
        </w:rPr>
        <w:t>.</w:t>
      </w:r>
      <w:r>
        <w:rPr>
          <w:rFonts w:hint="eastAsia"/>
          <w:b/>
        </w:rPr>
        <w:t>2</w:t>
      </w:r>
      <w:r>
        <w:rPr>
          <w:b/>
        </w:rPr>
        <w:t>.</w:t>
      </w:r>
      <w:r>
        <w:rPr>
          <w:rFonts w:hint="eastAsia"/>
          <w:b/>
        </w:rPr>
        <w:t>13</w:t>
      </w:r>
      <w:r>
        <w:rPr>
          <w:b/>
        </w:rPr>
        <w:t xml:space="preserve"> </w:t>
      </w:r>
      <w:r>
        <w:rPr>
          <w:rFonts w:hint="eastAsia"/>
        </w:rPr>
        <w:t xml:space="preserve"> 操作室、会议室、活动室、休息室、更衣室等场所不得设置在高温熔融金属吊运的影响范围内。</w:t>
      </w:r>
    </w:p>
    <w:p>
      <w:pPr>
        <w:ind w:firstLine="0"/>
        <w:jc w:val="both"/>
      </w:pPr>
      <w:r>
        <w:rPr>
          <w:rFonts w:hint="eastAsia"/>
          <w:b/>
        </w:rPr>
        <w:t>4</w:t>
      </w:r>
      <w:r>
        <w:rPr>
          <w:b/>
        </w:rPr>
        <w:t>.</w:t>
      </w:r>
      <w:r>
        <w:rPr>
          <w:rFonts w:hint="eastAsia"/>
          <w:b/>
        </w:rPr>
        <w:t>2</w:t>
      </w:r>
      <w:r>
        <w:rPr>
          <w:b/>
        </w:rPr>
        <w:t>.</w:t>
      </w:r>
      <w:r>
        <w:rPr>
          <w:rFonts w:hint="eastAsia"/>
          <w:b/>
        </w:rPr>
        <w:t xml:space="preserve">14  </w:t>
      </w:r>
      <w:r>
        <w:rPr>
          <w:rFonts w:hint="eastAsia"/>
        </w:rPr>
        <w:t>控制（操作、值班）室不应设置在受炽热烘烤、熔体喷溅、明火作用的区域，</w:t>
      </w:r>
      <w:r>
        <w:rPr>
          <w:rStyle w:val="46"/>
        </w:rPr>
        <w:t xml:space="preserve"> </w:t>
      </w:r>
      <w:r>
        <w:rPr>
          <w:rFonts w:hint="eastAsia"/>
        </w:rPr>
        <w:t>确需设置时，构件应采用不燃烧体，并应对门窗和结构构件采取防火保护措施；当存在爆炸危险时，应设置防爆设施。控制（操作、值班）室的安全出口（通道）应避开炽热、喷溅、明火直接作用的区域；当建筑面积大于60m</w:t>
      </w:r>
      <w:r>
        <w:rPr>
          <w:rFonts w:hint="eastAsia"/>
          <w:vertAlign w:val="superscript"/>
        </w:rPr>
        <w:t>2</w:t>
      </w:r>
      <w:r>
        <w:rPr>
          <w:rFonts w:hint="eastAsia"/>
        </w:rPr>
        <w:t>时，安全出口不应少于2个。</w:t>
      </w:r>
    </w:p>
    <w:p>
      <w:pPr>
        <w:pStyle w:val="5"/>
        <w:keepNext w:val="0"/>
        <w:keepLines w:val="0"/>
        <w:widowControl w:val="0"/>
        <w:adjustRightInd w:val="0"/>
        <w:snapToGrid w:val="0"/>
        <w:jc w:val="center"/>
        <w:rPr>
          <w:snapToGrid w:val="0"/>
          <w:color w:val="000000" w:themeColor="text1"/>
          <w:spacing w:val="0"/>
          <w:kern w:val="24"/>
          <w:sz w:val="28"/>
          <w:szCs w:val="28"/>
        </w:rPr>
      </w:pPr>
      <w:bookmarkStart w:id="24" w:name="_Toc126929555"/>
      <w:bookmarkStart w:id="25" w:name="_Toc126931138"/>
      <w:bookmarkStart w:id="26" w:name="_Toc126850496"/>
      <w:r>
        <w:rPr>
          <w:rFonts w:hint="eastAsia"/>
          <w:snapToGrid w:val="0"/>
          <w:color w:val="000000" w:themeColor="text1"/>
          <w:spacing w:val="0"/>
          <w:kern w:val="24"/>
          <w:sz w:val="28"/>
          <w:szCs w:val="28"/>
        </w:rPr>
        <w:t>4</w:t>
      </w:r>
      <w:r>
        <w:rPr>
          <w:snapToGrid w:val="0"/>
          <w:color w:val="000000" w:themeColor="text1"/>
          <w:spacing w:val="0"/>
          <w:kern w:val="24"/>
          <w:sz w:val="28"/>
          <w:szCs w:val="28"/>
        </w:rPr>
        <w:t>.</w:t>
      </w:r>
      <w:r>
        <w:rPr>
          <w:rFonts w:hint="eastAsia"/>
          <w:snapToGrid w:val="0"/>
          <w:color w:val="000000" w:themeColor="text1"/>
          <w:spacing w:val="0"/>
          <w:kern w:val="24"/>
          <w:sz w:val="28"/>
          <w:szCs w:val="28"/>
        </w:rPr>
        <w:t>3</w:t>
      </w:r>
      <w:r>
        <w:rPr>
          <w:snapToGrid w:val="0"/>
          <w:color w:val="000000" w:themeColor="text1"/>
          <w:spacing w:val="0"/>
          <w:kern w:val="24"/>
          <w:sz w:val="28"/>
          <w:szCs w:val="28"/>
        </w:rPr>
        <w:t xml:space="preserve">  </w:t>
      </w:r>
      <w:r>
        <w:rPr>
          <w:rFonts w:hint="eastAsia"/>
          <w:snapToGrid w:val="0"/>
          <w:color w:val="000000" w:themeColor="text1"/>
          <w:spacing w:val="0"/>
          <w:kern w:val="24"/>
          <w:sz w:val="28"/>
          <w:szCs w:val="28"/>
        </w:rPr>
        <w:t>其他主要生产设施</w:t>
      </w:r>
      <w:bookmarkEnd w:id="24"/>
      <w:bookmarkEnd w:id="25"/>
      <w:bookmarkEnd w:id="26"/>
    </w:p>
    <w:p>
      <w:pPr>
        <w:ind w:firstLine="0"/>
        <w:jc w:val="both"/>
      </w:pPr>
      <w:r>
        <w:rPr>
          <w:rFonts w:hint="eastAsia"/>
          <w:b/>
          <w:color w:val="000000" w:themeColor="text1"/>
        </w:rPr>
        <w:t>4</w:t>
      </w:r>
      <w:r>
        <w:rPr>
          <w:b/>
          <w:color w:val="000000" w:themeColor="text1"/>
        </w:rPr>
        <w:t>.</w:t>
      </w:r>
      <w:r>
        <w:rPr>
          <w:rFonts w:hint="eastAsia"/>
          <w:b/>
          <w:color w:val="000000" w:themeColor="text1"/>
        </w:rPr>
        <w:t>3</w:t>
      </w:r>
      <w:r>
        <w:rPr>
          <w:b/>
          <w:color w:val="000000" w:themeColor="text1"/>
        </w:rPr>
        <w:t>.</w:t>
      </w:r>
      <w:r>
        <w:rPr>
          <w:rFonts w:hint="eastAsia"/>
          <w:b/>
          <w:color w:val="000000" w:themeColor="text1"/>
        </w:rPr>
        <w:t>1</w:t>
      </w:r>
      <w:r>
        <w:rPr>
          <w:rFonts w:hint="eastAsia"/>
          <w:color w:val="000000" w:themeColor="text1"/>
        </w:rPr>
        <w:t xml:space="preserve">  采用全油润滑的轧机应配置自动灭火和手动灭火装置。轧机排烟系统风机应与自动灭火系统联锁，发生火灾时排烟风机应自动关停。轧机地下室应配备机械送排风系统</w:t>
      </w:r>
      <w:r>
        <w:rPr>
          <w:rFonts w:hint="eastAsia"/>
        </w:rPr>
        <w:t>，风机与自动灭火系统应联锁，发生火灾时风机应自动关停。</w:t>
      </w:r>
    </w:p>
    <w:p>
      <w:pPr>
        <w:ind w:firstLine="0"/>
        <w:jc w:val="both"/>
      </w:pPr>
      <w:r>
        <w:rPr>
          <w:rFonts w:hint="eastAsia"/>
          <w:b/>
        </w:rPr>
        <w:t>4</w:t>
      </w:r>
      <w:r>
        <w:rPr>
          <w:b/>
        </w:rPr>
        <w:t>.</w:t>
      </w:r>
      <w:r>
        <w:rPr>
          <w:rFonts w:hint="eastAsia"/>
          <w:b/>
        </w:rPr>
        <w:t>3</w:t>
      </w:r>
      <w:r>
        <w:rPr>
          <w:b/>
        </w:rPr>
        <w:t>.</w:t>
      </w:r>
      <w:r>
        <w:rPr>
          <w:rFonts w:hint="eastAsia"/>
          <w:b/>
        </w:rPr>
        <w:t>2</w:t>
      </w:r>
      <w:r>
        <w:rPr>
          <w:rFonts w:hint="eastAsia"/>
        </w:rPr>
        <w:t xml:space="preserve">  </w:t>
      </w:r>
      <w:r>
        <w:rPr>
          <w:snapToGrid w:val="0"/>
          <w:spacing w:val="0"/>
          <w:kern w:val="24"/>
          <w:szCs w:val="24"/>
        </w:rPr>
        <w:t>使用、贮存放射性同位素和</w:t>
      </w:r>
      <w:r>
        <w:fldChar w:fldCharType="begin"/>
      </w:r>
      <w:r>
        <w:instrText xml:space="preserve"> HYPERLINK "https://baike.baidu.com/item/%E5%B0%84%E7%BA%BF%E8%A3%85%E7%BD%AE" \t "_blank" </w:instrText>
      </w:r>
      <w:r>
        <w:fldChar w:fldCharType="separate"/>
      </w:r>
      <w:r>
        <w:rPr>
          <w:snapToGrid w:val="0"/>
          <w:spacing w:val="0"/>
          <w:kern w:val="24"/>
          <w:szCs w:val="24"/>
        </w:rPr>
        <w:t>射线装置</w:t>
      </w:r>
      <w:r>
        <w:rPr>
          <w:snapToGrid w:val="0"/>
          <w:spacing w:val="0"/>
          <w:kern w:val="24"/>
          <w:szCs w:val="24"/>
        </w:rPr>
        <w:fldChar w:fldCharType="end"/>
      </w:r>
      <w:r>
        <w:rPr>
          <w:snapToGrid w:val="0"/>
          <w:spacing w:val="0"/>
          <w:kern w:val="24"/>
          <w:szCs w:val="24"/>
        </w:rPr>
        <w:t>的场所，应设置</w:t>
      </w:r>
      <w:r>
        <w:rPr>
          <w:rFonts w:hint="eastAsia"/>
          <w:snapToGrid w:val="0"/>
          <w:spacing w:val="0"/>
          <w:kern w:val="24"/>
          <w:szCs w:val="24"/>
        </w:rPr>
        <w:t>符合</w:t>
      </w:r>
      <w:r>
        <w:rPr>
          <w:snapToGrid w:val="0"/>
          <w:spacing w:val="0"/>
          <w:kern w:val="24"/>
          <w:szCs w:val="24"/>
        </w:rPr>
        <w:t>国家有关规定的放射性标志，入口处</w:t>
      </w:r>
      <w:r>
        <w:rPr>
          <w:rFonts w:hint="eastAsia"/>
          <w:snapToGrid w:val="0"/>
          <w:spacing w:val="0"/>
          <w:kern w:val="24"/>
          <w:szCs w:val="24"/>
        </w:rPr>
        <w:t>的</w:t>
      </w:r>
      <w:r>
        <w:rPr>
          <w:snapToGrid w:val="0"/>
          <w:spacing w:val="0"/>
          <w:kern w:val="24"/>
          <w:szCs w:val="24"/>
        </w:rPr>
        <w:t>安全和防护设施以及防护安全联锁、报警装置或工作信号应</w:t>
      </w:r>
      <w:r>
        <w:rPr>
          <w:rFonts w:hint="eastAsia"/>
          <w:snapToGrid w:val="0"/>
          <w:spacing w:val="0"/>
          <w:kern w:val="24"/>
          <w:szCs w:val="24"/>
        </w:rPr>
        <w:t>符合</w:t>
      </w:r>
      <w:r>
        <w:rPr>
          <w:snapToGrid w:val="0"/>
          <w:spacing w:val="0"/>
          <w:kern w:val="24"/>
          <w:szCs w:val="24"/>
        </w:rPr>
        <w:t>国家有关安全和防护</w:t>
      </w:r>
      <w:r>
        <w:rPr>
          <w:rFonts w:hint="eastAsia"/>
          <w:snapToGrid w:val="0"/>
          <w:spacing w:val="0"/>
          <w:kern w:val="24"/>
          <w:szCs w:val="24"/>
        </w:rPr>
        <w:t>的规定</w:t>
      </w:r>
      <w:r>
        <w:rPr>
          <w:snapToGrid w:val="0"/>
          <w:spacing w:val="0"/>
          <w:kern w:val="24"/>
          <w:szCs w:val="24"/>
        </w:rPr>
        <w:t>。放射性装置的生产调试和使用场所，应</w:t>
      </w:r>
      <w:r>
        <w:rPr>
          <w:rFonts w:hint="eastAsia"/>
          <w:snapToGrid w:val="0"/>
          <w:spacing w:val="0"/>
          <w:kern w:val="24"/>
          <w:szCs w:val="24"/>
        </w:rPr>
        <w:t>采取</w:t>
      </w:r>
      <w:r>
        <w:rPr>
          <w:snapToGrid w:val="0"/>
          <w:spacing w:val="0"/>
          <w:kern w:val="24"/>
          <w:szCs w:val="24"/>
        </w:rPr>
        <w:t>防止误操作、防止工作人员受到意外照射的安全措施</w:t>
      </w:r>
      <w:r>
        <w:t>。</w:t>
      </w:r>
    </w:p>
    <w:p>
      <w:pPr>
        <w:ind w:firstLine="0"/>
        <w:jc w:val="both"/>
      </w:pPr>
      <w:r>
        <w:rPr>
          <w:rFonts w:hint="eastAsia"/>
          <w:b/>
        </w:rPr>
        <w:t>4</w:t>
      </w:r>
      <w:r>
        <w:rPr>
          <w:b/>
        </w:rPr>
        <w:t>.</w:t>
      </w:r>
      <w:r>
        <w:rPr>
          <w:rFonts w:hint="eastAsia"/>
          <w:b/>
        </w:rPr>
        <w:t>3</w:t>
      </w:r>
      <w:r>
        <w:rPr>
          <w:b/>
        </w:rPr>
        <w:t>.</w:t>
      </w:r>
      <w:r>
        <w:rPr>
          <w:rFonts w:hint="eastAsia"/>
          <w:b/>
        </w:rPr>
        <w:t>3</w:t>
      </w:r>
      <w:r>
        <w:t xml:space="preserve"> </w:t>
      </w:r>
      <w:r>
        <w:rPr>
          <w:rFonts w:hint="eastAsia"/>
        </w:rPr>
        <w:t xml:space="preserve"> </w:t>
      </w:r>
      <w:r>
        <w:t>采用</w:t>
      </w:r>
      <w:r>
        <w:rPr>
          <w:rFonts w:hint="eastAsia"/>
        </w:rPr>
        <w:t>氢气或氮氢混合</w:t>
      </w:r>
      <w:r>
        <w:t>气体作为</w:t>
      </w:r>
      <w:r>
        <w:rPr>
          <w:rFonts w:hint="eastAsia"/>
        </w:rPr>
        <w:t>保护气体</w:t>
      </w:r>
      <w:r>
        <w:t>的热处理炉应设置防爆、泄爆设施。</w:t>
      </w:r>
    </w:p>
    <w:p>
      <w:pPr>
        <w:widowControl w:val="0"/>
        <w:tabs>
          <w:tab w:val="left" w:pos="2205"/>
          <w:tab w:val="center" w:pos="4465"/>
        </w:tabs>
        <w:spacing w:line="360" w:lineRule="auto"/>
        <w:ind w:firstLine="0"/>
        <w:jc w:val="both"/>
        <w:rPr>
          <w:snapToGrid w:val="0"/>
          <w:spacing w:val="0"/>
          <w:kern w:val="24"/>
          <w:szCs w:val="24"/>
        </w:rPr>
      </w:pPr>
      <w:r>
        <w:rPr>
          <w:rFonts w:hint="eastAsia"/>
          <w:b/>
        </w:rPr>
        <w:t>4</w:t>
      </w:r>
      <w:r>
        <w:rPr>
          <w:b/>
        </w:rPr>
        <w:t>.</w:t>
      </w:r>
      <w:r>
        <w:rPr>
          <w:rFonts w:hint="eastAsia"/>
          <w:b/>
        </w:rPr>
        <w:t>3</w:t>
      </w:r>
      <w:r>
        <w:rPr>
          <w:b/>
        </w:rPr>
        <w:t>.</w:t>
      </w:r>
      <w:r>
        <w:rPr>
          <w:rFonts w:hint="eastAsia"/>
          <w:b/>
        </w:rPr>
        <w:t>4</w:t>
      </w:r>
      <w:r>
        <w:t xml:space="preserve"> </w:t>
      </w:r>
      <w:r>
        <w:rPr>
          <w:rFonts w:hint="eastAsia"/>
        </w:rPr>
        <w:t xml:space="preserve"> </w:t>
      </w:r>
      <w:r>
        <w:rPr>
          <w:rFonts w:hint="eastAsia"/>
          <w:snapToGrid w:val="0"/>
          <w:spacing w:val="0"/>
          <w:kern w:val="24"/>
          <w:szCs w:val="24"/>
        </w:rPr>
        <w:t>在涂层、着色的溶剂及黏合剂配制间，应设置机械通风净化装置，并严禁设置明火装置。涂层及着色设备应设置消除静电聚集的装置。</w:t>
      </w:r>
    </w:p>
    <w:p>
      <w:pPr>
        <w:widowControl w:val="0"/>
        <w:tabs>
          <w:tab w:val="left" w:pos="2205"/>
          <w:tab w:val="center" w:pos="4465"/>
        </w:tabs>
        <w:spacing w:line="360" w:lineRule="auto"/>
        <w:ind w:firstLine="0"/>
        <w:jc w:val="both"/>
        <w:rPr>
          <w:snapToGrid w:val="0"/>
          <w:spacing w:val="0"/>
          <w:kern w:val="24"/>
          <w:szCs w:val="24"/>
        </w:rPr>
      </w:pPr>
      <w:r>
        <w:rPr>
          <w:rFonts w:hint="eastAsia"/>
          <w:b/>
        </w:rPr>
        <w:t>4</w:t>
      </w:r>
      <w:r>
        <w:rPr>
          <w:b/>
        </w:rPr>
        <w:t>.</w:t>
      </w:r>
      <w:r>
        <w:rPr>
          <w:rFonts w:hint="eastAsia"/>
          <w:b/>
        </w:rPr>
        <w:t>3</w:t>
      </w:r>
      <w:r>
        <w:rPr>
          <w:b/>
        </w:rPr>
        <w:t>.</w:t>
      </w:r>
      <w:r>
        <w:rPr>
          <w:rFonts w:hint="eastAsia"/>
          <w:b/>
        </w:rPr>
        <w:t xml:space="preserve">5  </w:t>
      </w:r>
      <w:r>
        <w:rPr>
          <w:rFonts w:hint="eastAsia"/>
          <w:snapToGrid w:val="0"/>
          <w:spacing w:val="0"/>
          <w:kern w:val="24"/>
          <w:szCs w:val="24"/>
        </w:rPr>
        <w:t>铝型材粉末喷涂生产线的喷粉房、喷漆房、调漆房，粉末和漆的存储间（仓库）应设置通风和除尘设施；在调配、喷涂和干燥等挥发性有机物排放工序，应配备废气收集系统和除尘设施；除尘设施应采取防火、防爆措施。</w:t>
      </w:r>
    </w:p>
    <w:p>
      <w:pPr>
        <w:ind w:firstLine="0"/>
        <w:jc w:val="both"/>
      </w:pPr>
      <w:r>
        <w:rPr>
          <w:rFonts w:hint="eastAsia"/>
          <w:b/>
        </w:rPr>
        <w:t>4</w:t>
      </w:r>
      <w:r>
        <w:rPr>
          <w:b/>
        </w:rPr>
        <w:t>.</w:t>
      </w:r>
      <w:r>
        <w:rPr>
          <w:rFonts w:hint="eastAsia"/>
          <w:b/>
        </w:rPr>
        <w:t>3</w:t>
      </w:r>
      <w:r>
        <w:rPr>
          <w:b/>
        </w:rPr>
        <w:t>.</w:t>
      </w:r>
      <w:r>
        <w:rPr>
          <w:rFonts w:hint="eastAsia"/>
          <w:b/>
        </w:rPr>
        <w:t>6</w:t>
      </w:r>
      <w:r>
        <w:rPr>
          <w:rFonts w:hint="eastAsia"/>
        </w:rPr>
        <w:t xml:space="preserve">  </w:t>
      </w:r>
      <w:r>
        <w:rPr>
          <w:rFonts w:hint="eastAsia"/>
          <w:snapToGrid w:val="0"/>
          <w:spacing w:val="0"/>
          <w:kern w:val="24"/>
          <w:szCs w:val="24"/>
        </w:rPr>
        <w:t>槽组式模具碱洗间内应设置洗眼器</w:t>
      </w:r>
      <w:r>
        <w:rPr>
          <w:rFonts w:hint="eastAsia"/>
          <w:b/>
          <w:snapToGrid w:val="0"/>
          <w:spacing w:val="0"/>
          <w:kern w:val="24"/>
          <w:szCs w:val="24"/>
        </w:rPr>
        <w:t>，</w:t>
      </w:r>
      <w:r>
        <w:rPr>
          <w:rFonts w:hint="eastAsia"/>
          <w:snapToGrid w:val="0"/>
          <w:spacing w:val="0"/>
          <w:kern w:val="24"/>
          <w:szCs w:val="24"/>
        </w:rPr>
        <w:t>碱洗槽应设置碱蒸汽收集、净化、排放设施。碱蒸汽应洗涤中和后达标排放。废水应处理达标后排放。</w:t>
      </w:r>
    </w:p>
    <w:p>
      <w:pPr>
        <w:ind w:firstLine="0"/>
        <w:jc w:val="both"/>
      </w:pPr>
      <w:r>
        <w:rPr>
          <w:rFonts w:hint="eastAsia"/>
          <w:b/>
        </w:rPr>
        <w:t>4</w:t>
      </w:r>
      <w:r>
        <w:rPr>
          <w:b/>
        </w:rPr>
        <w:t>.</w:t>
      </w:r>
      <w:r>
        <w:rPr>
          <w:rFonts w:hint="eastAsia"/>
          <w:b/>
        </w:rPr>
        <w:t>3</w:t>
      </w:r>
      <w:r>
        <w:rPr>
          <w:b/>
        </w:rPr>
        <w:t>.</w:t>
      </w:r>
      <w:r>
        <w:rPr>
          <w:rFonts w:hint="eastAsia"/>
          <w:b/>
        </w:rPr>
        <w:t>7</w:t>
      </w:r>
      <w:r>
        <w:rPr>
          <w:rFonts w:hint="eastAsia"/>
        </w:rPr>
        <w:t xml:space="preserve">  模具氮化间内应设置通风设施，并应设置可燃气体检测及报警装置。模具氮化间应选择防爆型电气设备、照明、通风设施。</w:t>
      </w:r>
    </w:p>
    <w:p>
      <w:pPr>
        <w:ind w:firstLine="0"/>
        <w:jc w:val="both"/>
      </w:pPr>
      <w:r>
        <w:rPr>
          <w:rFonts w:hint="eastAsia"/>
          <w:b/>
        </w:rPr>
        <w:t>4</w:t>
      </w:r>
      <w:r>
        <w:rPr>
          <w:b/>
        </w:rPr>
        <w:t>.</w:t>
      </w:r>
      <w:r>
        <w:rPr>
          <w:rFonts w:hint="eastAsia"/>
          <w:b/>
        </w:rPr>
        <w:t>3.8</w:t>
      </w:r>
      <w:r>
        <w:rPr>
          <w:rFonts w:hint="eastAsia"/>
        </w:rPr>
        <w:t xml:space="preserve">  铝、镁、钛等金属加工过程中产生的金属粉尘、氧化物粉尘，以及静电粉末喷涂、喷漆过程中产生粉尘的区域，应设置通风、除尘系统。通风、除尘系统有燃爆危险的，应采取防火、防爆措施。</w:t>
      </w:r>
    </w:p>
    <w:p>
      <w:pPr>
        <w:ind w:firstLine="0"/>
        <w:jc w:val="both"/>
      </w:pPr>
      <w:r>
        <w:rPr>
          <w:rFonts w:hint="eastAsia"/>
          <w:b/>
        </w:rPr>
        <w:t>4</w:t>
      </w:r>
      <w:r>
        <w:rPr>
          <w:b/>
        </w:rPr>
        <w:t>.</w:t>
      </w:r>
      <w:r>
        <w:rPr>
          <w:rFonts w:hint="eastAsia"/>
          <w:b/>
        </w:rPr>
        <w:t>3</w:t>
      </w:r>
      <w:r>
        <w:rPr>
          <w:b/>
        </w:rPr>
        <w:t>.</w:t>
      </w:r>
      <w:r>
        <w:rPr>
          <w:rFonts w:hint="eastAsia"/>
          <w:b/>
        </w:rPr>
        <w:t>9</w:t>
      </w:r>
      <w:r>
        <w:rPr>
          <w:rFonts w:hint="eastAsia"/>
        </w:rPr>
        <w:t xml:space="preserve">  钛板带喷丸设备应隔设为独立的区域，并应能满足危险工作区域的特殊要求。</w:t>
      </w:r>
    </w:p>
    <w:p>
      <w:pPr>
        <w:ind w:firstLine="0"/>
        <w:jc w:val="both"/>
      </w:pPr>
      <w:r>
        <w:rPr>
          <w:rFonts w:hint="eastAsia"/>
          <w:b/>
        </w:rPr>
        <w:t>4</w:t>
      </w:r>
      <w:r>
        <w:rPr>
          <w:b/>
        </w:rPr>
        <w:t>.</w:t>
      </w:r>
      <w:r>
        <w:rPr>
          <w:rFonts w:hint="eastAsia"/>
          <w:b/>
        </w:rPr>
        <w:t>3</w:t>
      </w:r>
      <w:r>
        <w:rPr>
          <w:b/>
        </w:rPr>
        <w:t>.</w:t>
      </w:r>
      <w:r>
        <w:rPr>
          <w:rFonts w:hint="eastAsia"/>
          <w:b/>
        </w:rPr>
        <w:t>10</w:t>
      </w:r>
      <w:r>
        <w:rPr>
          <w:rFonts w:hint="eastAsia"/>
        </w:rPr>
        <w:t xml:space="preserve">  钛材表面抛丸、砂光、修磨产生的钛粉尘的灭火应使用专用金属灭火器（D级）、氩气等惰性气体灭火器，禁止使用水、二氧化碳、干粉灭火器等。</w:t>
      </w:r>
    </w:p>
    <w:p>
      <w:pPr>
        <w:ind w:firstLine="0"/>
        <w:jc w:val="both"/>
      </w:pPr>
      <w:r>
        <w:rPr>
          <w:rFonts w:hint="eastAsia"/>
          <w:b/>
        </w:rPr>
        <w:t>4.3.11</w:t>
      </w:r>
      <w:r>
        <w:t xml:space="preserve"> </w:t>
      </w:r>
      <w:r>
        <w:rPr>
          <w:rFonts w:hint="eastAsia"/>
        </w:rPr>
        <w:t xml:space="preserve"> 镁及镁合金生产车间灭火设施应使用专用金属灭火器（D级）、干沙、铸铁屑、覆盖剂等，不应使用水或A、B、C类灭火器进行灭火。</w:t>
      </w:r>
    </w:p>
    <w:p>
      <w:pPr>
        <w:pStyle w:val="85"/>
        <w:ind w:firstLine="0" w:firstLineChars="0"/>
        <w:rPr>
          <w:sz w:val="24"/>
          <w:szCs w:val="24"/>
        </w:rPr>
      </w:pPr>
      <w:bookmarkStart w:id="27" w:name="_Toc126931139"/>
      <w:bookmarkStart w:id="28" w:name="_Toc126850497"/>
      <w:bookmarkStart w:id="29" w:name="_Toc126929556"/>
    </w:p>
    <w:p>
      <w:pPr>
        <w:pStyle w:val="85"/>
        <w:ind w:firstLine="0" w:firstLineChars="0"/>
        <w:rPr>
          <w:sz w:val="24"/>
          <w:szCs w:val="24"/>
        </w:rPr>
        <w:sectPr>
          <w:headerReference r:id="rId23" w:type="default"/>
          <w:footerReference r:id="rId25" w:type="default"/>
          <w:headerReference r:id="rId24" w:type="even"/>
          <w:footnotePr>
            <w:numRestart w:val="eachPage"/>
          </w:footnotePr>
          <w:pgSz w:w="11906" w:h="16838"/>
          <w:pgMar w:top="1134" w:right="1418" w:bottom="1134" w:left="1418" w:header="0" w:footer="567" w:gutter="0"/>
          <w:pgNumType w:start="1"/>
          <w:cols w:space="720" w:num="1"/>
          <w:docGrid w:linePitch="447" w:charSpace="4499"/>
        </w:sectPr>
      </w:pPr>
    </w:p>
    <w:p>
      <w:pPr>
        <w:pStyle w:val="2"/>
        <w:keepNext w:val="0"/>
        <w:keepLines w:val="0"/>
        <w:widowControl w:val="0"/>
        <w:spacing w:after="0"/>
        <w:jc w:val="center"/>
        <w:rPr>
          <w:rFonts w:eastAsiaTheme="majorEastAsia"/>
          <w:spacing w:val="0"/>
          <w:sz w:val="30"/>
          <w:szCs w:val="30"/>
        </w:rPr>
      </w:pPr>
      <w:r>
        <w:rPr>
          <w:rFonts w:hint="eastAsia" w:eastAsiaTheme="majorEastAsia"/>
          <w:spacing w:val="0"/>
          <w:sz w:val="30"/>
          <w:szCs w:val="30"/>
        </w:rPr>
        <w:t>5</w:t>
      </w:r>
      <w:r>
        <w:rPr>
          <w:rFonts w:eastAsiaTheme="majorEastAsia"/>
          <w:spacing w:val="0"/>
          <w:sz w:val="30"/>
          <w:szCs w:val="30"/>
        </w:rPr>
        <w:t xml:space="preserve">  </w:t>
      </w:r>
      <w:r>
        <w:rPr>
          <w:rFonts w:hint="eastAsia" w:eastAsiaTheme="majorEastAsia"/>
          <w:spacing w:val="0"/>
          <w:sz w:val="30"/>
          <w:szCs w:val="30"/>
        </w:rPr>
        <w:t>施工安装和验收</w:t>
      </w:r>
      <w:bookmarkEnd w:id="27"/>
      <w:bookmarkEnd w:id="28"/>
      <w:bookmarkEnd w:id="29"/>
    </w:p>
    <w:p>
      <w:pPr>
        <w:ind w:firstLine="0"/>
        <w:jc w:val="both"/>
      </w:pPr>
      <w:r>
        <w:rPr>
          <w:rFonts w:hint="eastAsia"/>
          <w:b/>
        </w:rPr>
        <w:t>5</w:t>
      </w:r>
      <w:r>
        <w:rPr>
          <w:b/>
        </w:rPr>
        <w:t>.</w:t>
      </w:r>
      <w:r>
        <w:rPr>
          <w:rFonts w:hint="eastAsia"/>
          <w:b/>
        </w:rPr>
        <w:t>0</w:t>
      </w:r>
      <w:r>
        <w:rPr>
          <w:b/>
        </w:rPr>
        <w:t>.1</w:t>
      </w:r>
      <w:r>
        <w:rPr>
          <w:rFonts w:hint="eastAsia"/>
          <w:b/>
        </w:rPr>
        <w:t xml:space="preserve">  </w:t>
      </w:r>
      <w:r>
        <w:rPr>
          <w:rFonts w:hint="eastAsia"/>
        </w:rPr>
        <w:t>超过一定规模的深基坑开挖、</w:t>
      </w:r>
      <w:r>
        <w:t>起重吊装等危险性较大的</w:t>
      </w:r>
      <w:r>
        <w:rPr>
          <w:rFonts w:hint="eastAsia"/>
        </w:rPr>
        <w:t>分部分项工程</w:t>
      </w:r>
      <w:r>
        <w:t>施工前</w:t>
      </w:r>
      <w:r>
        <w:rPr>
          <w:rFonts w:hint="eastAsia"/>
        </w:rPr>
        <w:t>，</w:t>
      </w:r>
      <w:r>
        <w:t>应编制专项施工方案</w:t>
      </w:r>
      <w:r>
        <w:rPr>
          <w:rFonts w:hint="eastAsia"/>
        </w:rPr>
        <w:t>，并应按规定组织专家对</w:t>
      </w:r>
      <w:r>
        <w:t>专项方案进行论证。</w:t>
      </w:r>
    </w:p>
    <w:p>
      <w:pPr>
        <w:ind w:firstLine="0"/>
        <w:jc w:val="both"/>
      </w:pPr>
      <w:r>
        <w:rPr>
          <w:rFonts w:hint="eastAsia"/>
          <w:b/>
        </w:rPr>
        <w:t>5</w:t>
      </w:r>
      <w:r>
        <w:rPr>
          <w:b/>
        </w:rPr>
        <w:t>.</w:t>
      </w:r>
      <w:r>
        <w:rPr>
          <w:rFonts w:hint="eastAsia"/>
          <w:b/>
        </w:rPr>
        <w:t>0</w:t>
      </w:r>
      <w:r>
        <w:rPr>
          <w:b/>
        </w:rPr>
        <w:t>.2</w:t>
      </w:r>
      <w:r>
        <w:rPr>
          <w:rFonts w:hint="eastAsia"/>
        </w:rPr>
        <w:t xml:space="preserve">  模板及支架应根据安装、使用和拆除工况进行设计，并应满足承载力、刚度和整体稳固性要求。</w:t>
      </w:r>
    </w:p>
    <w:p>
      <w:pPr>
        <w:ind w:firstLine="0"/>
        <w:jc w:val="both"/>
      </w:pPr>
      <w:r>
        <w:rPr>
          <w:rFonts w:hint="eastAsia"/>
          <w:b/>
        </w:rPr>
        <w:t>5</w:t>
      </w:r>
      <w:r>
        <w:rPr>
          <w:b/>
        </w:rPr>
        <w:t>.</w:t>
      </w:r>
      <w:r>
        <w:rPr>
          <w:rFonts w:hint="eastAsia"/>
          <w:b/>
        </w:rPr>
        <w:t>0</w:t>
      </w:r>
      <w:r>
        <w:rPr>
          <w:b/>
        </w:rPr>
        <w:t>.3</w:t>
      </w:r>
      <w:r>
        <w:rPr>
          <w:rFonts w:hint="eastAsia"/>
        </w:rPr>
        <w:t xml:space="preserve">  </w:t>
      </w:r>
      <w:r>
        <w:t>主体设备和连续生产线</w:t>
      </w:r>
      <w:r>
        <w:rPr>
          <w:rFonts w:hint="eastAsia"/>
        </w:rPr>
        <w:t>的基础</w:t>
      </w:r>
      <w:r>
        <w:t>应埋设永久性中心标板及标高基准点</w:t>
      </w:r>
      <w:r>
        <w:rPr>
          <w:rFonts w:hint="eastAsia"/>
        </w:rPr>
        <w:t>；</w:t>
      </w:r>
      <w:r>
        <w:t>对有沉降设计要求的设备基础应设置沉降观测点，</w:t>
      </w:r>
      <w:r>
        <w:rPr>
          <w:rFonts w:hint="eastAsia"/>
        </w:rPr>
        <w:t>并应</w:t>
      </w:r>
      <w:r>
        <w:t>在施工过程中进行基础沉降观测</w:t>
      </w:r>
      <w:r>
        <w:rPr>
          <w:rFonts w:hint="eastAsia"/>
        </w:rPr>
        <w:t>。</w:t>
      </w:r>
    </w:p>
    <w:p>
      <w:pPr>
        <w:ind w:firstLine="0"/>
        <w:jc w:val="both"/>
      </w:pPr>
      <w:r>
        <w:rPr>
          <w:rFonts w:hint="eastAsia"/>
          <w:b/>
        </w:rPr>
        <w:t>5</w:t>
      </w:r>
      <w:r>
        <w:rPr>
          <w:b/>
        </w:rPr>
        <w:t>.</w:t>
      </w:r>
      <w:r>
        <w:rPr>
          <w:rFonts w:hint="eastAsia"/>
          <w:b/>
        </w:rPr>
        <w:t>0</w:t>
      </w:r>
      <w:r>
        <w:rPr>
          <w:b/>
        </w:rPr>
        <w:t>.4</w:t>
      </w:r>
      <w:r>
        <w:rPr>
          <w:rFonts w:hint="eastAsia"/>
        </w:rPr>
        <w:t xml:space="preserve">  施工过程中应对成品采取保护措施。对于关联性较强或被隐蔽的关键施工部位，应按要求设置</w:t>
      </w:r>
      <w:r>
        <w:rPr>
          <w:rFonts w:hint="eastAsia" w:ascii="宋体" w:hAnsi="宋体"/>
        </w:rPr>
        <w:t>“</w:t>
      </w:r>
      <w:r>
        <w:rPr>
          <w:rFonts w:hint="eastAsia"/>
        </w:rPr>
        <w:t>停检点</w:t>
      </w:r>
      <w:r>
        <w:rPr>
          <w:rFonts w:hint="eastAsia" w:ascii="宋体" w:hAnsi="宋体"/>
        </w:rPr>
        <w:t>”</w:t>
      </w:r>
      <w:r>
        <w:rPr>
          <w:rFonts w:hint="eastAsia"/>
        </w:rPr>
        <w:t>。下一道工序应在检查签认后进行施工。</w:t>
      </w:r>
    </w:p>
    <w:p>
      <w:pPr>
        <w:ind w:firstLine="0"/>
        <w:jc w:val="both"/>
      </w:pPr>
      <w:r>
        <w:rPr>
          <w:rFonts w:hint="eastAsia"/>
          <w:b/>
        </w:rPr>
        <w:t>5</w:t>
      </w:r>
      <w:r>
        <w:rPr>
          <w:b/>
        </w:rPr>
        <w:t>.</w:t>
      </w:r>
      <w:r>
        <w:rPr>
          <w:rFonts w:hint="eastAsia"/>
          <w:b/>
        </w:rPr>
        <w:t>0</w:t>
      </w:r>
      <w:r>
        <w:rPr>
          <w:b/>
        </w:rPr>
        <w:t>.</w:t>
      </w:r>
      <w:r>
        <w:rPr>
          <w:rFonts w:hint="eastAsia"/>
          <w:b/>
        </w:rPr>
        <w:t>5</w:t>
      </w:r>
      <w:r>
        <w:t xml:space="preserve"> </w:t>
      </w:r>
      <w:r>
        <w:rPr>
          <w:rFonts w:hint="eastAsia"/>
        </w:rPr>
        <w:t xml:space="preserve"> 在完成土建基础施工工序移交安装工序时，应办理中间交接手续。</w:t>
      </w:r>
    </w:p>
    <w:p>
      <w:pPr>
        <w:ind w:firstLine="0"/>
        <w:jc w:val="both"/>
      </w:pPr>
      <w:r>
        <w:rPr>
          <w:rFonts w:hint="eastAsia"/>
          <w:b/>
        </w:rPr>
        <w:t>5</w:t>
      </w:r>
      <w:r>
        <w:rPr>
          <w:b/>
        </w:rPr>
        <w:t>.</w:t>
      </w:r>
      <w:r>
        <w:rPr>
          <w:rFonts w:hint="eastAsia"/>
          <w:b/>
        </w:rPr>
        <w:t>0</w:t>
      </w:r>
      <w:r>
        <w:rPr>
          <w:b/>
        </w:rPr>
        <w:t>.</w:t>
      </w:r>
      <w:r>
        <w:rPr>
          <w:rFonts w:hint="eastAsia"/>
          <w:b/>
        </w:rPr>
        <w:t>6</w:t>
      </w:r>
      <w:r>
        <w:t xml:space="preserve"> </w:t>
      </w:r>
      <w:r>
        <w:rPr>
          <w:rFonts w:hint="eastAsia"/>
        </w:rPr>
        <w:t xml:space="preserve"> 有色金属加工项目中的金属结构件进行焊接作业时，严禁用管路或设备作为焊接地线。</w:t>
      </w:r>
    </w:p>
    <w:p>
      <w:pPr>
        <w:ind w:firstLine="0"/>
        <w:jc w:val="both"/>
      </w:pPr>
      <w:r>
        <w:rPr>
          <w:rFonts w:hint="eastAsia"/>
          <w:b/>
        </w:rPr>
        <w:t>5</w:t>
      </w:r>
      <w:r>
        <w:rPr>
          <w:b/>
        </w:rPr>
        <w:t>.</w:t>
      </w:r>
      <w:r>
        <w:rPr>
          <w:rFonts w:hint="eastAsia"/>
          <w:b/>
        </w:rPr>
        <w:t>0</w:t>
      </w:r>
      <w:r>
        <w:rPr>
          <w:b/>
        </w:rPr>
        <w:t>.</w:t>
      </w:r>
      <w:r>
        <w:rPr>
          <w:rFonts w:hint="eastAsia"/>
          <w:b/>
        </w:rPr>
        <w:t>7</w:t>
      </w:r>
      <w:r>
        <w:rPr>
          <w:rFonts w:hint="eastAsia"/>
        </w:rPr>
        <w:t xml:space="preserve">  脆性材料的管道或容器，严禁使用气体进行压力试验。压力试验温度严禁接近金属材料的脆性转变温度。</w:t>
      </w:r>
    </w:p>
    <w:p>
      <w:pPr>
        <w:ind w:firstLine="0"/>
        <w:jc w:val="both"/>
      </w:pPr>
      <w:r>
        <w:rPr>
          <w:rFonts w:hint="eastAsia"/>
          <w:b/>
        </w:rPr>
        <w:t>5</w:t>
      </w:r>
      <w:r>
        <w:rPr>
          <w:b/>
        </w:rPr>
        <w:t>.</w:t>
      </w:r>
      <w:r>
        <w:rPr>
          <w:rFonts w:hint="eastAsia"/>
          <w:b/>
        </w:rPr>
        <w:t>0</w:t>
      </w:r>
      <w:r>
        <w:rPr>
          <w:b/>
        </w:rPr>
        <w:t>.</w:t>
      </w:r>
      <w:r>
        <w:rPr>
          <w:rFonts w:hint="eastAsia"/>
          <w:b/>
        </w:rPr>
        <w:t>8</w:t>
      </w:r>
      <w:r>
        <w:t xml:space="preserve"> </w:t>
      </w:r>
      <w:r>
        <w:rPr>
          <w:rFonts w:hint="eastAsia"/>
        </w:rPr>
        <w:t xml:space="preserve"> 输送或储存极度和高度危害介质以及可燃介质的管道或容器，应进行泄漏性试验。采用气体压力试验时，应进行预试验。试压过程中若有泄漏，不得带压修理，缺陷消除后应重新试验。</w:t>
      </w:r>
    </w:p>
    <w:p>
      <w:pPr>
        <w:ind w:firstLine="0"/>
        <w:jc w:val="both"/>
      </w:pPr>
      <w:r>
        <w:rPr>
          <w:rFonts w:hint="eastAsia"/>
          <w:b/>
        </w:rPr>
        <w:t>5</w:t>
      </w:r>
      <w:r>
        <w:rPr>
          <w:b/>
        </w:rPr>
        <w:t>.</w:t>
      </w:r>
      <w:r>
        <w:rPr>
          <w:rFonts w:hint="eastAsia"/>
          <w:b/>
        </w:rPr>
        <w:t>0</w:t>
      </w:r>
      <w:r>
        <w:rPr>
          <w:b/>
        </w:rPr>
        <w:t>.</w:t>
      </w:r>
      <w:r>
        <w:rPr>
          <w:rFonts w:hint="eastAsia"/>
          <w:b/>
        </w:rPr>
        <w:t>9</w:t>
      </w:r>
      <w:r>
        <w:t xml:space="preserve"> </w:t>
      </w:r>
      <w:r>
        <w:rPr>
          <w:rFonts w:hint="eastAsia"/>
        </w:rPr>
        <w:t xml:space="preserve"> 系统试运行时，高温或低温管道、设备的连接螺柱，应进行热态或冷态紧固。</w:t>
      </w:r>
    </w:p>
    <w:p>
      <w:pPr>
        <w:ind w:firstLine="0"/>
        <w:jc w:val="both"/>
      </w:pPr>
      <w:r>
        <w:rPr>
          <w:rFonts w:hint="eastAsia"/>
          <w:b/>
        </w:rPr>
        <w:t>5</w:t>
      </w:r>
      <w:r>
        <w:rPr>
          <w:b/>
        </w:rPr>
        <w:t>.</w:t>
      </w:r>
      <w:r>
        <w:rPr>
          <w:rFonts w:hint="eastAsia"/>
          <w:b/>
        </w:rPr>
        <w:t>0</w:t>
      </w:r>
      <w:r>
        <w:rPr>
          <w:b/>
        </w:rPr>
        <w:t>.</w:t>
      </w:r>
      <w:r>
        <w:rPr>
          <w:rFonts w:hint="eastAsia"/>
          <w:b/>
        </w:rPr>
        <w:t>10</w:t>
      </w:r>
      <w:r>
        <w:t xml:space="preserve"> </w:t>
      </w:r>
      <w:r>
        <w:rPr>
          <w:rFonts w:hint="eastAsia"/>
        </w:rPr>
        <w:t xml:space="preserve"> 工业炉砌筑时，所用的吊挂砖、锚固砖、跨顶砖的主要受力部位严禁有裂纹，其余部位不得有显裂纹；炉底工作层反拱拱脚砖应砌入墙内，反拱砌体与侧墙、端墙的接触面应湿砌，结合应严密、牢固。</w:t>
      </w:r>
    </w:p>
    <w:p>
      <w:pPr>
        <w:ind w:firstLine="0"/>
        <w:jc w:val="both"/>
      </w:pPr>
      <w:r>
        <w:rPr>
          <w:rFonts w:hint="eastAsia"/>
          <w:b/>
        </w:rPr>
        <w:t>5</w:t>
      </w:r>
      <w:r>
        <w:rPr>
          <w:b/>
        </w:rPr>
        <w:t>.</w:t>
      </w:r>
      <w:r>
        <w:rPr>
          <w:rFonts w:hint="eastAsia"/>
          <w:b/>
        </w:rPr>
        <w:t>0</w:t>
      </w:r>
      <w:r>
        <w:rPr>
          <w:b/>
        </w:rPr>
        <w:t>.1</w:t>
      </w:r>
      <w:r>
        <w:rPr>
          <w:rFonts w:hint="eastAsia"/>
          <w:b/>
        </w:rPr>
        <w:t>1</w:t>
      </w:r>
      <w:r>
        <w:t xml:space="preserve"> </w:t>
      </w:r>
      <w:r>
        <w:rPr>
          <w:rFonts w:hint="eastAsia"/>
        </w:rPr>
        <w:t xml:space="preserve"> 记录工程施工质量的资料应规范完整，进行工程施工</w:t>
      </w:r>
      <w:r>
        <w:t>质量验收的组织、程序应符合现行国家</w:t>
      </w:r>
      <w:r>
        <w:rPr>
          <w:rFonts w:hint="eastAsia"/>
        </w:rPr>
        <w:t>有关</w:t>
      </w:r>
      <w:r>
        <w:t>标准</w:t>
      </w:r>
      <w:r>
        <w:rPr>
          <w:rFonts w:hint="eastAsia"/>
        </w:rPr>
        <w:t>的</w:t>
      </w:r>
      <w:r>
        <w:t>规定</w:t>
      </w:r>
      <w:r>
        <w:rPr>
          <w:rFonts w:hint="eastAsia"/>
        </w:rPr>
        <w:t>。</w:t>
      </w:r>
    </w:p>
    <w:p>
      <w:pPr>
        <w:ind w:firstLine="0"/>
        <w:jc w:val="both"/>
      </w:pPr>
      <w:r>
        <w:rPr>
          <w:rFonts w:hint="eastAsia"/>
          <w:b/>
        </w:rPr>
        <w:t>5</w:t>
      </w:r>
      <w:r>
        <w:rPr>
          <w:b/>
        </w:rPr>
        <w:t>.</w:t>
      </w:r>
      <w:r>
        <w:rPr>
          <w:rFonts w:hint="eastAsia"/>
          <w:b/>
        </w:rPr>
        <w:t>0</w:t>
      </w:r>
      <w:r>
        <w:rPr>
          <w:b/>
        </w:rPr>
        <w:t>.1</w:t>
      </w:r>
      <w:r>
        <w:rPr>
          <w:rFonts w:hint="eastAsia"/>
          <w:b/>
        </w:rPr>
        <w:t>2</w:t>
      </w:r>
      <w:r>
        <w:rPr>
          <w:rFonts w:hint="eastAsia"/>
        </w:rPr>
        <w:t xml:space="preserve">  </w:t>
      </w:r>
      <w:r>
        <w:t>工程质量不符合设计和质量标准要求，且经返修或返工处理后仍不能满足安全</w:t>
      </w:r>
      <w:r>
        <w:rPr>
          <w:rFonts w:hint="eastAsia"/>
        </w:rPr>
        <w:t>、环保</w:t>
      </w:r>
      <w:r>
        <w:t>使用功能的</w:t>
      </w:r>
      <w:r>
        <w:rPr>
          <w:rFonts w:hint="eastAsia"/>
        </w:rPr>
        <w:t>工程</w:t>
      </w:r>
      <w:r>
        <w:t>严禁验收。</w:t>
      </w:r>
    </w:p>
    <w:p>
      <w:pPr>
        <w:pStyle w:val="85"/>
        <w:ind w:firstLine="0" w:firstLineChars="0"/>
        <w:rPr>
          <w:sz w:val="24"/>
          <w:szCs w:val="24"/>
        </w:rPr>
      </w:pPr>
      <w:bookmarkStart w:id="30" w:name="_Toc126931140"/>
      <w:bookmarkStart w:id="31" w:name="_Toc126850498"/>
      <w:bookmarkStart w:id="32" w:name="_Toc126929557"/>
    </w:p>
    <w:p>
      <w:pPr>
        <w:pStyle w:val="85"/>
        <w:ind w:firstLine="0" w:firstLineChars="0"/>
        <w:rPr>
          <w:sz w:val="24"/>
          <w:szCs w:val="24"/>
        </w:rPr>
        <w:sectPr>
          <w:headerReference r:id="rId26" w:type="default"/>
          <w:footerReference r:id="rId28" w:type="default"/>
          <w:headerReference r:id="rId27" w:type="even"/>
          <w:footnotePr>
            <w:numRestart w:val="eachPage"/>
          </w:footnotePr>
          <w:pgSz w:w="11906" w:h="16838"/>
          <w:pgMar w:top="1134" w:right="1418" w:bottom="1134" w:left="1418" w:header="0" w:footer="567" w:gutter="0"/>
          <w:pgNumType w:start="1"/>
          <w:cols w:space="720" w:num="1"/>
          <w:docGrid w:linePitch="447" w:charSpace="4499"/>
        </w:sectPr>
      </w:pPr>
    </w:p>
    <w:p>
      <w:pPr>
        <w:pStyle w:val="2"/>
        <w:keepNext w:val="0"/>
        <w:keepLines w:val="0"/>
        <w:widowControl w:val="0"/>
        <w:spacing w:after="0"/>
        <w:jc w:val="center"/>
        <w:rPr>
          <w:rFonts w:eastAsiaTheme="majorEastAsia"/>
          <w:spacing w:val="0"/>
          <w:sz w:val="30"/>
          <w:szCs w:val="30"/>
        </w:rPr>
      </w:pPr>
      <w:r>
        <w:rPr>
          <w:rFonts w:hint="eastAsia" w:eastAsiaTheme="majorEastAsia"/>
          <w:spacing w:val="0"/>
          <w:sz w:val="30"/>
          <w:szCs w:val="30"/>
        </w:rPr>
        <w:t>6</w:t>
      </w:r>
      <w:r>
        <w:rPr>
          <w:rFonts w:eastAsiaTheme="majorEastAsia"/>
          <w:spacing w:val="0"/>
          <w:sz w:val="30"/>
          <w:szCs w:val="30"/>
        </w:rPr>
        <w:t xml:space="preserve">  </w:t>
      </w:r>
      <w:r>
        <w:rPr>
          <w:rFonts w:hint="eastAsia" w:eastAsiaTheme="majorEastAsia"/>
          <w:spacing w:val="0"/>
          <w:sz w:val="30"/>
          <w:szCs w:val="30"/>
        </w:rPr>
        <w:t>维修与拆除</w:t>
      </w:r>
      <w:bookmarkEnd w:id="30"/>
      <w:bookmarkEnd w:id="31"/>
      <w:bookmarkEnd w:id="32"/>
    </w:p>
    <w:p>
      <w:pPr>
        <w:ind w:firstLine="0"/>
        <w:jc w:val="both"/>
      </w:pPr>
      <w:r>
        <w:rPr>
          <w:rFonts w:hint="eastAsia"/>
          <w:b/>
        </w:rPr>
        <w:t>6</w:t>
      </w:r>
      <w:r>
        <w:rPr>
          <w:b/>
        </w:rPr>
        <w:t>.</w:t>
      </w:r>
      <w:r>
        <w:rPr>
          <w:rFonts w:hint="eastAsia"/>
          <w:b/>
        </w:rPr>
        <w:t>.0.1</w:t>
      </w:r>
      <w:r>
        <w:rPr>
          <w:rFonts w:hint="eastAsia"/>
        </w:rPr>
        <w:t xml:space="preserve">  易燃、易爆、有毒、有腐蚀性物质的设备设施检修前应采取排空措施，有害气体和粉尘不得超过现行国家标准规定的最高允许浓度。</w:t>
      </w:r>
    </w:p>
    <w:p>
      <w:pPr>
        <w:ind w:firstLine="0"/>
        <w:jc w:val="both"/>
      </w:pPr>
      <w:r>
        <w:rPr>
          <w:rFonts w:hint="eastAsia"/>
          <w:b/>
        </w:rPr>
        <w:t>6.0.2</w:t>
      </w:r>
      <w:r>
        <w:rPr>
          <w:rFonts w:hint="eastAsia"/>
        </w:rPr>
        <w:t xml:space="preserve">  检修及拆除过程应采取安全措施，当采用特殊工艺辅助作业时，应符合国家现行标准的有关要求。</w:t>
      </w:r>
    </w:p>
    <w:p>
      <w:pPr>
        <w:ind w:firstLine="0"/>
        <w:jc w:val="both"/>
      </w:pPr>
      <w:r>
        <w:rPr>
          <w:rFonts w:hint="eastAsia"/>
          <w:b/>
        </w:rPr>
        <w:t>6.0.3</w:t>
      </w:r>
      <w:r>
        <w:rPr>
          <w:rFonts w:hint="eastAsia"/>
        </w:rPr>
        <w:t xml:space="preserve">  检修及拆除过程中产生的废气、废水、固体危险废弃物应归类处理，并应处理达标后排放。</w:t>
      </w:r>
    </w:p>
    <w:p>
      <w:pPr>
        <w:ind w:firstLine="0"/>
        <w:jc w:val="both"/>
      </w:pPr>
      <w:r>
        <w:rPr>
          <w:rFonts w:hint="eastAsia"/>
          <w:b/>
        </w:rPr>
        <w:t>6.0.4</w:t>
      </w:r>
      <w:r>
        <w:rPr>
          <w:rFonts w:hint="eastAsia"/>
        </w:rPr>
        <w:t xml:space="preserve">  检修后的设备、设施应满足安全、环保、节能使用要求，运行能耗和污染物排放应符合国家有关能耗和排放限值的现行规定。</w:t>
      </w:r>
    </w:p>
    <w:p>
      <w:pPr>
        <w:ind w:firstLine="0"/>
        <w:jc w:val="both"/>
      </w:pPr>
      <w:r>
        <w:rPr>
          <w:rFonts w:hint="eastAsia"/>
          <w:b/>
        </w:rPr>
        <w:t>6.0</w:t>
      </w:r>
      <w:r>
        <w:rPr>
          <w:b/>
        </w:rPr>
        <w:t>.5</w:t>
      </w:r>
      <w:r>
        <w:t xml:space="preserve"> </w:t>
      </w:r>
      <w:r>
        <w:rPr>
          <w:rFonts w:hint="eastAsia"/>
        </w:rPr>
        <w:t xml:space="preserve"> 拆除施工准备工作应符合下列规定：</w:t>
      </w:r>
    </w:p>
    <w:p>
      <w:pPr>
        <w:ind w:firstLine="461" w:firstLineChars="200"/>
        <w:jc w:val="both"/>
      </w:pPr>
      <w:r>
        <w:rPr>
          <w:b/>
        </w:rPr>
        <w:t>1</w:t>
      </w:r>
      <w:r>
        <w:rPr>
          <w:rFonts w:hint="eastAsia"/>
        </w:rPr>
        <w:t xml:space="preserve"> </w:t>
      </w:r>
      <w:r>
        <w:t xml:space="preserve"> </w:t>
      </w:r>
      <w:r>
        <w:rPr>
          <w:rFonts w:hint="eastAsia"/>
        </w:rPr>
        <w:t>对拟拆除装置和周边环境应进行查勘，应调查地上、地下管线设施和毗邻建筑物、构筑物等分布情况。</w:t>
      </w:r>
    </w:p>
    <w:p>
      <w:pPr>
        <w:ind w:firstLine="461" w:firstLineChars="200"/>
        <w:jc w:val="both"/>
      </w:pPr>
      <w:r>
        <w:rPr>
          <w:b/>
        </w:rPr>
        <w:t>2</w:t>
      </w:r>
      <w:r>
        <w:rPr>
          <w:rFonts w:hint="eastAsia"/>
        </w:rPr>
        <w:t xml:space="preserve">  主要生产设备或结构复杂构件拆除时，应进行风险辨识，并应编制安全专项施工方案，应经批准后实施。</w:t>
      </w:r>
    </w:p>
    <w:p>
      <w:pPr>
        <w:ind w:firstLine="461" w:firstLineChars="200"/>
        <w:jc w:val="both"/>
      </w:pPr>
      <w:r>
        <w:rPr>
          <w:b/>
        </w:rPr>
        <w:t>3</w:t>
      </w:r>
      <w:r>
        <w:rPr>
          <w:rFonts w:hint="eastAsia"/>
        </w:rPr>
        <w:t xml:space="preserve"> </w:t>
      </w:r>
      <w:r>
        <w:t xml:space="preserve"> </w:t>
      </w:r>
      <w:r>
        <w:rPr>
          <w:rFonts w:hint="eastAsia"/>
        </w:rPr>
        <w:t>对于输送、使用、储存危险品的拟拆除管道和设备，拆除前应先进行残留物的检测和处理。</w:t>
      </w:r>
    </w:p>
    <w:p>
      <w:pPr>
        <w:ind w:firstLine="0"/>
        <w:jc w:val="both"/>
      </w:pPr>
      <w:r>
        <w:rPr>
          <w:rFonts w:hint="eastAsia"/>
          <w:b/>
        </w:rPr>
        <w:t>6.0</w:t>
      </w:r>
      <w:r>
        <w:rPr>
          <w:b/>
        </w:rPr>
        <w:t>.6</w:t>
      </w:r>
      <w:r>
        <w:rPr>
          <w:rFonts w:hint="eastAsia"/>
        </w:rPr>
        <w:t xml:space="preserve">  拆除施工应采用节能环保型拆除技术，并应符合下列规定：</w:t>
      </w:r>
    </w:p>
    <w:p>
      <w:pPr>
        <w:ind w:firstLine="461" w:firstLineChars="200"/>
        <w:jc w:val="both"/>
      </w:pPr>
      <w:r>
        <w:rPr>
          <w:b/>
        </w:rPr>
        <w:t>1</w:t>
      </w:r>
      <w:r>
        <w:rPr>
          <w:rFonts w:hint="eastAsia"/>
        </w:rPr>
        <w:t xml:space="preserve"> </w:t>
      </w:r>
      <w:r>
        <w:t xml:space="preserve"> </w:t>
      </w:r>
      <w:r>
        <w:rPr>
          <w:rFonts w:hint="eastAsia"/>
        </w:rPr>
        <w:t>应先切断拟拆除设备或装置的电源、水源、气源和工艺介质等关联线路，应经排空处理，确认无危险源后，再进行拆除施工。</w:t>
      </w:r>
    </w:p>
    <w:p>
      <w:pPr>
        <w:ind w:firstLine="461" w:firstLineChars="200"/>
        <w:jc w:val="both"/>
      </w:pPr>
      <w:r>
        <w:rPr>
          <w:b/>
        </w:rPr>
        <w:t>2</w:t>
      </w:r>
      <w:r>
        <w:rPr>
          <w:rFonts w:hint="eastAsia"/>
        </w:rPr>
        <w:t xml:space="preserve"> </w:t>
      </w:r>
      <w:r>
        <w:t xml:space="preserve"> </w:t>
      </w:r>
      <w:r>
        <w:rPr>
          <w:rFonts w:hint="eastAsia"/>
        </w:rPr>
        <w:t>拆除施工不得立体交叉作业。</w:t>
      </w:r>
    </w:p>
    <w:p>
      <w:pPr>
        <w:ind w:firstLine="461" w:firstLineChars="200"/>
        <w:jc w:val="both"/>
      </w:pPr>
      <w:r>
        <w:rPr>
          <w:b/>
        </w:rPr>
        <w:t>3</w:t>
      </w:r>
      <w:r>
        <w:rPr>
          <w:rFonts w:hint="eastAsia"/>
        </w:rPr>
        <w:t xml:space="preserve"> </w:t>
      </w:r>
      <w:r>
        <w:t xml:space="preserve"> </w:t>
      </w:r>
      <w:r>
        <w:rPr>
          <w:rFonts w:hint="eastAsia"/>
        </w:rPr>
        <w:t>应对拟拆除管道和设备的蓄积应力状态和完好程度进行确认；对于不安全因素，应采取相应处理措施。</w:t>
      </w:r>
    </w:p>
    <w:p>
      <w:pPr>
        <w:ind w:firstLine="461" w:firstLineChars="200"/>
        <w:jc w:val="both"/>
      </w:pPr>
      <w:r>
        <w:rPr>
          <w:b/>
        </w:rPr>
        <w:t>4</w:t>
      </w:r>
      <w:r>
        <w:rPr>
          <w:rFonts w:hint="eastAsia"/>
        </w:rPr>
        <w:t xml:space="preserve"> </w:t>
      </w:r>
      <w:r>
        <w:t xml:space="preserve"> </w:t>
      </w:r>
      <w:r>
        <w:rPr>
          <w:rFonts w:hint="eastAsia"/>
        </w:rPr>
        <w:t>施工过程中发现不明物体时，应停止施工，并应采取保护现场的措施；同时，应报告相关部门。</w:t>
      </w:r>
    </w:p>
    <w:p>
      <w:pPr>
        <w:ind w:firstLine="461" w:firstLineChars="200"/>
        <w:jc w:val="both"/>
      </w:pPr>
      <w:r>
        <w:rPr>
          <w:b/>
        </w:rPr>
        <w:t>5</w:t>
      </w:r>
      <w:r>
        <w:rPr>
          <w:rFonts w:hint="eastAsia"/>
        </w:rPr>
        <w:t xml:space="preserve">  对在地下室等有限空间内拆除施工，应先采取通风措施，经检测合格后再进行作业。</w:t>
      </w:r>
    </w:p>
    <w:p>
      <w:pPr>
        <w:ind w:firstLine="0"/>
        <w:jc w:val="both"/>
      </w:pPr>
      <w:r>
        <w:rPr>
          <w:rFonts w:hint="eastAsia"/>
          <w:b/>
        </w:rPr>
        <w:t>6.0</w:t>
      </w:r>
      <w:r>
        <w:rPr>
          <w:b/>
        </w:rPr>
        <w:t>.7</w:t>
      </w:r>
      <w:r>
        <w:rPr>
          <w:rFonts w:hint="eastAsia"/>
        </w:rPr>
        <w:t xml:space="preserve">  可再利用设备的拆解分离界面应选在机组安装节点位置，拆除前应对设备的薄弱环节或易损部位进行加强保护，分离后的部件应进行包装和标识。</w:t>
      </w:r>
    </w:p>
    <w:p>
      <w:pPr>
        <w:ind w:firstLine="0"/>
        <w:jc w:val="both"/>
      </w:pPr>
      <w:r>
        <w:rPr>
          <w:rFonts w:hint="eastAsia"/>
          <w:b/>
        </w:rPr>
        <w:t>6.0</w:t>
      </w:r>
      <w:r>
        <w:rPr>
          <w:b/>
        </w:rPr>
        <w:t>.8</w:t>
      </w:r>
      <w:r>
        <w:rPr>
          <w:rFonts w:hint="eastAsia"/>
        </w:rPr>
        <w:t xml:space="preserve">  拆除后的设备和管线材料直接回收利用时，应重新进行质量检验认定。</w:t>
      </w:r>
    </w:p>
    <w:p>
      <w:pPr>
        <w:ind w:firstLine="0"/>
        <w:jc w:val="both"/>
        <w:rPr>
          <w:szCs w:val="24"/>
        </w:rPr>
      </w:pPr>
      <w:r>
        <w:rPr>
          <w:rFonts w:hint="eastAsia"/>
          <w:b/>
          <w:szCs w:val="24"/>
        </w:rPr>
        <w:t>6.0</w:t>
      </w:r>
      <w:r>
        <w:rPr>
          <w:b/>
          <w:szCs w:val="24"/>
        </w:rPr>
        <w:t>.9</w:t>
      </w:r>
      <w:r>
        <w:rPr>
          <w:rFonts w:hint="eastAsia"/>
          <w:szCs w:val="24"/>
        </w:rPr>
        <w:t xml:space="preserve">  工厂整体拆除后，应按国家现行有关标准的规定对有害物质进行检测；并应根据项目所在地的规划要求，恢复地形、地貌、绿植等。</w:t>
      </w:r>
    </w:p>
    <w:p>
      <w:pPr>
        <w:ind w:firstLine="0"/>
        <w:jc w:val="both"/>
      </w:pPr>
    </w:p>
    <w:sectPr>
      <w:headerReference r:id="rId29" w:type="default"/>
      <w:footerReference r:id="rId31" w:type="default"/>
      <w:headerReference r:id="rId30" w:type="even"/>
      <w:footerReference r:id="rId32" w:type="even"/>
      <w:footnotePr>
        <w:numRestart w:val="eachPage"/>
      </w:footnotePr>
      <w:pgSz w:w="11906" w:h="16838"/>
      <w:pgMar w:top="1134" w:right="1418" w:bottom="1134" w:left="1418" w:header="0" w:footer="737" w:gutter="0"/>
      <w:pgNumType w:start="1"/>
      <w:cols w:space="720" w:num="1"/>
      <w:docGrid w:linePitch="447" w:charSpace="44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Black">
    <w:altName w:val="Times New Roman"/>
    <w:panose1 w:val="020B0A04020102020204"/>
    <w:charset w:val="00"/>
    <w:family w:val="swiss"/>
    <w:pitch w:val="default"/>
    <w:sig w:usb0="00000000" w:usb1="00000000"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宋">
    <w:altName w:val="黑体"/>
    <w:panose1 w:val="00000000000000000000"/>
    <w:charset w:val="86"/>
    <w:family w:val="auto"/>
    <w:pitch w:val="default"/>
    <w:sig w:usb0="00000000" w:usb1="00000000" w:usb2="00000010" w:usb3="00000000" w:csb0="00040000" w:csb1="00000000"/>
  </w:font>
  <w:font w:name="ST Song">
    <w:altName w:val="宋体"/>
    <w:panose1 w:val="00000000000000000000"/>
    <w:charset w:val="86"/>
    <w:family w:val="roman"/>
    <w:pitch w:val="default"/>
    <w:sig w:usb0="00000000" w:usb1="00000000" w:usb2="00000010" w:usb3="00000000" w:csb0="00040000" w:csb1="00000000"/>
  </w:font>
  <w:font w:name="Futura Bk BT">
    <w:altName w:val="方正宋体S-超大字符集(SIP)"/>
    <w:panose1 w:val="00000000000000000000"/>
    <w:charset w:val="00"/>
    <w:family w:val="swiss"/>
    <w:pitch w:val="default"/>
    <w:sig w:usb0="00000000" w:usb1="00000000" w:usb2="00000000" w:usb3="00000000" w:csb0="0000001B" w:csb1="00000000"/>
  </w:font>
  <w:font w:name="Tahoma">
    <w:altName w:val="DejaVu Sans"/>
    <w:panose1 w:val="020B0604030504040204"/>
    <w:charset w:val="00"/>
    <w:family w:val="swiss"/>
    <w:pitch w:val="default"/>
    <w:sig w:usb0="00000000" w:usb1="00000000" w:usb2="00000029" w:usb3="00000000" w:csb0="000101FF" w:csb1="00000000"/>
  </w:font>
  <w:font w:name="MingLiU">
    <w:altName w:val="宋体"/>
    <w:panose1 w:val="02020509000000000000"/>
    <w:charset w:val="88"/>
    <w:family w:val="modern"/>
    <w:pitch w:val="default"/>
    <w:sig w:usb0="00000000" w:usb1="00000000" w:usb2="00000016" w:usb3="00000000" w:csb0="00100001" w:csb1="00000000"/>
  </w:font>
  <w:font w:name="Cambria">
    <w:altName w:val="FreeSerif"/>
    <w:panose1 w:val="02040503050406030204"/>
    <w:charset w:val="00"/>
    <w:family w:val="roman"/>
    <w:pitch w:val="default"/>
    <w:sig w:usb0="00000000" w:usb1="00000000" w:usb2="00000000" w:usb3="00000000" w:csb0="0000019F" w:csb1="00000000"/>
  </w:font>
  <w:font w:name="楷体_GB2312">
    <w:panose1 w:val="02010609030101010101"/>
    <w:charset w:val="86"/>
    <w:family w:val="modern"/>
    <w:pitch w:val="default"/>
    <w:sig w:usb0="00000001" w:usb1="080E0000" w:usb2="00000000" w:usb3="00000000" w:csb0="00040000" w:csb1="00000000"/>
  </w:font>
  <w:font w:name="Batang">
    <w:altName w:val="宋体"/>
    <w:panose1 w:val="02030600000101010101"/>
    <w:charset w:val="81"/>
    <w:family w:val="roman"/>
    <w:pitch w:val="default"/>
    <w:sig w:usb0="00000000" w:usb1="00000000" w:usb2="00000030" w:usb3="00000000" w:csb0="0008009F" w:csb1="00000000"/>
  </w:font>
  <w:font w:name="新宋体">
    <w:panose1 w:val="02010609030101010101"/>
    <w:charset w:val="86"/>
    <w:family w:val="modern"/>
    <w:pitch w:val="default"/>
    <w:sig w:usb0="00000003" w:usb1="288F00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方正宋体S-超大字符集(SIP)">
    <w:panose1 w:val="03000509000000000000"/>
    <w:charset w:val="86"/>
    <w:family w:val="auto"/>
    <w:pitch w:val="default"/>
    <w:sig w:usb0="00000003" w:usb1="0A0E0800" w:usb2="00000006" w:usb3="00000000" w:csb0="0004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0882138"/>
      <w:docPartObj>
        <w:docPartGallery w:val="AutoText"/>
      </w:docPartObj>
    </w:sdtPr>
    <w:sdtContent>
      <w:p>
        <w:pPr>
          <w:pStyle w:val="26"/>
        </w:pPr>
        <w:r>
          <w:fldChar w:fldCharType="begin"/>
        </w:r>
        <w:r>
          <w:instrText xml:space="preserve"> PAGE   \* MERGEFORMAT </w:instrText>
        </w:r>
        <w:r>
          <w:fldChar w:fldCharType="separate"/>
        </w:r>
        <w:r>
          <w:rPr>
            <w:lang w:val="zh-CN"/>
          </w:rPr>
          <w:t>2</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7012800"/>
      <w:docPartObj>
        <w:docPartGallery w:val="AutoText"/>
      </w:docPartObj>
    </w:sdtPr>
    <w:sdtContent>
      <w:p>
        <w:pPr>
          <w:pStyle w:val="26"/>
          <w:jc w:val="right"/>
        </w:pPr>
        <w:r>
          <w:fldChar w:fldCharType="begin"/>
        </w:r>
        <w:r>
          <w:instrText xml:space="preserve"> PAGE   \* MERGEFORMAT </w:instrText>
        </w:r>
        <w:r>
          <w:fldChar w:fldCharType="separate"/>
        </w:r>
        <w:r>
          <w:rPr>
            <w:lang w:val="zh-CN"/>
          </w:rPr>
          <w:t>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76"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76" w:firstLine="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76" w:firstLine="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76"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76" w:firstLine="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76"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76"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76"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76"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36730A"/>
    <w:multiLevelType w:val="singleLevel"/>
    <w:tmpl w:val="1536730A"/>
    <w:lvl w:ilvl="0" w:tentative="0">
      <w:start w:val="1"/>
      <w:numFmt w:val="upperLetter"/>
      <w:pStyle w:val="55"/>
      <w:lvlText w:val="附录%1"/>
      <w:lvlJc w:val="left"/>
      <w:pPr>
        <w:tabs>
          <w:tab w:val="left" w:pos="720"/>
        </w:tabs>
        <w:ind w:left="680" w:hanging="6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hideSpellingErrors/>
  <w:attachedTemplate r:id="rId1"/>
  <w:documentProtection w:enforcement="0"/>
  <w:defaultTabStop w:val="360"/>
  <w:evenAndOddHeaders w:val="true"/>
  <w:drawingGridHorizontalSpacing w:val="126"/>
  <w:drawingGridVerticalSpacing w:val="447"/>
  <w:displayHorizontalDrawingGridEvery w:val="0"/>
  <w:doNotShadeFormData w:val="true"/>
  <w:noPunctuationKerning w:val="true"/>
  <w:characterSpacingControl w:val="doNotCompress"/>
  <w:footnotePr>
    <w:numRestart w:val="eachPage"/>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2"/>
  </w:compat>
  <w:rsids>
    <w:rsidRoot w:val="00295869"/>
    <w:rsid w:val="00000932"/>
    <w:rsid w:val="0000101B"/>
    <w:rsid w:val="00001520"/>
    <w:rsid w:val="00002859"/>
    <w:rsid w:val="00003B5C"/>
    <w:rsid w:val="00004FA4"/>
    <w:rsid w:val="00005B3F"/>
    <w:rsid w:val="00005B86"/>
    <w:rsid w:val="000061FD"/>
    <w:rsid w:val="00006889"/>
    <w:rsid w:val="000070CE"/>
    <w:rsid w:val="0000754C"/>
    <w:rsid w:val="0000758D"/>
    <w:rsid w:val="00010A5A"/>
    <w:rsid w:val="00011331"/>
    <w:rsid w:val="000116E7"/>
    <w:rsid w:val="0001378E"/>
    <w:rsid w:val="00013CE6"/>
    <w:rsid w:val="00013CED"/>
    <w:rsid w:val="00014455"/>
    <w:rsid w:val="000147D8"/>
    <w:rsid w:val="00014C25"/>
    <w:rsid w:val="0001537C"/>
    <w:rsid w:val="00015484"/>
    <w:rsid w:val="0001669E"/>
    <w:rsid w:val="00016BDA"/>
    <w:rsid w:val="000176B3"/>
    <w:rsid w:val="00017C6E"/>
    <w:rsid w:val="00020196"/>
    <w:rsid w:val="0002149B"/>
    <w:rsid w:val="00021B23"/>
    <w:rsid w:val="00022ABB"/>
    <w:rsid w:val="000231C5"/>
    <w:rsid w:val="00023DBB"/>
    <w:rsid w:val="0002492F"/>
    <w:rsid w:val="000252D7"/>
    <w:rsid w:val="00026A82"/>
    <w:rsid w:val="00026AD0"/>
    <w:rsid w:val="00027243"/>
    <w:rsid w:val="000275DF"/>
    <w:rsid w:val="0002761E"/>
    <w:rsid w:val="00027826"/>
    <w:rsid w:val="00027FCA"/>
    <w:rsid w:val="00031629"/>
    <w:rsid w:val="00031B16"/>
    <w:rsid w:val="00031D05"/>
    <w:rsid w:val="000330D8"/>
    <w:rsid w:val="00033EBB"/>
    <w:rsid w:val="000351B5"/>
    <w:rsid w:val="000351EA"/>
    <w:rsid w:val="00035B61"/>
    <w:rsid w:val="0003601A"/>
    <w:rsid w:val="00040A7E"/>
    <w:rsid w:val="00040FC2"/>
    <w:rsid w:val="00041A3F"/>
    <w:rsid w:val="00042192"/>
    <w:rsid w:val="00042977"/>
    <w:rsid w:val="00043165"/>
    <w:rsid w:val="0004350A"/>
    <w:rsid w:val="0004456A"/>
    <w:rsid w:val="0004484E"/>
    <w:rsid w:val="00044F19"/>
    <w:rsid w:val="0004655D"/>
    <w:rsid w:val="00047878"/>
    <w:rsid w:val="00047CBF"/>
    <w:rsid w:val="00047CE9"/>
    <w:rsid w:val="00047F89"/>
    <w:rsid w:val="00050FE7"/>
    <w:rsid w:val="000510D9"/>
    <w:rsid w:val="00051219"/>
    <w:rsid w:val="00051EA8"/>
    <w:rsid w:val="00052E99"/>
    <w:rsid w:val="000530B8"/>
    <w:rsid w:val="000541D3"/>
    <w:rsid w:val="00054AF7"/>
    <w:rsid w:val="000577D2"/>
    <w:rsid w:val="00057C7F"/>
    <w:rsid w:val="00057E34"/>
    <w:rsid w:val="00057F3A"/>
    <w:rsid w:val="00060122"/>
    <w:rsid w:val="00060381"/>
    <w:rsid w:val="00061C9D"/>
    <w:rsid w:val="0006215B"/>
    <w:rsid w:val="00063BE9"/>
    <w:rsid w:val="00064DED"/>
    <w:rsid w:val="00065524"/>
    <w:rsid w:val="00066895"/>
    <w:rsid w:val="00066A2D"/>
    <w:rsid w:val="00066F6F"/>
    <w:rsid w:val="000670D4"/>
    <w:rsid w:val="000673C7"/>
    <w:rsid w:val="00067CBC"/>
    <w:rsid w:val="00067EAB"/>
    <w:rsid w:val="000718D0"/>
    <w:rsid w:val="00071AB8"/>
    <w:rsid w:val="00071C19"/>
    <w:rsid w:val="0007240B"/>
    <w:rsid w:val="0007257D"/>
    <w:rsid w:val="000739C4"/>
    <w:rsid w:val="0007468E"/>
    <w:rsid w:val="00075811"/>
    <w:rsid w:val="000765F1"/>
    <w:rsid w:val="000777AE"/>
    <w:rsid w:val="0008162F"/>
    <w:rsid w:val="0008287F"/>
    <w:rsid w:val="00082CA9"/>
    <w:rsid w:val="00082CF4"/>
    <w:rsid w:val="00084E5A"/>
    <w:rsid w:val="000854DE"/>
    <w:rsid w:val="0008749B"/>
    <w:rsid w:val="000879D7"/>
    <w:rsid w:val="00087F7C"/>
    <w:rsid w:val="00090C28"/>
    <w:rsid w:val="000919B1"/>
    <w:rsid w:val="00091AB5"/>
    <w:rsid w:val="00092AEB"/>
    <w:rsid w:val="000931C7"/>
    <w:rsid w:val="00093695"/>
    <w:rsid w:val="000946EC"/>
    <w:rsid w:val="00096287"/>
    <w:rsid w:val="00096F94"/>
    <w:rsid w:val="000975B3"/>
    <w:rsid w:val="0009781F"/>
    <w:rsid w:val="000A0AB6"/>
    <w:rsid w:val="000A0C32"/>
    <w:rsid w:val="000A10C5"/>
    <w:rsid w:val="000A1770"/>
    <w:rsid w:val="000A1989"/>
    <w:rsid w:val="000A2D25"/>
    <w:rsid w:val="000A3A56"/>
    <w:rsid w:val="000A402C"/>
    <w:rsid w:val="000A4216"/>
    <w:rsid w:val="000A4720"/>
    <w:rsid w:val="000A621A"/>
    <w:rsid w:val="000A744D"/>
    <w:rsid w:val="000B0019"/>
    <w:rsid w:val="000B0DF9"/>
    <w:rsid w:val="000B0F9E"/>
    <w:rsid w:val="000B12CF"/>
    <w:rsid w:val="000B2209"/>
    <w:rsid w:val="000B4928"/>
    <w:rsid w:val="000B56D1"/>
    <w:rsid w:val="000B62CB"/>
    <w:rsid w:val="000B72C0"/>
    <w:rsid w:val="000B7366"/>
    <w:rsid w:val="000B7772"/>
    <w:rsid w:val="000B7C83"/>
    <w:rsid w:val="000C03B8"/>
    <w:rsid w:val="000C07AD"/>
    <w:rsid w:val="000C1110"/>
    <w:rsid w:val="000C20CF"/>
    <w:rsid w:val="000C28FB"/>
    <w:rsid w:val="000C30E6"/>
    <w:rsid w:val="000C39E7"/>
    <w:rsid w:val="000C4BAB"/>
    <w:rsid w:val="000C67EA"/>
    <w:rsid w:val="000C69D0"/>
    <w:rsid w:val="000D0707"/>
    <w:rsid w:val="000D1E8A"/>
    <w:rsid w:val="000D2A76"/>
    <w:rsid w:val="000D2C86"/>
    <w:rsid w:val="000D2D1C"/>
    <w:rsid w:val="000D2EE2"/>
    <w:rsid w:val="000D3157"/>
    <w:rsid w:val="000D315D"/>
    <w:rsid w:val="000D44AA"/>
    <w:rsid w:val="000D451E"/>
    <w:rsid w:val="000D5A37"/>
    <w:rsid w:val="000D61B1"/>
    <w:rsid w:val="000D64B1"/>
    <w:rsid w:val="000D6648"/>
    <w:rsid w:val="000D77C4"/>
    <w:rsid w:val="000D7DF2"/>
    <w:rsid w:val="000E034A"/>
    <w:rsid w:val="000E0E9F"/>
    <w:rsid w:val="000E17BA"/>
    <w:rsid w:val="000E1839"/>
    <w:rsid w:val="000E19DC"/>
    <w:rsid w:val="000E379C"/>
    <w:rsid w:val="000E3AF1"/>
    <w:rsid w:val="000E3F48"/>
    <w:rsid w:val="000E40C0"/>
    <w:rsid w:val="000E4632"/>
    <w:rsid w:val="000E489B"/>
    <w:rsid w:val="000E54FA"/>
    <w:rsid w:val="000E6091"/>
    <w:rsid w:val="000E743F"/>
    <w:rsid w:val="000E7819"/>
    <w:rsid w:val="000E7C18"/>
    <w:rsid w:val="000E7F0B"/>
    <w:rsid w:val="000F00DC"/>
    <w:rsid w:val="000F12E5"/>
    <w:rsid w:val="000F4A27"/>
    <w:rsid w:val="000F4E11"/>
    <w:rsid w:val="000F4E39"/>
    <w:rsid w:val="000F534A"/>
    <w:rsid w:val="000F5BB9"/>
    <w:rsid w:val="000F5BF7"/>
    <w:rsid w:val="000F5D55"/>
    <w:rsid w:val="000F6A8E"/>
    <w:rsid w:val="000F7420"/>
    <w:rsid w:val="000F74E5"/>
    <w:rsid w:val="000F7FBD"/>
    <w:rsid w:val="001008D9"/>
    <w:rsid w:val="00100DFC"/>
    <w:rsid w:val="00100E96"/>
    <w:rsid w:val="00101F82"/>
    <w:rsid w:val="001021F8"/>
    <w:rsid w:val="00102D2C"/>
    <w:rsid w:val="001031BF"/>
    <w:rsid w:val="0010357D"/>
    <w:rsid w:val="00103AD8"/>
    <w:rsid w:val="00103D47"/>
    <w:rsid w:val="001057E1"/>
    <w:rsid w:val="00106A97"/>
    <w:rsid w:val="0010725D"/>
    <w:rsid w:val="00107BAD"/>
    <w:rsid w:val="00110042"/>
    <w:rsid w:val="00110147"/>
    <w:rsid w:val="00110C11"/>
    <w:rsid w:val="0011161E"/>
    <w:rsid w:val="001117F0"/>
    <w:rsid w:val="00111BF9"/>
    <w:rsid w:val="00111F4A"/>
    <w:rsid w:val="00112150"/>
    <w:rsid w:val="001123D1"/>
    <w:rsid w:val="001125B6"/>
    <w:rsid w:val="00113105"/>
    <w:rsid w:val="00114D21"/>
    <w:rsid w:val="00114F7A"/>
    <w:rsid w:val="001156E2"/>
    <w:rsid w:val="00115E87"/>
    <w:rsid w:val="00116130"/>
    <w:rsid w:val="0011691E"/>
    <w:rsid w:val="00116C30"/>
    <w:rsid w:val="0011721A"/>
    <w:rsid w:val="00120A30"/>
    <w:rsid w:val="00122182"/>
    <w:rsid w:val="00123146"/>
    <w:rsid w:val="001232D1"/>
    <w:rsid w:val="001246AE"/>
    <w:rsid w:val="00124EC9"/>
    <w:rsid w:val="001252CF"/>
    <w:rsid w:val="00125669"/>
    <w:rsid w:val="00125B94"/>
    <w:rsid w:val="00125DEA"/>
    <w:rsid w:val="001267CD"/>
    <w:rsid w:val="00126869"/>
    <w:rsid w:val="00126C62"/>
    <w:rsid w:val="00126D85"/>
    <w:rsid w:val="00130855"/>
    <w:rsid w:val="00131586"/>
    <w:rsid w:val="00133119"/>
    <w:rsid w:val="00133404"/>
    <w:rsid w:val="00135365"/>
    <w:rsid w:val="00136DA9"/>
    <w:rsid w:val="001373F6"/>
    <w:rsid w:val="00140945"/>
    <w:rsid w:val="001415F9"/>
    <w:rsid w:val="00141BF8"/>
    <w:rsid w:val="00142731"/>
    <w:rsid w:val="00143C5D"/>
    <w:rsid w:val="001447C5"/>
    <w:rsid w:val="00144FB3"/>
    <w:rsid w:val="001450F1"/>
    <w:rsid w:val="0014512C"/>
    <w:rsid w:val="00145298"/>
    <w:rsid w:val="001454DE"/>
    <w:rsid w:val="00145D3E"/>
    <w:rsid w:val="001507F1"/>
    <w:rsid w:val="00150CAD"/>
    <w:rsid w:val="00151F65"/>
    <w:rsid w:val="00152F5E"/>
    <w:rsid w:val="001534EE"/>
    <w:rsid w:val="00153A6F"/>
    <w:rsid w:val="00153EF6"/>
    <w:rsid w:val="001546EF"/>
    <w:rsid w:val="00156EFC"/>
    <w:rsid w:val="001607B6"/>
    <w:rsid w:val="001609B4"/>
    <w:rsid w:val="00163328"/>
    <w:rsid w:val="001640AA"/>
    <w:rsid w:val="00164599"/>
    <w:rsid w:val="001655D3"/>
    <w:rsid w:val="0016576E"/>
    <w:rsid w:val="00165C88"/>
    <w:rsid w:val="00165E5F"/>
    <w:rsid w:val="00171E25"/>
    <w:rsid w:val="001722DF"/>
    <w:rsid w:val="00172606"/>
    <w:rsid w:val="001736EC"/>
    <w:rsid w:val="00174058"/>
    <w:rsid w:val="00175497"/>
    <w:rsid w:val="00176036"/>
    <w:rsid w:val="00176AFB"/>
    <w:rsid w:val="00176DEB"/>
    <w:rsid w:val="001771C1"/>
    <w:rsid w:val="00177648"/>
    <w:rsid w:val="0017768D"/>
    <w:rsid w:val="0017786E"/>
    <w:rsid w:val="00177A67"/>
    <w:rsid w:val="00177B3E"/>
    <w:rsid w:val="00177D30"/>
    <w:rsid w:val="0018026A"/>
    <w:rsid w:val="00180A37"/>
    <w:rsid w:val="00181E4C"/>
    <w:rsid w:val="00184519"/>
    <w:rsid w:val="00184682"/>
    <w:rsid w:val="0018524A"/>
    <w:rsid w:val="00185314"/>
    <w:rsid w:val="00185D5A"/>
    <w:rsid w:val="00185DA1"/>
    <w:rsid w:val="00186490"/>
    <w:rsid w:val="00187A07"/>
    <w:rsid w:val="00187EE4"/>
    <w:rsid w:val="00190073"/>
    <w:rsid w:val="0019110C"/>
    <w:rsid w:val="001913AF"/>
    <w:rsid w:val="0019149B"/>
    <w:rsid w:val="00191A6D"/>
    <w:rsid w:val="00192693"/>
    <w:rsid w:val="00192D31"/>
    <w:rsid w:val="001939C6"/>
    <w:rsid w:val="00193E72"/>
    <w:rsid w:val="00193F52"/>
    <w:rsid w:val="001949DD"/>
    <w:rsid w:val="00194BA9"/>
    <w:rsid w:val="001951FD"/>
    <w:rsid w:val="001954CB"/>
    <w:rsid w:val="001A000E"/>
    <w:rsid w:val="001A2397"/>
    <w:rsid w:val="001A23BC"/>
    <w:rsid w:val="001A3248"/>
    <w:rsid w:val="001A411D"/>
    <w:rsid w:val="001A47DC"/>
    <w:rsid w:val="001A4B1E"/>
    <w:rsid w:val="001A5375"/>
    <w:rsid w:val="001A56A3"/>
    <w:rsid w:val="001A607C"/>
    <w:rsid w:val="001A71C9"/>
    <w:rsid w:val="001A734E"/>
    <w:rsid w:val="001A76C1"/>
    <w:rsid w:val="001A78D2"/>
    <w:rsid w:val="001A7A9B"/>
    <w:rsid w:val="001B09ED"/>
    <w:rsid w:val="001B209E"/>
    <w:rsid w:val="001B34C9"/>
    <w:rsid w:val="001B398B"/>
    <w:rsid w:val="001B3A6D"/>
    <w:rsid w:val="001B57A5"/>
    <w:rsid w:val="001B652A"/>
    <w:rsid w:val="001B68CC"/>
    <w:rsid w:val="001B7700"/>
    <w:rsid w:val="001C008D"/>
    <w:rsid w:val="001C0742"/>
    <w:rsid w:val="001C07D1"/>
    <w:rsid w:val="001C086D"/>
    <w:rsid w:val="001C138D"/>
    <w:rsid w:val="001C2540"/>
    <w:rsid w:val="001C35A0"/>
    <w:rsid w:val="001C432F"/>
    <w:rsid w:val="001C4768"/>
    <w:rsid w:val="001C4BCE"/>
    <w:rsid w:val="001C5688"/>
    <w:rsid w:val="001C649F"/>
    <w:rsid w:val="001C6AD9"/>
    <w:rsid w:val="001C7108"/>
    <w:rsid w:val="001C7FFA"/>
    <w:rsid w:val="001D0396"/>
    <w:rsid w:val="001D14AA"/>
    <w:rsid w:val="001D263C"/>
    <w:rsid w:val="001D347F"/>
    <w:rsid w:val="001D3BDF"/>
    <w:rsid w:val="001D44E4"/>
    <w:rsid w:val="001D4CAF"/>
    <w:rsid w:val="001D5206"/>
    <w:rsid w:val="001D5613"/>
    <w:rsid w:val="001D5F94"/>
    <w:rsid w:val="001D68BF"/>
    <w:rsid w:val="001D7022"/>
    <w:rsid w:val="001D7767"/>
    <w:rsid w:val="001D7E95"/>
    <w:rsid w:val="001E136C"/>
    <w:rsid w:val="001E1D04"/>
    <w:rsid w:val="001E256A"/>
    <w:rsid w:val="001E2A8E"/>
    <w:rsid w:val="001E3026"/>
    <w:rsid w:val="001E34AF"/>
    <w:rsid w:val="001E355D"/>
    <w:rsid w:val="001E494D"/>
    <w:rsid w:val="001E4F2E"/>
    <w:rsid w:val="001E5315"/>
    <w:rsid w:val="001E5E9B"/>
    <w:rsid w:val="001E6B8B"/>
    <w:rsid w:val="001E743D"/>
    <w:rsid w:val="001F0E8F"/>
    <w:rsid w:val="001F1470"/>
    <w:rsid w:val="001F1997"/>
    <w:rsid w:val="001F4921"/>
    <w:rsid w:val="001F4CDC"/>
    <w:rsid w:val="001F4E7C"/>
    <w:rsid w:val="001F5B82"/>
    <w:rsid w:val="001F6FAD"/>
    <w:rsid w:val="00200969"/>
    <w:rsid w:val="00200FA3"/>
    <w:rsid w:val="00202802"/>
    <w:rsid w:val="00202DCA"/>
    <w:rsid w:val="002033C4"/>
    <w:rsid w:val="00203BA7"/>
    <w:rsid w:val="00206D24"/>
    <w:rsid w:val="00210443"/>
    <w:rsid w:val="0021133D"/>
    <w:rsid w:val="00211420"/>
    <w:rsid w:val="00212393"/>
    <w:rsid w:val="0021261E"/>
    <w:rsid w:val="002134AF"/>
    <w:rsid w:val="00213A6A"/>
    <w:rsid w:val="00213C7D"/>
    <w:rsid w:val="00213C96"/>
    <w:rsid w:val="002149B7"/>
    <w:rsid w:val="00215807"/>
    <w:rsid w:val="00216809"/>
    <w:rsid w:val="00216C93"/>
    <w:rsid w:val="002173C9"/>
    <w:rsid w:val="00217657"/>
    <w:rsid w:val="00217BAD"/>
    <w:rsid w:val="00221E15"/>
    <w:rsid w:val="002231D5"/>
    <w:rsid w:val="002233FE"/>
    <w:rsid w:val="002239D8"/>
    <w:rsid w:val="0022461F"/>
    <w:rsid w:val="00224C93"/>
    <w:rsid w:val="002255C0"/>
    <w:rsid w:val="00225F4E"/>
    <w:rsid w:val="0022609A"/>
    <w:rsid w:val="002264BE"/>
    <w:rsid w:val="0022661F"/>
    <w:rsid w:val="00230594"/>
    <w:rsid w:val="00232428"/>
    <w:rsid w:val="0023391D"/>
    <w:rsid w:val="00234AD7"/>
    <w:rsid w:val="002353FD"/>
    <w:rsid w:val="002354A9"/>
    <w:rsid w:val="0023555E"/>
    <w:rsid w:val="00235920"/>
    <w:rsid w:val="00235C67"/>
    <w:rsid w:val="0023654C"/>
    <w:rsid w:val="00236E3A"/>
    <w:rsid w:val="00237A5F"/>
    <w:rsid w:val="00237EFB"/>
    <w:rsid w:val="00240178"/>
    <w:rsid w:val="002404EE"/>
    <w:rsid w:val="0024051C"/>
    <w:rsid w:val="00241093"/>
    <w:rsid w:val="002421FA"/>
    <w:rsid w:val="002422A5"/>
    <w:rsid w:val="00242A5B"/>
    <w:rsid w:val="002431D2"/>
    <w:rsid w:val="0024327C"/>
    <w:rsid w:val="00243E66"/>
    <w:rsid w:val="00245295"/>
    <w:rsid w:val="0024563C"/>
    <w:rsid w:val="00246454"/>
    <w:rsid w:val="00246D54"/>
    <w:rsid w:val="0024713D"/>
    <w:rsid w:val="00250D21"/>
    <w:rsid w:val="00250D73"/>
    <w:rsid w:val="002517C4"/>
    <w:rsid w:val="00251BF6"/>
    <w:rsid w:val="00252096"/>
    <w:rsid w:val="00252690"/>
    <w:rsid w:val="002526AD"/>
    <w:rsid w:val="00252824"/>
    <w:rsid w:val="00252FB5"/>
    <w:rsid w:val="00253136"/>
    <w:rsid w:val="00254045"/>
    <w:rsid w:val="00254864"/>
    <w:rsid w:val="00254D6D"/>
    <w:rsid w:val="00255255"/>
    <w:rsid w:val="0025554B"/>
    <w:rsid w:val="00256BB4"/>
    <w:rsid w:val="00256C43"/>
    <w:rsid w:val="002578E5"/>
    <w:rsid w:val="0026020B"/>
    <w:rsid w:val="00261315"/>
    <w:rsid w:val="00261819"/>
    <w:rsid w:val="0026231D"/>
    <w:rsid w:val="002624F7"/>
    <w:rsid w:val="002637E9"/>
    <w:rsid w:val="00263BD4"/>
    <w:rsid w:val="002644E3"/>
    <w:rsid w:val="00264658"/>
    <w:rsid w:val="00267319"/>
    <w:rsid w:val="0026735C"/>
    <w:rsid w:val="0026745A"/>
    <w:rsid w:val="002675FA"/>
    <w:rsid w:val="00267F09"/>
    <w:rsid w:val="002712EA"/>
    <w:rsid w:val="00271F89"/>
    <w:rsid w:val="0027276B"/>
    <w:rsid w:val="0027280E"/>
    <w:rsid w:val="00272AEB"/>
    <w:rsid w:val="0027369E"/>
    <w:rsid w:val="00273CCC"/>
    <w:rsid w:val="00273F86"/>
    <w:rsid w:val="002740C2"/>
    <w:rsid w:val="00275671"/>
    <w:rsid w:val="00275BEE"/>
    <w:rsid w:val="002766D3"/>
    <w:rsid w:val="00276913"/>
    <w:rsid w:val="00276DEB"/>
    <w:rsid w:val="0027780C"/>
    <w:rsid w:val="0028419F"/>
    <w:rsid w:val="00285E44"/>
    <w:rsid w:val="00286DD1"/>
    <w:rsid w:val="002874BE"/>
    <w:rsid w:val="00287868"/>
    <w:rsid w:val="00287B9F"/>
    <w:rsid w:val="002903A5"/>
    <w:rsid w:val="00291B12"/>
    <w:rsid w:val="0029224A"/>
    <w:rsid w:val="0029260C"/>
    <w:rsid w:val="00292D9F"/>
    <w:rsid w:val="00293022"/>
    <w:rsid w:val="00293069"/>
    <w:rsid w:val="00293956"/>
    <w:rsid w:val="00293AED"/>
    <w:rsid w:val="0029436B"/>
    <w:rsid w:val="002943F0"/>
    <w:rsid w:val="0029482B"/>
    <w:rsid w:val="002949A7"/>
    <w:rsid w:val="00294CDE"/>
    <w:rsid w:val="0029554A"/>
    <w:rsid w:val="00295803"/>
    <w:rsid w:val="00295869"/>
    <w:rsid w:val="0029661D"/>
    <w:rsid w:val="002970A6"/>
    <w:rsid w:val="002A0916"/>
    <w:rsid w:val="002A1306"/>
    <w:rsid w:val="002A146E"/>
    <w:rsid w:val="002A196E"/>
    <w:rsid w:val="002A2900"/>
    <w:rsid w:val="002A330A"/>
    <w:rsid w:val="002A35D5"/>
    <w:rsid w:val="002A5463"/>
    <w:rsid w:val="002A6310"/>
    <w:rsid w:val="002A6624"/>
    <w:rsid w:val="002A7822"/>
    <w:rsid w:val="002B00E0"/>
    <w:rsid w:val="002B2091"/>
    <w:rsid w:val="002B2C0D"/>
    <w:rsid w:val="002B5DB5"/>
    <w:rsid w:val="002B6A91"/>
    <w:rsid w:val="002B6B96"/>
    <w:rsid w:val="002B6E0C"/>
    <w:rsid w:val="002B702B"/>
    <w:rsid w:val="002B76F0"/>
    <w:rsid w:val="002B7722"/>
    <w:rsid w:val="002B7741"/>
    <w:rsid w:val="002B7862"/>
    <w:rsid w:val="002B7C7F"/>
    <w:rsid w:val="002C0A0D"/>
    <w:rsid w:val="002C0C2D"/>
    <w:rsid w:val="002C0F8C"/>
    <w:rsid w:val="002C0FAA"/>
    <w:rsid w:val="002C1906"/>
    <w:rsid w:val="002C2AE6"/>
    <w:rsid w:val="002C31FA"/>
    <w:rsid w:val="002C3A43"/>
    <w:rsid w:val="002C3B50"/>
    <w:rsid w:val="002C4313"/>
    <w:rsid w:val="002C4607"/>
    <w:rsid w:val="002C5D3A"/>
    <w:rsid w:val="002C6052"/>
    <w:rsid w:val="002C6496"/>
    <w:rsid w:val="002C6752"/>
    <w:rsid w:val="002C6C40"/>
    <w:rsid w:val="002D03F4"/>
    <w:rsid w:val="002D21AE"/>
    <w:rsid w:val="002D5C26"/>
    <w:rsid w:val="002D73BF"/>
    <w:rsid w:val="002E09C2"/>
    <w:rsid w:val="002E2236"/>
    <w:rsid w:val="002E2679"/>
    <w:rsid w:val="002E2A63"/>
    <w:rsid w:val="002E3658"/>
    <w:rsid w:val="002E3792"/>
    <w:rsid w:val="002E4480"/>
    <w:rsid w:val="002E52FC"/>
    <w:rsid w:val="002E62A1"/>
    <w:rsid w:val="002E7259"/>
    <w:rsid w:val="002E72D3"/>
    <w:rsid w:val="002F091D"/>
    <w:rsid w:val="002F0EB2"/>
    <w:rsid w:val="002F1168"/>
    <w:rsid w:val="002F1CC9"/>
    <w:rsid w:val="002F1EA5"/>
    <w:rsid w:val="002F3E43"/>
    <w:rsid w:val="002F4095"/>
    <w:rsid w:val="002F635E"/>
    <w:rsid w:val="002F6853"/>
    <w:rsid w:val="002F739F"/>
    <w:rsid w:val="00300454"/>
    <w:rsid w:val="00300C0B"/>
    <w:rsid w:val="0030312A"/>
    <w:rsid w:val="00303636"/>
    <w:rsid w:val="00303847"/>
    <w:rsid w:val="00303BCD"/>
    <w:rsid w:val="003041BE"/>
    <w:rsid w:val="003042F5"/>
    <w:rsid w:val="0030516C"/>
    <w:rsid w:val="00305662"/>
    <w:rsid w:val="003056A8"/>
    <w:rsid w:val="00306E35"/>
    <w:rsid w:val="00306F58"/>
    <w:rsid w:val="003070DE"/>
    <w:rsid w:val="00307161"/>
    <w:rsid w:val="00307D35"/>
    <w:rsid w:val="00310434"/>
    <w:rsid w:val="003105E9"/>
    <w:rsid w:val="00311A33"/>
    <w:rsid w:val="00312157"/>
    <w:rsid w:val="00312260"/>
    <w:rsid w:val="003143DF"/>
    <w:rsid w:val="00314639"/>
    <w:rsid w:val="0031464A"/>
    <w:rsid w:val="003147C5"/>
    <w:rsid w:val="003154B3"/>
    <w:rsid w:val="0031605D"/>
    <w:rsid w:val="00316CD1"/>
    <w:rsid w:val="00316F88"/>
    <w:rsid w:val="003173FD"/>
    <w:rsid w:val="00320526"/>
    <w:rsid w:val="00323024"/>
    <w:rsid w:val="0032399C"/>
    <w:rsid w:val="00324615"/>
    <w:rsid w:val="00324993"/>
    <w:rsid w:val="00325890"/>
    <w:rsid w:val="003264BC"/>
    <w:rsid w:val="00327650"/>
    <w:rsid w:val="0032782D"/>
    <w:rsid w:val="00327B74"/>
    <w:rsid w:val="00330D6E"/>
    <w:rsid w:val="00331145"/>
    <w:rsid w:val="00331732"/>
    <w:rsid w:val="00331FF1"/>
    <w:rsid w:val="00332C28"/>
    <w:rsid w:val="00333B32"/>
    <w:rsid w:val="00333D4E"/>
    <w:rsid w:val="003347DE"/>
    <w:rsid w:val="00335283"/>
    <w:rsid w:val="003358A9"/>
    <w:rsid w:val="00335991"/>
    <w:rsid w:val="00335B44"/>
    <w:rsid w:val="00335E53"/>
    <w:rsid w:val="003366A5"/>
    <w:rsid w:val="003369E0"/>
    <w:rsid w:val="0033730D"/>
    <w:rsid w:val="00337B24"/>
    <w:rsid w:val="00340B2B"/>
    <w:rsid w:val="00341166"/>
    <w:rsid w:val="00341879"/>
    <w:rsid w:val="003423CF"/>
    <w:rsid w:val="0034290E"/>
    <w:rsid w:val="00343D49"/>
    <w:rsid w:val="00344E9F"/>
    <w:rsid w:val="00345BF4"/>
    <w:rsid w:val="00346405"/>
    <w:rsid w:val="00346B98"/>
    <w:rsid w:val="003476C1"/>
    <w:rsid w:val="003478A9"/>
    <w:rsid w:val="00350105"/>
    <w:rsid w:val="0035285D"/>
    <w:rsid w:val="003551BB"/>
    <w:rsid w:val="00355398"/>
    <w:rsid w:val="00355E5B"/>
    <w:rsid w:val="00355F71"/>
    <w:rsid w:val="003561F7"/>
    <w:rsid w:val="00356548"/>
    <w:rsid w:val="003566BA"/>
    <w:rsid w:val="00356DBB"/>
    <w:rsid w:val="00356DCF"/>
    <w:rsid w:val="00357B7D"/>
    <w:rsid w:val="00360354"/>
    <w:rsid w:val="003604CD"/>
    <w:rsid w:val="003608B9"/>
    <w:rsid w:val="00361934"/>
    <w:rsid w:val="00361A2C"/>
    <w:rsid w:val="00361D05"/>
    <w:rsid w:val="00361DAA"/>
    <w:rsid w:val="003625FA"/>
    <w:rsid w:val="003628CC"/>
    <w:rsid w:val="00362A37"/>
    <w:rsid w:val="0036356E"/>
    <w:rsid w:val="00365235"/>
    <w:rsid w:val="00365765"/>
    <w:rsid w:val="00365FA2"/>
    <w:rsid w:val="00366401"/>
    <w:rsid w:val="00366710"/>
    <w:rsid w:val="0036726D"/>
    <w:rsid w:val="00370078"/>
    <w:rsid w:val="0037334E"/>
    <w:rsid w:val="003738FD"/>
    <w:rsid w:val="00373D97"/>
    <w:rsid w:val="00373ED2"/>
    <w:rsid w:val="003740D2"/>
    <w:rsid w:val="00374DC9"/>
    <w:rsid w:val="003750A6"/>
    <w:rsid w:val="0037642C"/>
    <w:rsid w:val="0037751C"/>
    <w:rsid w:val="00377706"/>
    <w:rsid w:val="003809B5"/>
    <w:rsid w:val="00380B50"/>
    <w:rsid w:val="00380DAB"/>
    <w:rsid w:val="00380F09"/>
    <w:rsid w:val="0038139C"/>
    <w:rsid w:val="00381F70"/>
    <w:rsid w:val="00381FA1"/>
    <w:rsid w:val="003820B2"/>
    <w:rsid w:val="003822A2"/>
    <w:rsid w:val="00382EC5"/>
    <w:rsid w:val="00382EFD"/>
    <w:rsid w:val="0038319B"/>
    <w:rsid w:val="0038350E"/>
    <w:rsid w:val="00383EE6"/>
    <w:rsid w:val="00384EC2"/>
    <w:rsid w:val="003854F9"/>
    <w:rsid w:val="00385505"/>
    <w:rsid w:val="0038566C"/>
    <w:rsid w:val="00386110"/>
    <w:rsid w:val="003862DF"/>
    <w:rsid w:val="00386715"/>
    <w:rsid w:val="00387676"/>
    <w:rsid w:val="00387A68"/>
    <w:rsid w:val="00387FD2"/>
    <w:rsid w:val="00390426"/>
    <w:rsid w:val="00390FAE"/>
    <w:rsid w:val="0039134F"/>
    <w:rsid w:val="00391BCA"/>
    <w:rsid w:val="0039315C"/>
    <w:rsid w:val="003935E6"/>
    <w:rsid w:val="00395A3F"/>
    <w:rsid w:val="003A01EE"/>
    <w:rsid w:val="003A0923"/>
    <w:rsid w:val="003A2551"/>
    <w:rsid w:val="003A3388"/>
    <w:rsid w:val="003A3403"/>
    <w:rsid w:val="003A3FDD"/>
    <w:rsid w:val="003A4531"/>
    <w:rsid w:val="003A64B0"/>
    <w:rsid w:val="003A7FC5"/>
    <w:rsid w:val="003B0AC0"/>
    <w:rsid w:val="003B1165"/>
    <w:rsid w:val="003B1904"/>
    <w:rsid w:val="003B25FF"/>
    <w:rsid w:val="003B2E23"/>
    <w:rsid w:val="003B3D99"/>
    <w:rsid w:val="003B3EBD"/>
    <w:rsid w:val="003B492E"/>
    <w:rsid w:val="003B5742"/>
    <w:rsid w:val="003B67BD"/>
    <w:rsid w:val="003B6BB3"/>
    <w:rsid w:val="003B7A2E"/>
    <w:rsid w:val="003C0B03"/>
    <w:rsid w:val="003C1747"/>
    <w:rsid w:val="003C1FF4"/>
    <w:rsid w:val="003C3291"/>
    <w:rsid w:val="003C3A32"/>
    <w:rsid w:val="003C3C65"/>
    <w:rsid w:val="003C4281"/>
    <w:rsid w:val="003C4525"/>
    <w:rsid w:val="003C4B01"/>
    <w:rsid w:val="003C54E1"/>
    <w:rsid w:val="003C560B"/>
    <w:rsid w:val="003C651B"/>
    <w:rsid w:val="003C7F5F"/>
    <w:rsid w:val="003D1E23"/>
    <w:rsid w:val="003D2199"/>
    <w:rsid w:val="003D2CC5"/>
    <w:rsid w:val="003D2E36"/>
    <w:rsid w:val="003D301C"/>
    <w:rsid w:val="003D3921"/>
    <w:rsid w:val="003D39F9"/>
    <w:rsid w:val="003D3B1C"/>
    <w:rsid w:val="003D48E7"/>
    <w:rsid w:val="003D5592"/>
    <w:rsid w:val="003D614B"/>
    <w:rsid w:val="003D62C0"/>
    <w:rsid w:val="003D6F0F"/>
    <w:rsid w:val="003D76D1"/>
    <w:rsid w:val="003D77CC"/>
    <w:rsid w:val="003D7A7A"/>
    <w:rsid w:val="003E0802"/>
    <w:rsid w:val="003E0938"/>
    <w:rsid w:val="003E281A"/>
    <w:rsid w:val="003E3099"/>
    <w:rsid w:val="003E4E6B"/>
    <w:rsid w:val="003E562B"/>
    <w:rsid w:val="003E58B2"/>
    <w:rsid w:val="003E663A"/>
    <w:rsid w:val="003E73E8"/>
    <w:rsid w:val="003F0DAB"/>
    <w:rsid w:val="003F0E70"/>
    <w:rsid w:val="003F199F"/>
    <w:rsid w:val="003F1F69"/>
    <w:rsid w:val="003F26BC"/>
    <w:rsid w:val="003F26C2"/>
    <w:rsid w:val="003F2BB4"/>
    <w:rsid w:val="003F48C5"/>
    <w:rsid w:val="003F6117"/>
    <w:rsid w:val="003F6612"/>
    <w:rsid w:val="003F6A4B"/>
    <w:rsid w:val="003F6C56"/>
    <w:rsid w:val="003F7E5C"/>
    <w:rsid w:val="00400291"/>
    <w:rsid w:val="00400B62"/>
    <w:rsid w:val="00402519"/>
    <w:rsid w:val="00402563"/>
    <w:rsid w:val="00402691"/>
    <w:rsid w:val="00402E7B"/>
    <w:rsid w:val="0040324D"/>
    <w:rsid w:val="0040365A"/>
    <w:rsid w:val="0040415D"/>
    <w:rsid w:val="00404751"/>
    <w:rsid w:val="00404E88"/>
    <w:rsid w:val="00406F4E"/>
    <w:rsid w:val="00407278"/>
    <w:rsid w:val="00407685"/>
    <w:rsid w:val="00411AD6"/>
    <w:rsid w:val="004131E6"/>
    <w:rsid w:val="00414B6D"/>
    <w:rsid w:val="00414B91"/>
    <w:rsid w:val="00415BDC"/>
    <w:rsid w:val="00416144"/>
    <w:rsid w:val="00416445"/>
    <w:rsid w:val="00416FB2"/>
    <w:rsid w:val="00417A52"/>
    <w:rsid w:val="00417D5D"/>
    <w:rsid w:val="00420407"/>
    <w:rsid w:val="00420915"/>
    <w:rsid w:val="004220F4"/>
    <w:rsid w:val="00422FF4"/>
    <w:rsid w:val="00424E58"/>
    <w:rsid w:val="00425BDA"/>
    <w:rsid w:val="00426086"/>
    <w:rsid w:val="00427450"/>
    <w:rsid w:val="00427C32"/>
    <w:rsid w:val="004304C6"/>
    <w:rsid w:val="00430AC3"/>
    <w:rsid w:val="00430F1F"/>
    <w:rsid w:val="004311EA"/>
    <w:rsid w:val="004314C9"/>
    <w:rsid w:val="00431975"/>
    <w:rsid w:val="00431CC7"/>
    <w:rsid w:val="004345BB"/>
    <w:rsid w:val="00434B09"/>
    <w:rsid w:val="00434EAA"/>
    <w:rsid w:val="00435375"/>
    <w:rsid w:val="00435B5B"/>
    <w:rsid w:val="00436C58"/>
    <w:rsid w:val="004370C0"/>
    <w:rsid w:val="00437377"/>
    <w:rsid w:val="00441BB0"/>
    <w:rsid w:val="0044377B"/>
    <w:rsid w:val="00444B6E"/>
    <w:rsid w:val="00445FE4"/>
    <w:rsid w:val="0044751D"/>
    <w:rsid w:val="00447FDA"/>
    <w:rsid w:val="0045022D"/>
    <w:rsid w:val="0045039D"/>
    <w:rsid w:val="00451515"/>
    <w:rsid w:val="0045272C"/>
    <w:rsid w:val="00452E07"/>
    <w:rsid w:val="00453008"/>
    <w:rsid w:val="004532BA"/>
    <w:rsid w:val="00455531"/>
    <w:rsid w:val="00455B51"/>
    <w:rsid w:val="004561C4"/>
    <w:rsid w:val="00461FD1"/>
    <w:rsid w:val="00463D9A"/>
    <w:rsid w:val="00464047"/>
    <w:rsid w:val="004661D7"/>
    <w:rsid w:val="004668AE"/>
    <w:rsid w:val="004674A3"/>
    <w:rsid w:val="00471121"/>
    <w:rsid w:val="00471B64"/>
    <w:rsid w:val="00471CBB"/>
    <w:rsid w:val="004735F7"/>
    <w:rsid w:val="004737FD"/>
    <w:rsid w:val="004739D8"/>
    <w:rsid w:val="00473B53"/>
    <w:rsid w:val="0047526D"/>
    <w:rsid w:val="00475575"/>
    <w:rsid w:val="004758BD"/>
    <w:rsid w:val="00475CA6"/>
    <w:rsid w:val="004768AE"/>
    <w:rsid w:val="0047711D"/>
    <w:rsid w:val="004778C1"/>
    <w:rsid w:val="00480922"/>
    <w:rsid w:val="00480C8B"/>
    <w:rsid w:val="00481E3D"/>
    <w:rsid w:val="004825AF"/>
    <w:rsid w:val="00482D92"/>
    <w:rsid w:val="00483455"/>
    <w:rsid w:val="00483AFE"/>
    <w:rsid w:val="004847C2"/>
    <w:rsid w:val="00485899"/>
    <w:rsid w:val="00486551"/>
    <w:rsid w:val="00490385"/>
    <w:rsid w:val="004906AB"/>
    <w:rsid w:val="00490D0A"/>
    <w:rsid w:val="00490FDE"/>
    <w:rsid w:val="004911A0"/>
    <w:rsid w:val="004919E1"/>
    <w:rsid w:val="004932F5"/>
    <w:rsid w:val="00493D9A"/>
    <w:rsid w:val="0049616E"/>
    <w:rsid w:val="00496E7A"/>
    <w:rsid w:val="0049767F"/>
    <w:rsid w:val="00497AC2"/>
    <w:rsid w:val="004A03DF"/>
    <w:rsid w:val="004A36D9"/>
    <w:rsid w:val="004A4016"/>
    <w:rsid w:val="004A5A02"/>
    <w:rsid w:val="004A5BA0"/>
    <w:rsid w:val="004A633C"/>
    <w:rsid w:val="004A71B9"/>
    <w:rsid w:val="004A7230"/>
    <w:rsid w:val="004A7C5A"/>
    <w:rsid w:val="004B049B"/>
    <w:rsid w:val="004B0711"/>
    <w:rsid w:val="004B0FCF"/>
    <w:rsid w:val="004B1C92"/>
    <w:rsid w:val="004B1C97"/>
    <w:rsid w:val="004B219F"/>
    <w:rsid w:val="004B2BF0"/>
    <w:rsid w:val="004B41D8"/>
    <w:rsid w:val="004B46DF"/>
    <w:rsid w:val="004B54E3"/>
    <w:rsid w:val="004C04D3"/>
    <w:rsid w:val="004C08DF"/>
    <w:rsid w:val="004C0B36"/>
    <w:rsid w:val="004C0E57"/>
    <w:rsid w:val="004C199A"/>
    <w:rsid w:val="004C2007"/>
    <w:rsid w:val="004C24AB"/>
    <w:rsid w:val="004C24F9"/>
    <w:rsid w:val="004C2E1F"/>
    <w:rsid w:val="004C317B"/>
    <w:rsid w:val="004C35B5"/>
    <w:rsid w:val="004C376B"/>
    <w:rsid w:val="004C483F"/>
    <w:rsid w:val="004C48B3"/>
    <w:rsid w:val="004C50B3"/>
    <w:rsid w:val="004C5957"/>
    <w:rsid w:val="004C5B09"/>
    <w:rsid w:val="004C5B49"/>
    <w:rsid w:val="004C6687"/>
    <w:rsid w:val="004C6AF6"/>
    <w:rsid w:val="004C6C6B"/>
    <w:rsid w:val="004D02D7"/>
    <w:rsid w:val="004D21DC"/>
    <w:rsid w:val="004D2486"/>
    <w:rsid w:val="004D3632"/>
    <w:rsid w:val="004D4167"/>
    <w:rsid w:val="004D4386"/>
    <w:rsid w:val="004D5163"/>
    <w:rsid w:val="004D67FC"/>
    <w:rsid w:val="004D6C7B"/>
    <w:rsid w:val="004D70F2"/>
    <w:rsid w:val="004D711A"/>
    <w:rsid w:val="004D7C2B"/>
    <w:rsid w:val="004D7E62"/>
    <w:rsid w:val="004E11D2"/>
    <w:rsid w:val="004E12E3"/>
    <w:rsid w:val="004E23E5"/>
    <w:rsid w:val="004E2530"/>
    <w:rsid w:val="004E3326"/>
    <w:rsid w:val="004E3832"/>
    <w:rsid w:val="004E388F"/>
    <w:rsid w:val="004E3903"/>
    <w:rsid w:val="004E41BA"/>
    <w:rsid w:val="004E58C9"/>
    <w:rsid w:val="004E63B8"/>
    <w:rsid w:val="004E6666"/>
    <w:rsid w:val="004E7043"/>
    <w:rsid w:val="004E7254"/>
    <w:rsid w:val="004E7343"/>
    <w:rsid w:val="004E7952"/>
    <w:rsid w:val="004F04DD"/>
    <w:rsid w:val="004F05FA"/>
    <w:rsid w:val="004F1574"/>
    <w:rsid w:val="004F1B7F"/>
    <w:rsid w:val="004F1BBF"/>
    <w:rsid w:val="004F2767"/>
    <w:rsid w:val="004F2CB9"/>
    <w:rsid w:val="004F50AB"/>
    <w:rsid w:val="004F5707"/>
    <w:rsid w:val="004F5D5A"/>
    <w:rsid w:val="004F6528"/>
    <w:rsid w:val="004F668E"/>
    <w:rsid w:val="004F6DD2"/>
    <w:rsid w:val="004F7117"/>
    <w:rsid w:val="004F79EB"/>
    <w:rsid w:val="00500465"/>
    <w:rsid w:val="00500479"/>
    <w:rsid w:val="00500BA1"/>
    <w:rsid w:val="0050276E"/>
    <w:rsid w:val="00502B55"/>
    <w:rsid w:val="00502DA1"/>
    <w:rsid w:val="00503D4B"/>
    <w:rsid w:val="0050415D"/>
    <w:rsid w:val="005045C3"/>
    <w:rsid w:val="00504B97"/>
    <w:rsid w:val="005050F6"/>
    <w:rsid w:val="00505DD3"/>
    <w:rsid w:val="005104E9"/>
    <w:rsid w:val="00510BAA"/>
    <w:rsid w:val="00510BDD"/>
    <w:rsid w:val="00511026"/>
    <w:rsid w:val="00511F7D"/>
    <w:rsid w:val="00512D38"/>
    <w:rsid w:val="00514E07"/>
    <w:rsid w:val="005154CF"/>
    <w:rsid w:val="00516602"/>
    <w:rsid w:val="005169D5"/>
    <w:rsid w:val="00516FE2"/>
    <w:rsid w:val="0051726D"/>
    <w:rsid w:val="00517CA2"/>
    <w:rsid w:val="005209A9"/>
    <w:rsid w:val="005216CB"/>
    <w:rsid w:val="005217EA"/>
    <w:rsid w:val="00521B32"/>
    <w:rsid w:val="00521CA1"/>
    <w:rsid w:val="00522A8C"/>
    <w:rsid w:val="0052396C"/>
    <w:rsid w:val="00523A04"/>
    <w:rsid w:val="0052497C"/>
    <w:rsid w:val="005260BD"/>
    <w:rsid w:val="005264E4"/>
    <w:rsid w:val="00526E48"/>
    <w:rsid w:val="005273BA"/>
    <w:rsid w:val="00530034"/>
    <w:rsid w:val="00530EF4"/>
    <w:rsid w:val="00531931"/>
    <w:rsid w:val="00532187"/>
    <w:rsid w:val="005328B1"/>
    <w:rsid w:val="00533165"/>
    <w:rsid w:val="00533FAE"/>
    <w:rsid w:val="00534B1E"/>
    <w:rsid w:val="00534C98"/>
    <w:rsid w:val="005359BA"/>
    <w:rsid w:val="00535D28"/>
    <w:rsid w:val="00535F77"/>
    <w:rsid w:val="00536397"/>
    <w:rsid w:val="005368ED"/>
    <w:rsid w:val="00536B1C"/>
    <w:rsid w:val="00537369"/>
    <w:rsid w:val="005376DD"/>
    <w:rsid w:val="00540A23"/>
    <w:rsid w:val="0054170E"/>
    <w:rsid w:val="005419D5"/>
    <w:rsid w:val="00541DEE"/>
    <w:rsid w:val="005420FE"/>
    <w:rsid w:val="00542283"/>
    <w:rsid w:val="0054289F"/>
    <w:rsid w:val="00542B20"/>
    <w:rsid w:val="00543468"/>
    <w:rsid w:val="00543FD5"/>
    <w:rsid w:val="00545001"/>
    <w:rsid w:val="0054562A"/>
    <w:rsid w:val="00545F04"/>
    <w:rsid w:val="00546577"/>
    <w:rsid w:val="00547187"/>
    <w:rsid w:val="0054799A"/>
    <w:rsid w:val="0055003B"/>
    <w:rsid w:val="005503C6"/>
    <w:rsid w:val="005506B7"/>
    <w:rsid w:val="00550956"/>
    <w:rsid w:val="0055212B"/>
    <w:rsid w:val="0055297A"/>
    <w:rsid w:val="00552D51"/>
    <w:rsid w:val="00554365"/>
    <w:rsid w:val="005545D0"/>
    <w:rsid w:val="005547C3"/>
    <w:rsid w:val="00554DA9"/>
    <w:rsid w:val="005551EE"/>
    <w:rsid w:val="00555209"/>
    <w:rsid w:val="00555534"/>
    <w:rsid w:val="00555A99"/>
    <w:rsid w:val="00555BCC"/>
    <w:rsid w:val="00556A76"/>
    <w:rsid w:val="0055712F"/>
    <w:rsid w:val="0055735B"/>
    <w:rsid w:val="00557C16"/>
    <w:rsid w:val="00557DE8"/>
    <w:rsid w:val="005607E0"/>
    <w:rsid w:val="005609C2"/>
    <w:rsid w:val="00560C35"/>
    <w:rsid w:val="00560F18"/>
    <w:rsid w:val="00561AAB"/>
    <w:rsid w:val="00561C99"/>
    <w:rsid w:val="005625B9"/>
    <w:rsid w:val="005639A8"/>
    <w:rsid w:val="00563B53"/>
    <w:rsid w:val="00563E79"/>
    <w:rsid w:val="00565C5C"/>
    <w:rsid w:val="005661DD"/>
    <w:rsid w:val="00566BD6"/>
    <w:rsid w:val="00567C78"/>
    <w:rsid w:val="0057023B"/>
    <w:rsid w:val="00570C07"/>
    <w:rsid w:val="005711DC"/>
    <w:rsid w:val="0057268C"/>
    <w:rsid w:val="00573343"/>
    <w:rsid w:val="005742B0"/>
    <w:rsid w:val="00574B71"/>
    <w:rsid w:val="00574D4D"/>
    <w:rsid w:val="00574F3D"/>
    <w:rsid w:val="005755A0"/>
    <w:rsid w:val="00575AF3"/>
    <w:rsid w:val="00576F9D"/>
    <w:rsid w:val="005772D9"/>
    <w:rsid w:val="00577C7B"/>
    <w:rsid w:val="00581709"/>
    <w:rsid w:val="0058176F"/>
    <w:rsid w:val="00581EC7"/>
    <w:rsid w:val="00582861"/>
    <w:rsid w:val="0058412A"/>
    <w:rsid w:val="005841ED"/>
    <w:rsid w:val="005849F9"/>
    <w:rsid w:val="0058592E"/>
    <w:rsid w:val="00585D91"/>
    <w:rsid w:val="00587680"/>
    <w:rsid w:val="005879AD"/>
    <w:rsid w:val="0059046E"/>
    <w:rsid w:val="0059171E"/>
    <w:rsid w:val="0059249E"/>
    <w:rsid w:val="0059258C"/>
    <w:rsid w:val="00592F60"/>
    <w:rsid w:val="0059355E"/>
    <w:rsid w:val="00594EE7"/>
    <w:rsid w:val="0059577F"/>
    <w:rsid w:val="00596D82"/>
    <w:rsid w:val="005A0706"/>
    <w:rsid w:val="005A0C3F"/>
    <w:rsid w:val="005A2BD7"/>
    <w:rsid w:val="005A2E9A"/>
    <w:rsid w:val="005A37EB"/>
    <w:rsid w:val="005A3F7A"/>
    <w:rsid w:val="005A3F7C"/>
    <w:rsid w:val="005A464E"/>
    <w:rsid w:val="005A5FAF"/>
    <w:rsid w:val="005A61F6"/>
    <w:rsid w:val="005A6655"/>
    <w:rsid w:val="005A66E1"/>
    <w:rsid w:val="005B0A32"/>
    <w:rsid w:val="005B1C73"/>
    <w:rsid w:val="005B1FFD"/>
    <w:rsid w:val="005B26D4"/>
    <w:rsid w:val="005B2DEF"/>
    <w:rsid w:val="005B30EA"/>
    <w:rsid w:val="005B4AAE"/>
    <w:rsid w:val="005B4AC7"/>
    <w:rsid w:val="005B56A9"/>
    <w:rsid w:val="005B56F7"/>
    <w:rsid w:val="005B5C95"/>
    <w:rsid w:val="005B5FA5"/>
    <w:rsid w:val="005B606B"/>
    <w:rsid w:val="005B64F8"/>
    <w:rsid w:val="005B6B2A"/>
    <w:rsid w:val="005B6F05"/>
    <w:rsid w:val="005B756A"/>
    <w:rsid w:val="005B77A6"/>
    <w:rsid w:val="005B7C08"/>
    <w:rsid w:val="005C03DC"/>
    <w:rsid w:val="005C398B"/>
    <w:rsid w:val="005C3D0C"/>
    <w:rsid w:val="005C4302"/>
    <w:rsid w:val="005C4371"/>
    <w:rsid w:val="005C5129"/>
    <w:rsid w:val="005C6380"/>
    <w:rsid w:val="005C6A65"/>
    <w:rsid w:val="005C78C1"/>
    <w:rsid w:val="005D01AE"/>
    <w:rsid w:val="005D06E5"/>
    <w:rsid w:val="005D0F35"/>
    <w:rsid w:val="005D174B"/>
    <w:rsid w:val="005D211E"/>
    <w:rsid w:val="005D234C"/>
    <w:rsid w:val="005D316D"/>
    <w:rsid w:val="005D4260"/>
    <w:rsid w:val="005D4D79"/>
    <w:rsid w:val="005D5128"/>
    <w:rsid w:val="005D5D6A"/>
    <w:rsid w:val="005D72D3"/>
    <w:rsid w:val="005D7AC3"/>
    <w:rsid w:val="005D7C8D"/>
    <w:rsid w:val="005E02A9"/>
    <w:rsid w:val="005E040F"/>
    <w:rsid w:val="005E0CDE"/>
    <w:rsid w:val="005E1C90"/>
    <w:rsid w:val="005E2819"/>
    <w:rsid w:val="005E2F33"/>
    <w:rsid w:val="005E3068"/>
    <w:rsid w:val="005E398A"/>
    <w:rsid w:val="005E41FA"/>
    <w:rsid w:val="005E4EBB"/>
    <w:rsid w:val="005E54BA"/>
    <w:rsid w:val="005E6626"/>
    <w:rsid w:val="005E7503"/>
    <w:rsid w:val="005F0206"/>
    <w:rsid w:val="005F0556"/>
    <w:rsid w:val="005F1045"/>
    <w:rsid w:val="005F1229"/>
    <w:rsid w:val="005F1C12"/>
    <w:rsid w:val="005F38EA"/>
    <w:rsid w:val="005F4858"/>
    <w:rsid w:val="005F50B9"/>
    <w:rsid w:val="005F520C"/>
    <w:rsid w:val="006004B4"/>
    <w:rsid w:val="00600AA4"/>
    <w:rsid w:val="00600EAD"/>
    <w:rsid w:val="00600FB1"/>
    <w:rsid w:val="00601104"/>
    <w:rsid w:val="0060135A"/>
    <w:rsid w:val="00601730"/>
    <w:rsid w:val="006020A7"/>
    <w:rsid w:val="006026CE"/>
    <w:rsid w:val="00602876"/>
    <w:rsid w:val="00603134"/>
    <w:rsid w:val="006031DF"/>
    <w:rsid w:val="00604EE3"/>
    <w:rsid w:val="006058EE"/>
    <w:rsid w:val="006059B1"/>
    <w:rsid w:val="00605C32"/>
    <w:rsid w:val="00610196"/>
    <w:rsid w:val="0061189C"/>
    <w:rsid w:val="00611B2C"/>
    <w:rsid w:val="00611CB8"/>
    <w:rsid w:val="0061339A"/>
    <w:rsid w:val="006134E3"/>
    <w:rsid w:val="00613F88"/>
    <w:rsid w:val="0061426D"/>
    <w:rsid w:val="00614D67"/>
    <w:rsid w:val="00614E1C"/>
    <w:rsid w:val="00615D4F"/>
    <w:rsid w:val="00615DCD"/>
    <w:rsid w:val="00616AE4"/>
    <w:rsid w:val="00616B52"/>
    <w:rsid w:val="00616BCE"/>
    <w:rsid w:val="0061772B"/>
    <w:rsid w:val="00617DE7"/>
    <w:rsid w:val="006200E8"/>
    <w:rsid w:val="006215B6"/>
    <w:rsid w:val="00621914"/>
    <w:rsid w:val="00623E07"/>
    <w:rsid w:val="00624276"/>
    <w:rsid w:val="006252BB"/>
    <w:rsid w:val="00626B2A"/>
    <w:rsid w:val="00627423"/>
    <w:rsid w:val="00627789"/>
    <w:rsid w:val="00627BAB"/>
    <w:rsid w:val="00630937"/>
    <w:rsid w:val="00630B98"/>
    <w:rsid w:val="00631BBE"/>
    <w:rsid w:val="00631FD1"/>
    <w:rsid w:val="00632C26"/>
    <w:rsid w:val="00634CE4"/>
    <w:rsid w:val="00634F7F"/>
    <w:rsid w:val="00635956"/>
    <w:rsid w:val="00637893"/>
    <w:rsid w:val="00637A6C"/>
    <w:rsid w:val="0064042F"/>
    <w:rsid w:val="00640855"/>
    <w:rsid w:val="00640E8F"/>
    <w:rsid w:val="00641F84"/>
    <w:rsid w:val="00642382"/>
    <w:rsid w:val="006423F4"/>
    <w:rsid w:val="0064282A"/>
    <w:rsid w:val="00642A2D"/>
    <w:rsid w:val="00642D4F"/>
    <w:rsid w:val="00643A58"/>
    <w:rsid w:val="00645821"/>
    <w:rsid w:val="0064714C"/>
    <w:rsid w:val="00647ACC"/>
    <w:rsid w:val="00647FF8"/>
    <w:rsid w:val="00650E64"/>
    <w:rsid w:val="00651532"/>
    <w:rsid w:val="00651FD9"/>
    <w:rsid w:val="00652B81"/>
    <w:rsid w:val="006545FC"/>
    <w:rsid w:val="0065534B"/>
    <w:rsid w:val="00656411"/>
    <w:rsid w:val="00656669"/>
    <w:rsid w:val="006571E0"/>
    <w:rsid w:val="00660056"/>
    <w:rsid w:val="00660493"/>
    <w:rsid w:val="00661409"/>
    <w:rsid w:val="00661614"/>
    <w:rsid w:val="00661D31"/>
    <w:rsid w:val="00662060"/>
    <w:rsid w:val="00662077"/>
    <w:rsid w:val="00662864"/>
    <w:rsid w:val="00662DF2"/>
    <w:rsid w:val="0066473C"/>
    <w:rsid w:val="00664A5F"/>
    <w:rsid w:val="00664B75"/>
    <w:rsid w:val="006656B3"/>
    <w:rsid w:val="00665C2B"/>
    <w:rsid w:val="00665EE8"/>
    <w:rsid w:val="006665BD"/>
    <w:rsid w:val="00666F41"/>
    <w:rsid w:val="00667042"/>
    <w:rsid w:val="00667574"/>
    <w:rsid w:val="00667A1A"/>
    <w:rsid w:val="006705E6"/>
    <w:rsid w:val="0067328E"/>
    <w:rsid w:val="006743F1"/>
    <w:rsid w:val="00675409"/>
    <w:rsid w:val="00675CDF"/>
    <w:rsid w:val="006774C4"/>
    <w:rsid w:val="00677C2D"/>
    <w:rsid w:val="006808F2"/>
    <w:rsid w:val="00680E6D"/>
    <w:rsid w:val="0068111A"/>
    <w:rsid w:val="00682429"/>
    <w:rsid w:val="006824AE"/>
    <w:rsid w:val="00682502"/>
    <w:rsid w:val="0068313E"/>
    <w:rsid w:val="006838D7"/>
    <w:rsid w:val="00683904"/>
    <w:rsid w:val="0068396A"/>
    <w:rsid w:val="00684329"/>
    <w:rsid w:val="00684396"/>
    <w:rsid w:val="00684943"/>
    <w:rsid w:val="00684F5C"/>
    <w:rsid w:val="00686BB2"/>
    <w:rsid w:val="00686D5B"/>
    <w:rsid w:val="00687278"/>
    <w:rsid w:val="006905D2"/>
    <w:rsid w:val="0069149C"/>
    <w:rsid w:val="00691902"/>
    <w:rsid w:val="00692018"/>
    <w:rsid w:val="00692409"/>
    <w:rsid w:val="00692636"/>
    <w:rsid w:val="0069275A"/>
    <w:rsid w:val="00692767"/>
    <w:rsid w:val="00693178"/>
    <w:rsid w:val="0069398C"/>
    <w:rsid w:val="00693F78"/>
    <w:rsid w:val="0069418E"/>
    <w:rsid w:val="00694B07"/>
    <w:rsid w:val="0069532B"/>
    <w:rsid w:val="00696DD6"/>
    <w:rsid w:val="006972A3"/>
    <w:rsid w:val="0069759B"/>
    <w:rsid w:val="006979BC"/>
    <w:rsid w:val="00697D71"/>
    <w:rsid w:val="006A0CAA"/>
    <w:rsid w:val="006A1757"/>
    <w:rsid w:val="006A1B9E"/>
    <w:rsid w:val="006A1FB2"/>
    <w:rsid w:val="006A29B4"/>
    <w:rsid w:val="006A29B7"/>
    <w:rsid w:val="006A344D"/>
    <w:rsid w:val="006A3472"/>
    <w:rsid w:val="006A38BB"/>
    <w:rsid w:val="006A3DD8"/>
    <w:rsid w:val="006A5AEF"/>
    <w:rsid w:val="006A7CAE"/>
    <w:rsid w:val="006B11E8"/>
    <w:rsid w:val="006B1554"/>
    <w:rsid w:val="006B1619"/>
    <w:rsid w:val="006B1A8E"/>
    <w:rsid w:val="006B2501"/>
    <w:rsid w:val="006B2DBF"/>
    <w:rsid w:val="006B303D"/>
    <w:rsid w:val="006B33DC"/>
    <w:rsid w:val="006B381F"/>
    <w:rsid w:val="006B3EAC"/>
    <w:rsid w:val="006B41AB"/>
    <w:rsid w:val="006B5020"/>
    <w:rsid w:val="006B6921"/>
    <w:rsid w:val="006B6E39"/>
    <w:rsid w:val="006B727A"/>
    <w:rsid w:val="006B7417"/>
    <w:rsid w:val="006B759D"/>
    <w:rsid w:val="006B7752"/>
    <w:rsid w:val="006B7945"/>
    <w:rsid w:val="006B7B11"/>
    <w:rsid w:val="006C05B1"/>
    <w:rsid w:val="006C1A9C"/>
    <w:rsid w:val="006C2CA6"/>
    <w:rsid w:val="006C2D65"/>
    <w:rsid w:val="006C4C41"/>
    <w:rsid w:val="006C5921"/>
    <w:rsid w:val="006C5F6F"/>
    <w:rsid w:val="006D1095"/>
    <w:rsid w:val="006D1E34"/>
    <w:rsid w:val="006D459C"/>
    <w:rsid w:val="006D53CE"/>
    <w:rsid w:val="006D544E"/>
    <w:rsid w:val="006D6976"/>
    <w:rsid w:val="006D78CA"/>
    <w:rsid w:val="006D7920"/>
    <w:rsid w:val="006E048E"/>
    <w:rsid w:val="006E0AC3"/>
    <w:rsid w:val="006E177C"/>
    <w:rsid w:val="006E2F03"/>
    <w:rsid w:val="006E2FF7"/>
    <w:rsid w:val="006E3163"/>
    <w:rsid w:val="006E368E"/>
    <w:rsid w:val="006E36C8"/>
    <w:rsid w:val="006E3973"/>
    <w:rsid w:val="006E40F4"/>
    <w:rsid w:val="006E5786"/>
    <w:rsid w:val="006E7035"/>
    <w:rsid w:val="006E7AE7"/>
    <w:rsid w:val="006F00DD"/>
    <w:rsid w:val="006F14C5"/>
    <w:rsid w:val="006F2A95"/>
    <w:rsid w:val="006F3D77"/>
    <w:rsid w:val="006F4935"/>
    <w:rsid w:val="006F4C2F"/>
    <w:rsid w:val="006F4F1D"/>
    <w:rsid w:val="006F65AA"/>
    <w:rsid w:val="006F7C35"/>
    <w:rsid w:val="00700687"/>
    <w:rsid w:val="00700D35"/>
    <w:rsid w:val="00701231"/>
    <w:rsid w:val="00701358"/>
    <w:rsid w:val="00701D44"/>
    <w:rsid w:val="00702D65"/>
    <w:rsid w:val="00703C1D"/>
    <w:rsid w:val="00703CCE"/>
    <w:rsid w:val="00703EF2"/>
    <w:rsid w:val="00704788"/>
    <w:rsid w:val="00704E71"/>
    <w:rsid w:val="00705154"/>
    <w:rsid w:val="00705BFB"/>
    <w:rsid w:val="007065D9"/>
    <w:rsid w:val="00706961"/>
    <w:rsid w:val="00706ADA"/>
    <w:rsid w:val="00706E1A"/>
    <w:rsid w:val="0070756F"/>
    <w:rsid w:val="00707A2D"/>
    <w:rsid w:val="00707D1F"/>
    <w:rsid w:val="0071140C"/>
    <w:rsid w:val="00711907"/>
    <w:rsid w:val="00711F83"/>
    <w:rsid w:val="0071207D"/>
    <w:rsid w:val="00712643"/>
    <w:rsid w:val="007129EE"/>
    <w:rsid w:val="0071304E"/>
    <w:rsid w:val="00715616"/>
    <w:rsid w:val="007157AD"/>
    <w:rsid w:val="00715A0D"/>
    <w:rsid w:val="0071668B"/>
    <w:rsid w:val="007166CE"/>
    <w:rsid w:val="007168CB"/>
    <w:rsid w:val="00716D12"/>
    <w:rsid w:val="007171A3"/>
    <w:rsid w:val="0071742C"/>
    <w:rsid w:val="0072071B"/>
    <w:rsid w:val="00720C6A"/>
    <w:rsid w:val="00720D70"/>
    <w:rsid w:val="007217AE"/>
    <w:rsid w:val="007220A8"/>
    <w:rsid w:val="007231FF"/>
    <w:rsid w:val="00724683"/>
    <w:rsid w:val="00725125"/>
    <w:rsid w:val="00725780"/>
    <w:rsid w:val="00726B7C"/>
    <w:rsid w:val="00726BC6"/>
    <w:rsid w:val="00726E21"/>
    <w:rsid w:val="00726FD8"/>
    <w:rsid w:val="00727E33"/>
    <w:rsid w:val="0073027B"/>
    <w:rsid w:val="0073058C"/>
    <w:rsid w:val="007333E4"/>
    <w:rsid w:val="00734093"/>
    <w:rsid w:val="0073441A"/>
    <w:rsid w:val="00737CAD"/>
    <w:rsid w:val="00737FF2"/>
    <w:rsid w:val="00740227"/>
    <w:rsid w:val="007406FE"/>
    <w:rsid w:val="00741568"/>
    <w:rsid w:val="007425FF"/>
    <w:rsid w:val="0074296F"/>
    <w:rsid w:val="00742FF9"/>
    <w:rsid w:val="007436B8"/>
    <w:rsid w:val="007438F5"/>
    <w:rsid w:val="00743B55"/>
    <w:rsid w:val="00743C60"/>
    <w:rsid w:val="00744D61"/>
    <w:rsid w:val="0074510C"/>
    <w:rsid w:val="00745326"/>
    <w:rsid w:val="007462ED"/>
    <w:rsid w:val="00746532"/>
    <w:rsid w:val="00746959"/>
    <w:rsid w:val="00746ADD"/>
    <w:rsid w:val="0074701D"/>
    <w:rsid w:val="007471B1"/>
    <w:rsid w:val="00747872"/>
    <w:rsid w:val="007505E6"/>
    <w:rsid w:val="007515F9"/>
    <w:rsid w:val="00751BE5"/>
    <w:rsid w:val="00751D9B"/>
    <w:rsid w:val="007525AE"/>
    <w:rsid w:val="007528A1"/>
    <w:rsid w:val="00753428"/>
    <w:rsid w:val="00753A94"/>
    <w:rsid w:val="00753D53"/>
    <w:rsid w:val="007543F8"/>
    <w:rsid w:val="00756257"/>
    <w:rsid w:val="007562C3"/>
    <w:rsid w:val="00761515"/>
    <w:rsid w:val="00761E2F"/>
    <w:rsid w:val="007626DA"/>
    <w:rsid w:val="00763F14"/>
    <w:rsid w:val="00763FF0"/>
    <w:rsid w:val="007640BF"/>
    <w:rsid w:val="00766D2C"/>
    <w:rsid w:val="00766E6A"/>
    <w:rsid w:val="00771465"/>
    <w:rsid w:val="007723AF"/>
    <w:rsid w:val="0077297A"/>
    <w:rsid w:val="00772AE3"/>
    <w:rsid w:val="0077311C"/>
    <w:rsid w:val="00776990"/>
    <w:rsid w:val="00776BAA"/>
    <w:rsid w:val="0077764E"/>
    <w:rsid w:val="0078056C"/>
    <w:rsid w:val="00780FE6"/>
    <w:rsid w:val="00781E91"/>
    <w:rsid w:val="00782775"/>
    <w:rsid w:val="007828E8"/>
    <w:rsid w:val="00782AB0"/>
    <w:rsid w:val="00782EC3"/>
    <w:rsid w:val="00785F7A"/>
    <w:rsid w:val="00785FAE"/>
    <w:rsid w:val="007863A9"/>
    <w:rsid w:val="0078744C"/>
    <w:rsid w:val="0079052B"/>
    <w:rsid w:val="007907F6"/>
    <w:rsid w:val="00790DF6"/>
    <w:rsid w:val="00791D41"/>
    <w:rsid w:val="00792239"/>
    <w:rsid w:val="00792F95"/>
    <w:rsid w:val="00792F9D"/>
    <w:rsid w:val="00793B0C"/>
    <w:rsid w:val="00793CCB"/>
    <w:rsid w:val="00794212"/>
    <w:rsid w:val="00794D1C"/>
    <w:rsid w:val="00794DE8"/>
    <w:rsid w:val="00795B2A"/>
    <w:rsid w:val="00795B32"/>
    <w:rsid w:val="00795E3C"/>
    <w:rsid w:val="00797ACE"/>
    <w:rsid w:val="007A018B"/>
    <w:rsid w:val="007A021B"/>
    <w:rsid w:val="007A1543"/>
    <w:rsid w:val="007A1F5D"/>
    <w:rsid w:val="007A25EA"/>
    <w:rsid w:val="007A27FD"/>
    <w:rsid w:val="007A2AB5"/>
    <w:rsid w:val="007A3C00"/>
    <w:rsid w:val="007A462B"/>
    <w:rsid w:val="007A4A27"/>
    <w:rsid w:val="007A5DBA"/>
    <w:rsid w:val="007A5DE0"/>
    <w:rsid w:val="007A5E9D"/>
    <w:rsid w:val="007A71E2"/>
    <w:rsid w:val="007A7765"/>
    <w:rsid w:val="007A7BAC"/>
    <w:rsid w:val="007B0BCE"/>
    <w:rsid w:val="007B129B"/>
    <w:rsid w:val="007B1493"/>
    <w:rsid w:val="007B1BDA"/>
    <w:rsid w:val="007B24D3"/>
    <w:rsid w:val="007B28F6"/>
    <w:rsid w:val="007B29CE"/>
    <w:rsid w:val="007B2AB5"/>
    <w:rsid w:val="007B2B7D"/>
    <w:rsid w:val="007B2EF4"/>
    <w:rsid w:val="007B3022"/>
    <w:rsid w:val="007B3C0D"/>
    <w:rsid w:val="007B3D0B"/>
    <w:rsid w:val="007B4017"/>
    <w:rsid w:val="007B4434"/>
    <w:rsid w:val="007B4B20"/>
    <w:rsid w:val="007B511E"/>
    <w:rsid w:val="007B5392"/>
    <w:rsid w:val="007B5DEF"/>
    <w:rsid w:val="007B66DB"/>
    <w:rsid w:val="007B7388"/>
    <w:rsid w:val="007B7B9A"/>
    <w:rsid w:val="007B7F74"/>
    <w:rsid w:val="007C1237"/>
    <w:rsid w:val="007C147F"/>
    <w:rsid w:val="007C15BC"/>
    <w:rsid w:val="007C1A4C"/>
    <w:rsid w:val="007C2079"/>
    <w:rsid w:val="007C2EB9"/>
    <w:rsid w:val="007C3300"/>
    <w:rsid w:val="007C348C"/>
    <w:rsid w:val="007C3AC8"/>
    <w:rsid w:val="007C3F7C"/>
    <w:rsid w:val="007C4522"/>
    <w:rsid w:val="007C57FD"/>
    <w:rsid w:val="007C667F"/>
    <w:rsid w:val="007C6F25"/>
    <w:rsid w:val="007C7965"/>
    <w:rsid w:val="007C7B0A"/>
    <w:rsid w:val="007D1679"/>
    <w:rsid w:val="007D236F"/>
    <w:rsid w:val="007D25D1"/>
    <w:rsid w:val="007D2860"/>
    <w:rsid w:val="007D2F29"/>
    <w:rsid w:val="007D3D36"/>
    <w:rsid w:val="007D46C4"/>
    <w:rsid w:val="007D4D45"/>
    <w:rsid w:val="007D6235"/>
    <w:rsid w:val="007D6581"/>
    <w:rsid w:val="007D694D"/>
    <w:rsid w:val="007D7019"/>
    <w:rsid w:val="007D762C"/>
    <w:rsid w:val="007D7E09"/>
    <w:rsid w:val="007E02E3"/>
    <w:rsid w:val="007E0418"/>
    <w:rsid w:val="007E1924"/>
    <w:rsid w:val="007E1C90"/>
    <w:rsid w:val="007E25B2"/>
    <w:rsid w:val="007E27CC"/>
    <w:rsid w:val="007E29E2"/>
    <w:rsid w:val="007E2C64"/>
    <w:rsid w:val="007E334D"/>
    <w:rsid w:val="007E5851"/>
    <w:rsid w:val="007E5B3F"/>
    <w:rsid w:val="007E6534"/>
    <w:rsid w:val="007E67E0"/>
    <w:rsid w:val="007E6B76"/>
    <w:rsid w:val="007E73A1"/>
    <w:rsid w:val="007E7D90"/>
    <w:rsid w:val="007F06EE"/>
    <w:rsid w:val="007F0AE2"/>
    <w:rsid w:val="007F14A5"/>
    <w:rsid w:val="007F2274"/>
    <w:rsid w:val="007F262A"/>
    <w:rsid w:val="007F2CB4"/>
    <w:rsid w:val="007F39E1"/>
    <w:rsid w:val="007F4E92"/>
    <w:rsid w:val="007F56E6"/>
    <w:rsid w:val="007F733D"/>
    <w:rsid w:val="007F77D9"/>
    <w:rsid w:val="007F78E7"/>
    <w:rsid w:val="007F7DBB"/>
    <w:rsid w:val="007F7F6B"/>
    <w:rsid w:val="0080037F"/>
    <w:rsid w:val="00800DDD"/>
    <w:rsid w:val="008012F0"/>
    <w:rsid w:val="00804239"/>
    <w:rsid w:val="00804D3C"/>
    <w:rsid w:val="008056A7"/>
    <w:rsid w:val="00805731"/>
    <w:rsid w:val="0080626E"/>
    <w:rsid w:val="00806ACC"/>
    <w:rsid w:val="0080765C"/>
    <w:rsid w:val="00807BE9"/>
    <w:rsid w:val="0081126C"/>
    <w:rsid w:val="00811480"/>
    <w:rsid w:val="008118FA"/>
    <w:rsid w:val="00812DC9"/>
    <w:rsid w:val="00813B75"/>
    <w:rsid w:val="00814445"/>
    <w:rsid w:val="00814C3C"/>
    <w:rsid w:val="008162D6"/>
    <w:rsid w:val="00816C0C"/>
    <w:rsid w:val="00816D3D"/>
    <w:rsid w:val="00817120"/>
    <w:rsid w:val="008178AA"/>
    <w:rsid w:val="008178F3"/>
    <w:rsid w:val="00821572"/>
    <w:rsid w:val="00821645"/>
    <w:rsid w:val="00823C0B"/>
    <w:rsid w:val="0082498A"/>
    <w:rsid w:val="00824E21"/>
    <w:rsid w:val="00826870"/>
    <w:rsid w:val="00827FCC"/>
    <w:rsid w:val="0083003B"/>
    <w:rsid w:val="008304FF"/>
    <w:rsid w:val="00830CA4"/>
    <w:rsid w:val="0083107A"/>
    <w:rsid w:val="00831E42"/>
    <w:rsid w:val="00831FEC"/>
    <w:rsid w:val="00832A62"/>
    <w:rsid w:val="00832DEC"/>
    <w:rsid w:val="008339A1"/>
    <w:rsid w:val="00833D5E"/>
    <w:rsid w:val="00834E3C"/>
    <w:rsid w:val="008367C3"/>
    <w:rsid w:val="00837D66"/>
    <w:rsid w:val="00840F12"/>
    <w:rsid w:val="00841347"/>
    <w:rsid w:val="00841A20"/>
    <w:rsid w:val="008422A9"/>
    <w:rsid w:val="00844487"/>
    <w:rsid w:val="008444CE"/>
    <w:rsid w:val="008444F0"/>
    <w:rsid w:val="008450C5"/>
    <w:rsid w:val="008451CC"/>
    <w:rsid w:val="00845573"/>
    <w:rsid w:val="00845C15"/>
    <w:rsid w:val="00847BF1"/>
    <w:rsid w:val="00850EE3"/>
    <w:rsid w:val="00852877"/>
    <w:rsid w:val="0085495F"/>
    <w:rsid w:val="0085564A"/>
    <w:rsid w:val="00855DF4"/>
    <w:rsid w:val="008576A8"/>
    <w:rsid w:val="00857B3E"/>
    <w:rsid w:val="00857C10"/>
    <w:rsid w:val="00857CFA"/>
    <w:rsid w:val="00860B34"/>
    <w:rsid w:val="00860B95"/>
    <w:rsid w:val="00862686"/>
    <w:rsid w:val="00863137"/>
    <w:rsid w:val="0086415D"/>
    <w:rsid w:val="00864DAB"/>
    <w:rsid w:val="0086531C"/>
    <w:rsid w:val="00865C4E"/>
    <w:rsid w:val="00865EB9"/>
    <w:rsid w:val="00866069"/>
    <w:rsid w:val="0086670A"/>
    <w:rsid w:val="00867543"/>
    <w:rsid w:val="008728E1"/>
    <w:rsid w:val="00872F07"/>
    <w:rsid w:val="00873515"/>
    <w:rsid w:val="0087364B"/>
    <w:rsid w:val="00874750"/>
    <w:rsid w:val="0087509F"/>
    <w:rsid w:val="0087550D"/>
    <w:rsid w:val="008760B5"/>
    <w:rsid w:val="00880000"/>
    <w:rsid w:val="00880086"/>
    <w:rsid w:val="008807D0"/>
    <w:rsid w:val="008807DE"/>
    <w:rsid w:val="00880B53"/>
    <w:rsid w:val="00880DAC"/>
    <w:rsid w:val="0088163C"/>
    <w:rsid w:val="008826BB"/>
    <w:rsid w:val="00882F5B"/>
    <w:rsid w:val="00882FCA"/>
    <w:rsid w:val="00883161"/>
    <w:rsid w:val="00886EEC"/>
    <w:rsid w:val="008870E5"/>
    <w:rsid w:val="00887155"/>
    <w:rsid w:val="0088736E"/>
    <w:rsid w:val="0089030E"/>
    <w:rsid w:val="00890D06"/>
    <w:rsid w:val="00890D7D"/>
    <w:rsid w:val="00891212"/>
    <w:rsid w:val="0089237A"/>
    <w:rsid w:val="008923E7"/>
    <w:rsid w:val="008924E2"/>
    <w:rsid w:val="008926CE"/>
    <w:rsid w:val="00893CE4"/>
    <w:rsid w:val="00894064"/>
    <w:rsid w:val="00894485"/>
    <w:rsid w:val="00894BEF"/>
    <w:rsid w:val="00895687"/>
    <w:rsid w:val="00895AE6"/>
    <w:rsid w:val="00895D1D"/>
    <w:rsid w:val="0089614F"/>
    <w:rsid w:val="00897036"/>
    <w:rsid w:val="00897820"/>
    <w:rsid w:val="00897AAE"/>
    <w:rsid w:val="008A0861"/>
    <w:rsid w:val="008A1B25"/>
    <w:rsid w:val="008A3C75"/>
    <w:rsid w:val="008A40A7"/>
    <w:rsid w:val="008A4728"/>
    <w:rsid w:val="008A4E5D"/>
    <w:rsid w:val="008A53D4"/>
    <w:rsid w:val="008A61A2"/>
    <w:rsid w:val="008A622E"/>
    <w:rsid w:val="008A6937"/>
    <w:rsid w:val="008A6F3C"/>
    <w:rsid w:val="008B29C6"/>
    <w:rsid w:val="008B33B5"/>
    <w:rsid w:val="008B3493"/>
    <w:rsid w:val="008B424E"/>
    <w:rsid w:val="008B50A3"/>
    <w:rsid w:val="008B6682"/>
    <w:rsid w:val="008B73D8"/>
    <w:rsid w:val="008B792D"/>
    <w:rsid w:val="008C08B9"/>
    <w:rsid w:val="008C3608"/>
    <w:rsid w:val="008C3647"/>
    <w:rsid w:val="008C370B"/>
    <w:rsid w:val="008C3742"/>
    <w:rsid w:val="008C486A"/>
    <w:rsid w:val="008C50CB"/>
    <w:rsid w:val="008C5151"/>
    <w:rsid w:val="008C58BB"/>
    <w:rsid w:val="008C6B7D"/>
    <w:rsid w:val="008D08EF"/>
    <w:rsid w:val="008D1023"/>
    <w:rsid w:val="008D13E9"/>
    <w:rsid w:val="008D1684"/>
    <w:rsid w:val="008D19F0"/>
    <w:rsid w:val="008D224D"/>
    <w:rsid w:val="008D26D1"/>
    <w:rsid w:val="008D2FC5"/>
    <w:rsid w:val="008D37CF"/>
    <w:rsid w:val="008D39C4"/>
    <w:rsid w:val="008D3A8B"/>
    <w:rsid w:val="008D4733"/>
    <w:rsid w:val="008D4E75"/>
    <w:rsid w:val="008D5A4C"/>
    <w:rsid w:val="008D615F"/>
    <w:rsid w:val="008D739C"/>
    <w:rsid w:val="008D798E"/>
    <w:rsid w:val="008D7AA8"/>
    <w:rsid w:val="008D7C49"/>
    <w:rsid w:val="008E0C63"/>
    <w:rsid w:val="008E1CE3"/>
    <w:rsid w:val="008E1F47"/>
    <w:rsid w:val="008E250A"/>
    <w:rsid w:val="008E2C2F"/>
    <w:rsid w:val="008E34E3"/>
    <w:rsid w:val="008E3DF2"/>
    <w:rsid w:val="008E46C3"/>
    <w:rsid w:val="008E4BCB"/>
    <w:rsid w:val="008E52A1"/>
    <w:rsid w:val="008E5D09"/>
    <w:rsid w:val="008E6646"/>
    <w:rsid w:val="008E7F57"/>
    <w:rsid w:val="008F03FD"/>
    <w:rsid w:val="008F0411"/>
    <w:rsid w:val="008F0DCE"/>
    <w:rsid w:val="008F12E7"/>
    <w:rsid w:val="008F2C5E"/>
    <w:rsid w:val="008F2FF6"/>
    <w:rsid w:val="008F3816"/>
    <w:rsid w:val="008F4F4E"/>
    <w:rsid w:val="008F53BF"/>
    <w:rsid w:val="008F54E0"/>
    <w:rsid w:val="008F572C"/>
    <w:rsid w:val="008F5B12"/>
    <w:rsid w:val="008F656B"/>
    <w:rsid w:val="008F6832"/>
    <w:rsid w:val="0090008D"/>
    <w:rsid w:val="00900B63"/>
    <w:rsid w:val="0090173D"/>
    <w:rsid w:val="009017ED"/>
    <w:rsid w:val="00901FCC"/>
    <w:rsid w:val="00904129"/>
    <w:rsid w:val="0090492E"/>
    <w:rsid w:val="00904ABF"/>
    <w:rsid w:val="0090600A"/>
    <w:rsid w:val="0090719F"/>
    <w:rsid w:val="009077F9"/>
    <w:rsid w:val="00910C13"/>
    <w:rsid w:val="00911714"/>
    <w:rsid w:val="009122E0"/>
    <w:rsid w:val="009126EB"/>
    <w:rsid w:val="009135C5"/>
    <w:rsid w:val="00914382"/>
    <w:rsid w:val="00914442"/>
    <w:rsid w:val="00914773"/>
    <w:rsid w:val="009149ED"/>
    <w:rsid w:val="00917124"/>
    <w:rsid w:val="009177C5"/>
    <w:rsid w:val="009178D2"/>
    <w:rsid w:val="0092045C"/>
    <w:rsid w:val="0092099E"/>
    <w:rsid w:val="00921207"/>
    <w:rsid w:val="00921726"/>
    <w:rsid w:val="0092186A"/>
    <w:rsid w:val="00922F59"/>
    <w:rsid w:val="0092396F"/>
    <w:rsid w:val="00923F90"/>
    <w:rsid w:val="009240AF"/>
    <w:rsid w:val="00926394"/>
    <w:rsid w:val="00926C11"/>
    <w:rsid w:val="00927602"/>
    <w:rsid w:val="00930C0D"/>
    <w:rsid w:val="00930C1F"/>
    <w:rsid w:val="00931C5B"/>
    <w:rsid w:val="00931F38"/>
    <w:rsid w:val="00932B33"/>
    <w:rsid w:val="0093392D"/>
    <w:rsid w:val="00933CE6"/>
    <w:rsid w:val="009341B9"/>
    <w:rsid w:val="00934242"/>
    <w:rsid w:val="00934422"/>
    <w:rsid w:val="00934CDE"/>
    <w:rsid w:val="009354DF"/>
    <w:rsid w:val="00935AAB"/>
    <w:rsid w:val="00936793"/>
    <w:rsid w:val="00936FCD"/>
    <w:rsid w:val="00937489"/>
    <w:rsid w:val="00937B5C"/>
    <w:rsid w:val="00937E07"/>
    <w:rsid w:val="0094032E"/>
    <w:rsid w:val="00941751"/>
    <w:rsid w:val="009419F0"/>
    <w:rsid w:val="00941C1C"/>
    <w:rsid w:val="0094200C"/>
    <w:rsid w:val="009422FE"/>
    <w:rsid w:val="00942950"/>
    <w:rsid w:val="00942D16"/>
    <w:rsid w:val="00943331"/>
    <w:rsid w:val="009434C3"/>
    <w:rsid w:val="00943774"/>
    <w:rsid w:val="009442ED"/>
    <w:rsid w:val="0094466E"/>
    <w:rsid w:val="009456CD"/>
    <w:rsid w:val="00945BC2"/>
    <w:rsid w:val="00945E28"/>
    <w:rsid w:val="0094714B"/>
    <w:rsid w:val="0094730B"/>
    <w:rsid w:val="00950DDB"/>
    <w:rsid w:val="00951304"/>
    <w:rsid w:val="009524C5"/>
    <w:rsid w:val="00954596"/>
    <w:rsid w:val="00955153"/>
    <w:rsid w:val="0095573E"/>
    <w:rsid w:val="009559BE"/>
    <w:rsid w:val="00955EE4"/>
    <w:rsid w:val="00957220"/>
    <w:rsid w:val="00957AA6"/>
    <w:rsid w:val="00957F9D"/>
    <w:rsid w:val="00960075"/>
    <w:rsid w:val="0096013C"/>
    <w:rsid w:val="0096307E"/>
    <w:rsid w:val="00963493"/>
    <w:rsid w:val="00963FAB"/>
    <w:rsid w:val="00965B9D"/>
    <w:rsid w:val="009678F3"/>
    <w:rsid w:val="00967EE4"/>
    <w:rsid w:val="00972471"/>
    <w:rsid w:val="00972D67"/>
    <w:rsid w:val="00974111"/>
    <w:rsid w:val="00974325"/>
    <w:rsid w:val="009751E0"/>
    <w:rsid w:val="00975687"/>
    <w:rsid w:val="009756FB"/>
    <w:rsid w:val="00976382"/>
    <w:rsid w:val="00977B3A"/>
    <w:rsid w:val="009801F0"/>
    <w:rsid w:val="00980C08"/>
    <w:rsid w:val="00981084"/>
    <w:rsid w:val="009810FE"/>
    <w:rsid w:val="009817AD"/>
    <w:rsid w:val="009820E4"/>
    <w:rsid w:val="00982253"/>
    <w:rsid w:val="009827BF"/>
    <w:rsid w:val="00983D4C"/>
    <w:rsid w:val="00983F0F"/>
    <w:rsid w:val="009842C6"/>
    <w:rsid w:val="00984CAA"/>
    <w:rsid w:val="009854AA"/>
    <w:rsid w:val="00985537"/>
    <w:rsid w:val="00985DD0"/>
    <w:rsid w:val="00985EAE"/>
    <w:rsid w:val="009877C9"/>
    <w:rsid w:val="00990320"/>
    <w:rsid w:val="009909A6"/>
    <w:rsid w:val="00991596"/>
    <w:rsid w:val="009924EC"/>
    <w:rsid w:val="009925C9"/>
    <w:rsid w:val="00992E46"/>
    <w:rsid w:val="009939FD"/>
    <w:rsid w:val="00993AB6"/>
    <w:rsid w:val="00993CBA"/>
    <w:rsid w:val="00995AC1"/>
    <w:rsid w:val="0099600D"/>
    <w:rsid w:val="009A0216"/>
    <w:rsid w:val="009A0E72"/>
    <w:rsid w:val="009A1213"/>
    <w:rsid w:val="009A1D4D"/>
    <w:rsid w:val="009A2009"/>
    <w:rsid w:val="009A2AD5"/>
    <w:rsid w:val="009A35BB"/>
    <w:rsid w:val="009A47B3"/>
    <w:rsid w:val="009A537B"/>
    <w:rsid w:val="009A5C07"/>
    <w:rsid w:val="009A5C80"/>
    <w:rsid w:val="009A5D1F"/>
    <w:rsid w:val="009A6324"/>
    <w:rsid w:val="009A69F0"/>
    <w:rsid w:val="009B14F5"/>
    <w:rsid w:val="009B1BF1"/>
    <w:rsid w:val="009B1D02"/>
    <w:rsid w:val="009B2195"/>
    <w:rsid w:val="009B27F4"/>
    <w:rsid w:val="009B2BFE"/>
    <w:rsid w:val="009B2F89"/>
    <w:rsid w:val="009B3F8C"/>
    <w:rsid w:val="009B427B"/>
    <w:rsid w:val="009B46D0"/>
    <w:rsid w:val="009B6306"/>
    <w:rsid w:val="009B63BA"/>
    <w:rsid w:val="009B68E2"/>
    <w:rsid w:val="009B710C"/>
    <w:rsid w:val="009B77F7"/>
    <w:rsid w:val="009B7D1F"/>
    <w:rsid w:val="009C0623"/>
    <w:rsid w:val="009C096F"/>
    <w:rsid w:val="009C0B96"/>
    <w:rsid w:val="009C23E9"/>
    <w:rsid w:val="009C260B"/>
    <w:rsid w:val="009C2D44"/>
    <w:rsid w:val="009C3A9A"/>
    <w:rsid w:val="009C3AB6"/>
    <w:rsid w:val="009C3B5C"/>
    <w:rsid w:val="009C452C"/>
    <w:rsid w:val="009C4568"/>
    <w:rsid w:val="009C4D1E"/>
    <w:rsid w:val="009C4D7B"/>
    <w:rsid w:val="009C4E54"/>
    <w:rsid w:val="009C5989"/>
    <w:rsid w:val="009C71E2"/>
    <w:rsid w:val="009C755E"/>
    <w:rsid w:val="009C7A5B"/>
    <w:rsid w:val="009D0321"/>
    <w:rsid w:val="009D0353"/>
    <w:rsid w:val="009D1F93"/>
    <w:rsid w:val="009D2130"/>
    <w:rsid w:val="009D2184"/>
    <w:rsid w:val="009D2875"/>
    <w:rsid w:val="009D3124"/>
    <w:rsid w:val="009D6304"/>
    <w:rsid w:val="009D68A6"/>
    <w:rsid w:val="009D68DE"/>
    <w:rsid w:val="009D691A"/>
    <w:rsid w:val="009D7D18"/>
    <w:rsid w:val="009E0386"/>
    <w:rsid w:val="009E04B0"/>
    <w:rsid w:val="009E2962"/>
    <w:rsid w:val="009E2B16"/>
    <w:rsid w:val="009E2DBF"/>
    <w:rsid w:val="009E3F21"/>
    <w:rsid w:val="009E5736"/>
    <w:rsid w:val="009E5DCC"/>
    <w:rsid w:val="009E700A"/>
    <w:rsid w:val="009E740B"/>
    <w:rsid w:val="009F068A"/>
    <w:rsid w:val="009F06CE"/>
    <w:rsid w:val="009F0D75"/>
    <w:rsid w:val="009F23B1"/>
    <w:rsid w:val="009F2B97"/>
    <w:rsid w:val="009F3F49"/>
    <w:rsid w:val="009F532E"/>
    <w:rsid w:val="009F6634"/>
    <w:rsid w:val="00A00058"/>
    <w:rsid w:val="00A00FDE"/>
    <w:rsid w:val="00A019EF"/>
    <w:rsid w:val="00A02025"/>
    <w:rsid w:val="00A02239"/>
    <w:rsid w:val="00A034D3"/>
    <w:rsid w:val="00A03E39"/>
    <w:rsid w:val="00A03EC1"/>
    <w:rsid w:val="00A0413F"/>
    <w:rsid w:val="00A05D4D"/>
    <w:rsid w:val="00A05E3D"/>
    <w:rsid w:val="00A0630D"/>
    <w:rsid w:val="00A1388D"/>
    <w:rsid w:val="00A139F3"/>
    <w:rsid w:val="00A151E2"/>
    <w:rsid w:val="00A154D1"/>
    <w:rsid w:val="00A156D0"/>
    <w:rsid w:val="00A15821"/>
    <w:rsid w:val="00A15B11"/>
    <w:rsid w:val="00A172C6"/>
    <w:rsid w:val="00A174D2"/>
    <w:rsid w:val="00A21835"/>
    <w:rsid w:val="00A22693"/>
    <w:rsid w:val="00A22D01"/>
    <w:rsid w:val="00A23407"/>
    <w:rsid w:val="00A2477E"/>
    <w:rsid w:val="00A249C6"/>
    <w:rsid w:val="00A24D16"/>
    <w:rsid w:val="00A25A00"/>
    <w:rsid w:val="00A267A7"/>
    <w:rsid w:val="00A2796D"/>
    <w:rsid w:val="00A3001B"/>
    <w:rsid w:val="00A30D5B"/>
    <w:rsid w:val="00A3209C"/>
    <w:rsid w:val="00A3294B"/>
    <w:rsid w:val="00A32973"/>
    <w:rsid w:val="00A33261"/>
    <w:rsid w:val="00A35D67"/>
    <w:rsid w:val="00A36113"/>
    <w:rsid w:val="00A3635D"/>
    <w:rsid w:val="00A36E7A"/>
    <w:rsid w:val="00A3764B"/>
    <w:rsid w:val="00A3786C"/>
    <w:rsid w:val="00A40F7F"/>
    <w:rsid w:val="00A4224C"/>
    <w:rsid w:val="00A427F7"/>
    <w:rsid w:val="00A43DEA"/>
    <w:rsid w:val="00A43FA1"/>
    <w:rsid w:val="00A44D04"/>
    <w:rsid w:val="00A44DB3"/>
    <w:rsid w:val="00A45A06"/>
    <w:rsid w:val="00A45D44"/>
    <w:rsid w:val="00A45D74"/>
    <w:rsid w:val="00A46417"/>
    <w:rsid w:val="00A466A8"/>
    <w:rsid w:val="00A47254"/>
    <w:rsid w:val="00A4744E"/>
    <w:rsid w:val="00A5212E"/>
    <w:rsid w:val="00A52155"/>
    <w:rsid w:val="00A53FC4"/>
    <w:rsid w:val="00A54F80"/>
    <w:rsid w:val="00A55616"/>
    <w:rsid w:val="00A55B0D"/>
    <w:rsid w:val="00A566AB"/>
    <w:rsid w:val="00A56E77"/>
    <w:rsid w:val="00A576FE"/>
    <w:rsid w:val="00A605E2"/>
    <w:rsid w:val="00A62025"/>
    <w:rsid w:val="00A63195"/>
    <w:rsid w:val="00A648E3"/>
    <w:rsid w:val="00A64B63"/>
    <w:rsid w:val="00A65F6E"/>
    <w:rsid w:val="00A665E5"/>
    <w:rsid w:val="00A66B1D"/>
    <w:rsid w:val="00A70EE1"/>
    <w:rsid w:val="00A711EB"/>
    <w:rsid w:val="00A7169F"/>
    <w:rsid w:val="00A7212F"/>
    <w:rsid w:val="00A7216F"/>
    <w:rsid w:val="00A72954"/>
    <w:rsid w:val="00A72B62"/>
    <w:rsid w:val="00A73865"/>
    <w:rsid w:val="00A73A3B"/>
    <w:rsid w:val="00A73F4C"/>
    <w:rsid w:val="00A75198"/>
    <w:rsid w:val="00A75B69"/>
    <w:rsid w:val="00A75FD4"/>
    <w:rsid w:val="00A763DB"/>
    <w:rsid w:val="00A80054"/>
    <w:rsid w:val="00A8028B"/>
    <w:rsid w:val="00A815EF"/>
    <w:rsid w:val="00A8171C"/>
    <w:rsid w:val="00A81CE0"/>
    <w:rsid w:val="00A82282"/>
    <w:rsid w:val="00A83673"/>
    <w:rsid w:val="00A85BCD"/>
    <w:rsid w:val="00A85D20"/>
    <w:rsid w:val="00A85E1A"/>
    <w:rsid w:val="00A85E95"/>
    <w:rsid w:val="00A8673E"/>
    <w:rsid w:val="00A86CC3"/>
    <w:rsid w:val="00A902EA"/>
    <w:rsid w:val="00A91E21"/>
    <w:rsid w:val="00A92F60"/>
    <w:rsid w:val="00A934FD"/>
    <w:rsid w:val="00A969C0"/>
    <w:rsid w:val="00A96BB1"/>
    <w:rsid w:val="00A9783F"/>
    <w:rsid w:val="00AA1D8D"/>
    <w:rsid w:val="00AA2228"/>
    <w:rsid w:val="00AA26DA"/>
    <w:rsid w:val="00AA4211"/>
    <w:rsid w:val="00AA46D2"/>
    <w:rsid w:val="00AA52F7"/>
    <w:rsid w:val="00AA557E"/>
    <w:rsid w:val="00AA5673"/>
    <w:rsid w:val="00AA59C8"/>
    <w:rsid w:val="00AA6433"/>
    <w:rsid w:val="00AA6F68"/>
    <w:rsid w:val="00AA7045"/>
    <w:rsid w:val="00AA78A4"/>
    <w:rsid w:val="00AB09B5"/>
    <w:rsid w:val="00AB0A89"/>
    <w:rsid w:val="00AB142C"/>
    <w:rsid w:val="00AB1A8C"/>
    <w:rsid w:val="00AB1FB2"/>
    <w:rsid w:val="00AB26E0"/>
    <w:rsid w:val="00AB2B55"/>
    <w:rsid w:val="00AB38D2"/>
    <w:rsid w:val="00AB454B"/>
    <w:rsid w:val="00AB46A6"/>
    <w:rsid w:val="00AB49DC"/>
    <w:rsid w:val="00AB55E4"/>
    <w:rsid w:val="00AB5CAE"/>
    <w:rsid w:val="00AB6119"/>
    <w:rsid w:val="00AB61A1"/>
    <w:rsid w:val="00AB64DA"/>
    <w:rsid w:val="00AB6631"/>
    <w:rsid w:val="00AB6718"/>
    <w:rsid w:val="00AB6E1F"/>
    <w:rsid w:val="00AB72CE"/>
    <w:rsid w:val="00AB76CA"/>
    <w:rsid w:val="00AC1011"/>
    <w:rsid w:val="00AC3263"/>
    <w:rsid w:val="00AC5104"/>
    <w:rsid w:val="00AC736D"/>
    <w:rsid w:val="00AD0745"/>
    <w:rsid w:val="00AD0F3E"/>
    <w:rsid w:val="00AD1EA1"/>
    <w:rsid w:val="00AD3E14"/>
    <w:rsid w:val="00AD4261"/>
    <w:rsid w:val="00AD458D"/>
    <w:rsid w:val="00AD4D9C"/>
    <w:rsid w:val="00AD5523"/>
    <w:rsid w:val="00AD5F07"/>
    <w:rsid w:val="00AD645A"/>
    <w:rsid w:val="00AD66CF"/>
    <w:rsid w:val="00AD7F97"/>
    <w:rsid w:val="00AE027C"/>
    <w:rsid w:val="00AE06A0"/>
    <w:rsid w:val="00AE093D"/>
    <w:rsid w:val="00AE0CDC"/>
    <w:rsid w:val="00AE1495"/>
    <w:rsid w:val="00AE1845"/>
    <w:rsid w:val="00AE239F"/>
    <w:rsid w:val="00AE444C"/>
    <w:rsid w:val="00AE4723"/>
    <w:rsid w:val="00AE56DE"/>
    <w:rsid w:val="00AE5934"/>
    <w:rsid w:val="00AE64B6"/>
    <w:rsid w:val="00AE658B"/>
    <w:rsid w:val="00AE666C"/>
    <w:rsid w:val="00AE675E"/>
    <w:rsid w:val="00AE6779"/>
    <w:rsid w:val="00AE6CA5"/>
    <w:rsid w:val="00AE7CE7"/>
    <w:rsid w:val="00AE7F02"/>
    <w:rsid w:val="00AF0947"/>
    <w:rsid w:val="00AF0C66"/>
    <w:rsid w:val="00AF1A35"/>
    <w:rsid w:val="00AF222E"/>
    <w:rsid w:val="00AF387B"/>
    <w:rsid w:val="00AF3A9E"/>
    <w:rsid w:val="00AF432B"/>
    <w:rsid w:val="00AF4627"/>
    <w:rsid w:val="00AF636A"/>
    <w:rsid w:val="00AF6916"/>
    <w:rsid w:val="00AF6E15"/>
    <w:rsid w:val="00AF6EEE"/>
    <w:rsid w:val="00AF7CB0"/>
    <w:rsid w:val="00B00F0B"/>
    <w:rsid w:val="00B02ECE"/>
    <w:rsid w:val="00B034B7"/>
    <w:rsid w:val="00B04F3F"/>
    <w:rsid w:val="00B05F41"/>
    <w:rsid w:val="00B0601E"/>
    <w:rsid w:val="00B06213"/>
    <w:rsid w:val="00B0704F"/>
    <w:rsid w:val="00B073A6"/>
    <w:rsid w:val="00B07F6F"/>
    <w:rsid w:val="00B10A90"/>
    <w:rsid w:val="00B11EAF"/>
    <w:rsid w:val="00B122AB"/>
    <w:rsid w:val="00B12BE2"/>
    <w:rsid w:val="00B12EE4"/>
    <w:rsid w:val="00B13455"/>
    <w:rsid w:val="00B13E8A"/>
    <w:rsid w:val="00B143C4"/>
    <w:rsid w:val="00B15042"/>
    <w:rsid w:val="00B15961"/>
    <w:rsid w:val="00B17215"/>
    <w:rsid w:val="00B20670"/>
    <w:rsid w:val="00B20B82"/>
    <w:rsid w:val="00B2149C"/>
    <w:rsid w:val="00B219D0"/>
    <w:rsid w:val="00B220D0"/>
    <w:rsid w:val="00B22A31"/>
    <w:rsid w:val="00B22DCD"/>
    <w:rsid w:val="00B23213"/>
    <w:rsid w:val="00B2337C"/>
    <w:rsid w:val="00B239CD"/>
    <w:rsid w:val="00B241F4"/>
    <w:rsid w:val="00B245D1"/>
    <w:rsid w:val="00B265DE"/>
    <w:rsid w:val="00B2690A"/>
    <w:rsid w:val="00B27B7E"/>
    <w:rsid w:val="00B3089B"/>
    <w:rsid w:val="00B31CE6"/>
    <w:rsid w:val="00B32167"/>
    <w:rsid w:val="00B32A50"/>
    <w:rsid w:val="00B32D26"/>
    <w:rsid w:val="00B334EE"/>
    <w:rsid w:val="00B33CE0"/>
    <w:rsid w:val="00B34012"/>
    <w:rsid w:val="00B34CD9"/>
    <w:rsid w:val="00B35226"/>
    <w:rsid w:val="00B3588B"/>
    <w:rsid w:val="00B35C52"/>
    <w:rsid w:val="00B36041"/>
    <w:rsid w:val="00B361AC"/>
    <w:rsid w:val="00B368E6"/>
    <w:rsid w:val="00B373A1"/>
    <w:rsid w:val="00B40252"/>
    <w:rsid w:val="00B40575"/>
    <w:rsid w:val="00B40A57"/>
    <w:rsid w:val="00B416C2"/>
    <w:rsid w:val="00B417CE"/>
    <w:rsid w:val="00B42325"/>
    <w:rsid w:val="00B443CF"/>
    <w:rsid w:val="00B45741"/>
    <w:rsid w:val="00B45B13"/>
    <w:rsid w:val="00B46ADE"/>
    <w:rsid w:val="00B46D10"/>
    <w:rsid w:val="00B47127"/>
    <w:rsid w:val="00B4746B"/>
    <w:rsid w:val="00B47894"/>
    <w:rsid w:val="00B47909"/>
    <w:rsid w:val="00B47A75"/>
    <w:rsid w:val="00B47B15"/>
    <w:rsid w:val="00B5000C"/>
    <w:rsid w:val="00B51A38"/>
    <w:rsid w:val="00B51D62"/>
    <w:rsid w:val="00B51E1D"/>
    <w:rsid w:val="00B5243A"/>
    <w:rsid w:val="00B528BF"/>
    <w:rsid w:val="00B53A4B"/>
    <w:rsid w:val="00B540D0"/>
    <w:rsid w:val="00B549DF"/>
    <w:rsid w:val="00B56697"/>
    <w:rsid w:val="00B56733"/>
    <w:rsid w:val="00B56785"/>
    <w:rsid w:val="00B56F3A"/>
    <w:rsid w:val="00B570C2"/>
    <w:rsid w:val="00B6073A"/>
    <w:rsid w:val="00B61426"/>
    <w:rsid w:val="00B61FE3"/>
    <w:rsid w:val="00B63279"/>
    <w:rsid w:val="00B64099"/>
    <w:rsid w:val="00B6564F"/>
    <w:rsid w:val="00B663FE"/>
    <w:rsid w:val="00B66956"/>
    <w:rsid w:val="00B66DD5"/>
    <w:rsid w:val="00B723EF"/>
    <w:rsid w:val="00B743B6"/>
    <w:rsid w:val="00B74C88"/>
    <w:rsid w:val="00B75672"/>
    <w:rsid w:val="00B75895"/>
    <w:rsid w:val="00B76C71"/>
    <w:rsid w:val="00B7792D"/>
    <w:rsid w:val="00B804A3"/>
    <w:rsid w:val="00B8084F"/>
    <w:rsid w:val="00B8167C"/>
    <w:rsid w:val="00B82916"/>
    <w:rsid w:val="00B83259"/>
    <w:rsid w:val="00B838A3"/>
    <w:rsid w:val="00B83ED8"/>
    <w:rsid w:val="00B848F3"/>
    <w:rsid w:val="00B84B1C"/>
    <w:rsid w:val="00B84FF3"/>
    <w:rsid w:val="00B865A9"/>
    <w:rsid w:val="00B900F8"/>
    <w:rsid w:val="00B902E8"/>
    <w:rsid w:val="00B908C4"/>
    <w:rsid w:val="00B91260"/>
    <w:rsid w:val="00B92CDF"/>
    <w:rsid w:val="00B92DF6"/>
    <w:rsid w:val="00B93743"/>
    <w:rsid w:val="00B93858"/>
    <w:rsid w:val="00B94784"/>
    <w:rsid w:val="00B94927"/>
    <w:rsid w:val="00B950DC"/>
    <w:rsid w:val="00B9561A"/>
    <w:rsid w:val="00B9577F"/>
    <w:rsid w:val="00B95E0B"/>
    <w:rsid w:val="00B96356"/>
    <w:rsid w:val="00B96441"/>
    <w:rsid w:val="00B96EDA"/>
    <w:rsid w:val="00B97851"/>
    <w:rsid w:val="00B97C7B"/>
    <w:rsid w:val="00B97E83"/>
    <w:rsid w:val="00BA11C6"/>
    <w:rsid w:val="00BA53DE"/>
    <w:rsid w:val="00BA540C"/>
    <w:rsid w:val="00BA7C6F"/>
    <w:rsid w:val="00BB0D0A"/>
    <w:rsid w:val="00BB109E"/>
    <w:rsid w:val="00BB1A73"/>
    <w:rsid w:val="00BB1FFD"/>
    <w:rsid w:val="00BB240A"/>
    <w:rsid w:val="00BB3213"/>
    <w:rsid w:val="00BB3AB2"/>
    <w:rsid w:val="00BB449B"/>
    <w:rsid w:val="00BB5403"/>
    <w:rsid w:val="00BB5DF2"/>
    <w:rsid w:val="00BB63C0"/>
    <w:rsid w:val="00BB7B5B"/>
    <w:rsid w:val="00BC01D4"/>
    <w:rsid w:val="00BC1FA2"/>
    <w:rsid w:val="00BC2141"/>
    <w:rsid w:val="00BC32C4"/>
    <w:rsid w:val="00BC379D"/>
    <w:rsid w:val="00BC4F30"/>
    <w:rsid w:val="00BC6355"/>
    <w:rsid w:val="00BC66A0"/>
    <w:rsid w:val="00BC71DE"/>
    <w:rsid w:val="00BC7DA1"/>
    <w:rsid w:val="00BC7E04"/>
    <w:rsid w:val="00BD06B8"/>
    <w:rsid w:val="00BD081C"/>
    <w:rsid w:val="00BD0838"/>
    <w:rsid w:val="00BD0F40"/>
    <w:rsid w:val="00BD1653"/>
    <w:rsid w:val="00BD1DC9"/>
    <w:rsid w:val="00BD1F26"/>
    <w:rsid w:val="00BD3937"/>
    <w:rsid w:val="00BD45BA"/>
    <w:rsid w:val="00BD4D3B"/>
    <w:rsid w:val="00BD4FE8"/>
    <w:rsid w:val="00BD5508"/>
    <w:rsid w:val="00BD5852"/>
    <w:rsid w:val="00BD5A0B"/>
    <w:rsid w:val="00BD6AFE"/>
    <w:rsid w:val="00BD6D65"/>
    <w:rsid w:val="00BD7479"/>
    <w:rsid w:val="00BD7AED"/>
    <w:rsid w:val="00BE03C6"/>
    <w:rsid w:val="00BE0446"/>
    <w:rsid w:val="00BE2192"/>
    <w:rsid w:val="00BE2891"/>
    <w:rsid w:val="00BE5A9E"/>
    <w:rsid w:val="00BE658C"/>
    <w:rsid w:val="00BE71EB"/>
    <w:rsid w:val="00BE72BD"/>
    <w:rsid w:val="00BE734E"/>
    <w:rsid w:val="00BE7C78"/>
    <w:rsid w:val="00BF0EEB"/>
    <w:rsid w:val="00BF10E6"/>
    <w:rsid w:val="00BF29B7"/>
    <w:rsid w:val="00BF3CFB"/>
    <w:rsid w:val="00BF4069"/>
    <w:rsid w:val="00BF5FE7"/>
    <w:rsid w:val="00BF67B9"/>
    <w:rsid w:val="00C01274"/>
    <w:rsid w:val="00C015E6"/>
    <w:rsid w:val="00C01A87"/>
    <w:rsid w:val="00C01AB2"/>
    <w:rsid w:val="00C027E6"/>
    <w:rsid w:val="00C03C1A"/>
    <w:rsid w:val="00C03FD5"/>
    <w:rsid w:val="00C0550C"/>
    <w:rsid w:val="00C05AD6"/>
    <w:rsid w:val="00C05BDF"/>
    <w:rsid w:val="00C05F98"/>
    <w:rsid w:val="00C063A6"/>
    <w:rsid w:val="00C074A4"/>
    <w:rsid w:val="00C075A4"/>
    <w:rsid w:val="00C07682"/>
    <w:rsid w:val="00C101F7"/>
    <w:rsid w:val="00C1066A"/>
    <w:rsid w:val="00C10802"/>
    <w:rsid w:val="00C111B9"/>
    <w:rsid w:val="00C113D2"/>
    <w:rsid w:val="00C11EC6"/>
    <w:rsid w:val="00C12DCC"/>
    <w:rsid w:val="00C13319"/>
    <w:rsid w:val="00C133CD"/>
    <w:rsid w:val="00C16E21"/>
    <w:rsid w:val="00C16F73"/>
    <w:rsid w:val="00C17030"/>
    <w:rsid w:val="00C173D4"/>
    <w:rsid w:val="00C17715"/>
    <w:rsid w:val="00C17BA6"/>
    <w:rsid w:val="00C17E7A"/>
    <w:rsid w:val="00C20A16"/>
    <w:rsid w:val="00C20AA9"/>
    <w:rsid w:val="00C215B1"/>
    <w:rsid w:val="00C22480"/>
    <w:rsid w:val="00C22A05"/>
    <w:rsid w:val="00C22B17"/>
    <w:rsid w:val="00C2305C"/>
    <w:rsid w:val="00C23403"/>
    <w:rsid w:val="00C25B04"/>
    <w:rsid w:val="00C25CF3"/>
    <w:rsid w:val="00C26D39"/>
    <w:rsid w:val="00C27D67"/>
    <w:rsid w:val="00C307E1"/>
    <w:rsid w:val="00C30A65"/>
    <w:rsid w:val="00C30A7B"/>
    <w:rsid w:val="00C3144E"/>
    <w:rsid w:val="00C34741"/>
    <w:rsid w:val="00C35B7F"/>
    <w:rsid w:val="00C35C15"/>
    <w:rsid w:val="00C3692B"/>
    <w:rsid w:val="00C36F73"/>
    <w:rsid w:val="00C40688"/>
    <w:rsid w:val="00C412D7"/>
    <w:rsid w:val="00C41E05"/>
    <w:rsid w:val="00C4531F"/>
    <w:rsid w:val="00C45D2C"/>
    <w:rsid w:val="00C505A5"/>
    <w:rsid w:val="00C50B8C"/>
    <w:rsid w:val="00C50E71"/>
    <w:rsid w:val="00C516B3"/>
    <w:rsid w:val="00C528D8"/>
    <w:rsid w:val="00C52B3D"/>
    <w:rsid w:val="00C52B47"/>
    <w:rsid w:val="00C53A22"/>
    <w:rsid w:val="00C540AC"/>
    <w:rsid w:val="00C540CC"/>
    <w:rsid w:val="00C54B96"/>
    <w:rsid w:val="00C55CF0"/>
    <w:rsid w:val="00C55F21"/>
    <w:rsid w:val="00C563EB"/>
    <w:rsid w:val="00C56843"/>
    <w:rsid w:val="00C56D18"/>
    <w:rsid w:val="00C60821"/>
    <w:rsid w:val="00C61783"/>
    <w:rsid w:val="00C61C79"/>
    <w:rsid w:val="00C6284B"/>
    <w:rsid w:val="00C62EEA"/>
    <w:rsid w:val="00C65AC1"/>
    <w:rsid w:val="00C66582"/>
    <w:rsid w:val="00C67BE1"/>
    <w:rsid w:val="00C7009C"/>
    <w:rsid w:val="00C7176F"/>
    <w:rsid w:val="00C71832"/>
    <w:rsid w:val="00C71941"/>
    <w:rsid w:val="00C71FE3"/>
    <w:rsid w:val="00C7579E"/>
    <w:rsid w:val="00C75920"/>
    <w:rsid w:val="00C7664B"/>
    <w:rsid w:val="00C77019"/>
    <w:rsid w:val="00C771A3"/>
    <w:rsid w:val="00C77BCC"/>
    <w:rsid w:val="00C8062E"/>
    <w:rsid w:val="00C80B05"/>
    <w:rsid w:val="00C80F9E"/>
    <w:rsid w:val="00C8106D"/>
    <w:rsid w:val="00C8120E"/>
    <w:rsid w:val="00C83602"/>
    <w:rsid w:val="00C836D4"/>
    <w:rsid w:val="00C8398B"/>
    <w:rsid w:val="00C83E2C"/>
    <w:rsid w:val="00C85F45"/>
    <w:rsid w:val="00C87292"/>
    <w:rsid w:val="00C87FD0"/>
    <w:rsid w:val="00C91748"/>
    <w:rsid w:val="00C924C0"/>
    <w:rsid w:val="00C925F8"/>
    <w:rsid w:val="00C93722"/>
    <w:rsid w:val="00C938D7"/>
    <w:rsid w:val="00C9392B"/>
    <w:rsid w:val="00C941FE"/>
    <w:rsid w:val="00C94E2F"/>
    <w:rsid w:val="00C95762"/>
    <w:rsid w:val="00C957B1"/>
    <w:rsid w:val="00C96FCC"/>
    <w:rsid w:val="00C97C0B"/>
    <w:rsid w:val="00CA1D26"/>
    <w:rsid w:val="00CA2DE9"/>
    <w:rsid w:val="00CA4E48"/>
    <w:rsid w:val="00CA5A47"/>
    <w:rsid w:val="00CB05CE"/>
    <w:rsid w:val="00CB0A7E"/>
    <w:rsid w:val="00CB1899"/>
    <w:rsid w:val="00CB19DA"/>
    <w:rsid w:val="00CB2095"/>
    <w:rsid w:val="00CB23AF"/>
    <w:rsid w:val="00CB252F"/>
    <w:rsid w:val="00CB33FD"/>
    <w:rsid w:val="00CB3482"/>
    <w:rsid w:val="00CB35B0"/>
    <w:rsid w:val="00CB38C6"/>
    <w:rsid w:val="00CB4755"/>
    <w:rsid w:val="00CB5764"/>
    <w:rsid w:val="00CB6C13"/>
    <w:rsid w:val="00CB7458"/>
    <w:rsid w:val="00CB7BF9"/>
    <w:rsid w:val="00CB7DBB"/>
    <w:rsid w:val="00CC01DB"/>
    <w:rsid w:val="00CC0372"/>
    <w:rsid w:val="00CC0E69"/>
    <w:rsid w:val="00CC6840"/>
    <w:rsid w:val="00CC7C1B"/>
    <w:rsid w:val="00CC7DD0"/>
    <w:rsid w:val="00CD0D88"/>
    <w:rsid w:val="00CD0FE2"/>
    <w:rsid w:val="00CD1ABD"/>
    <w:rsid w:val="00CD1DAD"/>
    <w:rsid w:val="00CD2228"/>
    <w:rsid w:val="00CD2359"/>
    <w:rsid w:val="00CD277D"/>
    <w:rsid w:val="00CD35B9"/>
    <w:rsid w:val="00CD3609"/>
    <w:rsid w:val="00CD3C38"/>
    <w:rsid w:val="00CD4110"/>
    <w:rsid w:val="00CD42C4"/>
    <w:rsid w:val="00CD43D0"/>
    <w:rsid w:val="00CD4D2B"/>
    <w:rsid w:val="00CD5511"/>
    <w:rsid w:val="00CD5552"/>
    <w:rsid w:val="00CD5716"/>
    <w:rsid w:val="00CD5A9A"/>
    <w:rsid w:val="00CD60C3"/>
    <w:rsid w:val="00CD6135"/>
    <w:rsid w:val="00CD6B9F"/>
    <w:rsid w:val="00CD6C2C"/>
    <w:rsid w:val="00CD6DB2"/>
    <w:rsid w:val="00CD7F5D"/>
    <w:rsid w:val="00CE02E7"/>
    <w:rsid w:val="00CE0C54"/>
    <w:rsid w:val="00CE220B"/>
    <w:rsid w:val="00CE2764"/>
    <w:rsid w:val="00CE31DB"/>
    <w:rsid w:val="00CE323C"/>
    <w:rsid w:val="00CE3FB5"/>
    <w:rsid w:val="00CE4437"/>
    <w:rsid w:val="00CE479E"/>
    <w:rsid w:val="00CE4C4D"/>
    <w:rsid w:val="00CE4D48"/>
    <w:rsid w:val="00CE63A4"/>
    <w:rsid w:val="00CE69EE"/>
    <w:rsid w:val="00CE77A3"/>
    <w:rsid w:val="00CE7A43"/>
    <w:rsid w:val="00CE7E8F"/>
    <w:rsid w:val="00CF0D37"/>
    <w:rsid w:val="00CF10C6"/>
    <w:rsid w:val="00CF2E9C"/>
    <w:rsid w:val="00CF3270"/>
    <w:rsid w:val="00CF3447"/>
    <w:rsid w:val="00CF3ED9"/>
    <w:rsid w:val="00CF43DB"/>
    <w:rsid w:val="00CF693A"/>
    <w:rsid w:val="00CF69CC"/>
    <w:rsid w:val="00CF6D34"/>
    <w:rsid w:val="00CF7207"/>
    <w:rsid w:val="00CF751D"/>
    <w:rsid w:val="00CF79CC"/>
    <w:rsid w:val="00D01376"/>
    <w:rsid w:val="00D01846"/>
    <w:rsid w:val="00D01E61"/>
    <w:rsid w:val="00D026E6"/>
    <w:rsid w:val="00D034E6"/>
    <w:rsid w:val="00D03610"/>
    <w:rsid w:val="00D03961"/>
    <w:rsid w:val="00D04280"/>
    <w:rsid w:val="00D04916"/>
    <w:rsid w:val="00D054B8"/>
    <w:rsid w:val="00D05BAA"/>
    <w:rsid w:val="00D05E87"/>
    <w:rsid w:val="00D065C1"/>
    <w:rsid w:val="00D072D0"/>
    <w:rsid w:val="00D075E9"/>
    <w:rsid w:val="00D07DA7"/>
    <w:rsid w:val="00D07E30"/>
    <w:rsid w:val="00D07F92"/>
    <w:rsid w:val="00D101DE"/>
    <w:rsid w:val="00D1179D"/>
    <w:rsid w:val="00D11C0B"/>
    <w:rsid w:val="00D13386"/>
    <w:rsid w:val="00D13D24"/>
    <w:rsid w:val="00D15734"/>
    <w:rsid w:val="00D15D42"/>
    <w:rsid w:val="00D15DEC"/>
    <w:rsid w:val="00D15FEC"/>
    <w:rsid w:val="00D160F8"/>
    <w:rsid w:val="00D163B0"/>
    <w:rsid w:val="00D200CD"/>
    <w:rsid w:val="00D20253"/>
    <w:rsid w:val="00D20693"/>
    <w:rsid w:val="00D20AAC"/>
    <w:rsid w:val="00D21591"/>
    <w:rsid w:val="00D21DCE"/>
    <w:rsid w:val="00D21F9B"/>
    <w:rsid w:val="00D237AA"/>
    <w:rsid w:val="00D24526"/>
    <w:rsid w:val="00D25E23"/>
    <w:rsid w:val="00D25F29"/>
    <w:rsid w:val="00D2615D"/>
    <w:rsid w:val="00D26DCB"/>
    <w:rsid w:val="00D2706B"/>
    <w:rsid w:val="00D27C65"/>
    <w:rsid w:val="00D27F25"/>
    <w:rsid w:val="00D30260"/>
    <w:rsid w:val="00D30AD6"/>
    <w:rsid w:val="00D30AFB"/>
    <w:rsid w:val="00D31C51"/>
    <w:rsid w:val="00D3595E"/>
    <w:rsid w:val="00D35AE0"/>
    <w:rsid w:val="00D35E69"/>
    <w:rsid w:val="00D3671C"/>
    <w:rsid w:val="00D36D42"/>
    <w:rsid w:val="00D3748C"/>
    <w:rsid w:val="00D4040B"/>
    <w:rsid w:val="00D40C0B"/>
    <w:rsid w:val="00D4258A"/>
    <w:rsid w:val="00D4330B"/>
    <w:rsid w:val="00D44071"/>
    <w:rsid w:val="00D44AE1"/>
    <w:rsid w:val="00D45DAE"/>
    <w:rsid w:val="00D467CA"/>
    <w:rsid w:val="00D47692"/>
    <w:rsid w:val="00D479DD"/>
    <w:rsid w:val="00D51569"/>
    <w:rsid w:val="00D51BB0"/>
    <w:rsid w:val="00D52095"/>
    <w:rsid w:val="00D52594"/>
    <w:rsid w:val="00D546C5"/>
    <w:rsid w:val="00D546FD"/>
    <w:rsid w:val="00D54DF2"/>
    <w:rsid w:val="00D55022"/>
    <w:rsid w:val="00D55380"/>
    <w:rsid w:val="00D55EB0"/>
    <w:rsid w:val="00D5614A"/>
    <w:rsid w:val="00D565DA"/>
    <w:rsid w:val="00D56BE1"/>
    <w:rsid w:val="00D60E07"/>
    <w:rsid w:val="00D6186A"/>
    <w:rsid w:val="00D631B0"/>
    <w:rsid w:val="00D63421"/>
    <w:rsid w:val="00D64AF7"/>
    <w:rsid w:val="00D657FC"/>
    <w:rsid w:val="00D65ED1"/>
    <w:rsid w:val="00D66871"/>
    <w:rsid w:val="00D67C8F"/>
    <w:rsid w:val="00D67E8C"/>
    <w:rsid w:val="00D717C2"/>
    <w:rsid w:val="00D72149"/>
    <w:rsid w:val="00D724E4"/>
    <w:rsid w:val="00D727A3"/>
    <w:rsid w:val="00D73193"/>
    <w:rsid w:val="00D73FC5"/>
    <w:rsid w:val="00D742EB"/>
    <w:rsid w:val="00D74338"/>
    <w:rsid w:val="00D74C67"/>
    <w:rsid w:val="00D7529B"/>
    <w:rsid w:val="00D757BB"/>
    <w:rsid w:val="00D75E3E"/>
    <w:rsid w:val="00D76075"/>
    <w:rsid w:val="00D76AEB"/>
    <w:rsid w:val="00D77206"/>
    <w:rsid w:val="00D7788C"/>
    <w:rsid w:val="00D806B8"/>
    <w:rsid w:val="00D80769"/>
    <w:rsid w:val="00D809F0"/>
    <w:rsid w:val="00D81320"/>
    <w:rsid w:val="00D8172D"/>
    <w:rsid w:val="00D83370"/>
    <w:rsid w:val="00D83C94"/>
    <w:rsid w:val="00D84266"/>
    <w:rsid w:val="00D85422"/>
    <w:rsid w:val="00D857E3"/>
    <w:rsid w:val="00D85ABC"/>
    <w:rsid w:val="00D862D3"/>
    <w:rsid w:val="00D86A9C"/>
    <w:rsid w:val="00D86FC2"/>
    <w:rsid w:val="00D91AB6"/>
    <w:rsid w:val="00D92133"/>
    <w:rsid w:val="00D927AE"/>
    <w:rsid w:val="00D92E69"/>
    <w:rsid w:val="00D9366C"/>
    <w:rsid w:val="00D938EC"/>
    <w:rsid w:val="00D9466D"/>
    <w:rsid w:val="00D95D9F"/>
    <w:rsid w:val="00D96C1A"/>
    <w:rsid w:val="00D9771B"/>
    <w:rsid w:val="00DA02A2"/>
    <w:rsid w:val="00DA15D5"/>
    <w:rsid w:val="00DA2884"/>
    <w:rsid w:val="00DA2FCD"/>
    <w:rsid w:val="00DA3191"/>
    <w:rsid w:val="00DA383C"/>
    <w:rsid w:val="00DA38A3"/>
    <w:rsid w:val="00DA43F6"/>
    <w:rsid w:val="00DA4550"/>
    <w:rsid w:val="00DA4FFF"/>
    <w:rsid w:val="00DA526B"/>
    <w:rsid w:val="00DA5433"/>
    <w:rsid w:val="00DA5478"/>
    <w:rsid w:val="00DA6A71"/>
    <w:rsid w:val="00DB05D2"/>
    <w:rsid w:val="00DB0EA3"/>
    <w:rsid w:val="00DB10A2"/>
    <w:rsid w:val="00DB229B"/>
    <w:rsid w:val="00DB2EAC"/>
    <w:rsid w:val="00DB43AE"/>
    <w:rsid w:val="00DB4621"/>
    <w:rsid w:val="00DB4C49"/>
    <w:rsid w:val="00DB5267"/>
    <w:rsid w:val="00DB6C8A"/>
    <w:rsid w:val="00DB6D6D"/>
    <w:rsid w:val="00DB774E"/>
    <w:rsid w:val="00DB7833"/>
    <w:rsid w:val="00DC1E56"/>
    <w:rsid w:val="00DC1EED"/>
    <w:rsid w:val="00DC21B0"/>
    <w:rsid w:val="00DC2D37"/>
    <w:rsid w:val="00DC3525"/>
    <w:rsid w:val="00DC3766"/>
    <w:rsid w:val="00DC38D8"/>
    <w:rsid w:val="00DC46D5"/>
    <w:rsid w:val="00DC4883"/>
    <w:rsid w:val="00DC683C"/>
    <w:rsid w:val="00DC713B"/>
    <w:rsid w:val="00DC79E0"/>
    <w:rsid w:val="00DD05AC"/>
    <w:rsid w:val="00DD0873"/>
    <w:rsid w:val="00DD1393"/>
    <w:rsid w:val="00DD17CD"/>
    <w:rsid w:val="00DD1C32"/>
    <w:rsid w:val="00DD201A"/>
    <w:rsid w:val="00DD279B"/>
    <w:rsid w:val="00DD2BEB"/>
    <w:rsid w:val="00DD34CB"/>
    <w:rsid w:val="00DD3B50"/>
    <w:rsid w:val="00DD3FCB"/>
    <w:rsid w:val="00DD4176"/>
    <w:rsid w:val="00DD46C2"/>
    <w:rsid w:val="00DD52F9"/>
    <w:rsid w:val="00DD5766"/>
    <w:rsid w:val="00DD595A"/>
    <w:rsid w:val="00DD5C22"/>
    <w:rsid w:val="00DD5E91"/>
    <w:rsid w:val="00DD6216"/>
    <w:rsid w:val="00DD666F"/>
    <w:rsid w:val="00DD7EAA"/>
    <w:rsid w:val="00DE0A2E"/>
    <w:rsid w:val="00DE16B7"/>
    <w:rsid w:val="00DE172A"/>
    <w:rsid w:val="00DE18AA"/>
    <w:rsid w:val="00DE2A55"/>
    <w:rsid w:val="00DE2BF8"/>
    <w:rsid w:val="00DE380B"/>
    <w:rsid w:val="00DE3A84"/>
    <w:rsid w:val="00DE3EE9"/>
    <w:rsid w:val="00DE4392"/>
    <w:rsid w:val="00DE4D56"/>
    <w:rsid w:val="00DE4E2B"/>
    <w:rsid w:val="00DE5005"/>
    <w:rsid w:val="00DF02A9"/>
    <w:rsid w:val="00DF0B5E"/>
    <w:rsid w:val="00DF1320"/>
    <w:rsid w:val="00DF2824"/>
    <w:rsid w:val="00DF28A4"/>
    <w:rsid w:val="00DF2C46"/>
    <w:rsid w:val="00DF2D0D"/>
    <w:rsid w:val="00DF2F95"/>
    <w:rsid w:val="00DF3288"/>
    <w:rsid w:val="00DF3984"/>
    <w:rsid w:val="00DF452E"/>
    <w:rsid w:val="00DF47B2"/>
    <w:rsid w:val="00DF4B06"/>
    <w:rsid w:val="00DF534F"/>
    <w:rsid w:val="00DF6D24"/>
    <w:rsid w:val="00DF7D5B"/>
    <w:rsid w:val="00E00F4A"/>
    <w:rsid w:val="00E00F65"/>
    <w:rsid w:val="00E01017"/>
    <w:rsid w:val="00E01247"/>
    <w:rsid w:val="00E02EF7"/>
    <w:rsid w:val="00E030E8"/>
    <w:rsid w:val="00E03124"/>
    <w:rsid w:val="00E03785"/>
    <w:rsid w:val="00E03868"/>
    <w:rsid w:val="00E043A9"/>
    <w:rsid w:val="00E04698"/>
    <w:rsid w:val="00E04B2A"/>
    <w:rsid w:val="00E05751"/>
    <w:rsid w:val="00E05A86"/>
    <w:rsid w:val="00E06548"/>
    <w:rsid w:val="00E069E7"/>
    <w:rsid w:val="00E07016"/>
    <w:rsid w:val="00E078A8"/>
    <w:rsid w:val="00E10399"/>
    <w:rsid w:val="00E10669"/>
    <w:rsid w:val="00E10A9F"/>
    <w:rsid w:val="00E110A2"/>
    <w:rsid w:val="00E110C2"/>
    <w:rsid w:val="00E13C37"/>
    <w:rsid w:val="00E14058"/>
    <w:rsid w:val="00E14132"/>
    <w:rsid w:val="00E16A82"/>
    <w:rsid w:val="00E16E64"/>
    <w:rsid w:val="00E16E8C"/>
    <w:rsid w:val="00E17AF7"/>
    <w:rsid w:val="00E202E7"/>
    <w:rsid w:val="00E20330"/>
    <w:rsid w:val="00E204A4"/>
    <w:rsid w:val="00E2097D"/>
    <w:rsid w:val="00E228D0"/>
    <w:rsid w:val="00E23AE7"/>
    <w:rsid w:val="00E23E1B"/>
    <w:rsid w:val="00E248F5"/>
    <w:rsid w:val="00E24AF6"/>
    <w:rsid w:val="00E24ED9"/>
    <w:rsid w:val="00E250BF"/>
    <w:rsid w:val="00E25148"/>
    <w:rsid w:val="00E25EF5"/>
    <w:rsid w:val="00E276D2"/>
    <w:rsid w:val="00E30E5D"/>
    <w:rsid w:val="00E30F53"/>
    <w:rsid w:val="00E31457"/>
    <w:rsid w:val="00E32E97"/>
    <w:rsid w:val="00E33251"/>
    <w:rsid w:val="00E36EE9"/>
    <w:rsid w:val="00E3754C"/>
    <w:rsid w:val="00E40DF3"/>
    <w:rsid w:val="00E40F70"/>
    <w:rsid w:val="00E40FDB"/>
    <w:rsid w:val="00E410FA"/>
    <w:rsid w:val="00E4117E"/>
    <w:rsid w:val="00E41D86"/>
    <w:rsid w:val="00E41E4F"/>
    <w:rsid w:val="00E41E68"/>
    <w:rsid w:val="00E41ED1"/>
    <w:rsid w:val="00E42777"/>
    <w:rsid w:val="00E440F2"/>
    <w:rsid w:val="00E44125"/>
    <w:rsid w:val="00E44588"/>
    <w:rsid w:val="00E453EB"/>
    <w:rsid w:val="00E46B26"/>
    <w:rsid w:val="00E46E25"/>
    <w:rsid w:val="00E47001"/>
    <w:rsid w:val="00E5059D"/>
    <w:rsid w:val="00E50898"/>
    <w:rsid w:val="00E50E49"/>
    <w:rsid w:val="00E5111B"/>
    <w:rsid w:val="00E51916"/>
    <w:rsid w:val="00E52208"/>
    <w:rsid w:val="00E52A36"/>
    <w:rsid w:val="00E52C32"/>
    <w:rsid w:val="00E52D36"/>
    <w:rsid w:val="00E52EB2"/>
    <w:rsid w:val="00E53314"/>
    <w:rsid w:val="00E53334"/>
    <w:rsid w:val="00E53DBE"/>
    <w:rsid w:val="00E54170"/>
    <w:rsid w:val="00E541C6"/>
    <w:rsid w:val="00E55DE8"/>
    <w:rsid w:val="00E577BF"/>
    <w:rsid w:val="00E57817"/>
    <w:rsid w:val="00E6086E"/>
    <w:rsid w:val="00E60DDE"/>
    <w:rsid w:val="00E61007"/>
    <w:rsid w:val="00E619BB"/>
    <w:rsid w:val="00E62133"/>
    <w:rsid w:val="00E62420"/>
    <w:rsid w:val="00E6258A"/>
    <w:rsid w:val="00E628C2"/>
    <w:rsid w:val="00E638CF"/>
    <w:rsid w:val="00E63FB1"/>
    <w:rsid w:val="00E64402"/>
    <w:rsid w:val="00E646E2"/>
    <w:rsid w:val="00E64B88"/>
    <w:rsid w:val="00E64CCF"/>
    <w:rsid w:val="00E64DFA"/>
    <w:rsid w:val="00E654A1"/>
    <w:rsid w:val="00E65AA1"/>
    <w:rsid w:val="00E65C9D"/>
    <w:rsid w:val="00E65E90"/>
    <w:rsid w:val="00E65FBE"/>
    <w:rsid w:val="00E66605"/>
    <w:rsid w:val="00E66DA1"/>
    <w:rsid w:val="00E70235"/>
    <w:rsid w:val="00E7039B"/>
    <w:rsid w:val="00E70DEE"/>
    <w:rsid w:val="00E730EF"/>
    <w:rsid w:val="00E7334F"/>
    <w:rsid w:val="00E73819"/>
    <w:rsid w:val="00E74FCF"/>
    <w:rsid w:val="00E75725"/>
    <w:rsid w:val="00E75E92"/>
    <w:rsid w:val="00E76652"/>
    <w:rsid w:val="00E77647"/>
    <w:rsid w:val="00E81FBA"/>
    <w:rsid w:val="00E821A9"/>
    <w:rsid w:val="00E823D6"/>
    <w:rsid w:val="00E82A1C"/>
    <w:rsid w:val="00E84135"/>
    <w:rsid w:val="00E84508"/>
    <w:rsid w:val="00E8487C"/>
    <w:rsid w:val="00E854CC"/>
    <w:rsid w:val="00E85C36"/>
    <w:rsid w:val="00E860EA"/>
    <w:rsid w:val="00E86A61"/>
    <w:rsid w:val="00E86EC0"/>
    <w:rsid w:val="00E86FAB"/>
    <w:rsid w:val="00E877B6"/>
    <w:rsid w:val="00E908E5"/>
    <w:rsid w:val="00E90A5C"/>
    <w:rsid w:val="00E9128F"/>
    <w:rsid w:val="00E912D4"/>
    <w:rsid w:val="00E91A98"/>
    <w:rsid w:val="00E924C9"/>
    <w:rsid w:val="00E93070"/>
    <w:rsid w:val="00E93136"/>
    <w:rsid w:val="00E937F4"/>
    <w:rsid w:val="00E93D06"/>
    <w:rsid w:val="00E94133"/>
    <w:rsid w:val="00E9476D"/>
    <w:rsid w:val="00E9573F"/>
    <w:rsid w:val="00E95931"/>
    <w:rsid w:val="00E97B1A"/>
    <w:rsid w:val="00EA046F"/>
    <w:rsid w:val="00EA0D0D"/>
    <w:rsid w:val="00EA0E1D"/>
    <w:rsid w:val="00EA1B82"/>
    <w:rsid w:val="00EA1D4D"/>
    <w:rsid w:val="00EA250F"/>
    <w:rsid w:val="00EA42F0"/>
    <w:rsid w:val="00EA45DF"/>
    <w:rsid w:val="00EA48BB"/>
    <w:rsid w:val="00EA5728"/>
    <w:rsid w:val="00EA5933"/>
    <w:rsid w:val="00EA71F3"/>
    <w:rsid w:val="00EB0805"/>
    <w:rsid w:val="00EB0827"/>
    <w:rsid w:val="00EB229B"/>
    <w:rsid w:val="00EB277C"/>
    <w:rsid w:val="00EB2D72"/>
    <w:rsid w:val="00EB385F"/>
    <w:rsid w:val="00EB3979"/>
    <w:rsid w:val="00EB39DD"/>
    <w:rsid w:val="00EB3E7B"/>
    <w:rsid w:val="00EB4CB0"/>
    <w:rsid w:val="00EB5105"/>
    <w:rsid w:val="00EB5759"/>
    <w:rsid w:val="00EB5F57"/>
    <w:rsid w:val="00EB5F92"/>
    <w:rsid w:val="00EB7915"/>
    <w:rsid w:val="00EC0C65"/>
    <w:rsid w:val="00EC1D97"/>
    <w:rsid w:val="00EC2772"/>
    <w:rsid w:val="00EC328D"/>
    <w:rsid w:val="00EC4717"/>
    <w:rsid w:val="00EC6002"/>
    <w:rsid w:val="00EC6182"/>
    <w:rsid w:val="00EC64A6"/>
    <w:rsid w:val="00EC6678"/>
    <w:rsid w:val="00EC66FB"/>
    <w:rsid w:val="00EC6C13"/>
    <w:rsid w:val="00EC6CD2"/>
    <w:rsid w:val="00EC7B17"/>
    <w:rsid w:val="00EC7C8C"/>
    <w:rsid w:val="00ED0771"/>
    <w:rsid w:val="00ED1568"/>
    <w:rsid w:val="00ED180F"/>
    <w:rsid w:val="00ED2460"/>
    <w:rsid w:val="00ED337F"/>
    <w:rsid w:val="00ED35ED"/>
    <w:rsid w:val="00ED394E"/>
    <w:rsid w:val="00ED4D0D"/>
    <w:rsid w:val="00ED4FA0"/>
    <w:rsid w:val="00ED55A1"/>
    <w:rsid w:val="00ED6B60"/>
    <w:rsid w:val="00ED7639"/>
    <w:rsid w:val="00ED7A45"/>
    <w:rsid w:val="00EE00C7"/>
    <w:rsid w:val="00EE07E6"/>
    <w:rsid w:val="00EE2923"/>
    <w:rsid w:val="00EE2B95"/>
    <w:rsid w:val="00EE32B4"/>
    <w:rsid w:val="00EE331E"/>
    <w:rsid w:val="00EE36F1"/>
    <w:rsid w:val="00EE5606"/>
    <w:rsid w:val="00EE69DB"/>
    <w:rsid w:val="00EE6A0D"/>
    <w:rsid w:val="00EE75B7"/>
    <w:rsid w:val="00EF033A"/>
    <w:rsid w:val="00EF0758"/>
    <w:rsid w:val="00EF1D7D"/>
    <w:rsid w:val="00EF2180"/>
    <w:rsid w:val="00EF2B92"/>
    <w:rsid w:val="00EF2C1F"/>
    <w:rsid w:val="00EF2C3B"/>
    <w:rsid w:val="00EF2C84"/>
    <w:rsid w:val="00EF381B"/>
    <w:rsid w:val="00EF385A"/>
    <w:rsid w:val="00EF3A10"/>
    <w:rsid w:val="00EF48D7"/>
    <w:rsid w:val="00EF4E21"/>
    <w:rsid w:val="00EF4EF5"/>
    <w:rsid w:val="00EF63A3"/>
    <w:rsid w:val="00EF672B"/>
    <w:rsid w:val="00EF7E5A"/>
    <w:rsid w:val="00F00BE1"/>
    <w:rsid w:val="00F022A8"/>
    <w:rsid w:val="00F03180"/>
    <w:rsid w:val="00F04DF6"/>
    <w:rsid w:val="00F04E4F"/>
    <w:rsid w:val="00F054D7"/>
    <w:rsid w:val="00F0574C"/>
    <w:rsid w:val="00F06213"/>
    <w:rsid w:val="00F067AE"/>
    <w:rsid w:val="00F06D2F"/>
    <w:rsid w:val="00F06ED0"/>
    <w:rsid w:val="00F11B56"/>
    <w:rsid w:val="00F11C9F"/>
    <w:rsid w:val="00F13BF8"/>
    <w:rsid w:val="00F141DD"/>
    <w:rsid w:val="00F14BD9"/>
    <w:rsid w:val="00F14DC0"/>
    <w:rsid w:val="00F14E7B"/>
    <w:rsid w:val="00F15978"/>
    <w:rsid w:val="00F16E25"/>
    <w:rsid w:val="00F1704A"/>
    <w:rsid w:val="00F178A7"/>
    <w:rsid w:val="00F202E3"/>
    <w:rsid w:val="00F20329"/>
    <w:rsid w:val="00F2082D"/>
    <w:rsid w:val="00F208D6"/>
    <w:rsid w:val="00F20F68"/>
    <w:rsid w:val="00F22081"/>
    <w:rsid w:val="00F23455"/>
    <w:rsid w:val="00F24413"/>
    <w:rsid w:val="00F24D22"/>
    <w:rsid w:val="00F24D58"/>
    <w:rsid w:val="00F2557A"/>
    <w:rsid w:val="00F255B5"/>
    <w:rsid w:val="00F2577D"/>
    <w:rsid w:val="00F265F6"/>
    <w:rsid w:val="00F26FAB"/>
    <w:rsid w:val="00F27701"/>
    <w:rsid w:val="00F30DFE"/>
    <w:rsid w:val="00F30F44"/>
    <w:rsid w:val="00F31774"/>
    <w:rsid w:val="00F3177B"/>
    <w:rsid w:val="00F31AC2"/>
    <w:rsid w:val="00F33D7A"/>
    <w:rsid w:val="00F349BC"/>
    <w:rsid w:val="00F349DC"/>
    <w:rsid w:val="00F353FE"/>
    <w:rsid w:val="00F35543"/>
    <w:rsid w:val="00F3584E"/>
    <w:rsid w:val="00F359F0"/>
    <w:rsid w:val="00F35ED2"/>
    <w:rsid w:val="00F35EE8"/>
    <w:rsid w:val="00F36822"/>
    <w:rsid w:val="00F36A16"/>
    <w:rsid w:val="00F36A63"/>
    <w:rsid w:val="00F37067"/>
    <w:rsid w:val="00F37519"/>
    <w:rsid w:val="00F40944"/>
    <w:rsid w:val="00F411B6"/>
    <w:rsid w:val="00F418B4"/>
    <w:rsid w:val="00F4386B"/>
    <w:rsid w:val="00F43CE7"/>
    <w:rsid w:val="00F447FF"/>
    <w:rsid w:val="00F4483A"/>
    <w:rsid w:val="00F44BEC"/>
    <w:rsid w:val="00F46C3B"/>
    <w:rsid w:val="00F46D64"/>
    <w:rsid w:val="00F46E0B"/>
    <w:rsid w:val="00F51151"/>
    <w:rsid w:val="00F517CA"/>
    <w:rsid w:val="00F51DFD"/>
    <w:rsid w:val="00F51F62"/>
    <w:rsid w:val="00F52732"/>
    <w:rsid w:val="00F537D5"/>
    <w:rsid w:val="00F5415C"/>
    <w:rsid w:val="00F57374"/>
    <w:rsid w:val="00F5774B"/>
    <w:rsid w:val="00F57FE1"/>
    <w:rsid w:val="00F603EA"/>
    <w:rsid w:val="00F6047B"/>
    <w:rsid w:val="00F60D5C"/>
    <w:rsid w:val="00F61196"/>
    <w:rsid w:val="00F6159A"/>
    <w:rsid w:val="00F616B9"/>
    <w:rsid w:val="00F61FC9"/>
    <w:rsid w:val="00F62B4E"/>
    <w:rsid w:val="00F62E21"/>
    <w:rsid w:val="00F62EE1"/>
    <w:rsid w:val="00F62F70"/>
    <w:rsid w:val="00F6557E"/>
    <w:rsid w:val="00F65D57"/>
    <w:rsid w:val="00F65E61"/>
    <w:rsid w:val="00F663CD"/>
    <w:rsid w:val="00F66DF7"/>
    <w:rsid w:val="00F674CB"/>
    <w:rsid w:val="00F67D0D"/>
    <w:rsid w:val="00F67D86"/>
    <w:rsid w:val="00F71020"/>
    <w:rsid w:val="00F71DB7"/>
    <w:rsid w:val="00F71E74"/>
    <w:rsid w:val="00F71E95"/>
    <w:rsid w:val="00F72997"/>
    <w:rsid w:val="00F72BF6"/>
    <w:rsid w:val="00F73205"/>
    <w:rsid w:val="00F744D9"/>
    <w:rsid w:val="00F747EC"/>
    <w:rsid w:val="00F74B97"/>
    <w:rsid w:val="00F74DA8"/>
    <w:rsid w:val="00F75A08"/>
    <w:rsid w:val="00F75C55"/>
    <w:rsid w:val="00F7671F"/>
    <w:rsid w:val="00F76D02"/>
    <w:rsid w:val="00F76FA5"/>
    <w:rsid w:val="00F779CF"/>
    <w:rsid w:val="00F77A14"/>
    <w:rsid w:val="00F8113A"/>
    <w:rsid w:val="00F813ED"/>
    <w:rsid w:val="00F824FE"/>
    <w:rsid w:val="00F84E6E"/>
    <w:rsid w:val="00F857A6"/>
    <w:rsid w:val="00F85DED"/>
    <w:rsid w:val="00F869A4"/>
    <w:rsid w:val="00F8783D"/>
    <w:rsid w:val="00F87955"/>
    <w:rsid w:val="00F90E6A"/>
    <w:rsid w:val="00F933D0"/>
    <w:rsid w:val="00F9342E"/>
    <w:rsid w:val="00F94210"/>
    <w:rsid w:val="00F94DFE"/>
    <w:rsid w:val="00F95AAC"/>
    <w:rsid w:val="00F96C34"/>
    <w:rsid w:val="00F976D2"/>
    <w:rsid w:val="00F978E2"/>
    <w:rsid w:val="00FA1004"/>
    <w:rsid w:val="00FA13BE"/>
    <w:rsid w:val="00FA192C"/>
    <w:rsid w:val="00FA1B55"/>
    <w:rsid w:val="00FA2534"/>
    <w:rsid w:val="00FA2761"/>
    <w:rsid w:val="00FA3AD3"/>
    <w:rsid w:val="00FA3B10"/>
    <w:rsid w:val="00FA4279"/>
    <w:rsid w:val="00FA4AA2"/>
    <w:rsid w:val="00FA4F0D"/>
    <w:rsid w:val="00FA506A"/>
    <w:rsid w:val="00FA60A9"/>
    <w:rsid w:val="00FA6A8D"/>
    <w:rsid w:val="00FA6E81"/>
    <w:rsid w:val="00FA7747"/>
    <w:rsid w:val="00FA7893"/>
    <w:rsid w:val="00FA7EE5"/>
    <w:rsid w:val="00FB030A"/>
    <w:rsid w:val="00FB03A4"/>
    <w:rsid w:val="00FB0B0F"/>
    <w:rsid w:val="00FB0B52"/>
    <w:rsid w:val="00FB2776"/>
    <w:rsid w:val="00FB27A4"/>
    <w:rsid w:val="00FB2CF5"/>
    <w:rsid w:val="00FB3896"/>
    <w:rsid w:val="00FB3ABB"/>
    <w:rsid w:val="00FB3E82"/>
    <w:rsid w:val="00FB442C"/>
    <w:rsid w:val="00FB4CFD"/>
    <w:rsid w:val="00FB502A"/>
    <w:rsid w:val="00FB52C3"/>
    <w:rsid w:val="00FB56C4"/>
    <w:rsid w:val="00FB5FFB"/>
    <w:rsid w:val="00FB7418"/>
    <w:rsid w:val="00FB79CE"/>
    <w:rsid w:val="00FC1434"/>
    <w:rsid w:val="00FC15EF"/>
    <w:rsid w:val="00FC1DC5"/>
    <w:rsid w:val="00FC22D1"/>
    <w:rsid w:val="00FC39BF"/>
    <w:rsid w:val="00FC4A70"/>
    <w:rsid w:val="00FC58E2"/>
    <w:rsid w:val="00FC5BDA"/>
    <w:rsid w:val="00FC5C72"/>
    <w:rsid w:val="00FC5E3C"/>
    <w:rsid w:val="00FC5F6D"/>
    <w:rsid w:val="00FC651D"/>
    <w:rsid w:val="00FD2918"/>
    <w:rsid w:val="00FD2AE7"/>
    <w:rsid w:val="00FD3559"/>
    <w:rsid w:val="00FD3F5D"/>
    <w:rsid w:val="00FD4D9C"/>
    <w:rsid w:val="00FD5E76"/>
    <w:rsid w:val="00FD631E"/>
    <w:rsid w:val="00FD7124"/>
    <w:rsid w:val="00FE05B2"/>
    <w:rsid w:val="00FE080D"/>
    <w:rsid w:val="00FE0837"/>
    <w:rsid w:val="00FE0B0A"/>
    <w:rsid w:val="00FE0CB5"/>
    <w:rsid w:val="00FE11F8"/>
    <w:rsid w:val="00FE1D86"/>
    <w:rsid w:val="00FE223A"/>
    <w:rsid w:val="00FE270D"/>
    <w:rsid w:val="00FE385C"/>
    <w:rsid w:val="00FE5B9A"/>
    <w:rsid w:val="00FE5C35"/>
    <w:rsid w:val="00FE7310"/>
    <w:rsid w:val="00FE73A9"/>
    <w:rsid w:val="00FE7B95"/>
    <w:rsid w:val="00FF0440"/>
    <w:rsid w:val="00FF11FF"/>
    <w:rsid w:val="00FF2074"/>
    <w:rsid w:val="00FF34A6"/>
    <w:rsid w:val="00FF3814"/>
    <w:rsid w:val="00FF3B92"/>
    <w:rsid w:val="00FF61D2"/>
    <w:rsid w:val="00FF770C"/>
    <w:rsid w:val="00FF7821"/>
    <w:rsid w:val="01BD69F5"/>
    <w:rsid w:val="03742A96"/>
    <w:rsid w:val="04771426"/>
    <w:rsid w:val="0AC37C4A"/>
    <w:rsid w:val="11703D9A"/>
    <w:rsid w:val="136160DB"/>
    <w:rsid w:val="16514642"/>
    <w:rsid w:val="181B323A"/>
    <w:rsid w:val="19CF7EC7"/>
    <w:rsid w:val="1A74574E"/>
    <w:rsid w:val="1BD62991"/>
    <w:rsid w:val="1C3B4E84"/>
    <w:rsid w:val="1F667120"/>
    <w:rsid w:val="244A26C1"/>
    <w:rsid w:val="26116A85"/>
    <w:rsid w:val="291340A6"/>
    <w:rsid w:val="2B012A96"/>
    <w:rsid w:val="2B8E18FB"/>
    <w:rsid w:val="2E3A48DB"/>
    <w:rsid w:val="31F95A71"/>
    <w:rsid w:val="342E16F8"/>
    <w:rsid w:val="35A04BF2"/>
    <w:rsid w:val="379E5F58"/>
    <w:rsid w:val="380F35AB"/>
    <w:rsid w:val="3AC00EBE"/>
    <w:rsid w:val="3B0A349F"/>
    <w:rsid w:val="3B764D5A"/>
    <w:rsid w:val="3C4A224C"/>
    <w:rsid w:val="3E737B76"/>
    <w:rsid w:val="40E337E7"/>
    <w:rsid w:val="433877FC"/>
    <w:rsid w:val="4444483E"/>
    <w:rsid w:val="451A3280"/>
    <w:rsid w:val="486E2FA3"/>
    <w:rsid w:val="4A7E1F11"/>
    <w:rsid w:val="4CEE6B82"/>
    <w:rsid w:val="4CF94946"/>
    <w:rsid w:val="4D6530E1"/>
    <w:rsid w:val="4F276CC1"/>
    <w:rsid w:val="50F44A83"/>
    <w:rsid w:val="52F26410"/>
    <w:rsid w:val="536265B2"/>
    <w:rsid w:val="552F1F28"/>
    <w:rsid w:val="55A76056"/>
    <w:rsid w:val="59F46138"/>
    <w:rsid w:val="5DFC641A"/>
    <w:rsid w:val="60925919"/>
    <w:rsid w:val="63CB5B5A"/>
    <w:rsid w:val="641669DB"/>
    <w:rsid w:val="661C12B6"/>
    <w:rsid w:val="66704B8C"/>
    <w:rsid w:val="67CA4271"/>
    <w:rsid w:val="6A1F0328"/>
    <w:rsid w:val="6C454248"/>
    <w:rsid w:val="72D4122C"/>
    <w:rsid w:val="774F2190"/>
    <w:rsid w:val="777D52A8"/>
    <w:rsid w:val="796746E5"/>
    <w:rsid w:val="7BB54983"/>
    <w:rsid w:val="7E932D04"/>
    <w:rsid w:val="7F285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12" w:lineRule="auto"/>
      <w:ind w:firstLine="476"/>
    </w:pPr>
    <w:rPr>
      <w:rFonts w:ascii="Times New Roman" w:hAnsi="Times New Roman" w:eastAsia="宋体" w:cs="Times New Roman"/>
      <w:spacing w:val="-5"/>
      <w:sz w:val="24"/>
      <w:lang w:val="en-US" w:eastAsia="zh-CN" w:bidi="ar-SA"/>
    </w:rPr>
  </w:style>
  <w:style w:type="paragraph" w:styleId="2">
    <w:name w:val="heading 1"/>
    <w:basedOn w:val="3"/>
    <w:next w:val="1"/>
    <w:qFormat/>
    <w:uiPriority w:val="0"/>
    <w:pPr>
      <w:spacing w:after="40" w:line="360" w:lineRule="auto"/>
      <w:ind w:firstLine="0"/>
      <w:outlineLvl w:val="0"/>
    </w:pPr>
    <w:rPr>
      <w:rFonts w:ascii="Times New Roman" w:hAnsi="Times New Roman"/>
      <w:b/>
      <w:sz w:val="32"/>
    </w:rPr>
  </w:style>
  <w:style w:type="paragraph" w:styleId="5">
    <w:name w:val="heading 2"/>
    <w:basedOn w:val="3"/>
    <w:next w:val="1"/>
    <w:qFormat/>
    <w:uiPriority w:val="0"/>
    <w:pPr>
      <w:spacing w:line="360" w:lineRule="auto"/>
      <w:ind w:firstLine="0"/>
      <w:outlineLvl w:val="1"/>
    </w:pPr>
    <w:rPr>
      <w:rFonts w:ascii="Times New Roman" w:hAnsi="Times New Roman"/>
      <w:b/>
    </w:rPr>
  </w:style>
  <w:style w:type="paragraph" w:styleId="6">
    <w:name w:val="heading 3"/>
    <w:basedOn w:val="3"/>
    <w:next w:val="1"/>
    <w:qFormat/>
    <w:uiPriority w:val="0"/>
    <w:pPr>
      <w:spacing w:line="360" w:lineRule="auto"/>
      <w:ind w:firstLine="0"/>
      <w:outlineLvl w:val="2"/>
    </w:pPr>
    <w:rPr>
      <w:rFonts w:ascii="Times New Roman" w:hAnsi="Times New Roman" w:eastAsia="黑体"/>
      <w:spacing w:val="-5"/>
      <w:sz w:val="28"/>
    </w:rPr>
  </w:style>
  <w:style w:type="paragraph" w:styleId="7">
    <w:name w:val="heading 4"/>
    <w:basedOn w:val="3"/>
    <w:next w:val="1"/>
    <w:link w:val="48"/>
    <w:qFormat/>
    <w:uiPriority w:val="0"/>
    <w:pPr>
      <w:spacing w:line="360" w:lineRule="auto"/>
      <w:ind w:firstLine="0"/>
      <w:outlineLvl w:val="3"/>
    </w:pPr>
    <w:rPr>
      <w:rFonts w:ascii="Times New Roman" w:hAnsi="Times New Roman" w:eastAsia="黑体"/>
      <w:spacing w:val="-2"/>
      <w:sz w:val="24"/>
    </w:rPr>
  </w:style>
  <w:style w:type="paragraph" w:styleId="8">
    <w:name w:val="heading 5"/>
    <w:basedOn w:val="3"/>
    <w:next w:val="1"/>
    <w:qFormat/>
    <w:uiPriority w:val="0"/>
    <w:pPr>
      <w:spacing w:line="360" w:lineRule="auto"/>
      <w:ind w:firstLine="0"/>
      <w:outlineLvl w:val="4"/>
    </w:pPr>
    <w:rPr>
      <w:rFonts w:ascii="Times New Roman" w:hAnsi="Times New Roman" w:eastAsia="黑体"/>
      <w:spacing w:val="-2"/>
      <w:sz w:val="24"/>
    </w:rPr>
  </w:style>
  <w:style w:type="paragraph" w:styleId="9">
    <w:name w:val="heading 6"/>
    <w:basedOn w:val="3"/>
    <w:next w:val="1"/>
    <w:qFormat/>
    <w:uiPriority w:val="0"/>
    <w:pPr>
      <w:spacing w:line="360" w:lineRule="auto"/>
      <w:ind w:firstLine="0"/>
      <w:outlineLvl w:val="5"/>
    </w:pPr>
    <w:rPr>
      <w:rFonts w:ascii="Times New Roman" w:hAnsi="Times New Roman" w:eastAsia="黑体"/>
      <w:spacing w:val="-4"/>
      <w:sz w:val="24"/>
    </w:rPr>
  </w:style>
  <w:style w:type="paragraph" w:styleId="10">
    <w:name w:val="heading 7"/>
    <w:basedOn w:val="3"/>
    <w:next w:val="1"/>
    <w:qFormat/>
    <w:uiPriority w:val="0"/>
    <w:pPr>
      <w:spacing w:line="360" w:lineRule="auto"/>
      <w:ind w:firstLine="0"/>
      <w:outlineLvl w:val="6"/>
    </w:pPr>
    <w:rPr>
      <w:rFonts w:ascii="Times New Roman" w:hAnsi="Times New Roman" w:eastAsia="黑体"/>
      <w:spacing w:val="-4"/>
      <w:sz w:val="24"/>
    </w:rPr>
  </w:style>
  <w:style w:type="paragraph" w:styleId="11">
    <w:name w:val="heading 8"/>
    <w:basedOn w:val="3"/>
    <w:next w:val="1"/>
    <w:qFormat/>
    <w:uiPriority w:val="0"/>
    <w:pPr>
      <w:spacing w:line="360" w:lineRule="auto"/>
      <w:ind w:firstLine="0"/>
      <w:outlineLvl w:val="7"/>
    </w:pPr>
    <w:rPr>
      <w:rFonts w:ascii="Times New Roman" w:hAnsi="Times New Roman" w:eastAsia="黑体"/>
      <w:spacing w:val="-4"/>
      <w:sz w:val="24"/>
    </w:rPr>
  </w:style>
  <w:style w:type="paragraph" w:styleId="12">
    <w:name w:val="heading 9"/>
    <w:basedOn w:val="3"/>
    <w:next w:val="1"/>
    <w:qFormat/>
    <w:uiPriority w:val="0"/>
    <w:pPr>
      <w:spacing w:line="360" w:lineRule="auto"/>
      <w:ind w:firstLine="0"/>
      <w:outlineLvl w:val="8"/>
    </w:pPr>
    <w:rPr>
      <w:rFonts w:ascii="Times New Roman" w:hAnsi="Times New Roman" w:eastAsia="黑体"/>
      <w:spacing w:val="-4"/>
      <w:sz w:val="24"/>
    </w:rPr>
  </w:style>
  <w:style w:type="character" w:default="1" w:styleId="40">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customStyle="1" w:styleId="3">
    <w:name w:val="基准标题"/>
    <w:basedOn w:val="4"/>
    <w:next w:val="4"/>
    <w:qFormat/>
    <w:uiPriority w:val="0"/>
    <w:pPr>
      <w:keepNext/>
      <w:keepLines/>
      <w:spacing w:after="0"/>
      <w:jc w:val="left"/>
    </w:pPr>
    <w:rPr>
      <w:rFonts w:ascii="Arial Black" w:hAnsi="Arial Black"/>
      <w:spacing w:val="-10"/>
      <w:kern w:val="28"/>
    </w:rPr>
  </w:style>
  <w:style w:type="paragraph" w:styleId="4">
    <w:name w:val="Body Text"/>
    <w:basedOn w:val="1"/>
    <w:link w:val="97"/>
    <w:qFormat/>
    <w:uiPriority w:val="0"/>
    <w:pPr>
      <w:spacing w:after="220" w:line="180" w:lineRule="atLeast"/>
      <w:jc w:val="center"/>
    </w:pPr>
    <w:rPr>
      <w:sz w:val="30"/>
    </w:rPr>
  </w:style>
  <w:style w:type="paragraph" w:styleId="13">
    <w:name w:val="Normal Indent"/>
    <w:basedOn w:val="1"/>
    <w:link w:val="90"/>
    <w:qFormat/>
    <w:uiPriority w:val="0"/>
    <w:pPr>
      <w:widowControl w:val="0"/>
      <w:spacing w:line="240" w:lineRule="auto"/>
      <w:ind w:firstLine="560" w:firstLineChars="200"/>
      <w:jc w:val="both"/>
    </w:pPr>
    <w:rPr>
      <w:rFonts w:ascii="仿宋_GB2312" w:eastAsia="仿宋_GB2312"/>
      <w:spacing w:val="0"/>
      <w:kern w:val="2"/>
      <w:sz w:val="28"/>
    </w:rPr>
  </w:style>
  <w:style w:type="paragraph" w:styleId="14">
    <w:name w:val="caption"/>
    <w:basedOn w:val="15"/>
    <w:next w:val="4"/>
    <w:qFormat/>
    <w:uiPriority w:val="0"/>
    <w:pPr>
      <w:spacing w:line="220" w:lineRule="atLeast"/>
    </w:pPr>
    <w:rPr>
      <w:i/>
      <w:sz w:val="18"/>
    </w:rPr>
  </w:style>
  <w:style w:type="paragraph" w:customStyle="1" w:styleId="15">
    <w:name w:val="图片"/>
    <w:basedOn w:val="1"/>
    <w:next w:val="14"/>
    <w:qFormat/>
    <w:uiPriority w:val="0"/>
    <w:pPr>
      <w:keepNext/>
    </w:pPr>
  </w:style>
  <w:style w:type="paragraph" w:styleId="16">
    <w:name w:val="Document Map"/>
    <w:basedOn w:val="1"/>
    <w:semiHidden/>
    <w:qFormat/>
    <w:uiPriority w:val="0"/>
    <w:pPr>
      <w:shd w:val="clear" w:color="auto" w:fill="000080"/>
    </w:pPr>
  </w:style>
  <w:style w:type="paragraph" w:styleId="17">
    <w:name w:val="annotation text"/>
    <w:basedOn w:val="1"/>
    <w:link w:val="99"/>
    <w:qFormat/>
    <w:uiPriority w:val="0"/>
    <w:rPr>
      <w:sz w:val="21"/>
    </w:rPr>
  </w:style>
  <w:style w:type="paragraph" w:styleId="18">
    <w:name w:val="Body Text Indent"/>
    <w:basedOn w:val="1"/>
    <w:link w:val="101"/>
    <w:qFormat/>
    <w:uiPriority w:val="0"/>
    <w:pPr>
      <w:widowControl w:val="0"/>
      <w:spacing w:after="120" w:line="240" w:lineRule="auto"/>
      <w:ind w:left="420" w:leftChars="200" w:firstLine="0"/>
      <w:jc w:val="both"/>
    </w:pPr>
    <w:rPr>
      <w:spacing w:val="0"/>
      <w:kern w:val="2"/>
      <w:sz w:val="21"/>
      <w:szCs w:val="24"/>
    </w:rPr>
  </w:style>
  <w:style w:type="paragraph" w:styleId="19">
    <w:name w:val="toc 3"/>
    <w:basedOn w:val="1"/>
    <w:next w:val="1"/>
    <w:qFormat/>
    <w:uiPriority w:val="39"/>
    <w:pPr>
      <w:spacing w:after="40"/>
      <w:ind w:left="839"/>
    </w:pPr>
  </w:style>
  <w:style w:type="paragraph" w:styleId="20">
    <w:name w:val="Plain Text"/>
    <w:basedOn w:val="1"/>
    <w:link w:val="82"/>
    <w:qFormat/>
    <w:uiPriority w:val="0"/>
    <w:pPr>
      <w:spacing w:before="100" w:beforeAutospacing="1" w:after="100" w:afterAutospacing="1" w:line="240" w:lineRule="auto"/>
      <w:ind w:firstLine="0"/>
      <w:jc w:val="both"/>
    </w:pPr>
    <w:rPr>
      <w:rFonts w:ascii="宋体" w:hAnsi="宋体"/>
      <w:spacing w:val="0"/>
      <w:sz w:val="21"/>
      <w:szCs w:val="21"/>
    </w:rPr>
  </w:style>
  <w:style w:type="paragraph" w:styleId="21">
    <w:name w:val="Date"/>
    <w:basedOn w:val="4"/>
    <w:next w:val="1"/>
    <w:qFormat/>
    <w:uiPriority w:val="0"/>
    <w:pPr>
      <w:spacing w:after="0"/>
      <w:jc w:val="left"/>
    </w:pPr>
  </w:style>
  <w:style w:type="paragraph" w:styleId="22">
    <w:name w:val="Body Text Indent 2"/>
    <w:basedOn w:val="1"/>
    <w:qFormat/>
    <w:uiPriority w:val="0"/>
    <w:pPr>
      <w:widowControl w:val="0"/>
      <w:spacing w:line="360" w:lineRule="auto"/>
      <w:ind w:firstLine="200" w:firstLineChars="200"/>
      <w:jc w:val="both"/>
    </w:pPr>
    <w:rPr>
      <w:spacing w:val="0"/>
      <w:kern w:val="2"/>
      <w:szCs w:val="24"/>
    </w:rPr>
  </w:style>
  <w:style w:type="paragraph" w:styleId="23">
    <w:name w:val="endnote text"/>
    <w:basedOn w:val="24"/>
    <w:qFormat/>
    <w:uiPriority w:val="0"/>
  </w:style>
  <w:style w:type="paragraph" w:customStyle="1" w:styleId="24">
    <w:name w:val="基准页脚样式"/>
    <w:basedOn w:val="4"/>
    <w:link w:val="98"/>
    <w:qFormat/>
    <w:uiPriority w:val="0"/>
    <w:pPr>
      <w:keepLines/>
      <w:spacing w:line="200" w:lineRule="atLeast"/>
    </w:pPr>
    <w:rPr>
      <w:sz w:val="16"/>
    </w:rPr>
  </w:style>
  <w:style w:type="paragraph" w:styleId="25">
    <w:name w:val="Balloon Text"/>
    <w:basedOn w:val="1"/>
    <w:link w:val="84"/>
    <w:qFormat/>
    <w:uiPriority w:val="0"/>
    <w:pPr>
      <w:spacing w:line="240" w:lineRule="auto"/>
    </w:pPr>
    <w:rPr>
      <w:sz w:val="18"/>
      <w:szCs w:val="18"/>
    </w:rPr>
  </w:style>
  <w:style w:type="paragraph" w:styleId="26">
    <w:name w:val="footer"/>
    <w:basedOn w:val="1"/>
    <w:link w:val="93"/>
    <w:qFormat/>
    <w:uiPriority w:val="99"/>
    <w:pPr>
      <w:tabs>
        <w:tab w:val="center" w:pos="4320"/>
        <w:tab w:val="right" w:pos="8640"/>
      </w:tabs>
      <w:spacing w:before="600"/>
    </w:pPr>
    <w:rPr>
      <w:sz w:val="18"/>
    </w:rPr>
  </w:style>
  <w:style w:type="paragraph" w:styleId="27">
    <w:name w:val="header"/>
    <w:basedOn w:val="28"/>
    <w:link w:val="94"/>
    <w:qFormat/>
    <w:uiPriority w:val="99"/>
    <w:pPr>
      <w:pBdr>
        <w:bottom w:val="single" w:color="auto" w:sz="4" w:space="1"/>
      </w:pBdr>
      <w:tabs>
        <w:tab w:val="center" w:pos="4320"/>
        <w:tab w:val="right" w:pos="8640"/>
      </w:tabs>
      <w:spacing w:after="600"/>
    </w:pPr>
    <w:rPr>
      <w:sz w:val="21"/>
    </w:rPr>
  </w:style>
  <w:style w:type="paragraph" w:customStyle="1" w:styleId="28">
    <w:name w:val="基准页眉样式"/>
    <w:basedOn w:val="4"/>
    <w:qFormat/>
    <w:uiPriority w:val="0"/>
    <w:pPr>
      <w:keepLines/>
      <w:tabs>
        <w:tab w:val="center" w:pos="4320"/>
        <w:tab w:val="right" w:pos="8640"/>
      </w:tabs>
      <w:spacing w:after="0"/>
    </w:pPr>
  </w:style>
  <w:style w:type="paragraph" w:styleId="29">
    <w:name w:val="toc 1"/>
    <w:basedOn w:val="1"/>
    <w:next w:val="1"/>
    <w:qFormat/>
    <w:uiPriority w:val="39"/>
    <w:pPr>
      <w:tabs>
        <w:tab w:val="right" w:leader="dot" w:pos="8305"/>
      </w:tabs>
      <w:spacing w:line="360" w:lineRule="auto"/>
      <w:ind w:firstLine="0"/>
    </w:pPr>
  </w:style>
  <w:style w:type="paragraph" w:styleId="30">
    <w:name w:val="toc 4"/>
    <w:basedOn w:val="1"/>
    <w:next w:val="1"/>
    <w:semiHidden/>
    <w:qFormat/>
    <w:uiPriority w:val="0"/>
    <w:pPr>
      <w:spacing w:after="40"/>
      <w:ind w:left="1259"/>
    </w:pPr>
  </w:style>
  <w:style w:type="paragraph" w:styleId="31">
    <w:name w:val="footnote text"/>
    <w:basedOn w:val="24"/>
    <w:semiHidden/>
    <w:qFormat/>
    <w:uiPriority w:val="0"/>
  </w:style>
  <w:style w:type="paragraph" w:styleId="32">
    <w:name w:val="Body Text Indent 3"/>
    <w:basedOn w:val="1"/>
    <w:qFormat/>
    <w:uiPriority w:val="0"/>
    <w:pPr>
      <w:widowControl w:val="0"/>
      <w:ind w:firstLine="200" w:firstLineChars="200"/>
      <w:jc w:val="both"/>
    </w:pPr>
    <w:rPr>
      <w:szCs w:val="16"/>
    </w:rPr>
  </w:style>
  <w:style w:type="paragraph" w:styleId="33">
    <w:name w:val="toc 2"/>
    <w:basedOn w:val="1"/>
    <w:next w:val="1"/>
    <w:qFormat/>
    <w:uiPriority w:val="39"/>
    <w:pPr>
      <w:spacing w:after="40" w:line="240" w:lineRule="auto"/>
      <w:ind w:firstLine="0"/>
    </w:pPr>
  </w:style>
  <w:style w:type="paragraph" w:styleId="34">
    <w:name w:val="Normal (Web)"/>
    <w:basedOn w:val="1"/>
    <w:unhideWhenUsed/>
    <w:qFormat/>
    <w:uiPriority w:val="99"/>
    <w:pPr>
      <w:spacing w:before="100" w:beforeAutospacing="1" w:after="100" w:afterAutospacing="1" w:line="240" w:lineRule="auto"/>
      <w:ind w:firstLine="0"/>
    </w:pPr>
    <w:rPr>
      <w:rFonts w:ascii="宋体" w:hAnsi="宋体" w:cs="宋体"/>
      <w:spacing w:val="0"/>
      <w:szCs w:val="24"/>
    </w:rPr>
  </w:style>
  <w:style w:type="paragraph" w:styleId="35">
    <w:name w:val="annotation subject"/>
    <w:basedOn w:val="17"/>
    <w:next w:val="17"/>
    <w:link w:val="100"/>
    <w:qFormat/>
    <w:uiPriority w:val="0"/>
    <w:rPr>
      <w:b/>
      <w:bCs/>
      <w:sz w:val="24"/>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8">
    <w:name w:val="Table Theme"/>
    <w:basedOn w:val="36"/>
    <w:qFormat/>
    <w:uiPriority w:val="0"/>
    <w:pPr>
      <w:spacing w:line="312" w:lineRule="auto"/>
      <w:ind w:firstLine="476"/>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9">
    <w:name w:val="Table Simple 1"/>
    <w:basedOn w:val="36"/>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character" w:styleId="41">
    <w:name w:val="Strong"/>
    <w:qFormat/>
    <w:uiPriority w:val="22"/>
    <w:rPr>
      <w:b/>
      <w:bCs/>
    </w:rPr>
  </w:style>
  <w:style w:type="character" w:styleId="42">
    <w:name w:val="endnote reference"/>
    <w:semiHidden/>
    <w:qFormat/>
    <w:uiPriority w:val="0"/>
    <w:rPr>
      <w:vertAlign w:val="superscript"/>
    </w:rPr>
  </w:style>
  <w:style w:type="character" w:styleId="43">
    <w:name w:val="page number"/>
    <w:qFormat/>
    <w:uiPriority w:val="0"/>
    <w:rPr>
      <w:sz w:val="18"/>
    </w:rPr>
  </w:style>
  <w:style w:type="character" w:styleId="44">
    <w:name w:val="FollowedHyperlink"/>
    <w:qFormat/>
    <w:uiPriority w:val="0"/>
    <w:rPr>
      <w:color w:val="800080"/>
      <w:u w:val="single"/>
    </w:rPr>
  </w:style>
  <w:style w:type="character" w:styleId="45">
    <w:name w:val="Hyperlink"/>
    <w:qFormat/>
    <w:uiPriority w:val="99"/>
    <w:rPr>
      <w:color w:val="0000FF"/>
      <w:u w:val="single"/>
    </w:rPr>
  </w:style>
  <w:style w:type="character" w:styleId="46">
    <w:name w:val="annotation reference"/>
    <w:qFormat/>
    <w:uiPriority w:val="0"/>
    <w:rPr>
      <w:sz w:val="16"/>
    </w:rPr>
  </w:style>
  <w:style w:type="character" w:styleId="47">
    <w:name w:val="footnote reference"/>
    <w:semiHidden/>
    <w:qFormat/>
    <w:uiPriority w:val="0"/>
    <w:rPr>
      <w:vertAlign w:val="superscript"/>
    </w:rPr>
  </w:style>
  <w:style w:type="character" w:customStyle="1" w:styleId="48">
    <w:name w:val="标题 4 Char"/>
    <w:link w:val="7"/>
    <w:qFormat/>
    <w:uiPriority w:val="0"/>
    <w:rPr>
      <w:rFonts w:eastAsia="黑体"/>
      <w:spacing w:val="-2"/>
      <w:kern w:val="28"/>
      <w:sz w:val="24"/>
    </w:rPr>
  </w:style>
  <w:style w:type="paragraph" w:customStyle="1" w:styleId="49">
    <w:name w:val="表标题"/>
    <w:basedOn w:val="1"/>
    <w:next w:val="1"/>
    <w:qFormat/>
    <w:uiPriority w:val="0"/>
    <w:rPr>
      <w:b/>
    </w:rPr>
  </w:style>
  <w:style w:type="paragraph" w:customStyle="1" w:styleId="50">
    <w:name w:val="连续正文文字"/>
    <w:basedOn w:val="4"/>
    <w:qFormat/>
    <w:uiPriority w:val="0"/>
    <w:pPr>
      <w:keepNext/>
      <w:spacing w:after="0" w:line="312" w:lineRule="auto"/>
      <w:ind w:firstLine="0"/>
    </w:pPr>
    <w:rPr>
      <w:rFonts w:hAnsi="楷体"/>
      <w:b/>
      <w:sz w:val="32"/>
    </w:rPr>
  </w:style>
  <w:style w:type="paragraph" w:customStyle="1" w:styleId="51">
    <w:name w:val="图标题"/>
    <w:basedOn w:val="1"/>
    <w:next w:val="1"/>
    <w:link w:val="52"/>
    <w:qFormat/>
    <w:uiPriority w:val="0"/>
    <w:pPr>
      <w:jc w:val="center"/>
    </w:pPr>
    <w:rPr>
      <w:b/>
    </w:rPr>
  </w:style>
  <w:style w:type="character" w:customStyle="1" w:styleId="52">
    <w:name w:val="图标题 Char"/>
    <w:link w:val="51"/>
    <w:qFormat/>
    <w:uiPriority w:val="0"/>
    <w:rPr>
      <w:rFonts w:eastAsia="宋体"/>
      <w:b/>
      <w:spacing w:val="-5"/>
      <w:sz w:val="24"/>
      <w:lang w:val="en-US" w:eastAsia="zh-CN" w:bidi="ar-SA"/>
    </w:rPr>
  </w:style>
  <w:style w:type="character" w:customStyle="1" w:styleId="53">
    <w:name w:val="上标"/>
    <w:qFormat/>
    <w:uiPriority w:val="0"/>
    <w:rPr>
      <w:vertAlign w:val="superscript"/>
    </w:rPr>
  </w:style>
  <w:style w:type="paragraph" w:customStyle="1" w:styleId="54">
    <w:name w:val="尾消息标题"/>
    <w:basedOn w:val="1"/>
    <w:next w:val="4"/>
    <w:qFormat/>
    <w:uiPriority w:val="0"/>
    <w:pPr>
      <w:pBdr>
        <w:bottom w:val="single" w:color="auto" w:sz="6" w:space="19"/>
        <w:between w:val="single" w:color="auto" w:sz="6" w:space="19"/>
      </w:pBdr>
      <w:tabs>
        <w:tab w:val="left" w:pos="1260"/>
        <w:tab w:val="left" w:pos="2940"/>
      </w:tabs>
      <w:spacing w:before="120" w:after="120"/>
      <w:ind w:firstLine="0"/>
    </w:pPr>
  </w:style>
  <w:style w:type="paragraph" w:customStyle="1" w:styleId="55">
    <w:name w:val="附录"/>
    <w:basedOn w:val="2"/>
    <w:next w:val="1"/>
    <w:qFormat/>
    <w:uiPriority w:val="0"/>
    <w:pPr>
      <w:numPr>
        <w:ilvl w:val="0"/>
        <w:numId w:val="1"/>
      </w:numPr>
      <w:jc w:val="center"/>
    </w:pPr>
  </w:style>
  <w:style w:type="paragraph" w:customStyle="1" w:styleId="56">
    <w:name w:val="Paper"/>
    <w:link w:val="57"/>
    <w:qFormat/>
    <w:uiPriority w:val="0"/>
    <w:pPr>
      <w:widowControl w:val="0"/>
      <w:snapToGrid w:val="0"/>
      <w:spacing w:line="316" w:lineRule="atLeast"/>
      <w:ind w:firstLine="200" w:firstLineChars="200"/>
      <w:jc w:val="both"/>
    </w:pPr>
    <w:rPr>
      <w:rFonts w:ascii="Times New Roman" w:hAnsi="Times New Roman" w:eastAsia="宋体" w:cs="Times New Roman"/>
      <w:lang w:val="en-US" w:eastAsia="zh-CN" w:bidi="ar-SA"/>
    </w:rPr>
  </w:style>
  <w:style w:type="character" w:customStyle="1" w:styleId="57">
    <w:name w:val="Paper Char"/>
    <w:link w:val="56"/>
    <w:qFormat/>
    <w:uiPriority w:val="0"/>
    <w:rPr>
      <w:lang w:val="en-US" w:eastAsia="zh-CN" w:bidi="ar-SA"/>
    </w:rPr>
  </w:style>
  <w:style w:type="paragraph" w:customStyle="1" w:styleId="58">
    <w:name w:val="正文样式"/>
    <w:basedOn w:val="1"/>
    <w:link w:val="59"/>
    <w:qFormat/>
    <w:uiPriority w:val="0"/>
    <w:pPr>
      <w:widowControl w:val="0"/>
      <w:tabs>
        <w:tab w:val="left" w:pos="2925"/>
      </w:tabs>
      <w:ind w:firstLine="460" w:firstLineChars="200"/>
      <w:textAlignment w:val="center"/>
    </w:pPr>
  </w:style>
  <w:style w:type="character" w:customStyle="1" w:styleId="59">
    <w:name w:val="正文样式 Char"/>
    <w:link w:val="58"/>
    <w:qFormat/>
    <w:locked/>
    <w:uiPriority w:val="0"/>
    <w:rPr>
      <w:rFonts w:cs="宋体"/>
      <w:spacing w:val="-5"/>
      <w:sz w:val="24"/>
    </w:rPr>
  </w:style>
  <w:style w:type="paragraph" w:customStyle="1" w:styleId="60">
    <w:name w:val="表标题1"/>
    <w:basedOn w:val="1"/>
    <w:qFormat/>
    <w:uiPriority w:val="0"/>
    <w:pPr>
      <w:widowControl w:val="0"/>
      <w:spacing w:line="360" w:lineRule="auto"/>
      <w:ind w:firstLine="0"/>
      <w:jc w:val="center"/>
    </w:pPr>
    <w:rPr>
      <w:spacing w:val="0"/>
      <w:kern w:val="2"/>
      <w:szCs w:val="24"/>
    </w:rPr>
  </w:style>
  <w:style w:type="paragraph" w:customStyle="1" w:styleId="61">
    <w:name w:val="标题4"/>
    <w:basedOn w:val="1"/>
    <w:next w:val="1"/>
    <w:qFormat/>
    <w:uiPriority w:val="0"/>
    <w:pPr>
      <w:keepNext/>
      <w:widowControl w:val="0"/>
      <w:spacing w:before="400" w:afterLines="1000"/>
      <w:ind w:firstLine="0"/>
    </w:pPr>
    <w:rPr>
      <w:b/>
      <w:spacing w:val="0"/>
      <w:szCs w:val="24"/>
    </w:rPr>
  </w:style>
  <w:style w:type="paragraph" w:customStyle="1" w:styleId="62">
    <w:name w:val="纯文本1"/>
    <w:basedOn w:val="1"/>
    <w:qFormat/>
    <w:uiPriority w:val="0"/>
    <w:pPr>
      <w:widowControl w:val="0"/>
      <w:autoSpaceDE w:val="0"/>
      <w:autoSpaceDN w:val="0"/>
      <w:adjustRightInd w:val="0"/>
      <w:spacing w:line="240" w:lineRule="auto"/>
      <w:ind w:firstLine="0"/>
      <w:jc w:val="both"/>
      <w:textAlignment w:val="baseline"/>
    </w:pPr>
    <w:rPr>
      <w:rFonts w:ascii="宋" w:eastAsia="宋"/>
      <w:spacing w:val="0"/>
      <w:kern w:val="2"/>
      <w:sz w:val="21"/>
    </w:rPr>
  </w:style>
  <w:style w:type="paragraph" w:customStyle="1" w:styleId="63">
    <w:name w:val="Default"/>
    <w:qFormat/>
    <w:uiPriority w:val="0"/>
    <w:pPr>
      <w:widowControl w:val="0"/>
      <w:autoSpaceDE w:val="0"/>
      <w:autoSpaceDN w:val="0"/>
      <w:adjustRightInd w:val="0"/>
    </w:pPr>
    <w:rPr>
      <w:rFonts w:ascii="ST Song" w:hAnsi="Times New Roman" w:eastAsia="ST Song" w:cs="Times New Roman"/>
      <w:color w:val="000000"/>
      <w:sz w:val="24"/>
      <w:szCs w:val="24"/>
      <w:lang w:val="en-US" w:eastAsia="zh-CN" w:bidi="ar-SA"/>
    </w:rPr>
  </w:style>
  <w:style w:type="paragraph" w:customStyle="1" w:styleId="64">
    <w:name w:val="参考文献内容"/>
    <w:basedOn w:val="1"/>
    <w:qFormat/>
    <w:uiPriority w:val="0"/>
    <w:pPr>
      <w:widowControl w:val="0"/>
      <w:spacing w:line="360" w:lineRule="auto"/>
      <w:ind w:left="600" w:hanging="600" w:hangingChars="250"/>
      <w:jc w:val="both"/>
    </w:pPr>
    <w:rPr>
      <w:rFonts w:cs="宋体"/>
      <w:spacing w:val="0"/>
    </w:rPr>
  </w:style>
  <w:style w:type="paragraph" w:customStyle="1" w:styleId="65">
    <w:name w:val="目录"/>
    <w:basedOn w:val="1"/>
    <w:qFormat/>
    <w:uiPriority w:val="0"/>
    <w:pPr>
      <w:widowControl w:val="0"/>
      <w:ind w:firstLine="0"/>
      <w:jc w:val="center"/>
    </w:pPr>
    <w:rPr>
      <w:b/>
      <w:bCs/>
      <w:sz w:val="32"/>
      <w:szCs w:val="24"/>
    </w:rPr>
  </w:style>
  <w:style w:type="paragraph" w:customStyle="1" w:styleId="66">
    <w:name w:val="绘图"/>
    <w:basedOn w:val="58"/>
    <w:qFormat/>
    <w:uiPriority w:val="0"/>
    <w:pPr>
      <w:ind w:firstLine="0" w:firstLineChars="0"/>
    </w:pPr>
  </w:style>
  <w:style w:type="paragraph" w:customStyle="1" w:styleId="67">
    <w:name w:val="图片格式"/>
    <w:basedOn w:val="58"/>
    <w:link w:val="68"/>
    <w:qFormat/>
    <w:uiPriority w:val="0"/>
    <w:pPr>
      <w:spacing w:line="360" w:lineRule="auto"/>
      <w:ind w:firstLine="0" w:firstLineChars="0"/>
      <w:jc w:val="center"/>
    </w:pPr>
  </w:style>
  <w:style w:type="character" w:customStyle="1" w:styleId="68">
    <w:name w:val="图片格式 Char"/>
    <w:basedOn w:val="59"/>
    <w:link w:val="67"/>
    <w:qFormat/>
    <w:uiPriority w:val="0"/>
    <w:rPr>
      <w:rFonts w:cs="宋体"/>
      <w:spacing w:val="-5"/>
      <w:sz w:val="24"/>
    </w:rPr>
  </w:style>
  <w:style w:type="paragraph" w:customStyle="1" w:styleId="69">
    <w:name w:val="图片说明"/>
    <w:basedOn w:val="1"/>
    <w:qFormat/>
    <w:uiPriority w:val="0"/>
    <w:pPr>
      <w:keepLines/>
      <w:tabs>
        <w:tab w:val="left" w:pos="3045"/>
      </w:tabs>
      <w:spacing w:before="40" w:after="40"/>
      <w:ind w:firstLine="0"/>
      <w:jc w:val="center"/>
    </w:pPr>
    <w:rPr>
      <w:rFonts w:cs="宋体"/>
      <w:bCs/>
    </w:rPr>
  </w:style>
  <w:style w:type="paragraph" w:customStyle="1" w:styleId="70">
    <w:name w:val="公式"/>
    <w:basedOn w:val="58"/>
    <w:qFormat/>
    <w:uiPriority w:val="0"/>
  </w:style>
  <w:style w:type="paragraph" w:customStyle="1" w:styleId="71">
    <w:name w:val="表中内容"/>
    <w:basedOn w:val="58"/>
    <w:link w:val="72"/>
    <w:qFormat/>
    <w:uiPriority w:val="0"/>
    <w:pPr>
      <w:jc w:val="center"/>
    </w:pPr>
    <w:rPr>
      <w:spacing w:val="-10"/>
    </w:rPr>
  </w:style>
  <w:style w:type="character" w:customStyle="1" w:styleId="72">
    <w:name w:val="表中内容 Char Char"/>
    <w:link w:val="71"/>
    <w:qFormat/>
    <w:locked/>
    <w:uiPriority w:val="0"/>
    <w:rPr>
      <w:rFonts w:cs="宋体"/>
      <w:spacing w:val="-10"/>
      <w:sz w:val="24"/>
    </w:rPr>
  </w:style>
  <w:style w:type="paragraph" w:customStyle="1" w:styleId="73">
    <w:name w:val="表标题 正文样式 + 居中"/>
    <w:basedOn w:val="58"/>
    <w:qFormat/>
    <w:uiPriority w:val="0"/>
    <w:pPr>
      <w:spacing w:before="200" w:after="100"/>
      <w:ind w:firstLine="0" w:firstLineChars="0"/>
      <w:jc w:val="center"/>
    </w:pPr>
    <w:rPr>
      <w:bCs/>
    </w:rPr>
  </w:style>
  <w:style w:type="character" w:customStyle="1" w:styleId="74">
    <w:name w:val="样式 小五"/>
    <w:qFormat/>
    <w:uiPriority w:val="0"/>
    <w:rPr>
      <w:rFonts w:ascii="Times New Roman" w:hAnsi="Times New Roman" w:eastAsia="宋体"/>
      <w:color w:val="auto"/>
      <w:spacing w:val="-5"/>
      <w:sz w:val="18"/>
    </w:rPr>
  </w:style>
  <w:style w:type="paragraph" w:customStyle="1" w:styleId="75">
    <w:name w:val="样式 表中内容 + 小四"/>
    <w:basedOn w:val="71"/>
    <w:qFormat/>
    <w:uiPriority w:val="0"/>
  </w:style>
  <w:style w:type="paragraph" w:customStyle="1" w:styleId="76">
    <w:name w:val="样式 表中内容 + 首行缩进:  2 字符"/>
    <w:basedOn w:val="71"/>
    <w:qFormat/>
    <w:uiPriority w:val="0"/>
    <w:pPr>
      <w:ind w:firstLine="0" w:firstLineChars="0"/>
    </w:pPr>
  </w:style>
  <w:style w:type="paragraph" w:customStyle="1" w:styleId="77">
    <w:name w:val="样式 表中内容 + 首行缩进:  2 字符1"/>
    <w:basedOn w:val="71"/>
    <w:qFormat/>
    <w:uiPriority w:val="0"/>
    <w:pPr>
      <w:ind w:firstLine="0" w:firstLineChars="0"/>
    </w:pPr>
  </w:style>
  <w:style w:type="table" w:customStyle="1" w:styleId="78">
    <w:name w:val="网格型1"/>
    <w:basedOn w:val="36"/>
    <w:qFormat/>
    <w:uiPriority w:val="0"/>
    <w:pPr>
      <w:widowControl w:val="0"/>
      <w:jc w:val="both"/>
    </w:p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jc w:val="center"/>
    </w:trPr>
  </w:style>
  <w:style w:type="paragraph" w:customStyle="1" w:styleId="79">
    <w:name w:val="样式 表中内容 + 首行缩进:  2 字符2"/>
    <w:basedOn w:val="71"/>
    <w:qFormat/>
    <w:uiPriority w:val="0"/>
    <w:pPr>
      <w:ind w:firstLine="0" w:firstLineChars="0"/>
    </w:pPr>
  </w:style>
  <w:style w:type="paragraph" w:customStyle="1" w:styleId="80">
    <w:name w:val="样式 居中 首行缩进:  0 厘米"/>
    <w:basedOn w:val="1"/>
    <w:qFormat/>
    <w:uiPriority w:val="0"/>
    <w:pPr>
      <w:ind w:firstLine="0"/>
      <w:jc w:val="center"/>
    </w:pPr>
    <w:rPr>
      <w:rFonts w:cs="宋体"/>
    </w:rPr>
  </w:style>
  <w:style w:type="character" w:customStyle="1" w:styleId="81">
    <w:name w:val="z封面题名"/>
    <w:qFormat/>
    <w:uiPriority w:val="0"/>
    <w:rPr>
      <w:rFonts w:ascii="Times New Roman" w:hAnsi="Times New Roman" w:eastAsia="宋体"/>
      <w:b/>
      <w:spacing w:val="0"/>
      <w:sz w:val="36"/>
    </w:rPr>
  </w:style>
  <w:style w:type="character" w:customStyle="1" w:styleId="82">
    <w:name w:val="纯文本 Char"/>
    <w:link w:val="20"/>
    <w:qFormat/>
    <w:uiPriority w:val="0"/>
    <w:rPr>
      <w:rFonts w:ascii="宋体" w:hAnsi="宋体"/>
      <w:sz w:val="21"/>
      <w:szCs w:val="21"/>
    </w:rPr>
  </w:style>
  <w:style w:type="paragraph" w:customStyle="1" w:styleId="83">
    <w:name w:val="Char Char Char Char Char Char Char"/>
    <w:basedOn w:val="1"/>
    <w:qFormat/>
    <w:uiPriority w:val="0"/>
    <w:pPr>
      <w:widowControl w:val="0"/>
      <w:spacing w:line="240" w:lineRule="auto"/>
      <w:ind w:firstLine="0"/>
      <w:jc w:val="both"/>
    </w:pPr>
    <w:rPr>
      <w:spacing w:val="0"/>
      <w:kern w:val="2"/>
      <w:sz w:val="21"/>
      <w:szCs w:val="24"/>
    </w:rPr>
  </w:style>
  <w:style w:type="character" w:customStyle="1" w:styleId="84">
    <w:name w:val="批注框文本 Char"/>
    <w:link w:val="25"/>
    <w:qFormat/>
    <w:uiPriority w:val="0"/>
    <w:rPr>
      <w:spacing w:val="-5"/>
      <w:sz w:val="18"/>
      <w:szCs w:val="18"/>
    </w:rPr>
  </w:style>
  <w:style w:type="paragraph" w:styleId="85">
    <w:name w:val="List Paragraph"/>
    <w:basedOn w:val="1"/>
    <w:qFormat/>
    <w:uiPriority w:val="34"/>
    <w:pPr>
      <w:widowControl w:val="0"/>
      <w:spacing w:line="240" w:lineRule="auto"/>
      <w:ind w:firstLine="420" w:firstLineChars="200"/>
      <w:jc w:val="both"/>
    </w:pPr>
    <w:rPr>
      <w:rFonts w:ascii="Calibri" w:hAnsi="Calibri"/>
      <w:spacing w:val="0"/>
      <w:kern w:val="2"/>
      <w:sz w:val="21"/>
      <w:szCs w:val="22"/>
    </w:rPr>
  </w:style>
  <w:style w:type="paragraph" w:customStyle="1" w:styleId="86">
    <w:name w:val="Char Char1 Char Char Char Char"/>
    <w:basedOn w:val="7"/>
    <w:qFormat/>
    <w:uiPriority w:val="0"/>
    <w:pPr>
      <w:spacing w:before="140" w:line="220" w:lineRule="atLeast"/>
      <w:ind w:left="720"/>
    </w:pPr>
    <w:rPr>
      <w:rFonts w:ascii="Futura Bk BT" w:hAnsi="Futura Bk BT" w:eastAsia="Times New Roman"/>
      <w:spacing w:val="-4"/>
      <w:sz w:val="21"/>
      <w:lang w:val="en-AU" w:eastAsia="en-US"/>
    </w:rPr>
  </w:style>
  <w:style w:type="paragraph" w:customStyle="1" w:styleId="87">
    <w:name w:val="默认段落字体 Para Char Char Char Char Char Char Char"/>
    <w:basedOn w:val="1"/>
    <w:qFormat/>
    <w:uiPriority w:val="0"/>
    <w:pPr>
      <w:widowControl w:val="0"/>
      <w:spacing w:line="240" w:lineRule="auto"/>
      <w:ind w:firstLine="0"/>
      <w:jc w:val="both"/>
    </w:pPr>
    <w:rPr>
      <w:rFonts w:ascii="Tahoma" w:hAnsi="Tahoma"/>
      <w:b/>
      <w:spacing w:val="0"/>
      <w:kern w:val="2"/>
    </w:rPr>
  </w:style>
  <w:style w:type="table" w:customStyle="1" w:styleId="88">
    <w:name w:val="简明型 11"/>
    <w:basedOn w:val="36"/>
    <w:qFormat/>
    <w:uiPriority w:val="0"/>
    <w:pPr>
      <w:widowControl w:val="0"/>
      <w:jc w:val="both"/>
    </w:pPr>
    <w:tblPr>
      <w:tblCellMar>
        <w:top w:w="0" w:type="dxa"/>
        <w:left w:w="108" w:type="dxa"/>
        <w:bottom w:w="0" w:type="dxa"/>
        <w:right w:w="108" w:type="dxa"/>
      </w:tblCellMar>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character" w:customStyle="1" w:styleId="89">
    <w:name w:val="style41"/>
    <w:qFormat/>
    <w:uiPriority w:val="0"/>
    <w:rPr>
      <w:color w:val="3366CC"/>
    </w:rPr>
  </w:style>
  <w:style w:type="character" w:customStyle="1" w:styleId="90">
    <w:name w:val="正文缩进 Char"/>
    <w:link w:val="13"/>
    <w:qFormat/>
    <w:uiPriority w:val="0"/>
    <w:rPr>
      <w:rFonts w:ascii="仿宋_GB2312" w:eastAsia="仿宋_GB2312"/>
      <w:kern w:val="2"/>
      <w:sz w:val="28"/>
    </w:rPr>
  </w:style>
  <w:style w:type="character" w:customStyle="1" w:styleId="91">
    <w:name w:val="正文文本3"/>
    <w:qFormat/>
    <w:uiPriority w:val="0"/>
    <w:rPr>
      <w:rFonts w:hint="eastAsia" w:ascii="MingLiU" w:hAnsi="MingLiU" w:eastAsia="MingLiU" w:cs="MingLiU"/>
      <w:color w:val="000000"/>
      <w:spacing w:val="10"/>
      <w:w w:val="100"/>
      <w:position w:val="0"/>
      <w:sz w:val="19"/>
      <w:szCs w:val="19"/>
      <w:shd w:val="clear" w:color="auto" w:fill="FFFFFF"/>
      <w:lang w:val="zh-TW"/>
    </w:rPr>
  </w:style>
  <w:style w:type="paragraph" w:customStyle="1" w:styleId="92">
    <w:name w:val="规范条文"/>
    <w:basedOn w:val="1"/>
    <w:qFormat/>
    <w:uiPriority w:val="0"/>
    <w:pPr>
      <w:widowControl w:val="0"/>
      <w:adjustRightInd w:val="0"/>
      <w:snapToGrid w:val="0"/>
      <w:spacing w:line="500" w:lineRule="exact"/>
      <w:ind w:firstLine="567"/>
      <w:jc w:val="both"/>
    </w:pPr>
    <w:rPr>
      <w:rFonts w:ascii="Calibri" w:hAnsi="Calibri" w:eastAsia="仿宋_GB2312"/>
      <w:b/>
      <w:snapToGrid w:val="0"/>
      <w:color w:val="000000"/>
      <w:spacing w:val="0"/>
    </w:rPr>
  </w:style>
  <w:style w:type="character" w:customStyle="1" w:styleId="93">
    <w:name w:val="页脚 Char"/>
    <w:link w:val="26"/>
    <w:qFormat/>
    <w:uiPriority w:val="99"/>
    <w:rPr>
      <w:spacing w:val="-5"/>
      <w:sz w:val="18"/>
    </w:rPr>
  </w:style>
  <w:style w:type="character" w:customStyle="1" w:styleId="94">
    <w:name w:val="页眉 Char"/>
    <w:link w:val="27"/>
    <w:qFormat/>
    <w:uiPriority w:val="99"/>
    <w:rPr>
      <w:spacing w:val="-5"/>
      <w:sz w:val="21"/>
    </w:rPr>
  </w:style>
  <w:style w:type="character" w:customStyle="1" w:styleId="95">
    <w:name w:val="书籍标题1"/>
    <w:qFormat/>
    <w:uiPriority w:val="33"/>
    <w:rPr>
      <w:b/>
      <w:bCs/>
      <w:smallCaps/>
      <w:spacing w:val="5"/>
    </w:rPr>
  </w:style>
  <w:style w:type="character" w:customStyle="1" w:styleId="96">
    <w:name w:val="fontstyle01"/>
    <w:basedOn w:val="40"/>
    <w:qFormat/>
    <w:uiPriority w:val="0"/>
    <w:rPr>
      <w:rFonts w:ascii="宋体" w:hAnsi="宋体" w:eastAsia="宋体" w:cs="宋体"/>
      <w:color w:val="000000"/>
      <w:sz w:val="22"/>
      <w:szCs w:val="22"/>
    </w:rPr>
  </w:style>
  <w:style w:type="character" w:customStyle="1" w:styleId="97">
    <w:name w:val="正文文本 Char"/>
    <w:basedOn w:val="40"/>
    <w:link w:val="4"/>
    <w:qFormat/>
    <w:uiPriority w:val="0"/>
    <w:rPr>
      <w:spacing w:val="-5"/>
      <w:sz w:val="30"/>
    </w:rPr>
  </w:style>
  <w:style w:type="character" w:customStyle="1" w:styleId="98">
    <w:name w:val="基准页脚样式 Char"/>
    <w:basedOn w:val="97"/>
    <w:link w:val="24"/>
    <w:qFormat/>
    <w:uiPriority w:val="0"/>
    <w:rPr>
      <w:spacing w:val="-5"/>
      <w:sz w:val="16"/>
    </w:rPr>
  </w:style>
  <w:style w:type="character" w:customStyle="1" w:styleId="99">
    <w:name w:val="批注文字 Char"/>
    <w:basedOn w:val="98"/>
    <w:link w:val="17"/>
    <w:qFormat/>
    <w:uiPriority w:val="0"/>
    <w:rPr>
      <w:spacing w:val="-5"/>
      <w:sz w:val="21"/>
    </w:rPr>
  </w:style>
  <w:style w:type="character" w:customStyle="1" w:styleId="100">
    <w:name w:val="批注主题 Char"/>
    <w:basedOn w:val="99"/>
    <w:link w:val="35"/>
    <w:qFormat/>
    <w:uiPriority w:val="0"/>
    <w:rPr>
      <w:spacing w:val="-5"/>
      <w:sz w:val="16"/>
    </w:rPr>
  </w:style>
  <w:style w:type="character" w:customStyle="1" w:styleId="101">
    <w:name w:val="正文文本缩进 Char"/>
    <w:basedOn w:val="40"/>
    <w:link w:val="18"/>
    <w:qFormat/>
    <w:uiPriority w:val="0"/>
    <w:rPr>
      <w:kern w:val="2"/>
      <w:sz w:val="21"/>
      <w:szCs w:val="24"/>
    </w:rPr>
  </w:style>
  <w:style w:type="paragraph" w:customStyle="1" w:styleId="102">
    <w:name w:val="Revision"/>
    <w:hidden/>
    <w:unhideWhenUsed/>
    <w:qFormat/>
    <w:uiPriority w:val="99"/>
    <w:rPr>
      <w:rFonts w:ascii="Times New Roman" w:hAnsi="Times New Roman" w:eastAsia="宋体" w:cs="Times New Roman"/>
      <w:spacing w:val="-5"/>
      <w:sz w:val="24"/>
      <w:lang w:val="en-US" w:eastAsia="zh-CN" w:bidi="ar-SA"/>
    </w:rPr>
  </w:style>
  <w:style w:type="paragraph" w:customStyle="1" w:styleId="103">
    <w:name w:val="TOC Heading"/>
    <w:basedOn w:val="2"/>
    <w:next w:val="1"/>
    <w:semiHidden/>
    <w:unhideWhenUsed/>
    <w:qFormat/>
    <w:uiPriority w:val="39"/>
    <w:pPr>
      <w:spacing w:before="480" w:after="0" w:line="276" w:lineRule="auto"/>
      <w:outlineLvl w:val="9"/>
    </w:pPr>
    <w:rPr>
      <w:rFonts w:asciiTheme="majorHAnsi" w:hAnsiTheme="majorHAnsi" w:eastAsiaTheme="majorEastAsia" w:cstheme="majorBidi"/>
      <w:bCs/>
      <w:color w:val="366091" w:themeColor="accent1" w:themeShade="BF"/>
      <w:spacing w:val="0"/>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theme" Target="theme/theme1.xml"/><Relationship Id="rId32" Type="http://schemas.openxmlformats.org/officeDocument/2006/relationships/footer" Target="footer10.xml"/><Relationship Id="rId31" Type="http://schemas.openxmlformats.org/officeDocument/2006/relationships/footer" Target="footer9.xml"/><Relationship Id="rId30" Type="http://schemas.openxmlformats.org/officeDocument/2006/relationships/header" Target="header18.xml"/><Relationship Id="rId3" Type="http://schemas.openxmlformats.org/officeDocument/2006/relationships/footnotes" Target="footnotes.xml"/><Relationship Id="rId29" Type="http://schemas.openxmlformats.org/officeDocument/2006/relationships/header" Target="header17.xml"/><Relationship Id="rId28" Type="http://schemas.openxmlformats.org/officeDocument/2006/relationships/footer" Target="footer8.xml"/><Relationship Id="rId27" Type="http://schemas.openxmlformats.org/officeDocument/2006/relationships/header" Target="header16.xml"/><Relationship Id="rId26" Type="http://schemas.openxmlformats.org/officeDocument/2006/relationships/header" Target="header15.xml"/><Relationship Id="rId25" Type="http://schemas.openxmlformats.org/officeDocument/2006/relationships/footer" Target="footer7.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footer" Target="footer6.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footer" Target="footer5.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footer" Target="footer4.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3.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luoxy/D:\&#20010;&#20154;&#25991;&#20214;&#22841;\&#21016;&#23567;&#20891;\ustbmb\USTB&#30805;&#22763;&#35770;&#25991;&#27169;&#26495;\USTB&#30805;&#22763;&#35770;&#25991;&#27491;&#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35"/>
    <customShpInfo spid="_x0000_s1037"/>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USTB硕士论文正文模板</Template>
  <Company>Microsoft</Company>
  <Pages>41</Pages>
  <Words>3546</Words>
  <Characters>20215</Characters>
  <Lines>168</Lines>
  <Paragraphs>47</Paragraphs>
  <TotalTime>145</TotalTime>
  <ScaleCrop>false</ScaleCrop>
  <LinksUpToDate>false</LinksUpToDate>
  <CharactersWithSpaces>23714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2023-06-05T15:55:00Z</dcterms:created>
  <dc:creator>linpcnptzyj</dc:creator>
  <cp:lastModifiedBy>luoxy</cp:lastModifiedBy>
  <cp:lastPrinted>2017-09-29T16:30:00Z</cp:lastPrinted>
  <dcterms:modified xsi:type="dcterms:W3CDTF">2023-09-27T10:56:52Z</dcterms:modified>
  <dc:subject>镁合金板带生产应用现状与分析及发展建议</dc:subject>
  <dc:title>2017业务建设</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A97BAF044D4644F3A7B284AF20C18F28</vt:lpwstr>
  </property>
</Properties>
</file>