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b/>
          <w:bCs/>
          <w:sz w:val="28"/>
          <w:szCs w:val="28"/>
        </w:rPr>
      </w:pPr>
      <w:r>
        <w:rPr>
          <w:b/>
          <w:bCs/>
          <w:sz w:val="28"/>
          <w:szCs w:val="28"/>
        </w:rPr>
        <w:t>UDC</w:t>
      </w:r>
    </w:p>
    <w:p>
      <w:pPr>
        <w:rPr>
          <w:rFonts w:cs="Times New Roman"/>
          <w:b/>
          <w:bCs/>
          <w:sz w:val="28"/>
          <w:szCs w:val="28"/>
        </w:rPr>
      </w:pPr>
      <w:r>
        <mc:AlternateContent>
          <mc:Choice Requires="wps">
            <w:drawing>
              <wp:anchor distT="0" distB="0" distL="114300" distR="114300" simplePos="0" relativeHeight="251660288" behindDoc="0" locked="0" layoutInCell="1" allowOverlap="1">
                <wp:simplePos x="0" y="0"/>
                <wp:positionH relativeFrom="column">
                  <wp:posOffset>3815080</wp:posOffset>
                </wp:positionH>
                <wp:positionV relativeFrom="paragraph">
                  <wp:posOffset>95250</wp:posOffset>
                </wp:positionV>
                <wp:extent cx="1647825" cy="8178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47825" cy="817880"/>
                        </a:xfrm>
                        <a:prstGeom prst="rect">
                          <a:avLst/>
                        </a:prstGeom>
                        <a:noFill/>
                        <a:ln>
                          <a:noFill/>
                        </a:ln>
                      </wps:spPr>
                      <wps:txbx>
                        <w:txbxContent>
                          <w:p>
                            <w:r>
                              <w:rPr>
                                <w:rFonts w:ascii="Times New Roman" w:hAnsi="Times New Roman" w:cs="Times New Roman"/>
                                <w:b/>
                                <w:w w:val="130"/>
                                <w:kern w:val="0"/>
                                <w:sz w:val="96"/>
                                <w:szCs w:val="96"/>
                              </w:rPr>
                              <w:t>CJJ</w:t>
                            </w:r>
                          </w:p>
                          <w:p/>
                        </w:txbxContent>
                      </wps:txbx>
                      <wps:bodyPr upright="1"/>
                    </wps:wsp>
                  </a:graphicData>
                </a:graphic>
              </wp:anchor>
            </w:drawing>
          </mc:Choice>
          <mc:Fallback>
            <w:pict>
              <v:shape id="_x0000_s1026" o:spid="_x0000_s1026" o:spt="202" type="#_x0000_t202" style="position:absolute;left:0pt;margin-left:300.4pt;margin-top:7.5pt;height:64.4pt;width:129.75pt;z-index:251660288;mso-width-relative:page;mso-height-relative:page;" filled="f" stroked="f" coordsize="21600,21600" o:gfxdata="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ZXdpn&#10;2AAAAAoBAAAPAAAAAAAAAAEAIAAAACIAAABkcnMvZG93bnJldi54bWxQSwECFAAUAAAACACHTuJA&#10;XSJaK68BAABPAwAADgAAAAAAAAABACAAAAAnAQAAZHJzL2Uyb0RvYy54bWxQSwUGAAAAAAYABgBZ&#10;AQAASAUAAAAA&#10;">
                <v:fill on="f" focussize="0,0"/>
                <v:stroke on="f"/>
                <v:imagedata o:title=""/>
                <o:lock v:ext="edit" aspectratio="f"/>
                <v:textbox>
                  <w:txbxContent>
                    <w:p>
                      <w:r>
                        <w:rPr>
                          <w:rFonts w:ascii="Times New Roman" w:hAnsi="Times New Roman" w:cs="Times New Roman"/>
                          <w:b/>
                          <w:w w:val="130"/>
                          <w:kern w:val="0"/>
                          <w:sz w:val="96"/>
                          <w:szCs w:val="96"/>
                        </w:rPr>
                        <w:t>CJJ</w:t>
                      </w:r>
                    </w:p>
                    <w:p/>
                  </w:txbxContent>
                </v:textbox>
              </v:shape>
            </w:pict>
          </mc:Fallback>
        </mc:AlternateContent>
      </w:r>
    </w:p>
    <w:p>
      <w:pPr>
        <w:jc w:val="center"/>
        <w:rPr>
          <w:rFonts w:ascii="黑体" w:eastAsia="黑体" w:cs="Times New Roman"/>
          <w:b/>
          <w:bCs/>
          <w:sz w:val="32"/>
          <w:szCs w:val="32"/>
        </w:rPr>
      </w:pPr>
      <w:r>
        <w:rPr>
          <w:rFonts w:hint="eastAsia" w:ascii="黑体" w:eastAsia="黑体" w:cs="黑体"/>
          <w:b/>
          <w:bCs/>
          <w:sz w:val="32"/>
          <w:szCs w:val="32"/>
        </w:rPr>
        <w:t>中华人民共和国行业标准</w:t>
      </w:r>
    </w:p>
    <w:p>
      <w:pPr>
        <w:rPr>
          <w:rFonts w:cs="Times New Roman"/>
          <w:b/>
          <w:bCs/>
          <w:sz w:val="28"/>
          <w:szCs w:val="28"/>
        </w:rPr>
      </w:pPr>
    </w:p>
    <w:p>
      <w:pPr>
        <w:jc w:val="distribute"/>
        <w:rPr>
          <w:rFonts w:hint="default" w:eastAsia="宋体" w:cs="Times New Roman"/>
          <w:b/>
          <w:bCs/>
          <w:sz w:val="28"/>
          <w:szCs w:val="28"/>
          <w:lang w:val="en-US" w:eastAsia="zh-CN"/>
        </w:rPr>
      </w:pPr>
      <w:r>
        <w:rPr>
          <w:b/>
          <w:bCs/>
          <w:sz w:val="28"/>
          <w:szCs w:val="28"/>
        </w:rPr>
        <w:t>P                                        CJJ</w:t>
      </w:r>
      <w:r>
        <w:rPr>
          <w:b/>
          <w:bCs/>
          <w:color w:val="000000"/>
          <w:sz w:val="28"/>
          <w:szCs w:val="28"/>
        </w:rPr>
        <w:t>/</w:t>
      </w:r>
      <w:r>
        <w:rPr>
          <w:rFonts w:hint="eastAsia"/>
          <w:b/>
          <w:bCs/>
          <w:color w:val="000000"/>
          <w:sz w:val="28"/>
          <w:szCs w:val="28"/>
          <w:lang w:val="en-US" w:eastAsia="zh-CN"/>
        </w:rPr>
        <w:t>XXXX</w:t>
      </w:r>
      <w:r>
        <w:rPr>
          <w:rFonts w:hint="eastAsia" w:cs="宋体"/>
          <w:b/>
          <w:bCs/>
          <w:sz w:val="28"/>
          <w:szCs w:val="28"/>
        </w:rPr>
        <w:t>－</w:t>
      </w:r>
      <w:r>
        <w:rPr>
          <w:b/>
          <w:bCs/>
          <w:sz w:val="28"/>
          <w:szCs w:val="28"/>
        </w:rPr>
        <w:t>20</w:t>
      </w:r>
      <w:r>
        <w:rPr>
          <w:rFonts w:hint="eastAsia"/>
          <w:b/>
          <w:bCs/>
          <w:color w:val="000000"/>
          <w:sz w:val="28"/>
          <w:szCs w:val="28"/>
          <w:lang w:val="en-US" w:eastAsia="zh-CN"/>
        </w:rPr>
        <w:t>2X</w:t>
      </w:r>
    </w:p>
    <w:p>
      <w:pPr>
        <w:rPr>
          <w:rFonts w:cs="Times New Roman"/>
          <w:b/>
          <w:bCs/>
          <w:sz w:val="28"/>
          <w:szCs w:val="28"/>
        </w:rPr>
      </w:pPr>
      <w:r>
        <mc:AlternateContent>
          <mc:Choice Requires="wps">
            <w:drawing>
              <wp:anchor distT="0" distB="0" distL="114300" distR="114300" simplePos="0" relativeHeight="251661312" behindDoc="0" locked="0" layoutInCell="1" allowOverlap="1">
                <wp:simplePos x="0" y="0"/>
                <wp:positionH relativeFrom="column">
                  <wp:posOffset>-18415</wp:posOffset>
                </wp:positionH>
                <wp:positionV relativeFrom="paragraph">
                  <wp:posOffset>49530</wp:posOffset>
                </wp:positionV>
                <wp:extent cx="551370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137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5pt;margin-top:3.9pt;height:0.05pt;width:434.15pt;z-index:251661312;mso-width-relative:page;mso-height-relative:page;" filled="f" stroked="t" coordsize="21600,21600" o:gfxdata="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G+VJ1QAAAAYBAAAPAAAAAAAAAAEAIAAAACIAAABkcnMvZG93bnJldi54bWxQSwECFAAU&#10;AAAACACHTuJAudmvGPQBAADmAwAADgAAAAAAAAABACAAAAAkAQAAZHJzL2Uyb0RvYy54bWxQSwUG&#10;AAAAAAYABgBZAQAAigUAAAAA&#10;">
                <v:fill on="f" focussize="0,0"/>
                <v:stroke color="#000000" joinstyle="round"/>
                <v:imagedata o:title=""/>
                <o:lock v:ext="edit" aspectratio="f"/>
              </v:line>
            </w:pict>
          </mc:Fallback>
        </mc:AlternateContent>
      </w:r>
    </w:p>
    <w:p>
      <w:pPr>
        <w:rPr>
          <w:rFonts w:cs="Times New Roman"/>
          <w:sz w:val="28"/>
          <w:szCs w:val="28"/>
        </w:rPr>
      </w:pPr>
    </w:p>
    <w:p>
      <w:pPr>
        <w:pStyle w:val="9"/>
        <w:spacing w:beforeLines="0" w:after="312"/>
        <w:outlineLvl w:val="9"/>
        <w:rPr>
          <w:rFonts w:eastAsia="黑体" w:cs="黑体"/>
          <w:color w:val="000000"/>
          <w:w w:val="95"/>
          <w:sz w:val="48"/>
          <w:szCs w:val="48"/>
        </w:rPr>
      </w:pPr>
      <w:r>
        <w:rPr>
          <w:rFonts w:hint="eastAsia" w:eastAsia="黑体" w:cs="黑体"/>
          <w:color w:val="000000"/>
          <w:w w:val="95"/>
          <w:sz w:val="48"/>
          <w:szCs w:val="48"/>
        </w:rPr>
        <w:t>住宅专项维修资金管理基础</w:t>
      </w:r>
    </w:p>
    <w:p>
      <w:pPr>
        <w:pStyle w:val="9"/>
        <w:spacing w:beforeLines="0" w:after="312"/>
        <w:outlineLvl w:val="9"/>
        <w:rPr>
          <w:rFonts w:eastAsia="黑体"/>
          <w:color w:val="000000"/>
          <w:w w:val="95"/>
          <w:sz w:val="48"/>
          <w:szCs w:val="48"/>
          <w:highlight w:val="red"/>
        </w:rPr>
      </w:pPr>
      <w:r>
        <w:rPr>
          <w:rFonts w:hint="eastAsia" w:eastAsia="黑体" w:cs="黑体"/>
          <w:color w:val="000000"/>
          <w:w w:val="95"/>
          <w:sz w:val="48"/>
          <w:szCs w:val="48"/>
        </w:rPr>
        <w:t>信息数据标准</w:t>
      </w:r>
    </w:p>
    <w:p>
      <w:pPr>
        <w:autoSpaceDE w:val="0"/>
        <w:autoSpaceDN w:val="0"/>
        <w:adjustRightInd w:val="0"/>
        <w:jc w:val="center"/>
        <w:rPr>
          <w:rFonts w:cs="Times New Roman"/>
          <w:b/>
          <w:bCs/>
          <w:color w:val="000000"/>
          <w:kern w:val="0"/>
          <w:sz w:val="48"/>
          <w:szCs w:val="48"/>
        </w:rPr>
      </w:pPr>
      <w:r>
        <w:rPr>
          <w:rFonts w:eastAsia="黑体"/>
          <w:color w:val="000000"/>
          <w:w w:val="95"/>
          <w:sz w:val="36"/>
          <w:szCs w:val="36"/>
        </w:rPr>
        <w:t>Standard for basic management information data of special housing maintenance funds</w:t>
      </w:r>
    </w:p>
    <w:p>
      <w:pPr>
        <w:autoSpaceDE w:val="0"/>
        <w:autoSpaceDN w:val="0"/>
        <w:adjustRightInd w:val="0"/>
        <w:jc w:val="center"/>
        <w:rPr>
          <w:rFonts w:hint="default" w:eastAsia="宋体" w:cs="Times New Roman"/>
          <w:b/>
          <w:bCs/>
          <w:kern w:val="0"/>
          <w:sz w:val="32"/>
          <w:szCs w:val="32"/>
          <w:lang w:val="en-US" w:eastAsia="zh-CN"/>
        </w:rPr>
      </w:pPr>
      <w:r>
        <w:rPr>
          <w:rFonts w:hint="eastAsia" w:cs="Times New Roman"/>
          <w:b/>
          <w:bCs/>
          <w:kern w:val="0"/>
          <w:sz w:val="32"/>
          <w:szCs w:val="32"/>
          <w:lang w:val="en-US" w:eastAsia="zh-CN"/>
        </w:rPr>
        <w:t>局部修订征求意见稿</w:t>
      </w:r>
    </w:p>
    <w:p>
      <w:pPr>
        <w:rPr>
          <w:rFonts w:cs="Times New Roman"/>
          <w:sz w:val="28"/>
          <w:szCs w:val="28"/>
        </w:rPr>
      </w:pPr>
    </w:p>
    <w:p>
      <w:pPr>
        <w:rPr>
          <w:rFonts w:cs="Times New Roman"/>
          <w:sz w:val="28"/>
          <w:szCs w:val="28"/>
        </w:rPr>
      </w:pPr>
    </w:p>
    <w:p>
      <w:pPr>
        <w:rPr>
          <w:rFonts w:cs="Times New Roman"/>
          <w:sz w:val="28"/>
          <w:szCs w:val="28"/>
        </w:rPr>
      </w:pPr>
    </w:p>
    <w:p>
      <w:pPr>
        <w:rPr>
          <w:rFonts w:cs="Times New Roman"/>
          <w:sz w:val="28"/>
          <w:szCs w:val="28"/>
        </w:rPr>
      </w:pPr>
    </w:p>
    <w:p>
      <w:pPr>
        <w:rPr>
          <w:rFonts w:cs="Times New Roman"/>
          <w:sz w:val="28"/>
          <w:szCs w:val="28"/>
        </w:rPr>
      </w:pPr>
    </w:p>
    <w:p>
      <w:pPr>
        <w:jc w:val="center"/>
        <w:rPr>
          <w:rFonts w:eastAsia="黑体" w:cs="Times New Roman"/>
          <w:b/>
          <w:bCs/>
          <w:sz w:val="28"/>
          <w:szCs w:val="28"/>
        </w:rPr>
      </w:pPr>
      <w:r>
        <w:rPr>
          <w:rFonts w:eastAsia="黑体"/>
          <w:b/>
          <w:bCs/>
          <w:sz w:val="28"/>
          <w:szCs w:val="28"/>
        </w:rPr>
        <w:t>20</w:t>
      </w:r>
      <w:r>
        <w:rPr>
          <w:rFonts w:hint="eastAsia" w:eastAsia="黑体"/>
          <w:b/>
          <w:bCs/>
          <w:color w:val="000000"/>
          <w:sz w:val="28"/>
          <w:szCs w:val="28"/>
          <w:lang w:val="en-US" w:eastAsia="zh-CN"/>
        </w:rPr>
        <w:t>XX</w:t>
      </w:r>
      <w:r>
        <w:rPr>
          <w:rFonts w:hint="eastAsia" w:eastAsia="黑体" w:cs="黑体"/>
          <w:b/>
          <w:bCs/>
          <w:sz w:val="28"/>
          <w:szCs w:val="28"/>
        </w:rPr>
        <w:t>－</w:t>
      </w:r>
      <w:r>
        <w:rPr>
          <w:rFonts w:hint="eastAsia" w:eastAsia="黑体"/>
          <w:b/>
          <w:bCs/>
          <w:sz w:val="28"/>
          <w:szCs w:val="28"/>
          <w:lang w:val="en-US" w:eastAsia="zh-CN"/>
        </w:rPr>
        <w:t>XX</w:t>
      </w:r>
      <w:r>
        <w:rPr>
          <w:rFonts w:hint="eastAsia" w:eastAsia="黑体" w:cs="黑体"/>
          <w:b/>
          <w:bCs/>
          <w:sz w:val="28"/>
          <w:szCs w:val="28"/>
        </w:rPr>
        <w:t>－</w:t>
      </w:r>
      <w:r>
        <w:rPr>
          <w:rFonts w:hint="eastAsia" w:eastAsia="黑体"/>
          <w:b/>
          <w:bCs/>
          <w:sz w:val="28"/>
          <w:szCs w:val="28"/>
          <w:lang w:val="en-US" w:eastAsia="zh-CN"/>
        </w:rPr>
        <w:t>XX</w:t>
      </w:r>
      <w:r>
        <w:rPr>
          <w:rFonts w:hint="eastAsia" w:eastAsia="黑体" w:cs="黑体"/>
          <w:b/>
          <w:bCs/>
          <w:sz w:val="28"/>
          <w:szCs w:val="28"/>
        </w:rPr>
        <w:t>发布</w:t>
      </w:r>
      <w:r>
        <w:rPr>
          <w:rFonts w:eastAsia="黑体"/>
          <w:b/>
          <w:bCs/>
          <w:sz w:val="28"/>
          <w:szCs w:val="28"/>
        </w:rPr>
        <w:t xml:space="preserve">                        20</w:t>
      </w:r>
      <w:r>
        <w:rPr>
          <w:rFonts w:hint="eastAsia" w:eastAsia="黑体"/>
          <w:b/>
          <w:bCs/>
          <w:color w:val="000000"/>
          <w:sz w:val="28"/>
          <w:szCs w:val="28"/>
          <w:lang w:val="en-US" w:eastAsia="zh-CN"/>
        </w:rPr>
        <w:t>XX</w:t>
      </w:r>
      <w:r>
        <w:rPr>
          <w:rFonts w:hint="eastAsia" w:eastAsia="黑体" w:cs="黑体"/>
          <w:b/>
          <w:bCs/>
          <w:sz w:val="28"/>
          <w:szCs w:val="28"/>
        </w:rPr>
        <w:t>－</w:t>
      </w:r>
      <w:r>
        <w:rPr>
          <w:rFonts w:hint="eastAsia" w:eastAsia="黑体"/>
          <w:b/>
          <w:bCs/>
          <w:sz w:val="28"/>
          <w:szCs w:val="28"/>
          <w:lang w:val="en-US" w:eastAsia="zh-CN"/>
        </w:rPr>
        <w:t>XX</w:t>
      </w:r>
      <w:r>
        <w:rPr>
          <w:rFonts w:hint="eastAsia" w:eastAsia="黑体" w:cs="黑体"/>
          <w:b/>
          <w:bCs/>
          <w:sz w:val="28"/>
          <w:szCs w:val="28"/>
        </w:rPr>
        <w:t>－</w:t>
      </w:r>
      <w:r>
        <w:rPr>
          <w:rFonts w:hint="eastAsia" w:eastAsia="黑体"/>
          <w:b/>
          <w:bCs/>
          <w:sz w:val="28"/>
          <w:szCs w:val="28"/>
          <w:lang w:val="en-US" w:eastAsia="zh-CN"/>
        </w:rPr>
        <w:t>XX</w:t>
      </w:r>
      <w:r>
        <w:rPr>
          <w:rFonts w:hint="eastAsia" w:eastAsia="黑体" w:cs="黑体"/>
          <w:b/>
          <w:bCs/>
          <w:sz w:val="28"/>
          <w:szCs w:val="28"/>
        </w:rPr>
        <w:t>实施</w:t>
      </w:r>
    </w:p>
    <w:p>
      <w:pPr>
        <w:rPr>
          <w:rFonts w:cs="Times New Roman"/>
          <w:sz w:val="28"/>
          <w:szCs w:val="28"/>
        </w:rPr>
      </w:pPr>
      <w: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24765</wp:posOffset>
                </wp:positionV>
                <wp:extent cx="55137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5137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15pt;margin-top:1.95pt;height:0.05pt;width:434.15pt;z-index:251662336;mso-width-relative:page;mso-height-relative:page;" filled="f" stroked="t" coordsize="21600,21600" o:gfxdata="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7rNj3WAAAABwEAAA8AAAAAAAAAAQAgAAAAIgAAAGRycy9kb3ducmV2LnhtbFBLAQIU&#10;ABQAAAAIAIdO4kAUxBRZ9QEAAOYDAAAOAAAAAAAAAAEAIAAAACUBAABkcnMvZTJvRG9jLnhtbFBL&#10;BQYAAAAABgAGAFkBAACMBQAAAAA=&#10;">
                <v:fill on="f" focussize="0,0"/>
                <v:stroke color="#000000" joinstyle="round"/>
                <v:imagedata o:title=""/>
                <o:lock v:ext="edit" aspectratio="f"/>
              </v:line>
            </w:pict>
          </mc:Fallback>
        </mc:AlternateContent>
      </w:r>
    </w:p>
    <w:p>
      <w:pPr>
        <w:jc w:val="center"/>
        <w:rPr>
          <w:rFonts w:ascii="黑体" w:eastAsia="黑体" w:cs="Times New Roman"/>
          <w:b/>
          <w:bCs/>
          <w:sz w:val="32"/>
          <w:szCs w:val="32"/>
        </w:rPr>
      </w:pPr>
      <w:r>
        <w:rPr>
          <w:rFonts w:hint="eastAsia" w:ascii="黑体" w:eastAsia="黑体" w:cs="黑体"/>
          <w:b/>
          <w:bCs/>
          <w:sz w:val="32"/>
          <w:szCs w:val="32"/>
        </w:rPr>
        <w:t>中华人民共和国住房和城乡建设部</w:t>
      </w:r>
      <w:r>
        <w:rPr>
          <w:rFonts w:ascii="黑体" w:eastAsia="黑体" w:cs="黑体"/>
          <w:b/>
          <w:bCs/>
          <w:sz w:val="32"/>
          <w:szCs w:val="32"/>
        </w:rPr>
        <w:t xml:space="preserve">  </w:t>
      </w:r>
      <w:r>
        <w:rPr>
          <w:rFonts w:hint="eastAsia" w:ascii="黑体" w:eastAsia="黑体" w:cs="黑体"/>
          <w:b/>
          <w:bCs/>
          <w:sz w:val="32"/>
          <w:szCs w:val="32"/>
        </w:rPr>
        <w:t>发布</w:t>
      </w:r>
    </w:p>
    <w:p>
      <w:pPr>
        <w:jc w:val="center"/>
        <w:rPr>
          <w:b/>
          <w:sz w:val="28"/>
          <w:szCs w:val="28"/>
        </w:rPr>
        <w:sectPr>
          <w:pgSz w:w="11906" w:h="16838"/>
          <w:pgMar w:top="1440" w:right="1800" w:bottom="1440" w:left="1800" w:header="851" w:footer="992" w:gutter="0"/>
          <w:cols w:space="720" w:num="1"/>
          <w:docGrid w:type="lines" w:linePitch="312" w:charSpace="0"/>
        </w:sectPr>
      </w:pPr>
    </w:p>
    <w:p>
      <w:pPr>
        <w:jc w:val="center"/>
        <w:rPr>
          <w:b/>
          <w:sz w:val="28"/>
          <w:szCs w:val="28"/>
        </w:rPr>
      </w:pPr>
      <w:r>
        <w:rPr>
          <w:b/>
          <w:sz w:val="28"/>
          <w:szCs w:val="28"/>
        </w:rPr>
        <w:t>修订说明</w:t>
      </w:r>
    </w:p>
    <w:p>
      <w:pPr>
        <w:spacing w:line="360" w:lineRule="auto"/>
        <w:ind w:firstLine="512" w:firstLineChars="200"/>
        <w:rPr>
          <w:spacing w:val="8"/>
          <w:kern w:val="0"/>
          <w:sz w:val="24"/>
          <w:szCs w:val="24"/>
        </w:rPr>
      </w:pPr>
      <w:r>
        <w:rPr>
          <w:rFonts w:hint="eastAsia"/>
          <w:spacing w:val="8"/>
          <w:kern w:val="0"/>
          <w:sz w:val="24"/>
          <w:szCs w:val="24"/>
        </w:rPr>
        <w:t>本</w:t>
      </w:r>
      <w:r>
        <w:rPr>
          <w:rFonts w:hint="eastAsia"/>
          <w:spacing w:val="8"/>
          <w:kern w:val="0"/>
          <w:sz w:val="24"/>
          <w:szCs w:val="24"/>
          <w:lang w:val="en-US" w:eastAsia="zh-CN"/>
        </w:rPr>
        <w:t>标准</w:t>
      </w:r>
      <w:r>
        <w:rPr>
          <w:rFonts w:hint="eastAsia"/>
          <w:spacing w:val="8"/>
          <w:kern w:val="0"/>
          <w:sz w:val="24"/>
          <w:szCs w:val="24"/>
        </w:rPr>
        <w:t>此次局部修订工作</w:t>
      </w:r>
      <w:r>
        <w:rPr>
          <w:spacing w:val="8"/>
          <w:kern w:val="0"/>
          <w:sz w:val="24"/>
          <w:szCs w:val="24"/>
        </w:rPr>
        <w:t>是根据</w:t>
      </w:r>
      <w:r>
        <w:rPr>
          <w:rFonts w:hint="eastAsia"/>
          <w:spacing w:val="8"/>
          <w:kern w:val="0"/>
          <w:sz w:val="24"/>
          <w:szCs w:val="24"/>
        </w:rPr>
        <w:t>住房和城乡建设部《关于印发2022年工程建设规范标准编制及相关工作计划的通知》（建标函〔2022〕21号）</w:t>
      </w:r>
      <w:r>
        <w:rPr>
          <w:spacing w:val="8"/>
          <w:kern w:val="0"/>
          <w:sz w:val="24"/>
          <w:szCs w:val="24"/>
        </w:rPr>
        <w:t>的要求，由</w:t>
      </w:r>
      <w:r>
        <w:rPr>
          <w:rFonts w:hint="eastAsia"/>
          <w:spacing w:val="8"/>
          <w:kern w:val="0"/>
          <w:sz w:val="24"/>
          <w:szCs w:val="24"/>
        </w:rPr>
        <w:t>成都市住房和城乡建设局</w:t>
      </w:r>
      <w:r>
        <w:rPr>
          <w:spacing w:val="8"/>
          <w:kern w:val="0"/>
          <w:sz w:val="24"/>
          <w:szCs w:val="24"/>
        </w:rPr>
        <w:t>会同有关单位</w:t>
      </w:r>
      <w:r>
        <w:rPr>
          <w:rFonts w:hint="eastAsia"/>
          <w:spacing w:val="8"/>
          <w:kern w:val="0"/>
          <w:sz w:val="24"/>
          <w:szCs w:val="24"/>
          <w:lang w:val="en-US" w:eastAsia="zh-CN"/>
        </w:rPr>
        <w:t>共同完成</w:t>
      </w:r>
      <w:r>
        <w:rPr>
          <w:spacing w:val="8"/>
          <w:kern w:val="0"/>
          <w:sz w:val="24"/>
          <w:szCs w:val="24"/>
        </w:rPr>
        <w:t>。</w:t>
      </w:r>
    </w:p>
    <w:p>
      <w:pPr>
        <w:spacing w:line="360" w:lineRule="auto"/>
        <w:ind w:firstLine="512" w:firstLineChars="200"/>
        <w:rPr>
          <w:sz w:val="24"/>
          <w:szCs w:val="24"/>
        </w:rPr>
      </w:pPr>
      <w:r>
        <w:rPr>
          <w:spacing w:val="8"/>
          <w:kern w:val="0"/>
          <w:sz w:val="24"/>
          <w:szCs w:val="24"/>
        </w:rPr>
        <w:t>本次修订</w:t>
      </w:r>
      <w:r>
        <w:rPr>
          <w:sz w:val="24"/>
          <w:szCs w:val="24"/>
        </w:rPr>
        <w:t>的主要内容</w:t>
      </w:r>
      <w:r>
        <w:rPr>
          <w:rFonts w:hint="eastAsia"/>
          <w:sz w:val="24"/>
          <w:szCs w:val="24"/>
          <w:lang w:val="en-US" w:eastAsia="zh-CN"/>
        </w:rPr>
        <w:t>包括</w:t>
      </w:r>
      <w:r>
        <w:rPr>
          <w:sz w:val="24"/>
          <w:szCs w:val="24"/>
        </w:rPr>
        <w:t>：</w:t>
      </w:r>
    </w:p>
    <w:p>
      <w:pPr>
        <w:numPr>
          <w:ilvl w:val="0"/>
          <w:numId w:val="0"/>
        </w:numPr>
        <w:spacing w:line="360" w:lineRule="auto"/>
        <w:ind w:firstLine="480" w:firstLineChars="200"/>
        <w:rPr>
          <w:rFonts w:hint="eastAsia"/>
          <w:sz w:val="24"/>
          <w:szCs w:val="24"/>
        </w:rPr>
      </w:pPr>
      <w:r>
        <w:rPr>
          <w:rFonts w:hint="eastAsia"/>
          <w:sz w:val="24"/>
          <w:szCs w:val="24"/>
          <w:lang w:val="en-US" w:eastAsia="zh-CN"/>
        </w:rPr>
        <w:t>1.</w:t>
      </w:r>
      <w:r>
        <w:rPr>
          <w:rFonts w:hint="eastAsia"/>
          <w:sz w:val="24"/>
          <w:szCs w:val="24"/>
        </w:rPr>
        <w:t>增加</w:t>
      </w:r>
      <w:r>
        <w:rPr>
          <w:rFonts w:hint="eastAsia"/>
          <w:sz w:val="24"/>
          <w:szCs w:val="24"/>
          <w:lang w:val="en-US" w:eastAsia="zh-CN"/>
        </w:rPr>
        <w:t>了</w:t>
      </w:r>
      <w:r>
        <w:rPr>
          <w:rFonts w:hint="eastAsia"/>
          <w:sz w:val="24"/>
          <w:szCs w:val="24"/>
        </w:rPr>
        <w:t>共</w:t>
      </w:r>
      <w:r>
        <w:rPr>
          <w:rFonts w:hint="eastAsia"/>
          <w:sz w:val="24"/>
          <w:szCs w:val="24"/>
          <w:lang w:val="en-US" w:eastAsia="zh-CN"/>
        </w:rPr>
        <w:t>有</w:t>
      </w:r>
      <w:r>
        <w:rPr>
          <w:rFonts w:hint="eastAsia"/>
          <w:sz w:val="24"/>
          <w:szCs w:val="24"/>
        </w:rPr>
        <w:t>部位及共用设施设备保养记录数据、共</w:t>
      </w:r>
      <w:r>
        <w:rPr>
          <w:rFonts w:hint="eastAsia"/>
          <w:sz w:val="24"/>
          <w:szCs w:val="24"/>
          <w:lang w:val="en-US" w:eastAsia="zh-CN"/>
        </w:rPr>
        <w:t>有</w:t>
      </w:r>
      <w:r>
        <w:rPr>
          <w:rFonts w:hint="eastAsia"/>
          <w:sz w:val="24"/>
          <w:szCs w:val="24"/>
        </w:rPr>
        <w:t>部位及共用设施设备巡检记录数据、业务办理记录数据；</w:t>
      </w:r>
    </w:p>
    <w:p>
      <w:pPr>
        <w:numPr>
          <w:ilvl w:val="0"/>
          <w:numId w:val="0"/>
        </w:numPr>
        <w:spacing w:line="360" w:lineRule="auto"/>
        <w:ind w:firstLine="480" w:firstLineChars="200"/>
        <w:rPr>
          <w:rFonts w:hint="eastAsia"/>
          <w:sz w:val="24"/>
          <w:szCs w:val="24"/>
        </w:rPr>
      </w:pPr>
      <w:r>
        <w:rPr>
          <w:rFonts w:hint="eastAsia"/>
          <w:sz w:val="24"/>
          <w:szCs w:val="24"/>
        </w:rPr>
        <w:t>2.增加</w:t>
      </w:r>
      <w:r>
        <w:rPr>
          <w:rFonts w:hint="eastAsia"/>
          <w:sz w:val="24"/>
          <w:szCs w:val="24"/>
          <w:lang w:val="en-US" w:eastAsia="zh-CN"/>
        </w:rPr>
        <w:t>了</w:t>
      </w:r>
      <w:r>
        <w:rPr>
          <w:rFonts w:hint="eastAsia"/>
          <w:sz w:val="24"/>
          <w:szCs w:val="24"/>
        </w:rPr>
        <w:t>共</w:t>
      </w:r>
      <w:r>
        <w:rPr>
          <w:rFonts w:hint="eastAsia"/>
          <w:sz w:val="24"/>
          <w:szCs w:val="24"/>
          <w:lang w:val="en-US" w:eastAsia="zh-CN"/>
        </w:rPr>
        <w:t>有</w:t>
      </w:r>
      <w:r>
        <w:rPr>
          <w:rFonts w:hint="eastAsia"/>
          <w:sz w:val="24"/>
          <w:szCs w:val="24"/>
        </w:rPr>
        <w:t>部位及共用设施设备、业务办理记录数据编码；</w:t>
      </w:r>
    </w:p>
    <w:p>
      <w:pPr>
        <w:numPr>
          <w:ilvl w:val="0"/>
          <w:numId w:val="0"/>
        </w:numPr>
        <w:spacing w:line="360" w:lineRule="auto"/>
        <w:ind w:firstLine="480" w:firstLineChars="200"/>
        <w:rPr>
          <w:rFonts w:hint="eastAsia"/>
          <w:sz w:val="24"/>
          <w:szCs w:val="24"/>
        </w:rPr>
      </w:pPr>
      <w:r>
        <w:rPr>
          <w:rFonts w:hint="eastAsia"/>
          <w:sz w:val="24"/>
          <w:szCs w:val="24"/>
        </w:rPr>
        <w:t>3.增加</w:t>
      </w:r>
      <w:r>
        <w:rPr>
          <w:rFonts w:hint="eastAsia"/>
          <w:sz w:val="24"/>
          <w:szCs w:val="24"/>
          <w:lang w:val="en-US" w:eastAsia="zh-CN"/>
        </w:rPr>
        <w:t>了</w:t>
      </w:r>
      <w:r>
        <w:rPr>
          <w:rFonts w:hint="eastAsia"/>
          <w:sz w:val="24"/>
          <w:szCs w:val="24"/>
        </w:rPr>
        <w:t>物业区域、幢的坐标信息；增加设施设备购买保险信息；增加交款类型信息；修订档案数据相关信息；</w:t>
      </w:r>
    </w:p>
    <w:p>
      <w:pPr>
        <w:numPr>
          <w:ilvl w:val="0"/>
          <w:numId w:val="0"/>
        </w:numPr>
        <w:spacing w:line="360" w:lineRule="auto"/>
        <w:ind w:firstLine="480" w:firstLineChars="200"/>
        <w:rPr>
          <w:rFonts w:hint="eastAsia"/>
          <w:sz w:val="24"/>
          <w:szCs w:val="24"/>
        </w:rPr>
      </w:pPr>
      <w:r>
        <w:rPr>
          <w:rFonts w:hint="eastAsia"/>
          <w:sz w:val="24"/>
          <w:szCs w:val="24"/>
        </w:rPr>
        <w:t>4.</w:t>
      </w:r>
      <w:r>
        <w:rPr>
          <w:rFonts w:hint="eastAsia"/>
          <w:sz w:val="24"/>
          <w:szCs w:val="24"/>
          <w:lang w:val="en-US" w:eastAsia="zh-CN"/>
        </w:rPr>
        <w:t>完善了</w:t>
      </w:r>
      <w:r>
        <w:rPr>
          <w:rFonts w:hint="eastAsia"/>
          <w:sz w:val="24"/>
          <w:szCs w:val="24"/>
        </w:rPr>
        <w:t>主要属性值代码表。</w:t>
      </w:r>
    </w:p>
    <w:p>
      <w:pPr>
        <w:spacing w:line="360" w:lineRule="auto"/>
        <w:ind w:firstLine="542" w:firstLineChars="212"/>
        <w:rPr>
          <w:rFonts w:hint="eastAsia"/>
          <w:spacing w:val="8"/>
          <w:kern w:val="0"/>
          <w:sz w:val="24"/>
          <w:szCs w:val="24"/>
        </w:rPr>
      </w:pPr>
      <w:r>
        <w:rPr>
          <w:rFonts w:hint="eastAsia"/>
          <w:spacing w:val="8"/>
          <w:kern w:val="0"/>
          <w:sz w:val="24"/>
          <w:szCs w:val="24"/>
        </w:rPr>
        <w:t>此次局部修订共</w:t>
      </w:r>
      <w:r>
        <w:rPr>
          <w:rFonts w:hint="eastAsia"/>
          <w:spacing w:val="8"/>
          <w:kern w:val="0"/>
          <w:sz w:val="24"/>
          <w:szCs w:val="24"/>
          <w:lang w:val="en-US" w:eastAsia="zh-CN"/>
        </w:rPr>
        <w:t>33</w:t>
      </w:r>
      <w:r>
        <w:rPr>
          <w:rFonts w:hint="eastAsia"/>
          <w:spacing w:val="8"/>
          <w:kern w:val="0"/>
          <w:sz w:val="24"/>
          <w:szCs w:val="24"/>
        </w:rPr>
        <w:t>条，分别为：</w:t>
      </w:r>
    </w:p>
    <w:p>
      <w:pPr>
        <w:spacing w:line="360" w:lineRule="auto"/>
        <w:ind w:firstLine="542" w:firstLineChars="212"/>
        <w:rPr>
          <w:rFonts w:hint="eastAsia"/>
          <w:spacing w:val="8"/>
          <w:kern w:val="0"/>
          <w:sz w:val="24"/>
          <w:szCs w:val="24"/>
        </w:rPr>
      </w:pPr>
      <w:r>
        <w:rPr>
          <w:rFonts w:hint="eastAsia"/>
          <w:spacing w:val="8"/>
          <w:kern w:val="0"/>
          <w:sz w:val="24"/>
          <w:szCs w:val="24"/>
          <w:lang w:val="en-US" w:eastAsia="zh-CN"/>
        </w:rPr>
        <w:t>2.0.1、2.0.3、2.0.4、2.0.8、3.1.2、3.2.1、3.2.2、3.3.1、</w:t>
      </w:r>
      <w:r>
        <w:rPr>
          <w:rFonts w:hint="eastAsia"/>
          <w:spacing w:val="8"/>
          <w:kern w:val="0"/>
          <w:sz w:val="24"/>
          <w:szCs w:val="24"/>
        </w:rPr>
        <w:t>3.3.2、3.6.2、4.1.2、</w:t>
      </w:r>
      <w:r>
        <w:rPr>
          <w:rFonts w:hint="eastAsia"/>
          <w:spacing w:val="8"/>
          <w:kern w:val="0"/>
          <w:sz w:val="24"/>
          <w:szCs w:val="24"/>
          <w:lang w:val="en-US" w:eastAsia="zh-CN"/>
        </w:rPr>
        <w:t>4.2.2、</w:t>
      </w:r>
      <w:r>
        <w:rPr>
          <w:rFonts w:hint="eastAsia"/>
          <w:spacing w:val="8"/>
          <w:kern w:val="0"/>
          <w:sz w:val="24"/>
          <w:szCs w:val="24"/>
        </w:rPr>
        <w:t>5.2.1、5.2.2、5.2.3、</w:t>
      </w:r>
      <w:r>
        <w:rPr>
          <w:rFonts w:hint="eastAsia"/>
          <w:spacing w:val="8"/>
          <w:kern w:val="0"/>
          <w:sz w:val="24"/>
          <w:szCs w:val="24"/>
          <w:lang w:val="en-US" w:eastAsia="zh-CN"/>
        </w:rPr>
        <w:t>5.3.1、</w:t>
      </w:r>
      <w:r>
        <w:rPr>
          <w:rFonts w:hint="eastAsia"/>
          <w:spacing w:val="8"/>
          <w:kern w:val="0"/>
          <w:sz w:val="24"/>
          <w:szCs w:val="24"/>
        </w:rPr>
        <w:t>5.3.2、</w:t>
      </w:r>
      <w:r>
        <w:rPr>
          <w:rFonts w:hint="eastAsia"/>
          <w:spacing w:val="8"/>
          <w:kern w:val="0"/>
          <w:sz w:val="24"/>
          <w:szCs w:val="24"/>
          <w:lang w:val="en-US" w:eastAsia="zh-CN"/>
        </w:rPr>
        <w:t>5.3.3、</w:t>
      </w:r>
      <w:r>
        <w:rPr>
          <w:rFonts w:hint="eastAsia"/>
          <w:spacing w:val="8"/>
          <w:kern w:val="0"/>
          <w:sz w:val="24"/>
          <w:szCs w:val="24"/>
        </w:rPr>
        <w:t>5.3.4、5.3.5、5.4.2、5.4.11、5.6.1、5.6.11、5.10.1、5.10.2、5.10.3、5.10.4、</w:t>
      </w:r>
      <w:r>
        <w:rPr>
          <w:rFonts w:hint="eastAsia"/>
          <w:spacing w:val="8"/>
          <w:kern w:val="0"/>
          <w:sz w:val="24"/>
          <w:szCs w:val="24"/>
          <w:lang w:val="en-US" w:eastAsia="zh-CN"/>
        </w:rPr>
        <w:t>6.2.1、6.3.1、6.3.2、A.0.10条</w:t>
      </w:r>
      <w:r>
        <w:rPr>
          <w:rFonts w:hint="eastAsia"/>
          <w:spacing w:val="8"/>
          <w:kern w:val="0"/>
          <w:sz w:val="24"/>
          <w:szCs w:val="24"/>
        </w:rPr>
        <w:t>。其中新增4条，删除3条</w:t>
      </w:r>
      <w:r>
        <w:rPr>
          <w:rFonts w:hint="eastAsia"/>
          <w:spacing w:val="8"/>
          <w:kern w:val="0"/>
          <w:sz w:val="24"/>
          <w:szCs w:val="24"/>
          <w:lang w:eastAsia="zh-CN"/>
        </w:rPr>
        <w:t>，</w:t>
      </w:r>
      <w:r>
        <w:rPr>
          <w:rFonts w:hint="eastAsia"/>
          <w:spacing w:val="8"/>
          <w:kern w:val="0"/>
          <w:sz w:val="24"/>
          <w:szCs w:val="24"/>
          <w:lang w:val="en-US" w:eastAsia="zh-CN"/>
        </w:rPr>
        <w:t>修订25条</w:t>
      </w:r>
      <w:r>
        <w:rPr>
          <w:rFonts w:hint="eastAsia"/>
          <w:spacing w:val="8"/>
          <w:kern w:val="0"/>
          <w:sz w:val="24"/>
          <w:szCs w:val="24"/>
        </w:rPr>
        <w:t>。</w:t>
      </w:r>
    </w:p>
    <w:p>
      <w:pPr>
        <w:numPr>
          <w:ilvl w:val="0"/>
          <w:numId w:val="0"/>
        </w:numPr>
        <w:spacing w:line="360" w:lineRule="auto"/>
        <w:ind w:firstLine="480" w:firstLineChars="200"/>
        <w:rPr>
          <w:rFonts w:hint="eastAsia"/>
          <w:sz w:val="24"/>
          <w:szCs w:val="24"/>
        </w:rPr>
      </w:pPr>
      <w:r>
        <w:rPr>
          <w:rFonts w:hint="eastAsia"/>
          <w:sz w:val="24"/>
          <w:szCs w:val="24"/>
        </w:rPr>
        <w:t>本</w:t>
      </w:r>
      <w:r>
        <w:rPr>
          <w:rFonts w:hint="eastAsia"/>
          <w:sz w:val="24"/>
          <w:szCs w:val="24"/>
          <w:lang w:val="en-US" w:eastAsia="zh-CN"/>
        </w:rPr>
        <w:t>标准</w:t>
      </w:r>
      <w:r>
        <w:rPr>
          <w:rFonts w:hint="eastAsia"/>
          <w:sz w:val="24"/>
          <w:szCs w:val="24"/>
        </w:rPr>
        <w:t>中方框部分为删除内容，下划线部分为增加内容。</w:t>
      </w:r>
    </w:p>
    <w:p>
      <w:pPr>
        <w:autoSpaceDE w:val="0"/>
        <w:autoSpaceDN w:val="0"/>
        <w:adjustRightInd w:val="0"/>
        <w:spacing w:line="360" w:lineRule="auto"/>
        <w:ind w:firstLine="480" w:firstLineChars="200"/>
        <w:rPr>
          <w:rFonts w:hint="eastAsia" w:ascii="Times New Roman" w:hAnsi="Times New Roman"/>
          <w:bCs/>
          <w:kern w:val="0"/>
          <w:sz w:val="24"/>
          <w:szCs w:val="24"/>
        </w:rPr>
      </w:pPr>
      <w:r>
        <w:rPr>
          <w:rFonts w:hint="eastAsia" w:ascii="Times New Roman" w:hAnsi="Times New Roman"/>
          <w:bCs/>
          <w:kern w:val="0"/>
          <w:sz w:val="24"/>
          <w:szCs w:val="24"/>
        </w:rPr>
        <w:t>本次局部修订主编单位：</w:t>
      </w:r>
    </w:p>
    <w:p>
      <w:pPr>
        <w:autoSpaceDE w:val="0"/>
        <w:autoSpaceDN w:val="0"/>
        <w:adjustRightInd w:val="0"/>
        <w:spacing w:line="360" w:lineRule="auto"/>
        <w:ind w:firstLine="480" w:firstLineChars="200"/>
        <w:rPr>
          <w:rFonts w:hint="eastAsia" w:ascii="Times New Roman" w:hAnsi="Times New Roman"/>
          <w:bCs/>
          <w:kern w:val="0"/>
          <w:sz w:val="24"/>
          <w:szCs w:val="24"/>
        </w:rPr>
      </w:pPr>
      <w:r>
        <w:rPr>
          <w:rFonts w:hint="eastAsia" w:ascii="Times New Roman" w:hAnsi="Times New Roman"/>
          <w:bCs/>
          <w:kern w:val="0"/>
          <w:sz w:val="24"/>
          <w:szCs w:val="24"/>
        </w:rPr>
        <w:t>本次局部修订参编单位：</w:t>
      </w:r>
    </w:p>
    <w:p>
      <w:pPr>
        <w:autoSpaceDE w:val="0"/>
        <w:autoSpaceDN w:val="0"/>
        <w:adjustRightInd w:val="0"/>
        <w:spacing w:line="360" w:lineRule="auto"/>
        <w:ind w:firstLine="480" w:firstLineChars="200"/>
        <w:rPr>
          <w:rFonts w:hint="eastAsia" w:ascii="Times New Roman" w:hAnsi="Times New Roman"/>
          <w:bCs/>
          <w:kern w:val="0"/>
          <w:sz w:val="24"/>
          <w:szCs w:val="24"/>
        </w:rPr>
      </w:pPr>
      <w:r>
        <w:rPr>
          <w:rFonts w:hint="eastAsia" w:ascii="Times New Roman" w:hAnsi="Times New Roman"/>
          <w:bCs/>
          <w:kern w:val="0"/>
          <w:sz w:val="24"/>
          <w:szCs w:val="24"/>
        </w:rPr>
        <w:t>本标准主要起草人：</w:t>
      </w:r>
    </w:p>
    <w:p>
      <w:pPr>
        <w:autoSpaceDE w:val="0"/>
        <w:autoSpaceDN w:val="0"/>
        <w:adjustRightInd w:val="0"/>
        <w:spacing w:line="360" w:lineRule="auto"/>
        <w:ind w:firstLine="480" w:firstLineChars="200"/>
        <w:rPr>
          <w:rFonts w:ascii="Times New Roman" w:hAnsi="Times New Roman" w:eastAsia="黑体"/>
          <w:sz w:val="28"/>
          <w:szCs w:val="28"/>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Times New Roman" w:hAnsi="Times New Roman"/>
          <w:bCs/>
          <w:kern w:val="0"/>
          <w:sz w:val="24"/>
          <w:szCs w:val="24"/>
        </w:rPr>
        <w:t>本标准主要审查人</w:t>
      </w:r>
    </w:p>
    <w:p>
      <w:pPr>
        <w:spacing w:line="360" w:lineRule="auto"/>
        <w:ind w:firstLine="0"/>
        <w:jc w:val="center"/>
        <w:rPr>
          <w:rFonts w:hint="eastAsia" w:ascii="Times New Roman" w:hAnsi="Times New Roman" w:cs="Times New Roman" w:eastAsiaTheme="minorEastAsia"/>
          <w:b/>
          <w:sz w:val="32"/>
          <w:szCs w:val="32"/>
        </w:rPr>
      </w:pPr>
      <w:r>
        <w:rPr>
          <w:rFonts w:hint="eastAsia" w:ascii="Times New Roman" w:hAnsi="Times New Roman" w:cs="Times New Roman" w:eastAsiaTheme="minorEastAsia"/>
          <w:b/>
          <w:sz w:val="32"/>
          <w:szCs w:val="32"/>
        </w:rPr>
        <w:t>《住宅专项维修资金管理基础信息数据标准》CJJ/T258-20XX</w:t>
      </w:r>
    </w:p>
    <w:p>
      <w:pPr>
        <w:spacing w:line="360" w:lineRule="auto"/>
        <w:ind w:firstLine="0"/>
        <w:jc w:val="center"/>
        <w:rPr>
          <w:rFonts w:hint="eastAsia" w:ascii="Times New Roman" w:hAnsi="Times New Roman" w:cs="Times New Roman" w:eastAsiaTheme="minorEastAsia"/>
          <w:b/>
          <w:sz w:val="32"/>
          <w:szCs w:val="32"/>
        </w:rPr>
      </w:pPr>
      <w:r>
        <w:rPr>
          <w:rFonts w:hint="eastAsia" w:ascii="Times New Roman" w:hAnsi="Times New Roman" w:cs="Times New Roman" w:eastAsiaTheme="minorEastAsia"/>
          <w:b/>
          <w:sz w:val="32"/>
          <w:szCs w:val="32"/>
        </w:rPr>
        <w:t>修订对照表</w:t>
      </w:r>
    </w:p>
    <w:p>
      <w:pPr>
        <w:spacing w:line="360" w:lineRule="auto"/>
        <w:jc w:val="center"/>
        <w:rPr>
          <w:rFonts w:hint="eastAsia" w:ascii="楷体" w:hAnsi="楷体" w:eastAsia="楷体" w:cs="Times New Roman"/>
          <w:b/>
          <w:sz w:val="28"/>
        </w:rPr>
      </w:pPr>
      <w:r>
        <w:rPr>
          <w:rFonts w:hint="eastAsia" w:ascii="楷体" w:hAnsi="楷体" w:eastAsia="楷体" w:cs="Times New Roman"/>
          <w:b/>
          <w:sz w:val="28"/>
        </w:rPr>
        <w:t>（方框部分为删除内容，下划线部分为增加内容）</w:t>
      </w:r>
    </w:p>
    <w:tbl>
      <w:tblPr>
        <w:tblStyle w:val="6"/>
        <w:tblW w:w="83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38"/>
        <w:gridCol w:w="40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tblHeader/>
          <w:jc w:val="center"/>
        </w:trPr>
        <w:tc>
          <w:tcPr>
            <w:tcW w:w="4238" w:type="dxa"/>
            <w:vAlign w:val="center"/>
          </w:tcPr>
          <w:p>
            <w:pPr>
              <w:spacing w:line="360" w:lineRule="auto"/>
              <w:jc w:val="center"/>
              <w:rPr>
                <w:rFonts w:eastAsiaTheme="minorEastAsia"/>
                <w:b/>
                <w:bCs/>
                <w:color w:val="FF0000"/>
                <w:sz w:val="24"/>
                <w:szCs w:val="24"/>
              </w:rPr>
            </w:pPr>
            <w:r>
              <w:rPr>
                <w:rFonts w:eastAsiaTheme="minorEastAsia"/>
                <w:b/>
                <w:bCs/>
                <w:color w:val="000000" w:themeColor="text1"/>
                <w:sz w:val="24"/>
                <w:szCs w:val="24"/>
                <w14:textFill>
                  <w14:solidFill>
                    <w14:schemeClr w14:val="tx1"/>
                  </w14:solidFill>
                </w14:textFill>
              </w:rPr>
              <w:t>现行《标准》条文</w:t>
            </w:r>
          </w:p>
        </w:tc>
        <w:tc>
          <w:tcPr>
            <w:tcW w:w="4076" w:type="dxa"/>
            <w:vAlign w:val="center"/>
          </w:tcPr>
          <w:p>
            <w:pPr>
              <w:spacing w:line="360" w:lineRule="auto"/>
              <w:jc w:val="center"/>
              <w:rPr>
                <w:rFonts w:eastAsiaTheme="minorEastAsia"/>
                <w:b/>
                <w:bCs/>
                <w:color w:val="FF0000"/>
                <w:sz w:val="24"/>
                <w:szCs w:val="24"/>
              </w:rPr>
            </w:pPr>
            <w:r>
              <w:rPr>
                <w:rFonts w:eastAsiaTheme="minorEastAsia"/>
                <w:b/>
                <w:bCs/>
                <w:color w:val="000000" w:themeColor="text1"/>
                <w:sz w:val="24"/>
                <w:szCs w:val="24"/>
                <w14:textFill>
                  <w14:solidFill>
                    <w14:schemeClr w14:val="tx1"/>
                  </w14:solidFill>
                </w14:textFill>
              </w:rPr>
              <w:t>局部修订征求意见稿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eastAsia="zh-CN"/>
              </w:rPr>
            </w:pPr>
            <w:r>
              <w:rPr>
                <w:rFonts w:hint="eastAsia" w:eastAsiaTheme="minorEastAsia"/>
                <w:b/>
                <w:bCs/>
                <w:color w:val="auto"/>
                <w:spacing w:val="30"/>
                <w:kern w:val="36"/>
                <w:sz w:val="24"/>
                <w:szCs w:val="24"/>
                <w:lang w:val="en-US" w:eastAsia="zh-CN"/>
              </w:rPr>
              <w:t>2术语</w:t>
            </w:r>
          </w:p>
        </w:tc>
        <w:tc>
          <w:tcPr>
            <w:tcW w:w="4076" w:type="dxa"/>
            <w:vAlign w:val="center"/>
          </w:tcPr>
          <w:p>
            <w:pPr>
              <w:widowControl/>
              <w:shd w:val="clear" w:color="auto" w:fill="FFFFFF"/>
              <w:spacing w:before="300" w:after="150"/>
              <w:ind w:firstLine="0"/>
              <w:jc w:val="center"/>
              <w:outlineLvl w:val="0"/>
              <w:rPr>
                <w:rFonts w:eastAsiaTheme="minorEastAsia"/>
                <w:b/>
                <w:bCs/>
                <w:color w:val="FF0000"/>
                <w:spacing w:val="30"/>
                <w:kern w:val="36"/>
                <w:sz w:val="24"/>
                <w:szCs w:val="24"/>
              </w:rPr>
            </w:pPr>
            <w:r>
              <w:rPr>
                <w:rFonts w:hint="eastAsia" w:eastAsiaTheme="minorEastAsia"/>
                <w:b/>
                <w:bCs/>
                <w:color w:val="auto"/>
                <w:spacing w:val="30"/>
                <w:kern w:val="36"/>
                <w:sz w:val="24"/>
                <w:szCs w:val="24"/>
                <w:lang w:val="en-US" w:eastAsia="zh-CN"/>
              </w:rPr>
              <w:t>2术语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top"/>
          </w:tcPr>
          <w:p>
            <w:pPr>
              <w:pStyle w:val="11"/>
              <w:ind w:left="0" w:firstLine="0"/>
              <w:jc w:val="both"/>
              <w:outlineLvl w:val="0"/>
              <w:rPr>
                <w:rFonts w:hint="eastAsia" w:ascii="宋体" w:hAnsi="宋体" w:eastAsia="宋体" w:cs="宋体"/>
                <w:kern w:val="2"/>
                <w:sz w:val="24"/>
                <w:szCs w:val="24"/>
              </w:rPr>
            </w:pPr>
            <w:r>
              <w:rPr>
                <w:rFonts w:hint="eastAsia" w:ascii="宋体" w:hAnsi="宋体" w:eastAsia="宋体" w:cs="宋体"/>
                <w:b/>
                <w:bCs/>
                <w:sz w:val="24"/>
                <w:szCs w:val="24"/>
              </w:rPr>
              <w:t xml:space="preserve">2.0.1 </w:t>
            </w:r>
            <w:r>
              <w:rPr>
                <w:rFonts w:hint="eastAsia" w:ascii="宋体" w:hAnsi="宋体" w:eastAsia="宋体" w:cs="宋体"/>
                <w:sz w:val="24"/>
                <w:szCs w:val="24"/>
              </w:rPr>
              <w:t>住宅专项维修资金</w:t>
            </w:r>
            <w:r>
              <w:rPr>
                <w:rFonts w:hint="eastAsia" w:ascii="宋体" w:hAnsi="宋体" w:eastAsia="宋体" w:cs="宋体"/>
                <w:kern w:val="2"/>
                <w:sz w:val="24"/>
                <w:szCs w:val="24"/>
              </w:rPr>
              <w:t xml:space="preserve"> </w:t>
            </w:r>
            <w:r>
              <w:rPr>
                <w:rFonts w:hint="eastAsia" w:ascii="宋体" w:hAnsi="宋体" w:eastAsia="宋体" w:cs="宋体"/>
                <w:kern w:val="2"/>
                <w:sz w:val="24"/>
                <w:szCs w:val="24"/>
              </w:rPr>
              <w:t>special housing maintenance funds</w:t>
            </w:r>
          </w:p>
          <w:p>
            <w:pPr>
              <w:pStyle w:val="11"/>
              <w:ind w:left="0" w:firstLine="480" w:firstLineChars="200"/>
              <w:jc w:val="both"/>
              <w:outlineLvl w:val="0"/>
              <w:rPr>
                <w:rFonts w:eastAsiaTheme="minorEastAsia"/>
                <w:b/>
                <w:bCs/>
                <w:color w:val="FF0000"/>
                <w:spacing w:val="30"/>
                <w:kern w:val="36"/>
                <w:sz w:val="24"/>
                <w:szCs w:val="24"/>
              </w:rPr>
            </w:pPr>
            <w:r>
              <w:rPr>
                <w:rFonts w:hint="eastAsia" w:ascii="宋体" w:hAnsi="宋体" w:eastAsia="宋体" w:cs="宋体"/>
                <w:color w:val="000000"/>
                <w:sz w:val="24"/>
                <w:szCs w:val="24"/>
              </w:rPr>
              <w:t>专项用于住宅共用部位、共用设施设备保修期满后的维修和更新、改造的资金。</w:t>
            </w:r>
          </w:p>
        </w:tc>
        <w:tc>
          <w:tcPr>
            <w:tcW w:w="4076" w:type="dxa"/>
          </w:tcPr>
          <w:p>
            <w:pPr>
              <w:pStyle w:val="11"/>
              <w:ind w:left="0" w:firstLine="0"/>
              <w:outlineLvl w:val="0"/>
              <w:rPr>
                <w:rFonts w:hint="eastAsia" w:ascii="宋体" w:hAnsi="宋体" w:eastAsia="宋体" w:cs="宋体"/>
                <w:sz w:val="24"/>
                <w:szCs w:val="24"/>
              </w:rPr>
            </w:pPr>
            <w:r>
              <w:rPr>
                <w:rFonts w:hint="eastAsia" w:ascii="宋体" w:hAnsi="宋体" w:eastAsia="宋体" w:cs="宋体"/>
                <w:b/>
                <w:bCs/>
                <w:sz w:val="24"/>
                <w:szCs w:val="24"/>
              </w:rPr>
              <w:t xml:space="preserve">2.0.1 </w:t>
            </w:r>
            <w:r>
              <w:rPr>
                <w:rFonts w:hint="eastAsia" w:ascii="宋体" w:hAnsi="宋体" w:eastAsia="宋体" w:cs="宋体"/>
                <w:sz w:val="24"/>
                <w:szCs w:val="24"/>
              </w:rPr>
              <w:t xml:space="preserve">住宅专项维修资金 </w:t>
            </w:r>
            <w:r>
              <w:rPr>
                <w:rFonts w:hint="eastAsia" w:ascii="宋体" w:hAnsi="宋体" w:eastAsia="宋体" w:cs="宋体"/>
                <w:kern w:val="2"/>
                <w:sz w:val="24"/>
                <w:szCs w:val="24"/>
              </w:rPr>
              <w:t>special housing maintenance funds</w:t>
            </w:r>
          </w:p>
          <w:p>
            <w:pPr>
              <w:pStyle w:val="11"/>
              <w:ind w:left="0" w:firstLine="480" w:firstLineChars="200"/>
              <w:rPr>
                <w:rFonts w:asciiTheme="minorEastAsia" w:hAnsiTheme="minorEastAsia" w:eastAsiaTheme="minorEastAsia"/>
                <w:color w:val="FF0000"/>
                <w:sz w:val="24"/>
                <w:szCs w:val="24"/>
                <w:u w:val="single"/>
              </w:rPr>
            </w:pPr>
            <w:r>
              <w:rPr>
                <w:rFonts w:hint="eastAsia" w:ascii="宋体" w:hAnsi="宋体" w:eastAsia="宋体" w:cs="宋体"/>
                <w:color w:val="000000"/>
                <w:sz w:val="24"/>
                <w:szCs w:val="24"/>
              </w:rPr>
              <w:t>专项用于住宅</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color w:val="000000"/>
                <w:sz w:val="24"/>
                <w:szCs w:val="24"/>
              </w:rPr>
              <w:t>部位、共用设施设备保修期满后的维修和更新、改造的资金。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1"/>
              <w:ind w:left="0" w:leftChars="0" w:firstLine="0" w:firstLineChars="0"/>
              <w:jc w:val="both"/>
              <w:outlineLvl w:val="0"/>
              <w:rPr>
                <w:rFonts w:hint="eastAsia" w:ascii="宋体" w:hAnsi="宋体" w:eastAsia="宋体" w:cs="宋体"/>
                <w:color w:val="000000"/>
                <w:sz w:val="24"/>
                <w:szCs w:val="24"/>
              </w:rPr>
            </w:pPr>
            <w:r>
              <w:rPr>
                <w:rFonts w:hint="eastAsia" w:ascii="宋体" w:hAnsi="宋体" w:eastAsia="宋体" w:cs="宋体"/>
                <w:b/>
                <w:bCs/>
                <w:color w:val="000000"/>
                <w:sz w:val="24"/>
                <w:szCs w:val="24"/>
              </w:rPr>
              <w:t>2.0.3</w:t>
            </w:r>
            <w:r>
              <w:rPr>
                <w:rFonts w:hint="eastAsia" w:ascii="宋体" w:hAnsi="宋体" w:eastAsia="宋体" w:cs="宋体"/>
                <w:color w:val="000000"/>
                <w:sz w:val="24"/>
                <w:szCs w:val="24"/>
              </w:rPr>
              <w:t xml:space="preserve"> 楼幢 building</w:t>
            </w:r>
          </w:p>
          <w:p>
            <w:pPr>
              <w:pStyle w:val="11"/>
              <w:ind w:left="0" w:firstLine="480" w:firstLineChars="200"/>
              <w:jc w:val="both"/>
              <w:outlineLvl w:val="0"/>
              <w:rPr>
                <w:rFonts w:hint="eastAsia" w:eastAsiaTheme="minorEastAsia"/>
                <w:b/>
                <w:bCs/>
                <w:color w:val="auto"/>
                <w:spacing w:val="30"/>
                <w:kern w:val="36"/>
                <w:sz w:val="24"/>
                <w:szCs w:val="24"/>
              </w:rPr>
            </w:pPr>
            <w:r>
              <w:rPr>
                <w:rFonts w:hint="eastAsia" w:ascii="宋体" w:hAnsi="宋体" w:eastAsia="宋体" w:cs="宋体"/>
                <w:color w:val="000000"/>
                <w:sz w:val="24"/>
                <w:szCs w:val="24"/>
              </w:rPr>
              <w:t>物业区域内的自然幢或逻辑</w:t>
            </w:r>
            <w:bookmarkStart w:id="2" w:name="_GoBack"/>
            <w:bookmarkEnd w:id="2"/>
            <w:r>
              <w:rPr>
                <w:rFonts w:hint="eastAsia" w:ascii="宋体" w:hAnsi="宋体" w:eastAsia="宋体" w:cs="宋体"/>
                <w:color w:val="000000"/>
                <w:sz w:val="24"/>
                <w:szCs w:val="24"/>
              </w:rPr>
              <w:t>幢。</w:t>
            </w:r>
          </w:p>
        </w:tc>
        <w:tc>
          <w:tcPr>
            <w:tcW w:w="4076" w:type="dxa"/>
          </w:tcPr>
          <w:p>
            <w:pPr>
              <w:spacing w:line="360" w:lineRule="auto"/>
              <w:outlineLvl w:val="0"/>
              <w:rPr>
                <w:rFonts w:hint="eastAsia" w:ascii="宋体" w:hAnsi="宋体" w:eastAsia="宋体" w:cs="宋体"/>
                <w:color w:val="auto"/>
                <w:sz w:val="24"/>
                <w:szCs w:val="24"/>
              </w:rPr>
            </w:pPr>
            <w:r>
              <w:rPr>
                <w:rFonts w:hint="eastAsia" w:ascii="宋体" w:hAnsi="宋体" w:eastAsia="宋体" w:cs="宋体"/>
                <w:b/>
                <w:bCs/>
                <w:color w:val="auto"/>
                <w:kern w:val="0"/>
                <w:sz w:val="24"/>
                <w:szCs w:val="24"/>
              </w:rPr>
              <w:t xml:space="preserve">2.0.3 </w:t>
            </w:r>
            <w:r>
              <w:rPr>
                <w:rFonts w:hint="eastAsia" w:ascii="宋体" w:hAnsi="宋体" w:eastAsia="宋体" w:cs="宋体"/>
                <w:color w:val="auto"/>
                <w:sz w:val="24"/>
                <w:szCs w:val="24"/>
                <w:bdr w:val="single" w:color="000000" w:sz="4" w:space="0"/>
              </w:rPr>
              <w:t>楼</w:t>
            </w:r>
            <w:r>
              <w:rPr>
                <w:rFonts w:hint="eastAsia" w:ascii="宋体" w:hAnsi="宋体" w:eastAsia="宋体" w:cs="宋体"/>
                <w:color w:val="auto"/>
                <w:sz w:val="24"/>
                <w:szCs w:val="24"/>
              </w:rPr>
              <w:t>幢 building</w:t>
            </w:r>
          </w:p>
          <w:p>
            <w:pPr>
              <w:spacing w:line="360" w:lineRule="auto"/>
              <w:ind w:firstLine="480" w:firstLineChars="200"/>
              <w:rPr>
                <w:rFonts w:hint="eastAsia" w:eastAsiaTheme="minorEastAsia"/>
                <w:b/>
                <w:bCs/>
                <w:color w:val="auto"/>
                <w:spacing w:val="30"/>
                <w:kern w:val="36"/>
                <w:sz w:val="24"/>
                <w:szCs w:val="24"/>
              </w:rPr>
            </w:pPr>
            <w:r>
              <w:rPr>
                <w:rFonts w:hint="eastAsia" w:ascii="宋体" w:hAnsi="宋体" w:eastAsia="宋体" w:cs="宋体"/>
                <w:color w:val="auto"/>
                <w:sz w:val="24"/>
                <w:szCs w:val="24"/>
                <w:bdr w:val="single" w:color="000000" w:sz="4" w:space="0"/>
              </w:rPr>
              <w:t>物业区域内的自然幢或逻辑幢</w:t>
            </w:r>
            <w:r>
              <w:rPr>
                <w:rFonts w:hint="eastAsia" w:ascii="宋体" w:hAnsi="宋体" w:eastAsia="宋体" w:cs="宋体"/>
                <w:color w:val="auto"/>
                <w:sz w:val="24"/>
                <w:szCs w:val="24"/>
                <w:u w:val="single"/>
              </w:rPr>
              <w:t>一座独立的包括不同结构和不同层次的房屋</w:t>
            </w:r>
            <w:r>
              <w:rPr>
                <w:rFonts w:hint="eastAsia" w:ascii="宋体" w:hAnsi="宋体" w:eastAsia="宋体" w:cs="宋体"/>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1"/>
              <w:ind w:left="0" w:leftChars="0" w:firstLine="0" w:firstLineChars="0"/>
              <w:jc w:val="both"/>
              <w:outlineLvl w:val="0"/>
              <w:rPr>
                <w:rFonts w:hint="eastAsia" w:ascii="宋体" w:hAnsi="宋体" w:eastAsia="宋体" w:cs="宋体"/>
                <w:color w:val="000000"/>
                <w:sz w:val="24"/>
                <w:szCs w:val="24"/>
              </w:rPr>
            </w:pPr>
            <w:r>
              <w:rPr>
                <w:rFonts w:hint="eastAsia" w:ascii="宋体" w:hAnsi="宋体" w:eastAsia="宋体" w:cs="宋体"/>
                <w:b/>
                <w:bCs/>
                <w:color w:val="000000"/>
                <w:sz w:val="24"/>
                <w:szCs w:val="24"/>
              </w:rPr>
              <w:t>2.0.4</w:t>
            </w:r>
            <w:r>
              <w:rPr>
                <w:rFonts w:hint="eastAsia" w:ascii="宋体" w:hAnsi="宋体" w:eastAsia="宋体" w:cs="宋体"/>
                <w:color w:val="000000"/>
                <w:sz w:val="24"/>
                <w:szCs w:val="24"/>
              </w:rPr>
              <w:t xml:space="preserve"> 房屋 apartment</w:t>
            </w:r>
          </w:p>
          <w:p>
            <w:pPr>
              <w:pStyle w:val="11"/>
              <w:ind w:left="0" w:leftChars="0" w:firstLine="480" w:firstLineChars="200"/>
              <w:jc w:val="both"/>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楼幢内具有连续空间及边界的、具有独立户号、可独立登记的结构单元。</w:t>
            </w:r>
          </w:p>
        </w:tc>
        <w:tc>
          <w:tcPr>
            <w:tcW w:w="4076" w:type="dxa"/>
          </w:tcPr>
          <w:p>
            <w:pPr>
              <w:pStyle w:val="10"/>
              <w:spacing w:line="360" w:lineRule="auto"/>
              <w:ind w:firstLine="0" w:firstLineChars="0"/>
              <w:outlineLvl w:val="0"/>
              <w:rPr>
                <w:rFonts w:hint="eastAsia" w:ascii="宋体" w:hAnsi="宋体" w:eastAsia="宋体" w:cs="宋体"/>
                <w:color w:val="auto"/>
                <w:sz w:val="24"/>
                <w:szCs w:val="24"/>
              </w:rPr>
            </w:pPr>
            <w:r>
              <w:rPr>
                <w:rFonts w:hint="eastAsia" w:ascii="宋体" w:hAnsi="宋体" w:eastAsia="宋体" w:cs="宋体"/>
                <w:b/>
                <w:bCs/>
                <w:color w:val="auto"/>
                <w:kern w:val="0"/>
                <w:sz w:val="24"/>
                <w:szCs w:val="24"/>
              </w:rPr>
              <w:t xml:space="preserve">2.0.4 </w:t>
            </w:r>
            <w:r>
              <w:rPr>
                <w:rFonts w:hint="eastAsia" w:ascii="宋体" w:hAnsi="宋体" w:eastAsia="宋体" w:cs="宋体"/>
                <w:color w:val="auto"/>
                <w:sz w:val="24"/>
                <w:szCs w:val="24"/>
                <w:bdr w:val="single" w:color="000000" w:sz="4" w:space="0"/>
              </w:rPr>
              <w:t>房屋 apartment</w:t>
            </w:r>
            <w:r>
              <w:rPr>
                <w:rFonts w:hint="eastAsia" w:ascii="宋体" w:hAnsi="宋体" w:eastAsia="宋体" w:cs="宋体"/>
                <w:color w:val="auto"/>
                <w:sz w:val="24"/>
                <w:szCs w:val="24"/>
                <w:u w:val="single"/>
              </w:rPr>
              <w:t>分户 unit</w:t>
            </w:r>
          </w:p>
          <w:p>
            <w:pPr>
              <w:pStyle w:val="10"/>
              <w:spacing w:line="360" w:lineRule="auto"/>
              <w:ind w:firstLine="480"/>
              <w:rPr>
                <w:rFonts w:hint="eastAsia" w:ascii="宋体" w:hAnsi="宋体" w:eastAsia="宋体" w:cs="宋体"/>
                <w:color w:val="auto"/>
                <w:sz w:val="24"/>
                <w:szCs w:val="24"/>
                <w:bdr w:val="single" w:color="000000" w:sz="4" w:space="0"/>
              </w:rPr>
            </w:pPr>
            <w:r>
              <w:rPr>
                <w:rFonts w:hint="eastAsia" w:ascii="宋体" w:hAnsi="宋体" w:eastAsia="宋体" w:cs="宋体"/>
                <w:color w:val="auto"/>
                <w:sz w:val="24"/>
                <w:szCs w:val="24"/>
                <w:bdr w:val="single" w:color="000000" w:sz="4" w:space="0"/>
              </w:rPr>
              <w:t>楼</w:t>
            </w:r>
            <w:r>
              <w:rPr>
                <w:rFonts w:hint="eastAsia" w:ascii="宋体" w:hAnsi="宋体" w:eastAsia="宋体" w:cs="宋体"/>
                <w:color w:val="auto"/>
                <w:sz w:val="24"/>
                <w:szCs w:val="24"/>
              </w:rPr>
              <w:t>幢内具有连续空间及边界的、具有独立户号、可独立登记的结构单元。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1"/>
              <w:ind w:left="0" w:firstLine="0"/>
              <w:outlineLvl w:val="0"/>
              <w:rPr>
                <w:rFonts w:hint="eastAsia" w:ascii="宋体" w:hAnsi="宋体" w:eastAsia="宋体" w:cs="宋体"/>
                <w:kern w:val="2"/>
                <w:sz w:val="24"/>
                <w:szCs w:val="24"/>
              </w:rPr>
            </w:pPr>
            <w:r>
              <w:rPr>
                <w:rFonts w:hint="eastAsia" w:ascii="宋体" w:hAnsi="宋体" w:eastAsia="宋体" w:cs="宋体"/>
                <w:b/>
                <w:bCs/>
                <w:sz w:val="24"/>
                <w:szCs w:val="24"/>
              </w:rPr>
              <w:t xml:space="preserve">2.0.8 </w:t>
            </w:r>
            <w:r>
              <w:rPr>
                <w:rFonts w:hint="eastAsia" w:ascii="宋体" w:hAnsi="宋体" w:eastAsia="宋体" w:cs="宋体"/>
                <w:sz w:val="24"/>
                <w:szCs w:val="24"/>
              </w:rPr>
              <w:t xml:space="preserve">经营收益 </w:t>
            </w:r>
            <w:r>
              <w:rPr>
                <w:rFonts w:hint="eastAsia" w:ascii="宋体" w:hAnsi="宋体" w:eastAsia="宋体" w:cs="宋体"/>
                <w:kern w:val="2"/>
                <w:sz w:val="24"/>
                <w:szCs w:val="24"/>
              </w:rPr>
              <w:t>operate returns</w:t>
            </w:r>
          </w:p>
          <w:p>
            <w:pPr>
              <w:pStyle w:val="11"/>
              <w:ind w:left="0" w:leftChars="0" w:firstLine="480" w:firstLineChars="200"/>
              <w:jc w:val="both"/>
              <w:outlineLvl w:val="0"/>
              <w:rPr>
                <w:rFonts w:hint="eastAsia" w:ascii="宋体" w:hAnsi="宋体" w:eastAsia="宋体" w:cs="宋体"/>
                <w:color w:val="000000"/>
                <w:sz w:val="24"/>
                <w:szCs w:val="24"/>
              </w:rPr>
            </w:pPr>
            <w:r>
              <w:rPr>
                <w:rFonts w:hint="eastAsia" w:ascii="宋体" w:hAnsi="宋体" w:eastAsia="宋体" w:cs="宋体"/>
                <w:sz w:val="24"/>
                <w:szCs w:val="24"/>
              </w:rPr>
              <w:t>物业区域内的经营性收益，包括广告收益、公共停车位收益及共用设施设备报废回收的残值</w:t>
            </w:r>
            <w:r>
              <w:rPr>
                <w:rFonts w:hint="eastAsia" w:ascii="宋体" w:hAnsi="宋体" w:eastAsia="宋体" w:cs="宋体"/>
                <w:sz w:val="24"/>
                <w:szCs w:val="24"/>
              </w:rPr>
              <w:t>等。</w:t>
            </w:r>
          </w:p>
        </w:tc>
        <w:tc>
          <w:tcPr>
            <w:tcW w:w="4076" w:type="dxa"/>
          </w:tcPr>
          <w:p>
            <w:pPr>
              <w:pStyle w:val="11"/>
              <w:ind w:left="0" w:firstLine="0"/>
              <w:outlineLvl w:val="0"/>
              <w:rPr>
                <w:rFonts w:hint="eastAsia" w:ascii="宋体" w:hAnsi="宋体" w:eastAsia="宋体" w:cs="宋体"/>
                <w:kern w:val="2"/>
                <w:sz w:val="24"/>
                <w:szCs w:val="24"/>
              </w:rPr>
            </w:pPr>
            <w:r>
              <w:rPr>
                <w:rFonts w:hint="eastAsia" w:ascii="宋体" w:hAnsi="宋体" w:eastAsia="宋体" w:cs="宋体"/>
                <w:b/>
                <w:bCs/>
                <w:sz w:val="24"/>
                <w:szCs w:val="24"/>
              </w:rPr>
              <w:t xml:space="preserve">2.0.8 </w:t>
            </w:r>
            <w:r>
              <w:rPr>
                <w:rFonts w:hint="eastAsia" w:ascii="宋体" w:hAnsi="宋体" w:eastAsia="宋体" w:cs="宋体"/>
                <w:sz w:val="24"/>
                <w:szCs w:val="24"/>
              </w:rPr>
              <w:t xml:space="preserve">经营收益 </w:t>
            </w:r>
            <w:r>
              <w:rPr>
                <w:rFonts w:hint="eastAsia" w:ascii="宋体" w:hAnsi="宋体" w:eastAsia="宋体" w:cs="宋体"/>
                <w:kern w:val="2"/>
                <w:sz w:val="24"/>
                <w:szCs w:val="24"/>
              </w:rPr>
              <w:t>operate returns</w:t>
            </w:r>
          </w:p>
          <w:p>
            <w:pPr>
              <w:pStyle w:val="11"/>
              <w:ind w:left="0" w:firstLine="480" w:firstLineChars="200"/>
              <w:rPr>
                <w:rFonts w:hint="eastAsia" w:ascii="宋体" w:hAnsi="宋体" w:eastAsia="宋体" w:cs="宋体"/>
                <w:sz w:val="24"/>
                <w:szCs w:val="24"/>
                <w:bdr w:val="single" w:color="000000" w:sz="4" w:space="0"/>
              </w:rPr>
            </w:pPr>
            <w:r>
              <w:rPr>
                <w:rFonts w:hint="eastAsia" w:ascii="宋体" w:hAnsi="宋体" w:eastAsia="宋体" w:cs="宋体"/>
                <w:sz w:val="24"/>
                <w:szCs w:val="24"/>
              </w:rPr>
              <w:t>物业区域内的经营性收益，包括广告收益、公共停车位收益</w:t>
            </w:r>
            <w:r>
              <w:rPr>
                <w:rFonts w:hint="eastAsia" w:ascii="宋体" w:hAnsi="宋体" w:eastAsia="宋体" w:cs="宋体"/>
                <w:sz w:val="24"/>
                <w:szCs w:val="24"/>
                <w:bdr w:val="single" w:color="000000" w:sz="4" w:space="0"/>
              </w:rPr>
              <w:t>及共用设施设备报废回收的残值</w:t>
            </w:r>
            <w:r>
              <w:rPr>
                <w:rFonts w:hint="eastAsia" w:ascii="宋体" w:hAnsi="宋体" w:eastAsia="宋体" w:cs="宋体"/>
                <w:sz w:val="24"/>
                <w:szCs w:val="24"/>
              </w:rPr>
              <w:t>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rPr>
            </w:pPr>
            <w:r>
              <w:rPr>
                <w:rFonts w:hint="eastAsia" w:eastAsiaTheme="minorEastAsia"/>
                <w:b/>
                <w:bCs/>
                <w:color w:val="auto"/>
                <w:spacing w:val="30"/>
                <w:kern w:val="36"/>
                <w:sz w:val="24"/>
                <w:szCs w:val="24"/>
                <w:lang w:val="en-US" w:eastAsia="zh-CN"/>
              </w:rPr>
              <w:t>3数据分类</w:t>
            </w:r>
          </w:p>
        </w:tc>
        <w:tc>
          <w:tcPr>
            <w:tcW w:w="4076"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rPr>
            </w:pPr>
            <w:r>
              <w:rPr>
                <w:rFonts w:hint="eastAsia" w:eastAsiaTheme="minorEastAsia"/>
                <w:b/>
                <w:bCs/>
                <w:color w:val="auto"/>
                <w:spacing w:val="30"/>
                <w:kern w:val="36"/>
                <w:sz w:val="24"/>
                <w:szCs w:val="24"/>
                <w:lang w:val="en-US" w:eastAsia="zh-CN"/>
              </w:rPr>
              <w:t>3数据分类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firstLineChars="0"/>
              <w:jc w:val="center"/>
              <w:outlineLvl w:val="0"/>
              <w:rPr>
                <w:rFonts w:hint="default" w:eastAsiaTheme="minorEastAsia"/>
                <w:b/>
                <w:bCs/>
                <w:color w:val="auto"/>
                <w:spacing w:val="30"/>
                <w:kern w:val="36"/>
                <w:sz w:val="24"/>
                <w:szCs w:val="24"/>
                <w:lang w:val="en-US" w:eastAsia="zh-CN"/>
              </w:rPr>
            </w:pPr>
            <w:r>
              <w:rPr>
                <w:rFonts w:hint="eastAsia" w:eastAsiaTheme="minorEastAsia"/>
                <w:b/>
                <w:bCs/>
                <w:color w:val="auto"/>
                <w:spacing w:val="30"/>
                <w:kern w:val="36"/>
                <w:sz w:val="24"/>
                <w:szCs w:val="24"/>
              </w:rPr>
              <w:t>3.</w:t>
            </w:r>
            <w:r>
              <w:rPr>
                <w:rFonts w:hint="eastAsia" w:eastAsiaTheme="minorEastAsia"/>
                <w:b/>
                <w:bCs/>
                <w:color w:val="auto"/>
                <w:spacing w:val="30"/>
                <w:kern w:val="36"/>
                <w:sz w:val="24"/>
                <w:szCs w:val="24"/>
                <w:lang w:val="en-US" w:eastAsia="zh-CN"/>
              </w:rPr>
              <w:t>1数据分类方法</w:t>
            </w:r>
          </w:p>
        </w:tc>
        <w:tc>
          <w:tcPr>
            <w:tcW w:w="4076"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lang w:val="en-US" w:eastAsia="zh-CN"/>
              </w:rPr>
            </w:pPr>
            <w:r>
              <w:rPr>
                <w:rFonts w:hint="eastAsia" w:eastAsiaTheme="minorEastAsia"/>
                <w:b/>
                <w:bCs/>
                <w:color w:val="auto"/>
                <w:spacing w:val="30"/>
                <w:kern w:val="36"/>
                <w:sz w:val="24"/>
                <w:szCs w:val="24"/>
              </w:rPr>
              <w:t>3.</w:t>
            </w:r>
            <w:r>
              <w:rPr>
                <w:rFonts w:hint="eastAsia" w:eastAsiaTheme="minorEastAsia"/>
                <w:b/>
                <w:bCs/>
                <w:color w:val="auto"/>
                <w:spacing w:val="30"/>
                <w:kern w:val="36"/>
                <w:sz w:val="24"/>
                <w:szCs w:val="24"/>
                <w:lang w:val="en-US" w:eastAsia="zh-CN"/>
              </w:rPr>
              <w:t>1数据分类方法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line="360" w:lineRule="auto"/>
              <w:ind w:firstLine="0" w:firstLineChars="0"/>
              <w:jc w:val="both"/>
              <w:outlineLvl w:val="0"/>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lang w:val="en-US" w:eastAsia="zh-CN"/>
              </w:rPr>
              <w:t xml:space="preserve">3.1.2 </w:t>
            </w:r>
            <w:r>
              <w:rPr>
                <w:rFonts w:hint="eastAsia" w:ascii="宋体" w:hAnsi="宋体" w:eastAsia="宋体" w:cs="宋体"/>
                <w:sz w:val="24"/>
                <w:szCs w:val="24"/>
                <w:lang w:val="en-US" w:eastAsia="zh-CN"/>
              </w:rPr>
              <w:t>住宅专项维修资金基础数据一级分类包括房屋数据、共用部位及共用设施设备数据、机构数据、账务数据、业务数据、核算数据、预警数据、统计数据、档案数据、发布数据、支撑数据。</w:t>
            </w:r>
          </w:p>
        </w:tc>
        <w:tc>
          <w:tcPr>
            <w:tcW w:w="4076" w:type="dxa"/>
            <w:vAlign w:val="center"/>
          </w:tcPr>
          <w:p>
            <w:pPr>
              <w:spacing w:line="360" w:lineRule="auto"/>
              <w:rPr>
                <w:rFonts w:hint="eastAsia" w:eastAsiaTheme="minorEastAsia"/>
                <w:b/>
                <w:bCs/>
                <w:color w:val="auto"/>
                <w:spacing w:val="30"/>
                <w:kern w:val="36"/>
                <w:sz w:val="24"/>
                <w:szCs w:val="24"/>
                <w:lang w:val="en-US" w:eastAsia="zh-CN"/>
              </w:rPr>
            </w:pPr>
            <w:r>
              <w:rPr>
                <w:rFonts w:hint="eastAsia" w:ascii="宋体" w:hAnsi="宋体" w:eastAsia="宋体" w:cs="宋体"/>
                <w:b/>
                <w:bCs/>
                <w:kern w:val="0"/>
                <w:sz w:val="24"/>
                <w:szCs w:val="24"/>
              </w:rPr>
              <w:t xml:space="preserve">3.1.2 </w:t>
            </w:r>
            <w:r>
              <w:rPr>
                <w:rFonts w:hint="eastAsia" w:ascii="宋体" w:hAnsi="宋体" w:eastAsia="宋体" w:cs="宋体"/>
                <w:sz w:val="24"/>
                <w:szCs w:val="24"/>
              </w:rPr>
              <w:t>住宅专项维修资金基础数据一级分类包括房屋数据、</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sz w:val="24"/>
                <w:szCs w:val="24"/>
              </w:rPr>
              <w:t>部位及共用设施设备数据、机构数据、账务数据、业务数据、核算数据、预警数据、统计数据、档案数据、发布数据、支撑数据。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firstLineChars="0"/>
              <w:jc w:val="center"/>
              <w:outlineLvl w:val="0"/>
              <w:rPr>
                <w:rFonts w:hint="default" w:ascii="Calibri" w:hAnsi="Calibri" w:cs="Calibri" w:eastAsiaTheme="minorEastAsia"/>
                <w:b/>
                <w:bCs/>
                <w:color w:val="auto"/>
                <w:spacing w:val="30"/>
                <w:kern w:val="36"/>
                <w:sz w:val="24"/>
                <w:szCs w:val="24"/>
                <w:lang w:val="en-US" w:eastAsia="zh-CN" w:bidi="ar-SA"/>
              </w:rPr>
            </w:pPr>
            <w:r>
              <w:rPr>
                <w:rFonts w:hint="eastAsia" w:eastAsiaTheme="minorEastAsia"/>
                <w:b/>
                <w:bCs/>
                <w:color w:val="auto"/>
                <w:spacing w:val="30"/>
                <w:kern w:val="36"/>
                <w:sz w:val="24"/>
                <w:szCs w:val="24"/>
              </w:rPr>
              <w:t>3.</w:t>
            </w:r>
            <w:r>
              <w:rPr>
                <w:rFonts w:hint="eastAsia" w:eastAsiaTheme="minorEastAsia"/>
                <w:b/>
                <w:bCs/>
                <w:color w:val="auto"/>
                <w:spacing w:val="30"/>
                <w:kern w:val="36"/>
                <w:sz w:val="24"/>
                <w:szCs w:val="24"/>
                <w:lang w:val="en-US" w:eastAsia="zh-CN"/>
              </w:rPr>
              <w:t>2房屋数据</w:t>
            </w:r>
          </w:p>
        </w:tc>
        <w:tc>
          <w:tcPr>
            <w:tcW w:w="4076" w:type="dxa"/>
            <w:vAlign w:val="center"/>
          </w:tcPr>
          <w:p>
            <w:pPr>
              <w:widowControl/>
              <w:shd w:val="clear" w:color="auto" w:fill="FFFFFF"/>
              <w:spacing w:before="300" w:after="150"/>
              <w:ind w:firstLine="0" w:firstLineChars="0"/>
              <w:jc w:val="center"/>
              <w:outlineLvl w:val="0"/>
              <w:rPr>
                <w:rFonts w:hint="eastAsia" w:ascii="Calibri" w:hAnsi="Calibri" w:cs="Calibri" w:eastAsiaTheme="minorEastAsia"/>
                <w:b/>
                <w:bCs/>
                <w:color w:val="auto"/>
                <w:spacing w:val="30"/>
                <w:kern w:val="36"/>
                <w:sz w:val="24"/>
                <w:szCs w:val="24"/>
                <w:lang w:val="en-US" w:eastAsia="zh-CN" w:bidi="ar-SA"/>
              </w:rPr>
            </w:pPr>
            <w:r>
              <w:rPr>
                <w:rFonts w:hint="eastAsia" w:eastAsiaTheme="minorEastAsia"/>
                <w:b/>
                <w:bCs/>
                <w:color w:val="auto"/>
                <w:spacing w:val="30"/>
                <w:kern w:val="36"/>
                <w:sz w:val="24"/>
                <w:szCs w:val="24"/>
              </w:rPr>
              <w:t>3.</w:t>
            </w:r>
            <w:r>
              <w:rPr>
                <w:rFonts w:hint="eastAsia" w:eastAsiaTheme="minorEastAsia"/>
                <w:b/>
                <w:bCs/>
                <w:color w:val="auto"/>
                <w:spacing w:val="30"/>
                <w:kern w:val="36"/>
                <w:sz w:val="24"/>
                <w:szCs w:val="24"/>
                <w:lang w:val="en-US" w:eastAsia="zh-CN"/>
              </w:rPr>
              <w:t>1房屋数据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rPr>
                <w:rFonts w:hint="eastAsia" w:ascii="宋体" w:hAnsi="宋体" w:eastAsia="宋体" w:cs="宋体"/>
                <w:b/>
                <w:bCs/>
                <w:kern w:val="0"/>
                <w:sz w:val="24"/>
                <w:szCs w:val="24"/>
                <w:lang w:val="en-US" w:eastAsia="zh-CN" w:bidi="ar-SA"/>
              </w:rPr>
            </w:pPr>
            <w:r>
              <w:rPr>
                <w:rFonts w:hint="eastAsia" w:ascii="宋体" w:hAnsi="宋体" w:eastAsia="宋体" w:cs="宋体"/>
                <w:b/>
                <w:sz w:val="24"/>
                <w:szCs w:val="24"/>
              </w:rPr>
              <w:t>3.2.1</w:t>
            </w:r>
            <w:r>
              <w:rPr>
                <w:rFonts w:hint="eastAsia" w:ascii="宋体" w:hAnsi="宋体" w:eastAsia="宋体" w:cs="宋体"/>
                <w:sz w:val="24"/>
                <w:szCs w:val="24"/>
              </w:rPr>
              <w:t xml:space="preserve"> 房屋数据应记录物业区域、楼幢、单元、分户、业主及建筑面积数据。</w:t>
            </w:r>
          </w:p>
        </w:tc>
        <w:tc>
          <w:tcPr>
            <w:tcW w:w="4076" w:type="dxa"/>
            <w:vAlign w:val="center"/>
          </w:tcPr>
          <w:p>
            <w:pPr>
              <w:spacing w:line="360" w:lineRule="auto"/>
              <w:rPr>
                <w:rFonts w:hint="eastAsia" w:ascii="宋体" w:hAnsi="宋体" w:eastAsia="宋体" w:cs="宋体"/>
                <w:b/>
                <w:bCs/>
                <w:kern w:val="0"/>
                <w:sz w:val="24"/>
                <w:szCs w:val="24"/>
              </w:rPr>
            </w:pPr>
            <w:r>
              <w:rPr>
                <w:rFonts w:hint="eastAsia" w:ascii="宋体" w:hAnsi="宋体" w:eastAsia="宋体" w:cs="宋体"/>
                <w:b/>
                <w:sz w:val="24"/>
                <w:szCs w:val="24"/>
              </w:rPr>
              <w:t>3.2.1</w:t>
            </w:r>
            <w:r>
              <w:rPr>
                <w:rFonts w:hint="eastAsia" w:ascii="宋体" w:hAnsi="宋体" w:eastAsia="宋体" w:cs="宋体"/>
                <w:sz w:val="24"/>
                <w:szCs w:val="24"/>
              </w:rPr>
              <w:t xml:space="preserve"> 房屋数据应记录物业区域、</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幢、单元、分户、业主及建筑面积数据。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rPr>
              <w:t xml:space="preserve">3.2.2 </w:t>
            </w:r>
            <w:r>
              <w:rPr>
                <w:rFonts w:hint="eastAsia" w:ascii="宋体" w:hAnsi="宋体" w:eastAsia="宋体" w:cs="宋体"/>
                <w:sz w:val="24"/>
                <w:szCs w:val="24"/>
              </w:rPr>
              <w:t>房屋数据二级分类应包括物业区域数据、</w:t>
            </w:r>
            <w:r>
              <w:rPr>
                <w:rFonts w:hint="eastAsia" w:ascii="宋体" w:hAnsi="宋体" w:eastAsia="宋体" w:cs="宋体"/>
                <w:kern w:val="2"/>
                <w:sz w:val="24"/>
                <w:szCs w:val="24"/>
                <w:lang w:val="en-US" w:eastAsia="zh-CN" w:bidi="ar-SA"/>
              </w:rPr>
              <w:t>楼</w:t>
            </w:r>
            <w:r>
              <w:rPr>
                <w:rFonts w:hint="eastAsia" w:ascii="宋体" w:hAnsi="宋体" w:eastAsia="宋体" w:cs="宋体"/>
                <w:sz w:val="24"/>
                <w:szCs w:val="24"/>
              </w:rPr>
              <w:t>幢数据、分户数据、业主数据及权属关系数据。</w:t>
            </w:r>
          </w:p>
        </w:tc>
        <w:tc>
          <w:tcPr>
            <w:tcW w:w="4076" w:type="dxa"/>
            <w:vAlign w:val="center"/>
          </w:tcPr>
          <w:p>
            <w:pPr>
              <w:pStyle w:val="10"/>
              <w:spacing w:line="360" w:lineRule="auto"/>
              <w:ind w:firstLine="0" w:firstLineChars="0"/>
              <w:rPr>
                <w:rFonts w:hint="eastAsia" w:ascii="宋体" w:hAnsi="宋体" w:eastAsia="宋体" w:cs="宋体"/>
                <w:b/>
                <w:bCs/>
                <w:kern w:val="0"/>
                <w:sz w:val="24"/>
                <w:szCs w:val="24"/>
              </w:rPr>
            </w:pPr>
            <w:r>
              <w:rPr>
                <w:rFonts w:hint="eastAsia" w:ascii="宋体" w:hAnsi="宋体" w:eastAsia="宋体" w:cs="宋体"/>
                <w:b/>
                <w:bCs/>
                <w:kern w:val="0"/>
                <w:sz w:val="24"/>
                <w:szCs w:val="24"/>
              </w:rPr>
              <w:t xml:space="preserve">3.2.2 </w:t>
            </w:r>
            <w:r>
              <w:rPr>
                <w:rFonts w:hint="eastAsia" w:ascii="宋体" w:hAnsi="宋体" w:eastAsia="宋体" w:cs="宋体"/>
                <w:sz w:val="24"/>
                <w:szCs w:val="24"/>
              </w:rPr>
              <w:t>房屋数据二级分类应包括物业区域数据、</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幢数据、分户数据、业主数据及权属关系数据。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rPr>
            </w:pPr>
            <w:r>
              <w:rPr>
                <w:rFonts w:hint="eastAsia" w:eastAsiaTheme="minorEastAsia"/>
                <w:b/>
                <w:bCs/>
                <w:color w:val="auto"/>
                <w:spacing w:val="30"/>
                <w:kern w:val="36"/>
                <w:sz w:val="24"/>
                <w:szCs w:val="24"/>
              </w:rPr>
              <w:t>3.3共用部位及共用设施设备数据</w:t>
            </w:r>
          </w:p>
        </w:tc>
        <w:tc>
          <w:tcPr>
            <w:tcW w:w="4076" w:type="dxa"/>
            <w:vAlign w:val="top"/>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rPr>
            </w:pPr>
            <w:r>
              <w:rPr>
                <w:rFonts w:hint="eastAsia" w:eastAsiaTheme="minorEastAsia"/>
                <w:b/>
                <w:bCs/>
                <w:color w:val="auto"/>
                <w:spacing w:val="30"/>
                <w:kern w:val="36"/>
                <w:sz w:val="24"/>
                <w:szCs w:val="24"/>
              </w:rPr>
              <w:t>3.3</w:t>
            </w:r>
            <w:r>
              <w:rPr>
                <w:rFonts w:hint="eastAsia" w:ascii="宋体" w:hAnsi="宋体" w:eastAsia="宋体" w:cs="宋体"/>
                <w:b/>
                <w:bCs/>
                <w:color w:val="000000"/>
                <w:sz w:val="24"/>
                <w:szCs w:val="24"/>
                <w:bdr w:val="single" w:color="000000" w:sz="4" w:space="0"/>
              </w:rPr>
              <w:t>共用</w:t>
            </w:r>
            <w:r>
              <w:rPr>
                <w:rFonts w:hint="eastAsia" w:ascii="宋体" w:hAnsi="宋体" w:eastAsia="宋体" w:cs="宋体"/>
                <w:b/>
                <w:bCs/>
                <w:color w:val="000000"/>
                <w:sz w:val="24"/>
                <w:szCs w:val="24"/>
                <w:u w:val="single"/>
                <w:lang w:val="en-US" w:eastAsia="zh-CN"/>
              </w:rPr>
              <w:t>共有</w:t>
            </w:r>
            <w:r>
              <w:rPr>
                <w:rFonts w:hint="eastAsia" w:eastAsiaTheme="minorEastAsia"/>
                <w:b/>
                <w:bCs/>
                <w:color w:val="auto"/>
                <w:spacing w:val="30"/>
                <w:kern w:val="36"/>
                <w:sz w:val="24"/>
                <w:szCs w:val="24"/>
              </w:rPr>
              <w:t>部位及共用设施设备数据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line="360" w:lineRule="auto"/>
              <w:ind w:firstLine="0" w:firstLineChars="0"/>
              <w:jc w:val="both"/>
              <w:outlineLvl w:val="0"/>
              <w:rPr>
                <w:rFonts w:hint="eastAsia" w:eastAsiaTheme="minorEastAsia"/>
                <w:b/>
                <w:bCs/>
                <w:color w:val="auto"/>
                <w:spacing w:val="30"/>
                <w:kern w:val="36"/>
                <w:sz w:val="24"/>
                <w:szCs w:val="24"/>
              </w:rPr>
            </w:pPr>
            <w:r>
              <w:rPr>
                <w:rFonts w:hint="eastAsia" w:ascii="宋体" w:hAnsi="宋体" w:eastAsia="宋体" w:cs="宋体"/>
                <w:b/>
                <w:bCs/>
                <w:sz w:val="24"/>
                <w:szCs w:val="24"/>
              </w:rPr>
              <w:t>3.3.1</w:t>
            </w:r>
            <w:r>
              <w:rPr>
                <w:rFonts w:hint="eastAsia" w:ascii="宋体" w:hAnsi="宋体" w:eastAsia="宋体" w:cs="宋体"/>
                <w:sz w:val="24"/>
                <w:szCs w:val="24"/>
              </w:rPr>
              <w:t xml:space="preserve"> 共用部位及共用设施设备数据应记录共用部位及共用设施设备的分类目录数据、特征数据、维修记录数据。</w:t>
            </w:r>
          </w:p>
        </w:tc>
        <w:tc>
          <w:tcPr>
            <w:tcW w:w="4076" w:type="dxa"/>
            <w:vAlign w:val="top"/>
          </w:tcPr>
          <w:p>
            <w:pPr>
              <w:spacing w:line="360" w:lineRule="auto"/>
              <w:rPr>
                <w:rFonts w:hint="eastAsia" w:eastAsiaTheme="minorEastAsia"/>
                <w:b/>
                <w:bCs/>
                <w:color w:val="auto"/>
                <w:spacing w:val="30"/>
                <w:kern w:val="36"/>
                <w:sz w:val="24"/>
                <w:szCs w:val="24"/>
              </w:rPr>
            </w:pPr>
            <w:r>
              <w:rPr>
                <w:rFonts w:hint="eastAsia" w:ascii="宋体" w:hAnsi="宋体" w:eastAsia="宋体" w:cs="宋体"/>
                <w:b/>
                <w:sz w:val="24"/>
                <w:szCs w:val="24"/>
              </w:rPr>
              <w:t>3.3.1</w:t>
            </w:r>
            <w:r>
              <w:rPr>
                <w:rFonts w:hint="eastAsia" w:ascii="宋体" w:hAnsi="宋体" w:eastAsia="宋体" w:cs="宋体"/>
                <w:sz w:val="24"/>
                <w:szCs w:val="24"/>
              </w:rPr>
              <w:t xml:space="preserve"> </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sz w:val="24"/>
                <w:szCs w:val="24"/>
              </w:rPr>
              <w:t>部位及共用设施设备数据应记录</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sz w:val="24"/>
                <w:szCs w:val="24"/>
              </w:rPr>
              <w:t>部位及共用设施设备的分类目录数据、特征数据、维修记录数据。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pStyle w:val="10"/>
              <w:spacing w:line="360" w:lineRule="auto"/>
              <w:ind w:firstLine="0" w:firstLineChars="0"/>
              <w:rPr>
                <w:rFonts w:hint="eastAsia" w:eastAsia="宋体"/>
                <w:color w:val="FF0000"/>
                <w:sz w:val="24"/>
                <w:szCs w:val="24"/>
                <w:lang w:eastAsia="zh-CN"/>
              </w:rPr>
            </w:pPr>
            <w:r>
              <w:rPr>
                <w:rFonts w:ascii="宋体" w:hAnsi="宋体" w:cs="宋体"/>
                <w:b/>
                <w:bCs/>
                <w:kern w:val="0"/>
                <w:sz w:val="24"/>
                <w:szCs w:val="24"/>
              </w:rPr>
              <w:t xml:space="preserve">3.3.2 </w:t>
            </w:r>
            <w:r>
              <w:rPr>
                <w:rFonts w:hint="eastAsia" w:ascii="宋体" w:hAnsi="宋体" w:cs="宋体"/>
                <w:sz w:val="24"/>
                <w:szCs w:val="24"/>
              </w:rPr>
              <w:t>共用部位及共用设施设备数据二级分类应包括共用部位及共用设施设备分类、共用部位及共用设施设备档案数据、共用部位及共用设施设备维修记录数据</w:t>
            </w:r>
            <w:r>
              <w:rPr>
                <w:rFonts w:hint="eastAsia" w:ascii="宋体" w:hAnsi="宋体" w:eastAsia="宋体" w:cs="宋体"/>
                <w:color w:val="auto"/>
                <w:sz w:val="24"/>
                <w:szCs w:val="24"/>
              </w:rPr>
              <w:t>。</w:t>
            </w:r>
          </w:p>
        </w:tc>
        <w:tc>
          <w:tcPr>
            <w:tcW w:w="4076" w:type="dxa"/>
            <w:vAlign w:val="center"/>
          </w:tcPr>
          <w:p>
            <w:pPr>
              <w:pStyle w:val="10"/>
              <w:spacing w:line="360" w:lineRule="auto"/>
              <w:ind w:firstLine="0" w:firstLineChars="0"/>
              <w:rPr>
                <w:rFonts w:asciiTheme="minorEastAsia" w:hAnsiTheme="minorEastAsia" w:eastAsiaTheme="minorEastAsia"/>
                <w:color w:val="FF0000"/>
                <w:sz w:val="24"/>
                <w:szCs w:val="24"/>
                <w:u w:val="single"/>
              </w:rPr>
            </w:pPr>
            <w:r>
              <w:rPr>
                <w:rFonts w:hint="eastAsia" w:ascii="宋体" w:hAnsi="宋体" w:eastAsia="宋体" w:cs="宋体"/>
                <w:b/>
                <w:bCs/>
                <w:color w:val="auto"/>
                <w:kern w:val="0"/>
                <w:sz w:val="24"/>
                <w:szCs w:val="24"/>
                <w:u w:val="none"/>
              </w:rPr>
              <w:t>3.3.2</w:t>
            </w:r>
            <w:r>
              <w:rPr>
                <w:rFonts w:hint="eastAsia" w:ascii="宋体" w:hAnsi="宋体" w:eastAsia="宋体" w:cs="宋体"/>
                <w:b/>
                <w:bCs/>
                <w:color w:val="auto"/>
                <w:kern w:val="0"/>
                <w:sz w:val="24"/>
                <w:szCs w:val="24"/>
              </w:rPr>
              <w:t xml:space="preserve"> </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rPr>
              <w:t>部位及共用设施设备数据二级分类应包括</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rPr>
              <w:t>部位及共用设施设备分类、</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rPr>
              <w:t>部位及共用设施设备档案数据、</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rPr>
              <w:t>部位及共用设施设备维修记录数据</w:t>
            </w:r>
            <w:r>
              <w:rPr>
                <w:rFonts w:hint="eastAsia" w:ascii="宋体" w:hAnsi="宋体" w:eastAsia="宋体" w:cs="宋体"/>
                <w:color w:val="auto"/>
                <w:sz w:val="24"/>
                <w:szCs w:val="24"/>
                <w:u w:val="single"/>
              </w:rPr>
              <w:t>、</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u w:val="single"/>
              </w:rPr>
              <w:t>部位及共用设施设备保养记录数据、</w:t>
            </w:r>
            <w:r>
              <w:rPr>
                <w:rFonts w:hint="eastAsia" w:ascii="宋体" w:hAnsi="宋体" w:eastAsia="宋体" w:cs="宋体"/>
                <w:color w:val="auto"/>
                <w:sz w:val="24"/>
                <w:szCs w:val="24"/>
                <w:bdr w:val="single" w:color="000000" w:sz="4" w:space="0"/>
              </w:rPr>
              <w:t>共用</w:t>
            </w:r>
            <w:r>
              <w:rPr>
                <w:rFonts w:hint="eastAsia" w:ascii="宋体" w:hAnsi="宋体" w:eastAsia="宋体" w:cs="宋体"/>
                <w:color w:val="auto"/>
                <w:sz w:val="24"/>
                <w:szCs w:val="24"/>
                <w:u w:val="single"/>
                <w:lang w:val="en-US" w:eastAsia="zh-CN"/>
              </w:rPr>
              <w:t>共有</w:t>
            </w:r>
            <w:r>
              <w:rPr>
                <w:rFonts w:hint="eastAsia" w:ascii="宋体" w:hAnsi="宋体" w:eastAsia="宋体" w:cs="宋体"/>
                <w:color w:val="auto"/>
                <w:sz w:val="24"/>
                <w:szCs w:val="24"/>
                <w:u w:val="single"/>
              </w:rPr>
              <w:t>部位及共用设施设备巡检记录数据</w:t>
            </w:r>
            <w:r>
              <w:rPr>
                <w:rFonts w:hint="eastAsia" w:ascii="宋体" w:hAnsi="宋体" w:eastAsia="宋体" w:cs="宋体"/>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eastAsiaTheme="minorEastAsia"/>
                <w:color w:val="FF0000"/>
                <w:sz w:val="24"/>
                <w:szCs w:val="24"/>
              </w:rPr>
            </w:pPr>
            <w:r>
              <w:rPr>
                <w:rFonts w:hint="eastAsia" w:eastAsiaTheme="minorEastAsia"/>
                <w:b/>
                <w:bCs/>
                <w:color w:val="auto"/>
                <w:sz w:val="24"/>
                <w:szCs w:val="24"/>
              </w:rPr>
              <w:t>3.6业务数据</w:t>
            </w:r>
          </w:p>
        </w:tc>
        <w:tc>
          <w:tcPr>
            <w:tcW w:w="4076" w:type="dxa"/>
            <w:vAlign w:val="center"/>
          </w:tcPr>
          <w:p>
            <w:pPr>
              <w:widowControl/>
              <w:shd w:val="clear" w:color="auto" w:fill="FFFFFF"/>
              <w:spacing w:before="300" w:after="150"/>
              <w:ind w:firstLine="0"/>
              <w:jc w:val="center"/>
              <w:outlineLvl w:val="0"/>
              <w:rPr>
                <w:rFonts w:asciiTheme="minorEastAsia" w:hAnsiTheme="minorEastAsia" w:eastAsiaTheme="minorEastAsia"/>
                <w:color w:val="FF0000"/>
                <w:sz w:val="24"/>
                <w:szCs w:val="24"/>
                <w:u w:val="single"/>
              </w:rPr>
            </w:pPr>
            <w:r>
              <w:rPr>
                <w:rFonts w:hint="eastAsia" w:eastAsiaTheme="minorEastAsia"/>
                <w:b/>
                <w:bCs/>
                <w:color w:val="auto"/>
                <w:sz w:val="24"/>
                <w:szCs w:val="24"/>
              </w:rPr>
              <w:t>3.6业务数据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spacing w:line="360" w:lineRule="auto"/>
              <w:rPr>
                <w:rFonts w:hint="eastAsia"/>
                <w:sz w:val="24"/>
                <w:szCs w:val="24"/>
                <w:bdr w:val="single" w:color="auto" w:sz="4" w:space="0"/>
              </w:rPr>
            </w:pPr>
            <w:r>
              <w:rPr>
                <w:rFonts w:ascii="宋体" w:hAnsi="宋体" w:cs="宋体"/>
                <w:b/>
                <w:bCs/>
                <w:kern w:val="0"/>
                <w:sz w:val="24"/>
                <w:szCs w:val="24"/>
              </w:rPr>
              <w:t xml:space="preserve">3.6.2 </w:t>
            </w:r>
            <w:r>
              <w:rPr>
                <w:rFonts w:hint="eastAsia" w:ascii="宋体" w:hAnsi="宋体" w:cs="宋体"/>
                <w:sz w:val="24"/>
                <w:szCs w:val="24"/>
              </w:rPr>
              <w:t>业务数据二级分类应包括交款业务数据</w:t>
            </w:r>
            <w:r>
              <w:rPr>
                <w:rFonts w:ascii="宋体" w:hAnsi="宋体" w:cs="宋体"/>
                <w:sz w:val="24"/>
                <w:szCs w:val="24"/>
              </w:rPr>
              <w:t>、</w:t>
            </w:r>
            <w:r>
              <w:rPr>
                <w:rFonts w:hint="eastAsia" w:ascii="宋体" w:hAnsi="宋体" w:cs="宋体"/>
                <w:sz w:val="24"/>
                <w:szCs w:val="24"/>
              </w:rPr>
              <w:t>分户交款清册数据、项目基础情况数据</w:t>
            </w:r>
            <w:r>
              <w:rPr>
                <w:rFonts w:ascii="宋体" w:hAnsi="宋体" w:cs="宋体"/>
                <w:sz w:val="24"/>
                <w:szCs w:val="24"/>
              </w:rPr>
              <w:t>、</w:t>
            </w:r>
            <w:r>
              <w:rPr>
                <w:rFonts w:hint="eastAsia" w:ascii="宋体" w:hAnsi="宋体" w:cs="宋体"/>
                <w:sz w:val="24"/>
                <w:szCs w:val="24"/>
              </w:rPr>
              <w:t>项目表决结果数据</w:t>
            </w:r>
            <w:r>
              <w:rPr>
                <w:rFonts w:ascii="宋体" w:hAnsi="宋体" w:cs="宋体"/>
                <w:sz w:val="24"/>
                <w:szCs w:val="24"/>
              </w:rPr>
              <w:t>、</w:t>
            </w:r>
            <w:r>
              <w:rPr>
                <w:rFonts w:hint="eastAsia" w:ascii="宋体" w:hAnsi="宋体" w:cs="宋体"/>
                <w:sz w:val="24"/>
                <w:szCs w:val="24"/>
              </w:rPr>
              <w:t>维修设备清单数据、项目列支范围数据、支付业务数据、分户支取清册数据、增值业务数据及</w:t>
            </w:r>
            <w:r>
              <w:rPr>
                <w:rFonts w:hint="eastAsia" w:ascii="宋体" w:hAnsi="宋体" w:cs="宋体"/>
                <w:sz w:val="24"/>
                <w:szCs w:val="24"/>
              </w:rPr>
              <w:t>退款业务数据。</w:t>
            </w:r>
          </w:p>
        </w:tc>
        <w:tc>
          <w:tcPr>
            <w:tcW w:w="4076" w:type="dxa"/>
            <w:vAlign w:val="center"/>
          </w:tcPr>
          <w:p>
            <w:pPr>
              <w:spacing w:line="360" w:lineRule="auto"/>
              <w:rPr>
                <w:rFonts w:hint="eastAsia"/>
                <w:sz w:val="24"/>
                <w:szCs w:val="24"/>
                <w:u w:val="single"/>
              </w:rPr>
            </w:pPr>
            <w:r>
              <w:rPr>
                <w:rFonts w:hint="eastAsia" w:ascii="宋体" w:hAnsi="宋体" w:eastAsia="宋体" w:cs="宋体"/>
                <w:b/>
                <w:bCs/>
                <w:color w:val="auto"/>
                <w:kern w:val="0"/>
                <w:sz w:val="24"/>
                <w:szCs w:val="24"/>
                <w:u w:val="none"/>
              </w:rPr>
              <w:t>3.6.2</w:t>
            </w:r>
            <w:r>
              <w:rPr>
                <w:rFonts w:hint="eastAsia" w:ascii="宋体" w:hAnsi="宋体" w:eastAsia="宋体" w:cs="宋体"/>
                <w:b/>
                <w:bCs/>
                <w:color w:val="auto"/>
                <w:kern w:val="0"/>
                <w:sz w:val="24"/>
                <w:szCs w:val="24"/>
                <w:u w:val="none"/>
              </w:rPr>
              <w:t xml:space="preserve"> </w:t>
            </w:r>
            <w:r>
              <w:rPr>
                <w:rFonts w:hint="eastAsia" w:ascii="宋体" w:hAnsi="宋体" w:eastAsia="宋体" w:cs="宋体"/>
                <w:color w:val="auto"/>
                <w:sz w:val="24"/>
                <w:szCs w:val="24"/>
              </w:rPr>
              <w:t>业务数据二级分类应包括交款业务数据、分户交款清册数据、项目基础情况数据、项目表决结果数据、维修设备清单数据、项目列支范围数据、支付业务数据、分户支取清册数据、增值业务数据</w:t>
            </w:r>
            <w:r>
              <w:rPr>
                <w:rFonts w:hint="eastAsia" w:ascii="宋体" w:hAnsi="宋体" w:eastAsia="宋体" w:cs="宋体"/>
                <w:color w:val="auto"/>
                <w:sz w:val="24"/>
                <w:szCs w:val="24"/>
                <w:bdr w:val="single" w:color="auto" w:sz="4" w:space="0"/>
              </w:rPr>
              <w:t>及</w:t>
            </w:r>
            <w:r>
              <w:rPr>
                <w:rFonts w:hint="eastAsia" w:ascii="宋体" w:hAnsi="宋体" w:eastAsia="宋体" w:cs="宋体"/>
                <w:color w:val="auto"/>
                <w:sz w:val="24"/>
                <w:szCs w:val="24"/>
                <w:u w:val="single"/>
              </w:rPr>
              <w:t>、</w:t>
            </w:r>
            <w:r>
              <w:rPr>
                <w:rFonts w:hint="eastAsia" w:ascii="宋体" w:hAnsi="宋体" w:eastAsia="宋体" w:cs="宋体"/>
                <w:color w:val="auto"/>
                <w:sz w:val="24"/>
                <w:szCs w:val="24"/>
              </w:rPr>
              <w:t>退款业务数据</w:t>
            </w:r>
            <w:r>
              <w:rPr>
                <w:rFonts w:hint="eastAsia" w:ascii="宋体" w:hAnsi="宋体" w:eastAsia="宋体" w:cs="宋体"/>
                <w:color w:val="auto"/>
                <w:sz w:val="24"/>
                <w:szCs w:val="24"/>
                <w:u w:val="single"/>
              </w:rPr>
              <w:t>及业务办理记录数据</w:t>
            </w:r>
            <w:r>
              <w:rPr>
                <w:rFonts w:hint="eastAsia" w:ascii="宋体" w:hAnsi="宋体" w:eastAsia="宋体" w:cs="宋体"/>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eastAsia="zh-CN"/>
              </w:rPr>
            </w:pPr>
            <w:r>
              <w:rPr>
                <w:rFonts w:hint="eastAsia" w:eastAsiaTheme="minorEastAsia"/>
                <w:b/>
                <w:bCs/>
                <w:color w:val="auto"/>
                <w:spacing w:val="30"/>
                <w:kern w:val="36"/>
                <w:sz w:val="24"/>
                <w:szCs w:val="24"/>
                <w:lang w:val="en-US" w:eastAsia="zh-CN"/>
              </w:rPr>
              <w:t>4数据编码</w:t>
            </w:r>
          </w:p>
        </w:tc>
        <w:tc>
          <w:tcPr>
            <w:tcW w:w="4076"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rPr>
            </w:pPr>
            <w:r>
              <w:rPr>
                <w:rFonts w:hint="eastAsia" w:eastAsiaTheme="minorEastAsia"/>
                <w:b/>
                <w:bCs/>
                <w:color w:val="auto"/>
                <w:spacing w:val="30"/>
                <w:kern w:val="36"/>
                <w:sz w:val="24"/>
                <w:szCs w:val="24"/>
                <w:lang w:val="en-US" w:eastAsia="zh-CN"/>
              </w:rPr>
              <w:t>4数据编码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rPr>
                <w:rFonts w:eastAsiaTheme="minorEastAsia"/>
                <w:b/>
                <w:bCs/>
                <w:color w:val="FF0000"/>
                <w:spacing w:val="30"/>
                <w:kern w:val="36"/>
                <w:sz w:val="24"/>
                <w:szCs w:val="24"/>
              </w:rPr>
            </w:pPr>
            <w:r>
              <w:rPr>
                <w:rFonts w:hint="eastAsia" w:asciiTheme="minorEastAsia" w:hAnsiTheme="minorEastAsia" w:eastAsiaTheme="minorEastAsia"/>
                <w:b/>
                <w:bCs/>
                <w:color w:val="auto"/>
                <w:sz w:val="24"/>
                <w:szCs w:val="24"/>
                <w:u w:val="none"/>
              </w:rPr>
              <w:t>4.1编码</w:t>
            </w:r>
          </w:p>
        </w:tc>
        <w:tc>
          <w:tcPr>
            <w:tcW w:w="4076" w:type="dxa"/>
          </w:tcPr>
          <w:p>
            <w:pPr>
              <w:widowControl/>
              <w:shd w:val="clear" w:color="auto" w:fill="FFFFFF"/>
              <w:spacing w:before="300" w:after="150"/>
              <w:ind w:firstLine="0"/>
              <w:jc w:val="center"/>
              <w:outlineLvl w:val="0"/>
              <w:rPr>
                <w:rFonts w:asciiTheme="minorEastAsia" w:hAnsiTheme="minorEastAsia" w:eastAsiaTheme="minorEastAsia"/>
                <w:color w:val="FF0000"/>
                <w:sz w:val="24"/>
                <w:szCs w:val="24"/>
                <w:u w:val="single"/>
              </w:rPr>
            </w:pPr>
            <w:r>
              <w:rPr>
                <w:rFonts w:hint="eastAsia" w:asciiTheme="minorEastAsia" w:hAnsiTheme="minorEastAsia" w:eastAsiaTheme="minorEastAsia"/>
                <w:b/>
                <w:bCs/>
                <w:color w:val="auto"/>
                <w:sz w:val="24"/>
                <w:szCs w:val="24"/>
                <w:u w:val="none"/>
              </w:rPr>
              <w:t>4.1编码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ind w:left="0" w:leftChars="0" w:firstLine="0" w:firstLineChars="0"/>
              <w:jc w:val="center"/>
              <w:rPr>
                <w:rFonts w:ascii="宋体" w:cs="Times New Roman"/>
                <w:b/>
                <w:bCs/>
                <w:vertAlign w:val="baseline"/>
              </w:rPr>
            </w:pPr>
            <w:r>
              <w:rPr>
                <w:rFonts w:hint="eastAsia" w:ascii="宋体" w:hAnsi="宋体" w:cs="宋体"/>
                <w:b/>
                <w:bCs/>
              </w:rPr>
              <w:t>表</w:t>
            </w:r>
            <w:r>
              <w:rPr>
                <w:rFonts w:ascii="宋体" w:hAnsi="宋体" w:cs="宋体"/>
                <w:b/>
                <w:bCs/>
              </w:rPr>
              <w:t xml:space="preserve">4.1.2  </w:t>
            </w:r>
            <w:r>
              <w:rPr>
                <w:rFonts w:hint="eastAsia" w:ascii="宋体" w:hAnsi="宋体" w:cs="宋体"/>
                <w:b/>
                <w:bCs/>
              </w:rPr>
              <w:t>数据分类代码</w:t>
            </w:r>
          </w:p>
          <w:tbl>
            <w:tblPr>
              <w:tblStyle w:val="5"/>
              <w:tblW w:w="4023"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3"/>
              <w:gridCol w:w="1410"/>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分类编码</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一级分类</w:t>
                  </w: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房屋数据</w:t>
                  </w: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楼幢数据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业主数据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权属关系数据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共用部位及共用设施设备数据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共用部位及共用设施设备分类数据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共用部位及共用设施设备档案数据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共用部位及共用设施设备维修记录数据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机构数据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开发建设单位数据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业主委员会数据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物业服务企业数据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审价机构数据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勘察单位数据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03060000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设计单位数据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03070000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施工单位数据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03080000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监理单位数据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03090000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招标代理单位数据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03100000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会计师事务所数据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03110000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居民委员会数据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账务数据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账户数据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账户交易明细数据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业务数据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交款业务数据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分户交款清册数据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项目基础情况数据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项目表决结果数据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维修设备清单数据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05060000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项目列支范围数据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05070000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支付业务数据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05080000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分户支取清册数据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05090000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增值业务数据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05100000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退款业务数据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核算数据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会计科目数据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会计凭证数据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会计凭证分录项数据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银行对账单数据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预警数据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风险预警指标数据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风险预警规则数据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风险预警规则关联指标数据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风险预警处理结果数据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统计数据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物业区域余额统计数据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物业区域资金明细统计数据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09000000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09010000</w:t>
                  </w:r>
                </w:p>
              </w:tc>
              <w:tc>
                <w:tcPr>
                  <w:tcW w:w="1410" w:type="dxa"/>
                  <w:noWrap w:val="0"/>
                  <w:vAlign w:val="center"/>
                </w:tcPr>
                <w:p>
                  <w:pPr>
                    <w:spacing w:line="276" w:lineRule="auto"/>
                    <w:ind w:left="31" w:leftChars="15"/>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档案类型数据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09020000</w:t>
                  </w:r>
                </w:p>
              </w:tc>
              <w:tc>
                <w:tcPr>
                  <w:tcW w:w="1410" w:type="dxa"/>
                  <w:noWrap w:val="0"/>
                  <w:vAlign w:val="center"/>
                </w:tcPr>
                <w:p>
                  <w:pPr>
                    <w:spacing w:line="276" w:lineRule="auto"/>
                    <w:ind w:left="31" w:leftChars="15"/>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档案盒数据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09030000</w:t>
                  </w:r>
                </w:p>
              </w:tc>
              <w:tc>
                <w:tcPr>
                  <w:tcW w:w="1410" w:type="dxa"/>
                  <w:noWrap w:val="0"/>
                  <w:vAlign w:val="center"/>
                </w:tcPr>
                <w:p>
                  <w:pPr>
                    <w:spacing w:line="276" w:lineRule="auto"/>
                    <w:ind w:left="31" w:leftChars="15"/>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档案文件数据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09040000</w:t>
                  </w:r>
                </w:p>
              </w:tc>
              <w:tc>
                <w:tcPr>
                  <w:tcW w:w="1410" w:type="dxa"/>
                  <w:noWrap w:val="0"/>
                  <w:vAlign w:val="center"/>
                </w:tcPr>
                <w:p>
                  <w:pPr>
                    <w:spacing w:line="276" w:lineRule="auto"/>
                    <w:ind w:left="31" w:leftChars="15"/>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档案借出表数据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发布数据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资金整体收支情况汇总数据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资金收支情况明细数据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资金使用明细数据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综合收益明细数据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支撑数据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行政区划数据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主管部门数据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专户银行数据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文件数据</w:t>
                  </w:r>
                </w:p>
              </w:tc>
            </w:tr>
          </w:tbl>
          <w:p>
            <w:pPr>
              <w:spacing w:line="360" w:lineRule="auto"/>
              <w:ind w:left="0" w:leftChars="0" w:firstLine="0" w:firstLineChars="0"/>
              <w:jc w:val="both"/>
              <w:rPr>
                <w:rFonts w:hint="eastAsia" w:asciiTheme="minorEastAsia" w:hAnsiTheme="minorEastAsia" w:eastAsiaTheme="minorEastAsia"/>
                <w:b/>
                <w:bCs/>
                <w:color w:val="auto"/>
                <w:sz w:val="24"/>
                <w:szCs w:val="24"/>
                <w:u w:val="none"/>
                <w:lang w:val="en-US" w:eastAsia="zh-CN"/>
              </w:rPr>
            </w:pPr>
          </w:p>
        </w:tc>
        <w:tc>
          <w:tcPr>
            <w:tcW w:w="4076" w:type="dxa"/>
          </w:tcPr>
          <w:p>
            <w:pPr>
              <w:ind w:left="0" w:leftChars="0" w:firstLine="0" w:firstLineChars="0"/>
              <w:jc w:val="center"/>
              <w:rPr>
                <w:rFonts w:hint="eastAsia" w:ascii="宋体" w:hAnsi="宋体" w:cs="宋体"/>
                <w:b/>
                <w:bCs/>
              </w:rPr>
            </w:pPr>
            <w:r>
              <w:rPr>
                <w:rFonts w:hint="eastAsia" w:ascii="宋体" w:hAnsi="宋体" w:cs="宋体"/>
                <w:b/>
                <w:bCs/>
              </w:rPr>
              <w:t>表4.1.2  数据分类代码</w:t>
            </w:r>
          </w:p>
          <w:tbl>
            <w:tblPr>
              <w:tblStyle w:val="5"/>
              <w:tblW w:w="4023"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3"/>
              <w:gridCol w:w="1410"/>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分类编码</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一级分类</w:t>
                  </w: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二级分类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房屋数据</w:t>
                  </w: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bdr w:val="single" w:color="000000" w:sz="4" w:space="0"/>
                    </w:rPr>
                    <w:t>楼</w:t>
                  </w:r>
                  <w:r>
                    <w:rPr>
                      <w:rFonts w:hint="eastAsia" w:ascii="宋体" w:hAnsi="宋体" w:eastAsia="宋体" w:cs="宋体"/>
                      <w:color w:val="auto"/>
                      <w:sz w:val="18"/>
                      <w:szCs w:val="18"/>
                    </w:rPr>
                    <w:t>幢数据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业主数据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01050000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权属关系数据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bdr w:val="single" w:color="000000" w:sz="4" w:space="0"/>
                    </w:rPr>
                    <w:t>共用</w:t>
                  </w:r>
                  <w:r>
                    <w:rPr>
                      <w:rFonts w:hint="eastAsia" w:ascii="宋体" w:hAnsi="宋体" w:eastAsia="宋体" w:cs="宋体"/>
                      <w:color w:val="auto"/>
                      <w:sz w:val="18"/>
                      <w:szCs w:val="18"/>
                      <w:u w:val="single"/>
                      <w:lang w:val="en-US" w:eastAsia="zh-CN"/>
                    </w:rPr>
                    <w:t>共有</w:t>
                  </w:r>
                  <w:r>
                    <w:rPr>
                      <w:rFonts w:hint="eastAsia" w:ascii="宋体" w:hAnsi="宋体" w:eastAsia="宋体" w:cs="宋体"/>
                      <w:color w:val="auto"/>
                      <w:sz w:val="18"/>
                      <w:szCs w:val="18"/>
                    </w:rPr>
                    <w:t>部位及共用设施设备数据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bdr w:val="single" w:color="000000" w:sz="4" w:space="0"/>
                    </w:rPr>
                    <w:t>共用</w:t>
                  </w:r>
                  <w:r>
                    <w:rPr>
                      <w:rFonts w:hint="eastAsia" w:ascii="宋体" w:hAnsi="宋体" w:eastAsia="宋体" w:cs="宋体"/>
                      <w:color w:val="auto"/>
                      <w:sz w:val="18"/>
                      <w:szCs w:val="18"/>
                      <w:u w:val="single"/>
                      <w:lang w:val="en-US" w:eastAsia="zh-CN"/>
                    </w:rPr>
                    <w:t>共有</w:t>
                  </w:r>
                  <w:r>
                    <w:rPr>
                      <w:rFonts w:hint="eastAsia" w:ascii="宋体" w:hAnsi="宋体" w:eastAsia="宋体" w:cs="宋体"/>
                      <w:color w:val="auto"/>
                      <w:sz w:val="18"/>
                      <w:szCs w:val="18"/>
                    </w:rPr>
                    <w:t>部位及共用设施设备分类数据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bdr w:val="single" w:color="000000" w:sz="4" w:space="0"/>
                    </w:rPr>
                    <w:t>共用</w:t>
                  </w:r>
                  <w:r>
                    <w:rPr>
                      <w:rFonts w:hint="eastAsia" w:ascii="宋体" w:hAnsi="宋体" w:eastAsia="宋体" w:cs="宋体"/>
                      <w:color w:val="auto"/>
                      <w:sz w:val="18"/>
                      <w:szCs w:val="18"/>
                      <w:u w:val="single"/>
                      <w:lang w:val="en-US" w:eastAsia="zh-CN"/>
                    </w:rPr>
                    <w:t>共有</w:t>
                  </w:r>
                  <w:r>
                    <w:rPr>
                      <w:rFonts w:hint="eastAsia" w:ascii="宋体" w:hAnsi="宋体" w:eastAsia="宋体" w:cs="宋体"/>
                      <w:color w:val="auto"/>
                      <w:sz w:val="18"/>
                      <w:szCs w:val="18"/>
                    </w:rPr>
                    <w:t>部位及共用设施设备档案数据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02030000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bdr w:val="single" w:color="000000" w:sz="4" w:space="0"/>
                    </w:rPr>
                    <w:t>共用</w:t>
                  </w:r>
                  <w:r>
                    <w:rPr>
                      <w:rFonts w:hint="eastAsia" w:ascii="宋体" w:hAnsi="宋体" w:eastAsia="宋体" w:cs="宋体"/>
                      <w:color w:val="auto"/>
                      <w:sz w:val="18"/>
                      <w:szCs w:val="18"/>
                      <w:u w:val="single"/>
                      <w:lang w:val="en-US" w:eastAsia="zh-CN"/>
                    </w:rPr>
                    <w:t>共有</w:t>
                  </w:r>
                  <w:r>
                    <w:rPr>
                      <w:rFonts w:hint="eastAsia" w:ascii="宋体" w:hAnsi="宋体" w:eastAsia="宋体" w:cs="宋体"/>
                      <w:color w:val="auto"/>
                      <w:sz w:val="18"/>
                      <w:szCs w:val="18"/>
                    </w:rPr>
                    <w:t>部位及共用设施设备维修记录数据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02040000</w:t>
                  </w:r>
                </w:p>
              </w:tc>
              <w:tc>
                <w:tcPr>
                  <w:tcW w:w="1410" w:type="dxa"/>
                  <w:noWrap w:val="0"/>
                  <w:vAlign w:val="center"/>
                </w:tcPr>
                <w:p>
                  <w:pPr>
                    <w:spacing w:line="276" w:lineRule="auto"/>
                    <w:jc w:val="center"/>
                    <w:rPr>
                      <w:rFonts w:hint="eastAsia" w:ascii="宋体" w:hAnsi="宋体" w:eastAsia="宋体" w:cs="宋体"/>
                      <w:color w:val="auto"/>
                      <w:sz w:val="18"/>
                      <w:szCs w:val="18"/>
                      <w:u w:val="single"/>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lang w:val="en-US" w:eastAsia="zh-CN"/>
                    </w:rPr>
                    <w:t>共有</w:t>
                  </w:r>
                  <w:r>
                    <w:rPr>
                      <w:rFonts w:hint="eastAsia" w:ascii="宋体" w:hAnsi="宋体" w:eastAsia="宋体" w:cs="宋体"/>
                      <w:color w:val="auto"/>
                      <w:sz w:val="18"/>
                      <w:szCs w:val="18"/>
                      <w:u w:val="single"/>
                    </w:rPr>
                    <w:t>部位及共用设施设备保养记录数据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02050000</w:t>
                  </w:r>
                </w:p>
              </w:tc>
              <w:tc>
                <w:tcPr>
                  <w:tcW w:w="1410" w:type="dxa"/>
                  <w:noWrap w:val="0"/>
                  <w:vAlign w:val="center"/>
                </w:tcPr>
                <w:p>
                  <w:pPr>
                    <w:spacing w:line="276" w:lineRule="auto"/>
                    <w:jc w:val="center"/>
                    <w:rPr>
                      <w:rFonts w:hint="eastAsia" w:ascii="宋体" w:hAnsi="宋体" w:eastAsia="宋体" w:cs="宋体"/>
                      <w:color w:val="auto"/>
                      <w:sz w:val="18"/>
                      <w:szCs w:val="18"/>
                      <w:u w:val="single"/>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共</w:t>
                  </w:r>
                  <w:r>
                    <w:rPr>
                      <w:rFonts w:hint="eastAsia" w:ascii="宋体" w:hAnsi="宋体" w:eastAsia="宋体" w:cs="宋体"/>
                      <w:color w:val="auto"/>
                      <w:sz w:val="18"/>
                      <w:szCs w:val="18"/>
                      <w:u w:val="single"/>
                      <w:lang w:val="en-US" w:eastAsia="zh-CN"/>
                    </w:rPr>
                    <w:t>有</w:t>
                  </w:r>
                  <w:r>
                    <w:rPr>
                      <w:rFonts w:hint="eastAsia" w:ascii="宋体" w:hAnsi="宋体" w:eastAsia="宋体" w:cs="宋体"/>
                      <w:color w:val="auto"/>
                      <w:sz w:val="18"/>
                      <w:szCs w:val="18"/>
                      <w:u w:val="single"/>
                    </w:rPr>
                    <w:t>部位及共用设施设备巡检记录数据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机构数据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开发建设单位数据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业主委员会数据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物业服务企业数据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审价机构数据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勘察单位数据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03060000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设计单位数据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03070000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施工单位数据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03080000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监理单位数据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03090000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招标代理单位数据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03100000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会计师事务所数据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03110000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居民委员会数据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账务数据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账户数据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04020000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账户交易明细数据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业务数据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交款业务数据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分户交款清册数据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项目基础情况数据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项目表决结果数据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维修设备清单数据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05060000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项目列支范围数据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05070000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支付业务数据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05080000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分户支取清册数据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05090000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增值业务数据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05100000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退款业务数据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05110000</w:t>
                  </w:r>
                </w:p>
              </w:tc>
              <w:tc>
                <w:tcPr>
                  <w:tcW w:w="1410" w:type="dxa"/>
                  <w:noWrap w:val="0"/>
                  <w:vAlign w:val="center"/>
                </w:tcPr>
                <w:p>
                  <w:pPr>
                    <w:spacing w:line="276" w:lineRule="auto"/>
                    <w:jc w:val="center"/>
                    <w:rPr>
                      <w:rFonts w:hint="eastAsia" w:ascii="宋体" w:hAnsi="宋体" w:eastAsia="宋体" w:cs="宋体"/>
                      <w:color w:val="auto"/>
                      <w:sz w:val="18"/>
                      <w:szCs w:val="18"/>
                      <w:u w:val="single"/>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u w:val="single"/>
                    </w:rPr>
                  </w:pPr>
                  <w:r>
                    <w:rPr>
                      <w:rFonts w:hint="eastAsia" w:ascii="宋体" w:hAnsi="宋体" w:eastAsia="宋体" w:cs="宋体"/>
                      <w:color w:val="auto"/>
                      <w:sz w:val="18"/>
                      <w:szCs w:val="18"/>
                      <w:u w:val="single"/>
                    </w:rPr>
                    <w:t>业务办理记录数据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核算数据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会计科目数据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会计凭证数据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会计凭证分录项数据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06040000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银行对账单数据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预警数据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风险预警指标数据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风险预警规则数据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风险预警规则关联指标数据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07050000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风险预警处理结果数据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统计数据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物业区域余额统计数据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08020000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物业区域资金明细统计数据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09000000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09010000</w:t>
                  </w:r>
                </w:p>
              </w:tc>
              <w:tc>
                <w:tcPr>
                  <w:tcW w:w="1410" w:type="dxa"/>
                  <w:noWrap w:val="0"/>
                  <w:vAlign w:val="center"/>
                </w:tcPr>
                <w:p>
                  <w:pPr>
                    <w:spacing w:line="276" w:lineRule="auto"/>
                    <w:jc w:val="center"/>
                    <w:rPr>
                      <w:rFonts w:hint="eastAsia" w:ascii="宋体" w:hAnsi="宋体" w:eastAsia="宋体" w:cs="宋体"/>
                      <w:color w:val="auto"/>
                      <w:sz w:val="18"/>
                      <w:szCs w:val="18"/>
                      <w:bdr w:val="single" w:color="auto" w:sz="4" w:space="0"/>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档案类型数据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09020000</w:t>
                  </w:r>
                </w:p>
              </w:tc>
              <w:tc>
                <w:tcPr>
                  <w:tcW w:w="1410" w:type="dxa"/>
                  <w:noWrap w:val="0"/>
                  <w:vAlign w:val="center"/>
                </w:tcPr>
                <w:p>
                  <w:pPr>
                    <w:spacing w:line="276" w:lineRule="auto"/>
                    <w:jc w:val="center"/>
                    <w:rPr>
                      <w:rFonts w:hint="eastAsia" w:ascii="宋体" w:hAnsi="宋体" w:eastAsia="宋体" w:cs="宋体"/>
                      <w:color w:val="auto"/>
                      <w:sz w:val="18"/>
                      <w:szCs w:val="18"/>
                      <w:bdr w:val="single" w:color="auto" w:sz="4" w:space="0"/>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档案盒数据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09030000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档案文件数据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09040000</w:t>
                  </w:r>
                </w:p>
              </w:tc>
              <w:tc>
                <w:tcPr>
                  <w:tcW w:w="1410" w:type="dxa"/>
                  <w:noWrap w:val="0"/>
                  <w:vAlign w:val="center"/>
                </w:tcPr>
                <w:p>
                  <w:pPr>
                    <w:spacing w:line="276" w:lineRule="auto"/>
                    <w:jc w:val="center"/>
                    <w:rPr>
                      <w:rFonts w:hint="eastAsia" w:ascii="宋体" w:hAnsi="宋体" w:eastAsia="宋体" w:cs="宋体"/>
                      <w:color w:val="auto"/>
                      <w:sz w:val="18"/>
                      <w:szCs w:val="18"/>
                      <w:bdr w:val="single" w:color="auto" w:sz="4" w:space="0"/>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bdr w:val="single" w:color="auto" w:sz="4" w:space="0"/>
                    </w:rPr>
                  </w:pPr>
                  <w:r>
                    <w:rPr>
                      <w:rFonts w:hint="eastAsia" w:ascii="宋体" w:hAnsi="宋体" w:eastAsia="宋体" w:cs="宋体"/>
                      <w:color w:val="auto"/>
                      <w:sz w:val="18"/>
                      <w:szCs w:val="18"/>
                      <w:bdr w:val="single" w:color="auto" w:sz="4" w:space="0"/>
                    </w:rPr>
                    <w:t>档案借出表数据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发布数据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资金整体收支情况汇总数据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资金收支情况明细数据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资金使用明细数据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10040000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综合收益明细数据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11000000</w:t>
                  </w:r>
                </w:p>
              </w:tc>
              <w:tc>
                <w:tcPr>
                  <w:tcW w:w="1410"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支撑数据</w:t>
                  </w: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11010000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行政区划数据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11020000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主管部门数据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11030000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专户银行数据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93" w:type="dxa"/>
                  <w:noWrap w:val="0"/>
                  <w:vAlign w:val="center"/>
                </w:tcPr>
                <w:p>
                  <w:pPr>
                    <w:spacing w:line="276"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11040000</w:t>
                  </w:r>
                </w:p>
              </w:tc>
              <w:tc>
                <w:tcPr>
                  <w:tcW w:w="1410" w:type="dxa"/>
                  <w:noWrap w:val="0"/>
                  <w:vAlign w:val="center"/>
                </w:tcPr>
                <w:p>
                  <w:pPr>
                    <w:spacing w:line="276" w:lineRule="auto"/>
                    <w:jc w:val="center"/>
                    <w:rPr>
                      <w:rFonts w:hint="eastAsia" w:ascii="宋体" w:hAnsi="宋体" w:eastAsia="宋体" w:cs="宋体"/>
                      <w:color w:val="auto"/>
                      <w:sz w:val="18"/>
                      <w:szCs w:val="18"/>
                    </w:rPr>
                  </w:pPr>
                </w:p>
              </w:tc>
              <w:tc>
                <w:tcPr>
                  <w:tcW w:w="1520" w:type="dxa"/>
                  <w:tcBorders>
                    <w:right w:val="single" w:color="auto" w:sz="4" w:space="0"/>
                  </w:tcBorders>
                  <w:noWrap w:val="0"/>
                  <w:vAlign w:val="center"/>
                </w:tcPr>
                <w:p>
                  <w:pPr>
                    <w:spacing w:line="276" w:lineRule="auto"/>
                    <w:ind w:left="31" w:leftChars="15"/>
                    <w:jc w:val="center"/>
                    <w:rPr>
                      <w:rFonts w:hint="eastAsia" w:ascii="宋体" w:hAnsi="宋体" w:eastAsia="宋体" w:cs="宋体"/>
                      <w:color w:val="auto"/>
                      <w:sz w:val="18"/>
                      <w:szCs w:val="18"/>
                    </w:rPr>
                  </w:pPr>
                  <w:r>
                    <w:rPr>
                      <w:rFonts w:hint="eastAsia" w:ascii="宋体" w:hAnsi="宋体" w:eastAsia="宋体" w:cs="宋体"/>
                      <w:color w:val="auto"/>
                      <w:sz w:val="18"/>
                      <w:szCs w:val="18"/>
                    </w:rPr>
                    <w:t>文件数据</w:t>
                  </w:r>
                </w:p>
              </w:tc>
            </w:tr>
          </w:tbl>
          <w:p>
            <w:pPr>
              <w:spacing w:line="360" w:lineRule="auto"/>
              <w:ind w:left="0" w:leftChars="0" w:firstLine="0" w:firstLineChars="0"/>
              <w:jc w:val="both"/>
              <w:rPr>
                <w:rFonts w:hint="eastAsia" w:asciiTheme="minorEastAsia" w:hAnsiTheme="minorEastAsia" w:eastAsiaTheme="minorEastAsia"/>
                <w:b/>
                <w:bCs/>
                <w:color w:val="auto"/>
                <w:sz w:val="24"/>
                <w:szCs w:val="24"/>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firstLineChars="0"/>
              <w:jc w:val="center"/>
              <w:outlineLvl w:val="0"/>
              <w:rPr>
                <w:rFonts w:hint="default" w:eastAsiaTheme="minorEastAsia"/>
                <w:b/>
                <w:bCs/>
                <w:color w:val="FF0000"/>
                <w:spacing w:val="30"/>
                <w:kern w:val="36"/>
                <w:sz w:val="24"/>
                <w:szCs w:val="24"/>
                <w:lang w:val="en-US" w:eastAsia="zh-CN"/>
              </w:rPr>
            </w:pPr>
            <w:r>
              <w:rPr>
                <w:rFonts w:hint="eastAsia" w:asciiTheme="minorEastAsia" w:hAnsiTheme="minorEastAsia" w:eastAsiaTheme="minorEastAsia"/>
                <w:b/>
                <w:bCs/>
                <w:color w:val="auto"/>
                <w:sz w:val="24"/>
                <w:szCs w:val="24"/>
                <w:u w:val="none"/>
                <w:lang w:val="en-US" w:eastAsia="zh-CN"/>
              </w:rPr>
              <w:t>4</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2核心数据项标识码代码</w:t>
            </w:r>
          </w:p>
        </w:tc>
        <w:tc>
          <w:tcPr>
            <w:tcW w:w="4076" w:type="dxa"/>
            <w:vAlign w:val="top"/>
          </w:tcPr>
          <w:p>
            <w:pPr>
              <w:widowControl/>
              <w:shd w:val="clear" w:color="auto" w:fill="FFFFFF"/>
              <w:spacing w:before="300" w:after="150"/>
              <w:ind w:firstLine="0" w:firstLineChars="0"/>
              <w:jc w:val="center"/>
              <w:outlineLvl w:val="0"/>
              <w:rPr>
                <w:rFonts w:hint="default" w:eastAsiaTheme="minorEastAsia"/>
                <w:b/>
                <w:bCs/>
                <w:color w:val="FF0000"/>
                <w:spacing w:val="30"/>
                <w:kern w:val="36"/>
                <w:sz w:val="24"/>
                <w:szCs w:val="24"/>
                <w:lang w:val="en-US"/>
              </w:rPr>
            </w:pPr>
            <w:r>
              <w:rPr>
                <w:rFonts w:hint="eastAsia" w:asciiTheme="minorEastAsia" w:hAnsiTheme="minorEastAsia" w:eastAsiaTheme="minorEastAsia"/>
                <w:b/>
                <w:bCs/>
                <w:color w:val="auto"/>
                <w:sz w:val="24"/>
                <w:szCs w:val="24"/>
                <w:u w:val="none"/>
                <w:lang w:val="en-US" w:eastAsia="zh-CN"/>
              </w:rPr>
              <w:t>4</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2核心数据项标识码代码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both"/>
              <w:outlineLvl w:val="0"/>
              <w:rPr>
                <w:rFonts w:hint="eastAsia" w:ascii="宋体" w:hAnsi="宋体" w:eastAsia="宋体" w:cs="宋体"/>
                <w:sz w:val="24"/>
                <w:szCs w:val="24"/>
              </w:rPr>
            </w:pPr>
            <w:r>
              <w:rPr>
                <w:rFonts w:hint="eastAsia" w:ascii="宋体" w:hAnsi="宋体" w:eastAsia="宋体" w:cs="宋体"/>
                <w:b/>
                <w:bCs/>
                <w:kern w:val="0"/>
                <w:sz w:val="24"/>
                <w:szCs w:val="24"/>
              </w:rPr>
              <w:t xml:space="preserve">4.2.2 </w:t>
            </w:r>
            <w:r>
              <w:rPr>
                <w:rFonts w:hint="eastAsia" w:ascii="宋体" w:hAnsi="宋体" w:eastAsia="宋体" w:cs="宋体"/>
                <w:sz w:val="24"/>
                <w:szCs w:val="24"/>
              </w:rPr>
              <w:t>物业区域、楼幢、房屋代码规则应符合下列规定：</w:t>
            </w:r>
          </w:p>
          <w:p>
            <w:pPr>
              <w:pStyle w:val="10"/>
              <w:spacing w:line="360" w:lineRule="auto"/>
              <w:ind w:firstLine="472" w:firstLineChars="196"/>
              <w:rPr>
                <w:rFonts w:hint="eastAsia" w:ascii="宋体" w:hAnsi="宋体" w:eastAsia="宋体" w:cs="宋体"/>
                <w:sz w:val="24"/>
                <w:szCs w:val="24"/>
              </w:rPr>
            </w:pPr>
            <w:r>
              <w:rPr>
                <w:rFonts w:hint="eastAsia" w:ascii="宋体" w:hAnsi="宋体" w:eastAsia="宋体" w:cs="宋体"/>
                <w:b/>
                <w:bCs/>
                <w:kern w:val="0"/>
                <w:sz w:val="24"/>
                <w:szCs w:val="24"/>
              </w:rPr>
              <w:t xml:space="preserve">2 </w:t>
            </w:r>
            <w:r>
              <w:rPr>
                <w:rFonts w:hint="eastAsia" w:ascii="宋体" w:hAnsi="宋体" w:eastAsia="宋体" w:cs="宋体"/>
                <w:sz w:val="24"/>
                <w:szCs w:val="24"/>
              </w:rPr>
              <w:t>楼幢代码总长度应为18位（图4.2.2-2）；物业区域代码为15位，序列代码为3位，在物业区域内根据实际情况和需要，按物业区域范围内顺序的阿拉伯数字进行编码，不足位前面补0。</w:t>
            </w:r>
          </w:p>
          <w:p>
            <w:pPr>
              <w:widowControl/>
              <w:shd w:val="clear" w:color="auto" w:fill="FFFFFF"/>
              <w:spacing w:before="300" w:after="150" w:line="360" w:lineRule="auto"/>
              <w:ind w:firstLine="482" w:firstLineChars="200"/>
              <w:jc w:val="both"/>
              <w:outlineLvl w:val="0"/>
              <w:rPr>
                <w:rFonts w:hint="eastAsia" w:ascii="宋体" w:hAnsi="宋体" w:eastAsia="宋体" w:cs="宋体"/>
                <w:kern w:val="2"/>
                <w:sz w:val="24"/>
                <w:szCs w:val="24"/>
                <w:lang w:val="en-US" w:eastAsia="zh-CN" w:bidi="ar-SA"/>
              </w:rPr>
            </w:pPr>
            <w:r>
              <w:rPr>
                <w:rFonts w:hint="eastAsia" w:ascii="宋体" w:hAnsi="宋体" w:eastAsia="宋体" w:cs="宋体"/>
                <w:b/>
                <w:bCs/>
                <w:kern w:val="2"/>
                <w:sz w:val="24"/>
                <w:szCs w:val="24"/>
                <w:lang w:val="en-US" w:eastAsia="zh-CN" w:bidi="ar-SA"/>
              </w:rPr>
              <w:t>3</w:t>
            </w:r>
            <w:r>
              <w:rPr>
                <w:rFonts w:hint="eastAsia" w:ascii="宋体" w:hAnsi="宋体" w:eastAsia="宋体" w:cs="宋体"/>
                <w:kern w:val="2"/>
                <w:sz w:val="24"/>
                <w:szCs w:val="24"/>
                <w:lang w:val="en-US" w:eastAsia="zh-CN" w:bidi="ar-SA"/>
              </w:rPr>
              <w:t xml:space="preserve"> 单元代码总长度应为20位（图4.2.2-3）；</w:t>
            </w:r>
            <w:r>
              <w:rPr>
                <w:rFonts w:hint="eastAsia" w:ascii="宋体" w:hAnsi="宋体" w:eastAsia="宋体" w:cs="宋体"/>
                <w:kern w:val="2"/>
                <w:sz w:val="24"/>
                <w:szCs w:val="24"/>
                <w:lang w:val="en-US" w:eastAsia="zh-CN" w:bidi="ar-SA"/>
              </w:rPr>
              <w:t>楼幢代码为18位，序列代码为2位，在楼幢内根据实际情况和需要，按楼幢范围内顺序的阿拉伯数字进行编码，不足位前面补0。</w:t>
            </w:r>
          </w:p>
          <w:p>
            <w:pPr>
              <w:widowControl/>
              <w:shd w:val="clear" w:color="auto" w:fill="FFFFFF"/>
              <w:spacing w:before="300" w:after="150" w:line="360" w:lineRule="auto"/>
              <w:jc w:val="both"/>
              <w:outlineLvl w:val="0"/>
              <w:rPr>
                <w:rFonts w:hint="eastAsia" w:ascii="宋体" w:hAnsi="宋体" w:eastAsia="宋体" w:cs="宋体"/>
                <w:kern w:val="2"/>
                <w:sz w:val="24"/>
                <w:szCs w:val="24"/>
                <w:lang w:val="en-US" w:eastAsia="zh-CN" w:bidi="ar-SA"/>
              </w:rPr>
            </w:pPr>
            <w:r>
              <w:drawing>
                <wp:inline distT="0" distB="0" distL="114300" distR="114300">
                  <wp:extent cx="2545080" cy="614680"/>
                  <wp:effectExtent l="0" t="0" r="7620"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2545080" cy="614680"/>
                          </a:xfrm>
                          <a:prstGeom prst="rect">
                            <a:avLst/>
                          </a:prstGeom>
                          <a:noFill/>
                          <a:ln>
                            <a:noFill/>
                          </a:ln>
                        </pic:spPr>
                      </pic:pic>
                    </a:graphicData>
                  </a:graphic>
                </wp:inline>
              </w:drawing>
            </w:r>
          </w:p>
        </w:tc>
        <w:tc>
          <w:tcPr>
            <w:tcW w:w="4076" w:type="dxa"/>
            <w:vAlign w:val="center"/>
          </w:tcPr>
          <w:p>
            <w:pPr>
              <w:widowControl/>
              <w:shd w:val="clear" w:color="auto" w:fill="FFFFFF"/>
              <w:spacing w:before="300" w:after="150"/>
              <w:ind w:firstLine="0"/>
              <w:jc w:val="both"/>
              <w:outlineLvl w:val="0"/>
              <w:rPr>
                <w:rFonts w:hint="eastAsia" w:ascii="宋体" w:hAnsi="宋体" w:eastAsia="宋体" w:cs="宋体"/>
                <w:sz w:val="24"/>
                <w:szCs w:val="24"/>
              </w:rPr>
            </w:pPr>
            <w:r>
              <w:rPr>
                <w:rFonts w:hint="eastAsia" w:ascii="宋体" w:hAnsi="宋体" w:eastAsia="宋体" w:cs="宋体"/>
                <w:b/>
                <w:bCs/>
                <w:kern w:val="0"/>
                <w:sz w:val="24"/>
                <w:szCs w:val="24"/>
              </w:rPr>
              <w:t xml:space="preserve">4.2.2 </w:t>
            </w:r>
            <w:r>
              <w:rPr>
                <w:rFonts w:hint="eastAsia" w:ascii="宋体" w:hAnsi="宋体" w:eastAsia="宋体" w:cs="宋体"/>
                <w:sz w:val="24"/>
                <w:szCs w:val="24"/>
              </w:rPr>
              <w:t>物业区域、楼幢、房屋代码规则应符合下列规定：</w:t>
            </w:r>
          </w:p>
          <w:p>
            <w:pPr>
              <w:pStyle w:val="10"/>
              <w:spacing w:line="360" w:lineRule="auto"/>
              <w:ind w:firstLine="472" w:firstLineChars="196"/>
              <w:rPr>
                <w:rFonts w:hint="eastAsia" w:ascii="宋体" w:hAnsi="宋体" w:eastAsia="宋体" w:cs="宋体"/>
                <w:sz w:val="24"/>
                <w:szCs w:val="24"/>
              </w:rPr>
            </w:pPr>
            <w:r>
              <w:rPr>
                <w:rFonts w:hint="eastAsia" w:ascii="宋体" w:hAnsi="宋体" w:eastAsia="宋体" w:cs="宋体"/>
                <w:b/>
                <w:bCs/>
                <w:kern w:val="0"/>
                <w:sz w:val="24"/>
                <w:szCs w:val="24"/>
              </w:rPr>
              <w:t xml:space="preserve">2 </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幢代码总长度应为18位（图4.2.2-2）；物业区域代码为15位，序列代码为3位，在物业区域内根据实际情况和需要，按物业区域范围内顺序的阿拉伯数字进行编码，不足位前面补0。</w:t>
            </w:r>
          </w:p>
          <w:p>
            <w:pPr>
              <w:pStyle w:val="10"/>
              <w:spacing w:line="360" w:lineRule="auto"/>
              <w:ind w:firstLineChars="0"/>
              <w:rPr>
                <w:rFonts w:hint="eastAsia" w:ascii="宋体" w:hAnsi="宋体" w:eastAsia="宋体" w:cs="宋体"/>
                <w:sz w:val="24"/>
                <w:szCs w:val="24"/>
              </w:rPr>
            </w:pPr>
            <w:r>
              <w:rPr>
                <w:rFonts w:hint="eastAsia" w:ascii="宋体" w:hAnsi="宋体" w:eastAsia="宋体" w:cs="宋体"/>
                <w:b/>
                <w:bCs/>
                <w:kern w:val="0"/>
                <w:sz w:val="24"/>
                <w:szCs w:val="24"/>
              </w:rPr>
              <w:t xml:space="preserve">3 </w:t>
            </w:r>
            <w:r>
              <w:rPr>
                <w:rFonts w:hint="eastAsia" w:ascii="宋体" w:hAnsi="宋体" w:eastAsia="宋体" w:cs="宋体"/>
                <w:sz w:val="24"/>
                <w:szCs w:val="24"/>
              </w:rPr>
              <w:t>单元代码总长度应为20位（图4.2.2-3）；</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幢代码为18位，序列代码为2位，在</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幢内根据实际情况和需要，按</w:t>
            </w:r>
            <w:r>
              <w:rPr>
                <w:rFonts w:hint="eastAsia" w:ascii="宋体" w:hAnsi="宋体" w:eastAsia="宋体" w:cs="宋体"/>
                <w:sz w:val="24"/>
                <w:szCs w:val="24"/>
                <w:bdr w:val="single" w:color="000000" w:sz="4" w:space="0"/>
              </w:rPr>
              <w:t>楼</w:t>
            </w:r>
            <w:r>
              <w:rPr>
                <w:rFonts w:hint="eastAsia" w:ascii="宋体" w:hAnsi="宋体" w:eastAsia="宋体" w:cs="宋体"/>
                <w:sz w:val="24"/>
                <w:szCs w:val="24"/>
              </w:rPr>
              <w:t>幢范围内顺序的阿拉伯数字进行编码，不足位前面补0。</w:t>
            </w:r>
          </w:p>
          <w:p>
            <w:pPr>
              <w:pStyle w:val="10"/>
              <w:spacing w:line="360" w:lineRule="auto"/>
              <w:ind w:left="0" w:leftChars="0" w:firstLine="0" w:firstLineChars="0"/>
              <w:rPr>
                <w:rFonts w:hint="eastAsia" w:ascii="宋体" w:hAnsi="宋体" w:eastAsia="宋体" w:cs="宋体"/>
                <w:sz w:val="24"/>
                <w:szCs w:val="24"/>
                <w:lang w:val="en-US" w:eastAsia="zh-CN"/>
              </w:rPr>
            </w:pPr>
            <w:r>
              <w:drawing>
                <wp:inline distT="0" distB="0" distL="114300" distR="114300">
                  <wp:extent cx="2447290" cy="510540"/>
                  <wp:effectExtent l="0" t="0" r="10160"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2447290" cy="51054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lang w:val="en-US" w:eastAsia="zh-CN"/>
              </w:rPr>
            </w:pPr>
            <w:r>
              <w:rPr>
                <w:rFonts w:hint="eastAsia" w:eastAsiaTheme="minorEastAsia"/>
                <w:b/>
                <w:bCs/>
                <w:color w:val="auto"/>
                <w:spacing w:val="30"/>
                <w:kern w:val="36"/>
                <w:sz w:val="24"/>
                <w:szCs w:val="24"/>
                <w:lang w:val="en-US" w:eastAsia="zh-CN"/>
              </w:rPr>
              <w:t>5数据信息</w:t>
            </w:r>
          </w:p>
        </w:tc>
        <w:tc>
          <w:tcPr>
            <w:tcW w:w="4076" w:type="dxa"/>
            <w:vAlign w:val="center"/>
          </w:tcPr>
          <w:p>
            <w:pPr>
              <w:widowControl/>
              <w:shd w:val="clear" w:color="auto" w:fill="FFFFFF"/>
              <w:spacing w:before="300" w:after="150"/>
              <w:ind w:firstLine="0" w:firstLineChars="0"/>
              <w:jc w:val="center"/>
              <w:outlineLvl w:val="0"/>
              <w:rPr>
                <w:rFonts w:hint="eastAsia" w:eastAsiaTheme="minorEastAsia"/>
                <w:b/>
                <w:bCs/>
                <w:color w:val="auto"/>
                <w:spacing w:val="30"/>
                <w:kern w:val="36"/>
                <w:sz w:val="24"/>
                <w:szCs w:val="24"/>
                <w:lang w:val="en-US" w:eastAsia="zh-CN"/>
              </w:rPr>
            </w:pPr>
            <w:r>
              <w:rPr>
                <w:rFonts w:hint="eastAsia" w:eastAsiaTheme="minorEastAsia"/>
                <w:b/>
                <w:bCs/>
                <w:color w:val="auto"/>
                <w:spacing w:val="30"/>
                <w:kern w:val="36"/>
                <w:sz w:val="24"/>
                <w:szCs w:val="24"/>
                <w:lang w:val="en-US" w:eastAsia="zh-CN"/>
              </w:rPr>
              <w:t>5数据信息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rPr>
            </w:pPr>
            <w:r>
              <w:rPr>
                <w:rFonts w:hint="eastAsia" w:asciiTheme="minorEastAsia" w:hAnsiTheme="minorEastAsia" w:eastAsiaTheme="minorEastAsia"/>
                <w:b/>
                <w:bCs/>
                <w:color w:val="auto"/>
                <w:sz w:val="24"/>
                <w:szCs w:val="24"/>
                <w:u w:val="none"/>
                <w:lang w:val="en-US" w:eastAsia="zh-CN"/>
              </w:rPr>
              <w:t>5</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2房屋数据</w:t>
            </w:r>
          </w:p>
        </w:tc>
        <w:tc>
          <w:tcPr>
            <w:tcW w:w="4076" w:type="dxa"/>
          </w:tcPr>
          <w:p>
            <w:pPr>
              <w:widowControl/>
              <w:shd w:val="clear" w:color="auto" w:fill="FFFFFF"/>
              <w:spacing w:before="300" w:after="150"/>
              <w:ind w:firstLine="0"/>
              <w:jc w:val="center"/>
              <w:outlineLvl w:val="0"/>
              <w:rPr>
                <w:rFonts w:hint="default" w:asciiTheme="minorEastAsia" w:hAnsiTheme="minorEastAsia" w:eastAsiaTheme="minorEastAsia"/>
                <w:color w:val="FF0000"/>
                <w:sz w:val="24"/>
                <w:szCs w:val="24"/>
                <w:u w:val="single"/>
                <w:lang w:val="en-US"/>
              </w:rPr>
            </w:pPr>
            <w:r>
              <w:rPr>
                <w:rFonts w:hint="eastAsia" w:asciiTheme="minorEastAsia" w:hAnsiTheme="minorEastAsia" w:eastAsiaTheme="minorEastAsia"/>
                <w:b/>
                <w:bCs/>
                <w:color w:val="auto"/>
                <w:sz w:val="24"/>
                <w:szCs w:val="24"/>
                <w:u w:val="none"/>
                <w:lang w:val="en-US" w:eastAsia="zh-CN"/>
              </w:rPr>
              <w:t>5</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2房屋数据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.1 </w:t>
            </w:r>
            <w:r>
              <w:rPr>
                <w:rFonts w:hint="eastAsia" w:ascii="宋体" w:hAnsi="宋体" w:cs="宋体"/>
                <w:sz w:val="24"/>
                <w:szCs w:val="24"/>
              </w:rPr>
              <w:t>物业区域数据应</w:t>
            </w:r>
            <w:r>
              <w:rPr>
                <w:rFonts w:ascii="宋体" w:hAnsi="宋体" w:cs="宋体"/>
                <w:sz w:val="24"/>
                <w:szCs w:val="24"/>
              </w:rPr>
              <w:t>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2</w:t>
            </w:r>
            <w:r>
              <w:rPr>
                <w:rFonts w:ascii="宋体" w:hAnsi="宋体" w:cs="宋体"/>
                <w:sz w:val="24"/>
                <w:szCs w:val="24"/>
              </w:rPr>
              <w:t>.1的规定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2</w:t>
            </w:r>
            <w:r>
              <w:rPr>
                <w:rFonts w:ascii="宋体" w:hAnsi="宋体" w:cs="宋体"/>
                <w:b/>
                <w:bCs/>
              </w:rPr>
              <w:t xml:space="preserve">.1  </w:t>
            </w:r>
            <w:r>
              <w:rPr>
                <w:rFonts w:hint="eastAsia" w:ascii="宋体" w:hAnsi="宋体" w:cs="宋体"/>
                <w:b/>
                <w:bCs/>
              </w:rPr>
              <w:t>物业区域数据</w:t>
            </w:r>
          </w:p>
          <w:p>
            <w:pPr>
              <w:spacing w:line="360" w:lineRule="auto"/>
              <w:ind w:left="0" w:leftChars="0" w:firstLine="0" w:firstLineChars="0"/>
              <w:jc w:val="center"/>
              <w:rPr>
                <w:rFonts w:hint="eastAsia" w:asciiTheme="minorEastAsia" w:hAnsiTheme="minorEastAsia" w:eastAsiaTheme="minorEastAsia"/>
                <w:b/>
                <w:bCs/>
                <w:color w:val="auto"/>
                <w:sz w:val="24"/>
                <w:szCs w:val="24"/>
                <w:u w:val="none"/>
                <w:lang w:val="en-US" w:eastAsia="zh-CN"/>
              </w:rPr>
            </w:pPr>
            <w:r>
              <w:drawing>
                <wp:inline distT="0" distB="0" distL="114300" distR="114300">
                  <wp:extent cx="2550160" cy="4288790"/>
                  <wp:effectExtent l="0" t="0" r="2540" b="165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7"/>
                          <a:stretch>
                            <a:fillRect/>
                          </a:stretch>
                        </pic:blipFill>
                        <pic:spPr>
                          <a:xfrm>
                            <a:off x="0" y="0"/>
                            <a:ext cx="2550160" cy="4288790"/>
                          </a:xfrm>
                          <a:prstGeom prst="rect">
                            <a:avLst/>
                          </a:prstGeom>
                          <a:noFill/>
                          <a:ln>
                            <a:noFill/>
                          </a:ln>
                        </pic:spPr>
                      </pic:pic>
                    </a:graphicData>
                  </a:graphic>
                </wp:inline>
              </w:drawing>
            </w:r>
          </w:p>
        </w:tc>
        <w:tc>
          <w:tcPr>
            <w:tcW w:w="4076" w:type="dxa"/>
          </w:tcPr>
          <w:p>
            <w:pPr>
              <w:pStyle w:val="10"/>
              <w:spacing w:line="360" w:lineRule="auto"/>
              <w:ind w:firstLine="0" w:firstLineChars="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.1 </w:t>
            </w:r>
            <w:r>
              <w:rPr>
                <w:rFonts w:hint="eastAsia" w:ascii="宋体" w:hAnsi="宋体" w:cs="宋体"/>
                <w:sz w:val="24"/>
                <w:szCs w:val="24"/>
              </w:rPr>
              <w:t>物业区域数据应</w:t>
            </w:r>
            <w:r>
              <w:rPr>
                <w:rFonts w:ascii="宋体" w:hAnsi="宋体" w:cs="宋体"/>
                <w:sz w:val="24"/>
                <w:szCs w:val="24"/>
              </w:rPr>
              <w:t>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2</w:t>
            </w:r>
            <w:r>
              <w:rPr>
                <w:rFonts w:ascii="宋体" w:hAnsi="宋体" w:cs="宋体"/>
                <w:sz w:val="24"/>
                <w:szCs w:val="24"/>
              </w:rPr>
              <w:t>.1的规定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2</w:t>
            </w:r>
            <w:r>
              <w:rPr>
                <w:rFonts w:ascii="宋体" w:hAnsi="宋体" w:cs="宋体"/>
                <w:b/>
                <w:bCs/>
              </w:rPr>
              <w:t xml:space="preserve">.1  </w:t>
            </w:r>
            <w:r>
              <w:rPr>
                <w:rFonts w:hint="eastAsia" w:ascii="宋体" w:hAnsi="宋体" w:cs="宋体"/>
                <w:b/>
                <w:bCs/>
              </w:rPr>
              <w:t>物业区域数据</w:t>
            </w:r>
          </w:p>
          <w:p>
            <w:pPr>
              <w:spacing w:line="360" w:lineRule="auto"/>
              <w:ind w:left="0" w:leftChars="0" w:firstLine="0" w:firstLineChars="0"/>
              <w:jc w:val="both"/>
            </w:pPr>
            <w:r>
              <w:drawing>
                <wp:inline distT="0" distB="0" distL="114300" distR="114300">
                  <wp:extent cx="2444750" cy="3736975"/>
                  <wp:effectExtent l="0" t="0" r="12700"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444750" cy="3736975"/>
                          </a:xfrm>
                          <a:prstGeom prst="rect">
                            <a:avLst/>
                          </a:prstGeom>
                          <a:noFill/>
                          <a:ln>
                            <a:noFill/>
                          </a:ln>
                        </pic:spPr>
                      </pic:pic>
                    </a:graphicData>
                  </a:graphic>
                </wp:inline>
              </w:drawing>
            </w:r>
          </w:p>
          <w:p>
            <w:pPr>
              <w:spacing w:line="360" w:lineRule="auto"/>
              <w:ind w:left="0" w:leftChars="0" w:firstLine="0" w:firstLineChars="0"/>
              <w:jc w:val="both"/>
              <w:rPr>
                <w:rFonts w:hint="eastAsia"/>
              </w:rPr>
            </w:pPr>
            <w:r>
              <w:drawing>
                <wp:inline distT="0" distB="0" distL="114300" distR="114300">
                  <wp:extent cx="2440305" cy="1646555"/>
                  <wp:effectExtent l="0" t="0" r="17145" b="1079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2440305" cy="164655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.2 </w:t>
            </w:r>
            <w:r>
              <w:rPr>
                <w:rFonts w:hint="eastAsia" w:ascii="宋体" w:hAnsi="宋体" w:cs="宋体"/>
                <w:sz w:val="24"/>
                <w:szCs w:val="24"/>
              </w:rPr>
              <w:t>楼幢数据应</w:t>
            </w:r>
            <w:r>
              <w:rPr>
                <w:rFonts w:ascii="宋体" w:hAnsi="宋体" w:cs="宋体"/>
                <w:sz w:val="24"/>
                <w:szCs w:val="24"/>
              </w:rPr>
              <w:t>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2</w:t>
            </w:r>
            <w:r>
              <w:rPr>
                <w:rFonts w:ascii="宋体" w:hAnsi="宋体" w:cs="宋体"/>
                <w:sz w:val="24"/>
                <w:szCs w:val="24"/>
              </w:rPr>
              <w:t>.2的规定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2</w:t>
            </w:r>
            <w:r>
              <w:rPr>
                <w:rFonts w:ascii="宋体" w:hAnsi="宋体" w:cs="宋体"/>
                <w:b/>
                <w:bCs/>
              </w:rPr>
              <w:t xml:space="preserve">.2  </w:t>
            </w:r>
            <w:r>
              <w:rPr>
                <w:rFonts w:hint="eastAsia" w:ascii="宋体" w:hAnsi="宋体" w:cs="宋体"/>
                <w:b/>
                <w:bCs/>
              </w:rPr>
              <w:t>楼幢数据</w:t>
            </w:r>
          </w:p>
          <w:p>
            <w:pPr>
              <w:spacing w:line="360" w:lineRule="auto"/>
              <w:ind w:left="0" w:leftChars="0" w:firstLine="0" w:firstLineChars="0"/>
              <w:jc w:val="center"/>
            </w:pPr>
            <w:r>
              <w:drawing>
                <wp:inline distT="0" distB="0" distL="114300" distR="114300">
                  <wp:extent cx="2550160" cy="2450465"/>
                  <wp:effectExtent l="0" t="0" r="2540" b="698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10"/>
                          <a:stretch>
                            <a:fillRect/>
                          </a:stretch>
                        </pic:blipFill>
                        <pic:spPr>
                          <a:xfrm>
                            <a:off x="0" y="0"/>
                            <a:ext cx="2550160" cy="2450465"/>
                          </a:xfrm>
                          <a:prstGeom prst="rect">
                            <a:avLst/>
                          </a:prstGeom>
                          <a:noFill/>
                          <a:ln>
                            <a:noFill/>
                          </a:ln>
                        </pic:spPr>
                      </pic:pic>
                    </a:graphicData>
                  </a:graphic>
                </wp:inline>
              </w:drawing>
            </w:r>
          </w:p>
        </w:tc>
        <w:tc>
          <w:tcPr>
            <w:tcW w:w="4076" w:type="dxa"/>
          </w:tcPr>
          <w:p>
            <w:pPr>
              <w:pStyle w:val="10"/>
              <w:spacing w:line="360" w:lineRule="auto"/>
              <w:ind w:firstLine="0" w:firstLineChars="0"/>
              <w:rPr>
                <w:rFonts w:ascii="宋体" w:cs="Times New Roman"/>
                <w:color w:val="auto"/>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.2 </w:t>
            </w:r>
            <w:r>
              <w:rPr>
                <w:rFonts w:hint="eastAsia" w:ascii="宋体" w:hAnsi="宋体" w:eastAsia="宋体" w:cs="宋体"/>
                <w:color w:val="auto"/>
                <w:sz w:val="24"/>
                <w:szCs w:val="24"/>
                <w:bdr w:val="single" w:color="000000" w:sz="4" w:space="0"/>
              </w:rPr>
              <w:t>楼</w:t>
            </w:r>
            <w:r>
              <w:rPr>
                <w:rFonts w:hint="eastAsia" w:ascii="宋体" w:hAnsi="宋体" w:cs="宋体"/>
                <w:color w:val="auto"/>
                <w:sz w:val="24"/>
                <w:szCs w:val="24"/>
              </w:rPr>
              <w:t>幢数据应</w:t>
            </w:r>
            <w:r>
              <w:rPr>
                <w:rFonts w:ascii="宋体" w:hAnsi="宋体" w:cs="宋体"/>
                <w:color w:val="auto"/>
                <w:sz w:val="24"/>
                <w:szCs w:val="24"/>
              </w:rPr>
              <w:t>符合</w:t>
            </w:r>
            <w:r>
              <w:rPr>
                <w:rFonts w:hint="eastAsia" w:ascii="宋体" w:hAnsi="宋体" w:cs="宋体"/>
                <w:color w:val="auto"/>
                <w:sz w:val="24"/>
                <w:szCs w:val="24"/>
              </w:rPr>
              <w:t>表</w:t>
            </w:r>
            <w:r>
              <w:rPr>
                <w:rFonts w:ascii="宋体" w:hAnsi="宋体" w:cs="宋体"/>
                <w:color w:val="auto"/>
                <w:sz w:val="24"/>
                <w:szCs w:val="24"/>
              </w:rPr>
              <w:t>5.</w:t>
            </w:r>
            <w:r>
              <w:rPr>
                <w:rFonts w:hint="eastAsia" w:ascii="宋体" w:hAnsi="宋体" w:cs="宋体"/>
                <w:color w:val="auto"/>
                <w:sz w:val="24"/>
                <w:szCs w:val="24"/>
              </w:rPr>
              <w:t>2</w:t>
            </w:r>
            <w:r>
              <w:rPr>
                <w:rFonts w:ascii="宋体" w:hAnsi="宋体" w:cs="宋体"/>
                <w:color w:val="auto"/>
                <w:sz w:val="24"/>
                <w:szCs w:val="24"/>
              </w:rPr>
              <w:t>.2的规定</w:t>
            </w:r>
            <w:r>
              <w:rPr>
                <w:rFonts w:hint="eastAsia" w:ascii="宋体" w:hAnsi="宋体" w:cs="宋体"/>
                <w:color w:val="auto"/>
                <w:sz w:val="24"/>
                <w:szCs w:val="24"/>
              </w:rPr>
              <w:t>。</w:t>
            </w:r>
          </w:p>
          <w:p>
            <w:pPr>
              <w:pStyle w:val="10"/>
              <w:ind w:left="420" w:firstLine="0" w:firstLineChars="0"/>
              <w:jc w:val="center"/>
              <w:rPr>
                <w:rFonts w:ascii="宋体" w:cs="Times New Roman"/>
                <w:b/>
                <w:bCs/>
                <w:color w:val="auto"/>
              </w:rPr>
            </w:pPr>
            <w:r>
              <w:rPr>
                <w:rFonts w:hint="eastAsia" w:ascii="宋体" w:hAnsi="宋体" w:cs="宋体"/>
                <w:b/>
                <w:bCs/>
                <w:color w:val="auto"/>
              </w:rPr>
              <w:t>表</w:t>
            </w:r>
            <w:r>
              <w:rPr>
                <w:rFonts w:ascii="宋体" w:hAnsi="宋体" w:cs="宋体"/>
                <w:b/>
                <w:bCs/>
                <w:color w:val="auto"/>
              </w:rPr>
              <w:t>5.</w:t>
            </w:r>
            <w:r>
              <w:rPr>
                <w:rFonts w:hint="eastAsia" w:ascii="宋体" w:hAnsi="宋体" w:cs="宋体"/>
                <w:b/>
                <w:bCs/>
                <w:color w:val="auto"/>
              </w:rPr>
              <w:t>2</w:t>
            </w:r>
            <w:r>
              <w:rPr>
                <w:rFonts w:ascii="宋体" w:hAnsi="宋体" w:cs="宋体"/>
                <w:b/>
                <w:bCs/>
                <w:color w:val="auto"/>
              </w:rPr>
              <w:t xml:space="preserve">.2  </w:t>
            </w:r>
            <w:r>
              <w:rPr>
                <w:rFonts w:hint="eastAsia" w:ascii="宋体" w:hAnsi="宋体" w:eastAsia="宋体" w:cs="宋体"/>
                <w:color w:val="auto"/>
                <w:sz w:val="21"/>
                <w:szCs w:val="21"/>
                <w:bdr w:val="single" w:color="000000" w:sz="4" w:space="0"/>
              </w:rPr>
              <w:t>楼</w:t>
            </w:r>
            <w:r>
              <w:rPr>
                <w:rFonts w:hint="eastAsia" w:ascii="宋体" w:hAnsi="宋体" w:cs="宋体"/>
                <w:b/>
                <w:bCs/>
                <w:color w:val="auto"/>
              </w:rPr>
              <w:t>幢数据</w:t>
            </w:r>
          </w:p>
          <w:p>
            <w:pPr>
              <w:spacing w:line="360" w:lineRule="auto"/>
              <w:ind w:left="0" w:leftChars="0" w:firstLine="0" w:firstLineChars="0"/>
              <w:jc w:val="both"/>
            </w:pPr>
            <w:r>
              <w:drawing>
                <wp:inline distT="0" distB="0" distL="114300" distR="114300">
                  <wp:extent cx="2448560" cy="3488690"/>
                  <wp:effectExtent l="0" t="0" r="8890" b="1651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2448560" cy="348869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.3 </w:t>
            </w:r>
            <w:r>
              <w:rPr>
                <w:rFonts w:hint="eastAsia" w:ascii="宋体" w:hAnsi="宋体" w:cs="宋体"/>
                <w:sz w:val="24"/>
                <w:szCs w:val="24"/>
              </w:rPr>
              <w:t>分户数据应</w:t>
            </w:r>
            <w:r>
              <w:rPr>
                <w:rFonts w:ascii="宋体" w:hAnsi="宋体" w:cs="宋体"/>
                <w:sz w:val="24"/>
                <w:szCs w:val="24"/>
              </w:rPr>
              <w:t>符合</w:t>
            </w:r>
            <w:r>
              <w:rPr>
                <w:rFonts w:hint="eastAsia" w:ascii="宋体" w:hAnsi="宋体" w:cs="宋体"/>
                <w:sz w:val="24"/>
                <w:szCs w:val="24"/>
              </w:rPr>
              <w:t>表5</w:t>
            </w:r>
            <w:r>
              <w:rPr>
                <w:rFonts w:ascii="宋体" w:hAnsi="宋体" w:cs="宋体"/>
                <w:sz w:val="24"/>
                <w:szCs w:val="24"/>
              </w:rPr>
              <w:t>.</w:t>
            </w:r>
            <w:r>
              <w:rPr>
                <w:rFonts w:hint="eastAsia" w:ascii="宋体" w:hAnsi="宋体" w:cs="宋体"/>
                <w:sz w:val="24"/>
                <w:szCs w:val="24"/>
              </w:rPr>
              <w:t>2</w:t>
            </w:r>
            <w:r>
              <w:rPr>
                <w:rFonts w:ascii="宋体" w:hAnsi="宋体" w:cs="宋体"/>
                <w:sz w:val="24"/>
                <w:szCs w:val="24"/>
              </w:rPr>
              <w:t>.3的规定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2</w:t>
            </w:r>
            <w:r>
              <w:rPr>
                <w:rFonts w:ascii="宋体" w:hAnsi="宋体" w:cs="宋体"/>
                <w:b/>
                <w:bCs/>
              </w:rPr>
              <w:t xml:space="preserve">.3  </w:t>
            </w:r>
            <w:r>
              <w:rPr>
                <w:rFonts w:hint="eastAsia" w:ascii="宋体" w:hAnsi="宋体" w:cs="宋体"/>
                <w:b/>
                <w:bCs/>
              </w:rPr>
              <w:t>分户数据</w:t>
            </w:r>
          </w:p>
          <w:p>
            <w:pPr>
              <w:spacing w:line="360" w:lineRule="auto"/>
              <w:ind w:left="0" w:leftChars="0" w:firstLine="0" w:firstLineChars="0"/>
              <w:jc w:val="center"/>
              <w:rPr>
                <w:rFonts w:hint="eastAsia" w:eastAsia="宋体"/>
                <w:highlight w:val="yellow"/>
                <w:lang w:val="en-US" w:eastAsia="zh-CN"/>
              </w:rPr>
            </w:pPr>
            <w:r>
              <w:drawing>
                <wp:inline distT="0" distB="0" distL="114300" distR="114300">
                  <wp:extent cx="2550160" cy="4977765"/>
                  <wp:effectExtent l="0" t="0" r="0" b="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2"/>
                          <a:srcRect b="4901"/>
                          <a:stretch>
                            <a:fillRect/>
                          </a:stretch>
                        </pic:blipFill>
                        <pic:spPr>
                          <a:xfrm>
                            <a:off x="0" y="0"/>
                            <a:ext cx="2550160" cy="4977765"/>
                          </a:xfrm>
                          <a:prstGeom prst="rect">
                            <a:avLst/>
                          </a:prstGeom>
                          <a:noFill/>
                          <a:ln>
                            <a:noFill/>
                          </a:ln>
                        </pic:spPr>
                      </pic:pic>
                    </a:graphicData>
                  </a:graphic>
                </wp:inline>
              </w:drawing>
            </w:r>
          </w:p>
        </w:tc>
        <w:tc>
          <w:tcPr>
            <w:tcW w:w="4076" w:type="dxa"/>
          </w:tcPr>
          <w:p>
            <w:pPr>
              <w:pStyle w:val="10"/>
              <w:spacing w:line="360" w:lineRule="auto"/>
              <w:ind w:firstLine="0" w:firstLineChars="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2</w:t>
            </w:r>
            <w:r>
              <w:rPr>
                <w:rFonts w:ascii="宋体" w:hAnsi="宋体" w:cs="宋体"/>
                <w:b/>
                <w:bCs/>
                <w:sz w:val="24"/>
                <w:szCs w:val="24"/>
              </w:rPr>
              <w:t xml:space="preserve">.3 </w:t>
            </w:r>
            <w:r>
              <w:rPr>
                <w:rFonts w:hint="eastAsia" w:ascii="宋体" w:hAnsi="宋体" w:cs="宋体"/>
                <w:sz w:val="24"/>
                <w:szCs w:val="24"/>
              </w:rPr>
              <w:t>分户数据应</w:t>
            </w:r>
            <w:r>
              <w:rPr>
                <w:rFonts w:ascii="宋体" w:hAnsi="宋体" w:cs="宋体"/>
                <w:sz w:val="24"/>
                <w:szCs w:val="24"/>
              </w:rPr>
              <w:t>符合</w:t>
            </w:r>
            <w:r>
              <w:rPr>
                <w:rFonts w:hint="eastAsia" w:ascii="宋体" w:hAnsi="宋体" w:cs="宋体"/>
                <w:sz w:val="24"/>
                <w:szCs w:val="24"/>
              </w:rPr>
              <w:t>表5</w:t>
            </w:r>
            <w:r>
              <w:rPr>
                <w:rFonts w:ascii="宋体" w:hAnsi="宋体" w:cs="宋体"/>
                <w:sz w:val="24"/>
                <w:szCs w:val="24"/>
              </w:rPr>
              <w:t>.</w:t>
            </w:r>
            <w:r>
              <w:rPr>
                <w:rFonts w:hint="eastAsia" w:ascii="宋体" w:hAnsi="宋体" w:cs="宋体"/>
                <w:sz w:val="24"/>
                <w:szCs w:val="24"/>
              </w:rPr>
              <w:t>2</w:t>
            </w:r>
            <w:r>
              <w:rPr>
                <w:rFonts w:ascii="宋体" w:hAnsi="宋体" w:cs="宋体"/>
                <w:sz w:val="24"/>
                <w:szCs w:val="24"/>
              </w:rPr>
              <w:t>.3的规定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2</w:t>
            </w:r>
            <w:r>
              <w:rPr>
                <w:rFonts w:ascii="宋体" w:hAnsi="宋体" w:cs="宋体"/>
                <w:b/>
                <w:bCs/>
              </w:rPr>
              <w:t xml:space="preserve">.3  </w:t>
            </w:r>
            <w:r>
              <w:rPr>
                <w:rFonts w:hint="eastAsia" w:ascii="宋体" w:hAnsi="宋体" w:cs="宋体"/>
                <w:b/>
                <w:bCs/>
              </w:rPr>
              <w:t>分户数据</w:t>
            </w:r>
          </w:p>
          <w:p>
            <w:pPr>
              <w:spacing w:line="360" w:lineRule="auto"/>
              <w:ind w:left="0" w:leftChars="0" w:firstLine="0" w:firstLineChars="0"/>
              <w:jc w:val="both"/>
            </w:pPr>
            <w:r>
              <w:drawing>
                <wp:inline distT="0" distB="0" distL="114300" distR="114300">
                  <wp:extent cx="2440940" cy="4581525"/>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3"/>
                          <a:srcRect b="4903"/>
                          <a:stretch>
                            <a:fillRect/>
                          </a:stretch>
                        </pic:blipFill>
                        <pic:spPr>
                          <a:xfrm>
                            <a:off x="0" y="0"/>
                            <a:ext cx="2440940" cy="45815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pPr>
            <w:r>
              <w:rPr>
                <w:rFonts w:hint="eastAsia" w:asciiTheme="minorEastAsia" w:hAnsiTheme="minorEastAsia" w:eastAsiaTheme="minorEastAsia"/>
                <w:b/>
                <w:bCs/>
                <w:color w:val="auto"/>
                <w:sz w:val="24"/>
                <w:szCs w:val="24"/>
                <w:u w:val="none"/>
                <w:lang w:val="en-US" w:eastAsia="zh-CN"/>
              </w:rPr>
              <w:t>5.3 共用部位及共用设施设备数据</w:t>
            </w:r>
          </w:p>
        </w:tc>
        <w:tc>
          <w:tcPr>
            <w:tcW w:w="4076" w:type="dxa"/>
          </w:tcPr>
          <w:p>
            <w:pPr>
              <w:widowControl/>
              <w:shd w:val="clear" w:color="auto" w:fill="FFFFFF"/>
              <w:spacing w:before="300" w:after="150"/>
              <w:ind w:firstLine="0"/>
              <w:jc w:val="center"/>
              <w:outlineLvl w:val="0"/>
            </w:pPr>
            <w:r>
              <w:rPr>
                <w:rFonts w:hint="eastAsia" w:asciiTheme="minorEastAsia" w:hAnsiTheme="minorEastAsia" w:eastAsiaTheme="minorEastAsia"/>
                <w:b/>
                <w:bCs/>
                <w:color w:val="auto"/>
                <w:sz w:val="24"/>
                <w:szCs w:val="24"/>
                <w:u w:val="none"/>
                <w:lang w:val="en-US" w:eastAsia="zh-CN"/>
              </w:rPr>
              <w:t xml:space="preserve">5.3 </w:t>
            </w:r>
            <w:r>
              <w:rPr>
                <w:rFonts w:hint="eastAsia" w:ascii="宋体" w:hAnsi="宋体" w:eastAsia="宋体" w:cs="宋体"/>
                <w:b/>
                <w:bCs/>
                <w:sz w:val="24"/>
                <w:bdr w:val="single" w:color="000000" w:sz="4" w:space="0"/>
              </w:rPr>
              <w:t>共用</w:t>
            </w:r>
            <w:r>
              <w:rPr>
                <w:rFonts w:hint="eastAsia" w:ascii="宋体" w:hAnsi="宋体" w:eastAsia="宋体" w:cs="宋体"/>
                <w:b/>
                <w:bCs/>
                <w:sz w:val="24"/>
                <w:u w:val="single"/>
                <w:lang w:val="en-US" w:eastAsia="zh-CN"/>
              </w:rPr>
              <w:t>共有</w:t>
            </w:r>
            <w:r>
              <w:rPr>
                <w:rFonts w:hint="eastAsia" w:asciiTheme="minorEastAsia" w:hAnsiTheme="minorEastAsia" w:eastAsiaTheme="minorEastAsia"/>
                <w:b/>
                <w:bCs/>
                <w:color w:val="auto"/>
                <w:sz w:val="24"/>
                <w:szCs w:val="24"/>
                <w:u w:val="none"/>
                <w:lang w:val="en-US" w:eastAsia="zh-CN"/>
              </w:rPr>
              <w:t>部位及共用设施设备数据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outlineLvl w:val="0"/>
              <w:rPr>
                <w:rFonts w:hint="eastAsia" w:ascii="宋体" w:hAnsi="宋体" w:eastAsia="宋体" w:cs="宋体"/>
                <w:sz w:val="24"/>
                <w:szCs w:val="24"/>
              </w:rPr>
            </w:pPr>
            <w:r>
              <w:rPr>
                <w:rFonts w:hint="eastAsia" w:ascii="宋体" w:hAnsi="宋体" w:eastAsia="宋体" w:cs="宋体"/>
                <w:b/>
                <w:bCs/>
                <w:sz w:val="24"/>
                <w:szCs w:val="24"/>
              </w:rPr>
              <w:t xml:space="preserve">5.3.1 </w:t>
            </w:r>
            <w:r>
              <w:rPr>
                <w:rFonts w:hint="eastAsia" w:ascii="宋体" w:hAnsi="宋体" w:eastAsia="宋体" w:cs="宋体"/>
                <w:sz w:val="24"/>
                <w:szCs w:val="24"/>
              </w:rPr>
              <w:t>共用部位及共用设施设备分类数据应符合表5.3.1的规定。</w:t>
            </w:r>
          </w:p>
          <w:p>
            <w:pPr>
              <w:pStyle w:val="10"/>
              <w:ind w:left="420" w:firstLine="0" w:firstLineChars="0"/>
              <w:jc w:val="center"/>
              <w:rPr>
                <w:rFonts w:hint="eastAsia" w:asciiTheme="minorEastAsia" w:hAnsiTheme="minorEastAsia" w:eastAsiaTheme="minorEastAsia"/>
                <w:b/>
                <w:bCs/>
                <w:color w:val="auto"/>
                <w:sz w:val="24"/>
                <w:szCs w:val="24"/>
                <w:u w:val="none"/>
                <w:lang w:val="en-US" w:eastAsia="zh-CN"/>
              </w:rPr>
            </w:pPr>
            <w:r>
              <w:rPr>
                <w:rFonts w:hint="eastAsia" w:ascii="宋体" w:hAnsi="宋体" w:eastAsia="宋体" w:cs="宋体"/>
                <w:b/>
                <w:bCs/>
              </w:rPr>
              <w:t>表5.3.1  共用部位及共用设施设备分类数据</w:t>
            </w:r>
          </w:p>
        </w:tc>
        <w:tc>
          <w:tcPr>
            <w:tcW w:w="4076" w:type="dxa"/>
          </w:tcPr>
          <w:p>
            <w:pPr>
              <w:pStyle w:val="10"/>
              <w:spacing w:line="360" w:lineRule="auto"/>
              <w:ind w:firstLine="0" w:firstLineChars="0"/>
              <w:outlineLvl w:val="0"/>
              <w:rPr>
                <w:rFonts w:hint="eastAsia" w:ascii="宋体" w:hAnsi="宋体" w:eastAsia="宋体" w:cs="宋体"/>
                <w:sz w:val="24"/>
                <w:szCs w:val="24"/>
              </w:rPr>
            </w:pPr>
            <w:r>
              <w:rPr>
                <w:rFonts w:hint="eastAsia" w:ascii="宋体" w:hAnsi="宋体" w:eastAsia="宋体" w:cs="宋体"/>
                <w:b/>
                <w:bCs/>
                <w:sz w:val="24"/>
                <w:szCs w:val="24"/>
              </w:rPr>
              <w:t xml:space="preserve">5.3.1 </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sz w:val="24"/>
                <w:szCs w:val="24"/>
              </w:rPr>
              <w:t>部位及共用设施设备分类数据应符合表5.3.1的规定。</w:t>
            </w:r>
          </w:p>
          <w:p>
            <w:pPr>
              <w:pStyle w:val="10"/>
              <w:ind w:left="420" w:firstLine="0" w:firstLineChars="0"/>
              <w:jc w:val="center"/>
              <w:rPr>
                <w:rFonts w:hint="eastAsia" w:asciiTheme="minorEastAsia" w:hAnsiTheme="minorEastAsia" w:eastAsiaTheme="minorEastAsia"/>
                <w:b/>
                <w:bCs/>
                <w:color w:val="auto"/>
                <w:sz w:val="24"/>
                <w:szCs w:val="24"/>
                <w:u w:val="none"/>
                <w:lang w:val="en-US" w:eastAsia="zh-CN"/>
              </w:rPr>
            </w:pPr>
            <w:r>
              <w:rPr>
                <w:rFonts w:hint="eastAsia" w:ascii="宋体" w:hAnsi="宋体" w:eastAsia="宋体" w:cs="宋体"/>
                <w:b/>
                <w:bCs/>
              </w:rPr>
              <w:t xml:space="preserve">表5.3.1  </w:t>
            </w:r>
            <w:r>
              <w:rPr>
                <w:rFonts w:hint="eastAsia" w:ascii="宋体" w:hAnsi="宋体" w:eastAsia="宋体" w:cs="宋体"/>
                <w:b/>
                <w:bCs/>
                <w:color w:val="000000"/>
                <w:sz w:val="21"/>
                <w:szCs w:val="21"/>
                <w:bdr w:val="single" w:color="000000" w:sz="4" w:space="0"/>
              </w:rPr>
              <w:t>共用</w:t>
            </w:r>
            <w:r>
              <w:rPr>
                <w:rFonts w:hint="eastAsia" w:ascii="宋体" w:hAnsi="宋体" w:eastAsia="宋体" w:cs="宋体"/>
                <w:b/>
                <w:bCs/>
                <w:color w:val="000000"/>
                <w:sz w:val="21"/>
                <w:szCs w:val="21"/>
                <w:u w:val="single"/>
                <w:lang w:val="en-US" w:eastAsia="zh-CN"/>
              </w:rPr>
              <w:t>共有</w:t>
            </w:r>
            <w:r>
              <w:rPr>
                <w:rFonts w:hint="eastAsia" w:ascii="宋体" w:hAnsi="宋体" w:eastAsia="宋体" w:cs="宋体"/>
                <w:b/>
                <w:bCs/>
              </w:rPr>
              <w:t>部位及共用设施设备分类数据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3</w:t>
            </w:r>
            <w:r>
              <w:rPr>
                <w:rFonts w:ascii="宋体" w:hAnsi="宋体" w:cs="宋体"/>
                <w:b/>
                <w:bCs/>
                <w:sz w:val="24"/>
                <w:szCs w:val="24"/>
              </w:rPr>
              <w:t xml:space="preserve">.2 </w:t>
            </w:r>
            <w:r>
              <w:rPr>
                <w:rFonts w:hint="eastAsia" w:ascii="宋体" w:hAnsi="宋体" w:cs="宋体"/>
                <w:sz w:val="24"/>
                <w:szCs w:val="24"/>
              </w:rPr>
              <w:t>共用部位及共用设施设备特征数据应</w:t>
            </w:r>
            <w:r>
              <w:rPr>
                <w:rFonts w:ascii="宋体" w:hAnsi="宋体" w:cs="宋体"/>
                <w:sz w:val="24"/>
                <w:szCs w:val="24"/>
              </w:rPr>
              <w:t>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3</w:t>
            </w:r>
            <w:r>
              <w:rPr>
                <w:rFonts w:ascii="宋体" w:hAnsi="宋体" w:cs="宋体"/>
                <w:sz w:val="24"/>
                <w:szCs w:val="24"/>
              </w:rPr>
              <w:t>.2的规定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3</w:t>
            </w:r>
            <w:r>
              <w:rPr>
                <w:rFonts w:ascii="宋体" w:hAnsi="宋体" w:cs="宋体"/>
                <w:b/>
                <w:bCs/>
              </w:rPr>
              <w:t xml:space="preserve">.2  </w:t>
            </w:r>
            <w:r>
              <w:rPr>
                <w:rFonts w:hint="eastAsia" w:ascii="宋体" w:hAnsi="宋体" w:cs="宋体"/>
                <w:b/>
                <w:bCs/>
              </w:rPr>
              <w:t>共用部位及共用设施设备特征数据</w:t>
            </w:r>
          </w:p>
          <w:p>
            <w:pPr>
              <w:pStyle w:val="10"/>
              <w:ind w:left="0" w:leftChars="0" w:firstLine="0" w:firstLineChars="0"/>
              <w:jc w:val="both"/>
              <w:rPr>
                <w:rFonts w:hint="eastAsia"/>
                <w:lang w:val="en-US" w:eastAsia="zh-CN"/>
              </w:rPr>
            </w:pPr>
            <w:r>
              <w:drawing>
                <wp:inline distT="0" distB="0" distL="114300" distR="114300">
                  <wp:extent cx="2548890" cy="2856230"/>
                  <wp:effectExtent l="0" t="0" r="3810" b="127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4"/>
                          <a:stretch>
                            <a:fillRect/>
                          </a:stretch>
                        </pic:blipFill>
                        <pic:spPr>
                          <a:xfrm>
                            <a:off x="0" y="0"/>
                            <a:ext cx="2548890" cy="2856230"/>
                          </a:xfrm>
                          <a:prstGeom prst="rect">
                            <a:avLst/>
                          </a:prstGeom>
                          <a:noFill/>
                          <a:ln>
                            <a:noFill/>
                          </a:ln>
                        </pic:spPr>
                      </pic:pic>
                    </a:graphicData>
                  </a:graphic>
                </wp:inline>
              </w:drawing>
            </w:r>
            <w:r>
              <w:drawing>
                <wp:inline distT="0" distB="0" distL="114300" distR="114300">
                  <wp:extent cx="2553970" cy="1538605"/>
                  <wp:effectExtent l="0" t="0" r="17780" b="444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5"/>
                          <a:stretch>
                            <a:fillRect/>
                          </a:stretch>
                        </pic:blipFill>
                        <pic:spPr>
                          <a:xfrm>
                            <a:off x="0" y="0"/>
                            <a:ext cx="2553970" cy="1538605"/>
                          </a:xfrm>
                          <a:prstGeom prst="rect">
                            <a:avLst/>
                          </a:prstGeom>
                          <a:noFill/>
                          <a:ln>
                            <a:noFill/>
                          </a:ln>
                        </pic:spPr>
                      </pic:pic>
                    </a:graphicData>
                  </a:graphic>
                </wp:inline>
              </w:drawing>
            </w:r>
          </w:p>
        </w:tc>
        <w:tc>
          <w:tcPr>
            <w:tcW w:w="4076" w:type="dxa"/>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3</w:t>
            </w:r>
            <w:r>
              <w:rPr>
                <w:rFonts w:ascii="宋体" w:hAnsi="宋体" w:cs="宋体"/>
                <w:b/>
                <w:bCs/>
                <w:sz w:val="24"/>
                <w:szCs w:val="24"/>
              </w:rPr>
              <w:t xml:space="preserve">.2 </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cs="宋体"/>
                <w:sz w:val="24"/>
                <w:szCs w:val="24"/>
              </w:rPr>
              <w:t>部位及共用设施设备特征数据应</w:t>
            </w:r>
            <w:r>
              <w:rPr>
                <w:rFonts w:ascii="宋体" w:hAnsi="宋体" w:cs="宋体"/>
                <w:sz w:val="24"/>
                <w:szCs w:val="24"/>
              </w:rPr>
              <w:t>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3</w:t>
            </w:r>
            <w:r>
              <w:rPr>
                <w:rFonts w:ascii="宋体" w:hAnsi="宋体" w:cs="宋体"/>
                <w:sz w:val="24"/>
                <w:szCs w:val="24"/>
              </w:rPr>
              <w:t>.2的规定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3</w:t>
            </w:r>
            <w:r>
              <w:rPr>
                <w:rFonts w:ascii="宋体" w:hAnsi="宋体" w:cs="宋体"/>
                <w:b/>
                <w:bCs/>
              </w:rPr>
              <w:t xml:space="preserve">.2  </w:t>
            </w:r>
            <w:r>
              <w:rPr>
                <w:rFonts w:hint="eastAsia" w:ascii="宋体" w:hAnsi="宋体" w:eastAsia="宋体" w:cs="宋体"/>
                <w:b/>
                <w:bCs/>
                <w:color w:val="000000"/>
                <w:sz w:val="21"/>
                <w:szCs w:val="21"/>
                <w:bdr w:val="single" w:color="000000" w:sz="4" w:space="0"/>
              </w:rPr>
              <w:t>共用</w:t>
            </w:r>
            <w:r>
              <w:rPr>
                <w:rFonts w:hint="eastAsia" w:ascii="宋体" w:hAnsi="宋体" w:eastAsia="宋体" w:cs="宋体"/>
                <w:b/>
                <w:bCs/>
                <w:color w:val="000000"/>
                <w:sz w:val="21"/>
                <w:szCs w:val="21"/>
                <w:u w:val="single"/>
                <w:lang w:val="en-US" w:eastAsia="zh-CN"/>
              </w:rPr>
              <w:t>共有</w:t>
            </w:r>
            <w:r>
              <w:rPr>
                <w:rFonts w:hint="eastAsia" w:ascii="宋体" w:hAnsi="宋体" w:cs="宋体"/>
                <w:b/>
                <w:bCs/>
              </w:rPr>
              <w:t>部位及共用设施设备特征数据</w:t>
            </w:r>
          </w:p>
          <w:p>
            <w:pPr>
              <w:pStyle w:val="10"/>
              <w:ind w:left="0" w:leftChars="0" w:firstLine="0" w:firstLineChars="0"/>
              <w:jc w:val="both"/>
            </w:pPr>
            <w:r>
              <w:drawing>
                <wp:inline distT="0" distB="0" distL="114300" distR="114300">
                  <wp:extent cx="2445385" cy="3736975"/>
                  <wp:effectExtent l="0" t="0" r="0" b="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6"/>
                          <a:srcRect b="6824"/>
                          <a:stretch>
                            <a:fillRect/>
                          </a:stretch>
                        </pic:blipFill>
                        <pic:spPr>
                          <a:xfrm>
                            <a:off x="0" y="0"/>
                            <a:ext cx="2445385" cy="3736975"/>
                          </a:xfrm>
                          <a:prstGeom prst="rect">
                            <a:avLst/>
                          </a:prstGeom>
                          <a:noFill/>
                          <a:ln>
                            <a:noFill/>
                          </a:ln>
                        </pic:spPr>
                      </pic:pic>
                    </a:graphicData>
                  </a:graphic>
                </wp:inline>
              </w:drawing>
            </w:r>
          </w:p>
          <w:p>
            <w:pPr>
              <w:pStyle w:val="10"/>
              <w:ind w:left="0" w:leftChars="0" w:firstLine="0" w:firstLineChars="0"/>
              <w:jc w:val="both"/>
              <w:rPr>
                <w:rFonts w:hint="eastAsia"/>
                <w:lang w:val="en-US" w:eastAsia="zh-CN"/>
              </w:rPr>
            </w:pPr>
            <w:r>
              <w:drawing>
                <wp:inline distT="0" distB="0" distL="114300" distR="114300">
                  <wp:extent cx="2450465" cy="2295525"/>
                  <wp:effectExtent l="0" t="0" r="6985" b="952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7"/>
                          <a:stretch>
                            <a:fillRect/>
                          </a:stretch>
                        </pic:blipFill>
                        <pic:spPr>
                          <a:xfrm>
                            <a:off x="0" y="0"/>
                            <a:ext cx="2450465" cy="22955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2" w:hRule="atLeast"/>
          <w:jc w:val="center"/>
        </w:trPr>
        <w:tc>
          <w:tcPr>
            <w:tcW w:w="4238" w:type="dxa"/>
            <w:vAlign w:val="center"/>
          </w:tcPr>
          <w:p>
            <w:pPr>
              <w:pStyle w:val="10"/>
              <w:spacing w:line="360" w:lineRule="auto"/>
              <w:ind w:firstLine="0" w:firstLineChars="0"/>
              <w:outlineLvl w:val="0"/>
              <w:rPr>
                <w:rFonts w:hint="eastAsia" w:ascii="宋体" w:hAnsi="宋体" w:eastAsia="宋体" w:cs="宋体"/>
                <w:sz w:val="24"/>
                <w:szCs w:val="24"/>
              </w:rPr>
            </w:pPr>
            <w:r>
              <w:rPr>
                <w:rFonts w:hint="eastAsia" w:ascii="宋体" w:hAnsi="宋体" w:eastAsia="宋体" w:cs="宋体"/>
                <w:b/>
                <w:bCs/>
                <w:sz w:val="24"/>
                <w:szCs w:val="24"/>
              </w:rPr>
              <w:t xml:space="preserve">5.3.3 </w:t>
            </w:r>
            <w:r>
              <w:rPr>
                <w:rFonts w:hint="eastAsia" w:ascii="宋体" w:hAnsi="宋体" w:eastAsia="宋体" w:cs="宋体"/>
                <w:sz w:val="24"/>
                <w:szCs w:val="24"/>
              </w:rPr>
              <w:t>共用</w:t>
            </w:r>
            <w:r>
              <w:rPr>
                <w:rFonts w:hint="eastAsia" w:ascii="宋体" w:hAnsi="宋体" w:eastAsia="宋体" w:cs="宋体"/>
                <w:sz w:val="24"/>
                <w:szCs w:val="24"/>
              </w:rPr>
              <w:t>部位及共用设施设备维修记录数据应符合表5.3.3的规定。</w:t>
            </w:r>
          </w:p>
          <w:p>
            <w:pPr>
              <w:pStyle w:val="10"/>
              <w:ind w:left="420" w:firstLine="0" w:firstLineChars="0"/>
              <w:jc w:val="center"/>
              <w:rPr>
                <w:rFonts w:hint="eastAsia" w:asciiTheme="minorEastAsia" w:hAnsiTheme="minorEastAsia" w:eastAsiaTheme="minorEastAsia"/>
                <w:b/>
                <w:bCs/>
                <w:color w:val="auto"/>
                <w:sz w:val="24"/>
                <w:szCs w:val="24"/>
                <w:u w:val="none"/>
                <w:lang w:val="en-US" w:eastAsia="zh-CN"/>
              </w:rPr>
            </w:pPr>
            <w:r>
              <w:rPr>
                <w:rFonts w:hint="eastAsia" w:ascii="宋体" w:hAnsi="宋体" w:eastAsia="宋体" w:cs="宋体"/>
                <w:b/>
                <w:bCs/>
              </w:rPr>
              <w:t xml:space="preserve">表5.3.3  </w:t>
            </w:r>
            <w:r>
              <w:rPr>
                <w:rFonts w:hint="eastAsia" w:ascii="宋体" w:hAnsi="宋体" w:eastAsia="宋体" w:cs="宋体"/>
                <w:b/>
                <w:bCs/>
              </w:rPr>
              <w:t>共用</w:t>
            </w:r>
            <w:r>
              <w:rPr>
                <w:rFonts w:hint="eastAsia" w:ascii="宋体" w:hAnsi="宋体" w:eastAsia="宋体" w:cs="宋体"/>
                <w:b/>
                <w:bCs/>
              </w:rPr>
              <w:t>部位及共用设施设备维修记录数据</w:t>
            </w:r>
          </w:p>
        </w:tc>
        <w:tc>
          <w:tcPr>
            <w:tcW w:w="4076" w:type="dxa"/>
          </w:tcPr>
          <w:p>
            <w:pPr>
              <w:pStyle w:val="10"/>
              <w:spacing w:line="360" w:lineRule="auto"/>
              <w:ind w:firstLine="0" w:firstLineChars="0"/>
              <w:outlineLvl w:val="0"/>
              <w:rPr>
                <w:rFonts w:hint="eastAsia" w:ascii="宋体" w:hAnsi="宋体" w:eastAsia="宋体" w:cs="宋体"/>
                <w:sz w:val="24"/>
                <w:szCs w:val="24"/>
              </w:rPr>
            </w:pPr>
            <w:r>
              <w:rPr>
                <w:rFonts w:hint="eastAsia" w:ascii="宋体" w:hAnsi="宋体" w:eastAsia="宋体" w:cs="宋体"/>
                <w:b/>
                <w:bCs/>
                <w:sz w:val="24"/>
                <w:szCs w:val="24"/>
              </w:rPr>
              <w:t xml:space="preserve">5.3.3 </w:t>
            </w:r>
            <w:r>
              <w:rPr>
                <w:rFonts w:hint="eastAsia" w:ascii="宋体" w:hAnsi="宋体" w:eastAsia="宋体" w:cs="宋体"/>
                <w:color w:val="000000"/>
                <w:sz w:val="24"/>
                <w:szCs w:val="24"/>
                <w:bdr w:val="single" w:color="000000" w:sz="4" w:space="0"/>
              </w:rPr>
              <w:t>共用</w:t>
            </w:r>
            <w:r>
              <w:rPr>
                <w:rFonts w:hint="eastAsia" w:ascii="宋体" w:hAnsi="宋体" w:eastAsia="宋体" w:cs="宋体"/>
                <w:color w:val="000000"/>
                <w:sz w:val="24"/>
                <w:szCs w:val="24"/>
                <w:u w:val="single"/>
                <w:lang w:val="en-US" w:eastAsia="zh-CN"/>
              </w:rPr>
              <w:t>共有</w:t>
            </w:r>
            <w:r>
              <w:rPr>
                <w:rFonts w:hint="eastAsia" w:ascii="宋体" w:hAnsi="宋体" w:eastAsia="宋体" w:cs="宋体"/>
                <w:sz w:val="24"/>
                <w:szCs w:val="24"/>
              </w:rPr>
              <w:t>部位及共用设施设备维修记录数据应符合表5.3.3的规定。</w:t>
            </w:r>
          </w:p>
          <w:p>
            <w:pPr>
              <w:pStyle w:val="10"/>
              <w:ind w:left="420" w:firstLine="0" w:firstLineChars="0"/>
              <w:jc w:val="center"/>
              <w:rPr>
                <w:rFonts w:ascii="宋体" w:hAnsi="宋体" w:cs="宋体"/>
                <w:b/>
                <w:bCs/>
                <w:sz w:val="24"/>
                <w:szCs w:val="24"/>
              </w:rPr>
            </w:pPr>
            <w:r>
              <w:rPr>
                <w:rFonts w:hint="eastAsia" w:ascii="宋体" w:hAnsi="宋体" w:eastAsia="宋体" w:cs="宋体"/>
                <w:b/>
                <w:bCs/>
              </w:rPr>
              <w:t xml:space="preserve">表5.3.3  </w:t>
            </w:r>
            <w:r>
              <w:rPr>
                <w:rFonts w:hint="eastAsia" w:ascii="宋体" w:hAnsi="宋体" w:eastAsia="宋体" w:cs="宋体"/>
                <w:b/>
                <w:bCs/>
                <w:color w:val="000000"/>
                <w:sz w:val="21"/>
                <w:szCs w:val="21"/>
                <w:bdr w:val="single" w:color="000000" w:sz="4" w:space="0"/>
              </w:rPr>
              <w:t>共用</w:t>
            </w:r>
            <w:r>
              <w:rPr>
                <w:rFonts w:hint="eastAsia" w:ascii="宋体" w:hAnsi="宋体" w:eastAsia="宋体" w:cs="宋体"/>
                <w:b/>
                <w:bCs/>
                <w:color w:val="000000"/>
                <w:sz w:val="21"/>
                <w:szCs w:val="21"/>
                <w:u w:val="single"/>
                <w:lang w:val="en-US" w:eastAsia="zh-CN"/>
              </w:rPr>
              <w:t>共有</w:t>
            </w:r>
            <w:r>
              <w:rPr>
                <w:rFonts w:hint="eastAsia" w:ascii="宋体" w:hAnsi="宋体" w:eastAsia="宋体" w:cs="宋体"/>
                <w:b/>
                <w:bCs/>
              </w:rPr>
              <w:t>部位及共用设施设备维修记录数据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4238" w:type="dxa"/>
            <w:vAlign w:val="center"/>
          </w:tcPr>
          <w:p>
            <w:pPr>
              <w:pStyle w:val="10"/>
              <w:ind w:left="420" w:firstLine="0" w:firstLineChars="0"/>
              <w:jc w:val="center"/>
              <w:rPr>
                <w:rFonts w:hint="eastAsia" w:asciiTheme="minorEastAsia" w:hAnsiTheme="minorEastAsia" w:eastAsiaTheme="minorEastAsia"/>
                <w:b/>
                <w:bCs/>
                <w:color w:val="auto"/>
                <w:sz w:val="24"/>
                <w:szCs w:val="24"/>
                <w:u w:val="none"/>
                <w:lang w:val="en-US" w:eastAsia="zh-CN"/>
              </w:rPr>
            </w:pPr>
          </w:p>
        </w:tc>
        <w:tc>
          <w:tcPr>
            <w:tcW w:w="4076" w:type="dxa"/>
          </w:tcPr>
          <w:p>
            <w:pPr>
              <w:pStyle w:val="10"/>
              <w:spacing w:line="360" w:lineRule="auto"/>
              <w:ind w:firstLine="0" w:firstLineChars="0"/>
              <w:outlineLvl w:val="0"/>
              <w:rPr>
                <w:rFonts w:hint="eastAsia" w:ascii="宋体" w:hAnsi="宋体" w:eastAsia="宋体" w:cs="宋体"/>
                <w:color w:val="auto"/>
                <w:sz w:val="24"/>
                <w:szCs w:val="24"/>
                <w:u w:val="single"/>
              </w:rPr>
            </w:pPr>
            <w:r>
              <w:rPr>
                <w:rFonts w:hint="eastAsia" w:ascii="宋体" w:hAnsi="宋体" w:eastAsia="宋体" w:cs="宋体"/>
                <w:b/>
                <w:bCs/>
                <w:color w:val="auto"/>
                <w:sz w:val="24"/>
                <w:szCs w:val="24"/>
                <w:u w:val="single"/>
              </w:rPr>
              <w:t xml:space="preserve">5.3.4 </w:t>
            </w:r>
            <w:r>
              <w:rPr>
                <w:rFonts w:hint="eastAsia" w:ascii="宋体" w:hAnsi="宋体" w:eastAsia="宋体" w:cs="宋体"/>
                <w:color w:val="auto"/>
                <w:sz w:val="24"/>
                <w:szCs w:val="24"/>
                <w:u w:val="single"/>
              </w:rPr>
              <w:t>共</w:t>
            </w:r>
            <w:r>
              <w:rPr>
                <w:rFonts w:hint="eastAsia" w:ascii="宋体" w:hAnsi="宋体" w:eastAsia="宋体" w:cs="宋体"/>
                <w:color w:val="auto"/>
                <w:sz w:val="24"/>
                <w:szCs w:val="24"/>
                <w:u w:val="single"/>
                <w:lang w:val="en-US" w:eastAsia="zh-CN"/>
              </w:rPr>
              <w:t>有</w:t>
            </w:r>
            <w:r>
              <w:rPr>
                <w:rFonts w:hint="eastAsia" w:ascii="宋体" w:hAnsi="宋体" w:eastAsia="宋体" w:cs="宋体"/>
                <w:color w:val="auto"/>
                <w:sz w:val="24"/>
                <w:szCs w:val="24"/>
                <w:u w:val="single"/>
              </w:rPr>
              <w:t>部位及共用设施设备保养记录数据应符合表5.3.4的规定。</w:t>
            </w:r>
          </w:p>
          <w:p>
            <w:pPr>
              <w:pStyle w:val="10"/>
              <w:ind w:left="420" w:firstLine="0" w:firstLineChars="0"/>
              <w:jc w:val="center"/>
              <w:rPr>
                <w:rFonts w:hint="eastAsia" w:ascii="宋体" w:hAnsi="宋体" w:eastAsia="宋体" w:cs="宋体"/>
                <w:b/>
                <w:bCs/>
                <w:color w:val="auto"/>
                <w:u w:val="single"/>
              </w:rPr>
            </w:pPr>
            <w:r>
              <w:rPr>
                <w:rFonts w:hint="eastAsia" w:ascii="宋体" w:hAnsi="宋体" w:eastAsia="宋体" w:cs="宋体"/>
                <w:b/>
                <w:bCs/>
                <w:color w:val="auto"/>
                <w:u w:val="single"/>
              </w:rPr>
              <w:t>表5.3.4  共</w:t>
            </w:r>
            <w:r>
              <w:rPr>
                <w:rFonts w:hint="eastAsia" w:ascii="宋体" w:hAnsi="宋体" w:eastAsia="宋体" w:cs="宋体"/>
                <w:b/>
                <w:bCs/>
                <w:color w:val="auto"/>
                <w:u w:val="single"/>
                <w:lang w:val="en-US" w:eastAsia="zh-CN"/>
              </w:rPr>
              <w:t>有</w:t>
            </w:r>
            <w:r>
              <w:rPr>
                <w:rFonts w:hint="eastAsia" w:ascii="宋体" w:hAnsi="宋体" w:eastAsia="宋体" w:cs="宋体"/>
                <w:b/>
                <w:bCs/>
                <w:color w:val="auto"/>
                <w:u w:val="single"/>
              </w:rPr>
              <w:t>部位及共用设施设备保养记录数据</w:t>
            </w:r>
          </w:p>
          <w:p>
            <w:pPr>
              <w:pStyle w:val="10"/>
              <w:spacing w:line="360" w:lineRule="auto"/>
              <w:ind w:firstLine="0" w:firstLineChars="0"/>
              <w:outlineLvl w:val="0"/>
            </w:pPr>
            <w:r>
              <w:drawing>
                <wp:inline distT="0" distB="0" distL="114300" distR="114300">
                  <wp:extent cx="2444750" cy="1600200"/>
                  <wp:effectExtent l="0" t="0" r="12700" b="0"/>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18"/>
                          <a:stretch>
                            <a:fillRect/>
                          </a:stretch>
                        </pic:blipFill>
                        <pic:spPr>
                          <a:xfrm>
                            <a:off x="0" y="0"/>
                            <a:ext cx="2444750" cy="16002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6" w:hRule="atLeast"/>
          <w:jc w:val="center"/>
        </w:trPr>
        <w:tc>
          <w:tcPr>
            <w:tcW w:w="4238" w:type="dxa"/>
            <w:vAlign w:val="center"/>
          </w:tcPr>
          <w:p>
            <w:pPr>
              <w:pStyle w:val="10"/>
              <w:ind w:left="420" w:firstLine="0" w:firstLineChars="0"/>
              <w:jc w:val="center"/>
              <w:rPr>
                <w:rFonts w:hint="eastAsia" w:asciiTheme="minorEastAsia" w:hAnsiTheme="minorEastAsia" w:eastAsiaTheme="minorEastAsia"/>
                <w:b/>
                <w:bCs/>
                <w:color w:val="auto"/>
                <w:sz w:val="24"/>
                <w:szCs w:val="24"/>
                <w:u w:val="none"/>
                <w:lang w:val="en-US" w:eastAsia="zh-CN"/>
              </w:rPr>
            </w:pPr>
          </w:p>
        </w:tc>
        <w:tc>
          <w:tcPr>
            <w:tcW w:w="4076" w:type="dxa"/>
          </w:tcPr>
          <w:p>
            <w:pPr>
              <w:pStyle w:val="10"/>
              <w:spacing w:line="360" w:lineRule="auto"/>
              <w:ind w:firstLine="0" w:firstLineChars="0"/>
              <w:outlineLvl w:val="0"/>
              <w:rPr>
                <w:rFonts w:hint="eastAsia" w:ascii="宋体" w:hAnsi="宋体" w:eastAsia="宋体" w:cs="宋体"/>
                <w:color w:val="auto"/>
                <w:sz w:val="24"/>
                <w:szCs w:val="24"/>
                <w:u w:val="single"/>
              </w:rPr>
            </w:pPr>
            <w:r>
              <w:rPr>
                <w:rFonts w:hint="eastAsia" w:ascii="宋体" w:hAnsi="宋体" w:eastAsia="宋体" w:cs="宋体"/>
                <w:b/>
                <w:bCs/>
                <w:color w:val="auto"/>
                <w:sz w:val="24"/>
                <w:szCs w:val="24"/>
                <w:u w:val="single"/>
              </w:rPr>
              <w:t xml:space="preserve">5.3.5 </w:t>
            </w:r>
            <w:r>
              <w:rPr>
                <w:rFonts w:hint="eastAsia" w:ascii="宋体" w:hAnsi="宋体" w:eastAsia="宋体" w:cs="宋体"/>
                <w:color w:val="auto"/>
                <w:sz w:val="24"/>
                <w:szCs w:val="24"/>
                <w:u w:val="single"/>
              </w:rPr>
              <w:t>共</w:t>
            </w:r>
            <w:r>
              <w:rPr>
                <w:rFonts w:hint="eastAsia" w:ascii="宋体" w:hAnsi="宋体" w:eastAsia="宋体" w:cs="宋体"/>
                <w:color w:val="auto"/>
                <w:sz w:val="24"/>
                <w:szCs w:val="24"/>
                <w:u w:val="single"/>
                <w:lang w:val="en-US" w:eastAsia="zh-CN"/>
              </w:rPr>
              <w:t>有</w:t>
            </w:r>
            <w:r>
              <w:rPr>
                <w:rFonts w:hint="eastAsia" w:ascii="宋体" w:hAnsi="宋体" w:eastAsia="宋体" w:cs="宋体"/>
                <w:color w:val="auto"/>
                <w:sz w:val="24"/>
                <w:szCs w:val="24"/>
                <w:u w:val="single"/>
              </w:rPr>
              <w:t>部位及共用设施设备巡检记录数据应符合表5.3.5的规定。</w:t>
            </w:r>
          </w:p>
          <w:p>
            <w:pPr>
              <w:pStyle w:val="10"/>
              <w:ind w:left="420" w:firstLine="0" w:firstLineChars="0"/>
              <w:jc w:val="center"/>
              <w:rPr>
                <w:rFonts w:hint="eastAsia" w:ascii="宋体" w:hAnsi="宋体" w:eastAsia="宋体" w:cs="宋体"/>
                <w:b/>
                <w:bCs/>
                <w:color w:val="auto"/>
                <w:u w:val="single"/>
              </w:rPr>
            </w:pPr>
            <w:r>
              <w:rPr>
                <w:rFonts w:hint="eastAsia" w:ascii="宋体" w:hAnsi="宋体" w:eastAsia="宋体" w:cs="宋体"/>
                <w:b/>
                <w:bCs/>
                <w:color w:val="auto"/>
                <w:u w:val="single"/>
              </w:rPr>
              <w:t>表5.3.5  共</w:t>
            </w:r>
            <w:r>
              <w:rPr>
                <w:rFonts w:hint="eastAsia" w:ascii="宋体" w:hAnsi="宋体" w:eastAsia="宋体" w:cs="宋体"/>
                <w:b/>
                <w:bCs/>
                <w:color w:val="auto"/>
                <w:u w:val="single"/>
                <w:lang w:val="en-US" w:eastAsia="zh-CN"/>
              </w:rPr>
              <w:t>有</w:t>
            </w:r>
            <w:r>
              <w:rPr>
                <w:rFonts w:hint="eastAsia" w:ascii="宋体" w:hAnsi="宋体" w:eastAsia="宋体" w:cs="宋体"/>
                <w:b/>
                <w:bCs/>
                <w:color w:val="auto"/>
                <w:u w:val="single"/>
              </w:rPr>
              <w:t>部位及共用设施设备巡检记录数据</w:t>
            </w:r>
          </w:p>
          <w:p>
            <w:pPr>
              <w:pStyle w:val="10"/>
              <w:spacing w:line="360" w:lineRule="auto"/>
              <w:ind w:firstLine="0" w:firstLineChars="0"/>
              <w:outlineLvl w:val="0"/>
            </w:pPr>
            <w:r>
              <w:drawing>
                <wp:inline distT="0" distB="0" distL="114300" distR="114300">
                  <wp:extent cx="2444750" cy="1831975"/>
                  <wp:effectExtent l="0" t="0" r="12700" b="15875"/>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19"/>
                          <a:stretch>
                            <a:fillRect/>
                          </a:stretch>
                        </pic:blipFill>
                        <pic:spPr>
                          <a:xfrm>
                            <a:off x="0" y="0"/>
                            <a:ext cx="2444750" cy="183197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rPr>
                <w:rFonts w:hint="eastAsia" w:asciiTheme="minorEastAsia" w:hAnsiTheme="minorEastAsia" w:eastAsiaTheme="minorEastAsia"/>
                <w:b/>
                <w:bCs/>
                <w:color w:val="auto"/>
                <w:sz w:val="24"/>
                <w:szCs w:val="24"/>
                <w:u w:val="none"/>
                <w:lang w:val="en-US" w:eastAsia="zh-CN"/>
              </w:rPr>
            </w:pPr>
            <w:r>
              <w:rPr>
                <w:rFonts w:hint="eastAsia" w:asciiTheme="minorEastAsia" w:hAnsiTheme="minorEastAsia" w:eastAsiaTheme="minorEastAsia"/>
                <w:b/>
                <w:bCs/>
                <w:color w:val="auto"/>
                <w:sz w:val="24"/>
                <w:szCs w:val="24"/>
                <w:u w:val="none"/>
                <w:lang w:val="en-US" w:eastAsia="zh-CN"/>
              </w:rPr>
              <w:t>5.4 机构数据</w:t>
            </w:r>
          </w:p>
        </w:tc>
        <w:tc>
          <w:tcPr>
            <w:tcW w:w="4076" w:type="dxa"/>
          </w:tcPr>
          <w:p>
            <w:pPr>
              <w:widowControl/>
              <w:shd w:val="clear" w:color="auto" w:fill="FFFFFF"/>
              <w:spacing w:before="300" w:after="150"/>
              <w:ind w:firstLine="0"/>
              <w:jc w:val="center"/>
              <w:outlineLvl w:val="0"/>
            </w:pPr>
            <w:r>
              <w:rPr>
                <w:rFonts w:hint="eastAsia" w:asciiTheme="minorEastAsia" w:hAnsiTheme="minorEastAsia" w:eastAsiaTheme="minorEastAsia"/>
                <w:b/>
                <w:bCs/>
                <w:color w:val="auto"/>
                <w:sz w:val="24"/>
                <w:szCs w:val="24"/>
                <w:u w:val="none"/>
                <w:lang w:val="en-US" w:eastAsia="zh-CN"/>
              </w:rPr>
              <w:t>5.4 机构数据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4</w:t>
            </w:r>
            <w:r>
              <w:rPr>
                <w:rFonts w:ascii="宋体" w:hAnsi="宋体" w:cs="宋体"/>
                <w:b/>
                <w:bCs/>
                <w:sz w:val="24"/>
                <w:szCs w:val="24"/>
              </w:rPr>
              <w:t xml:space="preserve">.2 </w:t>
            </w:r>
            <w:r>
              <w:rPr>
                <w:rFonts w:hint="eastAsia" w:ascii="宋体" w:hAnsi="宋体" w:cs="宋体"/>
                <w:sz w:val="24"/>
                <w:szCs w:val="24"/>
              </w:rPr>
              <w:t>业主委员会数据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4</w:t>
            </w:r>
            <w:r>
              <w:rPr>
                <w:rFonts w:ascii="宋体" w:hAnsi="宋体" w:cs="宋体"/>
                <w:sz w:val="24"/>
                <w:szCs w:val="24"/>
              </w:rPr>
              <w:t>.2</w:t>
            </w:r>
            <w:r>
              <w:rPr>
                <w:rFonts w:hint="eastAsia" w:ascii="宋体" w:hAnsi="宋体" w:cs="宋体"/>
                <w:sz w:val="24"/>
                <w:szCs w:val="24"/>
              </w:rPr>
              <w:t>的规定。</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4</w:t>
            </w:r>
            <w:r>
              <w:rPr>
                <w:rFonts w:ascii="宋体" w:hAnsi="宋体" w:cs="宋体"/>
                <w:b/>
                <w:bCs/>
              </w:rPr>
              <w:t xml:space="preserve">.2  </w:t>
            </w:r>
            <w:r>
              <w:rPr>
                <w:rFonts w:hint="eastAsia" w:ascii="宋体" w:hAnsi="宋体" w:cs="宋体"/>
                <w:b/>
                <w:bCs/>
              </w:rPr>
              <w:t>业主委员会数据</w:t>
            </w:r>
          </w:p>
          <w:p>
            <w:pPr>
              <w:pStyle w:val="10"/>
              <w:ind w:left="0" w:leftChars="0" w:firstLine="0" w:firstLineChars="0"/>
              <w:jc w:val="both"/>
              <w:rPr>
                <w:rFonts w:hint="eastAsia" w:asciiTheme="minorEastAsia" w:hAnsiTheme="minorEastAsia" w:eastAsiaTheme="minorEastAsia"/>
                <w:b/>
                <w:bCs/>
                <w:color w:val="auto"/>
                <w:sz w:val="24"/>
                <w:szCs w:val="24"/>
                <w:u w:val="none"/>
                <w:lang w:val="en-US" w:eastAsia="zh-CN"/>
              </w:rPr>
            </w:pPr>
            <w:r>
              <w:drawing>
                <wp:inline distT="0" distB="0" distL="114300" distR="114300">
                  <wp:extent cx="2548255" cy="3103245"/>
                  <wp:effectExtent l="0" t="0" r="4445" b="1905"/>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20"/>
                          <a:stretch>
                            <a:fillRect/>
                          </a:stretch>
                        </pic:blipFill>
                        <pic:spPr>
                          <a:xfrm>
                            <a:off x="0" y="0"/>
                            <a:ext cx="2548255" cy="3103245"/>
                          </a:xfrm>
                          <a:prstGeom prst="rect">
                            <a:avLst/>
                          </a:prstGeom>
                          <a:noFill/>
                          <a:ln>
                            <a:noFill/>
                          </a:ln>
                        </pic:spPr>
                      </pic:pic>
                    </a:graphicData>
                  </a:graphic>
                </wp:inline>
              </w:drawing>
            </w:r>
            <w:r>
              <w:drawing>
                <wp:inline distT="0" distB="0" distL="114300" distR="114300">
                  <wp:extent cx="2548890" cy="2232025"/>
                  <wp:effectExtent l="0" t="0" r="3810" b="1587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21"/>
                          <a:stretch>
                            <a:fillRect/>
                          </a:stretch>
                        </pic:blipFill>
                        <pic:spPr>
                          <a:xfrm>
                            <a:off x="0" y="0"/>
                            <a:ext cx="2548890" cy="2232025"/>
                          </a:xfrm>
                          <a:prstGeom prst="rect">
                            <a:avLst/>
                          </a:prstGeom>
                          <a:noFill/>
                          <a:ln>
                            <a:noFill/>
                          </a:ln>
                        </pic:spPr>
                      </pic:pic>
                    </a:graphicData>
                  </a:graphic>
                </wp:inline>
              </w:drawing>
            </w:r>
          </w:p>
        </w:tc>
        <w:tc>
          <w:tcPr>
            <w:tcW w:w="4076" w:type="dxa"/>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4</w:t>
            </w:r>
            <w:r>
              <w:rPr>
                <w:rFonts w:ascii="宋体" w:hAnsi="宋体" w:cs="宋体"/>
                <w:b/>
                <w:bCs/>
                <w:sz w:val="24"/>
                <w:szCs w:val="24"/>
              </w:rPr>
              <w:t xml:space="preserve">.2 </w:t>
            </w:r>
            <w:r>
              <w:rPr>
                <w:rFonts w:hint="eastAsia" w:ascii="宋体" w:hAnsi="宋体" w:cs="宋体"/>
                <w:sz w:val="24"/>
                <w:szCs w:val="24"/>
              </w:rPr>
              <w:t>业主委员会数据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4</w:t>
            </w:r>
            <w:r>
              <w:rPr>
                <w:rFonts w:ascii="宋体" w:hAnsi="宋体" w:cs="宋体"/>
                <w:sz w:val="24"/>
                <w:szCs w:val="24"/>
              </w:rPr>
              <w:t>.2</w:t>
            </w:r>
            <w:r>
              <w:rPr>
                <w:rFonts w:hint="eastAsia" w:ascii="宋体" w:hAnsi="宋体" w:cs="宋体"/>
                <w:sz w:val="24"/>
                <w:szCs w:val="24"/>
              </w:rPr>
              <w:t>的规定。</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4</w:t>
            </w:r>
            <w:r>
              <w:rPr>
                <w:rFonts w:ascii="宋体" w:hAnsi="宋体" w:cs="宋体"/>
                <w:b/>
                <w:bCs/>
              </w:rPr>
              <w:t xml:space="preserve">.2  </w:t>
            </w:r>
            <w:r>
              <w:rPr>
                <w:rFonts w:hint="eastAsia" w:ascii="宋体" w:hAnsi="宋体" w:cs="宋体"/>
                <w:b/>
                <w:bCs/>
              </w:rPr>
              <w:t>业主委员会数据</w:t>
            </w:r>
          </w:p>
          <w:p>
            <w:pPr>
              <w:pStyle w:val="10"/>
              <w:ind w:left="0" w:leftChars="0" w:firstLine="0" w:firstLineChars="0"/>
              <w:jc w:val="both"/>
              <w:rPr>
                <w:rFonts w:hint="eastAsia" w:asciiTheme="minorEastAsia" w:hAnsiTheme="minorEastAsia" w:eastAsiaTheme="minorEastAsia"/>
                <w:b/>
                <w:bCs/>
                <w:color w:val="auto"/>
                <w:sz w:val="24"/>
                <w:szCs w:val="24"/>
                <w:u w:val="none"/>
                <w:lang w:val="en-US" w:eastAsia="zh-CN"/>
              </w:rPr>
            </w:pPr>
            <w:r>
              <w:drawing>
                <wp:inline distT="0" distB="0" distL="114300" distR="114300">
                  <wp:extent cx="2450465" cy="2992120"/>
                  <wp:effectExtent l="0" t="0" r="6985" b="17780"/>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pic:cNvPicPr>
                        </pic:nvPicPr>
                        <pic:blipFill>
                          <a:blip r:embed="rId22"/>
                          <a:stretch>
                            <a:fillRect/>
                          </a:stretch>
                        </pic:blipFill>
                        <pic:spPr>
                          <a:xfrm>
                            <a:off x="0" y="0"/>
                            <a:ext cx="2450465" cy="2992120"/>
                          </a:xfrm>
                          <a:prstGeom prst="rect">
                            <a:avLst/>
                          </a:prstGeom>
                          <a:noFill/>
                          <a:ln>
                            <a:noFill/>
                          </a:ln>
                        </pic:spPr>
                      </pic:pic>
                    </a:graphicData>
                  </a:graphic>
                </wp:inline>
              </w:drawing>
            </w:r>
            <w:r>
              <w:drawing>
                <wp:inline distT="0" distB="0" distL="114300" distR="114300">
                  <wp:extent cx="2449195" cy="2130425"/>
                  <wp:effectExtent l="0" t="0" r="8255" b="317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23"/>
                          <a:stretch>
                            <a:fillRect/>
                          </a:stretch>
                        </pic:blipFill>
                        <pic:spPr>
                          <a:xfrm>
                            <a:off x="0" y="0"/>
                            <a:ext cx="2449195" cy="21304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4</w:t>
            </w:r>
            <w:r>
              <w:rPr>
                <w:rFonts w:ascii="宋体" w:hAnsi="宋体" w:cs="宋体"/>
                <w:b/>
                <w:bCs/>
                <w:sz w:val="24"/>
                <w:szCs w:val="24"/>
              </w:rPr>
              <w:t xml:space="preserve">.11 </w:t>
            </w:r>
            <w:r>
              <w:rPr>
                <w:rFonts w:hint="eastAsia" w:ascii="宋体" w:hAnsi="宋体" w:cs="宋体"/>
                <w:sz w:val="24"/>
                <w:szCs w:val="24"/>
              </w:rPr>
              <w:t>居民委员会数据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11</w:t>
            </w:r>
            <w:r>
              <w:rPr>
                <w:rFonts w:ascii="宋体" w:hAnsi="宋体" w:cs="宋体"/>
                <w:sz w:val="24"/>
                <w:szCs w:val="24"/>
              </w:rPr>
              <w:t>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4</w:t>
            </w:r>
            <w:r>
              <w:rPr>
                <w:rFonts w:ascii="宋体" w:hAnsi="宋体" w:cs="宋体"/>
                <w:b/>
                <w:bCs/>
              </w:rPr>
              <w:t>.</w:t>
            </w:r>
            <w:r>
              <w:rPr>
                <w:rFonts w:hint="eastAsia" w:ascii="宋体" w:hAnsi="宋体" w:cs="宋体"/>
                <w:b/>
                <w:bCs/>
              </w:rPr>
              <w:t>11</w:t>
            </w:r>
            <w:r>
              <w:rPr>
                <w:rFonts w:ascii="宋体" w:hAnsi="宋体" w:cs="宋体"/>
                <w:b/>
                <w:bCs/>
              </w:rPr>
              <w:t xml:space="preserve"> </w:t>
            </w:r>
            <w:r>
              <w:rPr>
                <w:rFonts w:hint="eastAsia" w:ascii="宋体" w:hAnsi="宋体" w:cs="宋体"/>
                <w:b/>
                <w:bCs/>
              </w:rPr>
              <w:t>居民委员会数据</w:t>
            </w:r>
          </w:p>
          <w:p>
            <w:pPr>
              <w:pStyle w:val="10"/>
              <w:ind w:left="0" w:leftChars="0" w:firstLine="0" w:firstLineChars="0"/>
              <w:jc w:val="both"/>
            </w:pPr>
            <w:r>
              <w:drawing>
                <wp:inline distT="0" distB="0" distL="114300" distR="114300">
                  <wp:extent cx="2548255" cy="2840355"/>
                  <wp:effectExtent l="0" t="0" r="4445" b="1714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24"/>
                          <a:stretch>
                            <a:fillRect/>
                          </a:stretch>
                        </pic:blipFill>
                        <pic:spPr>
                          <a:xfrm>
                            <a:off x="0" y="0"/>
                            <a:ext cx="2548255" cy="2840355"/>
                          </a:xfrm>
                          <a:prstGeom prst="rect">
                            <a:avLst/>
                          </a:prstGeom>
                          <a:noFill/>
                          <a:ln>
                            <a:noFill/>
                          </a:ln>
                        </pic:spPr>
                      </pic:pic>
                    </a:graphicData>
                  </a:graphic>
                </wp:inline>
              </w:drawing>
            </w:r>
            <w:r>
              <w:drawing>
                <wp:inline distT="0" distB="0" distL="114300" distR="114300">
                  <wp:extent cx="2553970" cy="1313180"/>
                  <wp:effectExtent l="0" t="0" r="17780" b="127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25"/>
                          <a:stretch>
                            <a:fillRect/>
                          </a:stretch>
                        </pic:blipFill>
                        <pic:spPr>
                          <a:xfrm>
                            <a:off x="0" y="0"/>
                            <a:ext cx="2553970" cy="1313180"/>
                          </a:xfrm>
                          <a:prstGeom prst="rect">
                            <a:avLst/>
                          </a:prstGeom>
                          <a:noFill/>
                          <a:ln>
                            <a:noFill/>
                          </a:ln>
                        </pic:spPr>
                      </pic:pic>
                    </a:graphicData>
                  </a:graphic>
                </wp:inline>
              </w:drawing>
            </w:r>
          </w:p>
        </w:tc>
        <w:tc>
          <w:tcPr>
            <w:tcW w:w="4076" w:type="dxa"/>
          </w:tcPr>
          <w:p>
            <w:pPr>
              <w:pStyle w:val="10"/>
              <w:spacing w:line="360" w:lineRule="auto"/>
              <w:ind w:firstLine="0" w:firstLineChars="0"/>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4</w:t>
            </w:r>
            <w:r>
              <w:rPr>
                <w:rFonts w:ascii="宋体" w:hAnsi="宋体" w:cs="宋体"/>
                <w:b/>
                <w:bCs/>
                <w:sz w:val="24"/>
                <w:szCs w:val="24"/>
              </w:rPr>
              <w:t xml:space="preserve">.11 </w:t>
            </w:r>
            <w:r>
              <w:rPr>
                <w:rFonts w:hint="eastAsia" w:ascii="宋体" w:hAnsi="宋体" w:cs="宋体"/>
                <w:sz w:val="24"/>
                <w:szCs w:val="24"/>
              </w:rPr>
              <w:t>居民委员会数据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rPr>
              <w:t>11</w:t>
            </w:r>
            <w:r>
              <w:rPr>
                <w:rFonts w:ascii="宋体" w:hAnsi="宋体" w:cs="宋体"/>
                <w:sz w:val="24"/>
                <w:szCs w:val="24"/>
              </w:rPr>
              <w:t>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4</w:t>
            </w:r>
            <w:r>
              <w:rPr>
                <w:rFonts w:ascii="宋体" w:hAnsi="宋体" w:cs="宋体"/>
                <w:b/>
                <w:bCs/>
              </w:rPr>
              <w:t>.</w:t>
            </w:r>
            <w:r>
              <w:rPr>
                <w:rFonts w:hint="eastAsia" w:ascii="宋体" w:hAnsi="宋体" w:cs="宋体"/>
                <w:b/>
                <w:bCs/>
              </w:rPr>
              <w:t>11</w:t>
            </w:r>
            <w:r>
              <w:rPr>
                <w:rFonts w:ascii="宋体" w:hAnsi="宋体" w:cs="宋体"/>
                <w:b/>
                <w:bCs/>
              </w:rPr>
              <w:t xml:space="preserve"> </w:t>
            </w:r>
            <w:r>
              <w:rPr>
                <w:rFonts w:hint="eastAsia" w:ascii="宋体" w:hAnsi="宋体" w:cs="宋体"/>
                <w:b/>
                <w:bCs/>
              </w:rPr>
              <w:t>居民委员会数据</w:t>
            </w:r>
          </w:p>
          <w:p>
            <w:pPr>
              <w:pStyle w:val="10"/>
              <w:ind w:left="0" w:leftChars="0" w:firstLine="0" w:firstLineChars="0"/>
              <w:jc w:val="both"/>
            </w:pPr>
            <w:r>
              <w:drawing>
                <wp:inline distT="0" distB="0" distL="114300" distR="114300">
                  <wp:extent cx="2442210" cy="2731770"/>
                  <wp:effectExtent l="0" t="0" r="15240" b="1143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26"/>
                          <a:stretch>
                            <a:fillRect/>
                          </a:stretch>
                        </pic:blipFill>
                        <pic:spPr>
                          <a:xfrm>
                            <a:off x="0" y="0"/>
                            <a:ext cx="2442210" cy="2731770"/>
                          </a:xfrm>
                          <a:prstGeom prst="rect">
                            <a:avLst/>
                          </a:prstGeom>
                          <a:noFill/>
                          <a:ln>
                            <a:noFill/>
                          </a:ln>
                        </pic:spPr>
                      </pic:pic>
                    </a:graphicData>
                  </a:graphic>
                </wp:inline>
              </w:drawing>
            </w:r>
            <w:r>
              <w:drawing>
                <wp:inline distT="0" distB="0" distL="114300" distR="114300">
                  <wp:extent cx="2447290" cy="1250950"/>
                  <wp:effectExtent l="0" t="0" r="10160" b="635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27"/>
                          <a:stretch>
                            <a:fillRect/>
                          </a:stretch>
                        </pic:blipFill>
                        <pic:spPr>
                          <a:xfrm>
                            <a:off x="0" y="0"/>
                            <a:ext cx="2447290" cy="125095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pPr>
            <w:r>
              <w:rPr>
                <w:rFonts w:hint="eastAsia"/>
                <w:b/>
                <w:bCs/>
              </w:rPr>
              <w:t>5.6 业务数据</w:t>
            </w:r>
          </w:p>
        </w:tc>
        <w:tc>
          <w:tcPr>
            <w:tcW w:w="4076" w:type="dxa"/>
          </w:tcPr>
          <w:p>
            <w:pPr>
              <w:widowControl/>
              <w:shd w:val="clear" w:color="auto" w:fill="FFFFFF"/>
              <w:spacing w:before="300" w:after="150"/>
              <w:ind w:firstLine="0"/>
              <w:jc w:val="center"/>
              <w:outlineLvl w:val="0"/>
            </w:pPr>
            <w:r>
              <w:rPr>
                <w:rFonts w:hint="eastAsia"/>
                <w:b/>
                <w:bCs/>
              </w:rPr>
              <w:t>5.6 业务数据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6</w:t>
            </w:r>
            <w:r>
              <w:rPr>
                <w:rFonts w:ascii="宋体" w:hAnsi="宋体" w:cs="宋体"/>
                <w:b/>
                <w:bCs/>
                <w:sz w:val="24"/>
                <w:szCs w:val="24"/>
              </w:rPr>
              <w:t xml:space="preserve">.1 </w:t>
            </w:r>
            <w:r>
              <w:rPr>
                <w:rFonts w:hint="eastAsia" w:ascii="宋体" w:hAnsi="宋体" w:cs="宋体"/>
                <w:sz w:val="24"/>
                <w:szCs w:val="24"/>
              </w:rPr>
              <w:t>交款业务数据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6</w:t>
            </w:r>
            <w:r>
              <w:rPr>
                <w:rFonts w:ascii="宋体" w:hAnsi="宋体" w:cs="宋体"/>
                <w:sz w:val="24"/>
                <w:szCs w:val="24"/>
              </w:rPr>
              <w:t>.1的规定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6</w:t>
            </w:r>
            <w:r>
              <w:rPr>
                <w:rFonts w:ascii="宋体" w:hAnsi="宋体" w:cs="宋体"/>
                <w:b/>
                <w:bCs/>
              </w:rPr>
              <w:t xml:space="preserve">.1  </w:t>
            </w:r>
            <w:r>
              <w:rPr>
                <w:rFonts w:hint="eastAsia" w:ascii="宋体" w:hAnsi="宋体" w:cs="宋体"/>
                <w:b/>
                <w:bCs/>
              </w:rPr>
              <w:t>交款业务数据</w:t>
            </w:r>
          </w:p>
          <w:p>
            <w:pPr>
              <w:pStyle w:val="10"/>
              <w:ind w:left="0" w:leftChars="0" w:firstLine="0" w:firstLineChars="0"/>
              <w:jc w:val="both"/>
              <w:rPr>
                <w:rFonts w:hint="eastAsia"/>
                <w:b/>
                <w:bCs/>
              </w:rPr>
            </w:pPr>
            <w:r>
              <w:drawing>
                <wp:inline distT="0" distB="0" distL="114300" distR="114300">
                  <wp:extent cx="2552065" cy="3494405"/>
                  <wp:effectExtent l="0" t="0" r="635" b="1079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28"/>
                          <a:stretch>
                            <a:fillRect/>
                          </a:stretch>
                        </pic:blipFill>
                        <pic:spPr>
                          <a:xfrm>
                            <a:off x="0" y="0"/>
                            <a:ext cx="2552065" cy="3494405"/>
                          </a:xfrm>
                          <a:prstGeom prst="rect">
                            <a:avLst/>
                          </a:prstGeom>
                          <a:noFill/>
                          <a:ln>
                            <a:noFill/>
                          </a:ln>
                        </pic:spPr>
                      </pic:pic>
                    </a:graphicData>
                  </a:graphic>
                </wp:inline>
              </w:drawing>
            </w:r>
          </w:p>
        </w:tc>
        <w:tc>
          <w:tcPr>
            <w:tcW w:w="4076" w:type="dxa"/>
          </w:tcPr>
          <w:p>
            <w:pPr>
              <w:spacing w:line="360" w:lineRule="auto"/>
              <w:outlineLvl w:val="0"/>
              <w:rPr>
                <w:rFonts w:ascii="宋体" w:cs="Times New Roman"/>
                <w:sz w:val="24"/>
                <w:szCs w:val="24"/>
              </w:rPr>
            </w:pPr>
            <w:r>
              <w:rPr>
                <w:rFonts w:ascii="宋体" w:hAnsi="宋体" w:cs="宋体"/>
                <w:b/>
                <w:bCs/>
                <w:sz w:val="24"/>
                <w:szCs w:val="24"/>
              </w:rPr>
              <w:t>5.</w:t>
            </w:r>
            <w:r>
              <w:rPr>
                <w:rFonts w:hint="eastAsia" w:ascii="宋体" w:hAnsi="宋体" w:cs="宋体"/>
                <w:b/>
                <w:bCs/>
                <w:sz w:val="24"/>
                <w:szCs w:val="24"/>
              </w:rPr>
              <w:t>6</w:t>
            </w:r>
            <w:r>
              <w:rPr>
                <w:rFonts w:ascii="宋体" w:hAnsi="宋体" w:cs="宋体"/>
                <w:b/>
                <w:bCs/>
                <w:sz w:val="24"/>
                <w:szCs w:val="24"/>
              </w:rPr>
              <w:t xml:space="preserve">.1 </w:t>
            </w:r>
            <w:r>
              <w:rPr>
                <w:rFonts w:hint="eastAsia" w:ascii="宋体" w:hAnsi="宋体" w:cs="宋体"/>
                <w:sz w:val="24"/>
                <w:szCs w:val="24"/>
              </w:rPr>
              <w:t>交款业务数据</w:t>
            </w:r>
            <w:r>
              <w:rPr>
                <w:rFonts w:ascii="宋体" w:hAnsi="宋体" w:cs="宋体"/>
                <w:sz w:val="24"/>
                <w:szCs w:val="24"/>
              </w:rPr>
              <w:t>应符合</w:t>
            </w:r>
            <w:r>
              <w:rPr>
                <w:rFonts w:hint="eastAsia" w:ascii="宋体" w:hAnsi="宋体" w:cs="宋体"/>
                <w:sz w:val="24"/>
                <w:szCs w:val="24"/>
              </w:rPr>
              <w:t>表</w:t>
            </w:r>
            <w:r>
              <w:rPr>
                <w:rFonts w:ascii="宋体" w:hAnsi="宋体" w:cs="宋体"/>
                <w:sz w:val="24"/>
                <w:szCs w:val="24"/>
              </w:rPr>
              <w:t>5.</w:t>
            </w:r>
            <w:r>
              <w:rPr>
                <w:rFonts w:hint="eastAsia" w:ascii="宋体" w:hAnsi="宋体" w:cs="宋体"/>
                <w:sz w:val="24"/>
                <w:szCs w:val="24"/>
              </w:rPr>
              <w:t>6</w:t>
            </w:r>
            <w:r>
              <w:rPr>
                <w:rFonts w:ascii="宋体" w:hAnsi="宋体" w:cs="宋体"/>
                <w:sz w:val="24"/>
                <w:szCs w:val="24"/>
              </w:rPr>
              <w:t>.1的规定</w:t>
            </w:r>
            <w:r>
              <w:rPr>
                <w:rFonts w:hint="eastAsia" w:ascii="宋体" w:hAnsi="宋体" w:cs="宋体"/>
                <w:sz w:val="24"/>
                <w:szCs w:val="24"/>
              </w:rPr>
              <w:t>。</w:t>
            </w:r>
          </w:p>
          <w:p>
            <w:pPr>
              <w:pStyle w:val="10"/>
              <w:ind w:left="420" w:firstLine="0" w:firstLineChars="0"/>
              <w:jc w:val="center"/>
              <w:rPr>
                <w:rFonts w:ascii="宋体" w:cs="Times New Roman"/>
                <w:b/>
                <w:bCs/>
              </w:rPr>
            </w:pPr>
            <w:r>
              <w:rPr>
                <w:rFonts w:hint="eastAsia" w:ascii="宋体" w:hAnsi="宋体" w:cs="宋体"/>
                <w:b/>
                <w:bCs/>
              </w:rPr>
              <w:t>表</w:t>
            </w:r>
            <w:r>
              <w:rPr>
                <w:rFonts w:ascii="宋体" w:hAnsi="宋体" w:cs="宋体"/>
                <w:b/>
                <w:bCs/>
              </w:rPr>
              <w:t>5.</w:t>
            </w:r>
            <w:r>
              <w:rPr>
                <w:rFonts w:hint="eastAsia" w:ascii="宋体" w:hAnsi="宋体" w:cs="宋体"/>
                <w:b/>
                <w:bCs/>
              </w:rPr>
              <w:t>6</w:t>
            </w:r>
            <w:r>
              <w:rPr>
                <w:rFonts w:ascii="宋体" w:hAnsi="宋体" w:cs="宋体"/>
                <w:b/>
                <w:bCs/>
              </w:rPr>
              <w:t xml:space="preserve">.1  </w:t>
            </w:r>
            <w:r>
              <w:rPr>
                <w:rFonts w:hint="eastAsia" w:ascii="宋体" w:hAnsi="宋体" w:cs="宋体"/>
                <w:b/>
                <w:bCs/>
              </w:rPr>
              <w:t>交款业务数据</w:t>
            </w:r>
          </w:p>
          <w:p>
            <w:pPr>
              <w:pStyle w:val="10"/>
              <w:ind w:left="0" w:leftChars="0" w:firstLine="0" w:firstLineChars="0"/>
              <w:jc w:val="both"/>
              <w:rPr>
                <w:rFonts w:hint="eastAsia"/>
                <w:b/>
                <w:bCs/>
              </w:rPr>
            </w:pPr>
            <w:r>
              <w:drawing>
                <wp:inline distT="0" distB="0" distL="114300" distR="114300">
                  <wp:extent cx="2446020" cy="3721735"/>
                  <wp:effectExtent l="0" t="0" r="11430" b="1206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29"/>
                          <a:stretch>
                            <a:fillRect/>
                          </a:stretch>
                        </pic:blipFill>
                        <pic:spPr>
                          <a:xfrm>
                            <a:off x="0" y="0"/>
                            <a:ext cx="2446020" cy="372173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pStyle w:val="10"/>
              <w:ind w:left="0" w:leftChars="0" w:firstLine="0" w:firstLineChars="0"/>
              <w:jc w:val="both"/>
            </w:pPr>
          </w:p>
        </w:tc>
        <w:tc>
          <w:tcPr>
            <w:tcW w:w="4076" w:type="dxa"/>
          </w:tcPr>
          <w:p>
            <w:pPr>
              <w:outlineLvl w:val="0"/>
              <w:rPr>
                <w:rFonts w:hint="eastAsia" w:ascii="宋体" w:hAnsi="宋体" w:cs="宋体"/>
                <w:b/>
                <w:bCs/>
                <w:u w:val="single"/>
              </w:rPr>
            </w:pPr>
            <w:r>
              <w:rPr>
                <w:rFonts w:ascii="宋体" w:hAnsi="宋体" w:cs="宋体"/>
                <w:sz w:val="24"/>
                <w:szCs w:val="24"/>
                <w:u w:val="single"/>
              </w:rPr>
              <w:t>5.</w:t>
            </w:r>
            <w:r>
              <w:rPr>
                <w:rFonts w:hint="eastAsia" w:ascii="宋体" w:hAnsi="宋体" w:cs="宋体"/>
                <w:sz w:val="24"/>
                <w:szCs w:val="24"/>
                <w:u w:val="single"/>
              </w:rPr>
              <w:t>6</w:t>
            </w:r>
            <w:r>
              <w:rPr>
                <w:rFonts w:ascii="宋体" w:hAnsi="宋体" w:cs="宋体"/>
                <w:sz w:val="24"/>
                <w:szCs w:val="24"/>
                <w:u w:val="single"/>
              </w:rPr>
              <w:t xml:space="preserve">.11 </w:t>
            </w:r>
            <w:r>
              <w:rPr>
                <w:rFonts w:hint="eastAsia" w:ascii="宋体" w:hAnsi="宋体" w:cs="宋体"/>
                <w:sz w:val="24"/>
                <w:szCs w:val="24"/>
                <w:u w:val="single"/>
              </w:rPr>
              <w:t>业务办理记录数据</w:t>
            </w:r>
            <w:r>
              <w:rPr>
                <w:rFonts w:ascii="宋体" w:hAnsi="宋体" w:cs="宋体"/>
                <w:sz w:val="24"/>
                <w:szCs w:val="24"/>
                <w:u w:val="single"/>
              </w:rPr>
              <w:t>应符合</w:t>
            </w:r>
            <w:r>
              <w:rPr>
                <w:rFonts w:hint="eastAsia" w:ascii="宋体" w:hAnsi="宋体" w:cs="宋体"/>
                <w:sz w:val="24"/>
                <w:szCs w:val="24"/>
                <w:u w:val="single"/>
              </w:rPr>
              <w:t>表</w:t>
            </w:r>
            <w:r>
              <w:rPr>
                <w:rFonts w:ascii="宋体" w:hAnsi="宋体" w:cs="宋体"/>
                <w:sz w:val="24"/>
                <w:szCs w:val="24"/>
                <w:u w:val="single"/>
              </w:rPr>
              <w:t>5.</w:t>
            </w:r>
            <w:r>
              <w:rPr>
                <w:rFonts w:hint="eastAsia" w:ascii="宋体" w:hAnsi="宋体" w:cs="宋体"/>
                <w:sz w:val="24"/>
                <w:szCs w:val="24"/>
                <w:u w:val="single"/>
              </w:rPr>
              <w:t>6</w:t>
            </w:r>
            <w:r>
              <w:rPr>
                <w:rFonts w:ascii="宋体" w:hAnsi="宋体" w:cs="宋体"/>
                <w:sz w:val="24"/>
                <w:szCs w:val="24"/>
                <w:u w:val="single"/>
              </w:rPr>
              <w:t>.11的规定</w:t>
            </w:r>
            <w:r>
              <w:rPr>
                <w:rFonts w:hint="eastAsia" w:ascii="宋体" w:hAnsi="宋体" w:cs="宋体"/>
                <w:sz w:val="24"/>
                <w:szCs w:val="24"/>
                <w:u w:val="single"/>
              </w:rPr>
              <w:t>。</w:t>
            </w:r>
          </w:p>
          <w:p>
            <w:pPr>
              <w:pStyle w:val="10"/>
              <w:ind w:left="420" w:firstLine="0" w:firstLineChars="0"/>
              <w:jc w:val="center"/>
              <w:rPr>
                <w:rFonts w:ascii="宋体" w:cs="Times New Roman"/>
                <w:b/>
                <w:bCs/>
                <w:u w:val="single"/>
              </w:rPr>
            </w:pPr>
            <w:r>
              <w:rPr>
                <w:rFonts w:hint="eastAsia" w:ascii="宋体" w:hAnsi="宋体" w:cs="宋体"/>
                <w:b/>
                <w:bCs/>
                <w:u w:val="single"/>
              </w:rPr>
              <w:t>表</w:t>
            </w:r>
            <w:r>
              <w:rPr>
                <w:rFonts w:ascii="宋体" w:hAnsi="宋体" w:cs="宋体"/>
                <w:b/>
                <w:bCs/>
                <w:u w:val="single"/>
              </w:rPr>
              <w:t>5.</w:t>
            </w:r>
            <w:r>
              <w:rPr>
                <w:rFonts w:hint="eastAsia" w:ascii="宋体" w:hAnsi="宋体" w:cs="宋体"/>
                <w:b/>
                <w:bCs/>
                <w:u w:val="single"/>
              </w:rPr>
              <w:t>6</w:t>
            </w:r>
            <w:r>
              <w:rPr>
                <w:rFonts w:ascii="宋体" w:hAnsi="宋体" w:cs="宋体"/>
                <w:b/>
                <w:bCs/>
                <w:u w:val="single"/>
              </w:rPr>
              <w:t>.11</w:t>
            </w:r>
            <w:r>
              <w:rPr>
                <w:rFonts w:hint="eastAsia" w:ascii="宋体" w:hAnsi="宋体" w:cs="宋体"/>
                <w:b/>
                <w:bCs/>
                <w:u w:val="single"/>
              </w:rPr>
              <w:t>业务办理记录数据</w:t>
            </w:r>
          </w:p>
          <w:p>
            <w:pPr>
              <w:pStyle w:val="10"/>
              <w:ind w:left="0" w:leftChars="0" w:firstLine="0" w:firstLineChars="0"/>
              <w:jc w:val="both"/>
            </w:pPr>
            <w:r>
              <w:drawing>
                <wp:inline distT="0" distB="0" distL="114300" distR="114300">
                  <wp:extent cx="2447925" cy="3641725"/>
                  <wp:effectExtent l="0" t="0" r="952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2447925" cy="364172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widowControl/>
              <w:shd w:val="clear" w:color="auto" w:fill="FFFFFF"/>
              <w:spacing w:before="300" w:after="150"/>
              <w:ind w:firstLine="0"/>
              <w:jc w:val="center"/>
              <w:outlineLvl w:val="0"/>
              <w:rPr>
                <w:b/>
                <w:bCs/>
              </w:rPr>
            </w:pPr>
            <w:r>
              <w:rPr>
                <w:rFonts w:hint="eastAsia"/>
                <w:b/>
                <w:bCs/>
              </w:rPr>
              <w:t>5.10 档案数据</w:t>
            </w:r>
          </w:p>
        </w:tc>
        <w:tc>
          <w:tcPr>
            <w:tcW w:w="4076" w:type="dxa"/>
          </w:tcPr>
          <w:p>
            <w:pPr>
              <w:widowControl/>
              <w:shd w:val="clear" w:color="auto" w:fill="FFFFFF"/>
              <w:spacing w:before="300" w:after="150"/>
              <w:ind w:firstLine="0"/>
              <w:jc w:val="center"/>
              <w:outlineLvl w:val="0"/>
              <w:rPr>
                <w:b/>
                <w:bCs/>
              </w:rPr>
            </w:pPr>
            <w:r>
              <w:rPr>
                <w:rFonts w:hint="eastAsia"/>
                <w:b/>
                <w:bCs/>
              </w:rPr>
              <w:t>5.10 档案数据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29" w:hRule="atLeast"/>
          <w:jc w:val="center"/>
        </w:trPr>
        <w:tc>
          <w:tcPr>
            <w:tcW w:w="4238" w:type="dxa"/>
            <w:vAlign w:val="center"/>
          </w:tcPr>
          <w:p>
            <w:pPr>
              <w:spacing w:line="360" w:lineRule="auto"/>
              <w:outlineLvl w:val="0"/>
              <w:rPr>
                <w:rFonts w:hint="eastAsia" w:ascii="宋体" w:hAnsi="宋体" w:cs="宋体"/>
                <w:sz w:val="24"/>
                <w:szCs w:val="24"/>
                <w:u w:val="none"/>
              </w:rPr>
            </w:pPr>
            <w:r>
              <w:rPr>
                <w:rFonts w:hint="eastAsia" w:ascii="宋体" w:hAnsi="宋体" w:cs="宋体"/>
                <w:sz w:val="24"/>
                <w:szCs w:val="24"/>
                <w:u w:val="none"/>
              </w:rPr>
              <w:t>5.10.1 档案类型数据应符合表5.10.1的规定。</w:t>
            </w:r>
          </w:p>
          <w:p>
            <w:pPr>
              <w:pStyle w:val="10"/>
              <w:ind w:left="420" w:firstLine="0" w:firstLineChars="0"/>
              <w:jc w:val="center"/>
              <w:rPr>
                <w:rFonts w:hint="eastAsia" w:ascii="宋体" w:hAnsi="宋体" w:cs="宋体"/>
                <w:b/>
                <w:bCs/>
                <w:u w:val="none"/>
              </w:rPr>
            </w:pPr>
            <w:r>
              <w:rPr>
                <w:rFonts w:hint="eastAsia" w:ascii="宋体" w:hAnsi="宋体" w:cs="宋体"/>
                <w:b/>
                <w:bCs/>
                <w:u w:val="none"/>
              </w:rPr>
              <w:t>表5.10.1 档案类型数据</w:t>
            </w:r>
          </w:p>
          <w:p>
            <w:pPr>
              <w:pStyle w:val="10"/>
              <w:ind w:left="0" w:leftChars="0" w:firstLine="0" w:firstLineChars="0"/>
              <w:jc w:val="both"/>
              <w:rPr>
                <w:rFonts w:hint="eastAsia"/>
                <w:b/>
                <w:bCs/>
              </w:rPr>
            </w:pPr>
            <w:r>
              <w:drawing>
                <wp:inline distT="0" distB="0" distL="114300" distR="114300">
                  <wp:extent cx="2550160" cy="1269365"/>
                  <wp:effectExtent l="0" t="0" r="2540" b="6985"/>
                  <wp:docPr id="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0"/>
                          <pic:cNvPicPr>
                            <a:picLocks noChangeAspect="1"/>
                          </pic:cNvPicPr>
                        </pic:nvPicPr>
                        <pic:blipFill>
                          <a:blip r:embed="rId31"/>
                          <a:stretch>
                            <a:fillRect/>
                          </a:stretch>
                        </pic:blipFill>
                        <pic:spPr>
                          <a:xfrm>
                            <a:off x="0" y="0"/>
                            <a:ext cx="2550160" cy="1269365"/>
                          </a:xfrm>
                          <a:prstGeom prst="rect">
                            <a:avLst/>
                          </a:prstGeom>
                          <a:noFill/>
                          <a:ln>
                            <a:noFill/>
                          </a:ln>
                        </pic:spPr>
                      </pic:pic>
                    </a:graphicData>
                  </a:graphic>
                </wp:inline>
              </w:drawing>
            </w:r>
          </w:p>
        </w:tc>
        <w:tc>
          <w:tcPr>
            <w:tcW w:w="4076" w:type="dxa"/>
          </w:tcPr>
          <w:p>
            <w:pPr>
              <w:spacing w:line="360" w:lineRule="auto"/>
              <w:outlineLvl w:val="0"/>
              <w:rPr>
                <w:rFonts w:ascii="宋体" w:cs="Times New Roman"/>
                <w:sz w:val="24"/>
                <w:szCs w:val="24"/>
                <w:bdr w:val="single" w:color="auto" w:sz="6" w:space="0"/>
              </w:rPr>
            </w:pPr>
            <w:r>
              <w:rPr>
                <w:rFonts w:ascii="宋体" w:hAnsi="宋体" w:cs="宋体"/>
                <w:b/>
                <w:bCs/>
                <w:sz w:val="24"/>
                <w:szCs w:val="24"/>
                <w:bdr w:val="single" w:color="auto" w:sz="6" w:space="0"/>
              </w:rPr>
              <w:t>5.</w:t>
            </w:r>
            <w:r>
              <w:rPr>
                <w:rFonts w:hint="eastAsia" w:ascii="宋体" w:hAnsi="宋体" w:cs="宋体"/>
                <w:b/>
                <w:bCs/>
                <w:sz w:val="24"/>
                <w:szCs w:val="24"/>
                <w:bdr w:val="single" w:color="auto" w:sz="6" w:space="0"/>
              </w:rPr>
              <w:t>10</w:t>
            </w:r>
            <w:r>
              <w:rPr>
                <w:rFonts w:ascii="宋体" w:hAnsi="宋体" w:cs="宋体"/>
                <w:b/>
                <w:bCs/>
                <w:sz w:val="24"/>
                <w:szCs w:val="24"/>
                <w:bdr w:val="single" w:color="auto" w:sz="6" w:space="0"/>
              </w:rPr>
              <w:t xml:space="preserve">.1 </w:t>
            </w:r>
            <w:r>
              <w:rPr>
                <w:rFonts w:hint="eastAsia" w:ascii="宋体" w:hAnsi="宋体" w:cs="宋体"/>
                <w:sz w:val="24"/>
                <w:szCs w:val="24"/>
                <w:bdr w:val="single" w:color="auto" w:sz="6" w:space="0"/>
              </w:rPr>
              <w:t>档案类型数据</w:t>
            </w:r>
            <w:r>
              <w:rPr>
                <w:rFonts w:ascii="宋体" w:hAnsi="宋体" w:cs="宋体"/>
                <w:sz w:val="24"/>
                <w:szCs w:val="24"/>
                <w:bdr w:val="single" w:color="auto" w:sz="6" w:space="0"/>
              </w:rPr>
              <w:t>应符合</w:t>
            </w:r>
            <w:r>
              <w:rPr>
                <w:rFonts w:hint="eastAsia" w:ascii="宋体" w:hAnsi="宋体" w:cs="宋体"/>
                <w:sz w:val="24"/>
                <w:szCs w:val="24"/>
                <w:bdr w:val="single" w:color="auto" w:sz="6" w:space="0"/>
              </w:rPr>
              <w:t>表</w:t>
            </w:r>
            <w:r>
              <w:rPr>
                <w:rFonts w:ascii="宋体" w:hAnsi="宋体" w:cs="宋体"/>
                <w:sz w:val="24"/>
                <w:szCs w:val="24"/>
                <w:bdr w:val="single" w:color="auto" w:sz="6" w:space="0"/>
              </w:rPr>
              <w:t>5.</w:t>
            </w:r>
            <w:r>
              <w:rPr>
                <w:rFonts w:hint="eastAsia" w:ascii="宋体" w:hAnsi="宋体" w:cs="宋体"/>
                <w:sz w:val="24"/>
                <w:szCs w:val="24"/>
                <w:bdr w:val="single" w:color="auto" w:sz="6" w:space="0"/>
              </w:rPr>
              <w:t>10</w:t>
            </w:r>
            <w:r>
              <w:rPr>
                <w:rFonts w:ascii="宋体" w:hAnsi="宋体" w:cs="宋体"/>
                <w:sz w:val="24"/>
                <w:szCs w:val="24"/>
                <w:bdr w:val="single" w:color="auto" w:sz="6" w:space="0"/>
              </w:rPr>
              <w:t>.1的规定</w:t>
            </w:r>
            <w:r>
              <w:rPr>
                <w:rFonts w:hint="eastAsia" w:ascii="宋体" w:hAnsi="宋体" w:cs="宋体"/>
                <w:sz w:val="24"/>
                <w:szCs w:val="24"/>
                <w:bdr w:val="single" w:color="auto" w:sz="6" w:space="0"/>
              </w:rPr>
              <w:t>。</w:t>
            </w:r>
          </w:p>
          <w:p>
            <w:pPr>
              <w:pStyle w:val="10"/>
              <w:ind w:left="420" w:firstLine="0" w:firstLineChars="0"/>
              <w:jc w:val="center"/>
              <w:rPr>
                <w:rFonts w:ascii="宋体" w:cs="Times New Roman"/>
                <w:b/>
                <w:bCs/>
                <w:bdr w:val="single" w:color="auto" w:sz="6" w:space="0"/>
              </w:rPr>
            </w:pPr>
            <w:r>
              <w:rPr>
                <w:rFonts w:hint="eastAsia" w:ascii="宋体" w:hAnsi="宋体" w:cs="宋体"/>
                <w:b/>
                <w:bCs/>
                <w:bdr w:val="single" w:color="auto" w:sz="6" w:space="0"/>
              </w:rPr>
              <w:t>表</w:t>
            </w:r>
            <w:r>
              <w:rPr>
                <w:rFonts w:ascii="宋体" w:hAnsi="宋体" w:cs="宋体"/>
                <w:b/>
                <w:bCs/>
                <w:bdr w:val="single" w:color="auto" w:sz="6" w:space="0"/>
              </w:rPr>
              <w:t>5.</w:t>
            </w:r>
            <w:r>
              <w:rPr>
                <w:rFonts w:hint="eastAsia" w:ascii="宋体" w:hAnsi="宋体" w:cs="宋体"/>
                <w:b/>
                <w:bCs/>
                <w:bdr w:val="single" w:color="auto" w:sz="6" w:space="0"/>
              </w:rPr>
              <w:t>10</w:t>
            </w:r>
            <w:r>
              <w:rPr>
                <w:rFonts w:ascii="宋体" w:hAnsi="宋体" w:cs="宋体"/>
                <w:b/>
                <w:bCs/>
                <w:bdr w:val="single" w:color="auto" w:sz="6" w:space="0"/>
              </w:rPr>
              <w:t xml:space="preserve">.1 </w:t>
            </w:r>
            <w:r>
              <w:rPr>
                <w:rFonts w:hint="eastAsia" w:ascii="宋体" w:hAnsi="宋体" w:cs="宋体"/>
                <w:b/>
                <w:bCs/>
                <w:bdr w:val="single" w:color="auto" w:sz="6" w:space="0"/>
              </w:rPr>
              <w:t>档案类型数据</w:t>
            </w:r>
          </w:p>
          <w:p>
            <w:pPr>
              <w:pStyle w:val="10"/>
              <w:ind w:left="0" w:leftChars="0" w:firstLine="0" w:firstLineChars="0"/>
              <w:jc w:val="both"/>
              <w:rPr>
                <w:rFonts w:hint="eastAsia"/>
                <w:b/>
                <w:bCs/>
              </w:rPr>
            </w:pPr>
            <w:r>
              <w:drawing>
                <wp:inline distT="0" distB="0" distL="114300" distR="114300">
                  <wp:extent cx="2444115" cy="1201420"/>
                  <wp:effectExtent l="0" t="0" r="13335" b="17780"/>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32"/>
                          <a:stretch>
                            <a:fillRect/>
                          </a:stretch>
                        </pic:blipFill>
                        <pic:spPr>
                          <a:xfrm>
                            <a:off x="0" y="0"/>
                            <a:ext cx="2444115" cy="120142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outlineLvl w:val="0"/>
              <w:rPr>
                <w:rFonts w:hint="eastAsia" w:ascii="宋体" w:hAnsi="宋体" w:cs="宋体"/>
                <w:sz w:val="24"/>
                <w:szCs w:val="24"/>
                <w:u w:val="none"/>
              </w:rPr>
            </w:pPr>
            <w:r>
              <w:rPr>
                <w:rFonts w:hint="eastAsia" w:ascii="宋体" w:hAnsi="宋体" w:cs="宋体"/>
                <w:b/>
                <w:bCs/>
                <w:sz w:val="24"/>
                <w:szCs w:val="24"/>
                <w:u w:val="none"/>
              </w:rPr>
              <w:t>5.10.2</w:t>
            </w:r>
            <w:r>
              <w:rPr>
                <w:rFonts w:hint="eastAsia" w:ascii="宋体" w:hAnsi="宋体" w:cs="宋体"/>
                <w:sz w:val="24"/>
                <w:szCs w:val="24"/>
                <w:u w:val="none"/>
              </w:rPr>
              <w:t xml:space="preserve"> 档案盒数据应符合表5.10.2的规定。</w:t>
            </w:r>
          </w:p>
          <w:p>
            <w:pPr>
              <w:pStyle w:val="10"/>
              <w:ind w:left="420" w:firstLine="0" w:firstLineChars="0"/>
              <w:jc w:val="center"/>
              <w:rPr>
                <w:rFonts w:hint="eastAsia" w:ascii="宋体" w:hAnsi="宋体" w:cs="宋体"/>
                <w:b/>
                <w:bCs/>
                <w:u w:val="none"/>
              </w:rPr>
            </w:pPr>
            <w:r>
              <w:rPr>
                <w:rFonts w:hint="eastAsia" w:ascii="宋体" w:hAnsi="宋体" w:cs="宋体"/>
                <w:b/>
                <w:bCs/>
                <w:u w:val="none"/>
              </w:rPr>
              <w:t>表5.10.2 档案盒数据</w:t>
            </w:r>
          </w:p>
          <w:p>
            <w:pPr>
              <w:pStyle w:val="10"/>
              <w:ind w:left="0" w:leftChars="0" w:firstLine="0" w:firstLineChars="0"/>
              <w:jc w:val="both"/>
              <w:rPr>
                <w:rFonts w:hint="eastAsia"/>
                <w:b/>
                <w:bCs/>
              </w:rPr>
            </w:pPr>
            <w:r>
              <w:drawing>
                <wp:inline distT="0" distB="0" distL="114300" distR="114300">
                  <wp:extent cx="2551430" cy="2063750"/>
                  <wp:effectExtent l="0" t="0" r="1270" b="12700"/>
                  <wp:docPr id="5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4"/>
                          <pic:cNvPicPr>
                            <a:picLocks noChangeAspect="1"/>
                          </pic:cNvPicPr>
                        </pic:nvPicPr>
                        <pic:blipFill>
                          <a:blip r:embed="rId33"/>
                          <a:stretch>
                            <a:fillRect/>
                          </a:stretch>
                        </pic:blipFill>
                        <pic:spPr>
                          <a:xfrm>
                            <a:off x="0" y="0"/>
                            <a:ext cx="2551430" cy="2063750"/>
                          </a:xfrm>
                          <a:prstGeom prst="rect">
                            <a:avLst/>
                          </a:prstGeom>
                          <a:noFill/>
                          <a:ln>
                            <a:noFill/>
                          </a:ln>
                        </pic:spPr>
                      </pic:pic>
                    </a:graphicData>
                  </a:graphic>
                </wp:inline>
              </w:drawing>
            </w:r>
          </w:p>
        </w:tc>
        <w:tc>
          <w:tcPr>
            <w:tcW w:w="4076" w:type="dxa"/>
          </w:tcPr>
          <w:p>
            <w:pPr>
              <w:spacing w:line="360" w:lineRule="auto"/>
              <w:outlineLvl w:val="0"/>
              <w:rPr>
                <w:rFonts w:hint="eastAsia" w:ascii="宋体" w:hAnsi="宋体" w:eastAsia="宋体" w:cs="宋体"/>
                <w:color w:val="auto"/>
                <w:sz w:val="24"/>
                <w:szCs w:val="24"/>
                <w:bdr w:val="single" w:color="auto" w:sz="4" w:space="0"/>
              </w:rPr>
            </w:pPr>
            <w:r>
              <w:rPr>
                <w:rFonts w:hint="eastAsia" w:ascii="宋体" w:hAnsi="宋体" w:eastAsia="宋体" w:cs="宋体"/>
                <w:b/>
                <w:bCs/>
                <w:color w:val="auto"/>
                <w:sz w:val="24"/>
                <w:szCs w:val="24"/>
                <w:bdr w:val="single" w:color="auto" w:sz="4" w:space="0"/>
              </w:rPr>
              <w:t xml:space="preserve">5.10.2 </w:t>
            </w:r>
            <w:r>
              <w:rPr>
                <w:rFonts w:hint="eastAsia" w:ascii="宋体" w:hAnsi="宋体" w:eastAsia="宋体" w:cs="宋体"/>
                <w:color w:val="auto"/>
                <w:sz w:val="24"/>
                <w:szCs w:val="24"/>
                <w:bdr w:val="single" w:color="auto" w:sz="4" w:space="0"/>
              </w:rPr>
              <w:t>档案盒数据应符合表5.10.2的规定。</w:t>
            </w:r>
          </w:p>
          <w:p>
            <w:pPr>
              <w:pStyle w:val="10"/>
              <w:ind w:left="420" w:firstLine="0" w:firstLineChars="0"/>
              <w:jc w:val="center"/>
              <w:rPr>
                <w:rFonts w:hint="eastAsia" w:ascii="宋体" w:hAnsi="宋体" w:eastAsia="宋体" w:cs="宋体"/>
                <w:b/>
                <w:bCs/>
                <w:color w:val="auto"/>
                <w:bdr w:val="single" w:color="auto" w:sz="4" w:space="0"/>
              </w:rPr>
            </w:pPr>
            <w:r>
              <w:rPr>
                <w:rFonts w:hint="eastAsia" w:ascii="宋体" w:hAnsi="宋体" w:eastAsia="宋体" w:cs="宋体"/>
                <w:b/>
                <w:bCs/>
                <w:color w:val="auto"/>
                <w:bdr w:val="single" w:color="auto" w:sz="4" w:space="0"/>
              </w:rPr>
              <w:t>表5.10.2 档案盒数据</w:t>
            </w:r>
          </w:p>
          <w:p>
            <w:pPr>
              <w:pStyle w:val="10"/>
              <w:ind w:left="0" w:leftChars="0" w:firstLine="0" w:firstLineChars="0"/>
              <w:jc w:val="both"/>
              <w:rPr>
                <w:rFonts w:hint="eastAsia"/>
                <w:b/>
                <w:bCs/>
              </w:rPr>
            </w:pPr>
            <w:r>
              <w:drawing>
                <wp:inline distT="0" distB="0" distL="114300" distR="114300">
                  <wp:extent cx="2446020" cy="1981200"/>
                  <wp:effectExtent l="0" t="0" r="11430" b="0"/>
                  <wp:docPr id="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3"/>
                          <pic:cNvPicPr>
                            <a:picLocks noChangeAspect="1"/>
                          </pic:cNvPicPr>
                        </pic:nvPicPr>
                        <pic:blipFill>
                          <a:blip r:embed="rId34"/>
                          <a:stretch>
                            <a:fillRect/>
                          </a:stretch>
                        </pic:blipFill>
                        <pic:spPr>
                          <a:xfrm>
                            <a:off x="0" y="0"/>
                            <a:ext cx="2446020" cy="19812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outlineLvl w:val="0"/>
              <w:rPr>
                <w:rFonts w:hint="eastAsia" w:ascii="宋体" w:hAnsi="宋体" w:eastAsia="宋体" w:cs="宋体"/>
                <w:color w:val="auto"/>
                <w:sz w:val="24"/>
                <w:szCs w:val="24"/>
              </w:rPr>
            </w:pPr>
            <w:r>
              <w:rPr>
                <w:rFonts w:hint="eastAsia" w:ascii="宋体" w:hAnsi="宋体" w:eastAsia="宋体" w:cs="宋体"/>
                <w:b/>
                <w:bCs/>
                <w:color w:val="auto"/>
                <w:sz w:val="24"/>
                <w:szCs w:val="24"/>
                <w:u w:val="none"/>
              </w:rPr>
              <w:t>5.10.3</w:t>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档案文件数据应符合表5.10.3的规定。</w:t>
            </w:r>
          </w:p>
          <w:p>
            <w:pPr>
              <w:pStyle w:val="10"/>
              <w:ind w:left="420" w:firstLine="0" w:firstLineChars="0"/>
              <w:jc w:val="center"/>
              <w:rPr>
                <w:rFonts w:hint="eastAsia" w:ascii="宋体" w:hAnsi="宋体" w:eastAsia="宋体" w:cs="宋体"/>
                <w:b/>
                <w:bCs/>
                <w:color w:val="auto"/>
              </w:rPr>
            </w:pPr>
            <w:r>
              <w:rPr>
                <w:rFonts w:hint="eastAsia" w:ascii="宋体" w:hAnsi="宋体" w:eastAsia="宋体" w:cs="宋体"/>
                <w:b/>
                <w:bCs/>
                <w:color w:val="auto"/>
              </w:rPr>
              <w:t>表5.10.3 档案文件数据</w:t>
            </w:r>
          </w:p>
          <w:p>
            <w:pPr>
              <w:pStyle w:val="10"/>
              <w:ind w:left="0" w:leftChars="0" w:firstLine="0" w:firstLineChars="0"/>
              <w:jc w:val="both"/>
              <w:rPr>
                <w:color w:val="auto"/>
              </w:rPr>
            </w:pPr>
            <w:r>
              <w:drawing>
                <wp:inline distT="0" distB="0" distL="114300" distR="114300">
                  <wp:extent cx="2551430" cy="2599690"/>
                  <wp:effectExtent l="0" t="0" r="1270" b="1016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35"/>
                          <a:stretch>
                            <a:fillRect/>
                          </a:stretch>
                        </pic:blipFill>
                        <pic:spPr>
                          <a:xfrm>
                            <a:off x="0" y="0"/>
                            <a:ext cx="2551430" cy="2599690"/>
                          </a:xfrm>
                          <a:prstGeom prst="rect">
                            <a:avLst/>
                          </a:prstGeom>
                          <a:noFill/>
                          <a:ln>
                            <a:noFill/>
                          </a:ln>
                        </pic:spPr>
                      </pic:pic>
                    </a:graphicData>
                  </a:graphic>
                </wp:inline>
              </w:drawing>
            </w:r>
          </w:p>
        </w:tc>
        <w:tc>
          <w:tcPr>
            <w:tcW w:w="4076" w:type="dxa"/>
          </w:tcPr>
          <w:p>
            <w:pPr>
              <w:spacing w:line="360" w:lineRule="auto"/>
              <w:outlineLvl w:val="0"/>
              <w:rPr>
                <w:rFonts w:hint="eastAsia" w:ascii="宋体" w:hAnsi="宋体" w:eastAsia="宋体" w:cs="宋体"/>
                <w:color w:val="auto"/>
                <w:sz w:val="24"/>
                <w:szCs w:val="24"/>
              </w:rPr>
            </w:pPr>
            <w:r>
              <w:rPr>
                <w:rFonts w:hint="eastAsia" w:ascii="宋体" w:hAnsi="宋体" w:eastAsia="宋体" w:cs="宋体"/>
                <w:b/>
                <w:bCs/>
                <w:color w:val="auto"/>
                <w:sz w:val="24"/>
                <w:szCs w:val="24"/>
                <w:u w:val="none"/>
              </w:rPr>
              <w:t>5.10.3</w:t>
            </w:r>
            <w:r>
              <w:rPr>
                <w:rFonts w:hint="eastAsia" w:ascii="宋体" w:hAnsi="宋体" w:eastAsia="宋体" w:cs="宋体"/>
                <w:b/>
                <w:bCs/>
                <w:color w:val="auto"/>
                <w:sz w:val="24"/>
                <w:szCs w:val="24"/>
              </w:rPr>
              <w:t xml:space="preserve"> </w:t>
            </w:r>
            <w:r>
              <w:rPr>
                <w:rFonts w:hint="eastAsia" w:ascii="宋体" w:hAnsi="宋体" w:eastAsia="宋体" w:cs="宋体"/>
                <w:color w:val="auto"/>
                <w:sz w:val="24"/>
                <w:szCs w:val="24"/>
              </w:rPr>
              <w:t>档案文件数据应符合表5.10.3的规定。</w:t>
            </w:r>
          </w:p>
          <w:p>
            <w:pPr>
              <w:pStyle w:val="10"/>
              <w:ind w:left="420" w:firstLine="0" w:firstLineChars="0"/>
              <w:jc w:val="center"/>
              <w:rPr>
                <w:rFonts w:hint="eastAsia" w:ascii="宋体" w:hAnsi="宋体" w:eastAsia="宋体" w:cs="宋体"/>
                <w:b/>
                <w:bCs/>
                <w:color w:val="auto"/>
              </w:rPr>
            </w:pPr>
            <w:r>
              <w:rPr>
                <w:rFonts w:hint="eastAsia" w:ascii="宋体" w:hAnsi="宋体" w:eastAsia="宋体" w:cs="宋体"/>
                <w:b/>
                <w:bCs/>
                <w:color w:val="auto"/>
              </w:rPr>
              <w:t>表5.10.3 档案文件数据</w:t>
            </w:r>
          </w:p>
          <w:p>
            <w:pPr>
              <w:pStyle w:val="10"/>
              <w:ind w:left="0" w:leftChars="0" w:firstLine="0" w:firstLineChars="0"/>
              <w:jc w:val="both"/>
              <w:rPr>
                <w:rFonts w:hint="eastAsia"/>
                <w:b/>
                <w:bCs/>
                <w:color w:val="auto"/>
              </w:rPr>
            </w:pPr>
            <w:r>
              <w:drawing>
                <wp:inline distT="0" distB="0" distL="114300" distR="114300">
                  <wp:extent cx="2448560" cy="3739515"/>
                  <wp:effectExtent l="0" t="0" r="8890" b="13335"/>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36"/>
                          <a:stretch>
                            <a:fillRect/>
                          </a:stretch>
                        </pic:blipFill>
                        <pic:spPr>
                          <a:xfrm>
                            <a:off x="0" y="0"/>
                            <a:ext cx="2448560" cy="3739515"/>
                          </a:xfrm>
                          <a:prstGeom prst="rect">
                            <a:avLst/>
                          </a:prstGeom>
                          <a:noFill/>
                          <a:ln>
                            <a:noFill/>
                          </a:ln>
                        </pic:spPr>
                      </pic:pic>
                    </a:graphicData>
                  </a:graphic>
                </wp:inline>
              </w:drawing>
            </w:r>
            <w:r>
              <w:drawing>
                <wp:inline distT="0" distB="0" distL="114300" distR="114300">
                  <wp:extent cx="2446020" cy="3666490"/>
                  <wp:effectExtent l="0" t="0" r="11430" b="1016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6"/>
                          <pic:cNvPicPr>
                            <a:picLocks noChangeAspect="1"/>
                          </pic:cNvPicPr>
                        </pic:nvPicPr>
                        <pic:blipFill>
                          <a:blip r:embed="rId37"/>
                          <a:stretch>
                            <a:fillRect/>
                          </a:stretch>
                        </pic:blipFill>
                        <pic:spPr>
                          <a:xfrm>
                            <a:off x="0" y="0"/>
                            <a:ext cx="2446020" cy="3666490"/>
                          </a:xfrm>
                          <a:prstGeom prst="rect">
                            <a:avLst/>
                          </a:prstGeom>
                          <a:noFill/>
                          <a:ln>
                            <a:noFill/>
                          </a:ln>
                        </pic:spPr>
                      </pic:pic>
                    </a:graphicData>
                  </a:graphic>
                </wp:inline>
              </w:drawing>
            </w:r>
            <w:r>
              <w:drawing>
                <wp:inline distT="0" distB="0" distL="114300" distR="114300">
                  <wp:extent cx="2445385" cy="1422400"/>
                  <wp:effectExtent l="0" t="0" r="12065" b="6350"/>
                  <wp:docPr id="6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
                          <pic:cNvPicPr>
                            <a:picLocks noChangeAspect="1"/>
                          </pic:cNvPicPr>
                        </pic:nvPicPr>
                        <pic:blipFill>
                          <a:blip r:embed="rId38"/>
                          <a:stretch>
                            <a:fillRect/>
                          </a:stretch>
                        </pic:blipFill>
                        <pic:spPr>
                          <a:xfrm>
                            <a:off x="0" y="0"/>
                            <a:ext cx="2445385" cy="142240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rPr>
                <w:rFonts w:hint="eastAsia" w:ascii="宋体" w:hAnsi="宋体" w:cs="宋体"/>
                <w:sz w:val="24"/>
                <w:szCs w:val="24"/>
              </w:rPr>
            </w:pPr>
            <w:r>
              <w:rPr>
                <w:rFonts w:hint="eastAsia" w:ascii="宋体" w:hAnsi="宋体" w:cs="宋体"/>
                <w:b/>
                <w:bCs/>
                <w:sz w:val="24"/>
                <w:szCs w:val="24"/>
              </w:rPr>
              <w:t>5.10.4</w:t>
            </w:r>
            <w:r>
              <w:rPr>
                <w:rFonts w:hint="eastAsia" w:ascii="宋体" w:hAnsi="宋体" w:cs="宋体"/>
                <w:sz w:val="24"/>
                <w:szCs w:val="24"/>
              </w:rPr>
              <w:t xml:space="preserve"> 档案借出表数据应符合表5.10.4的规定。</w:t>
            </w:r>
          </w:p>
          <w:p>
            <w:pPr>
              <w:pStyle w:val="10"/>
              <w:ind w:left="420" w:firstLine="0" w:firstLineChars="0"/>
              <w:jc w:val="center"/>
              <w:rPr>
                <w:rFonts w:hint="eastAsia" w:ascii="宋体" w:hAnsi="宋体" w:cs="宋体"/>
                <w:b/>
                <w:bCs/>
                <w:u w:val="none"/>
              </w:rPr>
            </w:pPr>
            <w:r>
              <w:rPr>
                <w:rFonts w:hint="eastAsia" w:ascii="宋体" w:hAnsi="宋体" w:cs="宋体"/>
                <w:b/>
                <w:bCs/>
                <w:u w:val="none"/>
              </w:rPr>
              <w:t>表5.10.4 档案借出表数据</w:t>
            </w:r>
          </w:p>
          <w:p>
            <w:pPr>
              <w:pStyle w:val="10"/>
              <w:ind w:left="0" w:leftChars="0" w:firstLine="0" w:firstLineChars="0"/>
              <w:jc w:val="both"/>
            </w:pPr>
            <w:r>
              <w:drawing>
                <wp:inline distT="0" distB="0" distL="114300" distR="114300">
                  <wp:extent cx="2553335" cy="2153285"/>
                  <wp:effectExtent l="0" t="0" r="18415" b="18415"/>
                  <wp:docPr id="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pic:cNvPicPr>
                            <a:picLocks noChangeAspect="1"/>
                          </pic:cNvPicPr>
                        </pic:nvPicPr>
                        <pic:blipFill>
                          <a:blip r:embed="rId39"/>
                          <a:stretch>
                            <a:fillRect/>
                          </a:stretch>
                        </pic:blipFill>
                        <pic:spPr>
                          <a:xfrm>
                            <a:off x="0" y="0"/>
                            <a:ext cx="2553335" cy="2153285"/>
                          </a:xfrm>
                          <a:prstGeom prst="rect">
                            <a:avLst/>
                          </a:prstGeom>
                          <a:noFill/>
                          <a:ln>
                            <a:noFill/>
                          </a:ln>
                        </pic:spPr>
                      </pic:pic>
                    </a:graphicData>
                  </a:graphic>
                </wp:inline>
              </w:drawing>
            </w:r>
          </w:p>
        </w:tc>
        <w:tc>
          <w:tcPr>
            <w:tcW w:w="4076" w:type="dxa"/>
          </w:tcPr>
          <w:p>
            <w:pPr>
              <w:spacing w:line="360" w:lineRule="auto"/>
              <w:outlineLvl w:val="0"/>
              <w:rPr>
                <w:rFonts w:ascii="宋体" w:cs="Times New Roman"/>
                <w:sz w:val="24"/>
                <w:szCs w:val="24"/>
                <w:bdr w:val="single" w:color="auto" w:sz="6" w:space="0"/>
              </w:rPr>
            </w:pPr>
            <w:r>
              <w:rPr>
                <w:rFonts w:ascii="宋体" w:hAnsi="宋体" w:cs="宋体"/>
                <w:b/>
                <w:bCs/>
                <w:sz w:val="24"/>
                <w:szCs w:val="24"/>
                <w:bdr w:val="single" w:color="auto" w:sz="6" w:space="0"/>
              </w:rPr>
              <w:t>5.</w:t>
            </w:r>
            <w:r>
              <w:rPr>
                <w:rFonts w:hint="eastAsia" w:ascii="宋体" w:hAnsi="宋体" w:cs="宋体"/>
                <w:b/>
                <w:bCs/>
                <w:sz w:val="24"/>
                <w:szCs w:val="24"/>
                <w:bdr w:val="single" w:color="auto" w:sz="6" w:space="0"/>
              </w:rPr>
              <w:t>10</w:t>
            </w:r>
            <w:r>
              <w:rPr>
                <w:rFonts w:ascii="宋体" w:hAnsi="宋体" w:cs="宋体"/>
                <w:b/>
                <w:bCs/>
                <w:sz w:val="24"/>
                <w:szCs w:val="24"/>
                <w:bdr w:val="single" w:color="auto" w:sz="6" w:space="0"/>
              </w:rPr>
              <w:t xml:space="preserve">.4 </w:t>
            </w:r>
            <w:r>
              <w:rPr>
                <w:rFonts w:hint="eastAsia" w:ascii="宋体" w:hAnsi="宋体" w:cs="宋体"/>
                <w:sz w:val="24"/>
                <w:szCs w:val="24"/>
                <w:bdr w:val="single" w:color="auto" w:sz="6" w:space="0"/>
              </w:rPr>
              <w:t>档案借出表数据</w:t>
            </w:r>
            <w:r>
              <w:rPr>
                <w:rFonts w:ascii="宋体" w:hAnsi="宋体" w:cs="宋体"/>
                <w:sz w:val="24"/>
                <w:szCs w:val="24"/>
                <w:bdr w:val="single" w:color="auto" w:sz="6" w:space="0"/>
              </w:rPr>
              <w:t>应符合</w:t>
            </w:r>
            <w:r>
              <w:rPr>
                <w:rFonts w:hint="eastAsia" w:ascii="宋体" w:hAnsi="宋体" w:cs="宋体"/>
                <w:sz w:val="24"/>
                <w:szCs w:val="24"/>
                <w:bdr w:val="single" w:color="auto" w:sz="6" w:space="0"/>
              </w:rPr>
              <w:t>表</w:t>
            </w:r>
            <w:r>
              <w:rPr>
                <w:rFonts w:ascii="宋体" w:hAnsi="宋体" w:cs="宋体"/>
                <w:sz w:val="24"/>
                <w:szCs w:val="24"/>
                <w:bdr w:val="single" w:color="auto" w:sz="6" w:space="0"/>
              </w:rPr>
              <w:t>5.</w:t>
            </w:r>
            <w:r>
              <w:rPr>
                <w:rFonts w:hint="eastAsia" w:ascii="宋体" w:hAnsi="宋体" w:cs="宋体"/>
                <w:sz w:val="24"/>
                <w:szCs w:val="24"/>
                <w:bdr w:val="single" w:color="auto" w:sz="6" w:space="0"/>
              </w:rPr>
              <w:t>10</w:t>
            </w:r>
            <w:r>
              <w:rPr>
                <w:rFonts w:ascii="宋体" w:hAnsi="宋体" w:cs="宋体"/>
                <w:sz w:val="24"/>
                <w:szCs w:val="24"/>
                <w:bdr w:val="single" w:color="auto" w:sz="6" w:space="0"/>
              </w:rPr>
              <w:t>.4的规定</w:t>
            </w:r>
            <w:r>
              <w:rPr>
                <w:rFonts w:hint="eastAsia" w:ascii="宋体" w:hAnsi="宋体" w:cs="宋体"/>
                <w:sz w:val="24"/>
                <w:szCs w:val="24"/>
                <w:bdr w:val="single" w:color="auto" w:sz="6" w:space="0"/>
              </w:rPr>
              <w:t>。</w:t>
            </w:r>
          </w:p>
          <w:p>
            <w:pPr>
              <w:pStyle w:val="10"/>
              <w:ind w:left="420" w:firstLine="0" w:firstLineChars="0"/>
              <w:jc w:val="center"/>
              <w:rPr>
                <w:rFonts w:ascii="宋体" w:cs="Times New Roman"/>
                <w:b/>
                <w:bCs/>
                <w:bdr w:val="single" w:color="auto" w:sz="6" w:space="0"/>
              </w:rPr>
            </w:pPr>
            <w:r>
              <w:rPr>
                <w:rFonts w:hint="eastAsia" w:ascii="宋体" w:hAnsi="宋体" w:cs="宋体"/>
                <w:b/>
                <w:bCs/>
                <w:bdr w:val="single" w:color="auto" w:sz="6" w:space="0"/>
              </w:rPr>
              <w:t>表</w:t>
            </w:r>
            <w:r>
              <w:rPr>
                <w:rFonts w:ascii="宋体" w:hAnsi="宋体" w:cs="宋体"/>
                <w:b/>
                <w:bCs/>
                <w:bdr w:val="single" w:color="auto" w:sz="6" w:space="0"/>
              </w:rPr>
              <w:t>5.</w:t>
            </w:r>
            <w:r>
              <w:rPr>
                <w:rFonts w:hint="eastAsia" w:ascii="宋体" w:hAnsi="宋体" w:cs="宋体"/>
                <w:b/>
                <w:bCs/>
                <w:bdr w:val="single" w:color="auto" w:sz="6" w:space="0"/>
              </w:rPr>
              <w:t>10</w:t>
            </w:r>
            <w:r>
              <w:rPr>
                <w:rFonts w:ascii="宋体" w:hAnsi="宋体" w:cs="宋体"/>
                <w:b/>
                <w:bCs/>
                <w:bdr w:val="single" w:color="auto" w:sz="6" w:space="0"/>
              </w:rPr>
              <w:t xml:space="preserve">.4 </w:t>
            </w:r>
            <w:r>
              <w:rPr>
                <w:rFonts w:hint="eastAsia" w:ascii="宋体" w:hAnsi="宋体" w:cs="宋体"/>
                <w:b/>
                <w:bCs/>
                <w:bdr w:val="single" w:color="auto" w:sz="6" w:space="0"/>
              </w:rPr>
              <w:t>档案借出表数据</w:t>
            </w:r>
          </w:p>
          <w:p>
            <w:pPr>
              <w:pStyle w:val="10"/>
              <w:ind w:left="0" w:leftChars="0" w:firstLine="0" w:firstLineChars="0"/>
              <w:jc w:val="both"/>
            </w:pPr>
            <w:r>
              <w:drawing>
                <wp:inline distT="0" distB="0" distL="114300" distR="114300">
                  <wp:extent cx="2552700" cy="2521585"/>
                  <wp:effectExtent l="0" t="0" r="0" b="12065"/>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40"/>
                          <a:stretch>
                            <a:fillRect/>
                          </a:stretch>
                        </pic:blipFill>
                        <pic:spPr>
                          <a:xfrm>
                            <a:off x="0" y="0"/>
                            <a:ext cx="2552700" cy="252158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eastAsia="zh-CN"/>
              </w:rPr>
            </w:pPr>
            <w:r>
              <w:rPr>
                <w:rFonts w:hint="eastAsia" w:eastAsiaTheme="minorEastAsia"/>
                <w:b/>
                <w:bCs/>
                <w:color w:val="auto"/>
                <w:spacing w:val="30"/>
                <w:kern w:val="36"/>
                <w:sz w:val="24"/>
                <w:szCs w:val="24"/>
                <w:lang w:val="en-US" w:eastAsia="zh-CN"/>
              </w:rPr>
              <w:t>6数据质量</w:t>
            </w:r>
          </w:p>
        </w:tc>
        <w:tc>
          <w:tcPr>
            <w:tcW w:w="4076"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rPr>
            </w:pPr>
            <w:r>
              <w:rPr>
                <w:rFonts w:hint="eastAsia" w:eastAsiaTheme="minorEastAsia"/>
                <w:b/>
                <w:bCs/>
                <w:color w:val="auto"/>
                <w:spacing w:val="30"/>
                <w:kern w:val="36"/>
                <w:sz w:val="24"/>
                <w:szCs w:val="24"/>
                <w:lang w:val="en-US" w:eastAsia="zh-CN"/>
              </w:rPr>
              <w:t>6数据质量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eastAsia" w:eastAsiaTheme="minorEastAsia"/>
                <w:b/>
                <w:bCs/>
                <w:color w:val="auto"/>
                <w:spacing w:val="30"/>
                <w:kern w:val="36"/>
                <w:sz w:val="24"/>
                <w:szCs w:val="24"/>
                <w:lang w:val="en-US" w:eastAsia="zh-CN"/>
              </w:rPr>
            </w:pPr>
            <w:r>
              <w:rPr>
                <w:rFonts w:hint="eastAsia" w:asciiTheme="minorEastAsia" w:hAnsiTheme="minorEastAsia" w:eastAsiaTheme="minorEastAsia"/>
                <w:b/>
                <w:bCs/>
                <w:color w:val="auto"/>
                <w:sz w:val="24"/>
                <w:szCs w:val="24"/>
                <w:u w:val="none"/>
                <w:lang w:val="en-US" w:eastAsia="zh-CN"/>
              </w:rPr>
              <w:t>6</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2房屋数据</w:t>
            </w:r>
          </w:p>
        </w:tc>
        <w:tc>
          <w:tcPr>
            <w:tcW w:w="4076" w:type="dxa"/>
            <w:vAlign w:val="center"/>
          </w:tcPr>
          <w:p>
            <w:pPr>
              <w:widowControl/>
              <w:shd w:val="clear" w:color="auto" w:fill="FFFFFF"/>
              <w:spacing w:before="300" w:after="150"/>
              <w:ind w:firstLine="0"/>
              <w:jc w:val="center"/>
              <w:outlineLvl w:val="0"/>
              <w:rPr>
                <w:rFonts w:hint="eastAsia" w:eastAsiaTheme="minorEastAsia"/>
                <w:b/>
                <w:bCs/>
                <w:color w:val="auto"/>
                <w:spacing w:val="30"/>
                <w:kern w:val="36"/>
                <w:sz w:val="24"/>
                <w:szCs w:val="24"/>
                <w:lang w:val="en-US" w:eastAsia="zh-CN"/>
              </w:rPr>
            </w:pPr>
            <w:r>
              <w:rPr>
                <w:rFonts w:hint="eastAsia" w:asciiTheme="minorEastAsia" w:hAnsiTheme="minorEastAsia" w:eastAsiaTheme="minorEastAsia"/>
                <w:b/>
                <w:bCs/>
                <w:color w:val="auto"/>
                <w:sz w:val="24"/>
                <w:szCs w:val="24"/>
                <w:u w:val="none"/>
                <w:lang w:val="en-US" w:eastAsia="zh-CN"/>
              </w:rPr>
              <w:t>6</w:t>
            </w:r>
            <w:r>
              <w:rPr>
                <w:rFonts w:hint="eastAsia" w:asciiTheme="minorEastAsia" w:hAnsiTheme="minorEastAsia" w:eastAsiaTheme="minorEastAsia"/>
                <w:b/>
                <w:bCs/>
                <w:color w:val="auto"/>
                <w:sz w:val="24"/>
                <w:szCs w:val="24"/>
                <w:u w:val="none"/>
              </w:rPr>
              <w:t>.</w:t>
            </w:r>
            <w:r>
              <w:rPr>
                <w:rFonts w:hint="eastAsia" w:asciiTheme="minorEastAsia" w:hAnsiTheme="minorEastAsia" w:eastAsiaTheme="minorEastAsia"/>
                <w:b/>
                <w:bCs/>
                <w:color w:val="auto"/>
                <w:sz w:val="24"/>
                <w:szCs w:val="24"/>
                <w:u w:val="none"/>
                <w:lang w:val="en-US" w:eastAsia="zh-CN"/>
              </w:rPr>
              <w:t>2房屋数据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pStyle w:val="10"/>
              <w:spacing w:line="360" w:lineRule="auto"/>
              <w:ind w:firstLine="0" w:firstLineChars="0"/>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6.2.1</w:t>
            </w:r>
            <w:r>
              <w:rPr>
                <w:rFonts w:hint="eastAsia" w:ascii="宋体" w:hAnsi="宋体" w:eastAsia="宋体" w:cs="宋体"/>
                <w:bCs/>
                <w:sz w:val="24"/>
                <w:szCs w:val="24"/>
              </w:rPr>
              <w:t>房屋数据中</w:t>
            </w:r>
            <w:r>
              <w:rPr>
                <w:rFonts w:hint="eastAsia" w:ascii="宋体" w:hAnsi="宋体" w:eastAsia="宋体" w:cs="宋体"/>
                <w:sz w:val="24"/>
                <w:szCs w:val="24"/>
              </w:rPr>
              <w:t>物业区域、</w:t>
            </w:r>
            <w:r>
              <w:rPr>
                <w:rFonts w:hint="eastAsia" w:ascii="宋体" w:hAnsi="宋体" w:eastAsia="宋体" w:cs="宋体"/>
                <w:sz w:val="24"/>
                <w:szCs w:val="24"/>
                <w:lang w:val="en-US" w:eastAsia="zh-CN"/>
              </w:rPr>
              <w:t>楼</w:t>
            </w:r>
            <w:r>
              <w:rPr>
                <w:rFonts w:hint="eastAsia" w:ascii="宋体" w:hAnsi="宋体" w:eastAsia="宋体" w:cs="宋体"/>
                <w:sz w:val="24"/>
                <w:szCs w:val="24"/>
              </w:rPr>
              <w:t>幢、分户数据应从所在城市的房屋测绘或权属登记管理数据中获取并即时同步更新； 业主数据应从所在城市的权属登记管理数据中获取并即时同步更新；楼盘相关规划设计、证明证书等文件宜采用拍照或扫描等数字化、图像化存储于文件数据中，并应与具体楼盘物理数据关联。</w:t>
            </w:r>
          </w:p>
        </w:tc>
        <w:tc>
          <w:tcPr>
            <w:tcW w:w="4076" w:type="dxa"/>
            <w:vAlign w:val="center"/>
          </w:tcPr>
          <w:p>
            <w:pPr>
              <w:pStyle w:val="10"/>
              <w:spacing w:line="360" w:lineRule="auto"/>
              <w:ind w:firstLine="0" w:firstLineChars="0"/>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6.2.1</w:t>
            </w:r>
            <w:r>
              <w:rPr>
                <w:rFonts w:hint="eastAsia" w:ascii="宋体" w:hAnsi="宋体" w:eastAsia="宋体" w:cs="宋体"/>
                <w:bCs/>
                <w:sz w:val="24"/>
                <w:szCs w:val="24"/>
              </w:rPr>
              <w:t>房屋数据中</w:t>
            </w:r>
            <w:r>
              <w:rPr>
                <w:rFonts w:hint="eastAsia" w:ascii="宋体" w:hAnsi="宋体" w:eastAsia="宋体" w:cs="宋体"/>
                <w:sz w:val="24"/>
                <w:szCs w:val="24"/>
              </w:rPr>
              <w:t>物业区域、</w:t>
            </w:r>
            <w:r>
              <w:rPr>
                <w:rFonts w:hint="eastAsia" w:ascii="宋体" w:hAnsi="宋体" w:cs="宋体"/>
                <w:sz w:val="24"/>
                <w:szCs w:val="24"/>
                <w:bdr w:val="single" w:color="auto" w:sz="4" w:space="0"/>
                <w:lang w:val="en-US" w:eastAsia="zh-CN"/>
              </w:rPr>
              <w:t>楼</w:t>
            </w:r>
            <w:r>
              <w:rPr>
                <w:rFonts w:hint="eastAsia" w:ascii="宋体" w:hAnsi="宋体" w:eastAsia="宋体" w:cs="宋体"/>
                <w:sz w:val="24"/>
                <w:szCs w:val="24"/>
              </w:rPr>
              <w:t>幢、分户数据应从所在城市的房屋测绘或权属登记管理数据中获取并即时同步更新； 业主数据应从所在城市的权属登记管理数据中获取并即时同步更新；楼盘相关规划设计、证明证书等文件宜采用拍照或扫描等数字化、图像化存储于文件数据中，并应与具体楼盘物理数据关联。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eastAsia" w:eastAsiaTheme="minorEastAsia"/>
                <w:b/>
                <w:bCs/>
                <w:color w:val="auto"/>
                <w:spacing w:val="30"/>
                <w:kern w:val="36"/>
                <w:sz w:val="24"/>
                <w:szCs w:val="24"/>
                <w:lang w:val="en-US" w:eastAsia="zh-CN"/>
              </w:rPr>
            </w:pPr>
            <w:r>
              <w:rPr>
                <w:rFonts w:hint="eastAsia" w:ascii="宋体" w:hAnsi="宋体" w:eastAsia="宋体" w:cs="宋体"/>
                <w:b/>
                <w:bCs/>
                <w:sz w:val="24"/>
              </w:rPr>
              <w:t>6.3共用部位及共用设施设备数据</w:t>
            </w:r>
          </w:p>
        </w:tc>
        <w:tc>
          <w:tcPr>
            <w:tcW w:w="4076" w:type="dxa"/>
            <w:vAlign w:val="center"/>
          </w:tcPr>
          <w:p>
            <w:pPr>
              <w:pStyle w:val="2"/>
              <w:rPr>
                <w:rFonts w:hint="eastAsia" w:eastAsiaTheme="minorEastAsia"/>
                <w:b/>
                <w:bCs/>
                <w:color w:val="auto"/>
                <w:spacing w:val="30"/>
                <w:kern w:val="36"/>
                <w:sz w:val="24"/>
                <w:szCs w:val="24"/>
                <w:lang w:val="en-US" w:eastAsia="zh-CN"/>
              </w:rPr>
            </w:pPr>
            <w:bookmarkStart w:id="0" w:name="_Toc404342387"/>
            <w:bookmarkStart w:id="1" w:name="_Toc395542383"/>
            <w:r>
              <w:rPr>
                <w:rFonts w:hint="eastAsia" w:ascii="宋体" w:hAnsi="宋体" w:eastAsia="宋体" w:cs="宋体"/>
                <w:sz w:val="24"/>
              </w:rPr>
              <w:t>6.3</w:t>
            </w:r>
            <w:r>
              <w:rPr>
                <w:rFonts w:hint="eastAsia"/>
                <w:color w:val="000000"/>
                <w:sz w:val="24"/>
                <w:szCs w:val="24"/>
                <w:bdr w:val="single" w:color="000000" w:sz="4" w:space="0"/>
              </w:rPr>
              <w:t>共用</w:t>
            </w:r>
            <w:r>
              <w:rPr>
                <w:rFonts w:hint="eastAsia"/>
                <w:color w:val="000000"/>
                <w:sz w:val="24"/>
                <w:szCs w:val="24"/>
                <w:u w:val="single"/>
                <w:lang w:val="en-US" w:eastAsia="zh-CN"/>
              </w:rPr>
              <w:t>共有</w:t>
            </w:r>
            <w:r>
              <w:rPr>
                <w:rFonts w:hint="eastAsia" w:ascii="宋体" w:hAnsi="宋体" w:eastAsia="宋体" w:cs="宋体"/>
                <w:sz w:val="24"/>
              </w:rPr>
              <w:t>部位及共用设施设备数据</w:t>
            </w:r>
            <w:bookmarkEnd w:id="0"/>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spacing w:line="360" w:lineRule="auto"/>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6.3.1</w:t>
            </w:r>
            <w:r>
              <w:rPr>
                <w:rFonts w:hint="eastAsia" w:ascii="宋体" w:hAnsi="宋体" w:eastAsia="宋体" w:cs="宋体"/>
                <w:sz w:val="24"/>
                <w:szCs w:val="24"/>
              </w:rPr>
              <w:t xml:space="preserve"> 共用部位及共用设施设备数据来源应从各个物业区域的物业管理数据中获取并即时同步更新。</w:t>
            </w:r>
          </w:p>
        </w:tc>
        <w:tc>
          <w:tcPr>
            <w:tcW w:w="4076" w:type="dxa"/>
            <w:vAlign w:val="center"/>
          </w:tcPr>
          <w:p>
            <w:pPr>
              <w:spacing w:line="360" w:lineRule="auto"/>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6.3.1</w:t>
            </w:r>
            <w:r>
              <w:rPr>
                <w:rFonts w:hint="eastAsia" w:ascii="宋体" w:hAnsi="宋体" w:eastAsia="宋体" w:cs="宋体"/>
                <w:sz w:val="24"/>
                <w:szCs w:val="24"/>
              </w:rPr>
              <w:t xml:space="preserve"> </w:t>
            </w:r>
            <w:r>
              <w:rPr>
                <w:rFonts w:hint="eastAsia"/>
                <w:color w:val="000000"/>
                <w:sz w:val="24"/>
                <w:szCs w:val="24"/>
                <w:bdr w:val="single" w:color="000000" w:sz="4" w:space="0"/>
              </w:rPr>
              <w:t>共用</w:t>
            </w:r>
            <w:r>
              <w:rPr>
                <w:rFonts w:hint="eastAsia"/>
                <w:color w:val="000000"/>
                <w:sz w:val="24"/>
                <w:szCs w:val="24"/>
                <w:u w:val="single"/>
                <w:lang w:val="en-US" w:eastAsia="zh-CN"/>
              </w:rPr>
              <w:t>共有</w:t>
            </w:r>
            <w:r>
              <w:rPr>
                <w:rFonts w:hint="eastAsia" w:ascii="宋体" w:hAnsi="宋体" w:eastAsia="宋体" w:cs="宋体"/>
                <w:sz w:val="24"/>
                <w:szCs w:val="24"/>
              </w:rPr>
              <w:t>部位及共用设施设备数据来源应从各个物业区域的物业管理数据中获取并即时同步更新。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pStyle w:val="10"/>
              <w:spacing w:line="360" w:lineRule="auto"/>
              <w:ind w:firstLine="0" w:firstLineChars="0"/>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6.3.2</w:t>
            </w:r>
            <w:r>
              <w:rPr>
                <w:rFonts w:hint="eastAsia" w:ascii="宋体" w:hAnsi="宋体" w:eastAsia="宋体" w:cs="宋体"/>
                <w:sz w:val="24"/>
                <w:szCs w:val="24"/>
              </w:rPr>
              <w:t xml:space="preserve"> 共用部位及共用设施设备数据应满足对所有共用部位及共用设施设备进行完整采集；应满足对共用部位及共用设施设备的保修期限进行完整记录。</w:t>
            </w:r>
          </w:p>
        </w:tc>
        <w:tc>
          <w:tcPr>
            <w:tcW w:w="4076" w:type="dxa"/>
            <w:vAlign w:val="center"/>
          </w:tcPr>
          <w:p>
            <w:pPr>
              <w:pStyle w:val="10"/>
              <w:spacing w:line="360" w:lineRule="auto"/>
              <w:ind w:firstLine="0" w:firstLineChars="0"/>
              <w:rPr>
                <w:rFonts w:hint="eastAsia" w:eastAsiaTheme="minorEastAsia"/>
                <w:b/>
                <w:bCs/>
                <w:color w:val="auto"/>
                <w:spacing w:val="30"/>
                <w:kern w:val="36"/>
                <w:sz w:val="24"/>
                <w:szCs w:val="24"/>
                <w:lang w:val="en-US" w:eastAsia="zh-CN"/>
              </w:rPr>
            </w:pPr>
            <w:r>
              <w:rPr>
                <w:rFonts w:hint="eastAsia" w:ascii="宋体" w:hAnsi="宋体" w:eastAsia="宋体" w:cs="宋体"/>
                <w:b/>
                <w:bCs/>
                <w:sz w:val="24"/>
                <w:szCs w:val="24"/>
              </w:rPr>
              <w:t>6.3.2</w:t>
            </w:r>
            <w:r>
              <w:rPr>
                <w:rFonts w:hint="eastAsia" w:ascii="宋体" w:hAnsi="宋体" w:eastAsia="宋体" w:cs="宋体"/>
                <w:sz w:val="24"/>
                <w:szCs w:val="24"/>
              </w:rPr>
              <w:t xml:space="preserve"> </w:t>
            </w:r>
            <w:r>
              <w:rPr>
                <w:rFonts w:hint="eastAsia"/>
                <w:color w:val="000000"/>
                <w:sz w:val="24"/>
                <w:szCs w:val="24"/>
                <w:bdr w:val="single" w:color="000000" w:sz="4" w:space="0"/>
              </w:rPr>
              <w:t>共用</w:t>
            </w:r>
            <w:r>
              <w:rPr>
                <w:rFonts w:hint="eastAsia"/>
                <w:color w:val="000000"/>
                <w:sz w:val="24"/>
                <w:szCs w:val="24"/>
                <w:u w:val="single"/>
                <w:lang w:val="en-US" w:eastAsia="zh-CN"/>
              </w:rPr>
              <w:t>共有</w:t>
            </w:r>
            <w:r>
              <w:rPr>
                <w:rFonts w:hint="eastAsia" w:ascii="宋体" w:hAnsi="宋体" w:eastAsia="宋体" w:cs="宋体"/>
                <w:sz w:val="24"/>
                <w:szCs w:val="24"/>
              </w:rPr>
              <w:t>部位及共用设施设备数据应满足对所有</w:t>
            </w:r>
            <w:r>
              <w:rPr>
                <w:rFonts w:hint="eastAsia"/>
                <w:color w:val="000000"/>
                <w:sz w:val="24"/>
                <w:szCs w:val="24"/>
                <w:bdr w:val="single" w:color="000000" w:sz="4" w:space="0"/>
              </w:rPr>
              <w:t>共用</w:t>
            </w:r>
            <w:r>
              <w:rPr>
                <w:rFonts w:hint="eastAsia"/>
                <w:color w:val="000000"/>
                <w:sz w:val="24"/>
                <w:szCs w:val="24"/>
                <w:u w:val="single"/>
                <w:lang w:val="en-US" w:eastAsia="zh-CN"/>
              </w:rPr>
              <w:t>共有</w:t>
            </w:r>
            <w:r>
              <w:rPr>
                <w:rFonts w:hint="eastAsia" w:ascii="宋体" w:hAnsi="宋体" w:eastAsia="宋体" w:cs="宋体"/>
                <w:sz w:val="24"/>
                <w:szCs w:val="24"/>
              </w:rPr>
              <w:t>部位及共用设施设备进行完整采集；应满足对</w:t>
            </w:r>
            <w:r>
              <w:rPr>
                <w:rFonts w:hint="eastAsia"/>
                <w:color w:val="000000"/>
                <w:sz w:val="24"/>
                <w:szCs w:val="24"/>
                <w:bdr w:val="single" w:color="000000" w:sz="4" w:space="0"/>
              </w:rPr>
              <w:t>共用</w:t>
            </w:r>
            <w:r>
              <w:rPr>
                <w:rFonts w:hint="eastAsia"/>
                <w:color w:val="000000"/>
                <w:sz w:val="24"/>
                <w:szCs w:val="24"/>
                <w:u w:val="single"/>
                <w:lang w:val="en-US" w:eastAsia="zh-CN"/>
              </w:rPr>
              <w:t>共有</w:t>
            </w:r>
            <w:r>
              <w:rPr>
                <w:rFonts w:hint="eastAsia" w:ascii="宋体" w:hAnsi="宋体" w:eastAsia="宋体" w:cs="宋体"/>
                <w:sz w:val="24"/>
                <w:szCs w:val="24"/>
              </w:rPr>
              <w:t>部位及共用设施设备的保修期限进行完整记录。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4238"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eastAsia="zh-CN"/>
              </w:rPr>
            </w:pPr>
            <w:r>
              <w:rPr>
                <w:rFonts w:hint="default" w:eastAsiaTheme="minorEastAsia"/>
                <w:b/>
                <w:bCs/>
                <w:color w:val="auto"/>
                <w:spacing w:val="30"/>
                <w:kern w:val="36"/>
                <w:sz w:val="24"/>
                <w:szCs w:val="24"/>
                <w:lang w:val="en-US" w:eastAsia="zh-CN"/>
              </w:rPr>
              <w:t>附录A 主要属性值代码</w:t>
            </w:r>
          </w:p>
        </w:tc>
        <w:tc>
          <w:tcPr>
            <w:tcW w:w="4076" w:type="dxa"/>
            <w:vAlign w:val="center"/>
          </w:tcPr>
          <w:p>
            <w:pPr>
              <w:widowControl/>
              <w:shd w:val="clear" w:color="auto" w:fill="FFFFFF"/>
              <w:spacing w:before="300" w:after="150"/>
              <w:ind w:firstLine="0"/>
              <w:jc w:val="center"/>
              <w:outlineLvl w:val="0"/>
              <w:rPr>
                <w:rFonts w:hint="default" w:eastAsiaTheme="minorEastAsia"/>
                <w:b/>
                <w:bCs/>
                <w:color w:val="FF0000"/>
                <w:spacing w:val="30"/>
                <w:kern w:val="36"/>
                <w:sz w:val="24"/>
                <w:szCs w:val="24"/>
                <w:lang w:val="en-US"/>
              </w:rPr>
            </w:pPr>
            <w:r>
              <w:rPr>
                <w:rFonts w:hint="default" w:eastAsiaTheme="minorEastAsia"/>
                <w:b/>
                <w:bCs/>
                <w:color w:val="auto"/>
                <w:spacing w:val="30"/>
                <w:kern w:val="36"/>
                <w:sz w:val="24"/>
                <w:szCs w:val="24"/>
                <w:lang w:val="en-US" w:eastAsia="zh-CN"/>
              </w:rPr>
              <w:t>附录A 主要属性值代码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4238" w:type="dxa"/>
            <w:vAlign w:val="center"/>
          </w:tcPr>
          <w:p>
            <w:pPr>
              <w:spacing w:line="360" w:lineRule="auto"/>
              <w:rPr>
                <w:rFonts w:hint="default" w:eastAsiaTheme="minorEastAsia"/>
                <w:b/>
                <w:bCs/>
                <w:color w:val="FF0000"/>
                <w:spacing w:val="30"/>
                <w:kern w:val="36"/>
                <w:sz w:val="24"/>
                <w:szCs w:val="24"/>
                <w:lang w:val="en-US"/>
              </w:rPr>
            </w:pPr>
          </w:p>
        </w:tc>
        <w:tc>
          <w:tcPr>
            <w:tcW w:w="4076" w:type="dxa"/>
          </w:tcPr>
          <w:p>
            <w:pPr>
              <w:spacing w:line="360" w:lineRule="auto"/>
              <w:ind w:left="0" w:leftChars="0" w:firstLine="0" w:firstLineChars="0"/>
              <w:rPr>
                <w:rFonts w:ascii="宋体" w:cs="宋体"/>
                <w:sz w:val="24"/>
                <w:szCs w:val="24"/>
                <w:u w:val="single"/>
              </w:rPr>
            </w:pPr>
            <w:r>
              <w:rPr>
                <w:rFonts w:ascii="宋体" w:hAnsi="宋体" w:cs="宋体"/>
                <w:b/>
                <w:sz w:val="24"/>
                <w:szCs w:val="24"/>
                <w:u w:val="single"/>
              </w:rPr>
              <w:t>A.0.</w:t>
            </w:r>
            <w:r>
              <w:rPr>
                <w:rFonts w:hint="eastAsia" w:ascii="宋体" w:hAnsi="宋体" w:cs="宋体"/>
                <w:b/>
                <w:sz w:val="24"/>
                <w:szCs w:val="24"/>
                <w:u w:val="single"/>
                <w:lang w:val="en-US" w:eastAsia="zh-CN"/>
              </w:rPr>
              <w:t>10</w:t>
            </w:r>
            <w:r>
              <w:rPr>
                <w:rFonts w:hint="eastAsia" w:ascii="宋体" w:hAnsi="宋体" w:cs="宋体"/>
                <w:sz w:val="24"/>
                <w:szCs w:val="24"/>
                <w:u w:val="single"/>
              </w:rPr>
              <w:t>交款类型代码应符合表</w:t>
            </w:r>
            <w:r>
              <w:rPr>
                <w:rFonts w:ascii="宋体" w:hAnsi="宋体" w:cs="宋体"/>
                <w:sz w:val="24"/>
                <w:szCs w:val="24"/>
                <w:u w:val="single"/>
              </w:rPr>
              <w:t>A.0.</w:t>
            </w:r>
            <w:r>
              <w:rPr>
                <w:rFonts w:hint="eastAsia" w:ascii="宋体" w:hAnsi="宋体" w:cs="宋体"/>
                <w:sz w:val="24"/>
                <w:szCs w:val="24"/>
                <w:u w:val="single"/>
                <w:lang w:val="en-US" w:eastAsia="zh-CN"/>
              </w:rPr>
              <w:t>10</w:t>
            </w:r>
            <w:r>
              <w:rPr>
                <w:rFonts w:hint="eastAsia" w:ascii="宋体" w:hAnsi="宋体" w:cs="宋体"/>
                <w:sz w:val="24"/>
                <w:szCs w:val="24"/>
                <w:u w:val="single"/>
              </w:rPr>
              <w:t>的</w:t>
            </w:r>
            <w:r>
              <w:rPr>
                <w:rFonts w:ascii="宋体" w:hAnsi="宋体" w:cs="宋体"/>
                <w:sz w:val="24"/>
                <w:szCs w:val="24"/>
                <w:u w:val="single"/>
              </w:rPr>
              <w:t>规定</w:t>
            </w:r>
            <w:r>
              <w:rPr>
                <w:rFonts w:hint="eastAsia" w:ascii="宋体" w:hAnsi="宋体" w:cs="宋体"/>
                <w:sz w:val="24"/>
                <w:szCs w:val="24"/>
                <w:u w:val="single"/>
              </w:rPr>
              <w:t>。</w:t>
            </w:r>
          </w:p>
          <w:p>
            <w:pPr>
              <w:jc w:val="center"/>
              <w:rPr>
                <w:rFonts w:ascii="宋体" w:cs="Times New Roman"/>
                <w:b/>
                <w:bCs/>
                <w:u w:val="single"/>
              </w:rPr>
            </w:pPr>
            <w:r>
              <w:rPr>
                <w:rFonts w:hint="eastAsia" w:ascii="宋体" w:hAnsi="宋体" w:cs="宋体"/>
                <w:b/>
                <w:bCs/>
                <w:u w:val="single"/>
              </w:rPr>
              <w:t>表</w:t>
            </w:r>
            <w:r>
              <w:rPr>
                <w:rFonts w:ascii="宋体" w:hAnsi="宋体" w:cs="宋体"/>
                <w:b/>
                <w:bCs/>
                <w:u w:val="single"/>
              </w:rPr>
              <w:t>A.0.</w:t>
            </w:r>
            <w:r>
              <w:rPr>
                <w:rFonts w:hint="eastAsia" w:ascii="宋体" w:hAnsi="宋体" w:cs="宋体"/>
                <w:b/>
                <w:bCs/>
                <w:u w:val="single"/>
                <w:lang w:val="en-US" w:eastAsia="zh-CN"/>
              </w:rPr>
              <w:t>10</w:t>
            </w:r>
            <w:r>
              <w:rPr>
                <w:rFonts w:ascii="宋体" w:hAnsi="宋体" w:cs="宋体"/>
                <w:b/>
                <w:bCs/>
                <w:u w:val="single"/>
              </w:rPr>
              <w:t xml:space="preserve">  </w:t>
            </w:r>
            <w:r>
              <w:rPr>
                <w:rFonts w:hint="eastAsia" w:ascii="宋体" w:hAnsi="宋体" w:cs="宋体"/>
                <w:b/>
                <w:bCs/>
                <w:u w:val="single"/>
              </w:rPr>
              <w:t>交款类型代码</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default" w:asciiTheme="minorEastAsia" w:hAnsiTheme="minorEastAsia" w:eastAsiaTheme="minorEastAsia"/>
                      <w:color w:val="auto"/>
                      <w:sz w:val="21"/>
                      <w:szCs w:val="21"/>
                      <w:u w:val="single"/>
                      <w:vertAlign w:val="baseline"/>
                      <w:lang w:val="en-US"/>
                    </w:rPr>
                    <w:t>代码</w:t>
                  </w:r>
                </w:p>
              </w:tc>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eastAsia" w:ascii="宋体" w:hAnsi="宋体" w:cs="宋体"/>
                      <w:u w:val="single"/>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ascii="宋体" w:hAnsi="宋体" w:cs="宋体"/>
                      <w:u w:val="single"/>
                    </w:rPr>
                    <w:t>1</w:t>
                  </w:r>
                </w:p>
              </w:tc>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eastAsia" w:ascii="宋体" w:cs="Times New Roman"/>
                      <w:u w:val="single"/>
                    </w:rPr>
                    <w:t>首次交存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tcPr>
                <w:p>
                  <w:pPr>
                    <w:spacing w:line="360" w:lineRule="auto"/>
                    <w:ind w:left="0" w:leftChars="0" w:firstLine="0" w:firstLineChars="0"/>
                    <w:jc w:val="center"/>
                    <w:rPr>
                      <w:rFonts w:hint="eastAsia" w:asciiTheme="minorEastAsia" w:hAnsiTheme="minorEastAsia" w:eastAsiaTheme="minorEastAsia"/>
                      <w:color w:val="FF0000"/>
                      <w:sz w:val="24"/>
                      <w:szCs w:val="24"/>
                      <w:u w:val="single"/>
                      <w:vertAlign w:val="baseline"/>
                      <w:lang w:val="en-US" w:eastAsia="zh-CN"/>
                    </w:rPr>
                  </w:pPr>
                  <w:r>
                    <w:rPr>
                      <w:rFonts w:ascii="宋体" w:hAnsi="宋体" w:cs="宋体"/>
                      <w:u w:val="single"/>
                    </w:rPr>
                    <w:t>2</w:t>
                  </w:r>
                </w:p>
              </w:tc>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eastAsia" w:ascii="宋体" w:cs="Times New Roman"/>
                      <w:u w:val="single"/>
                    </w:rPr>
                    <w:t>续筹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eastAsia" w:ascii="宋体" w:hAnsi="宋体" w:cs="宋体"/>
                      <w:u w:val="single"/>
                    </w:rPr>
                    <w:t>3</w:t>
                  </w:r>
                </w:p>
              </w:tc>
              <w:tc>
                <w:tcPr>
                  <w:tcW w:w="1930" w:type="dxa"/>
                </w:tcPr>
                <w:p>
                  <w:pPr>
                    <w:spacing w:line="360" w:lineRule="auto"/>
                    <w:ind w:left="0" w:leftChars="0" w:firstLine="0" w:firstLineChars="0"/>
                    <w:jc w:val="center"/>
                    <w:rPr>
                      <w:rFonts w:hint="default" w:asciiTheme="minorEastAsia" w:hAnsiTheme="minorEastAsia" w:eastAsiaTheme="minorEastAsia"/>
                      <w:color w:val="FF0000"/>
                      <w:sz w:val="24"/>
                      <w:szCs w:val="24"/>
                      <w:u w:val="single"/>
                      <w:vertAlign w:val="baseline"/>
                      <w:lang w:val="en-US"/>
                    </w:rPr>
                  </w:pPr>
                  <w:r>
                    <w:rPr>
                      <w:rFonts w:hint="eastAsia" w:ascii="宋体" w:cs="Times New Roman"/>
                      <w:u w:val="single"/>
                    </w:rPr>
                    <w:t>补建</w:t>
                  </w:r>
                </w:p>
              </w:tc>
            </w:tr>
          </w:tbl>
          <w:p>
            <w:pPr>
              <w:spacing w:line="360" w:lineRule="auto"/>
              <w:rPr>
                <w:rFonts w:hint="default" w:asciiTheme="minorEastAsia" w:hAnsiTheme="minorEastAsia" w:eastAsiaTheme="minorEastAsia"/>
                <w:color w:val="FF0000"/>
                <w:sz w:val="24"/>
                <w:szCs w:val="24"/>
                <w:u w:val="single"/>
                <w:lang w:val="en-US"/>
              </w:rPr>
            </w:pPr>
          </w:p>
        </w:tc>
      </w:tr>
    </w:tbl>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Dotum">
    <w:altName w:val="Malgun Gothic"/>
    <w:panose1 w:val="020B0600000101010101"/>
    <w:charset w:val="81"/>
    <w:family w:val="modern"/>
    <w:pitch w:val="default"/>
    <w:sig w:usb0="00000000" w:usb1="00000000" w:usb2="00000010" w:usb3="00000000" w:csb0="00080000" w:csb1="00000000"/>
  </w:font>
  <w:font w:name="楷体">
    <w:panose1 w:val="02010609060101010101"/>
    <w:charset w:val="86"/>
    <w:family w:val="modern"/>
    <w:pitch w:val="default"/>
    <w:sig w:usb0="800002BF" w:usb1="38CF7CFA" w:usb2="00000016" w:usb3="00000000" w:csb0="00040001" w:csb1="00000000"/>
  </w:font>
  <w:font w:name="Damascus">
    <w:altName w:val="Courier New"/>
    <w:panose1 w:val="00000400000000000000"/>
    <w:charset w:val="B2"/>
    <w:family w:val="auto"/>
    <w:pitch w:val="default"/>
    <w:sig w:usb0="00000000" w:usb1="00000000" w:usb2="00000080" w:usb3="00000000" w:csb0="0000004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02F" w:usb1="29D77CFB" w:usb2="00000012" w:usb3="00000000" w:csb0="00080001" w:csb1="00000000"/>
  </w:font>
  <w:font w:name="PingFang SC">
    <w:altName w:val="Microsoft JhengHei UI Light"/>
    <w:panose1 w:val="020B0400000000000000"/>
    <w:charset w:val="88"/>
    <w:family w:val="auto"/>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Microsoft JhengHei UI Light">
    <w:panose1 w:val="020B0304030504040204"/>
    <w:charset w:val="88"/>
    <w:family w:val="auto"/>
    <w:pitch w:val="default"/>
    <w:sig w:usb0="8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2024088C"/>
    <w:rsid w:val="0B0C476F"/>
    <w:rsid w:val="0C9B066A"/>
    <w:rsid w:val="1DDA2C01"/>
    <w:rsid w:val="2024088C"/>
    <w:rsid w:val="2802072F"/>
    <w:rsid w:val="34000F51"/>
    <w:rsid w:val="34E645EB"/>
    <w:rsid w:val="3BDC34F9"/>
    <w:rsid w:val="3E5A1BA6"/>
    <w:rsid w:val="43E443EC"/>
    <w:rsid w:val="49201411"/>
    <w:rsid w:val="526A228F"/>
    <w:rsid w:val="59E36A9C"/>
    <w:rsid w:val="64724FC8"/>
    <w:rsid w:val="6756048F"/>
    <w:rsid w:val="67866DC3"/>
    <w:rsid w:val="6DAE20EC"/>
    <w:rsid w:val="6EBE0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qFormat/>
    <w:uiPriority w:val="0"/>
    <w:pPr>
      <w:keepNext/>
      <w:keepLines/>
      <w:spacing w:before="260" w:after="260"/>
      <w:jc w:val="center"/>
      <w:outlineLvl w:val="1"/>
    </w:pPr>
    <w:rPr>
      <w:rFonts w:ascii="PingFang SC" w:hAnsi="PingFang SC" w:cs="PingFang SC"/>
      <w:b/>
      <w:bCs/>
      <w:kern w:val="0"/>
      <w:sz w:val="32"/>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spacing w:line="240" w:lineRule="atLeast"/>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3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customStyle="1" w:styleId="9">
    <w:name w:val="章"/>
    <w:basedOn w:val="1"/>
    <w:qFormat/>
    <w:uiPriority w:val="99"/>
    <w:pPr>
      <w:spacing w:beforeLines="100" w:afterLines="100" w:line="300" w:lineRule="auto"/>
      <w:jc w:val="center"/>
      <w:outlineLvl w:val="0"/>
    </w:pPr>
    <w:rPr>
      <w:rFonts w:ascii="Times New Roman" w:hAnsi="Times New Roman" w:cs="Times New Roman"/>
      <w:b/>
      <w:bCs/>
      <w:sz w:val="28"/>
      <w:szCs w:val="28"/>
    </w:rPr>
  </w:style>
  <w:style w:type="paragraph" w:customStyle="1" w:styleId="10">
    <w:name w:val="List Paragraph1"/>
    <w:basedOn w:val="1"/>
    <w:qFormat/>
    <w:uiPriority w:val="0"/>
    <w:pPr>
      <w:ind w:firstLine="420" w:firstLineChars="200"/>
    </w:pPr>
  </w:style>
  <w:style w:type="paragraph" w:customStyle="1" w:styleId="11">
    <w:name w:val="正文2"/>
    <w:basedOn w:val="1"/>
    <w:uiPriority w:val="0"/>
    <w:pPr>
      <w:spacing w:line="360" w:lineRule="auto"/>
      <w:ind w:left="420" w:firstLine="420"/>
    </w:pPr>
    <w:rPr>
      <w:rFonts w:ascii="PingFang SC" w:hAnsi="PingFang SC" w:cs="PingFang SC"/>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2935</Words>
  <Characters>3995</Characters>
  <Lines>0</Lines>
  <Paragraphs>0</Paragraphs>
  <TotalTime>10</TotalTime>
  <ScaleCrop>false</ScaleCrop>
  <LinksUpToDate>false</LinksUpToDate>
  <CharactersWithSpaces>4224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2023-03-14T01:58:00Z</dcterms:created>
  <dc:creator>admin</dc:creator>
  <cp:lastModifiedBy>Jamin</cp:lastModifiedBy>
  <dcterms:modified xsi:type="dcterms:W3CDTF">2023-08-22T06:16:15Z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FCD25DF19EE14208A2F461BF5116288E</vt:lpwstr>
  </property>
</Properties>
</file>