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after="0" w:line="240" w:lineRule="auto"/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firstLine="88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2023年住房城乡建设优秀科普作品名单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777"/>
        <w:gridCol w:w="4707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4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作品名称</w:t>
            </w:r>
          </w:p>
        </w:tc>
        <w:tc>
          <w:tcPr>
            <w:tcW w:w="47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主要</w:t>
            </w:r>
            <w:r>
              <w:rPr>
                <w:rFonts w:hint="eastAsia" w:ascii="黑体" w:hAnsi="黑体" w:eastAsia="黑体" w:cs="黑体"/>
              </w:rPr>
              <w:t>作者</w:t>
            </w: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</w:rPr>
              <w:t>单位</w:t>
            </w:r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</w:p>
        </w:tc>
        <w:tc>
          <w:tcPr>
            <w:tcW w:w="37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一小时读懂绿色建筑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中国建筑科学研究院有限公司 组编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王清勤 主编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中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国建筑科学研究院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梁思成与林徽因：我的父亲母亲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梁再冰 口述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于葵 执笔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庞凌波 潘奕 整理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中国建筑出版传媒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饮水知源——饮用水的“黑科技”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林明利 王海波 黎雷 等 著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中国城市规划设计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小水滴奇遇记 初探海绵城市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李海燕 史冬青 编著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打造美好的家——住宅装饰装修必知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江苏省装饰装修发展中心 主编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江苏省住房和城乡建设厅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垃圾分类 你我同行（市民版）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《垃圾分类教育丛书》编委会 编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浙江省住房和城乡建设厅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儿童友好城市的中国实践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刘磊 雷越昌 任泳东 司马晓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吴晓莉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深圳市城市规划设计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研究院有限公司 编著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中国建筑出版传媒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8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国内外城市社区居家适老化改造典型案例集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清华大学 周燕珉 王春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彧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秦岭 编著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中国建筑出版传媒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9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北京冬奥·2022·中国实践：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规划与设计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张利 李兴钢 邵韦平 编著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10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完整居住社区建设指南与实践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中国城市规划设计研究院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王凯 刘晓丽 陈振羽 魏维 编著</w:t>
            </w:r>
          </w:p>
        </w:tc>
        <w:tc>
          <w:tcPr>
            <w:tcW w:w="3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中国城市规划设计研究院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AB989D-3205-46EF-942F-0585FA777C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EEEB68-81C3-442A-9A5C-B4835FD91A7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D64E1FC-99DF-405F-B373-93F56020A43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8AEDF4F6-729E-458F-A0D6-91436719AA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6F5BD60-64FE-4030-B62B-40A8D40C88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JkZjk3NzE0NDIwMTJjMDQ0OTgzODk0N2YxOTIifQ=="/>
  </w:docVars>
  <w:rsids>
    <w:rsidRoot w:val="00C331BB"/>
    <w:rsid w:val="0027441B"/>
    <w:rsid w:val="007C0DDD"/>
    <w:rsid w:val="00C331BB"/>
    <w:rsid w:val="03FF55E5"/>
    <w:rsid w:val="099D5E37"/>
    <w:rsid w:val="1D0745F3"/>
    <w:rsid w:val="1EFD1C93"/>
    <w:rsid w:val="35FC2E0C"/>
    <w:rsid w:val="39FF77DB"/>
    <w:rsid w:val="57FF4946"/>
    <w:rsid w:val="5D680D5A"/>
    <w:rsid w:val="650D52D2"/>
    <w:rsid w:val="67F720E6"/>
    <w:rsid w:val="6A271C63"/>
    <w:rsid w:val="6FFE142C"/>
    <w:rsid w:val="77EBDCF5"/>
    <w:rsid w:val="BEFF53A5"/>
    <w:rsid w:val="DFF98F55"/>
    <w:rsid w:val="EDB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53" w:lineRule="auto"/>
      <w:ind w:firstLine="576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5</TotalTime>
  <ScaleCrop>false</ScaleCrop>
  <LinksUpToDate>false</LinksUpToDate>
  <CharactersWithSpaces>527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2023-10-08T09:37:00Z</dcterms:created>
  <dc:creator>ncepu</dc:creator>
  <cp:lastModifiedBy>王子铭</cp:lastModifiedBy>
  <cp:lastPrinted>2023-10-24T08:43:00Z</cp:lastPrinted>
  <dcterms:modified xsi:type="dcterms:W3CDTF">2023-10-30T02:22:03Z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E9CDF51E070A46B488A1508C344E6716_13</vt:lpwstr>
  </property>
</Properties>
</file>