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eastAsia="黑体"/>
        </w:rPr>
      </w:pPr>
      <w:bookmarkStart w:id="0" w:name="_Toc361502232"/>
      <w:bookmarkStart w:id="1" w:name="_Toc361501262"/>
      <w:r>
        <w:rPr>
          <w:rFonts w:eastAsia="黑体"/>
          <w:sz w:val="28"/>
        </w:rPr>
        <w:t>UDC</w:t>
      </w:r>
    </w:p>
    <w:p>
      <w:pPr>
        <w:spacing w:line="276" w:lineRule="auto"/>
        <w:jc w:val="center"/>
        <w:rPr>
          <w:b/>
          <w:kern w:val="36"/>
          <w:sz w:val="32"/>
          <w:szCs w:val="32"/>
        </w:rPr>
      </w:pPr>
      <w:r>
        <w:rPr>
          <w:b/>
          <w:kern w:val="36"/>
          <w:sz w:val="32"/>
          <w:szCs w:val="32"/>
        </w:rPr>
        <w:drawing>
          <wp:anchor distT="0" distB="0" distL="114300" distR="114300" simplePos="0" relativeHeight="251662336" behindDoc="0" locked="1" layoutInCell="1" allowOverlap="1">
            <wp:simplePos x="0" y="0"/>
            <wp:positionH relativeFrom="margin">
              <wp:posOffset>4114800</wp:posOffset>
            </wp:positionH>
            <wp:positionV relativeFrom="margin">
              <wp:posOffset>-99060</wp:posOffset>
            </wp:positionV>
            <wp:extent cx="1143000" cy="700405"/>
            <wp:effectExtent l="19050" t="0" r="0" b="0"/>
            <wp:wrapNone/>
            <wp:docPr id="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spect="1" noChangeArrowheads="1"/>
                    </pic:cNvPicPr>
                  </pic:nvPicPr>
                  <pic:blipFill>
                    <a:blip r:embed="rId12" cstate="print"/>
                    <a:srcRect/>
                    <a:stretch>
                      <a:fillRect/>
                    </a:stretch>
                  </pic:blipFill>
                  <pic:spPr>
                    <a:xfrm>
                      <a:off x="0" y="0"/>
                      <a:ext cx="1143000" cy="700405"/>
                    </a:xfrm>
                    <a:prstGeom prst="rect">
                      <a:avLst/>
                    </a:prstGeom>
                    <a:noFill/>
                    <a:ln w="9525" algn="ctr">
                      <a:noFill/>
                      <a:miter lim="800000"/>
                      <a:headEnd/>
                      <a:tailEnd/>
                    </a:ln>
                  </pic:spPr>
                </pic:pic>
              </a:graphicData>
            </a:graphic>
          </wp:anchor>
        </w:drawing>
      </w:r>
      <w:r>
        <w:rPr>
          <w:b/>
          <w:kern w:val="36"/>
          <w:sz w:val="32"/>
          <w:szCs w:val="32"/>
        </w:rPr>
        <w:t>中华人民共和国国家标准</w:t>
      </w:r>
    </w:p>
    <w:p>
      <w:pPr>
        <w:spacing w:line="276" w:lineRule="auto"/>
        <w:ind w:left="-993" w:leftChars="-473" w:right="-1338" w:rightChars="-637" w:firstLine="992" w:firstLineChars="310"/>
        <w:rPr>
          <w:sz w:val="30"/>
          <w:szCs w:val="30"/>
        </w:rPr>
      </w:pPr>
      <w:r>
        <w:rPr>
          <w:rFonts w:eastAsia="黑体"/>
          <w:bCs/>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387985</wp:posOffset>
                </wp:positionV>
                <wp:extent cx="5600700" cy="0"/>
                <wp:effectExtent l="0" t="0" r="19050" b="19050"/>
                <wp:wrapNone/>
                <wp:docPr id="30" name="Line 116"/>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15875">
                          <a:solidFill>
                            <a:srgbClr val="000000"/>
                          </a:solidFill>
                          <a:round/>
                        </a:ln>
                      </wps:spPr>
                      <wps:bodyPr/>
                    </wps:wsp>
                  </a:graphicData>
                </a:graphic>
              </wp:anchor>
            </w:drawing>
          </mc:Choice>
          <mc:Fallback>
            <w:pict>
              <v:line id="Line 116" o:spid="_x0000_s1026" o:spt="20" style="position:absolute;left:0pt;flip:y;margin-left:-9pt;margin-top:30.55pt;height:0pt;width:441pt;z-index:251660288;mso-width-relative:page;mso-height-relative:page;" filled="f" stroked="t" coordsize="21600,21600" o:gfxdata="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EkyidUAAAAJAQAADwAAAAAAAAABACAAAAAiAAAA&#10;ZHJzL2Rvd25yZXYueG1sUEsBAhQAFAAAAAgAh07iQGqTMW7RAQAArQMAAA4AAAAAAAAAAQAgAAAA&#10;JAEAAGRycy9lMm9Eb2MueG1sUEsFBgAAAAAGAAYAWQEAAGcFAAAAAA==&#10;">
                <v:fill on="f" focussize="0,0"/>
                <v:stroke weight="1.25pt" color="#000000" joinstyle="round"/>
                <v:imagedata o:title=""/>
                <o:lock v:ext="edit" aspectratio="f"/>
              </v:line>
            </w:pict>
          </mc:Fallback>
        </mc:AlternateContent>
      </w:r>
      <w:r>
        <w:rPr>
          <w:rFonts w:eastAsia="黑体"/>
          <w:sz w:val="32"/>
          <w:szCs w:val="32"/>
        </w:rPr>
        <w:t>P</w:t>
      </w:r>
      <w:r>
        <w:rPr>
          <w:rFonts w:hint="eastAsia" w:eastAsia="黑体"/>
          <w:sz w:val="32"/>
          <w:szCs w:val="32"/>
        </w:rPr>
        <w:t xml:space="preserve">                                       </w:t>
      </w:r>
      <w:r>
        <w:rPr>
          <w:rFonts w:eastAsia="黑体"/>
          <w:sz w:val="28"/>
          <w:szCs w:val="28"/>
        </w:rPr>
        <w:t>GB</w:t>
      </w:r>
      <w:r>
        <w:rPr>
          <w:rFonts w:hint="eastAsia" w:eastAsia="黑体"/>
          <w:sz w:val="28"/>
          <w:szCs w:val="28"/>
          <w:lang w:val="en-US" w:eastAsia="zh-CN"/>
        </w:rPr>
        <w:t>/T</w:t>
      </w:r>
      <w:r>
        <w:rPr>
          <w:rFonts w:eastAsia="黑体"/>
          <w:sz w:val="28"/>
          <w:szCs w:val="28"/>
        </w:rPr>
        <w:t>50189 ---202X</w:t>
      </w: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jc w:val="center"/>
        <w:rPr>
          <w:sz w:val="52"/>
        </w:rPr>
      </w:pPr>
      <w:r>
        <w:rPr>
          <w:rFonts w:hint="eastAsia" w:ascii="Arial" w:hAnsi="Arial" w:eastAsia="黑体" w:cs="Arial"/>
          <w:sz w:val="44"/>
          <w:szCs w:val="44"/>
        </w:rPr>
        <w:t>公共建筑节能设计标准</w:t>
      </w:r>
    </w:p>
    <w:p>
      <w:pPr>
        <w:spacing w:line="276" w:lineRule="auto"/>
        <w:jc w:val="center"/>
        <w:rPr>
          <w:rFonts w:eastAsia="黑体"/>
          <w:sz w:val="28"/>
          <w:szCs w:val="28"/>
        </w:rPr>
      </w:pPr>
      <w:r>
        <w:rPr>
          <w:rFonts w:hint="eastAsia" w:eastAsia="黑体"/>
          <w:sz w:val="28"/>
          <w:szCs w:val="28"/>
        </w:rPr>
        <w:t>Design standard for energy efficiency of public buildings</w:t>
      </w:r>
    </w:p>
    <w:p>
      <w:pPr>
        <w:spacing w:line="276" w:lineRule="auto"/>
        <w:jc w:val="center"/>
        <w:rPr>
          <w:rFonts w:eastAsia="黑体"/>
          <w:sz w:val="28"/>
          <w:szCs w:val="28"/>
        </w:rPr>
      </w:pPr>
      <w:r>
        <w:rPr>
          <w:rFonts w:hint="eastAsia" w:eastAsia="黑体"/>
          <w:sz w:val="28"/>
          <w:szCs w:val="28"/>
        </w:rPr>
        <w:t>（</w:t>
      </w:r>
      <w:r>
        <w:rPr>
          <w:rFonts w:hint="eastAsia" w:eastAsia="黑体"/>
          <w:sz w:val="28"/>
          <w:szCs w:val="28"/>
          <w:lang w:val="en-US" w:eastAsia="zh-CN"/>
        </w:rPr>
        <w:t>修订</w:t>
      </w:r>
      <w:bookmarkStart w:id="140" w:name="_GoBack"/>
      <w:bookmarkEnd w:id="140"/>
      <w:r>
        <w:rPr>
          <w:rFonts w:hint="eastAsia" w:eastAsia="黑体"/>
          <w:sz w:val="28"/>
          <w:szCs w:val="28"/>
        </w:rPr>
        <w:t>征求意见稿）</w:t>
      </w: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spacing w:line="276" w:lineRule="auto"/>
        <w:rPr>
          <w:rFonts w:eastAsia="黑体"/>
          <w:b/>
          <w:bCs/>
        </w:rPr>
      </w:pPr>
    </w:p>
    <w:p>
      <w:pPr>
        <w:pStyle w:val="74"/>
        <w:framePr w:w="0" w:hRule="auto" w:vSpace="0" w:wrap="auto" w:vAnchor="margin" w:hAnchor="text" w:xAlign="left" w:yAlign="inline"/>
        <w:spacing w:before="0" w:after="0" w:line="276" w:lineRule="auto"/>
        <w:jc w:val="distribute"/>
      </w:pPr>
      <w:r>
        <w:rPr>
          <w:rFonts w:hint="eastAsia" w:ascii="黑体" w:hAnsi="黑体"/>
        </w:rPr>
        <w:t>××××-××-××发布</w:t>
      </w:r>
      <w:r>
        <w:rPr>
          <w:rFonts w:hint="eastAsia" w:ascii="黑体" w:hAnsi="黑体"/>
          <w:lang w:val="en-US" w:eastAsia="zh-CN"/>
        </w:rPr>
        <w:t xml:space="preserve">               </w:t>
      </w:r>
      <w:r>
        <w:rPr>
          <w:rFonts w:hint="eastAsia" w:ascii="黑体" w:hAnsi="黑体"/>
        </w:rPr>
        <w:t>××××-××-××实施</w:t>
      </w:r>
    </w:p>
    <w:p>
      <w:pPr>
        <w:spacing w:line="276" w:lineRule="auto"/>
        <w:rPr>
          <w:rFonts w:eastAsia="黑体"/>
          <w:b/>
          <w:bCs/>
          <w:sz w:val="30"/>
        </w:rPr>
      </w:pPr>
      <w:r>
        <w:rPr>
          <w:rFonts w:eastAsia="黑体"/>
          <w:b/>
          <w:bCs/>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104775</wp:posOffset>
                </wp:positionV>
                <wp:extent cx="5829300" cy="0"/>
                <wp:effectExtent l="0" t="0" r="19050" b="19050"/>
                <wp:wrapNone/>
                <wp:docPr id="29" name="Line 115"/>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5875">
                          <a:solidFill>
                            <a:srgbClr val="000000"/>
                          </a:solidFill>
                          <a:round/>
                        </a:ln>
                      </wps:spPr>
                      <wps:bodyPr/>
                    </wps:wsp>
                  </a:graphicData>
                </a:graphic>
              </wp:anchor>
            </w:drawing>
          </mc:Choice>
          <mc:Fallback>
            <w:pict>
              <v:line id="Line 115" o:spid="_x0000_s1026" o:spt="20" style="position:absolute;left:0pt;margin-left:-9pt;margin-top:8.25pt;height:0pt;width:459pt;z-index:251659264;mso-width-relative:page;mso-height-relative:page;" filled="f" stroked="t" coordsize="21600,21600" o:gfxdata="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eVxRTXAAAACQEAAA8AAAAAAAAAAQAgAAAAIgAAAGRy&#10;cy9kb3ducmV2LnhtbFBLAQIUABQAAAAIAIdO4kAV7z4/zQEAAKMDAAAOAAAAAAAAAAEAIAAAACYB&#10;AABkcnMvZTJvRG9jLnhtbFBLBQYAAAAABgAGAFkBAABlBQAAAAA=&#10;">
                <v:fill on="f" focussize="0,0"/>
                <v:stroke weight="1.25pt" color="#000000" joinstyle="round"/>
                <v:imagedata o:title=""/>
                <o:lock v:ext="edit" aspectratio="f"/>
              </v:line>
            </w:pict>
          </mc:Fallback>
        </mc:AlternateContent>
      </w:r>
    </w:p>
    <w:tbl>
      <w:tblPr>
        <w:tblStyle w:val="30"/>
        <w:tblW w:w="4907" w:type="pct"/>
        <w:tblInd w:w="392" w:type="dxa"/>
        <w:tblLayout w:type="autofit"/>
        <w:tblCellMar>
          <w:top w:w="0" w:type="dxa"/>
          <w:left w:w="108" w:type="dxa"/>
          <w:bottom w:w="0" w:type="dxa"/>
          <w:right w:w="108" w:type="dxa"/>
        </w:tblCellMar>
      </w:tblPr>
      <w:tblGrid>
        <w:gridCol w:w="6662"/>
        <w:gridCol w:w="1701"/>
      </w:tblGrid>
      <w:tr>
        <w:tblPrEx>
          <w:tblCellMar>
            <w:top w:w="0" w:type="dxa"/>
            <w:left w:w="108" w:type="dxa"/>
            <w:bottom w:w="0" w:type="dxa"/>
            <w:right w:w="108" w:type="dxa"/>
          </w:tblCellMar>
        </w:tblPrEx>
        <w:tc>
          <w:tcPr>
            <w:tcW w:w="3983" w:type="pct"/>
          </w:tcPr>
          <w:p>
            <w:pPr>
              <w:pStyle w:val="73"/>
              <w:framePr w:w="0" w:hRule="auto" w:hSpace="0" w:vSpace="0" w:wrap="auto" w:vAnchor="margin" w:hAnchor="text" w:xAlign="left" w:yAlign="inline"/>
              <w:tabs>
                <w:tab w:val="left" w:pos="7560"/>
              </w:tabs>
              <w:kinsoku w:val="0"/>
              <w:autoSpaceDE w:val="0"/>
              <w:autoSpaceDN w:val="0"/>
              <w:adjustRightInd w:val="0"/>
              <w:snapToGrid w:val="0"/>
              <w:spacing w:before="0" w:after="0" w:line="276" w:lineRule="auto"/>
              <w:jc w:val="distribute"/>
              <w:rPr>
                <w:rFonts w:ascii="Calibri" w:hAnsi="Calibri" w:eastAsia="黑体"/>
                <w:b w:val="0"/>
                <w:bCs/>
                <w:spacing w:val="0"/>
                <w:w w:val="100"/>
                <w:kern w:val="2"/>
                <w:sz w:val="32"/>
                <w:szCs w:val="32"/>
              </w:rPr>
            </w:pPr>
            <w:r>
              <w:rPr>
                <w:rFonts w:hint="eastAsia" w:ascii="Calibri" w:hAnsi="Calibri" w:eastAsia="黑体"/>
                <w:b w:val="0"/>
                <w:bCs/>
                <w:spacing w:val="0"/>
                <w:w w:val="100"/>
                <w:kern w:val="2"/>
                <w:sz w:val="32"/>
                <w:szCs w:val="32"/>
              </w:rPr>
              <w:t>中华人民共和国住房和城乡建设部</w:t>
            </w:r>
          </w:p>
        </w:tc>
        <w:tc>
          <w:tcPr>
            <w:tcW w:w="1017" w:type="pct"/>
            <w:vMerge w:val="restart"/>
            <w:vAlign w:val="center"/>
          </w:tcPr>
          <w:p>
            <w:pPr>
              <w:pStyle w:val="73"/>
              <w:framePr w:w="0" w:hRule="auto" w:hSpace="0" w:vSpace="0" w:wrap="auto" w:vAnchor="margin" w:hAnchor="text" w:xAlign="left" w:yAlign="inline"/>
              <w:tabs>
                <w:tab w:val="left" w:pos="7560"/>
              </w:tabs>
              <w:kinsoku w:val="0"/>
              <w:autoSpaceDE w:val="0"/>
              <w:autoSpaceDN w:val="0"/>
              <w:adjustRightInd w:val="0"/>
              <w:snapToGrid w:val="0"/>
              <w:spacing w:before="0" w:after="0" w:line="276" w:lineRule="auto"/>
              <w:ind w:firstLine="156" w:firstLineChars="49"/>
              <w:jc w:val="both"/>
              <w:rPr>
                <w:rFonts w:ascii="Calibri" w:hAnsi="Calibri" w:eastAsia="黑体"/>
                <w:b w:val="0"/>
                <w:bCs/>
                <w:spacing w:val="0"/>
                <w:w w:val="100"/>
                <w:kern w:val="2"/>
                <w:sz w:val="32"/>
                <w:szCs w:val="32"/>
              </w:rPr>
            </w:pPr>
            <w:r>
              <w:rPr>
                <w:rFonts w:hint="eastAsia" w:ascii="Calibri" w:hAnsi="Calibri" w:eastAsia="黑体"/>
                <w:b w:val="0"/>
                <w:bCs/>
                <w:spacing w:val="0"/>
                <w:w w:val="100"/>
                <w:kern w:val="2"/>
                <w:sz w:val="32"/>
                <w:szCs w:val="32"/>
              </w:rPr>
              <w:t>联合发布</w:t>
            </w:r>
          </w:p>
        </w:tc>
      </w:tr>
      <w:tr>
        <w:tblPrEx>
          <w:tblCellMar>
            <w:top w:w="0" w:type="dxa"/>
            <w:left w:w="108" w:type="dxa"/>
            <w:bottom w:w="0" w:type="dxa"/>
            <w:right w:w="108" w:type="dxa"/>
          </w:tblCellMar>
        </w:tblPrEx>
        <w:tc>
          <w:tcPr>
            <w:tcW w:w="3983" w:type="pct"/>
          </w:tcPr>
          <w:p>
            <w:pPr>
              <w:pStyle w:val="73"/>
              <w:framePr w:w="0" w:hRule="auto" w:hSpace="0" w:vSpace="0" w:wrap="auto" w:vAnchor="margin" w:hAnchor="text" w:xAlign="left" w:yAlign="inline"/>
              <w:tabs>
                <w:tab w:val="left" w:pos="7560"/>
              </w:tabs>
              <w:kinsoku w:val="0"/>
              <w:autoSpaceDE w:val="0"/>
              <w:autoSpaceDN w:val="0"/>
              <w:adjustRightInd w:val="0"/>
              <w:snapToGrid w:val="0"/>
              <w:spacing w:before="0" w:after="0" w:line="276" w:lineRule="auto"/>
              <w:jc w:val="distribute"/>
              <w:rPr>
                <w:rFonts w:ascii="Calibri" w:hAnsi="Calibri" w:eastAsia="黑体"/>
                <w:b w:val="0"/>
                <w:bCs/>
                <w:spacing w:val="0"/>
                <w:w w:val="100"/>
                <w:kern w:val="2"/>
                <w:sz w:val="32"/>
                <w:szCs w:val="32"/>
              </w:rPr>
            </w:pPr>
            <w:r>
              <w:rPr>
                <w:rFonts w:hint="eastAsia" w:ascii="Calibri" w:hAnsi="Calibri" w:eastAsia="黑体"/>
                <w:b w:val="0"/>
                <w:bCs/>
                <w:spacing w:val="0"/>
                <w:w w:val="100"/>
                <w:kern w:val="2"/>
                <w:sz w:val="32"/>
                <w:szCs w:val="32"/>
              </w:rPr>
              <w:t>中华人民共和国国家质量监督检验检疫总局</w:t>
            </w:r>
          </w:p>
        </w:tc>
        <w:tc>
          <w:tcPr>
            <w:tcW w:w="1017" w:type="pct"/>
            <w:vMerge w:val="continue"/>
          </w:tcPr>
          <w:p>
            <w:pPr>
              <w:pStyle w:val="73"/>
              <w:framePr w:w="0" w:hRule="auto" w:hSpace="0" w:vSpace="0" w:wrap="auto" w:vAnchor="margin" w:hAnchor="text" w:xAlign="left" w:yAlign="inline"/>
              <w:tabs>
                <w:tab w:val="left" w:pos="7560"/>
              </w:tabs>
              <w:kinsoku w:val="0"/>
              <w:autoSpaceDE w:val="0"/>
              <w:autoSpaceDN w:val="0"/>
              <w:adjustRightInd w:val="0"/>
              <w:snapToGrid w:val="0"/>
              <w:spacing w:before="0" w:after="0" w:line="276" w:lineRule="auto"/>
              <w:jc w:val="left"/>
              <w:rPr>
                <w:rFonts w:ascii="Calibri" w:hAnsi="Calibri" w:eastAsia="黑体"/>
                <w:b w:val="0"/>
                <w:bCs/>
                <w:spacing w:val="0"/>
                <w:w w:val="100"/>
                <w:kern w:val="2"/>
                <w:sz w:val="30"/>
                <w:szCs w:val="22"/>
              </w:rPr>
            </w:pPr>
          </w:p>
        </w:tc>
      </w:tr>
    </w:tbl>
    <w:p>
      <w:pPr>
        <w:widowControl/>
        <w:spacing w:line="276" w:lineRule="auto"/>
        <w:jc w:val="left"/>
      </w:pPr>
    </w:p>
    <w:p>
      <w:pPr>
        <w:spacing w:line="276" w:lineRule="auto"/>
        <w:jc w:val="center"/>
        <w:rPr>
          <w:b/>
          <w:sz w:val="48"/>
        </w:rPr>
      </w:pPr>
    </w:p>
    <w:p>
      <w:pPr>
        <w:spacing w:line="276" w:lineRule="auto"/>
        <w:jc w:val="center"/>
        <w:rPr>
          <w:b/>
          <w:sz w:val="48"/>
        </w:rPr>
      </w:pPr>
    </w:p>
    <w:p>
      <w:pPr>
        <w:spacing w:line="276" w:lineRule="auto"/>
        <w:jc w:val="center"/>
        <w:rPr>
          <w:rFonts w:eastAsia="黑体"/>
          <w:sz w:val="36"/>
          <w:szCs w:val="36"/>
        </w:rPr>
      </w:pPr>
      <w:r>
        <w:rPr>
          <w:rFonts w:eastAsia="黑体"/>
          <w:sz w:val="36"/>
          <w:szCs w:val="36"/>
        </w:rPr>
        <w:t>前</w:t>
      </w:r>
      <w:r>
        <w:rPr>
          <w:rFonts w:hint="eastAsia" w:eastAsia="黑体"/>
          <w:sz w:val="36"/>
          <w:szCs w:val="36"/>
          <w:lang w:val="en-US" w:eastAsia="zh-CN"/>
        </w:rPr>
        <w:t xml:space="preserve">  </w:t>
      </w:r>
      <w:r>
        <w:rPr>
          <w:rFonts w:eastAsia="黑体"/>
          <w:sz w:val="36"/>
          <w:szCs w:val="36"/>
        </w:rPr>
        <w:t>言</w:t>
      </w:r>
    </w:p>
    <w:p>
      <w:pPr>
        <w:spacing w:line="276" w:lineRule="auto"/>
        <w:jc w:val="center"/>
        <w:rPr>
          <w:rFonts w:eastAsia="黑体"/>
          <w:sz w:val="36"/>
          <w:szCs w:val="36"/>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szCs w:val="24"/>
        </w:rPr>
      </w:pPr>
      <w:r>
        <w:rPr>
          <w:rFonts w:hint="eastAsia"/>
          <w:sz w:val="24"/>
          <w:szCs w:val="24"/>
        </w:rPr>
        <w:t>根据住建部标准定额司签发《关于开展&lt;公共建筑节能设计标准&gt;等4项标准全面修订工作的函》（建司局函标[2021]127号）的要求，标准编制组经广泛调查研究，认真总结实践经验，参考有关国际标准和国外先进标准，并在广泛征求意见的基础上，修订本标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szCs w:val="24"/>
        </w:rPr>
      </w:pPr>
      <w:r>
        <w:rPr>
          <w:rFonts w:hint="eastAsia"/>
          <w:sz w:val="24"/>
          <w:szCs w:val="24"/>
        </w:rPr>
        <w:t>本标准的</w:t>
      </w:r>
      <w:r>
        <w:rPr>
          <w:sz w:val="24"/>
          <w:szCs w:val="24"/>
        </w:rPr>
        <w:t>主要</w:t>
      </w:r>
      <w:r>
        <w:rPr>
          <w:rFonts w:hint="eastAsia"/>
          <w:sz w:val="24"/>
          <w:szCs w:val="24"/>
        </w:rPr>
        <w:t>技术</w:t>
      </w:r>
      <w:r>
        <w:rPr>
          <w:sz w:val="24"/>
          <w:szCs w:val="24"/>
        </w:rPr>
        <w:t>内容是：</w:t>
      </w:r>
      <w:r>
        <w:rPr>
          <w:rFonts w:hint="eastAsia"/>
          <w:sz w:val="24"/>
          <w:szCs w:val="24"/>
        </w:rPr>
        <w:t xml:space="preserve">1. </w:t>
      </w:r>
      <w:r>
        <w:rPr>
          <w:sz w:val="24"/>
          <w:szCs w:val="24"/>
        </w:rPr>
        <w:t>总则</w:t>
      </w:r>
      <w:r>
        <w:rPr>
          <w:rFonts w:hint="eastAsia"/>
          <w:sz w:val="24"/>
          <w:szCs w:val="24"/>
        </w:rPr>
        <w:t xml:space="preserve">；2. </w:t>
      </w:r>
      <w:r>
        <w:rPr>
          <w:sz w:val="24"/>
          <w:szCs w:val="24"/>
        </w:rPr>
        <w:t>术语</w:t>
      </w:r>
      <w:r>
        <w:rPr>
          <w:rFonts w:hint="eastAsia"/>
          <w:sz w:val="24"/>
          <w:szCs w:val="24"/>
        </w:rPr>
        <w:t>；3. 建筑与建筑热工；4. 供暖通风与空气调节；5. 给水排水；6. 电气；7. 可再生能源应用；8</w:t>
      </w:r>
      <w:r>
        <w:rPr>
          <w:sz w:val="24"/>
          <w:szCs w:val="24"/>
        </w:rPr>
        <w:t>.</w:t>
      </w:r>
      <w:r>
        <w:rPr>
          <w:rFonts w:hint="eastAsia"/>
          <w:sz w:val="24"/>
          <w:szCs w:val="24"/>
        </w:rPr>
        <w:t>建筑能耗和碳排放计算</w:t>
      </w:r>
      <w:r>
        <w:rPr>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sz w:val="24"/>
          <w:szCs w:val="24"/>
        </w:rPr>
      </w:pPr>
      <w:r>
        <w:rPr>
          <w:rFonts w:hint="eastAsia"/>
          <w:sz w:val="24"/>
          <w:szCs w:val="24"/>
        </w:rPr>
        <w:t>本标准修订的主要技术内容是：</w:t>
      </w:r>
      <w:r>
        <w:rPr>
          <w:rFonts w:hint="eastAsia"/>
          <w:sz w:val="24"/>
          <w:szCs w:val="24"/>
          <w:lang w:val="en-US" w:eastAsia="zh-CN"/>
        </w:rPr>
        <w:t>1.</w:t>
      </w:r>
      <w:r>
        <w:rPr>
          <w:rFonts w:hint="eastAsia"/>
          <w:sz w:val="24"/>
          <w:szCs w:val="24"/>
        </w:rPr>
        <w:t>删去了已废止的所有强制性条文</w:t>
      </w:r>
      <w:r>
        <w:rPr>
          <w:rFonts w:hint="eastAsia"/>
          <w:sz w:val="24"/>
          <w:szCs w:val="24"/>
          <w:lang w:val="en-US" w:eastAsia="zh-CN"/>
        </w:rPr>
        <w:t>及现行强制性工程建设规范</w:t>
      </w:r>
      <w:r>
        <w:rPr>
          <w:rFonts w:hint="eastAsia"/>
          <w:sz w:val="24"/>
          <w:szCs w:val="24"/>
        </w:rPr>
        <w:t>中已经表述的条文；</w:t>
      </w:r>
      <w:r>
        <w:rPr>
          <w:rFonts w:hint="eastAsia"/>
          <w:sz w:val="24"/>
          <w:szCs w:val="24"/>
          <w:lang w:val="en-US" w:eastAsia="zh-CN"/>
        </w:rPr>
        <w:t>2.</w:t>
      </w:r>
      <w:r>
        <w:rPr>
          <w:rFonts w:hint="eastAsia"/>
          <w:sz w:val="24"/>
          <w:szCs w:val="24"/>
        </w:rPr>
        <w:t>增加了建筑幕墙、采光顶及金属屋面的节能设计要求；增加了建筑设备管理系统的节能设计要求；</w:t>
      </w:r>
      <w:r>
        <w:rPr>
          <w:rFonts w:hint="eastAsia"/>
          <w:sz w:val="24"/>
          <w:szCs w:val="24"/>
          <w:lang w:val="en-US" w:eastAsia="zh-CN"/>
        </w:rPr>
        <w:t>3.</w:t>
      </w:r>
      <w:r>
        <w:rPr>
          <w:rFonts w:hint="eastAsia"/>
          <w:sz w:val="24"/>
          <w:szCs w:val="24"/>
        </w:rPr>
        <w:t>增加了建筑能耗和碳排放计算要求；</w:t>
      </w:r>
      <w:r>
        <w:rPr>
          <w:rFonts w:hint="eastAsia"/>
          <w:sz w:val="24"/>
          <w:szCs w:val="24"/>
          <w:lang w:val="en-US" w:eastAsia="zh-CN"/>
        </w:rPr>
        <w:t>4.</w:t>
      </w:r>
      <w:r>
        <w:rPr>
          <w:rFonts w:hint="eastAsia"/>
          <w:sz w:val="24"/>
          <w:szCs w:val="24"/>
        </w:rPr>
        <w:t>对冷源整体节能设计和非名义工况下冷水机组能效提出了要求；对建筑太阳能光伏利用增加了设计规定；</w:t>
      </w:r>
      <w:r>
        <w:rPr>
          <w:rFonts w:hint="eastAsia"/>
          <w:sz w:val="24"/>
          <w:szCs w:val="24"/>
          <w:lang w:val="en-US" w:eastAsia="zh-CN"/>
        </w:rPr>
        <w:t>5.</w:t>
      </w:r>
      <w:r>
        <w:rPr>
          <w:rFonts w:hint="eastAsia"/>
          <w:sz w:val="24"/>
          <w:szCs w:val="24"/>
        </w:rPr>
        <w:t>补充及更新了建筑自然通风、数据机房、系统耗电输热/冷热比计算公式等内容。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szCs w:val="24"/>
        </w:rPr>
      </w:pPr>
      <w:r>
        <w:rPr>
          <w:sz w:val="24"/>
          <w:szCs w:val="24"/>
        </w:rPr>
        <w:t>本</w:t>
      </w:r>
      <w:r>
        <w:rPr>
          <w:rFonts w:hint="eastAsia"/>
          <w:sz w:val="24"/>
          <w:szCs w:val="24"/>
        </w:rPr>
        <w:t>标准</w:t>
      </w:r>
      <w:r>
        <w:rPr>
          <w:sz w:val="24"/>
          <w:szCs w:val="24"/>
        </w:rPr>
        <w:t>由住房和城乡建设部负责管理和对强制性条文</w:t>
      </w:r>
      <w:r>
        <w:rPr>
          <w:rFonts w:hint="eastAsia"/>
          <w:sz w:val="24"/>
          <w:szCs w:val="24"/>
        </w:rPr>
        <w:t>的</w:t>
      </w:r>
      <w:r>
        <w:rPr>
          <w:sz w:val="24"/>
          <w:szCs w:val="24"/>
        </w:rPr>
        <w:t>解释，</w:t>
      </w:r>
      <w:r>
        <w:rPr>
          <w:rFonts w:hint="eastAsia"/>
          <w:sz w:val="24"/>
          <w:szCs w:val="24"/>
        </w:rPr>
        <w:t>由</w:t>
      </w:r>
      <w:r>
        <w:rPr>
          <w:sz w:val="24"/>
          <w:szCs w:val="24"/>
        </w:rPr>
        <w:t>中国建筑科学研究院</w:t>
      </w:r>
      <w:r>
        <w:rPr>
          <w:rFonts w:hint="eastAsia"/>
          <w:sz w:val="24"/>
          <w:szCs w:val="24"/>
        </w:rPr>
        <w:t>有限公司</w:t>
      </w:r>
      <w:r>
        <w:rPr>
          <w:sz w:val="24"/>
          <w:szCs w:val="24"/>
        </w:rPr>
        <w:t>负责具体技术内容的解释。执行过程中</w:t>
      </w:r>
      <w:r>
        <w:rPr>
          <w:rFonts w:hint="eastAsia"/>
          <w:sz w:val="24"/>
          <w:szCs w:val="24"/>
        </w:rPr>
        <w:t>如有意见或建议</w:t>
      </w:r>
      <w:r>
        <w:rPr>
          <w:sz w:val="24"/>
          <w:szCs w:val="24"/>
        </w:rPr>
        <w:t>，</w:t>
      </w:r>
      <w:r>
        <w:rPr>
          <w:rFonts w:hint="eastAsia"/>
          <w:sz w:val="24"/>
          <w:szCs w:val="24"/>
        </w:rPr>
        <w:t>请寄送</w:t>
      </w:r>
      <w:r>
        <w:rPr>
          <w:sz w:val="24"/>
          <w:szCs w:val="24"/>
        </w:rPr>
        <w:t>中国建筑科学研究院</w:t>
      </w:r>
      <w:r>
        <w:rPr>
          <w:rFonts w:hint="eastAsia"/>
          <w:sz w:val="24"/>
          <w:szCs w:val="24"/>
        </w:rPr>
        <w:t>有限公司</w:t>
      </w:r>
      <w:r>
        <w:rPr>
          <w:sz w:val="24"/>
          <w:szCs w:val="24"/>
        </w:rPr>
        <w:t>（</w:t>
      </w:r>
      <w:r>
        <w:rPr>
          <w:rFonts w:hint="eastAsia"/>
          <w:sz w:val="24"/>
          <w:szCs w:val="24"/>
        </w:rPr>
        <w:t>地址：</w:t>
      </w:r>
      <w:r>
        <w:rPr>
          <w:sz w:val="24"/>
          <w:szCs w:val="24"/>
        </w:rPr>
        <w:t>北京市北三环东路30号，邮政编码100013）。</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szCs w:val="24"/>
        </w:rPr>
      </w:pPr>
      <w:r>
        <w:rPr>
          <w:rFonts w:hint="eastAsia"/>
          <w:sz w:val="24"/>
          <w:szCs w:val="24"/>
        </w:rPr>
        <w:t>本标准</w:t>
      </w:r>
      <w:r>
        <w:rPr>
          <w:rFonts w:hint="eastAsia"/>
          <w:sz w:val="24"/>
          <w:szCs w:val="24"/>
          <w:lang w:val="en-US" w:eastAsia="zh-CN"/>
        </w:rPr>
        <w:t>主要起草</w:t>
      </w:r>
      <w:r>
        <w:rPr>
          <w:sz w:val="24"/>
          <w:szCs w:val="24"/>
        </w:rPr>
        <w:t xml:space="preserve">单位：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szCs w:val="24"/>
        </w:rPr>
      </w:pPr>
      <w:r>
        <w:rPr>
          <w:rFonts w:hint="eastAsia"/>
          <w:sz w:val="24"/>
          <w:szCs w:val="24"/>
        </w:rPr>
        <w:t>本标准主要起草人员</w:t>
      </w:r>
      <w:r>
        <w:rPr>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szCs w:val="24"/>
        </w:rPr>
      </w:pPr>
      <w:r>
        <w:rPr>
          <w:rFonts w:hint="eastAsia"/>
          <w:sz w:val="24"/>
          <w:szCs w:val="24"/>
        </w:rPr>
        <w:t>本标准主要审查人员</w:t>
      </w:r>
      <w:r>
        <w:rPr>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b/>
          <w:sz w:val="48"/>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p>
    <w:p>
      <w:pPr>
        <w:pStyle w:val="21"/>
        <w:rPr>
          <w:rFonts w:asciiTheme="minorEastAsia" w:hAnsiTheme="minorEastAsia" w:eastAsiaTheme="minorEastAsia"/>
          <w:sz w:val="24"/>
          <w:szCs w:val="24"/>
        </w:rPr>
      </w:pPr>
      <w:bookmarkStart w:id="2" w:name="_Toc361679164"/>
      <w:bookmarkStart w:id="3" w:name="_Toc374015843"/>
      <w:bookmarkStart w:id="4" w:name="_Toc143782353"/>
      <w:bookmarkStart w:id="5" w:name="_Toc377052124"/>
      <w:bookmarkStart w:id="6" w:name="_Toc376962055"/>
      <w:bookmarkStart w:id="7" w:name="_Toc364697748"/>
      <w:bookmarkStart w:id="8" w:name="_Toc364862726"/>
      <w:bookmarkStart w:id="9" w:name="_Toc376970870"/>
      <w:bookmarkStart w:id="10" w:name="_Toc370674008"/>
      <w:r>
        <w:t>目</w:t>
      </w:r>
      <w:bookmarkEnd w:id="0"/>
      <w:bookmarkEnd w:id="1"/>
      <w:bookmarkEnd w:id="2"/>
      <w:r>
        <w:rPr>
          <w:rFonts w:hint="eastAsia"/>
        </w:rPr>
        <w:t xml:space="preserve"> </w:t>
      </w:r>
      <w:r>
        <w:t xml:space="preserve"> </w:t>
      </w:r>
      <w:r>
        <w:rPr>
          <w:rFonts w:hint="eastAsia"/>
        </w:rPr>
        <w:t>次</w:t>
      </w:r>
      <w:bookmarkEnd w:id="3"/>
      <w:bookmarkEnd w:id="4"/>
      <w:bookmarkEnd w:id="5"/>
      <w:bookmarkEnd w:id="6"/>
      <w:bookmarkEnd w:id="7"/>
      <w:bookmarkEnd w:id="8"/>
      <w:bookmarkEnd w:id="9"/>
      <w:bookmarkEnd w:id="10"/>
    </w:p>
    <w:p>
      <w:pPr>
        <w:pStyle w:val="21"/>
        <w:spacing w:line="360" w:lineRule="auto"/>
        <w:rPr>
          <w:rFonts w:ascii="宋体" w:hAnsi="宋体" w:cstheme="minorBidi"/>
          <w:b w:val="0"/>
          <w:bCs w:val="0"/>
          <w:caps w:val="0"/>
          <w:sz w:val="24"/>
          <w:szCs w:val="24"/>
          <w14:ligatures w14:val="standardContextual"/>
        </w:rPr>
      </w:pPr>
      <w:r>
        <w:rPr>
          <w:rFonts w:ascii="宋体" w:hAnsi="宋体" w:cs="Arial"/>
          <w:kern w:val="0"/>
          <w:sz w:val="24"/>
          <w:szCs w:val="24"/>
        </w:rPr>
        <w:fldChar w:fldCharType="begin"/>
      </w:r>
      <w:r>
        <w:rPr>
          <w:rFonts w:ascii="宋体" w:hAnsi="宋体" w:cs="Arial"/>
          <w:kern w:val="0"/>
          <w:sz w:val="24"/>
          <w:szCs w:val="24"/>
        </w:rPr>
        <w:instrText xml:space="preserve"> TOC \o "1-2" \h \z \u </w:instrText>
      </w:r>
      <w:r>
        <w:rPr>
          <w:rFonts w:ascii="宋体" w:hAnsi="宋体" w:cs="Arial"/>
          <w:kern w:val="0"/>
          <w:sz w:val="24"/>
          <w:szCs w:val="24"/>
        </w:rPr>
        <w:fldChar w:fldCharType="separate"/>
      </w:r>
      <w:r>
        <w:fldChar w:fldCharType="begin"/>
      </w:r>
      <w:r>
        <w:instrText xml:space="preserve"> HYPERLINK \l "_Toc146734710" </w:instrText>
      </w:r>
      <w:r>
        <w:fldChar w:fldCharType="separate"/>
      </w:r>
      <w:r>
        <w:rPr>
          <w:rStyle w:val="37"/>
          <w:rFonts w:ascii="宋体" w:hAnsi="宋体"/>
          <w:b w:val="0"/>
          <w:bCs w:val="0"/>
          <w:color w:val="auto"/>
          <w:kern w:val="0"/>
          <w:sz w:val="24"/>
          <w:szCs w:val="24"/>
        </w:rPr>
        <w:t>1  总则</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_Toc146734710 \h </w:instrText>
      </w:r>
      <w:r>
        <w:rPr>
          <w:rFonts w:ascii="宋体" w:hAnsi="宋体"/>
          <w:b w:val="0"/>
          <w:bCs w:val="0"/>
          <w:sz w:val="24"/>
          <w:szCs w:val="24"/>
        </w:rPr>
        <w:fldChar w:fldCharType="separate"/>
      </w:r>
      <w:r>
        <w:rPr>
          <w:rFonts w:ascii="宋体" w:hAnsi="宋体"/>
          <w:b w:val="0"/>
          <w:bCs w:val="0"/>
          <w:sz w:val="24"/>
          <w:szCs w:val="24"/>
        </w:rPr>
        <w:t>1</w:t>
      </w:r>
      <w:r>
        <w:rPr>
          <w:rFonts w:ascii="宋体" w:hAnsi="宋体"/>
          <w:b w:val="0"/>
          <w:bCs w:val="0"/>
          <w:sz w:val="24"/>
          <w:szCs w:val="24"/>
        </w:rPr>
        <w:fldChar w:fldCharType="end"/>
      </w:r>
      <w:r>
        <w:rPr>
          <w:rFonts w:ascii="宋体" w:hAnsi="宋体"/>
          <w:b w:val="0"/>
          <w:bCs w:val="0"/>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"_Toc146734711" </w:instrText>
      </w:r>
      <w:r>
        <w:fldChar w:fldCharType="separate"/>
      </w:r>
      <w:r>
        <w:rPr>
          <w:rStyle w:val="37"/>
          <w:rFonts w:ascii="宋体" w:hAnsi="宋体"/>
          <w:b w:val="0"/>
          <w:bCs w:val="0"/>
          <w:color w:val="auto"/>
          <w:kern w:val="0"/>
          <w:sz w:val="24"/>
          <w:szCs w:val="24"/>
        </w:rPr>
        <w:t>2  术语</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_Toc146734711 \h </w:instrText>
      </w:r>
      <w:r>
        <w:rPr>
          <w:rFonts w:ascii="宋体" w:hAnsi="宋体"/>
          <w:b w:val="0"/>
          <w:bCs w:val="0"/>
          <w:sz w:val="24"/>
          <w:szCs w:val="24"/>
        </w:rPr>
        <w:fldChar w:fldCharType="separate"/>
      </w:r>
      <w:r>
        <w:rPr>
          <w:rFonts w:ascii="宋体" w:hAnsi="宋体"/>
          <w:b w:val="0"/>
          <w:bCs w:val="0"/>
          <w:sz w:val="24"/>
          <w:szCs w:val="24"/>
        </w:rPr>
        <w:t>2</w:t>
      </w:r>
      <w:r>
        <w:rPr>
          <w:rFonts w:ascii="宋体" w:hAnsi="宋体"/>
          <w:b w:val="0"/>
          <w:bCs w:val="0"/>
          <w:sz w:val="24"/>
          <w:szCs w:val="24"/>
        </w:rPr>
        <w:fldChar w:fldCharType="end"/>
      </w:r>
      <w:r>
        <w:rPr>
          <w:rFonts w:ascii="宋体" w:hAnsi="宋体"/>
          <w:b w:val="0"/>
          <w:bCs w:val="0"/>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"_Toc146734712" </w:instrText>
      </w:r>
      <w:r>
        <w:fldChar w:fldCharType="separate"/>
      </w:r>
      <w:r>
        <w:rPr>
          <w:rStyle w:val="37"/>
          <w:rFonts w:ascii="宋体" w:hAnsi="宋体"/>
          <w:b w:val="0"/>
          <w:bCs w:val="0"/>
          <w:color w:val="auto"/>
          <w:sz w:val="24"/>
          <w:szCs w:val="24"/>
        </w:rPr>
        <w:t>3  建筑与建筑热工</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_Toc146734712 \h </w:instrText>
      </w:r>
      <w:r>
        <w:rPr>
          <w:rFonts w:ascii="宋体" w:hAnsi="宋体"/>
          <w:b w:val="0"/>
          <w:bCs w:val="0"/>
          <w:sz w:val="24"/>
          <w:szCs w:val="24"/>
        </w:rPr>
        <w:fldChar w:fldCharType="separate"/>
      </w:r>
      <w:r>
        <w:rPr>
          <w:rFonts w:ascii="宋体" w:hAnsi="宋体"/>
          <w:b w:val="0"/>
          <w:bCs w:val="0"/>
          <w:sz w:val="24"/>
          <w:szCs w:val="24"/>
        </w:rPr>
        <w:t>5</w:t>
      </w:r>
      <w:r>
        <w:rPr>
          <w:rFonts w:ascii="宋体" w:hAnsi="宋体"/>
          <w:b w:val="0"/>
          <w:bCs w:val="0"/>
          <w:sz w:val="24"/>
          <w:szCs w:val="24"/>
        </w:rPr>
        <w:fldChar w:fldCharType="end"/>
      </w:r>
      <w:r>
        <w:rPr>
          <w:rFonts w:ascii="宋体" w:hAnsi="宋体"/>
          <w:b w:val="0"/>
          <w:bCs w:val="0"/>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"_Toc146734713" </w:instrText>
      </w:r>
      <w:r>
        <w:fldChar w:fldCharType="separate"/>
      </w:r>
      <w:r>
        <w:rPr>
          <w:rStyle w:val="37"/>
          <w:rFonts w:ascii="宋体" w:hAnsi="宋体"/>
          <w:color w:val="auto"/>
          <w:sz w:val="24"/>
          <w:szCs w:val="24"/>
        </w:rPr>
        <w:t>3.1一般规定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_Toc146734713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"_Toc146734714" </w:instrText>
      </w:r>
      <w:r>
        <w:fldChar w:fldCharType="separate"/>
      </w:r>
      <w:r>
        <w:rPr>
          <w:rStyle w:val="37"/>
          <w:rFonts w:ascii="宋体" w:hAnsi="宋体"/>
          <w:color w:val="auto"/>
          <w:sz w:val="24"/>
          <w:szCs w:val="24"/>
        </w:rPr>
        <w:t>3.2建筑设计与</w:t>
      </w:r>
      <w:r>
        <w:rPr>
          <w:rStyle w:val="37"/>
          <w:rFonts w:ascii="宋体" w:hAnsi="宋体"/>
          <w:color w:val="auto"/>
          <w:kern w:val="0"/>
          <w:sz w:val="24"/>
          <w:szCs w:val="24"/>
        </w:rPr>
        <w:t>围护结构热工性能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_Toc146734714 \h </w:instrText>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"_Toc146734715" </w:instrText>
      </w:r>
      <w:r>
        <w:fldChar w:fldCharType="separate"/>
      </w:r>
      <w:r>
        <w:rPr>
          <w:rStyle w:val="37"/>
          <w:rFonts w:ascii="宋体" w:hAnsi="宋体" w:cs="Arial"/>
          <w:color w:val="auto"/>
          <w:kern w:val="0"/>
          <w:sz w:val="24"/>
          <w:szCs w:val="24"/>
        </w:rPr>
        <w:t>3.3 建筑幕墙、采光顶及金属屋面</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_Toc146734715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"_Toc146734716" </w:instrText>
      </w:r>
      <w:r>
        <w:fldChar w:fldCharType="separate"/>
      </w:r>
      <w:r>
        <w:rPr>
          <w:rStyle w:val="37"/>
          <w:rFonts w:ascii="宋体" w:hAnsi="宋体"/>
          <w:b w:val="0"/>
          <w:bCs w:val="0"/>
          <w:color w:val="auto"/>
          <w:kern w:val="0"/>
          <w:sz w:val="24"/>
          <w:szCs w:val="24"/>
        </w:rPr>
        <w:t>4供暖通风与空气调节</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_Toc146734716 \h </w:instrText>
      </w:r>
      <w:r>
        <w:rPr>
          <w:rFonts w:ascii="宋体" w:hAnsi="宋体"/>
          <w:b w:val="0"/>
          <w:bCs w:val="0"/>
          <w:sz w:val="24"/>
          <w:szCs w:val="24"/>
        </w:rPr>
        <w:fldChar w:fldCharType="separate"/>
      </w:r>
      <w:r>
        <w:rPr>
          <w:rFonts w:ascii="宋体" w:hAnsi="宋体"/>
          <w:b w:val="0"/>
          <w:bCs w:val="0"/>
          <w:sz w:val="24"/>
          <w:szCs w:val="24"/>
        </w:rPr>
        <w:t>13</w:t>
      </w:r>
      <w:r>
        <w:rPr>
          <w:rFonts w:ascii="宋体" w:hAnsi="宋体"/>
          <w:b w:val="0"/>
          <w:bCs w:val="0"/>
          <w:sz w:val="24"/>
          <w:szCs w:val="24"/>
        </w:rPr>
        <w:fldChar w:fldCharType="end"/>
      </w:r>
      <w:r>
        <w:rPr>
          <w:rFonts w:ascii="宋体" w:hAnsi="宋体"/>
          <w:b w:val="0"/>
          <w:bCs w:val="0"/>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"_Toc146734717" </w:instrText>
      </w:r>
      <w:r>
        <w:fldChar w:fldCharType="separate"/>
      </w:r>
      <w:r>
        <w:rPr>
          <w:rStyle w:val="37"/>
          <w:rFonts w:ascii="宋体" w:hAnsi="宋体"/>
          <w:color w:val="auto"/>
          <w:sz w:val="24"/>
          <w:szCs w:val="24"/>
        </w:rPr>
        <w:t>4.1一般规定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_Toc146734717 \h </w:instrText>
      </w:r>
      <w:r>
        <w:rPr>
          <w:rFonts w:ascii="宋体" w:hAnsi="宋体"/>
          <w:sz w:val="24"/>
          <w:szCs w:val="24"/>
        </w:rPr>
        <w:fldChar w:fldCharType="separate"/>
      </w:r>
      <w:r>
        <w:rPr>
          <w:rFonts w:ascii="宋体" w:hAnsi="宋体"/>
          <w:sz w:val="24"/>
          <w:szCs w:val="24"/>
        </w:rPr>
        <w:t>13</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"_Toc146734718" </w:instrText>
      </w:r>
      <w:r>
        <w:fldChar w:fldCharType="separate"/>
      </w:r>
      <w:r>
        <w:rPr>
          <w:rStyle w:val="37"/>
          <w:rFonts w:ascii="宋体" w:hAnsi="宋体"/>
          <w:color w:val="auto"/>
          <w:sz w:val="24"/>
          <w:szCs w:val="24"/>
        </w:rPr>
        <w:t>4.2 冷源与热源</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_Toc146734718 \h </w:instrText>
      </w:r>
      <w:r>
        <w:rPr>
          <w:rFonts w:ascii="宋体" w:hAnsi="宋体"/>
          <w:sz w:val="24"/>
          <w:szCs w:val="24"/>
        </w:rPr>
        <w:fldChar w:fldCharType="separate"/>
      </w:r>
      <w:r>
        <w:rPr>
          <w:rFonts w:ascii="宋体" w:hAnsi="宋体"/>
          <w:sz w:val="24"/>
          <w:szCs w:val="24"/>
        </w:rPr>
        <w:t>14</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"_Toc146734719" </w:instrText>
      </w:r>
      <w:r>
        <w:fldChar w:fldCharType="separate"/>
      </w:r>
      <w:r>
        <w:rPr>
          <w:rStyle w:val="37"/>
          <w:rFonts w:ascii="宋体" w:hAnsi="宋体"/>
          <w:color w:val="auto"/>
          <w:sz w:val="24"/>
          <w:szCs w:val="24"/>
        </w:rPr>
        <w:t>4.3 输配系统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_Toc146734719 \h </w:instrText>
      </w:r>
      <w:r>
        <w:rPr>
          <w:rFonts w:ascii="宋体" w:hAnsi="宋体"/>
          <w:sz w:val="24"/>
          <w:szCs w:val="24"/>
        </w:rPr>
        <w:fldChar w:fldCharType="separate"/>
      </w:r>
      <w:r>
        <w:rPr>
          <w:rFonts w:ascii="宋体" w:hAnsi="宋体"/>
          <w:sz w:val="24"/>
          <w:szCs w:val="24"/>
        </w:rPr>
        <w:t>19</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"_Toc146734720" </w:instrText>
      </w:r>
      <w:r>
        <w:fldChar w:fldCharType="separate"/>
      </w:r>
      <w:r>
        <w:rPr>
          <w:rStyle w:val="37"/>
          <w:rFonts w:ascii="宋体" w:hAnsi="宋体"/>
          <w:color w:val="auto"/>
          <w:sz w:val="24"/>
          <w:szCs w:val="24"/>
        </w:rPr>
        <w:t>4.4 末端系统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_Toc146734720 \h </w:instrText>
      </w:r>
      <w:r>
        <w:rPr>
          <w:rFonts w:ascii="宋体" w:hAnsi="宋体"/>
          <w:sz w:val="24"/>
          <w:szCs w:val="24"/>
        </w:rPr>
        <w:fldChar w:fldCharType="separate"/>
      </w:r>
      <w:r>
        <w:rPr>
          <w:rFonts w:ascii="宋体" w:hAnsi="宋体"/>
          <w:sz w:val="24"/>
          <w:szCs w:val="24"/>
        </w:rPr>
        <w:t>27</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"_Toc146734721" </w:instrText>
      </w:r>
      <w:r>
        <w:fldChar w:fldCharType="separate"/>
      </w:r>
      <w:r>
        <w:rPr>
          <w:rStyle w:val="37"/>
          <w:rFonts w:ascii="宋体" w:hAnsi="宋体"/>
          <w:color w:val="auto"/>
          <w:sz w:val="24"/>
          <w:szCs w:val="24"/>
        </w:rPr>
        <w:t>4.5 监测、控制与计量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_Toc146734721 \h </w:instrText>
      </w:r>
      <w:r>
        <w:rPr>
          <w:rFonts w:ascii="宋体" w:hAnsi="宋体"/>
          <w:sz w:val="24"/>
          <w:szCs w:val="24"/>
        </w:rPr>
        <w:fldChar w:fldCharType="separate"/>
      </w:r>
      <w:r>
        <w:rPr>
          <w:rFonts w:ascii="宋体" w:hAnsi="宋体"/>
          <w:sz w:val="24"/>
          <w:szCs w:val="24"/>
        </w:rPr>
        <w:t>27</w:t>
      </w:r>
      <w:r>
        <w:rPr>
          <w:rFonts w:ascii="宋体" w:hAnsi="宋体"/>
          <w:sz w:val="24"/>
          <w:szCs w:val="24"/>
        </w:rPr>
        <w:fldChar w:fldCharType="end"/>
      </w:r>
      <w:r>
        <w:rPr>
          <w:rFonts w:ascii="宋体" w:hAnsi="宋体"/>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"_Toc146734722" </w:instrText>
      </w:r>
      <w:r>
        <w:fldChar w:fldCharType="separate"/>
      </w:r>
      <w:r>
        <w:rPr>
          <w:rStyle w:val="37"/>
          <w:rFonts w:ascii="宋体" w:hAnsi="宋体"/>
          <w:b w:val="0"/>
          <w:bCs w:val="0"/>
          <w:color w:val="auto"/>
          <w:sz w:val="24"/>
          <w:szCs w:val="24"/>
        </w:rPr>
        <w:t>5给水排水</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_Toc146734722 \h </w:instrText>
      </w:r>
      <w:r>
        <w:rPr>
          <w:rFonts w:ascii="宋体" w:hAnsi="宋体"/>
          <w:b w:val="0"/>
          <w:bCs w:val="0"/>
          <w:sz w:val="24"/>
          <w:szCs w:val="24"/>
        </w:rPr>
        <w:fldChar w:fldCharType="separate"/>
      </w:r>
      <w:r>
        <w:rPr>
          <w:rFonts w:ascii="宋体" w:hAnsi="宋体"/>
          <w:b w:val="0"/>
          <w:bCs w:val="0"/>
          <w:sz w:val="24"/>
          <w:szCs w:val="24"/>
        </w:rPr>
        <w:t>30</w:t>
      </w:r>
      <w:r>
        <w:rPr>
          <w:rFonts w:ascii="宋体" w:hAnsi="宋体"/>
          <w:b w:val="0"/>
          <w:bCs w:val="0"/>
          <w:sz w:val="24"/>
          <w:szCs w:val="24"/>
        </w:rPr>
        <w:fldChar w:fldCharType="end"/>
      </w:r>
      <w:r>
        <w:rPr>
          <w:rFonts w:ascii="宋体" w:hAnsi="宋体"/>
          <w:b w:val="0"/>
          <w:bCs w:val="0"/>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"_Toc146734723" </w:instrText>
      </w:r>
      <w:r>
        <w:fldChar w:fldCharType="separate"/>
      </w:r>
      <w:r>
        <w:rPr>
          <w:rStyle w:val="37"/>
          <w:rFonts w:ascii="宋体" w:hAnsi="宋体"/>
          <w:color w:val="auto"/>
          <w:sz w:val="24"/>
          <w:szCs w:val="24"/>
        </w:rPr>
        <w:t>5.1一般规定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_Toc146734723 \h </w:instrText>
      </w:r>
      <w:r>
        <w:rPr>
          <w:rFonts w:ascii="宋体" w:hAnsi="宋体"/>
          <w:sz w:val="24"/>
          <w:szCs w:val="24"/>
        </w:rPr>
        <w:fldChar w:fldCharType="separate"/>
      </w:r>
      <w:r>
        <w:rPr>
          <w:rFonts w:ascii="宋体" w:hAnsi="宋体"/>
          <w:sz w:val="24"/>
          <w:szCs w:val="24"/>
        </w:rPr>
        <w:t>30</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"_Toc146734724" </w:instrText>
      </w:r>
      <w:r>
        <w:fldChar w:fldCharType="separate"/>
      </w:r>
      <w:r>
        <w:rPr>
          <w:rStyle w:val="37"/>
          <w:rFonts w:ascii="宋体" w:hAnsi="宋体"/>
          <w:color w:val="auto"/>
          <w:sz w:val="24"/>
          <w:szCs w:val="24"/>
        </w:rPr>
        <w:t>5.2给水与排水系统设计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_Toc146734724 \h </w:instrText>
      </w:r>
      <w:r>
        <w:rPr>
          <w:rFonts w:ascii="宋体" w:hAnsi="宋体"/>
          <w:sz w:val="24"/>
          <w:szCs w:val="24"/>
        </w:rPr>
        <w:fldChar w:fldCharType="separate"/>
      </w:r>
      <w:r>
        <w:rPr>
          <w:rFonts w:ascii="宋体" w:hAnsi="宋体"/>
          <w:sz w:val="24"/>
          <w:szCs w:val="24"/>
        </w:rPr>
        <w:t>30</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"_Toc146734725" </w:instrText>
      </w:r>
      <w:r>
        <w:fldChar w:fldCharType="separate"/>
      </w:r>
      <w:r>
        <w:rPr>
          <w:rStyle w:val="37"/>
          <w:rFonts w:ascii="宋体" w:hAnsi="宋体"/>
          <w:color w:val="auto"/>
          <w:sz w:val="24"/>
          <w:szCs w:val="24"/>
        </w:rPr>
        <w:t>5.3生活热水</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_Toc146734725 \h </w:instrText>
      </w:r>
      <w:r>
        <w:rPr>
          <w:rFonts w:ascii="宋体" w:hAnsi="宋体"/>
          <w:sz w:val="24"/>
          <w:szCs w:val="24"/>
        </w:rPr>
        <w:fldChar w:fldCharType="separate"/>
      </w:r>
      <w:r>
        <w:rPr>
          <w:rFonts w:ascii="宋体" w:hAnsi="宋体"/>
          <w:sz w:val="24"/>
          <w:szCs w:val="24"/>
        </w:rPr>
        <w:t>31</w:t>
      </w:r>
      <w:r>
        <w:rPr>
          <w:rFonts w:ascii="宋体" w:hAnsi="宋体"/>
          <w:sz w:val="24"/>
          <w:szCs w:val="24"/>
        </w:rPr>
        <w:fldChar w:fldCharType="end"/>
      </w:r>
      <w:r>
        <w:rPr>
          <w:rFonts w:ascii="宋体" w:hAnsi="宋体"/>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"_Toc146734726" </w:instrText>
      </w:r>
      <w:r>
        <w:fldChar w:fldCharType="separate"/>
      </w:r>
      <w:r>
        <w:rPr>
          <w:rStyle w:val="37"/>
          <w:rFonts w:ascii="宋体" w:hAnsi="宋体"/>
          <w:b w:val="0"/>
          <w:bCs w:val="0"/>
          <w:color w:val="auto"/>
          <w:sz w:val="24"/>
          <w:szCs w:val="24"/>
        </w:rPr>
        <w:t>6 电气</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_Toc146734726 \h </w:instrText>
      </w:r>
      <w:r>
        <w:rPr>
          <w:rFonts w:ascii="宋体" w:hAnsi="宋体"/>
          <w:b w:val="0"/>
          <w:bCs w:val="0"/>
          <w:sz w:val="24"/>
          <w:szCs w:val="24"/>
        </w:rPr>
        <w:fldChar w:fldCharType="separate"/>
      </w:r>
      <w:r>
        <w:rPr>
          <w:rFonts w:ascii="宋体" w:hAnsi="宋体"/>
          <w:b w:val="0"/>
          <w:bCs w:val="0"/>
          <w:sz w:val="24"/>
          <w:szCs w:val="24"/>
        </w:rPr>
        <w:t>33</w:t>
      </w:r>
      <w:r>
        <w:rPr>
          <w:rFonts w:ascii="宋体" w:hAnsi="宋体"/>
          <w:b w:val="0"/>
          <w:bCs w:val="0"/>
          <w:sz w:val="24"/>
          <w:szCs w:val="24"/>
        </w:rPr>
        <w:fldChar w:fldCharType="end"/>
      </w:r>
      <w:r>
        <w:rPr>
          <w:rFonts w:ascii="宋体" w:hAnsi="宋体"/>
          <w:b w:val="0"/>
          <w:bCs w:val="0"/>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"_Toc146734727" </w:instrText>
      </w:r>
      <w:r>
        <w:fldChar w:fldCharType="separate"/>
      </w:r>
      <w:r>
        <w:rPr>
          <w:rStyle w:val="37"/>
          <w:rFonts w:ascii="宋体" w:hAnsi="宋体"/>
          <w:color w:val="auto"/>
          <w:sz w:val="24"/>
          <w:szCs w:val="24"/>
        </w:rPr>
        <w:t>6.1 一般规定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_Toc146734727 \h </w:instrText>
      </w:r>
      <w:r>
        <w:rPr>
          <w:rFonts w:ascii="宋体" w:hAnsi="宋体"/>
          <w:sz w:val="24"/>
          <w:szCs w:val="24"/>
        </w:rPr>
        <w:fldChar w:fldCharType="separate"/>
      </w:r>
      <w:r>
        <w:rPr>
          <w:rFonts w:ascii="宋体" w:hAnsi="宋体"/>
          <w:sz w:val="24"/>
          <w:szCs w:val="24"/>
        </w:rPr>
        <w:t>33</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"_Toc146734728" </w:instrText>
      </w:r>
      <w:r>
        <w:fldChar w:fldCharType="separate"/>
      </w:r>
      <w:r>
        <w:rPr>
          <w:rStyle w:val="37"/>
          <w:rFonts w:ascii="宋体" w:hAnsi="宋体"/>
          <w:color w:val="auto"/>
          <w:sz w:val="24"/>
          <w:szCs w:val="24"/>
        </w:rPr>
        <w:t>6.2供配电系统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_Toc146734728 \h </w:instrText>
      </w:r>
      <w:r>
        <w:rPr>
          <w:rFonts w:ascii="宋体" w:hAnsi="宋体"/>
          <w:sz w:val="24"/>
          <w:szCs w:val="24"/>
        </w:rPr>
        <w:fldChar w:fldCharType="separate"/>
      </w:r>
      <w:r>
        <w:rPr>
          <w:rFonts w:ascii="宋体" w:hAnsi="宋体"/>
          <w:sz w:val="24"/>
          <w:szCs w:val="24"/>
        </w:rPr>
        <w:t>33</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"_Toc146734729" </w:instrText>
      </w:r>
      <w:r>
        <w:fldChar w:fldCharType="separate"/>
      </w:r>
      <w:r>
        <w:rPr>
          <w:rStyle w:val="37"/>
          <w:rFonts w:ascii="宋体" w:hAnsi="宋体"/>
          <w:color w:val="auto"/>
          <w:sz w:val="24"/>
          <w:szCs w:val="24"/>
        </w:rPr>
        <w:t>6.3照明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_Toc146734729 \h </w:instrText>
      </w:r>
      <w:r>
        <w:rPr>
          <w:rFonts w:ascii="宋体" w:hAnsi="宋体"/>
          <w:sz w:val="24"/>
          <w:szCs w:val="24"/>
        </w:rPr>
        <w:fldChar w:fldCharType="separate"/>
      </w:r>
      <w:r>
        <w:rPr>
          <w:rFonts w:ascii="宋体" w:hAnsi="宋体"/>
          <w:sz w:val="24"/>
          <w:szCs w:val="24"/>
        </w:rPr>
        <w:t>34</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"_Toc146734730" </w:instrText>
      </w:r>
      <w:r>
        <w:fldChar w:fldCharType="separate"/>
      </w:r>
      <w:r>
        <w:rPr>
          <w:rStyle w:val="37"/>
          <w:rFonts w:ascii="宋体" w:hAnsi="宋体"/>
          <w:color w:val="auto"/>
          <w:sz w:val="24"/>
          <w:szCs w:val="24"/>
        </w:rPr>
        <w:t>6.4 能耗监测与计量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_Toc146734730 \h </w:instrText>
      </w:r>
      <w:r>
        <w:rPr>
          <w:rFonts w:ascii="宋体" w:hAnsi="宋体"/>
          <w:sz w:val="24"/>
          <w:szCs w:val="24"/>
        </w:rPr>
        <w:fldChar w:fldCharType="separate"/>
      </w:r>
      <w:r>
        <w:rPr>
          <w:rFonts w:ascii="宋体" w:hAnsi="宋体"/>
          <w:sz w:val="24"/>
          <w:szCs w:val="24"/>
        </w:rPr>
        <w:t>36</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"_Toc146734731" </w:instrText>
      </w:r>
      <w:r>
        <w:fldChar w:fldCharType="separate"/>
      </w:r>
      <w:r>
        <w:rPr>
          <w:rStyle w:val="37"/>
          <w:rFonts w:ascii="宋体" w:hAnsi="宋体"/>
          <w:color w:val="auto"/>
          <w:sz w:val="24"/>
          <w:szCs w:val="24"/>
        </w:rPr>
        <w:t>6.5 建筑设备管理系统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_Toc146734731 \h </w:instrText>
      </w:r>
      <w:r>
        <w:rPr>
          <w:rFonts w:ascii="宋体" w:hAnsi="宋体"/>
          <w:sz w:val="24"/>
          <w:szCs w:val="24"/>
        </w:rPr>
        <w:fldChar w:fldCharType="separate"/>
      </w:r>
      <w:r>
        <w:rPr>
          <w:rFonts w:ascii="宋体" w:hAnsi="宋体"/>
          <w:sz w:val="24"/>
          <w:szCs w:val="24"/>
        </w:rPr>
        <w:t>36</w:t>
      </w:r>
      <w:r>
        <w:rPr>
          <w:rFonts w:ascii="宋体" w:hAnsi="宋体"/>
          <w:sz w:val="24"/>
          <w:szCs w:val="24"/>
        </w:rPr>
        <w:fldChar w:fldCharType="end"/>
      </w:r>
      <w:r>
        <w:rPr>
          <w:rFonts w:ascii="宋体" w:hAnsi="宋体"/>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"_Toc146734732" </w:instrText>
      </w:r>
      <w:r>
        <w:fldChar w:fldCharType="separate"/>
      </w:r>
      <w:r>
        <w:rPr>
          <w:rStyle w:val="37"/>
          <w:rFonts w:ascii="宋体" w:hAnsi="宋体"/>
          <w:b w:val="0"/>
          <w:bCs w:val="0"/>
          <w:color w:val="auto"/>
          <w:sz w:val="24"/>
          <w:szCs w:val="24"/>
        </w:rPr>
        <w:t>7可再生能源应用</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_Toc146734732 \h </w:instrText>
      </w:r>
      <w:r>
        <w:rPr>
          <w:rFonts w:ascii="宋体" w:hAnsi="宋体"/>
          <w:b w:val="0"/>
          <w:bCs w:val="0"/>
          <w:sz w:val="24"/>
          <w:szCs w:val="24"/>
        </w:rPr>
        <w:fldChar w:fldCharType="separate"/>
      </w:r>
      <w:r>
        <w:rPr>
          <w:rFonts w:ascii="宋体" w:hAnsi="宋体"/>
          <w:b w:val="0"/>
          <w:bCs w:val="0"/>
          <w:sz w:val="24"/>
          <w:szCs w:val="24"/>
        </w:rPr>
        <w:t>39</w:t>
      </w:r>
      <w:r>
        <w:rPr>
          <w:rFonts w:ascii="宋体" w:hAnsi="宋体"/>
          <w:b w:val="0"/>
          <w:bCs w:val="0"/>
          <w:sz w:val="24"/>
          <w:szCs w:val="24"/>
        </w:rPr>
        <w:fldChar w:fldCharType="end"/>
      </w:r>
      <w:r>
        <w:rPr>
          <w:rFonts w:ascii="宋体" w:hAnsi="宋体"/>
          <w:b w:val="0"/>
          <w:bCs w:val="0"/>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"_Toc146734733" </w:instrText>
      </w:r>
      <w:r>
        <w:fldChar w:fldCharType="separate"/>
      </w:r>
      <w:r>
        <w:rPr>
          <w:rStyle w:val="37"/>
          <w:rFonts w:ascii="宋体" w:hAnsi="宋体"/>
          <w:color w:val="auto"/>
          <w:sz w:val="24"/>
          <w:szCs w:val="24"/>
        </w:rPr>
        <w:t>7.1一般规定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_Toc146734733 \h </w:instrText>
      </w:r>
      <w:r>
        <w:rPr>
          <w:rFonts w:ascii="宋体" w:hAnsi="宋体"/>
          <w:sz w:val="24"/>
          <w:szCs w:val="24"/>
        </w:rPr>
        <w:fldChar w:fldCharType="separate"/>
      </w:r>
      <w:r>
        <w:rPr>
          <w:rFonts w:ascii="宋体" w:hAnsi="宋体"/>
          <w:sz w:val="24"/>
          <w:szCs w:val="24"/>
        </w:rPr>
        <w:t>39</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"_Toc146734734" </w:instrText>
      </w:r>
      <w:r>
        <w:fldChar w:fldCharType="separate"/>
      </w:r>
      <w:r>
        <w:rPr>
          <w:rStyle w:val="37"/>
          <w:rFonts w:ascii="宋体" w:hAnsi="宋体"/>
          <w:color w:val="auto"/>
          <w:sz w:val="24"/>
          <w:szCs w:val="24"/>
        </w:rPr>
        <w:t>7.2太阳能利用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_Toc146734734 \h </w:instrText>
      </w:r>
      <w:r>
        <w:rPr>
          <w:rFonts w:ascii="宋体" w:hAnsi="宋体"/>
          <w:sz w:val="24"/>
          <w:szCs w:val="24"/>
        </w:rPr>
        <w:fldChar w:fldCharType="separate"/>
      </w:r>
      <w:r>
        <w:rPr>
          <w:rFonts w:ascii="宋体" w:hAnsi="宋体"/>
          <w:sz w:val="24"/>
          <w:szCs w:val="24"/>
        </w:rPr>
        <w:t>39</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"_Toc146734735" </w:instrText>
      </w:r>
      <w:r>
        <w:fldChar w:fldCharType="separate"/>
      </w:r>
      <w:r>
        <w:rPr>
          <w:rStyle w:val="37"/>
          <w:rFonts w:ascii="宋体" w:hAnsi="宋体"/>
          <w:color w:val="auto"/>
          <w:sz w:val="24"/>
          <w:szCs w:val="24"/>
        </w:rPr>
        <w:t>7.3地源热泵系统</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_Toc146734735 \h </w:instrText>
      </w:r>
      <w:r>
        <w:rPr>
          <w:rFonts w:ascii="宋体" w:hAnsi="宋体"/>
          <w:sz w:val="24"/>
          <w:szCs w:val="24"/>
        </w:rPr>
        <w:fldChar w:fldCharType="separate"/>
      </w:r>
      <w:r>
        <w:rPr>
          <w:rFonts w:ascii="宋体" w:hAnsi="宋体"/>
          <w:sz w:val="24"/>
          <w:szCs w:val="24"/>
        </w:rPr>
        <w:t>40</w:t>
      </w:r>
      <w:r>
        <w:rPr>
          <w:rFonts w:ascii="宋体" w:hAnsi="宋体"/>
          <w:sz w:val="24"/>
          <w:szCs w:val="24"/>
        </w:rPr>
        <w:fldChar w:fldCharType="end"/>
      </w:r>
      <w:r>
        <w:rPr>
          <w:rFonts w:ascii="宋体" w:hAnsi="宋体"/>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"_Toc146734736" </w:instrText>
      </w:r>
      <w:r>
        <w:fldChar w:fldCharType="separate"/>
      </w:r>
      <w:r>
        <w:rPr>
          <w:rStyle w:val="37"/>
          <w:rFonts w:ascii="宋体" w:hAnsi="宋体"/>
          <w:b w:val="0"/>
          <w:bCs w:val="0"/>
          <w:color w:val="auto"/>
          <w:kern w:val="0"/>
          <w:sz w:val="24"/>
          <w:szCs w:val="24"/>
        </w:rPr>
        <w:t>8建筑能耗和碳排放计算</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_Toc146734736 \h </w:instrText>
      </w:r>
      <w:r>
        <w:rPr>
          <w:rFonts w:ascii="宋体" w:hAnsi="宋体"/>
          <w:b w:val="0"/>
          <w:bCs w:val="0"/>
          <w:sz w:val="24"/>
          <w:szCs w:val="24"/>
        </w:rPr>
        <w:fldChar w:fldCharType="separate"/>
      </w:r>
      <w:r>
        <w:rPr>
          <w:rFonts w:ascii="宋体" w:hAnsi="宋体"/>
          <w:b w:val="0"/>
          <w:bCs w:val="0"/>
          <w:sz w:val="24"/>
          <w:szCs w:val="24"/>
        </w:rPr>
        <w:t>42</w:t>
      </w:r>
      <w:r>
        <w:rPr>
          <w:rFonts w:ascii="宋体" w:hAnsi="宋体"/>
          <w:b w:val="0"/>
          <w:bCs w:val="0"/>
          <w:sz w:val="24"/>
          <w:szCs w:val="24"/>
        </w:rPr>
        <w:fldChar w:fldCharType="end"/>
      </w:r>
      <w:r>
        <w:rPr>
          <w:rFonts w:ascii="宋体" w:hAnsi="宋体"/>
          <w:b w:val="0"/>
          <w:bCs w:val="0"/>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"_Toc146734737" </w:instrText>
      </w:r>
      <w:r>
        <w:fldChar w:fldCharType="separate"/>
      </w:r>
      <w:r>
        <w:rPr>
          <w:rStyle w:val="37"/>
          <w:rFonts w:ascii="宋体" w:hAnsi="宋体"/>
          <w:color w:val="auto"/>
          <w:sz w:val="24"/>
          <w:szCs w:val="24"/>
        </w:rPr>
        <w:t>8.1 一般规定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_Toc146734737 \h </w:instrText>
      </w:r>
      <w:r>
        <w:rPr>
          <w:rFonts w:ascii="宋体" w:hAnsi="宋体"/>
          <w:sz w:val="24"/>
          <w:szCs w:val="24"/>
        </w:rPr>
        <w:fldChar w:fldCharType="separate"/>
      </w:r>
      <w:r>
        <w:rPr>
          <w:rFonts w:ascii="宋体" w:hAnsi="宋体"/>
          <w:sz w:val="24"/>
          <w:szCs w:val="24"/>
        </w:rPr>
        <w:t>42</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"_Toc146734738" </w:instrText>
      </w:r>
      <w:r>
        <w:fldChar w:fldCharType="separate"/>
      </w:r>
      <w:r>
        <w:rPr>
          <w:rStyle w:val="37"/>
          <w:rFonts w:ascii="宋体" w:hAnsi="宋体"/>
          <w:color w:val="auto"/>
          <w:sz w:val="24"/>
          <w:szCs w:val="24"/>
        </w:rPr>
        <w:t>8.2 建筑全年能耗强度计算</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_Toc146734738 \h </w:instrText>
      </w:r>
      <w:r>
        <w:rPr>
          <w:rFonts w:ascii="宋体" w:hAnsi="宋体"/>
          <w:sz w:val="24"/>
          <w:szCs w:val="24"/>
        </w:rPr>
        <w:fldChar w:fldCharType="separate"/>
      </w:r>
      <w:r>
        <w:rPr>
          <w:rFonts w:ascii="宋体" w:hAnsi="宋体"/>
          <w:sz w:val="24"/>
          <w:szCs w:val="24"/>
        </w:rPr>
        <w:t>45</w:t>
      </w:r>
      <w:r>
        <w:rPr>
          <w:rFonts w:ascii="宋体" w:hAnsi="宋体"/>
          <w:sz w:val="24"/>
          <w:szCs w:val="24"/>
        </w:rPr>
        <w:fldChar w:fldCharType="end"/>
      </w:r>
      <w:r>
        <w:rPr>
          <w:rFonts w:ascii="宋体" w:hAnsi="宋体"/>
          <w:sz w:val="24"/>
          <w:szCs w:val="24"/>
        </w:rPr>
        <w:fldChar w:fldCharType="end"/>
      </w:r>
    </w:p>
    <w:p>
      <w:pPr>
        <w:pStyle w:val="25"/>
        <w:spacing w:line="360" w:lineRule="auto"/>
        <w:rPr>
          <w:rFonts w:ascii="宋体" w:hAnsi="宋体" w:cstheme="minorBidi"/>
          <w:smallCaps w:val="0"/>
          <w:sz w:val="24"/>
          <w:szCs w:val="24"/>
          <w14:ligatures w14:val="standardContextual"/>
        </w:rPr>
      </w:pPr>
      <w:r>
        <w:fldChar w:fldCharType="begin"/>
      </w:r>
      <w:r>
        <w:instrText xml:space="preserve"> HYPERLINK \l "_Toc146734739" </w:instrText>
      </w:r>
      <w:r>
        <w:fldChar w:fldCharType="separate"/>
      </w:r>
      <w:r>
        <w:rPr>
          <w:rStyle w:val="37"/>
          <w:rFonts w:ascii="宋体" w:hAnsi="宋体"/>
          <w:color w:val="auto"/>
          <w:sz w:val="24"/>
          <w:szCs w:val="24"/>
        </w:rPr>
        <w:t>8.3 建筑碳排放强度计算</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_Toc146734739 \h </w:instrText>
      </w:r>
      <w:r>
        <w:rPr>
          <w:rFonts w:ascii="宋体" w:hAnsi="宋体"/>
          <w:sz w:val="24"/>
          <w:szCs w:val="24"/>
        </w:rPr>
        <w:fldChar w:fldCharType="separate"/>
      </w:r>
      <w:r>
        <w:rPr>
          <w:rFonts w:ascii="宋体" w:hAnsi="宋体"/>
          <w:sz w:val="24"/>
          <w:szCs w:val="24"/>
        </w:rPr>
        <w:t>48</w:t>
      </w:r>
      <w:r>
        <w:rPr>
          <w:rFonts w:ascii="宋体" w:hAnsi="宋体"/>
          <w:sz w:val="24"/>
          <w:szCs w:val="24"/>
        </w:rPr>
        <w:fldChar w:fldCharType="end"/>
      </w:r>
      <w:r>
        <w:rPr>
          <w:rFonts w:ascii="宋体" w:hAnsi="宋体"/>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"_Toc146734740" </w:instrText>
      </w:r>
      <w:r>
        <w:fldChar w:fldCharType="separate"/>
      </w:r>
      <w:r>
        <w:rPr>
          <w:rStyle w:val="37"/>
          <w:rFonts w:ascii="宋体" w:hAnsi="宋体"/>
          <w:b w:val="0"/>
          <w:bCs w:val="0"/>
          <w:color w:val="auto"/>
          <w:sz w:val="24"/>
          <w:szCs w:val="24"/>
        </w:rPr>
        <w:t>附录A外墙平均传热系数的计算</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_Toc146734740 \h </w:instrText>
      </w:r>
      <w:r>
        <w:rPr>
          <w:rFonts w:ascii="宋体" w:hAnsi="宋体"/>
          <w:b w:val="0"/>
          <w:bCs w:val="0"/>
          <w:sz w:val="24"/>
          <w:szCs w:val="24"/>
        </w:rPr>
        <w:fldChar w:fldCharType="separate"/>
      </w:r>
      <w:r>
        <w:rPr>
          <w:rFonts w:ascii="宋体" w:hAnsi="宋体"/>
          <w:b w:val="0"/>
          <w:bCs w:val="0"/>
          <w:sz w:val="24"/>
          <w:szCs w:val="24"/>
        </w:rPr>
        <w:t>49</w:t>
      </w:r>
      <w:r>
        <w:rPr>
          <w:rFonts w:ascii="宋体" w:hAnsi="宋体"/>
          <w:b w:val="0"/>
          <w:bCs w:val="0"/>
          <w:sz w:val="24"/>
          <w:szCs w:val="24"/>
        </w:rPr>
        <w:fldChar w:fldCharType="end"/>
      </w:r>
      <w:r>
        <w:rPr>
          <w:rFonts w:ascii="宋体" w:hAnsi="宋体"/>
          <w:b w:val="0"/>
          <w:bCs w:val="0"/>
          <w:sz w:val="24"/>
          <w:szCs w:val="24"/>
        </w:rPr>
        <w:fldChar w:fldCharType="end"/>
      </w:r>
    </w:p>
    <w:p>
      <w:pPr>
        <w:pStyle w:val="21"/>
        <w:spacing w:line="360" w:lineRule="auto"/>
        <w:rPr>
          <w:rFonts w:ascii="宋体" w:hAnsi="宋体" w:cstheme="minorBidi"/>
          <w:b w:val="0"/>
          <w:bCs w:val="0"/>
          <w:caps w:val="0"/>
          <w:sz w:val="24"/>
          <w:szCs w:val="24"/>
          <w14:ligatures w14:val="standardContextual"/>
        </w:rPr>
      </w:pPr>
      <w:r>
        <w:fldChar w:fldCharType="begin"/>
      </w:r>
      <w:r>
        <w:instrText xml:space="preserve"> HYPERLINK \l "_Toc146734741" </w:instrText>
      </w:r>
      <w:r>
        <w:fldChar w:fldCharType="separate"/>
      </w:r>
      <w:r>
        <w:rPr>
          <w:rStyle w:val="37"/>
          <w:rFonts w:ascii="宋体" w:hAnsi="宋体"/>
          <w:b w:val="0"/>
          <w:bCs w:val="0"/>
          <w:color w:val="auto"/>
          <w:sz w:val="24"/>
          <w:szCs w:val="24"/>
        </w:rPr>
        <w:t>附录B 建筑围护结构热工性能权衡判断审核表</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_Toc146734741 \h </w:instrText>
      </w:r>
      <w:r>
        <w:rPr>
          <w:rFonts w:ascii="宋体" w:hAnsi="宋体"/>
          <w:b w:val="0"/>
          <w:bCs w:val="0"/>
          <w:sz w:val="24"/>
          <w:szCs w:val="24"/>
        </w:rPr>
        <w:fldChar w:fldCharType="separate"/>
      </w:r>
      <w:r>
        <w:rPr>
          <w:rFonts w:ascii="宋体" w:hAnsi="宋体"/>
          <w:b w:val="0"/>
          <w:bCs w:val="0"/>
          <w:sz w:val="24"/>
          <w:szCs w:val="24"/>
        </w:rPr>
        <w:t>50</w:t>
      </w:r>
      <w:r>
        <w:rPr>
          <w:rFonts w:ascii="宋体" w:hAnsi="宋体"/>
          <w:b w:val="0"/>
          <w:bCs w:val="0"/>
          <w:sz w:val="24"/>
          <w:szCs w:val="24"/>
        </w:rPr>
        <w:fldChar w:fldCharType="end"/>
      </w:r>
      <w:r>
        <w:rPr>
          <w:rFonts w:ascii="宋体" w:hAnsi="宋体"/>
          <w:b w:val="0"/>
          <w:bCs w:val="0"/>
          <w:sz w:val="24"/>
          <w:szCs w:val="24"/>
        </w:rPr>
        <w:fldChar w:fldCharType="end"/>
      </w:r>
    </w:p>
    <w:p>
      <w:pPr>
        <w:pStyle w:val="21"/>
        <w:spacing w:line="360" w:lineRule="auto"/>
        <w:rPr>
          <w:rFonts w:eastAsiaTheme="minorEastAsia" w:cstheme="minorBidi"/>
          <w:b w:val="0"/>
          <w:bCs w:val="0"/>
          <w:caps w:val="0"/>
          <w:sz w:val="21"/>
          <w:szCs w:val="22"/>
          <w14:ligatures w14:val="standardContextual"/>
        </w:rPr>
      </w:pPr>
      <w:r>
        <w:fldChar w:fldCharType="begin"/>
      </w:r>
      <w:r>
        <w:instrText xml:space="preserve"> HYPERLINK \l "_Toc146734742" </w:instrText>
      </w:r>
      <w:r>
        <w:fldChar w:fldCharType="separate"/>
      </w:r>
      <w:r>
        <w:rPr>
          <w:rStyle w:val="37"/>
          <w:rFonts w:ascii="宋体" w:hAnsi="宋体"/>
          <w:b w:val="0"/>
          <w:bCs w:val="0"/>
          <w:color w:val="auto"/>
          <w:sz w:val="24"/>
          <w:szCs w:val="24"/>
        </w:rPr>
        <w:t>附录C管道与设备绝热厚度</w:t>
      </w:r>
      <w:r>
        <w:rPr>
          <w:rFonts w:ascii="宋体" w:hAnsi="宋体"/>
          <w:b w:val="0"/>
          <w:bCs w:val="0"/>
          <w:sz w:val="24"/>
          <w:szCs w:val="24"/>
        </w:rPr>
        <w:tab/>
      </w:r>
      <w:r>
        <w:rPr>
          <w:rFonts w:ascii="宋体" w:hAnsi="宋体"/>
          <w:b w:val="0"/>
          <w:bCs w:val="0"/>
          <w:sz w:val="24"/>
          <w:szCs w:val="24"/>
        </w:rPr>
        <w:fldChar w:fldCharType="begin"/>
      </w:r>
      <w:r>
        <w:rPr>
          <w:rFonts w:ascii="宋体" w:hAnsi="宋体"/>
          <w:b w:val="0"/>
          <w:bCs w:val="0"/>
          <w:sz w:val="24"/>
          <w:szCs w:val="24"/>
        </w:rPr>
        <w:instrText xml:space="preserve"> PAGEREF _Toc146734742 \h </w:instrText>
      </w:r>
      <w:r>
        <w:rPr>
          <w:rFonts w:ascii="宋体" w:hAnsi="宋体"/>
          <w:b w:val="0"/>
          <w:bCs w:val="0"/>
          <w:sz w:val="24"/>
          <w:szCs w:val="24"/>
        </w:rPr>
        <w:fldChar w:fldCharType="separate"/>
      </w:r>
      <w:r>
        <w:rPr>
          <w:rFonts w:ascii="宋体" w:hAnsi="宋体"/>
          <w:b w:val="0"/>
          <w:bCs w:val="0"/>
          <w:sz w:val="24"/>
          <w:szCs w:val="24"/>
        </w:rPr>
        <w:t>52</w:t>
      </w:r>
      <w:r>
        <w:rPr>
          <w:rFonts w:ascii="宋体" w:hAnsi="宋体"/>
          <w:b w:val="0"/>
          <w:bCs w:val="0"/>
          <w:sz w:val="24"/>
          <w:szCs w:val="24"/>
        </w:rPr>
        <w:fldChar w:fldCharType="end"/>
      </w:r>
      <w:r>
        <w:rPr>
          <w:rFonts w:ascii="宋体" w:hAnsi="宋体"/>
          <w:b w:val="0"/>
          <w:bCs w:val="0"/>
          <w:sz w:val="24"/>
          <w:szCs w:val="24"/>
        </w:rPr>
        <w:fldChar w:fldCharType="end"/>
      </w:r>
    </w:p>
    <w:p>
      <w:pPr>
        <w:widowControl/>
        <w:spacing w:line="288" w:lineRule="auto"/>
        <w:rPr>
          <w:rFonts w:cs="Arial"/>
          <w:b/>
          <w:bCs/>
          <w:caps/>
          <w:kern w:val="0"/>
          <w:sz w:val="20"/>
          <w:szCs w:val="20"/>
        </w:rPr>
      </w:pPr>
      <w:r>
        <w:rPr>
          <w:rFonts w:ascii="宋体" w:hAnsi="宋体" w:cs="Arial"/>
          <w:caps/>
          <w:kern w:val="0"/>
          <w:sz w:val="24"/>
        </w:rPr>
        <w:fldChar w:fldCharType="end"/>
      </w:r>
    </w:p>
    <w:p>
      <w:pPr>
        <w:widowControl/>
        <w:jc w:val="center"/>
      </w:pPr>
      <w:r>
        <w:rPr>
          <w:kern w:val="0"/>
        </w:rPr>
        <w:br w:type="page"/>
      </w:r>
      <w:bookmarkStart w:id="11" w:name="_Toc376962056"/>
      <w:bookmarkStart w:id="12" w:name="_Toc376970871"/>
      <w:bookmarkStart w:id="13" w:name="_Toc377052125"/>
      <w:bookmarkStart w:id="14" w:name="_Toc364862727"/>
      <w:bookmarkStart w:id="15" w:name="_Toc374015844"/>
      <w:bookmarkStart w:id="16" w:name="_Toc370674009"/>
      <w:r>
        <w:rPr>
          <w:rFonts w:hint="eastAsia" w:cs="Arial"/>
          <w:kern w:val="0"/>
          <w:sz w:val="36"/>
          <w:szCs w:val="36"/>
        </w:rPr>
        <w:t>Contents</w:t>
      </w:r>
      <w:bookmarkEnd w:id="11"/>
      <w:bookmarkEnd w:id="12"/>
      <w:bookmarkEnd w:id="13"/>
      <w:bookmarkEnd w:id="14"/>
      <w:bookmarkEnd w:id="15"/>
      <w:bookmarkEnd w:id="16"/>
      <w:r>
        <w:rPr>
          <w:rFonts w:cs="Arial"/>
          <w:kern w:val="0"/>
          <w:sz w:val="52"/>
          <w:szCs w:val="44"/>
        </w:rPr>
        <w:fldChar w:fldCharType="begin"/>
      </w:r>
      <w:r>
        <w:rPr>
          <w:rFonts w:cs="Arial"/>
          <w:kern w:val="0"/>
          <w:sz w:val="52"/>
        </w:rPr>
        <w:instrText xml:space="preserve"> TOC \o "1-2" \h \z \u </w:instrText>
      </w:r>
      <w:r>
        <w:rPr>
          <w:rFonts w:cs="Arial"/>
          <w:kern w:val="0"/>
          <w:sz w:val="52"/>
          <w:szCs w:val="44"/>
        </w:rPr>
        <w:fldChar w:fldCharType="separate"/>
      </w:r>
    </w:p>
    <w:p>
      <w:pPr>
        <w:pStyle w:val="21"/>
        <w:rPr>
          <w:rFonts w:ascii="Times New Roman" w:hAnsi="Times New Roman" w:eastAsiaTheme="minorEastAsia"/>
          <w:b w:val="0"/>
          <w:bCs w:val="0"/>
          <w:caps w:val="0"/>
          <w:sz w:val="24"/>
          <w:szCs w:val="24"/>
        </w:rPr>
      </w:pPr>
      <w:r>
        <w:rPr>
          <w:rFonts w:ascii="Times New Roman" w:hAnsi="Times New Roman"/>
          <w:b w:val="0"/>
          <w:caps w:val="0"/>
          <w:kern w:val="0"/>
          <w:sz w:val="24"/>
          <w:szCs w:val="24"/>
        </w:rPr>
        <w:t xml:space="preserve">1  General </w:t>
      </w:r>
      <w:r>
        <w:rPr>
          <w:rFonts w:hint="eastAsia" w:ascii="Times New Roman" w:hAnsi="Times New Roman"/>
          <w:b w:val="0"/>
          <w:caps w:val="0"/>
          <w:kern w:val="0"/>
          <w:sz w:val="24"/>
          <w:szCs w:val="24"/>
        </w:rPr>
        <w:t>P</w:t>
      </w:r>
      <w:r>
        <w:rPr>
          <w:rFonts w:ascii="Times New Roman" w:hAnsi="Times New Roman"/>
          <w:b w:val="0"/>
          <w:caps w:val="0"/>
          <w:kern w:val="0"/>
          <w:sz w:val="24"/>
          <w:szCs w:val="24"/>
        </w:rPr>
        <w:t>rovisons</w:t>
      </w:r>
      <w:r>
        <w:rPr>
          <w:rFonts w:ascii="Times New Roman" w:hAnsi="Times New Roman"/>
          <w:b w:val="0"/>
          <w:caps w:val="0"/>
          <w:sz w:val="24"/>
          <w:szCs w:val="24"/>
        </w:rPr>
        <w:tab/>
      </w:r>
      <w:r>
        <w:rPr>
          <w:rFonts w:hint="eastAsia" w:ascii="Times New Roman" w:hAnsi="Times New Roman"/>
          <w:b w:val="0"/>
          <w:caps w:val="0"/>
          <w:sz w:val="24"/>
          <w:szCs w:val="24"/>
        </w:rPr>
        <w:t>1</w:t>
      </w:r>
    </w:p>
    <w:p>
      <w:pPr>
        <w:pStyle w:val="21"/>
        <w:rPr>
          <w:rFonts w:ascii="Times New Roman" w:hAnsi="Times New Roman" w:eastAsiaTheme="minorEastAsia"/>
          <w:b w:val="0"/>
          <w:bCs w:val="0"/>
          <w:caps w:val="0"/>
          <w:sz w:val="24"/>
          <w:szCs w:val="24"/>
        </w:rPr>
      </w:pPr>
      <w:r>
        <w:rPr>
          <w:rFonts w:ascii="Times New Roman" w:hAnsi="Times New Roman"/>
          <w:b w:val="0"/>
          <w:caps w:val="0"/>
          <w:kern w:val="0"/>
          <w:sz w:val="24"/>
          <w:szCs w:val="24"/>
        </w:rPr>
        <w:t>2  Terms</w:t>
      </w:r>
      <w:r>
        <w:rPr>
          <w:rFonts w:ascii="Times New Roman" w:hAnsi="Times New Roman"/>
          <w:b w:val="0"/>
          <w:caps w:val="0"/>
          <w:sz w:val="24"/>
          <w:szCs w:val="24"/>
        </w:rPr>
        <w:tab/>
      </w:r>
      <w:r>
        <w:rPr>
          <w:rFonts w:hint="eastAsia" w:ascii="Times New Roman" w:hAnsi="Times New Roman"/>
          <w:b w:val="0"/>
          <w:caps w:val="0"/>
          <w:sz w:val="24"/>
          <w:szCs w:val="24"/>
        </w:rPr>
        <w:t>2</w:t>
      </w:r>
    </w:p>
    <w:p>
      <w:pPr>
        <w:pStyle w:val="21"/>
        <w:rPr>
          <w:rFonts w:ascii="Times New Roman" w:hAnsi="Times New Roman" w:eastAsiaTheme="minorEastAsia"/>
          <w:b w:val="0"/>
          <w:bCs w:val="0"/>
          <w:caps w:val="0"/>
          <w:sz w:val="24"/>
          <w:szCs w:val="24"/>
        </w:rPr>
      </w:pPr>
      <w:r>
        <w:rPr>
          <w:rFonts w:ascii="Times New Roman" w:hAnsi="Times New Roman"/>
          <w:b w:val="0"/>
          <w:caps w:val="0"/>
          <w:sz w:val="24"/>
          <w:szCs w:val="24"/>
        </w:rPr>
        <w:t xml:space="preserve">3  Building and </w:t>
      </w:r>
      <w:r>
        <w:rPr>
          <w:rFonts w:hint="eastAsia" w:ascii="Times New Roman" w:hAnsi="Times New Roman"/>
          <w:b w:val="0"/>
          <w:caps w:val="0"/>
          <w:sz w:val="24"/>
          <w:szCs w:val="24"/>
        </w:rPr>
        <w:t>E</w:t>
      </w:r>
      <w:r>
        <w:rPr>
          <w:rFonts w:ascii="Times New Roman" w:hAnsi="Times New Roman"/>
          <w:b w:val="0"/>
          <w:caps w:val="0"/>
          <w:sz w:val="24"/>
          <w:szCs w:val="24"/>
        </w:rPr>
        <w:t>nvelop</w:t>
      </w:r>
      <w:r>
        <w:rPr>
          <w:rFonts w:hint="eastAsia" w:ascii="Times New Roman" w:hAnsi="Times New Roman"/>
          <w:b w:val="0"/>
          <w:caps w:val="0"/>
          <w:sz w:val="24"/>
          <w:szCs w:val="24"/>
        </w:rPr>
        <w:t>e T</w:t>
      </w:r>
      <w:r>
        <w:rPr>
          <w:rFonts w:ascii="Times New Roman" w:hAnsi="Times New Roman"/>
          <w:b w:val="0"/>
          <w:caps w:val="0"/>
          <w:sz w:val="24"/>
          <w:szCs w:val="24"/>
        </w:rPr>
        <w:t xml:space="preserve">hermal </w:t>
      </w:r>
      <w:r>
        <w:rPr>
          <w:rFonts w:hint="eastAsia" w:ascii="Times New Roman" w:hAnsi="Times New Roman"/>
          <w:b w:val="0"/>
          <w:caps w:val="0"/>
          <w:sz w:val="24"/>
          <w:szCs w:val="24"/>
        </w:rPr>
        <w:t>D</w:t>
      </w:r>
      <w:r>
        <w:rPr>
          <w:rFonts w:ascii="Times New Roman" w:hAnsi="Times New Roman"/>
          <w:b w:val="0"/>
          <w:caps w:val="0"/>
          <w:sz w:val="24"/>
          <w:szCs w:val="24"/>
        </w:rPr>
        <w:t>esign</w:t>
      </w:r>
      <w:r>
        <w:rPr>
          <w:rFonts w:ascii="Times New Roman" w:hAnsi="Times New Roman"/>
          <w:b w:val="0"/>
          <w:caps w:val="0"/>
          <w:sz w:val="24"/>
          <w:szCs w:val="24"/>
        </w:rPr>
        <w:tab/>
      </w:r>
      <w:r>
        <w:rPr>
          <w:rFonts w:ascii="Times New Roman" w:hAnsi="Times New Roman"/>
          <w:b w:val="0"/>
          <w:caps w:val="0"/>
          <w:sz w:val="24"/>
          <w:szCs w:val="24"/>
        </w:rPr>
        <w:t>5</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3.1 General </w:t>
      </w:r>
      <w:r>
        <w:rPr>
          <w:rFonts w:hint="eastAsia" w:ascii="Times New Roman" w:hAnsi="Times New Roman"/>
          <w:smallCaps w:val="0"/>
          <w:sz w:val="24"/>
          <w:szCs w:val="24"/>
        </w:rPr>
        <w:t>R</w:t>
      </w:r>
      <w:r>
        <w:rPr>
          <w:rFonts w:ascii="Times New Roman" w:hAnsi="Times New Roman"/>
          <w:smallCaps w:val="0"/>
          <w:sz w:val="24"/>
          <w:szCs w:val="24"/>
        </w:rPr>
        <w:t>equirement</w:t>
      </w:r>
      <w:r>
        <w:rPr>
          <w:rFonts w:hint="eastAsia" w:ascii="Times New Roman" w:hAnsi="Times New Roman"/>
          <w:smallCaps w:val="0"/>
          <w:sz w:val="24"/>
          <w:szCs w:val="24"/>
        </w:rPr>
        <w:t>s</w:t>
      </w:r>
      <w:r>
        <w:rPr>
          <w:rFonts w:ascii="Times New Roman" w:hAnsi="Times New Roman"/>
          <w:smallCaps w:val="0"/>
          <w:sz w:val="24"/>
          <w:szCs w:val="24"/>
        </w:rPr>
        <w:tab/>
      </w:r>
      <w:r>
        <w:rPr>
          <w:rFonts w:ascii="Times New Roman" w:hAnsi="Times New Roman"/>
          <w:smallCaps w:val="0"/>
          <w:sz w:val="24"/>
          <w:szCs w:val="24"/>
        </w:rPr>
        <w:t>5</w:t>
      </w:r>
    </w:p>
    <w:p>
      <w:pPr>
        <w:pStyle w:val="25"/>
        <w:spacing w:line="276" w:lineRule="auto"/>
        <w:rPr>
          <w:rStyle w:val="37"/>
          <w:rFonts w:ascii="Times New Roman" w:hAnsi="Times New Roman"/>
          <w:color w:val="auto"/>
          <w:sz w:val="24"/>
          <w:szCs w:val="24"/>
        </w:rPr>
      </w:pPr>
      <w:r>
        <w:rPr>
          <w:rFonts w:ascii="Times New Roman" w:hAnsi="Times New Roman"/>
          <w:smallCaps w:val="0"/>
          <w:sz w:val="24"/>
          <w:szCs w:val="24"/>
        </w:rPr>
        <w:t xml:space="preserve">3.2 Architectural </w:t>
      </w:r>
      <w:r>
        <w:rPr>
          <w:rFonts w:hint="eastAsia" w:ascii="Times New Roman" w:hAnsi="Times New Roman"/>
          <w:smallCaps w:val="0"/>
          <w:sz w:val="24"/>
          <w:szCs w:val="24"/>
        </w:rPr>
        <w:t>D</w:t>
      </w:r>
      <w:r>
        <w:rPr>
          <w:rFonts w:ascii="Times New Roman" w:hAnsi="Times New Roman"/>
          <w:smallCaps w:val="0"/>
          <w:sz w:val="24"/>
          <w:szCs w:val="24"/>
        </w:rPr>
        <w:t>esign</w:t>
      </w:r>
      <w:r>
        <w:rPr>
          <w:rFonts w:ascii="Times New Roman" w:hAnsi="Times New Roman"/>
          <w:smallCaps w:val="0"/>
          <w:kern w:val="0"/>
          <w:sz w:val="24"/>
          <w:szCs w:val="24"/>
        </w:rPr>
        <w:t xml:space="preserve"> and Building </w:t>
      </w:r>
      <w:r>
        <w:rPr>
          <w:rFonts w:hint="eastAsia" w:ascii="Times New Roman" w:hAnsi="Times New Roman"/>
          <w:smallCaps w:val="0"/>
          <w:kern w:val="0"/>
          <w:sz w:val="24"/>
          <w:szCs w:val="24"/>
        </w:rPr>
        <w:t>E</w:t>
      </w:r>
      <w:r>
        <w:rPr>
          <w:rFonts w:ascii="Times New Roman" w:hAnsi="Times New Roman"/>
          <w:smallCaps w:val="0"/>
          <w:kern w:val="0"/>
          <w:sz w:val="24"/>
          <w:szCs w:val="24"/>
        </w:rPr>
        <w:t>nvelop</w:t>
      </w:r>
      <w:r>
        <w:rPr>
          <w:rFonts w:hint="eastAsia" w:ascii="Times New Roman" w:hAnsi="Times New Roman"/>
          <w:smallCaps w:val="0"/>
          <w:kern w:val="0"/>
          <w:sz w:val="24"/>
          <w:szCs w:val="24"/>
        </w:rPr>
        <w:t>e T</w:t>
      </w:r>
      <w:r>
        <w:rPr>
          <w:rFonts w:ascii="Times New Roman" w:hAnsi="Times New Roman"/>
          <w:smallCaps w:val="0"/>
          <w:kern w:val="0"/>
          <w:sz w:val="24"/>
          <w:szCs w:val="24"/>
        </w:rPr>
        <w:t xml:space="preserve">hermal </w:t>
      </w:r>
      <w:r>
        <w:rPr>
          <w:rFonts w:hint="eastAsia" w:ascii="Times New Roman" w:hAnsi="Times New Roman"/>
          <w:smallCaps w:val="0"/>
          <w:kern w:val="0"/>
          <w:sz w:val="24"/>
          <w:szCs w:val="24"/>
        </w:rPr>
        <w:t>D</w:t>
      </w:r>
      <w:r>
        <w:rPr>
          <w:rFonts w:ascii="Times New Roman" w:hAnsi="Times New Roman"/>
          <w:smallCaps w:val="0"/>
          <w:kern w:val="0"/>
          <w:sz w:val="24"/>
          <w:szCs w:val="24"/>
        </w:rPr>
        <w:t>esign</w:t>
      </w:r>
      <w:r>
        <w:rPr>
          <w:rFonts w:ascii="Times New Roman" w:hAnsi="Times New Roman"/>
          <w:sz w:val="24"/>
          <w:szCs w:val="24"/>
        </w:rPr>
        <w:tab/>
      </w:r>
      <w:r>
        <w:rPr>
          <w:rFonts w:ascii="Times New Roman" w:hAnsi="Times New Roman"/>
          <w:sz w:val="24"/>
          <w:szCs w:val="24"/>
        </w:rPr>
        <w:t>6</w:t>
      </w:r>
    </w:p>
    <w:p>
      <w:pPr>
        <w:pStyle w:val="25"/>
        <w:spacing w:line="276" w:lineRule="auto"/>
        <w:rPr>
          <w:rFonts w:ascii="Times New Roman" w:hAnsi="Times New Roman" w:eastAsiaTheme="minorEastAsia"/>
          <w:smallCaps w:val="0"/>
          <w:sz w:val="24"/>
          <w:szCs w:val="24"/>
        </w:rPr>
      </w:pPr>
      <w:r>
        <w:rPr>
          <w:rFonts w:ascii="Times New Roman" w:hAnsi="Times New Roman"/>
          <w:smallCaps w:val="0"/>
          <w:kern w:val="0"/>
          <w:sz w:val="24"/>
          <w:szCs w:val="24"/>
        </w:rPr>
        <w:t>3.3 Building Curtain wall,</w:t>
      </w:r>
      <w:r>
        <w:rPr>
          <w:rFonts w:hint="eastAsia" w:ascii="Times New Roman" w:hAnsi="Times New Roman"/>
          <w:smallCaps w:val="0"/>
          <w:kern w:val="0"/>
          <w:sz w:val="24"/>
          <w:szCs w:val="24"/>
        </w:rPr>
        <w:t xml:space="preserve"> </w:t>
      </w:r>
      <w:r>
        <w:rPr>
          <w:rFonts w:ascii="Times New Roman" w:hAnsi="Times New Roman"/>
          <w:smallCaps w:val="0"/>
          <w:kern w:val="0"/>
          <w:sz w:val="24"/>
          <w:szCs w:val="24"/>
        </w:rPr>
        <w:t>S</w:t>
      </w:r>
      <w:r>
        <w:rPr>
          <w:rFonts w:hint="eastAsia" w:ascii="Times New Roman" w:hAnsi="Times New Roman"/>
          <w:smallCaps w:val="0"/>
          <w:kern w:val="0"/>
          <w:sz w:val="24"/>
          <w:szCs w:val="24"/>
        </w:rPr>
        <w:t>kylight</w:t>
      </w:r>
      <w:r>
        <w:rPr>
          <w:rFonts w:ascii="Times New Roman" w:hAnsi="Times New Roman"/>
          <w:smallCaps w:val="0"/>
          <w:kern w:val="0"/>
          <w:sz w:val="24"/>
          <w:szCs w:val="24"/>
        </w:rPr>
        <w:t xml:space="preserve"> and Metal Roof</w:t>
      </w:r>
      <w:r>
        <w:rPr>
          <w:rFonts w:ascii="Times New Roman" w:hAnsi="Times New Roman"/>
          <w:smallCaps w:val="0"/>
          <w:sz w:val="24"/>
          <w:szCs w:val="24"/>
        </w:rPr>
        <w:tab/>
      </w:r>
      <w:r>
        <w:rPr>
          <w:rFonts w:ascii="Times New Roman" w:hAnsi="Times New Roman"/>
          <w:smallCaps w:val="0"/>
          <w:sz w:val="24"/>
          <w:szCs w:val="24"/>
        </w:rPr>
        <w:t>9</w:t>
      </w:r>
    </w:p>
    <w:p>
      <w:pPr>
        <w:pStyle w:val="21"/>
        <w:rPr>
          <w:rFonts w:ascii="Times New Roman" w:hAnsi="Times New Roman" w:eastAsiaTheme="minorEastAsia"/>
          <w:b w:val="0"/>
          <w:bCs w:val="0"/>
          <w:caps w:val="0"/>
          <w:sz w:val="24"/>
          <w:szCs w:val="24"/>
        </w:rPr>
      </w:pPr>
      <w:r>
        <w:rPr>
          <w:rFonts w:ascii="Times New Roman" w:hAnsi="Times New Roman"/>
          <w:b w:val="0"/>
          <w:caps w:val="0"/>
          <w:kern w:val="0"/>
          <w:sz w:val="24"/>
          <w:szCs w:val="24"/>
        </w:rPr>
        <w:t>4 H</w:t>
      </w:r>
      <w:r>
        <w:rPr>
          <w:rFonts w:hint="eastAsia" w:ascii="Times New Roman" w:hAnsi="Times New Roman"/>
          <w:b w:val="0"/>
          <w:caps w:val="0"/>
          <w:kern w:val="0"/>
          <w:sz w:val="24"/>
          <w:szCs w:val="24"/>
        </w:rPr>
        <w:t>eating, Ventilationand Air Conditioning</w:t>
      </w:r>
      <w:r>
        <w:rPr>
          <w:rFonts w:ascii="Times New Roman" w:hAnsi="Times New Roman"/>
          <w:b w:val="0"/>
          <w:caps w:val="0"/>
          <w:sz w:val="24"/>
          <w:szCs w:val="24"/>
        </w:rPr>
        <w:tab/>
      </w:r>
      <w:r>
        <w:rPr>
          <w:rFonts w:hint="eastAsia" w:ascii="Times New Roman" w:hAnsi="Times New Roman"/>
          <w:b w:val="0"/>
          <w:caps w:val="0"/>
          <w:sz w:val="24"/>
          <w:szCs w:val="24"/>
        </w:rPr>
        <w:t>13</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4.1General </w:t>
      </w:r>
      <w:r>
        <w:rPr>
          <w:rFonts w:hint="eastAsia" w:ascii="Times New Roman" w:hAnsi="Times New Roman"/>
          <w:smallCaps w:val="0"/>
          <w:sz w:val="24"/>
          <w:szCs w:val="24"/>
        </w:rPr>
        <w:t>R</w:t>
      </w:r>
      <w:r>
        <w:rPr>
          <w:rFonts w:ascii="Times New Roman" w:hAnsi="Times New Roman"/>
          <w:smallCaps w:val="0"/>
          <w:sz w:val="24"/>
          <w:szCs w:val="24"/>
        </w:rPr>
        <w:t>equirement</w:t>
      </w:r>
      <w:r>
        <w:rPr>
          <w:rFonts w:hint="eastAsia" w:ascii="Times New Roman" w:hAnsi="Times New Roman"/>
          <w:smallCaps w:val="0"/>
          <w:sz w:val="24"/>
          <w:szCs w:val="24"/>
        </w:rPr>
        <w:t>s</w:t>
      </w:r>
      <w:r>
        <w:rPr>
          <w:rFonts w:ascii="Times New Roman" w:hAnsi="Times New Roman"/>
          <w:smallCaps w:val="0"/>
          <w:sz w:val="24"/>
          <w:szCs w:val="24"/>
        </w:rPr>
        <w:tab/>
      </w:r>
      <w:r>
        <w:rPr>
          <w:rFonts w:hint="eastAsia" w:ascii="Times New Roman" w:hAnsi="Times New Roman"/>
          <w:smallCaps w:val="0"/>
          <w:sz w:val="24"/>
          <w:szCs w:val="24"/>
        </w:rPr>
        <w:t>13</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4.2 Heating and </w:t>
      </w:r>
      <w:r>
        <w:rPr>
          <w:rFonts w:hint="eastAsia" w:ascii="Times New Roman" w:hAnsi="Times New Roman"/>
          <w:smallCaps w:val="0"/>
          <w:sz w:val="24"/>
          <w:szCs w:val="24"/>
        </w:rPr>
        <w:t>C</w:t>
      </w:r>
      <w:r>
        <w:rPr>
          <w:rFonts w:ascii="Times New Roman" w:hAnsi="Times New Roman"/>
          <w:smallCaps w:val="0"/>
          <w:sz w:val="24"/>
          <w:szCs w:val="24"/>
        </w:rPr>
        <w:t xml:space="preserve">ooling </w:t>
      </w:r>
      <w:r>
        <w:rPr>
          <w:rFonts w:hint="eastAsia" w:ascii="Times New Roman" w:hAnsi="Times New Roman"/>
          <w:smallCaps w:val="0"/>
          <w:sz w:val="24"/>
          <w:szCs w:val="24"/>
        </w:rPr>
        <w:t>S</w:t>
      </w:r>
      <w:r>
        <w:rPr>
          <w:rFonts w:ascii="Times New Roman" w:hAnsi="Times New Roman"/>
          <w:smallCaps w:val="0"/>
          <w:sz w:val="24"/>
          <w:szCs w:val="24"/>
        </w:rPr>
        <w:t>ource</w:t>
      </w:r>
      <w:r>
        <w:rPr>
          <w:rFonts w:ascii="Times New Roman" w:hAnsi="Times New Roman"/>
          <w:smallCaps w:val="0"/>
          <w:sz w:val="24"/>
          <w:szCs w:val="24"/>
        </w:rPr>
        <w:tab/>
      </w:r>
      <w:r>
        <w:rPr>
          <w:rFonts w:hint="eastAsia" w:ascii="Times New Roman" w:hAnsi="Times New Roman"/>
          <w:smallCaps w:val="0"/>
          <w:sz w:val="24"/>
          <w:szCs w:val="24"/>
        </w:rPr>
        <w:t>1</w:t>
      </w:r>
      <w:r>
        <w:rPr>
          <w:rFonts w:ascii="Times New Roman" w:hAnsi="Times New Roman"/>
          <w:smallCaps w:val="0"/>
          <w:sz w:val="24"/>
          <w:szCs w:val="24"/>
        </w:rPr>
        <w:t>4</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4.3 Transmission and </w:t>
      </w:r>
      <w:r>
        <w:rPr>
          <w:rFonts w:hint="eastAsia" w:ascii="Times New Roman" w:hAnsi="Times New Roman"/>
          <w:smallCaps w:val="0"/>
          <w:sz w:val="24"/>
          <w:szCs w:val="24"/>
        </w:rPr>
        <w:t>D</w:t>
      </w:r>
      <w:r>
        <w:rPr>
          <w:rFonts w:ascii="Times New Roman" w:hAnsi="Times New Roman"/>
          <w:smallCaps w:val="0"/>
          <w:sz w:val="24"/>
          <w:szCs w:val="24"/>
        </w:rPr>
        <w:t xml:space="preserve">istribution </w:t>
      </w:r>
      <w:r>
        <w:rPr>
          <w:rFonts w:hint="eastAsia" w:ascii="Times New Roman" w:hAnsi="Times New Roman"/>
          <w:smallCaps w:val="0"/>
          <w:sz w:val="24"/>
          <w:szCs w:val="24"/>
        </w:rPr>
        <w:t>S</w:t>
      </w:r>
      <w:r>
        <w:rPr>
          <w:rFonts w:ascii="Times New Roman" w:hAnsi="Times New Roman"/>
          <w:smallCaps w:val="0"/>
          <w:sz w:val="24"/>
          <w:szCs w:val="24"/>
        </w:rPr>
        <w:t>ystem</w:t>
      </w:r>
      <w:r>
        <w:rPr>
          <w:rFonts w:ascii="Times New Roman" w:hAnsi="Times New Roman"/>
          <w:smallCaps w:val="0"/>
          <w:sz w:val="24"/>
          <w:szCs w:val="24"/>
        </w:rPr>
        <w:tab/>
      </w:r>
      <w:r>
        <w:rPr>
          <w:rFonts w:ascii="Times New Roman" w:hAnsi="Times New Roman"/>
          <w:smallCaps w:val="0"/>
          <w:sz w:val="24"/>
          <w:szCs w:val="24"/>
        </w:rPr>
        <w:t>19</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4.4 Terminal </w:t>
      </w:r>
      <w:r>
        <w:rPr>
          <w:rFonts w:hint="eastAsia" w:ascii="Times New Roman" w:hAnsi="Times New Roman"/>
          <w:smallCaps w:val="0"/>
          <w:sz w:val="24"/>
          <w:szCs w:val="24"/>
        </w:rPr>
        <w:t>S</w:t>
      </w:r>
      <w:r>
        <w:rPr>
          <w:rFonts w:ascii="Times New Roman" w:hAnsi="Times New Roman"/>
          <w:smallCaps w:val="0"/>
          <w:sz w:val="24"/>
          <w:szCs w:val="24"/>
        </w:rPr>
        <w:t>ystem</w:t>
      </w:r>
      <w:r>
        <w:rPr>
          <w:rFonts w:ascii="Times New Roman" w:hAnsi="Times New Roman"/>
          <w:smallCaps w:val="0"/>
          <w:sz w:val="24"/>
          <w:szCs w:val="24"/>
        </w:rPr>
        <w:tab/>
      </w:r>
      <w:r>
        <w:rPr>
          <w:rFonts w:hint="eastAsia" w:ascii="Times New Roman" w:hAnsi="Times New Roman"/>
          <w:smallCaps w:val="0"/>
          <w:sz w:val="24"/>
          <w:szCs w:val="24"/>
        </w:rPr>
        <w:t>2</w:t>
      </w:r>
      <w:r>
        <w:rPr>
          <w:rFonts w:ascii="Times New Roman" w:hAnsi="Times New Roman"/>
          <w:smallCaps w:val="0"/>
          <w:sz w:val="24"/>
          <w:szCs w:val="24"/>
        </w:rPr>
        <w:t>7</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4.5 Monitor, </w:t>
      </w:r>
      <w:r>
        <w:rPr>
          <w:rFonts w:hint="eastAsia" w:ascii="Times New Roman" w:hAnsi="Times New Roman"/>
          <w:smallCaps w:val="0"/>
          <w:sz w:val="24"/>
          <w:szCs w:val="24"/>
        </w:rPr>
        <w:t>C</w:t>
      </w:r>
      <w:r>
        <w:rPr>
          <w:rFonts w:ascii="Times New Roman" w:hAnsi="Times New Roman"/>
          <w:smallCaps w:val="0"/>
          <w:sz w:val="24"/>
          <w:szCs w:val="24"/>
        </w:rPr>
        <w:t>ontr</w:t>
      </w:r>
      <w:r>
        <w:rPr>
          <w:rFonts w:hint="eastAsia" w:ascii="Times New Roman" w:hAnsi="Times New Roman"/>
          <w:smallCaps w:val="0"/>
          <w:sz w:val="24"/>
          <w:szCs w:val="24"/>
        </w:rPr>
        <w:t>o</w:t>
      </w:r>
      <w:r>
        <w:rPr>
          <w:rFonts w:ascii="Times New Roman" w:hAnsi="Times New Roman"/>
          <w:smallCaps w:val="0"/>
          <w:sz w:val="24"/>
          <w:szCs w:val="24"/>
        </w:rPr>
        <w:t xml:space="preserve">l and </w:t>
      </w:r>
      <w:r>
        <w:rPr>
          <w:rFonts w:hint="eastAsia" w:ascii="Times New Roman" w:hAnsi="Times New Roman"/>
          <w:smallCaps w:val="0"/>
          <w:sz w:val="24"/>
          <w:szCs w:val="24"/>
        </w:rPr>
        <w:t>M</w:t>
      </w:r>
      <w:r>
        <w:rPr>
          <w:rFonts w:ascii="Times New Roman" w:hAnsi="Times New Roman"/>
          <w:smallCaps w:val="0"/>
          <w:sz w:val="24"/>
          <w:szCs w:val="24"/>
        </w:rPr>
        <w:t>easure</w:t>
      </w:r>
      <w:r>
        <w:rPr>
          <w:rFonts w:ascii="Times New Roman" w:hAnsi="Times New Roman"/>
          <w:smallCaps w:val="0"/>
          <w:sz w:val="24"/>
          <w:szCs w:val="24"/>
        </w:rPr>
        <w:tab/>
      </w:r>
      <w:r>
        <w:rPr>
          <w:rFonts w:hint="eastAsia" w:ascii="Times New Roman" w:hAnsi="Times New Roman"/>
          <w:smallCaps w:val="0"/>
          <w:sz w:val="24"/>
          <w:szCs w:val="24"/>
        </w:rPr>
        <w:t>2</w:t>
      </w:r>
      <w:r>
        <w:rPr>
          <w:rFonts w:ascii="Times New Roman" w:hAnsi="Times New Roman"/>
          <w:smallCaps w:val="0"/>
          <w:sz w:val="24"/>
          <w:szCs w:val="24"/>
        </w:rPr>
        <w:t>7</w:t>
      </w:r>
    </w:p>
    <w:p>
      <w:pPr>
        <w:pStyle w:val="21"/>
        <w:rPr>
          <w:rFonts w:ascii="Times New Roman" w:hAnsi="Times New Roman" w:eastAsiaTheme="minorEastAsia"/>
          <w:b w:val="0"/>
          <w:bCs w:val="0"/>
          <w:caps w:val="0"/>
          <w:sz w:val="24"/>
          <w:szCs w:val="24"/>
        </w:rPr>
      </w:pPr>
      <w:r>
        <w:rPr>
          <w:rFonts w:ascii="Times New Roman" w:hAnsi="Times New Roman"/>
          <w:b w:val="0"/>
          <w:caps w:val="0"/>
          <w:sz w:val="24"/>
          <w:szCs w:val="24"/>
        </w:rPr>
        <w:t xml:space="preserve">5 Water </w:t>
      </w:r>
      <w:r>
        <w:rPr>
          <w:rFonts w:hint="eastAsia" w:ascii="Times New Roman" w:hAnsi="Times New Roman"/>
          <w:b w:val="0"/>
          <w:caps w:val="0"/>
          <w:sz w:val="24"/>
          <w:szCs w:val="24"/>
        </w:rPr>
        <w:t>S</w:t>
      </w:r>
      <w:r>
        <w:rPr>
          <w:rFonts w:ascii="Times New Roman" w:hAnsi="Times New Roman"/>
          <w:b w:val="0"/>
          <w:caps w:val="0"/>
          <w:sz w:val="24"/>
          <w:szCs w:val="24"/>
        </w:rPr>
        <w:t xml:space="preserve">upply and </w:t>
      </w:r>
      <w:r>
        <w:rPr>
          <w:rFonts w:hint="eastAsia" w:ascii="Times New Roman" w:hAnsi="Times New Roman"/>
          <w:b w:val="0"/>
          <w:caps w:val="0"/>
          <w:sz w:val="24"/>
          <w:szCs w:val="24"/>
        </w:rPr>
        <w:t>D</w:t>
      </w:r>
      <w:r>
        <w:rPr>
          <w:rFonts w:ascii="Times New Roman" w:hAnsi="Times New Roman"/>
          <w:b w:val="0"/>
          <w:caps w:val="0"/>
          <w:sz w:val="24"/>
          <w:szCs w:val="24"/>
        </w:rPr>
        <w:t xml:space="preserve">rainage </w:t>
      </w:r>
      <w:r>
        <w:rPr>
          <w:rFonts w:ascii="Times New Roman" w:hAnsi="Times New Roman"/>
          <w:b w:val="0"/>
          <w:caps w:val="0"/>
          <w:sz w:val="24"/>
          <w:szCs w:val="24"/>
        </w:rPr>
        <w:tab/>
      </w:r>
      <w:r>
        <w:rPr>
          <w:rFonts w:ascii="Times New Roman" w:hAnsi="Times New Roman"/>
          <w:b w:val="0"/>
          <w:caps w:val="0"/>
          <w:sz w:val="24"/>
          <w:szCs w:val="24"/>
        </w:rPr>
        <w:t>30</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5.1 General </w:t>
      </w:r>
      <w:r>
        <w:rPr>
          <w:rFonts w:hint="eastAsia" w:ascii="Times New Roman" w:hAnsi="Times New Roman"/>
          <w:smallCaps w:val="0"/>
          <w:sz w:val="24"/>
          <w:szCs w:val="24"/>
        </w:rPr>
        <w:t>R</w:t>
      </w:r>
      <w:r>
        <w:rPr>
          <w:rFonts w:ascii="Times New Roman" w:hAnsi="Times New Roman"/>
          <w:smallCaps w:val="0"/>
          <w:sz w:val="24"/>
          <w:szCs w:val="24"/>
        </w:rPr>
        <w:t>equirement</w:t>
      </w:r>
      <w:r>
        <w:rPr>
          <w:rFonts w:hint="eastAsia" w:ascii="Times New Roman" w:hAnsi="Times New Roman"/>
          <w:smallCaps w:val="0"/>
          <w:sz w:val="24"/>
          <w:szCs w:val="24"/>
        </w:rPr>
        <w:t>s</w:t>
      </w:r>
      <w:r>
        <w:rPr>
          <w:rFonts w:ascii="Times New Roman" w:hAnsi="Times New Roman"/>
          <w:smallCaps w:val="0"/>
          <w:sz w:val="24"/>
          <w:szCs w:val="24"/>
        </w:rPr>
        <w:tab/>
      </w:r>
      <w:r>
        <w:rPr>
          <w:rFonts w:ascii="Times New Roman" w:hAnsi="Times New Roman"/>
          <w:smallCaps w:val="0"/>
          <w:sz w:val="24"/>
          <w:szCs w:val="24"/>
        </w:rPr>
        <w:t>30</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5.2 Water </w:t>
      </w:r>
      <w:r>
        <w:rPr>
          <w:rFonts w:hint="eastAsia" w:ascii="Times New Roman" w:hAnsi="Times New Roman"/>
          <w:smallCaps w:val="0"/>
          <w:sz w:val="24"/>
          <w:szCs w:val="24"/>
        </w:rPr>
        <w:t>S</w:t>
      </w:r>
      <w:r>
        <w:rPr>
          <w:rFonts w:ascii="Times New Roman" w:hAnsi="Times New Roman"/>
          <w:smallCaps w:val="0"/>
          <w:sz w:val="24"/>
          <w:szCs w:val="24"/>
        </w:rPr>
        <w:t xml:space="preserve">upply and </w:t>
      </w:r>
      <w:r>
        <w:rPr>
          <w:rFonts w:hint="eastAsia" w:ascii="Times New Roman" w:hAnsi="Times New Roman"/>
          <w:smallCaps w:val="0"/>
          <w:sz w:val="24"/>
          <w:szCs w:val="24"/>
        </w:rPr>
        <w:t>D</w:t>
      </w:r>
      <w:r>
        <w:rPr>
          <w:rFonts w:ascii="Times New Roman" w:hAnsi="Times New Roman"/>
          <w:smallCaps w:val="0"/>
          <w:sz w:val="24"/>
          <w:szCs w:val="24"/>
        </w:rPr>
        <w:t xml:space="preserve">rainage </w:t>
      </w:r>
      <w:r>
        <w:rPr>
          <w:rFonts w:hint="eastAsia" w:ascii="Times New Roman" w:hAnsi="Times New Roman"/>
          <w:smallCaps w:val="0"/>
          <w:sz w:val="24"/>
          <w:szCs w:val="24"/>
        </w:rPr>
        <w:t>S</w:t>
      </w:r>
      <w:r>
        <w:rPr>
          <w:rFonts w:ascii="Times New Roman" w:hAnsi="Times New Roman"/>
          <w:smallCaps w:val="0"/>
          <w:sz w:val="24"/>
          <w:szCs w:val="24"/>
        </w:rPr>
        <w:t>ystem</w:t>
      </w:r>
      <w:r>
        <w:rPr>
          <w:rFonts w:ascii="Times New Roman" w:hAnsi="Times New Roman"/>
          <w:smallCaps w:val="0"/>
          <w:sz w:val="24"/>
          <w:szCs w:val="24"/>
        </w:rPr>
        <w:tab/>
      </w:r>
      <w:r>
        <w:rPr>
          <w:rFonts w:ascii="Times New Roman" w:hAnsi="Times New Roman"/>
          <w:smallCaps w:val="0"/>
          <w:sz w:val="24"/>
          <w:szCs w:val="24"/>
        </w:rPr>
        <w:t>31</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5.3 Service </w:t>
      </w:r>
      <w:r>
        <w:rPr>
          <w:rFonts w:hint="eastAsia" w:ascii="Times New Roman" w:hAnsi="Times New Roman"/>
          <w:smallCaps w:val="0"/>
          <w:sz w:val="24"/>
          <w:szCs w:val="24"/>
        </w:rPr>
        <w:t>W</w:t>
      </w:r>
      <w:r>
        <w:rPr>
          <w:rFonts w:ascii="Times New Roman" w:hAnsi="Times New Roman"/>
          <w:smallCaps w:val="0"/>
          <w:sz w:val="24"/>
          <w:szCs w:val="24"/>
        </w:rPr>
        <w:t xml:space="preserve">ater </w:t>
      </w:r>
      <w:r>
        <w:rPr>
          <w:rFonts w:hint="eastAsia" w:ascii="Times New Roman" w:hAnsi="Times New Roman"/>
          <w:smallCaps w:val="0"/>
          <w:sz w:val="24"/>
          <w:szCs w:val="24"/>
        </w:rPr>
        <w:t>H</w:t>
      </w:r>
      <w:r>
        <w:rPr>
          <w:rFonts w:ascii="Times New Roman" w:hAnsi="Times New Roman"/>
          <w:smallCaps w:val="0"/>
          <w:sz w:val="24"/>
          <w:szCs w:val="24"/>
        </w:rPr>
        <w:t>eating</w:t>
      </w:r>
      <w:r>
        <w:rPr>
          <w:rFonts w:ascii="Times New Roman" w:hAnsi="Times New Roman"/>
          <w:smallCaps w:val="0"/>
          <w:sz w:val="24"/>
          <w:szCs w:val="24"/>
        </w:rPr>
        <w:tab/>
      </w:r>
      <w:r>
        <w:rPr>
          <w:rFonts w:ascii="Times New Roman" w:hAnsi="Times New Roman"/>
          <w:smallCaps w:val="0"/>
          <w:sz w:val="24"/>
          <w:szCs w:val="24"/>
        </w:rPr>
        <w:t>33</w:t>
      </w:r>
    </w:p>
    <w:p>
      <w:pPr>
        <w:pStyle w:val="21"/>
        <w:rPr>
          <w:rFonts w:ascii="Times New Roman" w:hAnsi="Times New Roman"/>
          <w:b w:val="0"/>
          <w:caps w:val="0"/>
          <w:sz w:val="24"/>
          <w:szCs w:val="24"/>
        </w:rPr>
      </w:pPr>
      <w:r>
        <w:rPr>
          <w:b w:val="0"/>
          <w:sz w:val="24"/>
          <w:szCs w:val="24"/>
        </w:rPr>
        <w:t xml:space="preserve">6 </w:t>
      </w:r>
      <w:r>
        <w:rPr>
          <w:rFonts w:hint="eastAsia" w:ascii="Times New Roman" w:hAnsi="Times New Roman"/>
          <w:b w:val="0"/>
          <w:caps w:val="0"/>
          <w:sz w:val="24"/>
          <w:szCs w:val="24"/>
        </w:rPr>
        <w:t>E</w:t>
      </w:r>
      <w:r>
        <w:rPr>
          <w:rFonts w:ascii="Times New Roman" w:hAnsi="Times New Roman"/>
          <w:b w:val="0"/>
          <w:caps w:val="0"/>
          <w:sz w:val="24"/>
          <w:szCs w:val="24"/>
        </w:rPr>
        <w:t>lectric</w:t>
      </w:r>
      <w:r>
        <w:rPr>
          <w:rFonts w:ascii="Times New Roman" w:hAnsi="Times New Roman"/>
          <w:b w:val="0"/>
          <w:caps w:val="0"/>
          <w:sz w:val="24"/>
          <w:szCs w:val="24"/>
        </w:rPr>
        <w:tab/>
      </w:r>
      <w:r>
        <w:rPr>
          <w:rFonts w:ascii="Times New Roman" w:hAnsi="Times New Roman"/>
          <w:b w:val="0"/>
          <w:caps w:val="0"/>
          <w:sz w:val="24"/>
          <w:szCs w:val="24"/>
        </w:rPr>
        <w:t>33</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6.1 General </w:t>
      </w:r>
      <w:r>
        <w:rPr>
          <w:rFonts w:hint="eastAsia" w:ascii="Times New Roman" w:hAnsi="Times New Roman"/>
          <w:smallCaps w:val="0"/>
          <w:sz w:val="24"/>
          <w:szCs w:val="24"/>
        </w:rPr>
        <w:t>R</w:t>
      </w:r>
      <w:r>
        <w:rPr>
          <w:rFonts w:ascii="Times New Roman" w:hAnsi="Times New Roman"/>
          <w:smallCaps w:val="0"/>
          <w:sz w:val="24"/>
          <w:szCs w:val="24"/>
        </w:rPr>
        <w:t>equirement</w:t>
      </w:r>
      <w:r>
        <w:rPr>
          <w:rFonts w:hint="eastAsia" w:ascii="Times New Roman" w:hAnsi="Times New Roman"/>
          <w:smallCaps w:val="0"/>
          <w:sz w:val="24"/>
          <w:szCs w:val="24"/>
        </w:rPr>
        <w:t>s</w:t>
      </w:r>
      <w:r>
        <w:rPr>
          <w:rFonts w:ascii="Times New Roman" w:hAnsi="Times New Roman"/>
          <w:smallCaps w:val="0"/>
          <w:sz w:val="24"/>
          <w:szCs w:val="24"/>
        </w:rPr>
        <w:tab/>
      </w:r>
      <w:r>
        <w:rPr>
          <w:rFonts w:ascii="Times New Roman" w:hAnsi="Times New Roman"/>
          <w:smallCaps w:val="0"/>
          <w:sz w:val="24"/>
          <w:szCs w:val="24"/>
        </w:rPr>
        <w:t>33</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6.2 Power </w:t>
      </w:r>
      <w:r>
        <w:rPr>
          <w:rFonts w:hint="eastAsia" w:ascii="Times New Roman" w:hAnsi="Times New Roman"/>
          <w:smallCaps w:val="0"/>
          <w:sz w:val="24"/>
          <w:szCs w:val="24"/>
        </w:rPr>
        <w:t>S</w:t>
      </w:r>
      <w:r>
        <w:rPr>
          <w:rFonts w:ascii="Times New Roman" w:hAnsi="Times New Roman"/>
          <w:smallCaps w:val="0"/>
          <w:sz w:val="24"/>
          <w:szCs w:val="24"/>
        </w:rPr>
        <w:t xml:space="preserve">upply and </w:t>
      </w:r>
      <w:r>
        <w:rPr>
          <w:rFonts w:hint="eastAsia" w:ascii="Times New Roman" w:hAnsi="Times New Roman"/>
          <w:smallCaps w:val="0"/>
          <w:sz w:val="24"/>
          <w:szCs w:val="24"/>
        </w:rPr>
        <w:t>D</w:t>
      </w:r>
      <w:r>
        <w:rPr>
          <w:rFonts w:ascii="Times New Roman" w:hAnsi="Times New Roman"/>
          <w:smallCaps w:val="0"/>
          <w:sz w:val="24"/>
          <w:szCs w:val="24"/>
        </w:rPr>
        <w:t xml:space="preserve">istribution </w:t>
      </w:r>
      <w:r>
        <w:rPr>
          <w:rFonts w:hint="eastAsia" w:ascii="Times New Roman" w:hAnsi="Times New Roman"/>
          <w:smallCaps w:val="0"/>
          <w:sz w:val="24"/>
          <w:szCs w:val="24"/>
        </w:rPr>
        <w:t>S</w:t>
      </w:r>
      <w:r>
        <w:rPr>
          <w:rFonts w:ascii="Times New Roman" w:hAnsi="Times New Roman"/>
          <w:smallCaps w:val="0"/>
          <w:sz w:val="24"/>
          <w:szCs w:val="24"/>
        </w:rPr>
        <w:t>ystem</w:t>
      </w:r>
      <w:r>
        <w:rPr>
          <w:rFonts w:ascii="Times New Roman" w:hAnsi="Times New Roman"/>
          <w:smallCaps w:val="0"/>
          <w:sz w:val="24"/>
          <w:szCs w:val="24"/>
        </w:rPr>
        <w:tab/>
      </w:r>
      <w:r>
        <w:rPr>
          <w:rFonts w:hint="eastAsia" w:ascii="Times New Roman" w:hAnsi="Times New Roman"/>
          <w:smallCaps w:val="0"/>
          <w:sz w:val="24"/>
          <w:szCs w:val="24"/>
        </w:rPr>
        <w:t>3</w:t>
      </w:r>
      <w:r>
        <w:rPr>
          <w:rFonts w:ascii="Times New Roman" w:hAnsi="Times New Roman"/>
          <w:smallCaps w:val="0"/>
          <w:sz w:val="24"/>
          <w:szCs w:val="24"/>
        </w:rPr>
        <w:t>3</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6.3 Lighting</w:t>
      </w:r>
      <w:r>
        <w:rPr>
          <w:rFonts w:ascii="Times New Roman" w:hAnsi="Times New Roman"/>
          <w:smallCaps w:val="0"/>
          <w:sz w:val="24"/>
          <w:szCs w:val="24"/>
        </w:rPr>
        <w:tab/>
      </w:r>
      <w:r>
        <w:rPr>
          <w:rFonts w:hint="eastAsia" w:ascii="Times New Roman" w:hAnsi="Times New Roman"/>
          <w:smallCaps w:val="0"/>
          <w:sz w:val="24"/>
          <w:szCs w:val="24"/>
        </w:rPr>
        <w:t>3</w:t>
      </w:r>
      <w:r>
        <w:rPr>
          <w:rFonts w:ascii="Times New Roman" w:hAnsi="Times New Roman"/>
          <w:smallCaps w:val="0"/>
          <w:sz w:val="24"/>
          <w:szCs w:val="24"/>
        </w:rPr>
        <w:t>4</w:t>
      </w:r>
    </w:p>
    <w:p>
      <w:pPr>
        <w:pStyle w:val="25"/>
        <w:spacing w:line="276" w:lineRule="auto"/>
        <w:rPr>
          <w:rFonts w:ascii="Times New Roman" w:hAnsi="Times New Roman"/>
          <w:smallCaps w:val="0"/>
          <w:sz w:val="24"/>
          <w:szCs w:val="24"/>
        </w:rPr>
      </w:pPr>
      <w:r>
        <w:rPr>
          <w:rFonts w:ascii="Times New Roman" w:hAnsi="Times New Roman"/>
          <w:smallCaps w:val="0"/>
          <w:sz w:val="24"/>
          <w:szCs w:val="24"/>
        </w:rPr>
        <w:t>6.</w:t>
      </w:r>
      <w:r>
        <w:rPr>
          <w:rFonts w:hint="eastAsia" w:ascii="Times New Roman" w:hAnsi="Times New Roman"/>
          <w:smallCaps w:val="0"/>
          <w:sz w:val="24"/>
          <w:szCs w:val="24"/>
        </w:rPr>
        <w:t>4</w:t>
      </w:r>
      <w:r>
        <w:rPr>
          <w:rFonts w:ascii="Times New Roman" w:hAnsi="Times New Roman"/>
          <w:smallCaps w:val="0"/>
          <w:sz w:val="24"/>
          <w:szCs w:val="24"/>
        </w:rPr>
        <w:t xml:space="preserve"> Electric </w:t>
      </w:r>
      <w:r>
        <w:rPr>
          <w:rFonts w:hint="eastAsia" w:ascii="Times New Roman" w:hAnsi="Times New Roman"/>
          <w:smallCaps w:val="0"/>
          <w:sz w:val="24"/>
          <w:szCs w:val="24"/>
        </w:rPr>
        <w:t>P</w:t>
      </w:r>
      <w:r>
        <w:rPr>
          <w:rFonts w:ascii="Times New Roman" w:hAnsi="Times New Roman"/>
          <w:smallCaps w:val="0"/>
          <w:sz w:val="24"/>
          <w:szCs w:val="24"/>
        </w:rPr>
        <w:t xml:space="preserve">ower </w:t>
      </w:r>
      <w:r>
        <w:rPr>
          <w:rFonts w:hint="eastAsia" w:ascii="Times New Roman" w:hAnsi="Times New Roman"/>
          <w:smallCaps w:val="0"/>
          <w:sz w:val="24"/>
          <w:szCs w:val="24"/>
        </w:rPr>
        <w:t>S</w:t>
      </w:r>
      <w:r>
        <w:rPr>
          <w:rFonts w:ascii="Times New Roman" w:hAnsi="Times New Roman"/>
          <w:smallCaps w:val="0"/>
          <w:sz w:val="24"/>
          <w:szCs w:val="24"/>
        </w:rPr>
        <w:t>upervision</w:t>
      </w:r>
      <w:r>
        <w:rPr>
          <w:rFonts w:hint="eastAsia" w:ascii="Times New Roman" w:hAnsi="Times New Roman"/>
          <w:smallCaps w:val="0"/>
          <w:sz w:val="24"/>
          <w:szCs w:val="24"/>
        </w:rPr>
        <w:t>and M</w:t>
      </w:r>
      <w:r>
        <w:rPr>
          <w:rFonts w:ascii="Times New Roman" w:hAnsi="Times New Roman"/>
          <w:smallCaps w:val="0"/>
          <w:sz w:val="24"/>
          <w:szCs w:val="24"/>
        </w:rPr>
        <w:t>easure</w:t>
      </w:r>
      <w:r>
        <w:rPr>
          <w:rFonts w:ascii="Times New Roman" w:hAnsi="Times New Roman"/>
          <w:smallCaps w:val="0"/>
          <w:sz w:val="24"/>
          <w:szCs w:val="24"/>
        </w:rPr>
        <w:tab/>
      </w:r>
      <w:r>
        <w:rPr>
          <w:rFonts w:hint="eastAsia" w:ascii="Times New Roman" w:hAnsi="Times New Roman"/>
          <w:smallCaps w:val="0"/>
          <w:sz w:val="24"/>
          <w:szCs w:val="24"/>
        </w:rPr>
        <w:t>3</w:t>
      </w:r>
      <w:r>
        <w:rPr>
          <w:rFonts w:ascii="Times New Roman" w:hAnsi="Times New Roman"/>
          <w:smallCaps w:val="0"/>
          <w:sz w:val="24"/>
          <w:szCs w:val="24"/>
        </w:rPr>
        <w:t>6</w:t>
      </w:r>
    </w:p>
    <w:p>
      <w:pPr>
        <w:pStyle w:val="25"/>
        <w:spacing w:line="276" w:lineRule="auto"/>
        <w:rPr>
          <w:rFonts w:hint="eastAsia" w:ascii="Times New Roman" w:hAnsi="Times New Roman"/>
          <w:smallCaps w:val="0"/>
          <w:sz w:val="24"/>
          <w:szCs w:val="24"/>
        </w:rPr>
      </w:pPr>
      <w:r>
        <w:rPr>
          <w:rFonts w:hint="eastAsia" w:ascii="Times New Roman" w:hAnsi="Times New Roman"/>
          <w:smallCaps w:val="0"/>
          <w:sz w:val="24"/>
          <w:szCs w:val="24"/>
        </w:rPr>
        <w:t>6</w:t>
      </w:r>
      <w:r>
        <w:rPr>
          <w:rFonts w:ascii="Times New Roman" w:hAnsi="Times New Roman"/>
          <w:smallCaps w:val="0"/>
          <w:sz w:val="24"/>
          <w:szCs w:val="24"/>
        </w:rPr>
        <w:t xml:space="preserve">.5 Building equipment management system </w:t>
      </w:r>
      <w:r>
        <w:rPr>
          <w:rFonts w:ascii="Times New Roman" w:hAnsi="Times New Roman"/>
          <w:smallCaps w:val="0"/>
          <w:sz w:val="24"/>
          <w:szCs w:val="24"/>
        </w:rPr>
        <w:tab/>
      </w:r>
      <w:r>
        <w:rPr>
          <w:rFonts w:hint="eastAsia" w:ascii="Times New Roman" w:hAnsi="Times New Roman"/>
          <w:smallCaps w:val="0"/>
          <w:sz w:val="24"/>
          <w:szCs w:val="24"/>
        </w:rPr>
        <w:t>3</w:t>
      </w:r>
      <w:r>
        <w:rPr>
          <w:rFonts w:ascii="Times New Roman" w:hAnsi="Times New Roman"/>
          <w:smallCaps w:val="0"/>
          <w:sz w:val="24"/>
          <w:szCs w:val="24"/>
        </w:rPr>
        <w:t>6</w:t>
      </w:r>
    </w:p>
    <w:p>
      <w:pPr>
        <w:pStyle w:val="21"/>
        <w:rPr>
          <w:rFonts w:ascii="Times New Roman" w:hAnsi="Times New Roman" w:eastAsiaTheme="minorEastAsia"/>
          <w:b w:val="0"/>
          <w:bCs w:val="0"/>
          <w:caps w:val="0"/>
          <w:sz w:val="24"/>
          <w:szCs w:val="24"/>
        </w:rPr>
      </w:pPr>
      <w:bookmarkStart w:id="17" w:name="_Hlk148545049"/>
      <w:r>
        <w:rPr>
          <w:rFonts w:ascii="Times New Roman" w:hAnsi="Times New Roman"/>
          <w:b w:val="0"/>
          <w:caps w:val="0"/>
          <w:sz w:val="24"/>
          <w:szCs w:val="24"/>
        </w:rPr>
        <w:t xml:space="preserve">7 Renewable </w:t>
      </w:r>
      <w:r>
        <w:rPr>
          <w:rFonts w:hint="eastAsia" w:ascii="Times New Roman" w:hAnsi="Times New Roman"/>
          <w:b w:val="0"/>
          <w:caps w:val="0"/>
          <w:sz w:val="24"/>
          <w:szCs w:val="24"/>
        </w:rPr>
        <w:t>E</w:t>
      </w:r>
      <w:r>
        <w:rPr>
          <w:rFonts w:ascii="Times New Roman" w:hAnsi="Times New Roman"/>
          <w:b w:val="0"/>
          <w:caps w:val="0"/>
          <w:sz w:val="24"/>
          <w:szCs w:val="24"/>
        </w:rPr>
        <w:t xml:space="preserve">nergy </w:t>
      </w:r>
      <w:r>
        <w:rPr>
          <w:rFonts w:hint="eastAsia" w:ascii="Times New Roman" w:hAnsi="Times New Roman"/>
          <w:b w:val="0"/>
          <w:caps w:val="0"/>
          <w:sz w:val="24"/>
          <w:szCs w:val="24"/>
        </w:rPr>
        <w:t>A</w:t>
      </w:r>
      <w:r>
        <w:rPr>
          <w:rFonts w:ascii="Times New Roman" w:hAnsi="Times New Roman"/>
          <w:b w:val="0"/>
          <w:caps w:val="0"/>
          <w:sz w:val="24"/>
          <w:szCs w:val="24"/>
        </w:rPr>
        <w:t>pplication</w:t>
      </w:r>
      <w:r>
        <w:rPr>
          <w:rFonts w:ascii="Times New Roman" w:hAnsi="Times New Roman"/>
          <w:b w:val="0"/>
          <w:caps w:val="0"/>
          <w:sz w:val="24"/>
          <w:szCs w:val="24"/>
        </w:rPr>
        <w:tab/>
      </w:r>
      <w:r>
        <w:rPr>
          <w:rFonts w:hint="eastAsia" w:ascii="Times New Roman" w:hAnsi="Times New Roman"/>
          <w:b w:val="0"/>
          <w:caps w:val="0"/>
          <w:sz w:val="24"/>
          <w:szCs w:val="24"/>
        </w:rPr>
        <w:t>3</w:t>
      </w:r>
      <w:r>
        <w:rPr>
          <w:rFonts w:ascii="Times New Roman" w:hAnsi="Times New Roman"/>
          <w:b w:val="0"/>
          <w:caps w:val="0"/>
          <w:sz w:val="24"/>
          <w:szCs w:val="24"/>
        </w:rPr>
        <w:t>6</w:t>
      </w:r>
    </w:p>
    <w:bookmarkEnd w:id="17"/>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7.1 General </w:t>
      </w:r>
      <w:r>
        <w:rPr>
          <w:rFonts w:hint="eastAsia" w:ascii="Times New Roman" w:hAnsi="Times New Roman"/>
          <w:smallCaps w:val="0"/>
          <w:sz w:val="24"/>
          <w:szCs w:val="24"/>
        </w:rPr>
        <w:t>R</w:t>
      </w:r>
      <w:r>
        <w:rPr>
          <w:rFonts w:ascii="Times New Roman" w:hAnsi="Times New Roman"/>
          <w:smallCaps w:val="0"/>
          <w:sz w:val="24"/>
          <w:szCs w:val="24"/>
        </w:rPr>
        <w:t>equirement</w:t>
      </w:r>
      <w:r>
        <w:rPr>
          <w:rFonts w:hint="eastAsia" w:ascii="Times New Roman" w:hAnsi="Times New Roman"/>
          <w:smallCaps w:val="0"/>
          <w:sz w:val="24"/>
          <w:szCs w:val="24"/>
        </w:rPr>
        <w:t>s</w:t>
      </w:r>
      <w:r>
        <w:rPr>
          <w:rFonts w:ascii="Times New Roman" w:hAnsi="Times New Roman"/>
          <w:smallCaps w:val="0"/>
          <w:sz w:val="24"/>
          <w:szCs w:val="24"/>
        </w:rPr>
        <w:tab/>
      </w:r>
      <w:r>
        <w:rPr>
          <w:rFonts w:hint="eastAsia" w:ascii="Times New Roman" w:hAnsi="Times New Roman"/>
          <w:smallCaps w:val="0"/>
          <w:sz w:val="24"/>
          <w:szCs w:val="24"/>
        </w:rPr>
        <w:t>3</w:t>
      </w:r>
      <w:r>
        <w:rPr>
          <w:rFonts w:ascii="Times New Roman" w:hAnsi="Times New Roman"/>
          <w:smallCaps w:val="0"/>
          <w:sz w:val="24"/>
          <w:szCs w:val="24"/>
        </w:rPr>
        <w:t>6</w:t>
      </w:r>
    </w:p>
    <w:p>
      <w:pPr>
        <w:pStyle w:val="25"/>
        <w:spacing w:line="276" w:lineRule="auto"/>
        <w:rPr>
          <w:rFonts w:ascii="Times New Roman" w:hAnsi="Times New Roman" w:eastAsiaTheme="minorEastAsia"/>
          <w:smallCaps w:val="0"/>
          <w:sz w:val="24"/>
          <w:szCs w:val="24"/>
        </w:rPr>
      </w:pPr>
      <w:r>
        <w:rPr>
          <w:rFonts w:ascii="Times New Roman" w:hAnsi="Times New Roman"/>
          <w:smallCaps w:val="0"/>
          <w:sz w:val="24"/>
          <w:szCs w:val="24"/>
        </w:rPr>
        <w:t xml:space="preserve">7.2 Solar </w:t>
      </w:r>
      <w:r>
        <w:rPr>
          <w:rFonts w:hint="eastAsia" w:ascii="Times New Roman" w:hAnsi="Times New Roman"/>
          <w:smallCaps w:val="0"/>
          <w:sz w:val="24"/>
          <w:szCs w:val="24"/>
        </w:rPr>
        <w:t>E</w:t>
      </w:r>
      <w:r>
        <w:rPr>
          <w:rFonts w:ascii="Times New Roman" w:hAnsi="Times New Roman"/>
          <w:smallCaps w:val="0"/>
          <w:sz w:val="24"/>
          <w:szCs w:val="24"/>
        </w:rPr>
        <w:t xml:space="preserve">nergy </w:t>
      </w:r>
      <w:r>
        <w:rPr>
          <w:rFonts w:hint="eastAsia" w:ascii="Times New Roman" w:hAnsi="Times New Roman"/>
          <w:smallCaps w:val="0"/>
          <w:sz w:val="24"/>
          <w:szCs w:val="24"/>
        </w:rPr>
        <w:t>A</w:t>
      </w:r>
      <w:r>
        <w:rPr>
          <w:rFonts w:ascii="Times New Roman" w:hAnsi="Times New Roman"/>
          <w:smallCaps w:val="0"/>
          <w:sz w:val="24"/>
          <w:szCs w:val="24"/>
        </w:rPr>
        <w:t>pplication</w:t>
      </w:r>
      <w:r>
        <w:rPr>
          <w:rFonts w:ascii="Times New Roman" w:hAnsi="Times New Roman"/>
          <w:smallCaps w:val="0"/>
          <w:sz w:val="24"/>
          <w:szCs w:val="24"/>
        </w:rPr>
        <w:tab/>
      </w:r>
      <w:r>
        <w:rPr>
          <w:rFonts w:hint="eastAsia" w:ascii="Times New Roman" w:hAnsi="Times New Roman"/>
          <w:smallCaps w:val="0"/>
          <w:sz w:val="24"/>
          <w:szCs w:val="24"/>
        </w:rPr>
        <w:t>35</w:t>
      </w:r>
    </w:p>
    <w:p>
      <w:pPr>
        <w:pStyle w:val="25"/>
        <w:spacing w:line="276" w:lineRule="auto"/>
        <w:rPr>
          <w:rFonts w:ascii="Times New Roman" w:hAnsi="Times New Roman"/>
          <w:smallCaps w:val="0"/>
          <w:sz w:val="24"/>
          <w:szCs w:val="24"/>
        </w:rPr>
      </w:pPr>
      <w:r>
        <w:rPr>
          <w:rFonts w:ascii="Times New Roman" w:hAnsi="Times New Roman"/>
          <w:smallCaps w:val="0"/>
          <w:sz w:val="24"/>
          <w:szCs w:val="24"/>
        </w:rPr>
        <w:t>7.3</w:t>
      </w:r>
      <w:r>
        <w:rPr>
          <w:rFonts w:hint="eastAsia" w:ascii="Times New Roman" w:hAnsi="Times New Roman"/>
          <w:smallCaps w:val="0"/>
          <w:sz w:val="24"/>
          <w:szCs w:val="24"/>
        </w:rPr>
        <w:t xml:space="preserve"> Ground Source H</w:t>
      </w:r>
      <w:r>
        <w:rPr>
          <w:rFonts w:ascii="Times New Roman" w:hAnsi="Times New Roman"/>
          <w:smallCaps w:val="0"/>
          <w:sz w:val="24"/>
          <w:szCs w:val="24"/>
        </w:rPr>
        <w:t xml:space="preserve">eat </w:t>
      </w:r>
      <w:r>
        <w:rPr>
          <w:rFonts w:hint="eastAsia" w:ascii="Times New Roman" w:hAnsi="Times New Roman"/>
          <w:smallCaps w:val="0"/>
          <w:sz w:val="24"/>
          <w:szCs w:val="24"/>
        </w:rPr>
        <w:t>P</w:t>
      </w:r>
      <w:r>
        <w:rPr>
          <w:rFonts w:ascii="Times New Roman" w:hAnsi="Times New Roman"/>
          <w:smallCaps w:val="0"/>
          <w:sz w:val="24"/>
          <w:szCs w:val="24"/>
        </w:rPr>
        <w:t xml:space="preserve">ump </w:t>
      </w:r>
      <w:r>
        <w:rPr>
          <w:rFonts w:hint="eastAsia" w:ascii="Times New Roman" w:hAnsi="Times New Roman"/>
          <w:smallCaps w:val="0"/>
          <w:sz w:val="24"/>
          <w:szCs w:val="24"/>
        </w:rPr>
        <w:t>S</w:t>
      </w:r>
      <w:r>
        <w:rPr>
          <w:rFonts w:ascii="Times New Roman" w:hAnsi="Times New Roman"/>
          <w:smallCaps w:val="0"/>
          <w:sz w:val="24"/>
          <w:szCs w:val="24"/>
        </w:rPr>
        <w:t>ystem</w:t>
      </w:r>
      <w:r>
        <w:rPr>
          <w:rFonts w:ascii="Times New Roman" w:hAnsi="Times New Roman"/>
          <w:smallCaps w:val="0"/>
          <w:sz w:val="24"/>
          <w:szCs w:val="24"/>
        </w:rPr>
        <w:tab/>
      </w:r>
      <w:r>
        <w:rPr>
          <w:rFonts w:hint="eastAsia" w:ascii="Times New Roman" w:hAnsi="Times New Roman"/>
          <w:smallCaps w:val="0"/>
          <w:sz w:val="24"/>
          <w:szCs w:val="24"/>
        </w:rPr>
        <w:t>36</w:t>
      </w:r>
    </w:p>
    <w:p>
      <w:pPr>
        <w:rPr>
          <w:sz w:val="24"/>
        </w:rPr>
      </w:pPr>
      <w:r>
        <w:rPr>
          <w:rFonts w:hint="eastAsia"/>
          <w:sz w:val="24"/>
        </w:rPr>
        <w:t>8</w:t>
      </w:r>
      <w:r>
        <w:rPr>
          <w:sz w:val="24"/>
        </w:rPr>
        <w:t xml:space="preserve"> Calculation of building energy consumption and carbon emissions</w:t>
      </w:r>
    </w:p>
    <w:p>
      <w:pPr>
        <w:pStyle w:val="21"/>
        <w:jc w:val="both"/>
        <w:rPr>
          <w:rFonts w:ascii="Times New Roman" w:hAnsi="Times New Roman"/>
          <w:b w:val="0"/>
          <w:caps w:val="0"/>
          <w:sz w:val="24"/>
          <w:szCs w:val="24"/>
        </w:rPr>
      </w:pPr>
      <w:r>
        <w:rPr>
          <w:rFonts w:ascii="Times New Roman" w:hAnsi="Times New Roman"/>
          <w:b w:val="0"/>
          <w:caps w:val="0"/>
          <w:sz w:val="24"/>
          <w:szCs w:val="24"/>
        </w:rPr>
        <w:tab/>
      </w:r>
      <w:r>
        <w:rPr>
          <w:rFonts w:ascii="Times New Roman" w:hAnsi="Times New Roman"/>
          <w:b w:val="0"/>
          <w:caps w:val="0"/>
          <w:sz w:val="24"/>
          <w:szCs w:val="24"/>
        </w:rPr>
        <w:t>4</w:t>
      </w:r>
      <w:r>
        <w:rPr>
          <w:rFonts w:hint="eastAsia" w:ascii="Times New Roman" w:hAnsi="Times New Roman"/>
          <w:b w:val="0"/>
          <w:caps w:val="0"/>
          <w:sz w:val="24"/>
          <w:szCs w:val="24"/>
        </w:rPr>
        <w:t>2</w:t>
      </w:r>
    </w:p>
    <w:p>
      <w:pPr>
        <w:pStyle w:val="25"/>
        <w:spacing w:line="276" w:lineRule="auto"/>
        <w:rPr>
          <w:rFonts w:ascii="Times New Roman" w:hAnsi="Times New Roman"/>
          <w:smallCaps w:val="0"/>
          <w:sz w:val="24"/>
          <w:szCs w:val="24"/>
        </w:rPr>
      </w:pPr>
      <w:r>
        <w:rPr>
          <w:rFonts w:hint="eastAsia" w:ascii="Times New Roman" w:hAnsi="Times New Roman"/>
          <w:smallCaps w:val="0"/>
          <w:sz w:val="24"/>
          <w:szCs w:val="24"/>
        </w:rPr>
        <w:t>8</w:t>
      </w:r>
      <w:r>
        <w:rPr>
          <w:rFonts w:ascii="Times New Roman" w:hAnsi="Times New Roman"/>
          <w:smallCaps w:val="0"/>
          <w:sz w:val="24"/>
          <w:szCs w:val="24"/>
        </w:rPr>
        <w:t xml:space="preserve">.1 General </w:t>
      </w:r>
      <w:r>
        <w:rPr>
          <w:rFonts w:hint="eastAsia" w:ascii="Times New Roman" w:hAnsi="Times New Roman"/>
          <w:smallCaps w:val="0"/>
          <w:sz w:val="24"/>
          <w:szCs w:val="24"/>
        </w:rPr>
        <w:t>R</w:t>
      </w:r>
      <w:r>
        <w:rPr>
          <w:rFonts w:ascii="Times New Roman" w:hAnsi="Times New Roman"/>
          <w:smallCaps w:val="0"/>
          <w:sz w:val="24"/>
          <w:szCs w:val="24"/>
        </w:rPr>
        <w:t>equirement</w:t>
      </w:r>
      <w:r>
        <w:rPr>
          <w:rFonts w:hint="eastAsia" w:ascii="Times New Roman" w:hAnsi="Times New Roman"/>
          <w:smallCaps w:val="0"/>
          <w:sz w:val="24"/>
          <w:szCs w:val="24"/>
        </w:rPr>
        <w:t>s</w:t>
      </w:r>
      <w:r>
        <w:rPr>
          <w:rFonts w:ascii="Times New Roman" w:hAnsi="Times New Roman"/>
          <w:smallCaps w:val="0"/>
          <w:sz w:val="24"/>
          <w:szCs w:val="24"/>
        </w:rPr>
        <w:tab/>
      </w:r>
      <w:r>
        <w:rPr>
          <w:rFonts w:ascii="Times New Roman" w:hAnsi="Times New Roman"/>
          <w:smallCaps w:val="0"/>
          <w:sz w:val="24"/>
          <w:szCs w:val="24"/>
        </w:rPr>
        <w:t>45</w:t>
      </w:r>
    </w:p>
    <w:p>
      <w:pPr>
        <w:pStyle w:val="25"/>
        <w:spacing w:line="276" w:lineRule="auto"/>
        <w:rPr>
          <w:rFonts w:ascii="Times New Roman" w:hAnsi="Times New Roman"/>
          <w:smallCaps w:val="0"/>
          <w:sz w:val="24"/>
          <w:szCs w:val="24"/>
        </w:rPr>
      </w:pPr>
      <w:r>
        <w:rPr>
          <w:rFonts w:hint="eastAsia" w:ascii="Times New Roman" w:hAnsi="Times New Roman"/>
          <w:smallCaps w:val="0"/>
          <w:sz w:val="24"/>
          <w:szCs w:val="24"/>
        </w:rPr>
        <w:t>8</w:t>
      </w:r>
      <w:r>
        <w:rPr>
          <w:rFonts w:ascii="Times New Roman" w:hAnsi="Times New Roman"/>
          <w:smallCaps w:val="0"/>
          <w:sz w:val="24"/>
          <w:szCs w:val="24"/>
        </w:rPr>
        <w:t>.2 Calculation of Building Energy Intensity</w:t>
      </w:r>
      <w:r>
        <w:rPr>
          <w:rFonts w:ascii="Times New Roman" w:hAnsi="Times New Roman"/>
          <w:smallCaps w:val="0"/>
          <w:sz w:val="24"/>
          <w:szCs w:val="24"/>
        </w:rPr>
        <w:tab/>
      </w:r>
      <w:r>
        <w:rPr>
          <w:rFonts w:ascii="Times New Roman" w:hAnsi="Times New Roman"/>
          <w:smallCaps w:val="0"/>
          <w:sz w:val="24"/>
          <w:szCs w:val="24"/>
        </w:rPr>
        <w:t>48</w:t>
      </w:r>
    </w:p>
    <w:p>
      <w:pPr>
        <w:pStyle w:val="25"/>
        <w:spacing w:line="276" w:lineRule="auto"/>
        <w:rPr>
          <w:rFonts w:ascii="Times New Roman" w:hAnsi="Times New Roman"/>
          <w:smallCaps w:val="0"/>
          <w:sz w:val="24"/>
          <w:szCs w:val="24"/>
        </w:rPr>
      </w:pPr>
      <w:r>
        <w:rPr>
          <w:rFonts w:hint="eastAsia" w:ascii="Times New Roman" w:hAnsi="Times New Roman"/>
          <w:smallCaps w:val="0"/>
          <w:sz w:val="24"/>
          <w:szCs w:val="24"/>
        </w:rPr>
        <w:t>8</w:t>
      </w:r>
      <w:r>
        <w:rPr>
          <w:rFonts w:ascii="Times New Roman" w:hAnsi="Times New Roman"/>
          <w:smallCaps w:val="0"/>
          <w:sz w:val="24"/>
          <w:szCs w:val="24"/>
        </w:rPr>
        <w:t>.2 Calculation of Building Carbon Intensity</w:t>
      </w:r>
      <w:r>
        <w:rPr>
          <w:rFonts w:ascii="Times New Roman" w:hAnsi="Times New Roman"/>
          <w:smallCaps w:val="0"/>
          <w:sz w:val="24"/>
          <w:szCs w:val="24"/>
        </w:rPr>
        <w:tab/>
      </w:r>
      <w:r>
        <w:rPr>
          <w:rFonts w:ascii="Times New Roman" w:hAnsi="Times New Roman"/>
          <w:smallCaps w:val="0"/>
          <w:sz w:val="24"/>
          <w:szCs w:val="24"/>
        </w:rPr>
        <w:t>49</w:t>
      </w:r>
    </w:p>
    <w:p>
      <w:pPr>
        <w:pStyle w:val="21"/>
        <w:rPr>
          <w:rFonts w:ascii="Times New Roman" w:hAnsi="Times New Roman" w:eastAsiaTheme="minorEastAsia"/>
          <w:b w:val="0"/>
          <w:bCs w:val="0"/>
          <w:caps w:val="0"/>
          <w:sz w:val="24"/>
          <w:szCs w:val="24"/>
        </w:rPr>
      </w:pPr>
      <w:r>
        <w:rPr>
          <w:rFonts w:ascii="Times New Roman" w:hAnsi="Times New Roman"/>
          <w:b w:val="0"/>
          <w:caps w:val="0"/>
          <w:kern w:val="0"/>
          <w:sz w:val="24"/>
          <w:szCs w:val="24"/>
        </w:rPr>
        <w:t xml:space="preserve">Appendix </w:t>
      </w:r>
      <w:r>
        <w:rPr>
          <w:rFonts w:hint="eastAsia" w:ascii="Times New Roman" w:hAnsi="Times New Roman"/>
          <w:b w:val="0"/>
          <w:caps w:val="0"/>
          <w:kern w:val="0"/>
          <w:sz w:val="24"/>
          <w:szCs w:val="24"/>
        </w:rPr>
        <w:t>A</w:t>
      </w:r>
      <w:r>
        <w:rPr>
          <w:rFonts w:ascii="Times New Roman" w:hAnsi="Times New Roman"/>
          <w:b w:val="0"/>
          <w:caps w:val="0"/>
          <w:kern w:val="0"/>
          <w:sz w:val="24"/>
          <w:szCs w:val="24"/>
        </w:rPr>
        <w:t xml:space="preserve"> </w:t>
      </w:r>
      <w:r>
        <w:rPr>
          <w:rFonts w:hint="eastAsia" w:ascii="Times New Roman" w:hAnsi="Times New Roman"/>
          <w:b w:val="0"/>
          <w:caps w:val="0"/>
          <w:kern w:val="0"/>
          <w:sz w:val="24"/>
          <w:szCs w:val="24"/>
        </w:rPr>
        <w:t>Calculation of mean heat transfer coefficient of walls</w:t>
      </w:r>
      <w:r>
        <w:rPr>
          <w:rFonts w:ascii="Times New Roman" w:hAnsi="Times New Roman"/>
          <w:b w:val="0"/>
          <w:caps w:val="0"/>
          <w:sz w:val="24"/>
          <w:szCs w:val="24"/>
        </w:rPr>
        <w:tab/>
      </w:r>
      <w:r>
        <w:rPr>
          <w:rFonts w:ascii="Times New Roman" w:hAnsi="Times New Roman"/>
          <w:b w:val="0"/>
          <w:caps w:val="0"/>
          <w:sz w:val="24"/>
          <w:szCs w:val="24"/>
        </w:rPr>
        <w:t>49</w:t>
      </w:r>
    </w:p>
    <w:p>
      <w:pPr>
        <w:pStyle w:val="21"/>
        <w:rPr>
          <w:rFonts w:ascii="Times New Roman" w:hAnsi="Times New Roman" w:eastAsiaTheme="minorEastAsia"/>
          <w:b w:val="0"/>
          <w:bCs w:val="0"/>
          <w:caps w:val="0"/>
          <w:sz w:val="24"/>
          <w:szCs w:val="24"/>
        </w:rPr>
      </w:pPr>
      <w:r>
        <w:rPr>
          <w:rFonts w:ascii="Times New Roman" w:hAnsi="Times New Roman"/>
          <w:b w:val="0"/>
          <w:caps w:val="0"/>
          <w:sz w:val="24"/>
          <w:szCs w:val="24"/>
        </w:rPr>
        <w:t xml:space="preserve">Appendix </w:t>
      </w:r>
      <w:r>
        <w:rPr>
          <w:rFonts w:hint="eastAsia" w:ascii="Times New Roman" w:hAnsi="Times New Roman"/>
          <w:b w:val="0"/>
          <w:caps w:val="0"/>
          <w:sz w:val="24"/>
          <w:szCs w:val="24"/>
        </w:rPr>
        <w:t>B</w:t>
      </w:r>
      <w:r>
        <w:rPr>
          <w:rFonts w:ascii="Times New Roman" w:hAnsi="Times New Roman"/>
          <w:b w:val="0"/>
          <w:caps w:val="0"/>
          <w:sz w:val="24"/>
          <w:szCs w:val="24"/>
        </w:rPr>
        <w:t xml:space="preserve"> </w:t>
      </w:r>
      <w:r>
        <w:rPr>
          <w:rFonts w:hint="eastAsia" w:ascii="Times New Roman" w:hAnsi="Times New Roman"/>
          <w:b w:val="0"/>
          <w:caps w:val="0"/>
          <w:sz w:val="24"/>
          <w:szCs w:val="24"/>
        </w:rPr>
        <w:t>Building envelope thermal performance compliance form</w:t>
      </w:r>
      <w:r>
        <w:rPr>
          <w:rFonts w:ascii="Times New Roman" w:hAnsi="Times New Roman"/>
          <w:b w:val="0"/>
          <w:caps w:val="0"/>
          <w:sz w:val="24"/>
          <w:szCs w:val="24"/>
        </w:rPr>
        <w:tab/>
      </w:r>
      <w:r>
        <w:rPr>
          <w:rFonts w:ascii="Times New Roman" w:hAnsi="Times New Roman"/>
          <w:b w:val="0"/>
          <w:caps w:val="0"/>
          <w:sz w:val="24"/>
          <w:szCs w:val="24"/>
        </w:rPr>
        <w:t>50</w:t>
      </w:r>
    </w:p>
    <w:p>
      <w:pPr>
        <w:pStyle w:val="21"/>
        <w:rPr>
          <w:rFonts w:ascii="Times New Roman" w:hAnsi="Times New Roman" w:eastAsiaTheme="minorEastAsia"/>
          <w:b w:val="0"/>
          <w:bCs w:val="0"/>
          <w:caps w:val="0"/>
          <w:sz w:val="24"/>
          <w:szCs w:val="24"/>
        </w:rPr>
      </w:pPr>
      <w:r>
        <w:rPr>
          <w:rFonts w:ascii="Times New Roman" w:hAnsi="Times New Roman"/>
          <w:b w:val="0"/>
          <w:caps w:val="0"/>
          <w:sz w:val="24"/>
          <w:szCs w:val="24"/>
        </w:rPr>
        <w:t xml:space="preserve">Appendix C </w:t>
      </w:r>
      <w:r>
        <w:rPr>
          <w:rFonts w:hint="eastAsia" w:ascii="Times New Roman" w:hAnsi="Times New Roman"/>
          <w:b w:val="0"/>
          <w:caps w:val="0"/>
          <w:sz w:val="24"/>
          <w:szCs w:val="24"/>
        </w:rPr>
        <w:t xml:space="preserve">Insulation thickness of </w:t>
      </w:r>
      <w:r>
        <w:rPr>
          <w:rFonts w:hint="eastAsia" w:ascii="Times New Roman"/>
          <w:b w:val="0"/>
          <w:caps w:val="0"/>
          <w:sz w:val="24"/>
          <w:szCs w:val="24"/>
        </w:rPr>
        <w:t>pipes,ducts and equipments</w:t>
      </w:r>
      <w:r>
        <w:rPr>
          <w:rFonts w:ascii="Times New Roman" w:hAnsi="Times New Roman"/>
          <w:b w:val="0"/>
          <w:caps w:val="0"/>
          <w:sz w:val="24"/>
          <w:szCs w:val="24"/>
        </w:rPr>
        <w:tab/>
      </w:r>
      <w:r>
        <w:rPr>
          <w:rFonts w:ascii="Times New Roman" w:hAnsi="Times New Roman"/>
          <w:b w:val="0"/>
          <w:caps w:val="0"/>
          <w:sz w:val="24"/>
          <w:szCs w:val="24"/>
        </w:rPr>
        <w:t>52</w:t>
      </w:r>
    </w:p>
    <w:p>
      <w:pPr>
        <w:widowControl/>
        <w:jc w:val="center"/>
        <w:rPr>
          <w:rFonts w:hint="eastAsia"/>
          <w:b/>
          <w:bCs/>
          <w:kern w:val="0"/>
          <w:sz w:val="44"/>
          <w:szCs w:val="44"/>
        </w:rPr>
        <w:sectPr>
          <w:headerReference r:id="rId5" w:type="default"/>
          <w:footerReference r:id="rId6" w:type="default"/>
          <w:pgSz w:w="11906" w:h="16838"/>
          <w:pgMar w:top="1134" w:right="1797" w:bottom="794" w:left="1797" w:header="851" w:footer="992" w:gutter="0"/>
          <w:pgNumType w:fmt="upperRoman"/>
          <w:cols w:space="425" w:num="1"/>
          <w:docGrid w:type="lines" w:linePitch="312" w:charSpace="0"/>
        </w:sectPr>
      </w:pPr>
      <w:r>
        <w:rPr>
          <w:rFonts w:cs="Arial"/>
          <w:caps/>
          <w:kern w:val="0"/>
          <w:sz w:val="22"/>
          <w:szCs w:val="20"/>
        </w:rPr>
        <w:fldChar w:fldCharType="end"/>
      </w:r>
    </w:p>
    <w:p>
      <w:pPr>
        <w:pStyle w:val="2"/>
        <w:spacing w:line="276" w:lineRule="auto"/>
        <w:jc w:val="center"/>
        <w:rPr>
          <w:kern w:val="0"/>
        </w:rPr>
      </w:pPr>
      <w:bookmarkStart w:id="18" w:name="_Toc146734710"/>
      <w:bookmarkStart w:id="19" w:name="_Toc376970872"/>
      <w:bookmarkStart w:id="20" w:name="_Toc377052126"/>
      <w:bookmarkStart w:id="21" w:name="_Toc187572565"/>
      <w:r>
        <w:rPr>
          <w:rFonts w:hint="eastAsia"/>
          <w:kern w:val="0"/>
        </w:rPr>
        <w:t>1  总则</w:t>
      </w:r>
      <w:bookmarkEnd w:id="18"/>
      <w:bookmarkEnd w:id="19"/>
      <w:bookmarkEnd w:id="20"/>
    </w:p>
    <w:p>
      <w:pPr>
        <w:autoSpaceDE w:val="0"/>
        <w:autoSpaceDN w:val="0"/>
        <w:adjustRightInd w:val="0"/>
        <w:spacing w:line="276" w:lineRule="auto"/>
        <w:rPr>
          <w:rFonts w:cs="Arial"/>
          <w:b/>
          <w:kern w:val="0"/>
          <w:sz w:val="24"/>
        </w:rPr>
      </w:pPr>
    </w:p>
    <w:p>
      <w:pPr>
        <w:autoSpaceDE w:val="0"/>
        <w:autoSpaceDN w:val="0"/>
        <w:adjustRightInd w:val="0"/>
        <w:spacing w:line="276" w:lineRule="auto"/>
        <w:rPr>
          <w:kern w:val="0"/>
          <w:sz w:val="24"/>
        </w:rPr>
      </w:pPr>
      <w:r>
        <w:rPr>
          <w:rFonts w:cs="Arial"/>
          <w:b/>
          <w:kern w:val="0"/>
          <w:sz w:val="24"/>
        </w:rPr>
        <w:t>1.0.1</w:t>
      </w:r>
      <w:r>
        <w:rPr>
          <w:rFonts w:hint="eastAsia"/>
          <w:kern w:val="0"/>
          <w:sz w:val="24"/>
        </w:rPr>
        <w:t>为贯彻国家有关法律法规和方针政策，改善公共建筑的室内环境，提高能源利用效率，促进可再生能源的建筑应用，降低建筑能耗及碳排放，制定本标准。</w:t>
      </w:r>
    </w:p>
    <w:p>
      <w:pPr>
        <w:autoSpaceDE w:val="0"/>
        <w:autoSpaceDN w:val="0"/>
        <w:adjustRightInd w:val="0"/>
        <w:spacing w:line="276" w:lineRule="auto"/>
        <w:ind w:firstLine="435"/>
        <w:rPr>
          <w:kern w:val="0"/>
        </w:rPr>
      </w:pPr>
    </w:p>
    <w:p>
      <w:pPr>
        <w:autoSpaceDE w:val="0"/>
        <w:autoSpaceDN w:val="0"/>
        <w:adjustRightInd w:val="0"/>
        <w:spacing w:line="276" w:lineRule="auto"/>
        <w:rPr>
          <w:kern w:val="0"/>
          <w:sz w:val="24"/>
        </w:rPr>
      </w:pPr>
      <w:r>
        <w:rPr>
          <w:rFonts w:cs="Arial"/>
          <w:b/>
          <w:kern w:val="0"/>
          <w:sz w:val="24"/>
        </w:rPr>
        <w:t>1.0</w:t>
      </w:r>
      <w:r>
        <w:rPr>
          <w:rFonts w:cs="Arial"/>
          <w:bCs/>
          <w:kern w:val="0"/>
          <w:sz w:val="24"/>
        </w:rPr>
        <w:t>.</w:t>
      </w:r>
      <w:r>
        <w:rPr>
          <w:rFonts w:cs="Arial"/>
          <w:b/>
          <w:kern w:val="0"/>
          <w:sz w:val="24"/>
        </w:rPr>
        <w:t>2</w:t>
      </w:r>
      <w:r>
        <w:rPr>
          <w:rFonts w:hint="eastAsia"/>
          <w:bCs/>
          <w:kern w:val="0"/>
          <w:sz w:val="24"/>
        </w:rPr>
        <w:t xml:space="preserve"> 本</w:t>
      </w:r>
      <w:r>
        <w:rPr>
          <w:rFonts w:hint="eastAsia"/>
          <w:kern w:val="0"/>
          <w:sz w:val="24"/>
        </w:rPr>
        <w:t>标准适用于新建、扩建和改建建筑公共建筑节能设计。</w:t>
      </w:r>
    </w:p>
    <w:p>
      <w:pPr>
        <w:autoSpaceDE w:val="0"/>
        <w:autoSpaceDN w:val="0"/>
        <w:adjustRightInd w:val="0"/>
        <w:spacing w:line="276" w:lineRule="auto"/>
        <w:rPr>
          <w:kern w:val="0"/>
          <w:sz w:val="24"/>
        </w:rPr>
      </w:pPr>
    </w:p>
    <w:p>
      <w:pPr>
        <w:autoSpaceDE w:val="0"/>
        <w:autoSpaceDN w:val="0"/>
        <w:adjustRightInd w:val="0"/>
        <w:spacing w:line="276" w:lineRule="auto"/>
        <w:rPr>
          <w:kern w:val="0"/>
          <w:sz w:val="24"/>
        </w:rPr>
      </w:pPr>
      <w:r>
        <w:rPr>
          <w:rFonts w:cs="Arial"/>
          <w:b/>
          <w:kern w:val="0"/>
          <w:sz w:val="24"/>
        </w:rPr>
        <w:t>1.0.3</w:t>
      </w:r>
      <w:r>
        <w:rPr>
          <w:rFonts w:hint="eastAsia"/>
          <w:kern w:val="0"/>
          <w:sz w:val="24"/>
        </w:rPr>
        <w:t>当建筑高度超过</w:t>
      </w:r>
      <w:r>
        <w:rPr>
          <w:kern w:val="0"/>
          <w:sz w:val="24"/>
        </w:rPr>
        <w:t>150m</w:t>
      </w:r>
      <w:r>
        <w:rPr>
          <w:rFonts w:hint="eastAsia"/>
          <w:kern w:val="0"/>
          <w:sz w:val="24"/>
        </w:rPr>
        <w:t>或单栋建筑地上建筑面积大于</w:t>
      </w:r>
      <w:r>
        <w:rPr>
          <w:kern w:val="0"/>
          <w:sz w:val="24"/>
        </w:rPr>
        <w:t>200000m</w:t>
      </w:r>
      <w:r>
        <w:rPr>
          <w:kern w:val="0"/>
          <w:sz w:val="24"/>
          <w:vertAlign w:val="superscript"/>
        </w:rPr>
        <w:t>2</w:t>
      </w:r>
      <w:r>
        <w:rPr>
          <w:rFonts w:hint="eastAsia"/>
          <w:kern w:val="0"/>
          <w:sz w:val="24"/>
        </w:rPr>
        <w:t>时，除应符合本标准的各项规定外，还应组织专家对其节能设计进行专项论证。</w:t>
      </w:r>
    </w:p>
    <w:p>
      <w:pPr>
        <w:autoSpaceDE w:val="0"/>
        <w:autoSpaceDN w:val="0"/>
        <w:adjustRightInd w:val="0"/>
        <w:spacing w:line="276" w:lineRule="auto"/>
      </w:pPr>
    </w:p>
    <w:p>
      <w:pPr>
        <w:autoSpaceDE w:val="0"/>
        <w:autoSpaceDN w:val="0"/>
        <w:adjustRightInd w:val="0"/>
        <w:spacing w:line="276" w:lineRule="auto"/>
        <w:rPr>
          <w:kern w:val="0"/>
          <w:sz w:val="24"/>
        </w:rPr>
      </w:pPr>
      <w:r>
        <w:rPr>
          <w:rFonts w:cs="Arial"/>
          <w:b/>
          <w:kern w:val="0"/>
          <w:sz w:val="24"/>
        </w:rPr>
        <w:t>1.0.4</w:t>
      </w:r>
      <w:r>
        <w:rPr>
          <w:rFonts w:hint="eastAsia"/>
          <w:kern w:val="0"/>
          <w:sz w:val="24"/>
        </w:rPr>
        <w:t>公共建筑节能设计除应符合本标准的规定外，尚应符合国家现行有关标准的规定。</w:t>
      </w:r>
    </w:p>
    <w:p>
      <w:pPr>
        <w:spacing w:line="276" w:lineRule="auto"/>
        <w:ind w:firstLine="420"/>
        <w:rPr>
          <w:kern w:val="0"/>
          <w:szCs w:val="21"/>
        </w:rPr>
      </w:pPr>
    </w:p>
    <w:p>
      <w:pPr>
        <w:widowControl/>
        <w:spacing w:line="276" w:lineRule="auto"/>
        <w:jc w:val="left"/>
        <w:rPr>
          <w:kern w:val="0"/>
          <w:szCs w:val="21"/>
        </w:rPr>
        <w:sectPr>
          <w:headerReference r:id="rId7" w:type="default"/>
          <w:pgSz w:w="11906" w:h="16838"/>
          <w:pgMar w:top="1440" w:right="1800" w:bottom="1440" w:left="1800" w:header="851" w:footer="992" w:gutter="0"/>
          <w:pgNumType w:start="1"/>
          <w:cols w:space="425" w:num="1"/>
          <w:docGrid w:type="lines" w:linePitch="312" w:charSpace="0"/>
        </w:sectPr>
      </w:pPr>
    </w:p>
    <w:p>
      <w:pPr>
        <w:pStyle w:val="2"/>
        <w:spacing w:line="276" w:lineRule="auto"/>
        <w:jc w:val="center"/>
        <w:rPr>
          <w:kern w:val="0"/>
        </w:rPr>
      </w:pPr>
      <w:bookmarkStart w:id="22" w:name="_Toc376970873"/>
      <w:bookmarkStart w:id="23" w:name="_Toc146734711"/>
      <w:bookmarkStart w:id="24" w:name="_Toc377052127"/>
      <w:r>
        <w:rPr>
          <w:rFonts w:hint="eastAsia"/>
          <w:kern w:val="0"/>
        </w:rPr>
        <w:t>2  术语</w:t>
      </w:r>
      <w:bookmarkEnd w:id="22"/>
      <w:bookmarkEnd w:id="23"/>
      <w:bookmarkEnd w:id="24"/>
    </w:p>
    <w:p>
      <w:pPr>
        <w:spacing w:line="276" w:lineRule="auto"/>
        <w:rPr>
          <w:rFonts w:cs="Arial"/>
          <w:kern w:val="0"/>
          <w:sz w:val="24"/>
        </w:rPr>
      </w:pPr>
      <w:r>
        <w:rPr>
          <w:rFonts w:cs="Arial"/>
          <w:b/>
          <w:kern w:val="0"/>
          <w:sz w:val="24"/>
        </w:rPr>
        <w:t>2.0.1</w:t>
      </w:r>
      <w:r>
        <w:rPr>
          <w:rFonts w:hint="eastAsia" w:cs="Arial"/>
          <w:kern w:val="0"/>
          <w:sz w:val="24"/>
        </w:rPr>
        <w:t>建筑幕墙</w:t>
      </w:r>
      <w:r>
        <w:rPr>
          <w:rFonts w:cs="Arial"/>
          <w:kern w:val="0"/>
          <w:sz w:val="24"/>
        </w:rPr>
        <w:t>c</w:t>
      </w:r>
      <w:r>
        <w:rPr>
          <w:rFonts w:hint="eastAsia" w:cs="Arial"/>
          <w:kern w:val="0"/>
          <w:sz w:val="24"/>
        </w:rPr>
        <w:t>urtai</w:t>
      </w:r>
      <w:r>
        <w:rPr>
          <w:rFonts w:cs="Arial"/>
          <w:kern w:val="0"/>
          <w:sz w:val="24"/>
        </w:rPr>
        <w:t xml:space="preserve">n wall </w:t>
      </w:r>
    </w:p>
    <w:p>
      <w:pPr>
        <w:spacing w:line="276" w:lineRule="auto"/>
        <w:ind w:firstLine="480" w:firstLineChars="200"/>
        <w:rPr>
          <w:rFonts w:cs="Arial"/>
          <w:kern w:val="0"/>
          <w:sz w:val="24"/>
        </w:rPr>
      </w:pPr>
      <w:r>
        <w:rPr>
          <w:rFonts w:hint="eastAsia" w:cs="Arial"/>
          <w:kern w:val="0"/>
          <w:sz w:val="24"/>
        </w:rPr>
        <w:t>由面板与支承结构体系组成，具有规定的承载能力、变形能力和适应主体结构位移能力，不分担主体结构所受作用的建筑外围护墙体结构或装饰性结构。</w:t>
      </w:r>
    </w:p>
    <w:p>
      <w:pPr>
        <w:spacing w:line="276" w:lineRule="auto"/>
        <w:rPr>
          <w:rFonts w:cs="Arial"/>
          <w:kern w:val="0"/>
          <w:szCs w:val="21"/>
        </w:rPr>
      </w:pPr>
    </w:p>
    <w:p>
      <w:pPr>
        <w:spacing w:line="276" w:lineRule="auto"/>
        <w:rPr>
          <w:rFonts w:cs="Arial"/>
          <w:bCs/>
          <w:kern w:val="0"/>
          <w:sz w:val="24"/>
        </w:rPr>
      </w:pPr>
      <w:r>
        <w:rPr>
          <w:rFonts w:hint="eastAsia" w:cs="Arial"/>
          <w:b/>
          <w:kern w:val="0"/>
          <w:sz w:val="24"/>
        </w:rPr>
        <w:t>2</w:t>
      </w:r>
      <w:r>
        <w:rPr>
          <w:rFonts w:cs="Arial"/>
          <w:b/>
          <w:kern w:val="0"/>
          <w:sz w:val="24"/>
        </w:rPr>
        <w:t xml:space="preserve">.0.2 </w:t>
      </w:r>
      <w:r>
        <w:rPr>
          <w:rFonts w:hint="eastAsia" w:cs="Arial"/>
          <w:bCs/>
          <w:kern w:val="0"/>
          <w:sz w:val="24"/>
        </w:rPr>
        <w:t xml:space="preserve">透光幕墙 </w:t>
      </w:r>
      <w:r>
        <w:rPr>
          <w:rFonts w:cs="Arial"/>
          <w:bCs/>
          <w:kern w:val="0"/>
          <w:sz w:val="24"/>
        </w:rPr>
        <w:t>transparent curtain wall</w:t>
      </w:r>
    </w:p>
    <w:p>
      <w:pPr>
        <w:spacing w:line="276" w:lineRule="auto"/>
        <w:ind w:firstLine="480" w:firstLineChars="200"/>
        <w:rPr>
          <w:rFonts w:cs="Arial"/>
          <w:b/>
          <w:kern w:val="0"/>
          <w:sz w:val="24"/>
        </w:rPr>
      </w:pPr>
      <w:r>
        <w:rPr>
          <w:rFonts w:hint="eastAsia" w:cs="Arial"/>
          <w:bCs/>
          <w:kern w:val="0"/>
          <w:sz w:val="24"/>
        </w:rPr>
        <w:t>可见光可直接透射入室内的幕墙。</w:t>
      </w:r>
    </w:p>
    <w:p>
      <w:pPr>
        <w:spacing w:line="276" w:lineRule="auto"/>
        <w:ind w:firstLine="482" w:firstLineChars="200"/>
        <w:rPr>
          <w:rFonts w:cs="Arial"/>
          <w:b/>
          <w:kern w:val="0"/>
          <w:sz w:val="24"/>
        </w:rPr>
      </w:pPr>
    </w:p>
    <w:p>
      <w:pPr>
        <w:spacing w:line="276" w:lineRule="auto"/>
        <w:rPr>
          <w:rFonts w:cs="Arial"/>
          <w:bCs/>
          <w:kern w:val="0"/>
          <w:sz w:val="24"/>
        </w:rPr>
      </w:pPr>
      <w:r>
        <w:rPr>
          <w:rFonts w:hint="eastAsia" w:cs="Arial"/>
          <w:b/>
          <w:kern w:val="0"/>
          <w:sz w:val="24"/>
        </w:rPr>
        <w:t>2</w:t>
      </w:r>
      <w:r>
        <w:rPr>
          <w:rFonts w:cs="Arial"/>
          <w:b/>
          <w:kern w:val="0"/>
          <w:sz w:val="24"/>
        </w:rPr>
        <w:t>.0.3</w:t>
      </w:r>
      <w:r>
        <w:rPr>
          <w:rFonts w:hint="eastAsia" w:cs="Arial"/>
          <w:bCs/>
          <w:kern w:val="0"/>
          <w:sz w:val="24"/>
        </w:rPr>
        <w:t>非透光幕墙 op</w:t>
      </w:r>
      <w:r>
        <w:rPr>
          <w:rFonts w:cs="Arial"/>
          <w:bCs/>
          <w:kern w:val="0"/>
          <w:sz w:val="24"/>
        </w:rPr>
        <w:t>aque curtain wall</w:t>
      </w:r>
    </w:p>
    <w:p>
      <w:pPr>
        <w:spacing w:line="276" w:lineRule="auto"/>
        <w:ind w:firstLine="480" w:firstLineChars="200"/>
        <w:rPr>
          <w:rFonts w:cs="Arial"/>
          <w:bCs/>
          <w:kern w:val="0"/>
          <w:sz w:val="24"/>
        </w:rPr>
      </w:pPr>
      <w:r>
        <w:rPr>
          <w:rFonts w:hint="eastAsia" w:cs="Arial"/>
          <w:bCs/>
          <w:kern w:val="0"/>
          <w:sz w:val="24"/>
        </w:rPr>
        <w:t>可见光不能直接透射入室内的幕墙。</w:t>
      </w:r>
    </w:p>
    <w:p>
      <w:pPr>
        <w:spacing w:line="276" w:lineRule="auto"/>
        <w:rPr>
          <w:rFonts w:cs="Arial"/>
          <w:kern w:val="0"/>
          <w:szCs w:val="21"/>
        </w:rPr>
      </w:pPr>
    </w:p>
    <w:p>
      <w:pPr>
        <w:spacing w:line="276" w:lineRule="auto"/>
        <w:rPr>
          <w:rFonts w:cs="Arial"/>
          <w:kern w:val="0"/>
          <w:sz w:val="24"/>
        </w:rPr>
      </w:pPr>
      <w:r>
        <w:rPr>
          <w:rFonts w:hint="eastAsia" w:cs="Arial"/>
          <w:b/>
          <w:kern w:val="0"/>
          <w:sz w:val="24"/>
        </w:rPr>
        <w:t>2</w:t>
      </w:r>
      <w:r>
        <w:rPr>
          <w:rFonts w:cs="Arial"/>
          <w:b/>
          <w:kern w:val="0"/>
          <w:sz w:val="24"/>
        </w:rPr>
        <w:t>.0.4</w:t>
      </w:r>
      <w:r>
        <w:rPr>
          <w:rFonts w:hint="eastAsia" w:cs="Arial"/>
          <w:kern w:val="0"/>
          <w:sz w:val="24"/>
        </w:rPr>
        <w:t>采光顶t</w:t>
      </w:r>
      <w:r>
        <w:rPr>
          <w:rFonts w:cs="Arial"/>
          <w:kern w:val="0"/>
          <w:sz w:val="24"/>
        </w:rPr>
        <w:t>ransparent roof</w:t>
      </w:r>
      <w:r>
        <w:rPr>
          <w:rFonts w:hint="eastAsia" w:cs="Arial"/>
          <w:kern w:val="0"/>
          <w:sz w:val="24"/>
        </w:rPr>
        <w:t>，skylight</w:t>
      </w:r>
    </w:p>
    <w:p>
      <w:pPr>
        <w:spacing w:line="276" w:lineRule="auto"/>
        <w:ind w:firstLine="480" w:firstLineChars="200"/>
        <w:rPr>
          <w:rFonts w:cs="Arial"/>
          <w:kern w:val="0"/>
          <w:sz w:val="24"/>
        </w:rPr>
      </w:pPr>
      <w:r>
        <w:rPr>
          <w:rFonts w:hint="eastAsia" w:cs="Arial"/>
          <w:kern w:val="0"/>
          <w:sz w:val="24"/>
        </w:rPr>
        <w:t>由透光面板与支承体系组成，不分担主体结构所受作用且与与水平方向夹角小于7</w:t>
      </w:r>
      <w:r>
        <w:rPr>
          <w:rFonts w:cs="Arial"/>
          <w:kern w:val="0"/>
          <w:sz w:val="24"/>
        </w:rPr>
        <w:t>5</w:t>
      </w:r>
      <w:r>
        <w:rPr>
          <w:rFonts w:hint="eastAsia" w:cs="Arial"/>
          <w:kern w:val="0"/>
          <w:sz w:val="24"/>
        </w:rPr>
        <w:t>°的建筑外围护结构。</w:t>
      </w:r>
    </w:p>
    <w:p>
      <w:pPr>
        <w:spacing w:line="276" w:lineRule="auto"/>
        <w:ind w:firstLine="480" w:firstLineChars="200"/>
        <w:rPr>
          <w:rFonts w:cs="Arial"/>
          <w:kern w:val="0"/>
          <w:sz w:val="24"/>
        </w:rPr>
      </w:pPr>
    </w:p>
    <w:p>
      <w:pPr>
        <w:spacing w:line="276" w:lineRule="auto"/>
        <w:rPr>
          <w:rFonts w:cs="Arial"/>
          <w:kern w:val="0"/>
          <w:sz w:val="24"/>
        </w:rPr>
      </w:pPr>
      <w:r>
        <w:rPr>
          <w:rFonts w:hint="eastAsia" w:cs="Arial"/>
          <w:b/>
          <w:kern w:val="0"/>
          <w:sz w:val="24"/>
        </w:rPr>
        <w:t>2</w:t>
      </w:r>
      <w:r>
        <w:rPr>
          <w:rFonts w:cs="Arial"/>
          <w:b/>
          <w:kern w:val="0"/>
          <w:sz w:val="24"/>
        </w:rPr>
        <w:t>.0.5</w:t>
      </w:r>
      <w:r>
        <w:rPr>
          <w:rFonts w:hint="eastAsia" w:cs="Arial"/>
          <w:kern w:val="0"/>
          <w:sz w:val="24"/>
        </w:rPr>
        <w:t xml:space="preserve">金属屋面 </w:t>
      </w:r>
      <w:r>
        <w:rPr>
          <w:rFonts w:cs="Arial"/>
          <w:kern w:val="0"/>
          <w:sz w:val="24"/>
        </w:rPr>
        <w:t xml:space="preserve">metal roof </w:t>
      </w:r>
    </w:p>
    <w:p>
      <w:pPr>
        <w:spacing w:line="276" w:lineRule="auto"/>
        <w:ind w:firstLine="480" w:firstLineChars="200"/>
        <w:rPr>
          <w:rFonts w:cs="Arial"/>
          <w:kern w:val="0"/>
          <w:sz w:val="24"/>
        </w:rPr>
      </w:pPr>
      <w:r>
        <w:rPr>
          <w:rFonts w:hint="eastAsia" w:cs="Arial"/>
          <w:kern w:val="0"/>
          <w:sz w:val="24"/>
        </w:rPr>
        <w:t>由金属面板与支承体系组成，不分担主体结构所受作用且与水平方向夹角小于7</w:t>
      </w:r>
      <w:r>
        <w:rPr>
          <w:rFonts w:cs="Arial"/>
          <w:kern w:val="0"/>
          <w:sz w:val="24"/>
        </w:rPr>
        <w:t>5</w:t>
      </w:r>
      <w:r>
        <w:rPr>
          <w:rFonts w:hint="eastAsia" w:cs="Arial"/>
          <w:kern w:val="0"/>
          <w:sz w:val="24"/>
        </w:rPr>
        <w:t>°的建筑外围护结构。</w:t>
      </w:r>
    </w:p>
    <w:p>
      <w:pPr>
        <w:spacing w:line="276" w:lineRule="auto"/>
        <w:rPr>
          <w:rFonts w:cs="Arial"/>
          <w:kern w:val="0"/>
          <w:szCs w:val="21"/>
        </w:rPr>
      </w:pPr>
    </w:p>
    <w:p>
      <w:pPr>
        <w:spacing w:line="276" w:lineRule="auto"/>
        <w:rPr>
          <w:rFonts w:cs="Arial"/>
          <w:kern w:val="0"/>
          <w:sz w:val="24"/>
        </w:rPr>
      </w:pPr>
      <w:r>
        <w:rPr>
          <w:rFonts w:hint="eastAsia" w:cs="Arial"/>
          <w:b/>
          <w:kern w:val="0"/>
          <w:sz w:val="24"/>
        </w:rPr>
        <w:t>2</w:t>
      </w:r>
      <w:r>
        <w:rPr>
          <w:rFonts w:cs="Arial"/>
          <w:b/>
          <w:kern w:val="0"/>
          <w:sz w:val="24"/>
        </w:rPr>
        <w:t>.0.6</w:t>
      </w:r>
      <w:r>
        <w:rPr>
          <w:rFonts w:hint="eastAsia" w:cs="Arial"/>
          <w:kern w:val="0"/>
          <w:sz w:val="24"/>
        </w:rPr>
        <w:t>光伏幕墙 photo</w:t>
      </w:r>
      <w:r>
        <w:rPr>
          <w:rFonts w:cs="Arial"/>
          <w:kern w:val="0"/>
          <w:sz w:val="24"/>
        </w:rPr>
        <w:t>voltaic curtain wall</w:t>
      </w:r>
    </w:p>
    <w:p>
      <w:pPr>
        <w:spacing w:line="276" w:lineRule="auto"/>
        <w:rPr>
          <w:rFonts w:cs="Arial"/>
          <w:kern w:val="0"/>
          <w:sz w:val="24"/>
        </w:rPr>
      </w:pPr>
      <w:r>
        <w:rPr>
          <w:rFonts w:cs="Arial"/>
          <w:kern w:val="0"/>
          <w:sz w:val="24"/>
        </w:rPr>
        <w:t xml:space="preserve"> </w:t>
      </w:r>
      <w:r>
        <w:rPr>
          <w:rFonts w:hint="eastAsia" w:cs="Arial"/>
          <w:kern w:val="0"/>
          <w:sz w:val="24"/>
        </w:rPr>
        <w:t>含光伏构件并具有太阳能光电转换功能的幕墙。</w:t>
      </w:r>
    </w:p>
    <w:p>
      <w:pPr>
        <w:spacing w:line="276" w:lineRule="auto"/>
        <w:rPr>
          <w:rFonts w:cs="Arial"/>
          <w:kern w:val="0"/>
          <w:sz w:val="24"/>
        </w:rPr>
      </w:pPr>
    </w:p>
    <w:p>
      <w:pPr>
        <w:spacing w:line="276" w:lineRule="auto"/>
        <w:rPr>
          <w:rFonts w:cs="Arial"/>
          <w:kern w:val="0"/>
          <w:sz w:val="24"/>
        </w:rPr>
      </w:pPr>
      <w:r>
        <w:rPr>
          <w:rFonts w:hint="eastAsia" w:cs="Arial"/>
          <w:b/>
          <w:kern w:val="0"/>
          <w:sz w:val="24"/>
        </w:rPr>
        <w:t>2.0.</w:t>
      </w:r>
      <w:r>
        <w:rPr>
          <w:rFonts w:cs="Arial"/>
          <w:b/>
          <w:kern w:val="0"/>
          <w:sz w:val="24"/>
        </w:rPr>
        <w:t>7</w:t>
      </w:r>
      <w:r>
        <w:rPr>
          <w:rFonts w:hint="eastAsia" w:cs="Arial"/>
          <w:kern w:val="0"/>
          <w:sz w:val="24"/>
        </w:rPr>
        <w:t>建筑体形系数 shape factor</w:t>
      </w:r>
    </w:p>
    <w:p>
      <w:pPr>
        <w:spacing w:line="276" w:lineRule="auto"/>
        <w:ind w:firstLine="420"/>
        <w:rPr>
          <w:rFonts w:cs="Arial"/>
          <w:kern w:val="0"/>
          <w:sz w:val="24"/>
        </w:rPr>
      </w:pPr>
      <w:r>
        <w:rPr>
          <w:rFonts w:hint="eastAsia" w:cs="Arial"/>
          <w:kern w:val="0"/>
          <w:sz w:val="24"/>
        </w:rPr>
        <w:t>建筑物与室外空气直接接触的外表面积与其所包围的体积的比值，外表面积不包括地面和不供暖楼梯间内墙的面积。</w:t>
      </w:r>
    </w:p>
    <w:p>
      <w:pPr>
        <w:spacing w:line="276" w:lineRule="auto"/>
        <w:ind w:firstLine="420"/>
        <w:rPr>
          <w:rFonts w:cs="Arial"/>
          <w:kern w:val="0"/>
          <w:sz w:val="24"/>
        </w:rPr>
      </w:pPr>
    </w:p>
    <w:p>
      <w:pPr>
        <w:spacing w:line="276" w:lineRule="auto"/>
        <w:rPr>
          <w:rFonts w:cs="Arial"/>
          <w:kern w:val="0"/>
          <w:sz w:val="24"/>
        </w:rPr>
      </w:pPr>
      <w:r>
        <w:rPr>
          <w:rFonts w:hint="eastAsia" w:cs="Arial"/>
          <w:b/>
          <w:kern w:val="0"/>
          <w:sz w:val="24"/>
        </w:rPr>
        <w:t>2.0.</w:t>
      </w:r>
      <w:r>
        <w:rPr>
          <w:rFonts w:cs="Arial"/>
          <w:b/>
          <w:kern w:val="0"/>
          <w:sz w:val="24"/>
        </w:rPr>
        <w:t>8</w:t>
      </w:r>
      <w:r>
        <w:rPr>
          <w:rFonts w:hint="eastAsia" w:cs="Arial"/>
          <w:kern w:val="0"/>
          <w:sz w:val="24"/>
        </w:rPr>
        <w:t>单一立面窗墙面积比s</w:t>
      </w:r>
      <w:r>
        <w:rPr>
          <w:rFonts w:cs="Arial"/>
          <w:kern w:val="0"/>
          <w:sz w:val="24"/>
        </w:rPr>
        <w:t>ingle fa</w:t>
      </w:r>
      <w:r>
        <w:rPr>
          <w:rFonts w:hint="eastAsia" w:cs="Arial"/>
          <w:kern w:val="0"/>
          <w:sz w:val="24"/>
        </w:rPr>
        <w:t>c</w:t>
      </w:r>
      <w:r>
        <w:rPr>
          <w:rFonts w:cs="Arial"/>
          <w:kern w:val="0"/>
          <w:sz w:val="24"/>
        </w:rPr>
        <w:t>ade</w:t>
      </w:r>
      <w:r>
        <w:rPr>
          <w:rFonts w:hint="eastAsia" w:cs="Arial"/>
          <w:kern w:val="0"/>
          <w:sz w:val="24"/>
        </w:rPr>
        <w:t xml:space="preserve"> window to wall ratio</w:t>
      </w:r>
    </w:p>
    <w:p>
      <w:pPr>
        <w:spacing w:line="276" w:lineRule="auto"/>
        <w:ind w:firstLine="480" w:firstLineChars="200"/>
        <w:rPr>
          <w:rFonts w:cs="Arial"/>
          <w:kern w:val="0"/>
          <w:sz w:val="24"/>
        </w:rPr>
      </w:pPr>
      <w:r>
        <w:rPr>
          <w:rFonts w:hint="eastAsia" w:cs="Arial"/>
          <w:kern w:val="0"/>
          <w:sz w:val="24"/>
        </w:rPr>
        <w:t>建筑某一个立面的窗户洞口面积与该立面的总面积之比，简称</w:t>
      </w:r>
      <w:bookmarkStart w:id="25" w:name="OLE_LINK2"/>
      <w:bookmarkStart w:id="26" w:name="OLE_LINK1"/>
      <w:r>
        <w:rPr>
          <w:rFonts w:hint="eastAsia" w:cs="Arial"/>
          <w:kern w:val="0"/>
          <w:sz w:val="24"/>
        </w:rPr>
        <w:t>窗墙比</w:t>
      </w:r>
      <w:bookmarkEnd w:id="25"/>
      <w:bookmarkEnd w:id="26"/>
      <w:r>
        <w:rPr>
          <w:rFonts w:hint="eastAsia" w:cs="Arial"/>
          <w:kern w:val="0"/>
          <w:sz w:val="24"/>
        </w:rPr>
        <w:t>。</w:t>
      </w:r>
    </w:p>
    <w:p>
      <w:pPr>
        <w:spacing w:line="276" w:lineRule="auto"/>
        <w:rPr>
          <w:rFonts w:cs="Arial"/>
          <w:kern w:val="0"/>
          <w:sz w:val="24"/>
        </w:rPr>
      </w:pPr>
    </w:p>
    <w:p>
      <w:pPr>
        <w:spacing w:line="360" w:lineRule="auto"/>
        <w:rPr>
          <w:rFonts w:cs="Arial"/>
          <w:kern w:val="0"/>
          <w:sz w:val="24"/>
        </w:rPr>
      </w:pPr>
      <w:r>
        <w:rPr>
          <w:rFonts w:cs="Arial"/>
          <w:b/>
          <w:kern w:val="0"/>
          <w:sz w:val="24"/>
        </w:rPr>
        <w:t>2.0.9</w:t>
      </w:r>
      <w:r>
        <w:rPr>
          <w:rFonts w:hint="eastAsia" w:cs="Arial"/>
          <w:kern w:val="0"/>
          <w:sz w:val="24"/>
        </w:rPr>
        <w:t>太阳得热系数（SHGC）solar heat gain</w:t>
      </w:r>
      <w:r>
        <w:rPr>
          <w:rFonts w:cs="Arial"/>
          <w:kern w:val="0"/>
          <w:sz w:val="24"/>
        </w:rPr>
        <w:t xml:space="preserve"> coefficient</w:t>
      </w:r>
    </w:p>
    <w:p>
      <w:pPr>
        <w:spacing w:line="360" w:lineRule="auto"/>
        <w:ind w:firstLine="480" w:firstLineChars="200"/>
        <w:rPr>
          <w:rFonts w:cs="Arial"/>
          <w:kern w:val="0"/>
          <w:sz w:val="24"/>
        </w:rPr>
      </w:pPr>
      <w:r>
        <w:rPr>
          <w:rFonts w:hint="eastAsia" w:cs="Arial"/>
          <w:kern w:val="0"/>
          <w:sz w:val="24"/>
        </w:rPr>
        <w:t>通过透光</w:t>
      </w:r>
      <w:r>
        <w:rPr>
          <w:rFonts w:cs="Arial"/>
          <w:kern w:val="0"/>
          <w:sz w:val="24"/>
        </w:rPr>
        <w:t>围护结构（</w:t>
      </w:r>
      <w:r>
        <w:rPr>
          <w:rFonts w:hint="eastAsia" w:cs="Arial"/>
          <w:kern w:val="0"/>
          <w:sz w:val="24"/>
        </w:rPr>
        <w:t>门窗或透光幕墙）的</w:t>
      </w:r>
      <w:r>
        <w:rPr>
          <w:rFonts w:cs="Arial"/>
          <w:kern w:val="0"/>
          <w:sz w:val="24"/>
        </w:rPr>
        <w:t>太阳辐射</w:t>
      </w:r>
      <w:r>
        <w:rPr>
          <w:rFonts w:hint="eastAsia" w:cs="Arial"/>
          <w:kern w:val="0"/>
          <w:sz w:val="24"/>
        </w:rPr>
        <w:t>室内得热量与投射到透光</w:t>
      </w:r>
      <w:r>
        <w:rPr>
          <w:rFonts w:cs="Arial"/>
          <w:kern w:val="0"/>
          <w:sz w:val="24"/>
        </w:rPr>
        <w:t>围护结构（</w:t>
      </w:r>
      <w:r>
        <w:rPr>
          <w:rFonts w:hint="eastAsia" w:cs="Arial"/>
          <w:kern w:val="0"/>
          <w:sz w:val="24"/>
        </w:rPr>
        <w:t>门窗或透光幕墙）外表面上的太阳辐射量的比值。太阳辐射室内得热量包括太阳辐射通过辐射透射的得热量和太阳辐射被构件吸收再传入室内的得热量两部分。</w:t>
      </w:r>
    </w:p>
    <w:p>
      <w:pPr>
        <w:spacing w:line="360" w:lineRule="auto"/>
        <w:rPr>
          <w:rFonts w:cs="Arial"/>
          <w:kern w:val="0"/>
          <w:sz w:val="24"/>
        </w:rPr>
      </w:pPr>
    </w:p>
    <w:p>
      <w:pPr>
        <w:spacing w:line="360" w:lineRule="auto"/>
        <w:rPr>
          <w:rFonts w:cs="Arial"/>
          <w:kern w:val="0"/>
          <w:sz w:val="24"/>
        </w:rPr>
      </w:pPr>
      <w:r>
        <w:rPr>
          <w:rFonts w:cs="Arial"/>
          <w:b/>
          <w:kern w:val="0"/>
          <w:sz w:val="24"/>
        </w:rPr>
        <w:t>2.0.10</w:t>
      </w:r>
      <w:r>
        <w:rPr>
          <w:rFonts w:cs="Arial"/>
          <w:kern w:val="0"/>
          <w:sz w:val="24"/>
        </w:rPr>
        <w:t>可见光透射比visible transmittance</w:t>
      </w:r>
    </w:p>
    <w:p>
      <w:pPr>
        <w:spacing w:line="360" w:lineRule="auto"/>
        <w:ind w:firstLine="420"/>
        <w:rPr>
          <w:rFonts w:cs="Arial"/>
          <w:kern w:val="0"/>
          <w:sz w:val="24"/>
        </w:rPr>
      </w:pPr>
      <w:r>
        <w:rPr>
          <w:rFonts w:cs="Arial"/>
          <w:kern w:val="0"/>
          <w:sz w:val="24"/>
        </w:rPr>
        <w:t>透过透</w:t>
      </w:r>
      <w:r>
        <w:rPr>
          <w:rFonts w:hint="eastAsia" w:cs="Arial"/>
          <w:kern w:val="0"/>
          <w:sz w:val="24"/>
        </w:rPr>
        <w:t>光</w:t>
      </w:r>
      <w:r>
        <w:rPr>
          <w:rFonts w:cs="Arial"/>
          <w:kern w:val="0"/>
          <w:sz w:val="24"/>
        </w:rPr>
        <w:t>材料的可见光光通量与投射在其表面上的可见光光通量之比。</w:t>
      </w:r>
    </w:p>
    <w:p>
      <w:pPr>
        <w:spacing w:line="360" w:lineRule="auto"/>
        <w:rPr>
          <w:rFonts w:cs="Arial"/>
          <w:kern w:val="0"/>
          <w:sz w:val="24"/>
        </w:rPr>
      </w:pPr>
    </w:p>
    <w:p>
      <w:pPr>
        <w:spacing w:line="360" w:lineRule="auto"/>
        <w:rPr>
          <w:rFonts w:cs="Arial"/>
          <w:kern w:val="0"/>
          <w:sz w:val="24"/>
        </w:rPr>
      </w:pPr>
      <w:r>
        <w:rPr>
          <w:rFonts w:cs="Arial"/>
          <w:b/>
          <w:kern w:val="0"/>
          <w:sz w:val="24"/>
        </w:rPr>
        <w:t>2.0.11</w:t>
      </w:r>
      <w:r>
        <w:rPr>
          <w:rFonts w:cs="Arial"/>
          <w:kern w:val="0"/>
          <w:sz w:val="24"/>
        </w:rPr>
        <w:t>围护结构热工性能权衡判断building envelope</w:t>
      </w:r>
      <w:r>
        <w:rPr>
          <w:rFonts w:hint="eastAsia" w:cs="Arial"/>
          <w:kern w:val="0"/>
          <w:sz w:val="24"/>
        </w:rPr>
        <w:t xml:space="preserve"> thermal performance</w:t>
      </w:r>
      <w:r>
        <w:rPr>
          <w:rFonts w:cs="Arial"/>
          <w:kern w:val="0"/>
          <w:sz w:val="24"/>
        </w:rPr>
        <w:t xml:space="preserve"> trade-off</w:t>
      </w:r>
    </w:p>
    <w:p>
      <w:pPr>
        <w:spacing w:line="360" w:lineRule="auto"/>
        <w:ind w:firstLine="420"/>
        <w:rPr>
          <w:rFonts w:cs="Arial"/>
          <w:kern w:val="0"/>
          <w:sz w:val="24"/>
        </w:rPr>
      </w:pPr>
      <w:r>
        <w:rPr>
          <w:rFonts w:cs="Arial"/>
          <w:kern w:val="0"/>
          <w:sz w:val="24"/>
        </w:rPr>
        <w:t>当建筑设计不能满足围护结构热工设计规定指标要求时，计算并比较参照建筑和设计建筑的全年供暖和空气调节能耗，判定围护结构的总体热工性能是否符合节能设计要求</w:t>
      </w:r>
      <w:r>
        <w:rPr>
          <w:rFonts w:hint="eastAsia" w:cs="Arial"/>
          <w:kern w:val="0"/>
          <w:sz w:val="24"/>
        </w:rPr>
        <w:t>的方法，简称：权衡判断。</w:t>
      </w:r>
    </w:p>
    <w:p>
      <w:pPr>
        <w:spacing w:line="360" w:lineRule="auto"/>
        <w:rPr>
          <w:rFonts w:cs="Arial"/>
          <w:kern w:val="0"/>
          <w:sz w:val="24"/>
        </w:rPr>
      </w:pPr>
    </w:p>
    <w:p>
      <w:pPr>
        <w:spacing w:line="360" w:lineRule="auto"/>
        <w:rPr>
          <w:rFonts w:cs="Arial"/>
          <w:b/>
          <w:kern w:val="0"/>
          <w:sz w:val="24"/>
        </w:rPr>
      </w:pPr>
      <w:r>
        <w:rPr>
          <w:rFonts w:cs="Arial"/>
          <w:b/>
          <w:kern w:val="0"/>
          <w:sz w:val="24"/>
        </w:rPr>
        <w:t>2.0.12</w:t>
      </w:r>
      <w:r>
        <w:rPr>
          <w:rFonts w:cs="Arial"/>
          <w:kern w:val="0"/>
          <w:sz w:val="24"/>
        </w:rPr>
        <w:t>综合部分负荷性能系数</w:t>
      </w:r>
      <w:r>
        <w:rPr>
          <w:rFonts w:hint="eastAsia" w:cs="Arial"/>
          <w:kern w:val="0"/>
          <w:sz w:val="24"/>
        </w:rPr>
        <w:t>（</w:t>
      </w:r>
      <w:r>
        <w:rPr>
          <w:rFonts w:cs="Arial"/>
          <w:kern w:val="0"/>
          <w:sz w:val="24"/>
        </w:rPr>
        <w:t>IPLV</w:t>
      </w:r>
      <w:r>
        <w:rPr>
          <w:rFonts w:hint="eastAsia" w:cs="Arial"/>
          <w:kern w:val="0"/>
          <w:sz w:val="24"/>
        </w:rPr>
        <w:t>）</w:t>
      </w:r>
      <w:r>
        <w:rPr>
          <w:rFonts w:cs="Arial"/>
          <w:kern w:val="0"/>
          <w:sz w:val="24"/>
        </w:rPr>
        <w:t xml:space="preserve">integrated part load value </w:t>
      </w:r>
    </w:p>
    <w:p>
      <w:pPr>
        <w:spacing w:line="360" w:lineRule="auto"/>
        <w:ind w:firstLine="420"/>
        <w:rPr>
          <w:rFonts w:cs="Arial"/>
          <w:kern w:val="0"/>
          <w:sz w:val="24"/>
        </w:rPr>
      </w:pPr>
      <w:r>
        <w:rPr>
          <w:rFonts w:hint="eastAsia" w:cs="Arial"/>
          <w:kern w:val="0"/>
          <w:sz w:val="24"/>
        </w:rPr>
        <w:t>基于机组部分负荷时的性能系数值，按机组在各种负荷条件下的累积负荷百分比进行加权计算获得的表示空气调节用冷水机组部分负荷效率的单一数值。</w:t>
      </w:r>
    </w:p>
    <w:p>
      <w:pPr>
        <w:spacing w:line="360" w:lineRule="auto"/>
        <w:rPr>
          <w:rFonts w:cs="Arial"/>
          <w:sz w:val="24"/>
        </w:rPr>
      </w:pPr>
    </w:p>
    <w:p>
      <w:pPr>
        <w:widowControl/>
        <w:spacing w:line="360" w:lineRule="auto"/>
        <w:jc w:val="left"/>
        <w:rPr>
          <w:rFonts w:cs="Arial"/>
          <w:kern w:val="0"/>
          <w:sz w:val="24"/>
        </w:rPr>
      </w:pPr>
      <w:r>
        <w:rPr>
          <w:rFonts w:hint="eastAsia" w:cs="Arial"/>
          <w:b/>
          <w:kern w:val="0"/>
          <w:sz w:val="24"/>
        </w:rPr>
        <w:t>2.0.</w:t>
      </w:r>
      <w:r>
        <w:rPr>
          <w:rFonts w:cs="Arial"/>
          <w:b/>
          <w:kern w:val="0"/>
          <w:sz w:val="24"/>
        </w:rPr>
        <w:t>13</w:t>
      </w:r>
      <w:r>
        <w:rPr>
          <w:rFonts w:hint="eastAsia" w:cs="Arial"/>
          <w:kern w:val="0"/>
          <w:sz w:val="24"/>
        </w:rPr>
        <w:t>集中供暖系统耗电输热比</w:t>
      </w:r>
      <w:r>
        <w:rPr>
          <w:rFonts w:cs="Arial"/>
          <w:kern w:val="0"/>
          <w:sz w:val="24"/>
        </w:rPr>
        <w:t>（EHR</w:t>
      </w:r>
      <w:r>
        <w:rPr>
          <w:rFonts w:hint="eastAsia" w:cs="Arial"/>
          <w:kern w:val="0"/>
          <w:sz w:val="24"/>
        </w:rPr>
        <w:t>-h</w:t>
      </w:r>
      <w:r>
        <w:rPr>
          <w:rFonts w:cs="Arial"/>
          <w:kern w:val="0"/>
          <w:sz w:val="24"/>
        </w:rPr>
        <w:t>） electricity consumption to transferred heat quantity ratio</w:t>
      </w:r>
    </w:p>
    <w:p>
      <w:pPr>
        <w:widowControl/>
        <w:spacing w:line="360" w:lineRule="auto"/>
        <w:ind w:firstLine="480" w:firstLineChars="200"/>
        <w:jc w:val="left"/>
        <w:rPr>
          <w:rFonts w:cs="Arial"/>
          <w:kern w:val="0"/>
          <w:sz w:val="24"/>
        </w:rPr>
      </w:pPr>
      <w:r>
        <w:rPr>
          <w:rFonts w:hint="eastAsia" w:cs="Arial"/>
          <w:kern w:val="0"/>
          <w:sz w:val="24"/>
        </w:rPr>
        <w:t>设计工况下，集中供暖系统循环水泵总功耗（</w:t>
      </w:r>
      <w:r>
        <w:rPr>
          <w:rFonts w:cs="Arial"/>
          <w:kern w:val="0"/>
          <w:sz w:val="24"/>
        </w:rPr>
        <w:t>kW</w:t>
      </w:r>
      <w:r>
        <w:rPr>
          <w:rFonts w:hint="eastAsia" w:cs="Arial"/>
          <w:kern w:val="0"/>
          <w:sz w:val="24"/>
        </w:rPr>
        <w:t>）与设计热负荷（</w:t>
      </w:r>
      <w:r>
        <w:rPr>
          <w:rFonts w:cs="Arial"/>
          <w:kern w:val="0"/>
          <w:sz w:val="24"/>
        </w:rPr>
        <w:t>kW</w:t>
      </w:r>
      <w:r>
        <w:rPr>
          <w:rFonts w:hint="eastAsia" w:cs="Arial"/>
          <w:kern w:val="0"/>
          <w:sz w:val="24"/>
        </w:rPr>
        <w:t>）的比值。</w:t>
      </w:r>
    </w:p>
    <w:p>
      <w:pPr>
        <w:widowControl/>
        <w:spacing w:line="360" w:lineRule="auto"/>
        <w:ind w:firstLine="480" w:firstLineChars="200"/>
        <w:jc w:val="left"/>
        <w:rPr>
          <w:rFonts w:cs="Arial"/>
          <w:kern w:val="0"/>
          <w:sz w:val="24"/>
        </w:rPr>
      </w:pPr>
    </w:p>
    <w:p>
      <w:pPr>
        <w:widowControl/>
        <w:spacing w:line="360" w:lineRule="auto"/>
        <w:jc w:val="left"/>
        <w:rPr>
          <w:rFonts w:cs="Arial"/>
          <w:kern w:val="0"/>
          <w:sz w:val="24"/>
        </w:rPr>
      </w:pPr>
      <w:r>
        <w:rPr>
          <w:rFonts w:hint="eastAsia" w:cs="Arial"/>
          <w:b/>
          <w:kern w:val="0"/>
          <w:sz w:val="24"/>
        </w:rPr>
        <w:t>2.0.1</w:t>
      </w:r>
      <w:r>
        <w:rPr>
          <w:rFonts w:cs="Arial"/>
          <w:b/>
          <w:kern w:val="0"/>
          <w:sz w:val="24"/>
        </w:rPr>
        <w:t>4</w:t>
      </w:r>
      <w:r>
        <w:rPr>
          <w:rFonts w:hint="eastAsia" w:cs="Arial"/>
          <w:kern w:val="0"/>
          <w:sz w:val="24"/>
        </w:rPr>
        <w:t>空调冷（热）水系统耗电输冷（热）比[</w:t>
      </w:r>
      <w:r>
        <w:rPr>
          <w:rFonts w:cs="Arial"/>
          <w:kern w:val="0"/>
          <w:sz w:val="24"/>
        </w:rPr>
        <w:t>EC</w:t>
      </w:r>
      <w:r>
        <w:rPr>
          <w:rFonts w:hint="eastAsia" w:cs="Arial"/>
          <w:kern w:val="0"/>
          <w:sz w:val="24"/>
        </w:rPr>
        <w:t>(</w:t>
      </w:r>
      <w:r>
        <w:rPr>
          <w:rFonts w:cs="Arial"/>
          <w:kern w:val="0"/>
          <w:sz w:val="24"/>
        </w:rPr>
        <w:t>H</w:t>
      </w:r>
      <w:r>
        <w:rPr>
          <w:rFonts w:hint="eastAsia" w:cs="Arial"/>
          <w:kern w:val="0"/>
          <w:sz w:val="24"/>
        </w:rPr>
        <w:t>)</w:t>
      </w:r>
      <w:r>
        <w:rPr>
          <w:rFonts w:cs="Arial"/>
          <w:kern w:val="0"/>
          <w:sz w:val="24"/>
        </w:rPr>
        <w:t>R</w:t>
      </w:r>
      <w:r>
        <w:rPr>
          <w:rFonts w:hint="eastAsia" w:cs="宋体"/>
          <w:kern w:val="0"/>
          <w:sz w:val="24"/>
        </w:rPr>
        <w:t>-a</w:t>
      </w:r>
      <w:r>
        <w:rPr>
          <w:rFonts w:hint="eastAsia" w:cs="Arial"/>
          <w:kern w:val="0"/>
          <w:sz w:val="24"/>
        </w:rPr>
        <w:t>]</w:t>
      </w:r>
      <w:r>
        <w:rPr>
          <w:rFonts w:cs="Arial"/>
          <w:kern w:val="0"/>
          <w:sz w:val="24"/>
        </w:rPr>
        <w:t xml:space="preserve"> electricity consumption to transferred cooling (heat) quantity ratio</w:t>
      </w:r>
    </w:p>
    <w:p>
      <w:pPr>
        <w:widowControl/>
        <w:spacing w:line="360" w:lineRule="auto"/>
        <w:ind w:firstLine="480" w:firstLineChars="200"/>
        <w:jc w:val="left"/>
        <w:rPr>
          <w:rFonts w:cs="Arial"/>
          <w:kern w:val="0"/>
          <w:sz w:val="24"/>
        </w:rPr>
      </w:pPr>
      <w:r>
        <w:rPr>
          <w:rFonts w:hint="eastAsia" w:cs="Arial"/>
          <w:kern w:val="0"/>
          <w:sz w:val="24"/>
        </w:rPr>
        <w:t>设计工况下，空调冷（热）水系统循环水泵总功耗（</w:t>
      </w:r>
      <w:r>
        <w:rPr>
          <w:rFonts w:cs="Arial"/>
          <w:kern w:val="0"/>
          <w:sz w:val="24"/>
        </w:rPr>
        <w:t>kW</w:t>
      </w:r>
      <w:r>
        <w:rPr>
          <w:rFonts w:hint="eastAsia" w:cs="Arial"/>
          <w:kern w:val="0"/>
          <w:sz w:val="24"/>
        </w:rPr>
        <w:t>）与设计冷（热）负荷（</w:t>
      </w:r>
      <w:r>
        <w:rPr>
          <w:rFonts w:cs="Arial"/>
          <w:kern w:val="0"/>
          <w:sz w:val="24"/>
        </w:rPr>
        <w:t>kW</w:t>
      </w:r>
      <w:r>
        <w:rPr>
          <w:rFonts w:hint="eastAsia" w:cs="Arial"/>
          <w:kern w:val="0"/>
          <w:sz w:val="24"/>
        </w:rPr>
        <w:t>）的比值。</w:t>
      </w:r>
    </w:p>
    <w:p>
      <w:pPr>
        <w:widowControl/>
        <w:spacing w:line="360" w:lineRule="auto"/>
        <w:jc w:val="left"/>
        <w:rPr>
          <w:rFonts w:cs="Arial"/>
          <w:kern w:val="0"/>
          <w:sz w:val="24"/>
        </w:rPr>
      </w:pPr>
    </w:p>
    <w:p>
      <w:pPr>
        <w:widowControl/>
        <w:spacing w:line="360" w:lineRule="auto"/>
        <w:jc w:val="left"/>
        <w:rPr>
          <w:rFonts w:cs="Arial"/>
          <w:kern w:val="0"/>
          <w:sz w:val="24"/>
        </w:rPr>
      </w:pPr>
      <w:r>
        <w:rPr>
          <w:rFonts w:cs="Arial"/>
          <w:b/>
          <w:kern w:val="0"/>
          <w:sz w:val="24"/>
        </w:rPr>
        <w:t>2.0.15</w:t>
      </w:r>
      <w:r>
        <w:rPr>
          <w:rFonts w:hint="eastAsia" w:cs="Arial"/>
          <w:kern w:val="0"/>
          <w:sz w:val="24"/>
        </w:rPr>
        <w:t>风道系统单位风量耗功率（</w:t>
      </w:r>
      <w:r>
        <w:rPr>
          <w:rFonts w:cs="Arial"/>
          <w:kern w:val="0"/>
          <w:sz w:val="24"/>
        </w:rPr>
        <w:t>W</w:t>
      </w:r>
      <w:r>
        <w:rPr>
          <w:rFonts w:cs="Arial"/>
          <w:kern w:val="0"/>
          <w:sz w:val="24"/>
          <w:vertAlign w:val="subscript"/>
        </w:rPr>
        <w:t>s</w:t>
      </w:r>
      <w:r>
        <w:rPr>
          <w:rFonts w:hint="eastAsia" w:cs="Arial"/>
          <w:kern w:val="0"/>
          <w:sz w:val="24"/>
        </w:rPr>
        <w:t>）energy consumption per unit air volume of air duct system</w:t>
      </w:r>
    </w:p>
    <w:p>
      <w:pPr>
        <w:widowControl/>
        <w:spacing w:line="360" w:lineRule="auto"/>
        <w:ind w:firstLine="420"/>
        <w:jc w:val="left"/>
        <w:rPr>
          <w:rFonts w:cs="Arial"/>
          <w:kern w:val="0"/>
          <w:sz w:val="24"/>
        </w:rPr>
      </w:pPr>
      <w:r>
        <w:rPr>
          <w:rFonts w:hint="eastAsia" w:cs="Arial"/>
          <w:kern w:val="0"/>
          <w:sz w:val="24"/>
        </w:rPr>
        <w:t>设计工况下，空调、通风的风道系统输送单位风量（</w:t>
      </w:r>
      <w:r>
        <w:rPr>
          <w:rFonts w:cs="Arial"/>
          <w:kern w:val="0"/>
          <w:sz w:val="24"/>
        </w:rPr>
        <w:t>m</w:t>
      </w:r>
      <w:r>
        <w:rPr>
          <w:rFonts w:cs="Arial"/>
          <w:kern w:val="0"/>
          <w:sz w:val="24"/>
          <w:vertAlign w:val="superscript"/>
        </w:rPr>
        <w:t>3</w:t>
      </w:r>
      <w:r>
        <w:rPr>
          <w:rFonts w:cs="Arial"/>
          <w:kern w:val="0"/>
          <w:sz w:val="24"/>
        </w:rPr>
        <w:t>/h</w:t>
      </w:r>
      <w:r>
        <w:rPr>
          <w:rFonts w:hint="eastAsia" w:cs="Arial"/>
          <w:kern w:val="0"/>
          <w:sz w:val="24"/>
        </w:rPr>
        <w:t>）所消耗的电功率（</w:t>
      </w:r>
      <w:r>
        <w:rPr>
          <w:rFonts w:cs="Arial"/>
          <w:kern w:val="0"/>
          <w:sz w:val="24"/>
        </w:rPr>
        <w:t>W</w:t>
      </w:r>
      <w:r>
        <w:rPr>
          <w:rFonts w:hint="eastAsia" w:cs="Arial"/>
          <w:kern w:val="0"/>
          <w:sz w:val="24"/>
        </w:rPr>
        <w:t>）。</w:t>
      </w:r>
    </w:p>
    <w:p>
      <w:pPr>
        <w:widowControl/>
        <w:spacing w:line="360" w:lineRule="auto"/>
        <w:jc w:val="left"/>
        <w:rPr>
          <w:rFonts w:cs="Arial"/>
          <w:kern w:val="0"/>
          <w:sz w:val="24"/>
        </w:rPr>
      </w:pPr>
    </w:p>
    <w:p>
      <w:pPr>
        <w:widowControl/>
        <w:spacing w:line="360" w:lineRule="auto"/>
        <w:jc w:val="left"/>
        <w:rPr>
          <w:rFonts w:cs="Arial"/>
          <w:bCs/>
          <w:kern w:val="0"/>
          <w:sz w:val="24"/>
        </w:rPr>
      </w:pPr>
      <w:r>
        <w:rPr>
          <w:rFonts w:cs="Arial"/>
          <w:b/>
          <w:kern w:val="0"/>
          <w:sz w:val="24"/>
        </w:rPr>
        <w:t xml:space="preserve">2.0.16  </w:t>
      </w:r>
      <w:r>
        <w:rPr>
          <w:rFonts w:hint="eastAsia" w:cs="Arial"/>
          <w:bCs/>
          <w:kern w:val="0"/>
          <w:sz w:val="24"/>
        </w:rPr>
        <w:t xml:space="preserve">全电气化设计 </w:t>
      </w:r>
      <w:r>
        <w:rPr>
          <w:rFonts w:cs="Arial"/>
          <w:bCs/>
          <w:kern w:val="0"/>
          <w:sz w:val="24"/>
        </w:rPr>
        <w:t>Fully electrified design</w:t>
      </w:r>
    </w:p>
    <w:p>
      <w:pPr>
        <w:spacing w:line="360" w:lineRule="auto"/>
        <w:ind w:firstLine="420"/>
        <w:rPr>
          <w:sz w:val="24"/>
        </w:rPr>
      </w:pPr>
      <w:r>
        <w:rPr>
          <w:rFonts w:hint="eastAsia"/>
          <w:sz w:val="24"/>
        </w:rPr>
        <w:t>指建筑物中除北方集中供暖外，所消耗能源全部来自电力，包括供暖、空调、照明、生活热水、电梯的能源消耗，也包括插座和炊事等能源消耗。</w:t>
      </w:r>
    </w:p>
    <w:p>
      <w:pPr>
        <w:widowControl/>
        <w:spacing w:line="276" w:lineRule="auto"/>
        <w:jc w:val="left"/>
        <w:rPr>
          <w:rFonts w:cs="Arial"/>
          <w:kern w:val="0"/>
          <w:sz w:val="24"/>
        </w:rPr>
      </w:pPr>
    </w:p>
    <w:p>
      <w:pPr>
        <w:widowControl/>
        <w:spacing w:line="360" w:lineRule="auto"/>
        <w:jc w:val="left"/>
        <w:rPr>
          <w:rFonts w:cs="Arial"/>
          <w:bCs/>
          <w:kern w:val="0"/>
          <w:sz w:val="24"/>
        </w:rPr>
      </w:pPr>
      <w:r>
        <w:rPr>
          <w:rFonts w:hint="eastAsia" w:cs="Arial"/>
          <w:b/>
          <w:kern w:val="0"/>
          <w:sz w:val="24"/>
        </w:rPr>
        <w:t>2</w:t>
      </w:r>
      <w:r>
        <w:rPr>
          <w:rFonts w:cs="Arial"/>
          <w:b/>
          <w:kern w:val="0"/>
          <w:sz w:val="24"/>
        </w:rPr>
        <w:t>.17</w:t>
      </w:r>
      <w:r>
        <w:rPr>
          <w:rFonts w:hint="eastAsia" w:cs="Arial"/>
          <w:bCs/>
          <w:kern w:val="0"/>
          <w:sz w:val="24"/>
        </w:rPr>
        <w:t>光伏建筑一体化 building integrated photovoltaic（BIPV）</w:t>
      </w:r>
    </w:p>
    <w:p>
      <w:pPr>
        <w:spacing w:line="360" w:lineRule="auto"/>
        <w:ind w:firstLine="420"/>
        <w:rPr>
          <w:sz w:val="24"/>
        </w:rPr>
      </w:pPr>
      <w:r>
        <w:rPr>
          <w:rFonts w:hint="eastAsia"/>
          <w:sz w:val="24"/>
        </w:rPr>
        <w:t>将光伏电池或光伏组件作为建筑材料或构件进行应用的形式，也称建筑集成光伏发电系统。</w:t>
      </w:r>
    </w:p>
    <w:p>
      <w:pPr>
        <w:widowControl/>
        <w:jc w:val="center"/>
        <w:rPr>
          <w:sz w:val="24"/>
        </w:rPr>
      </w:pPr>
      <w:r>
        <w:rPr>
          <w:sz w:val="24"/>
        </w:rPr>
        <w:br w:type="page"/>
      </w:r>
    </w:p>
    <w:p>
      <w:pPr>
        <w:pStyle w:val="2"/>
        <w:spacing w:line="276" w:lineRule="auto"/>
        <w:jc w:val="center"/>
      </w:pPr>
      <w:bookmarkStart w:id="27" w:name="_Toc146734712"/>
      <w:bookmarkStart w:id="28" w:name="_Toc376970874"/>
      <w:bookmarkStart w:id="29" w:name="_Toc377052128"/>
      <w:bookmarkStart w:id="30" w:name="_Toc187572561"/>
      <w:r>
        <w:rPr>
          <w:rFonts w:hint="eastAsia"/>
        </w:rPr>
        <w:t>3  建筑与建筑热工</w:t>
      </w:r>
      <w:bookmarkEnd w:id="27"/>
      <w:bookmarkEnd w:id="28"/>
      <w:bookmarkEnd w:id="29"/>
    </w:p>
    <w:p>
      <w:pPr>
        <w:pStyle w:val="3"/>
        <w:spacing w:after="156" w:line="276" w:lineRule="auto"/>
        <w:jc w:val="center"/>
        <w:rPr>
          <w:rFonts w:ascii="Times New Roman" w:hAnsi="Times New Roman" w:eastAsia="宋体"/>
        </w:rPr>
      </w:pPr>
      <w:bookmarkStart w:id="31" w:name="_Toc146734713"/>
      <w:bookmarkStart w:id="32" w:name="_Toc376970875"/>
      <w:bookmarkStart w:id="33" w:name="_Toc377052129"/>
      <w:r>
        <w:rPr>
          <w:rFonts w:hint="eastAsia" w:ascii="Times New Roman" w:hAnsi="Times New Roman" w:eastAsia="宋体"/>
        </w:rPr>
        <w:t>3</w:t>
      </w:r>
      <w:r>
        <w:rPr>
          <w:rFonts w:ascii="Times New Roman" w:hAnsi="Times New Roman" w:eastAsia="宋体"/>
        </w:rPr>
        <w:t>.1</w:t>
      </w:r>
      <w:r>
        <w:rPr>
          <w:rFonts w:ascii="Times New Roman" w:eastAsia="宋体"/>
        </w:rPr>
        <w:t>一般规定</w:t>
      </w:r>
      <w:bookmarkEnd w:id="30"/>
      <w:bookmarkEnd w:id="31"/>
      <w:bookmarkEnd w:id="32"/>
      <w:bookmarkEnd w:id="33"/>
    </w:p>
    <w:p>
      <w:pPr>
        <w:tabs>
          <w:tab w:val="left" w:pos="6888"/>
        </w:tabs>
        <w:spacing w:line="276" w:lineRule="auto"/>
        <w:rPr>
          <w:rFonts w:cs="Arial"/>
          <w:bCs/>
          <w:kern w:val="0"/>
          <w:sz w:val="24"/>
        </w:rPr>
      </w:pPr>
      <w:r>
        <w:rPr>
          <w:rFonts w:hint="eastAsia" w:cs="Arial"/>
          <w:b/>
          <w:bCs/>
          <w:kern w:val="0"/>
          <w:sz w:val="24"/>
        </w:rPr>
        <w:t>3.1.</w:t>
      </w:r>
      <w:r>
        <w:rPr>
          <w:rFonts w:cs="Arial"/>
          <w:b/>
          <w:bCs/>
          <w:kern w:val="0"/>
          <w:sz w:val="24"/>
        </w:rPr>
        <w:t>1</w:t>
      </w:r>
      <w:r>
        <w:rPr>
          <w:rFonts w:hint="eastAsia" w:hAnsi="Arial" w:cs="Arial"/>
          <w:bCs/>
          <w:kern w:val="0"/>
          <w:sz w:val="24"/>
        </w:rPr>
        <w:t>代表城市的建筑热工设计分区应按表</w:t>
      </w:r>
      <w:r>
        <w:rPr>
          <w:rFonts w:hint="eastAsia" w:cs="Arial"/>
          <w:bCs/>
          <w:kern w:val="0"/>
          <w:sz w:val="24"/>
        </w:rPr>
        <w:t>3.1.</w:t>
      </w:r>
      <w:r>
        <w:rPr>
          <w:rFonts w:cs="Arial"/>
          <w:bCs/>
          <w:kern w:val="0"/>
          <w:sz w:val="24"/>
        </w:rPr>
        <w:t>1</w:t>
      </w:r>
      <w:r>
        <w:rPr>
          <w:rFonts w:hint="eastAsia" w:hAnsi="Arial" w:cs="Arial"/>
          <w:bCs/>
          <w:kern w:val="0"/>
          <w:sz w:val="24"/>
        </w:rPr>
        <w:t>确定。</w:t>
      </w:r>
    </w:p>
    <w:p>
      <w:pPr>
        <w:autoSpaceDE w:val="0"/>
        <w:autoSpaceDN w:val="0"/>
        <w:adjustRightInd w:val="0"/>
        <w:spacing w:line="276" w:lineRule="auto"/>
        <w:jc w:val="center"/>
      </w:pPr>
      <w:r>
        <w:rPr>
          <w:rFonts w:hint="eastAsia" w:cs="宋体"/>
          <w:kern w:val="0"/>
        </w:rPr>
        <w:t>表</w:t>
      </w:r>
      <w:r>
        <w:rPr>
          <w:rFonts w:hint="eastAsia"/>
          <w:kern w:val="0"/>
        </w:rPr>
        <w:t>3</w:t>
      </w:r>
      <w:r>
        <w:rPr>
          <w:kern w:val="0"/>
        </w:rPr>
        <w:t>.</w:t>
      </w:r>
      <w:r>
        <w:rPr>
          <w:rFonts w:hint="eastAsia"/>
          <w:kern w:val="0"/>
        </w:rPr>
        <w:t>1</w:t>
      </w:r>
      <w:r>
        <w:rPr>
          <w:kern w:val="0"/>
        </w:rPr>
        <w:t>.1</w:t>
      </w:r>
      <w:r>
        <w:rPr>
          <w:rFonts w:hint="eastAsia" w:cs="宋体"/>
          <w:kern w:val="0"/>
        </w:rPr>
        <w:t>代表城市建筑热工设计分区</w:t>
      </w:r>
    </w:p>
    <w:tbl>
      <w:tblPr>
        <w:tblStyle w:val="30"/>
        <w:tblW w:w="49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56"/>
        <w:gridCol w:w="1210"/>
        <w:gridCol w:w="5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494" w:type="pct"/>
            <w:gridSpan w:val="2"/>
            <w:vAlign w:val="center"/>
          </w:tcPr>
          <w:p>
            <w:pPr>
              <w:spacing w:line="276" w:lineRule="auto"/>
              <w:jc w:val="center"/>
              <w:rPr>
                <w:b/>
                <w:bCs/>
              </w:rPr>
            </w:pPr>
            <w:r>
              <w:rPr>
                <w:rFonts w:hint="eastAsia" w:cs="宋体"/>
                <w:b/>
                <w:bCs/>
                <w:kern w:val="0"/>
              </w:rPr>
              <w:t>气候分区</w:t>
            </w:r>
            <w:r>
              <w:rPr>
                <w:rFonts w:hint="eastAsia"/>
                <w:b/>
                <w:bCs/>
              </w:rPr>
              <w:t>及</w:t>
            </w:r>
            <w:r>
              <w:rPr>
                <w:rFonts w:hint="eastAsia" w:cs="宋体"/>
                <w:b/>
                <w:bCs/>
                <w:kern w:val="0"/>
              </w:rPr>
              <w:t>气候子区</w:t>
            </w:r>
          </w:p>
        </w:tc>
        <w:tc>
          <w:tcPr>
            <w:tcW w:w="3506" w:type="pct"/>
            <w:vAlign w:val="center"/>
          </w:tcPr>
          <w:p>
            <w:pPr>
              <w:spacing w:line="276" w:lineRule="auto"/>
              <w:jc w:val="center"/>
              <w:rPr>
                <w:rFonts w:cs="宋体"/>
                <w:b/>
                <w:bCs/>
                <w:kern w:val="0"/>
              </w:rPr>
            </w:pPr>
            <w:r>
              <w:rPr>
                <w:rFonts w:hint="eastAsia" w:cs="宋体"/>
                <w:b/>
                <w:bCs/>
                <w:kern w:val="0"/>
              </w:rPr>
              <w:t>代表城市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exact"/>
          <w:jc w:val="center"/>
        </w:trPr>
        <w:tc>
          <w:tcPr>
            <w:tcW w:w="761" w:type="pct"/>
            <w:vMerge w:val="restart"/>
            <w:vAlign w:val="center"/>
          </w:tcPr>
          <w:p>
            <w:pPr>
              <w:spacing w:line="276" w:lineRule="auto"/>
              <w:jc w:val="center"/>
            </w:pPr>
            <w:r>
              <w:rPr>
                <w:rFonts w:hint="eastAsia" w:cs="宋体"/>
                <w:kern w:val="0"/>
              </w:rPr>
              <w:t>严寒地区</w:t>
            </w:r>
          </w:p>
        </w:tc>
        <w:tc>
          <w:tcPr>
            <w:tcW w:w="733" w:type="pct"/>
            <w:vAlign w:val="center"/>
          </w:tcPr>
          <w:p>
            <w:pPr>
              <w:spacing w:line="276" w:lineRule="auto"/>
              <w:jc w:val="center"/>
            </w:pPr>
            <w:r>
              <w:rPr>
                <w:rFonts w:hint="eastAsia" w:cs="宋体"/>
                <w:kern w:val="0"/>
              </w:rPr>
              <w:t>严寒A区</w:t>
            </w:r>
          </w:p>
        </w:tc>
        <w:tc>
          <w:tcPr>
            <w:tcW w:w="3506" w:type="pct"/>
            <w:vMerge w:val="restart"/>
            <w:vAlign w:val="center"/>
          </w:tcPr>
          <w:p>
            <w:pPr>
              <w:spacing w:line="276" w:lineRule="auto"/>
              <w:jc w:val="center"/>
            </w:pPr>
            <w:r>
              <w:rPr>
                <w:rFonts w:hint="eastAsia" w:cs="宋体"/>
                <w:kern w:val="0"/>
              </w:rPr>
              <w:t>博克图、伊春、呼玛、海拉尔、满洲里、阿尔山、玛多、黑河、嫩江、海伦、齐齐哈尔、富锦、哈尔滨、牡丹江、大庆、安达、佳木斯、二连浩特、多伦、大柴旦、阿勒泰、那曲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jc w:val="center"/>
        </w:trPr>
        <w:tc>
          <w:tcPr>
            <w:tcW w:w="761" w:type="pct"/>
            <w:vMerge w:val="continue"/>
            <w:vAlign w:val="center"/>
          </w:tcPr>
          <w:p>
            <w:pPr>
              <w:spacing w:line="276" w:lineRule="auto"/>
              <w:jc w:val="center"/>
            </w:pPr>
          </w:p>
        </w:tc>
        <w:tc>
          <w:tcPr>
            <w:tcW w:w="733" w:type="pct"/>
            <w:vAlign w:val="center"/>
          </w:tcPr>
          <w:p>
            <w:pPr>
              <w:spacing w:line="276" w:lineRule="auto"/>
              <w:jc w:val="center"/>
            </w:pPr>
            <w:r>
              <w:rPr>
                <w:rFonts w:hint="eastAsia" w:cs="宋体"/>
                <w:kern w:val="0"/>
              </w:rPr>
              <w:t>严寒B区</w:t>
            </w:r>
          </w:p>
        </w:tc>
        <w:tc>
          <w:tcPr>
            <w:tcW w:w="3506" w:type="pct"/>
            <w:vMerge w:val="continue"/>
            <w:vAlign w:val="center"/>
          </w:tcPr>
          <w:p>
            <w:pPr>
              <w:spacing w:line="276"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exact"/>
          <w:jc w:val="center"/>
        </w:trPr>
        <w:tc>
          <w:tcPr>
            <w:tcW w:w="761" w:type="pct"/>
            <w:vMerge w:val="continue"/>
            <w:vAlign w:val="center"/>
          </w:tcPr>
          <w:p>
            <w:pPr>
              <w:spacing w:line="276" w:lineRule="auto"/>
              <w:jc w:val="center"/>
              <w:rPr>
                <w:kern w:val="0"/>
              </w:rPr>
            </w:pPr>
          </w:p>
        </w:tc>
        <w:tc>
          <w:tcPr>
            <w:tcW w:w="733" w:type="pct"/>
            <w:vAlign w:val="center"/>
          </w:tcPr>
          <w:p>
            <w:pPr>
              <w:spacing w:line="276" w:lineRule="auto"/>
              <w:jc w:val="center"/>
              <w:rPr>
                <w:kern w:val="0"/>
              </w:rPr>
            </w:pPr>
            <w:r>
              <w:rPr>
                <w:rFonts w:hint="eastAsia" w:cs="宋体"/>
                <w:kern w:val="0"/>
              </w:rPr>
              <w:t>严寒C区</w:t>
            </w:r>
          </w:p>
        </w:tc>
        <w:tc>
          <w:tcPr>
            <w:tcW w:w="3506" w:type="pct"/>
            <w:vAlign w:val="center"/>
          </w:tcPr>
          <w:p>
            <w:pPr>
              <w:spacing w:line="276" w:lineRule="auto"/>
              <w:jc w:val="center"/>
            </w:pPr>
            <w:r>
              <w:rPr>
                <w:rFonts w:hint="eastAsia" w:cs="宋体"/>
                <w:kern w:val="0"/>
              </w:rPr>
              <w:t>长春、通化、延吉、通辽、四平、抚顺、阜新、沈阳、本溪、鞍山、呼和浩特、包头、鄂尔多斯、赤峰、额济纳旗、大同、乌鲁木齐、克拉玛依、酒泉、西宁、日喀则、甘孜、康定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exact"/>
          <w:jc w:val="center"/>
        </w:trPr>
        <w:tc>
          <w:tcPr>
            <w:tcW w:w="761" w:type="pct"/>
            <w:vMerge w:val="restart"/>
            <w:vAlign w:val="center"/>
          </w:tcPr>
          <w:p>
            <w:pPr>
              <w:spacing w:line="276" w:lineRule="auto"/>
              <w:jc w:val="center"/>
            </w:pPr>
            <w:r>
              <w:rPr>
                <w:rFonts w:hint="eastAsia" w:cs="宋体"/>
                <w:kern w:val="0"/>
              </w:rPr>
              <w:t>寒冷地区</w:t>
            </w:r>
          </w:p>
        </w:tc>
        <w:tc>
          <w:tcPr>
            <w:tcW w:w="733" w:type="pct"/>
            <w:vAlign w:val="center"/>
          </w:tcPr>
          <w:p>
            <w:pPr>
              <w:spacing w:line="276" w:lineRule="auto"/>
              <w:jc w:val="center"/>
            </w:pPr>
            <w:r>
              <w:rPr>
                <w:rFonts w:hint="eastAsia"/>
              </w:rPr>
              <w:t>寒冷A区</w:t>
            </w:r>
          </w:p>
        </w:tc>
        <w:tc>
          <w:tcPr>
            <w:tcW w:w="3506" w:type="pct"/>
            <w:vMerge w:val="restart"/>
            <w:vAlign w:val="center"/>
          </w:tcPr>
          <w:p>
            <w:pPr>
              <w:spacing w:line="276" w:lineRule="auto"/>
              <w:jc w:val="center"/>
            </w:pPr>
            <w:r>
              <w:rPr>
                <w:rFonts w:hint="eastAsia" w:cs="宋体"/>
                <w:kern w:val="0"/>
              </w:rPr>
              <w:t>丹东、大连、张家口、承德、唐山、青岛、洛阳、太原、阳泉、晋城、天水、榆林、延安、宝鸡、银川、平凉、兰州、喀什、伊宁、阿坝、拉萨、林芝、北京、天津、石家庄、保定、邢台、济南、德州、兖州、郑州、安阳、徐州、运城、西安、咸阳、吐鲁番、库尔勒、哈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exact"/>
          <w:jc w:val="center"/>
        </w:trPr>
        <w:tc>
          <w:tcPr>
            <w:tcW w:w="761" w:type="pct"/>
            <w:vMerge w:val="continue"/>
            <w:vAlign w:val="center"/>
          </w:tcPr>
          <w:p>
            <w:pPr>
              <w:spacing w:line="276" w:lineRule="auto"/>
              <w:jc w:val="center"/>
              <w:rPr>
                <w:rFonts w:cs="宋体"/>
                <w:kern w:val="0"/>
              </w:rPr>
            </w:pPr>
          </w:p>
        </w:tc>
        <w:tc>
          <w:tcPr>
            <w:tcW w:w="733" w:type="pct"/>
            <w:vAlign w:val="center"/>
          </w:tcPr>
          <w:p>
            <w:pPr>
              <w:spacing w:line="276" w:lineRule="auto"/>
              <w:jc w:val="center"/>
            </w:pPr>
            <w:r>
              <w:rPr>
                <w:rFonts w:hint="eastAsia"/>
              </w:rPr>
              <w:t>寒冷B区</w:t>
            </w:r>
          </w:p>
        </w:tc>
        <w:tc>
          <w:tcPr>
            <w:tcW w:w="3506" w:type="pct"/>
            <w:vMerge w:val="continue"/>
            <w:vAlign w:val="center"/>
          </w:tcPr>
          <w:p>
            <w:pPr>
              <w:spacing w:line="276" w:lineRule="auto"/>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exact"/>
          <w:jc w:val="center"/>
        </w:trPr>
        <w:tc>
          <w:tcPr>
            <w:tcW w:w="761" w:type="pct"/>
            <w:vMerge w:val="restart"/>
            <w:vAlign w:val="center"/>
          </w:tcPr>
          <w:p>
            <w:pPr>
              <w:spacing w:line="276" w:lineRule="auto"/>
              <w:jc w:val="center"/>
            </w:pPr>
            <w:r>
              <w:rPr>
                <w:rFonts w:hint="eastAsia" w:cs="宋体"/>
                <w:kern w:val="0"/>
              </w:rPr>
              <w:t>夏热冬冷地区</w:t>
            </w:r>
          </w:p>
        </w:tc>
        <w:tc>
          <w:tcPr>
            <w:tcW w:w="733" w:type="pct"/>
            <w:vAlign w:val="center"/>
          </w:tcPr>
          <w:p>
            <w:pPr>
              <w:spacing w:line="276" w:lineRule="auto"/>
              <w:jc w:val="center"/>
            </w:pPr>
            <w:r>
              <w:rPr>
                <w:rFonts w:hint="eastAsia"/>
              </w:rPr>
              <w:t>夏热冬冷A区</w:t>
            </w:r>
          </w:p>
        </w:tc>
        <w:tc>
          <w:tcPr>
            <w:tcW w:w="3506" w:type="pct"/>
            <w:vMerge w:val="restart"/>
            <w:vAlign w:val="center"/>
          </w:tcPr>
          <w:p>
            <w:pPr>
              <w:spacing w:line="276" w:lineRule="auto"/>
              <w:jc w:val="center"/>
            </w:pPr>
            <w:r>
              <w:rPr>
                <w:rFonts w:hint="eastAsia" w:cs="宋体"/>
                <w:kern w:val="0"/>
              </w:rPr>
              <w:t>南京、蚌埠、盐城、南通、合肥、安庆、九江、武汉、黄石、岳阳、汉中、安康、上海、杭州、宁波、温州、宜昌、长沙、南昌、株洲、永州、赣州、韶关、桂林、重庆、达县、万州、涪陵、南充、宜宾、成都、遵义、凯里、绵阳、南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exact"/>
          <w:jc w:val="center"/>
        </w:trPr>
        <w:tc>
          <w:tcPr>
            <w:tcW w:w="761" w:type="pct"/>
            <w:vMerge w:val="continue"/>
            <w:vAlign w:val="center"/>
          </w:tcPr>
          <w:p>
            <w:pPr>
              <w:spacing w:line="276" w:lineRule="auto"/>
              <w:jc w:val="center"/>
              <w:rPr>
                <w:rFonts w:cs="宋体"/>
                <w:kern w:val="0"/>
              </w:rPr>
            </w:pPr>
          </w:p>
        </w:tc>
        <w:tc>
          <w:tcPr>
            <w:tcW w:w="733" w:type="pct"/>
            <w:vAlign w:val="center"/>
          </w:tcPr>
          <w:p>
            <w:pPr>
              <w:spacing w:line="276" w:lineRule="auto"/>
              <w:jc w:val="center"/>
            </w:pPr>
            <w:r>
              <w:rPr>
                <w:rFonts w:hint="eastAsia"/>
              </w:rPr>
              <w:t>夏热冬冷B区</w:t>
            </w:r>
          </w:p>
        </w:tc>
        <w:tc>
          <w:tcPr>
            <w:tcW w:w="3506" w:type="pct"/>
            <w:vMerge w:val="continue"/>
            <w:vAlign w:val="center"/>
          </w:tcPr>
          <w:p>
            <w:pPr>
              <w:spacing w:line="276" w:lineRule="auto"/>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exact"/>
          <w:jc w:val="center"/>
        </w:trPr>
        <w:tc>
          <w:tcPr>
            <w:tcW w:w="761" w:type="pct"/>
            <w:vMerge w:val="restart"/>
            <w:vAlign w:val="center"/>
          </w:tcPr>
          <w:p>
            <w:pPr>
              <w:spacing w:line="276" w:lineRule="auto"/>
              <w:jc w:val="center"/>
            </w:pPr>
            <w:r>
              <w:rPr>
                <w:rFonts w:hint="eastAsia" w:cs="宋体"/>
                <w:kern w:val="0"/>
              </w:rPr>
              <w:t>夏热冬暖地区</w:t>
            </w:r>
          </w:p>
        </w:tc>
        <w:tc>
          <w:tcPr>
            <w:tcW w:w="733" w:type="pct"/>
            <w:vAlign w:val="center"/>
          </w:tcPr>
          <w:p>
            <w:pPr>
              <w:spacing w:line="276" w:lineRule="auto"/>
              <w:jc w:val="center"/>
            </w:pPr>
            <w:r>
              <w:rPr>
                <w:rFonts w:hint="eastAsia"/>
              </w:rPr>
              <w:t>夏热冬暖A区</w:t>
            </w:r>
          </w:p>
        </w:tc>
        <w:tc>
          <w:tcPr>
            <w:tcW w:w="3506" w:type="pct"/>
            <w:vMerge w:val="restart"/>
            <w:vAlign w:val="center"/>
          </w:tcPr>
          <w:p>
            <w:pPr>
              <w:spacing w:line="276" w:lineRule="auto"/>
              <w:jc w:val="center"/>
            </w:pPr>
            <w:r>
              <w:rPr>
                <w:rFonts w:hint="eastAsia" w:cs="宋体"/>
                <w:kern w:val="0"/>
              </w:rPr>
              <w:t>福州、莆田、龙岩、梅州、兴宁、英德、河池、柳州、贺州、泉州、厦门、广州、深圳、湛江、汕头、南宁、北海、梧州、海口、三亚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exact"/>
          <w:jc w:val="center"/>
        </w:trPr>
        <w:tc>
          <w:tcPr>
            <w:tcW w:w="761" w:type="pct"/>
            <w:vMerge w:val="continue"/>
            <w:vAlign w:val="center"/>
          </w:tcPr>
          <w:p>
            <w:pPr>
              <w:spacing w:line="276" w:lineRule="auto"/>
              <w:jc w:val="center"/>
              <w:rPr>
                <w:rFonts w:cs="宋体"/>
                <w:kern w:val="0"/>
              </w:rPr>
            </w:pPr>
          </w:p>
        </w:tc>
        <w:tc>
          <w:tcPr>
            <w:tcW w:w="733" w:type="pct"/>
            <w:vAlign w:val="center"/>
          </w:tcPr>
          <w:p>
            <w:pPr>
              <w:spacing w:line="276" w:lineRule="auto"/>
              <w:jc w:val="center"/>
            </w:pPr>
            <w:r>
              <w:rPr>
                <w:rFonts w:hint="eastAsia"/>
              </w:rPr>
              <w:t>夏热冬暖B区</w:t>
            </w:r>
          </w:p>
        </w:tc>
        <w:tc>
          <w:tcPr>
            <w:tcW w:w="3506" w:type="pct"/>
            <w:vMerge w:val="continue"/>
            <w:vAlign w:val="center"/>
          </w:tcPr>
          <w:p>
            <w:pPr>
              <w:spacing w:line="276" w:lineRule="auto"/>
              <w:jc w:val="center"/>
              <w:rPr>
                <w:rFonts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exact"/>
          <w:jc w:val="center"/>
        </w:trPr>
        <w:tc>
          <w:tcPr>
            <w:tcW w:w="761" w:type="pct"/>
            <w:vMerge w:val="restart"/>
            <w:vAlign w:val="center"/>
          </w:tcPr>
          <w:p>
            <w:pPr>
              <w:spacing w:line="276" w:lineRule="auto"/>
              <w:jc w:val="center"/>
              <w:rPr>
                <w:kern w:val="0"/>
              </w:rPr>
            </w:pPr>
            <w:r>
              <w:rPr>
                <w:rFonts w:hint="eastAsia" w:cs="宋体"/>
                <w:kern w:val="0"/>
              </w:rPr>
              <w:t>温和地区</w:t>
            </w:r>
          </w:p>
        </w:tc>
        <w:tc>
          <w:tcPr>
            <w:tcW w:w="733" w:type="pct"/>
            <w:vAlign w:val="center"/>
          </w:tcPr>
          <w:p>
            <w:pPr>
              <w:spacing w:line="276" w:lineRule="auto"/>
              <w:jc w:val="center"/>
              <w:rPr>
                <w:kern w:val="0"/>
              </w:rPr>
            </w:pPr>
            <w:r>
              <w:rPr>
                <w:rFonts w:hint="eastAsia"/>
                <w:kern w:val="0"/>
              </w:rPr>
              <w:t>温和A区</w:t>
            </w:r>
          </w:p>
        </w:tc>
        <w:tc>
          <w:tcPr>
            <w:tcW w:w="3506" w:type="pct"/>
            <w:vAlign w:val="center"/>
          </w:tcPr>
          <w:p>
            <w:pPr>
              <w:spacing w:line="276" w:lineRule="auto"/>
              <w:jc w:val="center"/>
              <w:rPr>
                <w:kern w:val="0"/>
              </w:rPr>
            </w:pPr>
            <w:r>
              <w:rPr>
                <w:rFonts w:hint="eastAsia"/>
                <w:sz w:val="22"/>
                <w:szCs w:val="21"/>
              </w:rPr>
              <w:t>昆明、贵阳、丽江、会泽、腾冲、保山、大理、楚雄、曲靖、泸西、屏边、广南、兴义、独山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exact"/>
          <w:jc w:val="center"/>
        </w:trPr>
        <w:tc>
          <w:tcPr>
            <w:tcW w:w="761" w:type="pct"/>
            <w:vMerge w:val="continue"/>
            <w:vAlign w:val="center"/>
          </w:tcPr>
          <w:p>
            <w:pPr>
              <w:spacing w:line="276" w:lineRule="auto"/>
              <w:jc w:val="center"/>
              <w:rPr>
                <w:rFonts w:cs="宋体"/>
                <w:kern w:val="0"/>
              </w:rPr>
            </w:pPr>
          </w:p>
        </w:tc>
        <w:tc>
          <w:tcPr>
            <w:tcW w:w="733" w:type="pct"/>
            <w:vAlign w:val="center"/>
          </w:tcPr>
          <w:p>
            <w:pPr>
              <w:spacing w:line="276" w:lineRule="auto"/>
              <w:jc w:val="center"/>
              <w:rPr>
                <w:rFonts w:cs="宋体"/>
                <w:kern w:val="0"/>
              </w:rPr>
            </w:pPr>
            <w:r>
              <w:rPr>
                <w:rFonts w:hint="eastAsia"/>
                <w:kern w:val="0"/>
              </w:rPr>
              <w:t>温和B区</w:t>
            </w:r>
          </w:p>
        </w:tc>
        <w:tc>
          <w:tcPr>
            <w:tcW w:w="3506" w:type="pct"/>
            <w:vAlign w:val="center"/>
          </w:tcPr>
          <w:p>
            <w:pPr>
              <w:spacing w:line="276" w:lineRule="auto"/>
              <w:jc w:val="center"/>
              <w:rPr>
                <w:rFonts w:cs="宋体"/>
                <w:kern w:val="0"/>
              </w:rPr>
            </w:pPr>
            <w:r>
              <w:rPr>
                <w:rFonts w:hint="eastAsia"/>
                <w:sz w:val="22"/>
                <w:szCs w:val="21"/>
              </w:rPr>
              <w:t>瑞丽、耿马、临沧、澜沧、思茅、江城、蒙自</w:t>
            </w:r>
          </w:p>
        </w:tc>
      </w:tr>
    </w:tbl>
    <w:p>
      <w:pPr>
        <w:autoSpaceDE w:val="0"/>
        <w:autoSpaceDN w:val="0"/>
        <w:adjustRightInd w:val="0"/>
        <w:spacing w:line="276" w:lineRule="auto"/>
        <w:rPr>
          <w:kern w:val="0"/>
          <w:sz w:val="24"/>
        </w:rPr>
      </w:pPr>
    </w:p>
    <w:p>
      <w:pPr>
        <w:autoSpaceDE w:val="0"/>
        <w:autoSpaceDN w:val="0"/>
        <w:adjustRightInd w:val="0"/>
        <w:spacing w:line="360" w:lineRule="auto"/>
        <w:rPr>
          <w:rFonts w:hAnsi="Arial" w:cs="Arial"/>
          <w:kern w:val="0"/>
          <w:sz w:val="24"/>
        </w:rPr>
      </w:pPr>
      <w:r>
        <w:rPr>
          <w:rFonts w:hint="eastAsia" w:cs="Arial"/>
          <w:b/>
          <w:kern w:val="0"/>
          <w:sz w:val="24"/>
        </w:rPr>
        <w:t>3</w:t>
      </w:r>
      <w:r>
        <w:rPr>
          <w:rFonts w:cs="Arial"/>
          <w:b/>
          <w:kern w:val="0"/>
          <w:sz w:val="24"/>
        </w:rPr>
        <w:t>.1.2</w:t>
      </w:r>
      <w:r>
        <w:rPr>
          <w:rFonts w:hint="eastAsia"/>
          <w:kern w:val="0"/>
          <w:sz w:val="24"/>
        </w:rPr>
        <w:t>建筑群的总体规划应考虑减轻热岛效应。建筑的总体规划和总平面设计应有利于自然通风和冬季日照</w:t>
      </w:r>
      <w:r>
        <w:rPr>
          <w:kern w:val="0"/>
          <w:sz w:val="24"/>
        </w:rPr>
        <w:t>。</w:t>
      </w:r>
      <w:r>
        <w:rPr>
          <w:rFonts w:hint="eastAsia"/>
          <w:kern w:val="0"/>
          <w:sz w:val="24"/>
        </w:rPr>
        <w:t>建筑的主朝向宜选择</w:t>
      </w:r>
      <w:r>
        <w:rPr>
          <w:rFonts w:hint="eastAsia" w:hAnsi="Arial" w:cs="Arial"/>
          <w:kern w:val="0"/>
          <w:sz w:val="24"/>
        </w:rPr>
        <w:t>本地区最佳朝向或适宜朝向，且宜避开冬季主导风向。</w:t>
      </w:r>
    </w:p>
    <w:p>
      <w:pPr>
        <w:autoSpaceDE w:val="0"/>
        <w:autoSpaceDN w:val="0"/>
        <w:adjustRightInd w:val="0"/>
        <w:spacing w:line="360" w:lineRule="auto"/>
        <w:rPr>
          <w:rFonts w:cs="Arial"/>
          <w:kern w:val="0"/>
          <w:sz w:val="24"/>
        </w:rPr>
      </w:pPr>
    </w:p>
    <w:p>
      <w:pPr>
        <w:tabs>
          <w:tab w:val="left" w:pos="6888"/>
        </w:tabs>
        <w:spacing w:line="360" w:lineRule="auto"/>
        <w:rPr>
          <w:rFonts w:eastAsiaTheme="minorEastAsia"/>
        </w:rPr>
      </w:pPr>
      <w:r>
        <w:rPr>
          <w:rFonts w:hint="eastAsia" w:cs="Arial"/>
          <w:b/>
          <w:sz w:val="24"/>
        </w:rPr>
        <w:t>3</w:t>
      </w:r>
      <w:r>
        <w:rPr>
          <w:rFonts w:cs="Arial"/>
          <w:b/>
          <w:sz w:val="24"/>
        </w:rPr>
        <w:t>.1.3</w:t>
      </w:r>
      <w:r>
        <w:rPr>
          <w:rFonts w:hint="eastAsia" w:cs="Arial"/>
          <w:bCs/>
          <w:sz w:val="24"/>
        </w:rPr>
        <w:t>建筑</w:t>
      </w:r>
      <w:r>
        <w:rPr>
          <w:rFonts w:hint="eastAsia"/>
          <w:bCs/>
          <w:sz w:val="24"/>
        </w:rPr>
        <w:t>体形</w:t>
      </w:r>
      <w:r>
        <w:rPr>
          <w:rFonts w:hint="eastAsia"/>
          <w:sz w:val="24"/>
        </w:rPr>
        <w:t>系数、围护结构热工性能限值、围护结构热工性能权衡判断等建筑和围护结构的强制性要求，以及公共建筑分类、单一立面窗墙面积比等参数计算应符合现行国家工程建设标准《建筑节能与可再生能源利用通用规范》</w:t>
      </w:r>
      <w:r>
        <w:rPr>
          <w:sz w:val="24"/>
        </w:rPr>
        <w:t>GB55015</w:t>
      </w:r>
      <w:r>
        <w:rPr>
          <w:rFonts w:hint="eastAsia"/>
          <w:sz w:val="24"/>
        </w:rPr>
        <w:t>的规定。围护结构热工性能权衡计算应按本标准附录B提供相应的原始信息和计算结果。</w:t>
      </w:r>
    </w:p>
    <w:p>
      <w:pPr>
        <w:autoSpaceDE w:val="0"/>
        <w:autoSpaceDN w:val="0"/>
        <w:adjustRightInd w:val="0"/>
        <w:spacing w:line="360" w:lineRule="auto"/>
        <w:rPr>
          <w:kern w:val="0"/>
        </w:rPr>
      </w:pPr>
    </w:p>
    <w:p>
      <w:pPr>
        <w:autoSpaceDE w:val="0"/>
        <w:autoSpaceDN w:val="0"/>
        <w:adjustRightInd w:val="0"/>
        <w:spacing w:line="360" w:lineRule="auto"/>
        <w:rPr>
          <w:rFonts w:cs="宋体"/>
          <w:kern w:val="0"/>
          <w:sz w:val="24"/>
        </w:rPr>
      </w:pPr>
      <w:r>
        <w:rPr>
          <w:rFonts w:hint="eastAsia" w:cs="Arial"/>
          <w:b/>
          <w:kern w:val="0"/>
          <w:sz w:val="24"/>
        </w:rPr>
        <w:t>3.1.</w:t>
      </w:r>
      <w:r>
        <w:rPr>
          <w:rFonts w:cs="Arial"/>
          <w:b/>
          <w:kern w:val="0"/>
          <w:sz w:val="24"/>
        </w:rPr>
        <w:t xml:space="preserve">4 </w:t>
      </w:r>
      <w:r>
        <w:rPr>
          <w:rFonts w:hint="eastAsia"/>
          <w:kern w:val="0"/>
          <w:sz w:val="24"/>
        </w:rPr>
        <w:t>建筑总平面设计及平面布置应合理确定能源设备机房的位置，缩短能源供应输送距离。</w:t>
      </w:r>
      <w:r>
        <w:rPr>
          <w:rFonts w:hint="eastAsia" w:cs="宋体"/>
          <w:kern w:val="0"/>
          <w:sz w:val="24"/>
        </w:rPr>
        <w:t>同一公共建筑的冷热源机房宜位于或靠近冷热负荷中心位置集中设置。</w:t>
      </w:r>
    </w:p>
    <w:p>
      <w:pPr>
        <w:autoSpaceDE w:val="0"/>
        <w:autoSpaceDN w:val="0"/>
        <w:adjustRightInd w:val="0"/>
        <w:spacing w:line="360" w:lineRule="auto"/>
        <w:rPr>
          <w:rFonts w:cs="Arial"/>
          <w:bCs/>
          <w:kern w:val="0"/>
          <w:sz w:val="24"/>
        </w:rPr>
      </w:pPr>
    </w:p>
    <w:p>
      <w:pPr>
        <w:autoSpaceDE w:val="0"/>
        <w:autoSpaceDN w:val="0"/>
        <w:adjustRightInd w:val="0"/>
        <w:spacing w:line="360" w:lineRule="auto"/>
        <w:rPr>
          <w:rFonts w:cs="Arial"/>
          <w:b/>
          <w:kern w:val="0"/>
          <w:sz w:val="24"/>
        </w:rPr>
      </w:pPr>
      <w:r>
        <w:rPr>
          <w:rFonts w:cs="Arial"/>
          <w:b/>
          <w:kern w:val="0"/>
          <w:sz w:val="24"/>
        </w:rPr>
        <w:t>3.1.5</w:t>
      </w:r>
      <w:r>
        <w:rPr>
          <w:rFonts w:hint="eastAsia" w:cs="Arial"/>
          <w:bCs/>
          <w:kern w:val="0"/>
          <w:sz w:val="24"/>
        </w:rPr>
        <w:t>建筑立面、屋顶应结合所选用的太阳能系统进行一体化设计。</w:t>
      </w:r>
    </w:p>
    <w:p>
      <w:pPr>
        <w:spacing w:line="360" w:lineRule="auto"/>
        <w:rPr>
          <w:rFonts w:ascii="宋体" w:hAnsi="宋体" w:cs="宋体"/>
          <w:spacing w:val="1"/>
        </w:rPr>
      </w:pPr>
    </w:p>
    <w:p>
      <w:pPr>
        <w:autoSpaceDE w:val="0"/>
        <w:autoSpaceDN w:val="0"/>
        <w:adjustRightInd w:val="0"/>
        <w:spacing w:line="360" w:lineRule="auto"/>
        <w:rPr>
          <w:rFonts w:cs="Arial"/>
          <w:bCs/>
          <w:kern w:val="0"/>
          <w:sz w:val="24"/>
        </w:rPr>
      </w:pPr>
      <w:r>
        <w:rPr>
          <w:rFonts w:cs="Arial"/>
          <w:b/>
          <w:kern w:val="0"/>
          <w:sz w:val="24"/>
        </w:rPr>
        <w:t>3.1.6</w:t>
      </w:r>
      <w:r>
        <w:rPr>
          <w:rFonts w:hint="eastAsia" w:cs="Arial"/>
          <w:bCs/>
          <w:kern w:val="0"/>
          <w:sz w:val="24"/>
        </w:rPr>
        <w:t>装配式建筑的应综合考虑建筑围护结构的保温隔热技术措施，宜做到一体化设计。</w:t>
      </w:r>
    </w:p>
    <w:p>
      <w:pPr>
        <w:autoSpaceDE w:val="0"/>
        <w:autoSpaceDN w:val="0"/>
        <w:adjustRightInd w:val="0"/>
        <w:spacing w:line="276" w:lineRule="auto"/>
        <w:rPr>
          <w:kern w:val="0"/>
          <w:sz w:val="24"/>
        </w:rPr>
      </w:pPr>
    </w:p>
    <w:p>
      <w:pPr>
        <w:pStyle w:val="3"/>
        <w:spacing w:line="276" w:lineRule="auto"/>
        <w:jc w:val="center"/>
        <w:rPr>
          <w:rFonts w:ascii="Times New Roman" w:eastAsia="宋体" w:hAnsiTheme="majorEastAsia"/>
        </w:rPr>
      </w:pPr>
      <w:bookmarkStart w:id="34" w:name="_Toc376970876"/>
      <w:bookmarkStart w:id="35" w:name="_Toc377052130"/>
      <w:bookmarkStart w:id="36" w:name="_Toc146734714"/>
      <w:bookmarkStart w:id="37" w:name="_Toc187572562"/>
      <w:r>
        <w:rPr>
          <w:rFonts w:hint="eastAsia" w:ascii="Times New Roman" w:hAnsi="Times New Roman" w:eastAsia="宋体"/>
        </w:rPr>
        <w:t>3</w:t>
      </w:r>
      <w:r>
        <w:rPr>
          <w:rFonts w:ascii="Times New Roman" w:hAnsi="Times New Roman" w:eastAsia="宋体"/>
        </w:rPr>
        <w:t>.2</w:t>
      </w:r>
      <w:r>
        <w:rPr>
          <w:rFonts w:hint="eastAsia" w:ascii="Times New Roman" w:eastAsia="宋体" w:hAnsiTheme="majorEastAsia"/>
        </w:rPr>
        <w:t>建筑</w:t>
      </w:r>
      <w:r>
        <w:rPr>
          <w:rFonts w:ascii="Times New Roman" w:eastAsia="宋体" w:hAnsiTheme="majorEastAsia"/>
        </w:rPr>
        <w:t>设计</w:t>
      </w:r>
      <w:bookmarkEnd w:id="34"/>
      <w:bookmarkEnd w:id="35"/>
      <w:r>
        <w:rPr>
          <w:rFonts w:hint="eastAsia" w:ascii="Times New Roman" w:eastAsia="宋体" w:hAnsiTheme="majorEastAsia"/>
        </w:rPr>
        <w:t>与</w:t>
      </w:r>
      <w:r>
        <w:rPr>
          <w:rFonts w:ascii="Times New Roman" w:eastAsia="宋体" w:hAnsiTheme="majorEastAsia"/>
          <w:kern w:val="0"/>
        </w:rPr>
        <w:t>围护结构热工</w:t>
      </w:r>
      <w:r>
        <w:rPr>
          <w:rFonts w:hint="eastAsia" w:ascii="Times New Roman" w:eastAsia="宋体" w:hAnsiTheme="majorEastAsia"/>
          <w:kern w:val="0"/>
        </w:rPr>
        <w:t>性能</w:t>
      </w:r>
      <w:bookmarkEnd w:id="36"/>
    </w:p>
    <w:p>
      <w:pPr>
        <w:spacing w:before="312" w:beforeLines="100" w:line="360" w:lineRule="auto"/>
        <w:rPr>
          <w:rFonts w:ascii="宋体" w:hAnsi="宋体"/>
          <w:sz w:val="24"/>
        </w:rPr>
      </w:pPr>
      <w:r>
        <w:rPr>
          <w:rFonts w:ascii="宋体" w:hAnsi="宋体"/>
          <w:b/>
          <w:bCs/>
          <w:sz w:val="24"/>
        </w:rPr>
        <w:t>3.2.1</w:t>
      </w:r>
      <w:r>
        <w:rPr>
          <w:rFonts w:hint="eastAsia" w:ascii="宋体" w:hAnsi="宋体"/>
          <w:bCs/>
          <w:sz w:val="24"/>
        </w:rPr>
        <w:t>建筑总平面布局时，</w:t>
      </w:r>
      <w:r>
        <w:rPr>
          <w:rFonts w:hint="eastAsia" w:ascii="宋体" w:hAnsi="宋体"/>
          <w:sz w:val="24"/>
        </w:rPr>
        <w:t>应符合下列规定：</w:t>
      </w:r>
    </w:p>
    <w:p>
      <w:pPr>
        <w:spacing w:line="360" w:lineRule="auto"/>
        <w:ind w:firstLine="566" w:firstLineChars="236"/>
        <w:rPr>
          <w:rFonts w:ascii="宋体" w:hAnsi="宋体"/>
          <w:sz w:val="24"/>
        </w:rPr>
      </w:pPr>
      <w:r>
        <w:rPr>
          <w:rFonts w:hint="eastAsia" w:ascii="宋体" w:hAnsi="宋体"/>
          <w:sz w:val="24"/>
        </w:rPr>
        <w:t xml:space="preserve">1 </w:t>
      </w:r>
      <w:r>
        <w:rPr>
          <w:rFonts w:ascii="宋体" w:hAnsi="宋体" w:cs="宋体"/>
          <w:spacing w:val="-2"/>
          <w:sz w:val="24"/>
        </w:rPr>
        <w:t>建筑</w:t>
      </w:r>
      <w:r>
        <w:rPr>
          <w:rFonts w:hint="eastAsia" w:ascii="宋体" w:hAnsi="宋体" w:cs="宋体"/>
          <w:spacing w:val="-2"/>
          <w:sz w:val="24"/>
        </w:rPr>
        <w:t>单体</w:t>
      </w:r>
      <w:r>
        <w:rPr>
          <w:rFonts w:ascii="宋体" w:hAnsi="宋体" w:cs="宋体"/>
          <w:spacing w:val="-2"/>
          <w:sz w:val="24"/>
        </w:rPr>
        <w:t>宜采用错</w:t>
      </w:r>
      <w:r>
        <w:rPr>
          <w:rFonts w:hint="eastAsia" w:ascii="宋体" w:hAnsi="宋体" w:cs="宋体"/>
          <w:spacing w:val="-2"/>
          <w:sz w:val="24"/>
        </w:rPr>
        <w:t>位</w:t>
      </w:r>
      <w:r>
        <w:rPr>
          <w:rFonts w:ascii="宋体" w:hAnsi="宋体" w:cs="宋体"/>
          <w:spacing w:val="-2"/>
          <w:sz w:val="24"/>
        </w:rPr>
        <w:t>布局</w:t>
      </w:r>
      <w:r>
        <w:rPr>
          <w:rFonts w:hint="eastAsia" w:ascii="宋体" w:hAnsi="宋体" w:cs="宋体"/>
          <w:spacing w:val="-2"/>
          <w:sz w:val="24"/>
        </w:rPr>
        <w:t>的</w:t>
      </w:r>
      <w:r>
        <w:rPr>
          <w:rFonts w:ascii="宋体" w:hAnsi="宋体" w:cs="宋体"/>
          <w:spacing w:val="-2"/>
          <w:sz w:val="24"/>
        </w:rPr>
        <w:t>形式</w:t>
      </w:r>
      <w:r>
        <w:rPr>
          <w:rFonts w:hint="eastAsia" w:ascii="宋体" w:hAnsi="宋体" w:cs="宋体"/>
          <w:spacing w:val="-2"/>
          <w:sz w:val="24"/>
        </w:rPr>
        <w:t>，建筑之间不宜相互遮挡；</w:t>
      </w:r>
    </w:p>
    <w:p>
      <w:pPr>
        <w:spacing w:line="360" w:lineRule="auto"/>
        <w:ind w:firstLine="566" w:firstLineChars="236"/>
        <w:rPr>
          <w:rFonts w:ascii="宋体" w:hAnsi="宋体"/>
          <w:sz w:val="24"/>
        </w:rPr>
      </w:pPr>
      <w:r>
        <w:rPr>
          <w:rFonts w:ascii="宋体" w:hAnsi="宋体"/>
          <w:sz w:val="24"/>
        </w:rPr>
        <w:t xml:space="preserve">2 </w:t>
      </w:r>
      <w:r>
        <w:rPr>
          <w:rFonts w:hint="eastAsia" w:ascii="宋体" w:hAnsi="宋体"/>
          <w:sz w:val="24"/>
        </w:rPr>
        <w:t>夏季和过渡季主导风向上游建筑的高度宜偏低， 或采用建筑底层架空的形式；</w:t>
      </w:r>
    </w:p>
    <w:p>
      <w:pPr>
        <w:spacing w:line="360" w:lineRule="auto"/>
        <w:ind w:firstLine="566" w:firstLineChars="236"/>
        <w:rPr>
          <w:rFonts w:ascii="宋体" w:hAnsi="宋体"/>
          <w:sz w:val="24"/>
        </w:rPr>
      </w:pPr>
      <w:r>
        <w:rPr>
          <w:rFonts w:ascii="宋体" w:hAnsi="宋体"/>
          <w:sz w:val="24"/>
        </w:rPr>
        <w:t>3</w:t>
      </w:r>
      <w:r>
        <w:rPr>
          <w:rFonts w:hint="eastAsia" w:ascii="宋体" w:hAnsi="宋体"/>
          <w:sz w:val="24"/>
        </w:rPr>
        <w:t xml:space="preserve"> 建筑宜朝向夏季和过渡季节主导风向。建筑迎风面与夏季主导风向宜成60°～ 90°夹角且不宜小于45°，同时需兼顾过渡季风向。</w:t>
      </w:r>
    </w:p>
    <w:p>
      <w:pPr>
        <w:spacing w:before="312" w:beforeLines="100" w:line="360" w:lineRule="auto"/>
        <w:rPr>
          <w:rFonts w:ascii="宋体" w:hAnsi="宋体"/>
          <w:sz w:val="24"/>
        </w:rPr>
      </w:pPr>
      <w:r>
        <w:rPr>
          <w:rFonts w:ascii="宋体" w:hAnsi="宋体"/>
          <w:b/>
          <w:bCs/>
          <w:sz w:val="24"/>
        </w:rPr>
        <w:t>3.2.2</w:t>
      </w:r>
      <w:r>
        <w:rPr>
          <w:rFonts w:hint="eastAsia" w:ascii="宋体" w:hAnsi="宋体"/>
          <w:sz w:val="24"/>
        </w:rPr>
        <w:t>建筑整体均应考虑自然通风，</w:t>
      </w:r>
      <w:r>
        <w:rPr>
          <w:rFonts w:ascii="宋体" w:hAnsi="宋体"/>
          <w:sz w:val="24"/>
        </w:rPr>
        <w:t>建筑平面设计</w:t>
      </w:r>
      <w:r>
        <w:rPr>
          <w:rFonts w:hint="eastAsia" w:ascii="宋体" w:hAnsi="宋体"/>
          <w:sz w:val="24"/>
        </w:rPr>
        <w:t>应符合下列规定：</w:t>
      </w:r>
    </w:p>
    <w:p>
      <w:pPr>
        <w:spacing w:line="360" w:lineRule="auto"/>
        <w:ind w:firstLine="566" w:firstLineChars="236"/>
        <w:rPr>
          <w:rFonts w:ascii="宋体" w:hAnsi="宋体"/>
          <w:sz w:val="24"/>
        </w:rPr>
      </w:pPr>
      <w:r>
        <w:rPr>
          <w:rFonts w:hint="eastAsia" w:ascii="宋体" w:hAnsi="宋体"/>
          <w:sz w:val="24"/>
        </w:rPr>
        <w:t>1  利用建筑开敞的公共空间组织穿堂风式的通风路径，或利用高空间产生的热压形成通风路径；</w:t>
      </w:r>
    </w:p>
    <w:p>
      <w:pPr>
        <w:spacing w:line="360" w:lineRule="auto"/>
        <w:ind w:firstLine="566" w:firstLineChars="236"/>
        <w:rPr>
          <w:rFonts w:ascii="宋体" w:hAnsi="宋体"/>
          <w:sz w:val="24"/>
        </w:rPr>
      </w:pPr>
      <w:r>
        <w:rPr>
          <w:rFonts w:hint="eastAsia" w:ascii="宋体" w:hAnsi="宋体"/>
          <w:sz w:val="24"/>
        </w:rPr>
        <w:t>2  室内通风路径应通畅，通风长度应适当，通风路径应贯穿主要功能空间，并避免出现通风短路；</w:t>
      </w:r>
    </w:p>
    <w:p>
      <w:pPr>
        <w:spacing w:line="360" w:lineRule="auto"/>
        <w:ind w:firstLine="566" w:firstLineChars="236"/>
        <w:rPr>
          <w:rFonts w:ascii="宋体" w:hAnsi="宋体"/>
          <w:sz w:val="24"/>
        </w:rPr>
      </w:pPr>
      <w:r>
        <w:rPr>
          <w:rFonts w:hint="eastAsia" w:ascii="宋体" w:hAnsi="宋体"/>
          <w:sz w:val="24"/>
        </w:rPr>
        <w:t>3  自然通风的进、排风口布置应充分利用空气的风压和热压以促进空气流动。当房间采用单侧通风时，应采取措施增强自然通风效果；</w:t>
      </w:r>
    </w:p>
    <w:p>
      <w:pPr>
        <w:spacing w:line="360" w:lineRule="auto"/>
        <w:ind w:firstLine="566" w:firstLineChars="236"/>
        <w:rPr>
          <w:rFonts w:ascii="宋体" w:hAnsi="宋体"/>
          <w:sz w:val="24"/>
        </w:rPr>
      </w:pPr>
      <w:r>
        <w:rPr>
          <w:rFonts w:hint="eastAsia" w:ascii="宋体" w:hAnsi="宋体"/>
          <w:sz w:val="24"/>
        </w:rPr>
        <w:t>4  当建筑进深过大时，宜设置通风中庭或天井；</w:t>
      </w:r>
    </w:p>
    <w:p>
      <w:pPr>
        <w:spacing w:line="360" w:lineRule="auto"/>
        <w:ind w:firstLine="566" w:firstLineChars="236"/>
        <w:rPr>
          <w:rFonts w:ascii="宋体" w:hAnsi="宋体"/>
          <w:sz w:val="24"/>
        </w:rPr>
      </w:pPr>
      <w:r>
        <w:rPr>
          <w:rFonts w:ascii="宋体" w:hAnsi="宋体"/>
          <w:sz w:val="24"/>
        </w:rPr>
        <w:t xml:space="preserve">5 </w:t>
      </w:r>
      <w:r>
        <w:rPr>
          <w:rFonts w:hint="eastAsia" w:ascii="宋体" w:hAnsi="宋体"/>
          <w:sz w:val="24"/>
        </w:rPr>
        <w:t>重要房间或场所的自然通风路径设计应防止以空气传播为途径的疾病通过通风系统交叉传染。</w:t>
      </w:r>
    </w:p>
    <w:p>
      <w:pPr>
        <w:spacing w:line="360" w:lineRule="auto"/>
        <w:ind w:firstLine="566" w:firstLineChars="236"/>
        <w:rPr>
          <w:rFonts w:ascii="宋体" w:hAnsi="宋体"/>
          <w:sz w:val="24"/>
        </w:rPr>
      </w:pPr>
    </w:p>
    <w:p>
      <w:pPr>
        <w:autoSpaceDE w:val="0"/>
        <w:autoSpaceDN w:val="0"/>
        <w:adjustRightInd w:val="0"/>
        <w:spacing w:line="360" w:lineRule="auto"/>
        <w:rPr>
          <w:kern w:val="0"/>
          <w:sz w:val="24"/>
        </w:rPr>
      </w:pPr>
      <w:r>
        <w:rPr>
          <w:rFonts w:hint="eastAsia" w:cs="Arial"/>
          <w:b/>
          <w:kern w:val="0"/>
          <w:sz w:val="24"/>
        </w:rPr>
        <w:t>3</w:t>
      </w:r>
      <w:r>
        <w:rPr>
          <w:rFonts w:cs="Arial"/>
          <w:b/>
          <w:kern w:val="0"/>
          <w:sz w:val="24"/>
        </w:rPr>
        <w:t>.2.3</w:t>
      </w:r>
      <w:r>
        <w:rPr>
          <w:rFonts w:hint="eastAsia"/>
          <w:kern w:val="0"/>
          <w:sz w:val="24"/>
        </w:rPr>
        <w:t>建筑体形宜规整紧凑，避免过多的凹凸变化。</w:t>
      </w:r>
    </w:p>
    <w:p>
      <w:pPr>
        <w:spacing w:line="360" w:lineRule="auto"/>
        <w:rPr>
          <w:rFonts w:eastAsiaTheme="minorEastAsia"/>
          <w:b/>
          <w:sz w:val="24"/>
        </w:rPr>
      </w:pPr>
    </w:p>
    <w:p>
      <w:pPr>
        <w:spacing w:line="360" w:lineRule="auto"/>
        <w:jc w:val="left"/>
        <w:rPr>
          <w:rFonts w:asciiTheme="minorEastAsia" w:hAnsiTheme="minorEastAsia" w:eastAsiaTheme="minorEastAsia"/>
          <w:sz w:val="24"/>
        </w:rPr>
      </w:pPr>
      <w:r>
        <w:rPr>
          <w:rFonts w:eastAsiaTheme="minorEastAsia"/>
          <w:b/>
          <w:sz w:val="24"/>
        </w:rPr>
        <w:t>3.2.4</w:t>
      </w:r>
      <w:r>
        <w:rPr>
          <w:rFonts w:hint="eastAsia" w:asciiTheme="minorEastAsia" w:hAnsiTheme="minorEastAsia" w:eastAsiaTheme="minorEastAsia"/>
          <w:sz w:val="24"/>
        </w:rPr>
        <w:t>严寒地区甲类公共建筑各单一立面窗墙面积比(包括透光幕墙)均不宜大于0.60；其它地区甲类公共建筑各单一立面窗墙面积比(包括透光幕墙)均不宜大于0.70。</w:t>
      </w:r>
    </w:p>
    <w:p>
      <w:pPr>
        <w:autoSpaceDE w:val="0"/>
        <w:autoSpaceDN w:val="0"/>
        <w:adjustRightInd w:val="0"/>
        <w:spacing w:line="360" w:lineRule="auto"/>
        <w:rPr>
          <w:szCs w:val="21"/>
        </w:rPr>
      </w:pPr>
    </w:p>
    <w:p>
      <w:pPr>
        <w:spacing w:line="360" w:lineRule="auto"/>
        <w:rPr>
          <w:rFonts w:hAnsi="Arial" w:cs="Arial"/>
          <w:kern w:val="0"/>
          <w:sz w:val="24"/>
        </w:rPr>
      </w:pPr>
      <w:r>
        <w:rPr>
          <w:rFonts w:cs="Arial"/>
          <w:b/>
          <w:sz w:val="24"/>
          <w:szCs w:val="21"/>
        </w:rPr>
        <w:t>3.2.5</w:t>
      </w:r>
      <w:r>
        <w:rPr>
          <w:rFonts w:hint="eastAsia" w:hAnsi="Arial" w:cs="Arial"/>
          <w:kern w:val="0"/>
          <w:sz w:val="24"/>
        </w:rPr>
        <w:t>甲类公共建筑主要功能房间的窗墙面积比小于0.40 时，透光材料的可见光透射比不应小于0.60；甲类公共建筑主要功能房间的窗墙面积比大于等于0.40 时，透光材料的可见光透射比不应小于0.40。</w:t>
      </w:r>
    </w:p>
    <w:p>
      <w:pPr>
        <w:spacing w:line="360" w:lineRule="auto"/>
        <w:rPr>
          <w:rFonts w:hAnsi="Arial" w:cs="Arial"/>
          <w:kern w:val="0"/>
          <w:sz w:val="24"/>
        </w:rPr>
      </w:pPr>
    </w:p>
    <w:p>
      <w:pPr>
        <w:autoSpaceDE w:val="0"/>
        <w:autoSpaceDN w:val="0"/>
        <w:adjustRightInd w:val="0"/>
        <w:spacing w:line="360" w:lineRule="auto"/>
        <w:rPr>
          <w:rFonts w:asciiTheme="minorEastAsia" w:hAnsiTheme="minorEastAsia" w:eastAsiaTheme="minorEastAsia"/>
          <w:kern w:val="0"/>
          <w:sz w:val="24"/>
        </w:rPr>
      </w:pPr>
      <w:r>
        <w:rPr>
          <w:rFonts w:cs="Arial"/>
          <w:b/>
          <w:kern w:val="0"/>
          <w:sz w:val="24"/>
        </w:rPr>
        <w:t>3.2.6</w:t>
      </w:r>
      <w:r>
        <w:rPr>
          <w:rFonts w:hint="eastAsia" w:cs="Arial" w:asciiTheme="minorEastAsia" w:hAnsiTheme="minorEastAsia" w:eastAsiaTheme="minorEastAsia"/>
          <w:bCs/>
          <w:kern w:val="0"/>
          <w:sz w:val="24"/>
        </w:rPr>
        <w:t>公共建筑</w:t>
      </w:r>
      <w:r>
        <w:rPr>
          <w:rFonts w:hint="eastAsia" w:asciiTheme="minorEastAsia" w:hAnsiTheme="minorEastAsia" w:eastAsiaTheme="minorEastAsia"/>
          <w:bCs/>
          <w:kern w:val="0"/>
          <w:sz w:val="24"/>
        </w:rPr>
        <w:t>建</w:t>
      </w:r>
      <w:r>
        <w:rPr>
          <w:rFonts w:hint="eastAsia" w:asciiTheme="minorEastAsia" w:hAnsiTheme="minorEastAsia" w:eastAsiaTheme="minorEastAsia"/>
          <w:kern w:val="0"/>
          <w:sz w:val="24"/>
        </w:rPr>
        <w:t>筑东、西、南向的外窗（包括透光幕墙）均应采取遮阳措施；寒冷地区的建筑宜采取遮阳措施。当设置外遮阳时应</w:t>
      </w:r>
      <w:r>
        <w:rPr>
          <w:rFonts w:hint="eastAsia" w:cs="Arial" w:asciiTheme="minorEastAsia" w:hAnsiTheme="minorEastAsia" w:eastAsiaTheme="minorEastAsia"/>
          <w:kern w:val="0"/>
          <w:sz w:val="24"/>
        </w:rPr>
        <w:t>符合下列规定：</w:t>
      </w:r>
    </w:p>
    <w:p>
      <w:pPr>
        <w:autoSpaceDE w:val="0"/>
        <w:autoSpaceDN w:val="0"/>
        <w:adjustRightInd w:val="0"/>
        <w:spacing w:line="360" w:lineRule="auto"/>
        <w:ind w:firstLine="420"/>
        <w:rPr>
          <w:rFonts w:cs="Arial" w:asciiTheme="minorEastAsia" w:hAnsiTheme="minorEastAsia" w:eastAsiaTheme="minorEastAsia"/>
          <w:kern w:val="0"/>
          <w:sz w:val="24"/>
        </w:rPr>
      </w:pPr>
      <w:r>
        <w:rPr>
          <w:rFonts w:cs="Arial" w:asciiTheme="minorEastAsia" w:hAnsiTheme="minorEastAsia" w:eastAsiaTheme="minorEastAsia"/>
          <w:b/>
          <w:kern w:val="0"/>
          <w:sz w:val="24"/>
        </w:rPr>
        <w:t xml:space="preserve">1 </w:t>
      </w:r>
      <w:r>
        <w:rPr>
          <w:rFonts w:hint="eastAsia" w:asciiTheme="minorEastAsia" w:hAnsiTheme="minorEastAsia" w:eastAsiaTheme="minorEastAsia"/>
          <w:kern w:val="0"/>
          <w:sz w:val="24"/>
        </w:rPr>
        <w:t>夏热冬暖、夏热冬冷、温和地区的</w:t>
      </w:r>
      <w:r>
        <w:rPr>
          <w:rFonts w:hint="eastAsia" w:cs="Arial" w:asciiTheme="minorEastAsia" w:hAnsiTheme="minorEastAsia" w:eastAsiaTheme="minorEastAsia"/>
          <w:kern w:val="0"/>
          <w:sz w:val="24"/>
        </w:rPr>
        <w:t>东西向宜设置活动外遮阳或中置遮阳，南向宜设置水平外遮阳；</w:t>
      </w:r>
    </w:p>
    <w:p>
      <w:pPr>
        <w:autoSpaceDE w:val="0"/>
        <w:autoSpaceDN w:val="0"/>
        <w:adjustRightInd w:val="0"/>
        <w:spacing w:line="360" w:lineRule="auto"/>
        <w:ind w:firstLine="420"/>
        <w:rPr>
          <w:rFonts w:cs="Arial" w:hAnsiTheme="minorEastAsia"/>
          <w:kern w:val="0"/>
          <w:sz w:val="24"/>
        </w:rPr>
      </w:pPr>
      <w:r>
        <w:rPr>
          <w:rFonts w:hint="eastAsia" w:cs="Arial" w:asciiTheme="minorEastAsia" w:hAnsiTheme="minorEastAsia" w:eastAsiaTheme="minorEastAsia"/>
          <w:b/>
          <w:kern w:val="0"/>
          <w:sz w:val="24"/>
        </w:rPr>
        <w:t>2</w:t>
      </w:r>
      <w:r>
        <w:rPr>
          <w:rFonts w:cs="Arial" w:asciiTheme="minorEastAsia" w:hAnsiTheme="minorEastAsia" w:eastAsiaTheme="minorEastAsia"/>
          <w:b/>
          <w:kern w:val="0"/>
          <w:sz w:val="24"/>
        </w:rPr>
        <w:t xml:space="preserve"> </w:t>
      </w:r>
      <w:r>
        <w:rPr>
          <w:rFonts w:hint="eastAsia" w:cs="Arial" w:asciiTheme="minorEastAsia" w:hAnsiTheme="minorEastAsia" w:eastAsiaTheme="minorEastAsia"/>
          <w:kern w:val="0"/>
          <w:sz w:val="24"/>
        </w:rPr>
        <w:t>建筑外遮阳装置应兼顾通风及冬</w:t>
      </w:r>
      <w:r>
        <w:rPr>
          <w:rFonts w:hint="eastAsia" w:cs="Arial" w:hAnsiTheme="minorEastAsia"/>
          <w:kern w:val="0"/>
          <w:sz w:val="24"/>
        </w:rPr>
        <w:t>季日照。</w:t>
      </w:r>
    </w:p>
    <w:p>
      <w:pPr>
        <w:autoSpaceDE w:val="0"/>
        <w:autoSpaceDN w:val="0"/>
        <w:adjustRightInd w:val="0"/>
        <w:spacing w:line="360" w:lineRule="auto"/>
        <w:rPr>
          <w:rFonts w:cs="Arial"/>
          <w:kern w:val="0"/>
          <w:sz w:val="24"/>
        </w:rPr>
      </w:pPr>
    </w:p>
    <w:p>
      <w:pPr>
        <w:spacing w:line="360" w:lineRule="auto"/>
        <w:rPr>
          <w:rFonts w:cs="宋体" w:asciiTheme="minorEastAsia" w:hAnsiTheme="minorEastAsia" w:eastAsiaTheme="minorEastAsia"/>
          <w:spacing w:val="-2"/>
          <w:sz w:val="24"/>
        </w:rPr>
      </w:pPr>
      <w:r>
        <w:rPr>
          <w:rFonts w:asciiTheme="minorEastAsia" w:hAnsiTheme="minorEastAsia" w:eastAsiaTheme="minorEastAsia"/>
          <w:b/>
          <w:bCs/>
          <w:spacing w:val="-1"/>
          <w:sz w:val="24"/>
        </w:rPr>
        <w:t>3.2.7</w:t>
      </w:r>
      <w:r>
        <w:rPr>
          <w:rFonts w:hint="eastAsia" w:cs="宋体" w:asciiTheme="minorEastAsia" w:hAnsiTheme="minorEastAsia" w:eastAsiaTheme="minorEastAsia"/>
          <w:spacing w:val="-1"/>
          <w:sz w:val="24"/>
        </w:rPr>
        <w:t>建筑外窗、透光幕墙应设开启窗扇，其</w:t>
      </w:r>
      <w:r>
        <w:rPr>
          <w:rFonts w:cs="宋体" w:asciiTheme="minorEastAsia" w:hAnsiTheme="minorEastAsia" w:eastAsiaTheme="minorEastAsia"/>
          <w:spacing w:val="-1"/>
          <w:sz w:val="24"/>
        </w:rPr>
        <w:t>有效通风换气面积应符合下列规</w:t>
      </w:r>
      <w:r>
        <w:rPr>
          <w:rFonts w:cs="宋体" w:asciiTheme="minorEastAsia" w:hAnsiTheme="minorEastAsia" w:eastAsiaTheme="minorEastAsia"/>
          <w:spacing w:val="-2"/>
          <w:sz w:val="24"/>
        </w:rPr>
        <w:t>定：</w:t>
      </w:r>
    </w:p>
    <w:p>
      <w:pPr>
        <w:spacing w:line="360" w:lineRule="auto"/>
        <w:ind w:firstLine="468" w:firstLineChars="200"/>
        <w:rPr>
          <w:rFonts w:cs="宋体" w:asciiTheme="minorEastAsia" w:hAnsiTheme="minorEastAsia" w:eastAsiaTheme="minorEastAsia"/>
          <w:sz w:val="24"/>
        </w:rPr>
      </w:pPr>
      <w:r>
        <w:rPr>
          <w:rFonts w:hint="eastAsia" w:cs="宋体" w:asciiTheme="minorEastAsia" w:hAnsiTheme="minorEastAsia" w:eastAsiaTheme="minorEastAsia"/>
          <w:spacing w:val="-3"/>
          <w:sz w:val="24"/>
        </w:rPr>
        <w:t xml:space="preserve">1 </w:t>
      </w:r>
      <w:r>
        <w:rPr>
          <w:rFonts w:cs="宋体" w:asciiTheme="minorEastAsia" w:hAnsiTheme="minorEastAsia" w:eastAsiaTheme="minorEastAsia"/>
          <w:spacing w:val="-3"/>
          <w:sz w:val="24"/>
        </w:rPr>
        <w:t>净高不大于</w:t>
      </w:r>
      <w:r>
        <w:rPr>
          <w:rFonts w:cs="宋体" w:asciiTheme="minorEastAsia" w:hAnsiTheme="minorEastAsia" w:eastAsiaTheme="minorEastAsia"/>
          <w:spacing w:val="-49"/>
          <w:sz w:val="24"/>
        </w:rPr>
        <w:t xml:space="preserve"> </w:t>
      </w:r>
      <w:r>
        <w:rPr>
          <w:rFonts w:asciiTheme="minorEastAsia" w:hAnsiTheme="minorEastAsia" w:eastAsiaTheme="minorEastAsia"/>
          <w:spacing w:val="-3"/>
          <w:sz w:val="24"/>
        </w:rPr>
        <w:t>6m</w:t>
      </w:r>
      <w:r>
        <w:rPr>
          <w:rFonts w:asciiTheme="minorEastAsia" w:hAnsiTheme="minorEastAsia" w:eastAsiaTheme="minorEastAsia"/>
          <w:spacing w:val="30"/>
          <w:sz w:val="24"/>
        </w:rPr>
        <w:t xml:space="preserve"> </w:t>
      </w:r>
      <w:r>
        <w:rPr>
          <w:rFonts w:cs="宋体" w:asciiTheme="minorEastAsia" w:hAnsiTheme="minorEastAsia" w:eastAsiaTheme="minorEastAsia"/>
          <w:spacing w:val="-3"/>
          <w:sz w:val="24"/>
        </w:rPr>
        <w:t>的房间或场所，当进深不大</w:t>
      </w:r>
      <w:r>
        <w:rPr>
          <w:rFonts w:cs="宋体" w:asciiTheme="minorEastAsia" w:hAnsiTheme="minorEastAsia" w:eastAsiaTheme="minorEastAsia"/>
          <w:spacing w:val="-4"/>
          <w:sz w:val="24"/>
        </w:rPr>
        <w:t>于</w:t>
      </w:r>
      <w:r>
        <w:rPr>
          <w:rFonts w:cs="宋体" w:asciiTheme="minorEastAsia" w:hAnsiTheme="minorEastAsia" w:eastAsiaTheme="minorEastAsia"/>
          <w:spacing w:val="-32"/>
          <w:sz w:val="24"/>
        </w:rPr>
        <w:t xml:space="preserve"> </w:t>
      </w:r>
      <w:r>
        <w:rPr>
          <w:rFonts w:asciiTheme="minorEastAsia" w:hAnsiTheme="minorEastAsia" w:eastAsiaTheme="minorEastAsia"/>
          <w:spacing w:val="-4"/>
          <w:sz w:val="24"/>
        </w:rPr>
        <w:t>10m</w:t>
      </w:r>
      <w:r>
        <w:rPr>
          <w:rFonts w:asciiTheme="minorEastAsia" w:hAnsiTheme="minorEastAsia" w:eastAsiaTheme="minorEastAsia"/>
          <w:spacing w:val="21"/>
          <w:w w:val="101"/>
          <w:sz w:val="24"/>
        </w:rPr>
        <w:t xml:space="preserve"> </w:t>
      </w:r>
      <w:r>
        <w:rPr>
          <w:rFonts w:cs="宋体" w:asciiTheme="minorEastAsia" w:hAnsiTheme="minorEastAsia" w:eastAsiaTheme="minorEastAsia"/>
          <w:spacing w:val="-4"/>
          <w:sz w:val="24"/>
        </w:rPr>
        <w:t>时，其有效通风开口</w:t>
      </w:r>
      <w:r>
        <w:rPr>
          <w:rFonts w:cs="宋体" w:asciiTheme="minorEastAsia" w:hAnsiTheme="minorEastAsia" w:eastAsiaTheme="minorEastAsia"/>
          <w:sz w:val="24"/>
        </w:rPr>
        <w:t xml:space="preserve"> </w:t>
      </w:r>
      <w:r>
        <w:rPr>
          <w:rFonts w:cs="宋体" w:asciiTheme="minorEastAsia" w:hAnsiTheme="minorEastAsia" w:eastAsiaTheme="minorEastAsia"/>
          <w:spacing w:val="-3"/>
          <w:sz w:val="24"/>
        </w:rPr>
        <w:t>面积不应小于其地面面积的</w:t>
      </w:r>
      <w:r>
        <w:rPr>
          <w:rFonts w:cs="宋体" w:asciiTheme="minorEastAsia" w:hAnsiTheme="minorEastAsia" w:eastAsiaTheme="minorEastAsia"/>
          <w:spacing w:val="-43"/>
          <w:sz w:val="24"/>
        </w:rPr>
        <w:t xml:space="preserve"> </w:t>
      </w:r>
      <w:r>
        <w:rPr>
          <w:rFonts w:asciiTheme="minorEastAsia" w:hAnsiTheme="minorEastAsia" w:eastAsiaTheme="minorEastAsia"/>
          <w:spacing w:val="-3"/>
          <w:sz w:val="24"/>
        </w:rPr>
        <w:t>5%</w:t>
      </w:r>
      <w:r>
        <w:rPr>
          <w:rFonts w:cs="宋体" w:asciiTheme="minorEastAsia" w:hAnsiTheme="minorEastAsia" w:eastAsiaTheme="minorEastAsia"/>
          <w:spacing w:val="-3"/>
          <w:sz w:val="24"/>
        </w:rPr>
        <w:t xml:space="preserve">；当进深大于 </w:t>
      </w:r>
      <w:r>
        <w:rPr>
          <w:rFonts w:asciiTheme="minorEastAsia" w:hAnsiTheme="minorEastAsia" w:eastAsiaTheme="minorEastAsia"/>
          <w:spacing w:val="-3"/>
          <w:sz w:val="24"/>
        </w:rPr>
        <w:t>10m</w:t>
      </w:r>
      <w:r>
        <w:rPr>
          <w:rFonts w:asciiTheme="minorEastAsia" w:hAnsiTheme="minorEastAsia" w:eastAsiaTheme="minorEastAsia"/>
          <w:spacing w:val="22"/>
          <w:sz w:val="24"/>
        </w:rPr>
        <w:t xml:space="preserve"> </w:t>
      </w:r>
      <w:r>
        <w:rPr>
          <w:rFonts w:cs="宋体" w:asciiTheme="minorEastAsia" w:hAnsiTheme="minorEastAsia" w:eastAsiaTheme="minorEastAsia"/>
          <w:spacing w:val="-3"/>
          <w:sz w:val="24"/>
        </w:rPr>
        <w:t>时，其有效通风开口面积不应小于其地面面积的</w:t>
      </w:r>
      <w:r>
        <w:rPr>
          <w:rFonts w:cs="宋体" w:asciiTheme="minorEastAsia" w:hAnsiTheme="minorEastAsia" w:eastAsiaTheme="minorEastAsia"/>
          <w:spacing w:val="-31"/>
          <w:sz w:val="24"/>
        </w:rPr>
        <w:t xml:space="preserve"> </w:t>
      </w:r>
      <w:r>
        <w:rPr>
          <w:rFonts w:asciiTheme="minorEastAsia" w:hAnsiTheme="minorEastAsia" w:eastAsiaTheme="minorEastAsia"/>
          <w:spacing w:val="-3"/>
          <w:sz w:val="24"/>
        </w:rPr>
        <w:t>10%</w:t>
      </w:r>
      <w:r>
        <w:rPr>
          <w:rFonts w:cs="宋体" w:asciiTheme="minorEastAsia" w:hAnsiTheme="minorEastAsia" w:eastAsiaTheme="minorEastAsia"/>
          <w:spacing w:val="-3"/>
          <w:sz w:val="24"/>
        </w:rPr>
        <w:t>；</w:t>
      </w:r>
    </w:p>
    <w:p>
      <w:pPr>
        <w:spacing w:line="360" w:lineRule="auto"/>
        <w:ind w:firstLine="468" w:firstLineChars="200"/>
        <w:rPr>
          <w:rFonts w:cs="宋体" w:asciiTheme="minorEastAsia" w:hAnsiTheme="minorEastAsia" w:eastAsiaTheme="minorEastAsia"/>
          <w:spacing w:val="-3"/>
          <w:sz w:val="24"/>
        </w:rPr>
      </w:pPr>
      <w:r>
        <w:rPr>
          <w:rFonts w:cs="宋体" w:asciiTheme="minorEastAsia" w:hAnsiTheme="minorEastAsia" w:eastAsiaTheme="minorEastAsia"/>
          <w:spacing w:val="-3"/>
          <w:sz w:val="24"/>
        </w:rPr>
        <w:t>2净高大于 6m 的房间或场所，宜通过风环境模拟分析确定有效通风开口面积；</w:t>
      </w:r>
    </w:p>
    <w:p>
      <w:pPr>
        <w:spacing w:line="360" w:lineRule="auto"/>
        <w:ind w:firstLine="456" w:firstLineChars="200"/>
        <w:rPr>
          <w:rFonts w:cs="宋体" w:asciiTheme="minorEastAsia" w:hAnsiTheme="minorEastAsia" w:eastAsiaTheme="minorEastAsia"/>
          <w:sz w:val="24"/>
        </w:rPr>
      </w:pPr>
      <w:r>
        <w:rPr>
          <w:rFonts w:hint="eastAsia" w:cs="宋体" w:asciiTheme="minorEastAsia" w:hAnsiTheme="minorEastAsia" w:eastAsiaTheme="minorEastAsia"/>
          <w:spacing w:val="-6"/>
          <w:sz w:val="24"/>
        </w:rPr>
        <w:t>3 超</w:t>
      </w:r>
      <w:r>
        <w:rPr>
          <w:rFonts w:cs="宋体" w:asciiTheme="minorEastAsia" w:hAnsiTheme="minorEastAsia" w:eastAsiaTheme="minorEastAsia"/>
          <w:spacing w:val="-6"/>
          <w:sz w:val="24"/>
        </w:rPr>
        <w:t>高层建筑、透光幕墙受条件限制无法设置可开启窗</w:t>
      </w:r>
      <w:r>
        <w:rPr>
          <w:rFonts w:cs="宋体" w:asciiTheme="minorEastAsia" w:hAnsiTheme="minorEastAsia" w:eastAsiaTheme="minorEastAsia"/>
          <w:spacing w:val="-2"/>
          <w:sz w:val="24"/>
        </w:rPr>
        <w:t>扇时，应设置通风换气装置，其房间换气次数不应小于</w:t>
      </w:r>
      <w:r>
        <w:rPr>
          <w:rFonts w:cs="宋体" w:asciiTheme="minorEastAsia" w:hAnsiTheme="minorEastAsia" w:eastAsiaTheme="minorEastAsia"/>
          <w:spacing w:val="-27"/>
          <w:sz w:val="24"/>
        </w:rPr>
        <w:t xml:space="preserve"> </w:t>
      </w:r>
      <w:r>
        <w:rPr>
          <w:rFonts w:asciiTheme="minorEastAsia" w:hAnsiTheme="minorEastAsia" w:eastAsiaTheme="minorEastAsia"/>
          <w:spacing w:val="-2"/>
          <w:sz w:val="24"/>
        </w:rPr>
        <w:t>2</w:t>
      </w:r>
      <w:r>
        <w:rPr>
          <w:rFonts w:asciiTheme="minorEastAsia" w:hAnsiTheme="minorEastAsia" w:eastAsiaTheme="minorEastAsia"/>
          <w:spacing w:val="16"/>
          <w:sz w:val="24"/>
        </w:rPr>
        <w:t xml:space="preserve"> </w:t>
      </w:r>
      <w:r>
        <w:rPr>
          <w:rFonts w:cs="宋体" w:asciiTheme="minorEastAsia" w:hAnsiTheme="minorEastAsia" w:eastAsiaTheme="minorEastAsia"/>
          <w:spacing w:val="-2"/>
          <w:sz w:val="24"/>
        </w:rPr>
        <w:t>次</w:t>
      </w:r>
      <w:r>
        <w:rPr>
          <w:rFonts w:asciiTheme="minorEastAsia" w:hAnsiTheme="minorEastAsia" w:eastAsiaTheme="minorEastAsia"/>
          <w:spacing w:val="-2"/>
          <w:sz w:val="24"/>
        </w:rPr>
        <w:t>/h</w:t>
      </w:r>
      <w:r>
        <w:rPr>
          <w:rFonts w:hint="eastAsia" w:cs="宋体" w:asciiTheme="minorEastAsia" w:hAnsiTheme="minorEastAsia" w:eastAsiaTheme="minorEastAsia"/>
          <w:spacing w:val="-2"/>
          <w:sz w:val="24"/>
        </w:rPr>
        <w:t>。</w:t>
      </w:r>
    </w:p>
    <w:p>
      <w:pPr>
        <w:spacing w:line="276" w:lineRule="auto"/>
        <w:jc w:val="left"/>
        <w:rPr>
          <w:rFonts w:ascii="楷体" w:hAnsi="楷体" w:eastAsia="楷体"/>
          <w:b/>
          <w:bCs/>
          <w:sz w:val="24"/>
        </w:rPr>
      </w:pPr>
    </w:p>
    <w:p>
      <w:pPr>
        <w:spacing w:line="360" w:lineRule="auto"/>
        <w:rPr>
          <w:kern w:val="0"/>
          <w:sz w:val="24"/>
        </w:rPr>
      </w:pPr>
      <w:r>
        <w:rPr>
          <w:rFonts w:hint="eastAsia"/>
          <w:kern w:val="0"/>
          <w:sz w:val="24"/>
        </w:rPr>
        <w:t>3</w:t>
      </w:r>
      <w:r>
        <w:rPr>
          <w:kern w:val="0"/>
          <w:sz w:val="24"/>
        </w:rPr>
        <w:t>.2.8建筑</w:t>
      </w:r>
      <w:r>
        <w:rPr>
          <w:rFonts w:hint="eastAsia"/>
          <w:kern w:val="0"/>
          <w:sz w:val="24"/>
        </w:rPr>
        <w:t>中庭应充分利用自然通风降温。</w:t>
      </w:r>
    </w:p>
    <w:p>
      <w:pPr>
        <w:spacing w:before="312" w:beforeLines="100" w:line="360" w:lineRule="auto"/>
        <w:rPr>
          <w:rFonts w:ascii="宋体" w:hAnsi="宋体"/>
          <w:sz w:val="24"/>
        </w:rPr>
      </w:pPr>
      <w:r>
        <w:rPr>
          <w:rFonts w:ascii="宋体" w:hAnsi="宋体"/>
          <w:b/>
          <w:bCs/>
          <w:sz w:val="24"/>
        </w:rPr>
        <w:t>3.2.9</w:t>
      </w:r>
      <w:r>
        <w:rPr>
          <w:rFonts w:hint="eastAsia" w:ascii="宋体" w:hAnsi="宋体"/>
          <w:sz w:val="24"/>
        </w:rPr>
        <w:t>进行自然通风设计时，应符合下列规定：</w:t>
      </w:r>
    </w:p>
    <w:p>
      <w:pPr>
        <w:autoSpaceDE w:val="0"/>
        <w:autoSpaceDN w:val="0"/>
        <w:adjustRightInd w:val="0"/>
        <w:spacing w:line="360" w:lineRule="auto"/>
        <w:ind w:left="210" w:leftChars="100"/>
        <w:rPr>
          <w:rFonts w:cs="宋体"/>
          <w:kern w:val="0"/>
          <w:sz w:val="24"/>
        </w:rPr>
      </w:pPr>
      <w:r>
        <w:rPr>
          <w:rFonts w:hint="eastAsia" w:cs="宋体"/>
          <w:kern w:val="0"/>
          <w:sz w:val="24"/>
        </w:rPr>
        <w:t>1</w:t>
      </w:r>
      <w:r>
        <w:rPr>
          <w:rFonts w:cs="宋体"/>
          <w:kern w:val="0"/>
          <w:sz w:val="24"/>
        </w:rPr>
        <w:t xml:space="preserve"> </w:t>
      </w:r>
      <w:r>
        <w:rPr>
          <w:rFonts w:hint="eastAsia" w:cs="宋体"/>
          <w:kern w:val="0"/>
          <w:sz w:val="24"/>
        </w:rPr>
        <w:t>室内设计</w:t>
      </w:r>
      <w:r>
        <w:rPr>
          <w:rFonts w:cs="宋体"/>
          <w:kern w:val="0"/>
          <w:sz w:val="24"/>
        </w:rPr>
        <w:t>计算</w:t>
      </w:r>
      <w:r>
        <w:rPr>
          <w:rFonts w:hint="eastAsia" w:cs="宋体"/>
          <w:kern w:val="0"/>
          <w:sz w:val="24"/>
        </w:rPr>
        <w:t>温度应符合《室内空气质量标准》</w:t>
      </w:r>
      <w:r>
        <w:rPr>
          <w:rFonts w:cs="宋体"/>
          <w:kern w:val="0"/>
          <w:sz w:val="24"/>
        </w:rPr>
        <w:t>GB</w:t>
      </w:r>
      <w:r>
        <w:rPr>
          <w:rFonts w:hint="eastAsia" w:cs="宋体"/>
          <w:kern w:val="0"/>
          <w:sz w:val="24"/>
        </w:rPr>
        <w:t>/</w:t>
      </w:r>
      <w:r>
        <w:rPr>
          <w:rFonts w:cs="宋体"/>
          <w:kern w:val="0"/>
          <w:sz w:val="24"/>
        </w:rPr>
        <w:t>T18883</w:t>
      </w:r>
      <w:r>
        <w:rPr>
          <w:rFonts w:hint="eastAsia" w:cs="宋体"/>
          <w:kern w:val="0"/>
          <w:sz w:val="24"/>
        </w:rPr>
        <w:t>要求；</w:t>
      </w:r>
    </w:p>
    <w:p>
      <w:pPr>
        <w:autoSpaceDE w:val="0"/>
        <w:autoSpaceDN w:val="0"/>
        <w:adjustRightInd w:val="0"/>
        <w:spacing w:line="360" w:lineRule="auto"/>
        <w:ind w:left="210" w:leftChars="100"/>
        <w:rPr>
          <w:rFonts w:cs="宋体"/>
          <w:kern w:val="0"/>
          <w:sz w:val="24"/>
        </w:rPr>
      </w:pPr>
      <w:r>
        <w:rPr>
          <w:rFonts w:hint="eastAsia" w:cs="宋体"/>
          <w:kern w:val="0"/>
          <w:sz w:val="24"/>
        </w:rPr>
        <w:t>2</w:t>
      </w:r>
      <w:r>
        <w:rPr>
          <w:rFonts w:cs="宋体"/>
          <w:kern w:val="0"/>
          <w:sz w:val="24"/>
        </w:rPr>
        <w:t xml:space="preserve"> </w:t>
      </w:r>
      <w:r>
        <w:rPr>
          <w:rFonts w:hint="eastAsia" w:cs="宋体"/>
          <w:kern w:val="0"/>
          <w:sz w:val="24"/>
        </w:rPr>
        <w:t>根据当地气象条件，合理利用各种被动式通风技术强化自然通风效果；</w:t>
      </w:r>
    </w:p>
    <w:p>
      <w:pPr>
        <w:autoSpaceDE w:val="0"/>
        <w:autoSpaceDN w:val="0"/>
        <w:adjustRightInd w:val="0"/>
        <w:spacing w:line="360" w:lineRule="auto"/>
        <w:ind w:left="210" w:leftChars="100"/>
        <w:rPr>
          <w:rFonts w:cs="宋体"/>
          <w:kern w:val="0"/>
          <w:sz w:val="24"/>
        </w:rPr>
      </w:pPr>
      <w:r>
        <w:rPr>
          <w:rFonts w:hint="eastAsia" w:cs="宋体"/>
          <w:kern w:val="0"/>
          <w:sz w:val="24"/>
        </w:rPr>
        <w:t>3</w:t>
      </w:r>
      <w:r>
        <w:rPr>
          <w:rFonts w:cs="宋体"/>
          <w:kern w:val="0"/>
          <w:sz w:val="24"/>
        </w:rPr>
        <w:t xml:space="preserve"> </w:t>
      </w:r>
      <w:r>
        <w:rPr>
          <w:rFonts w:hint="eastAsia" w:cs="宋体"/>
          <w:kern w:val="0"/>
          <w:sz w:val="24"/>
        </w:rPr>
        <w:t>大型建筑应对自然通风节能潜力进行分析并确定自然通风控制策略。</w:t>
      </w:r>
    </w:p>
    <w:p>
      <w:pPr>
        <w:spacing w:line="276" w:lineRule="auto"/>
        <w:jc w:val="left"/>
        <w:rPr>
          <w:b/>
          <w:bCs/>
          <w:sz w:val="24"/>
        </w:rPr>
      </w:pPr>
    </w:p>
    <w:p>
      <w:pPr>
        <w:spacing w:line="360" w:lineRule="auto"/>
        <w:rPr>
          <w:kern w:val="0"/>
          <w:sz w:val="24"/>
        </w:rPr>
      </w:pPr>
      <w:r>
        <w:rPr>
          <w:rFonts w:hint="eastAsia" w:cs="Arial"/>
          <w:b/>
          <w:kern w:val="0"/>
          <w:sz w:val="24"/>
        </w:rPr>
        <w:t>3</w:t>
      </w:r>
      <w:r>
        <w:rPr>
          <w:rFonts w:cs="Arial"/>
          <w:b/>
          <w:kern w:val="0"/>
          <w:sz w:val="24"/>
        </w:rPr>
        <w:t>.2.10</w:t>
      </w:r>
      <w:r>
        <w:rPr>
          <w:rFonts w:hint="eastAsia" w:cs="Arial"/>
          <w:b/>
          <w:kern w:val="0"/>
          <w:sz w:val="24"/>
        </w:rPr>
        <w:t xml:space="preserve"> </w:t>
      </w:r>
      <w:r>
        <w:rPr>
          <w:kern w:val="0"/>
          <w:sz w:val="24"/>
        </w:rPr>
        <w:t>严寒地区建筑的外门应设</w:t>
      </w:r>
      <w:r>
        <w:rPr>
          <w:rFonts w:hint="eastAsia"/>
          <w:kern w:val="0"/>
          <w:sz w:val="24"/>
        </w:rPr>
        <w:t>置</w:t>
      </w:r>
      <w:r>
        <w:rPr>
          <w:kern w:val="0"/>
          <w:sz w:val="24"/>
        </w:rPr>
        <w:t>门斗</w:t>
      </w:r>
      <w:r>
        <w:rPr>
          <w:rFonts w:hint="eastAsia"/>
          <w:kern w:val="0"/>
          <w:sz w:val="24"/>
        </w:rPr>
        <w:t>；</w:t>
      </w:r>
      <w:r>
        <w:rPr>
          <w:kern w:val="0"/>
          <w:sz w:val="24"/>
        </w:rPr>
        <w:t>寒冷地区建筑</w:t>
      </w:r>
      <w:r>
        <w:rPr>
          <w:rFonts w:hint="eastAsia"/>
          <w:kern w:val="0"/>
          <w:sz w:val="24"/>
        </w:rPr>
        <w:t>面向冬季主导风向的外门应设置门斗或双层外门，其它</w:t>
      </w:r>
      <w:r>
        <w:rPr>
          <w:kern w:val="0"/>
          <w:sz w:val="24"/>
        </w:rPr>
        <w:t>外门宜设</w:t>
      </w:r>
      <w:r>
        <w:rPr>
          <w:rFonts w:hint="eastAsia"/>
          <w:kern w:val="0"/>
          <w:sz w:val="24"/>
        </w:rPr>
        <w:t>置</w:t>
      </w:r>
      <w:r>
        <w:rPr>
          <w:kern w:val="0"/>
          <w:sz w:val="24"/>
        </w:rPr>
        <w:t>门斗或应采取其</w:t>
      </w:r>
      <w:r>
        <w:rPr>
          <w:rFonts w:hint="eastAsia"/>
          <w:kern w:val="0"/>
          <w:sz w:val="24"/>
        </w:rPr>
        <w:t>它</w:t>
      </w:r>
      <w:r>
        <w:rPr>
          <w:kern w:val="0"/>
          <w:sz w:val="24"/>
        </w:rPr>
        <w:t>减少冷风渗透的措施</w:t>
      </w:r>
      <w:r>
        <w:rPr>
          <w:rFonts w:hint="eastAsia"/>
          <w:kern w:val="0"/>
          <w:sz w:val="24"/>
        </w:rPr>
        <w:t>；夏热冬冷、夏热冬暖和温和</w:t>
      </w:r>
      <w:r>
        <w:rPr>
          <w:kern w:val="0"/>
          <w:sz w:val="24"/>
        </w:rPr>
        <w:t>地区建筑</w:t>
      </w:r>
      <w:r>
        <w:rPr>
          <w:rFonts w:hint="eastAsia"/>
          <w:kern w:val="0"/>
          <w:sz w:val="24"/>
        </w:rPr>
        <w:t>的</w:t>
      </w:r>
      <w:r>
        <w:rPr>
          <w:kern w:val="0"/>
          <w:sz w:val="24"/>
        </w:rPr>
        <w:t>外门应采取保温隔热措施。</w:t>
      </w:r>
    </w:p>
    <w:p>
      <w:pPr>
        <w:spacing w:line="360" w:lineRule="auto"/>
        <w:rPr>
          <w:kern w:val="0"/>
          <w:sz w:val="24"/>
        </w:rPr>
      </w:pPr>
    </w:p>
    <w:p>
      <w:pPr>
        <w:spacing w:before="156" w:beforeLines="50" w:line="360" w:lineRule="auto"/>
        <w:rPr>
          <w:rFonts w:ascii="宋体" w:hAnsi="宋体"/>
          <w:sz w:val="24"/>
        </w:rPr>
      </w:pPr>
      <w:r>
        <w:rPr>
          <w:rFonts w:hint="eastAsia" w:cs="Arial"/>
          <w:b/>
          <w:kern w:val="0"/>
          <w:sz w:val="24"/>
        </w:rPr>
        <w:t>3.2.11</w:t>
      </w:r>
      <w:r>
        <w:rPr>
          <w:rFonts w:hint="eastAsia" w:ascii="宋体" w:hAnsi="宋体"/>
          <w:sz w:val="24"/>
        </w:rPr>
        <w:t>自然通风开口设计时，</w:t>
      </w:r>
      <w:r>
        <w:rPr>
          <w:rFonts w:ascii="宋体" w:hAnsi="宋体"/>
          <w:sz w:val="24"/>
        </w:rPr>
        <w:t>应符合下列规定：</w:t>
      </w:r>
    </w:p>
    <w:p>
      <w:pPr>
        <w:autoSpaceDE w:val="0"/>
        <w:autoSpaceDN w:val="0"/>
        <w:adjustRightInd w:val="0"/>
        <w:spacing w:line="360" w:lineRule="auto"/>
        <w:ind w:firstLine="420"/>
        <w:rPr>
          <w:kern w:val="0"/>
          <w:sz w:val="24"/>
        </w:rPr>
      </w:pPr>
      <w:r>
        <w:rPr>
          <w:rFonts w:hint="eastAsia"/>
          <w:kern w:val="0"/>
          <w:sz w:val="24"/>
        </w:rPr>
        <w:t>1</w:t>
      </w:r>
      <w:r>
        <w:rPr>
          <w:kern w:val="0"/>
          <w:sz w:val="24"/>
        </w:rPr>
        <w:t xml:space="preserve"> </w:t>
      </w:r>
      <w:r>
        <w:rPr>
          <w:rFonts w:hint="eastAsia"/>
          <w:kern w:val="0"/>
          <w:sz w:val="24"/>
        </w:rPr>
        <w:t>减小室内通风路径的阻力，其进、排风口或窗扇采用阻力系数小的设计形式；</w:t>
      </w:r>
    </w:p>
    <w:p>
      <w:pPr>
        <w:autoSpaceDE w:val="0"/>
        <w:autoSpaceDN w:val="0"/>
        <w:adjustRightInd w:val="0"/>
        <w:spacing w:line="360" w:lineRule="auto"/>
        <w:ind w:firstLine="420"/>
        <w:rPr>
          <w:kern w:val="0"/>
          <w:sz w:val="24"/>
        </w:rPr>
      </w:pPr>
      <w:r>
        <w:rPr>
          <w:rFonts w:hint="eastAsia"/>
          <w:kern w:val="0"/>
          <w:sz w:val="24"/>
        </w:rPr>
        <w:t>2</w:t>
      </w:r>
      <w:r>
        <w:rPr>
          <w:kern w:val="0"/>
          <w:sz w:val="24"/>
        </w:rPr>
        <w:t xml:space="preserve"> 通风路径的开口根据需要</w:t>
      </w:r>
      <w:r>
        <w:rPr>
          <w:rFonts w:hint="eastAsia"/>
          <w:kern w:val="0"/>
          <w:sz w:val="24"/>
        </w:rPr>
        <w:t>进行</w:t>
      </w:r>
      <w:r>
        <w:rPr>
          <w:kern w:val="0"/>
          <w:sz w:val="24"/>
        </w:rPr>
        <w:t>调节，</w:t>
      </w:r>
      <w:r>
        <w:rPr>
          <w:rFonts w:hint="eastAsia"/>
          <w:kern w:val="0"/>
          <w:sz w:val="24"/>
        </w:rPr>
        <w:t>满足进风</w:t>
      </w:r>
      <w:r>
        <w:rPr>
          <w:kern w:val="0"/>
          <w:sz w:val="24"/>
        </w:rPr>
        <w:t>的风速和风量</w:t>
      </w:r>
      <w:r>
        <w:rPr>
          <w:rFonts w:hint="eastAsia"/>
          <w:kern w:val="0"/>
          <w:sz w:val="24"/>
        </w:rPr>
        <w:t>要求；</w:t>
      </w:r>
    </w:p>
    <w:p>
      <w:pPr>
        <w:autoSpaceDE w:val="0"/>
        <w:autoSpaceDN w:val="0"/>
        <w:adjustRightInd w:val="0"/>
        <w:spacing w:line="360" w:lineRule="auto"/>
        <w:ind w:firstLine="420"/>
        <w:rPr>
          <w:kern w:val="0"/>
          <w:sz w:val="24"/>
        </w:rPr>
      </w:pPr>
      <w:r>
        <w:rPr>
          <w:rFonts w:hint="eastAsia"/>
          <w:kern w:val="0"/>
          <w:sz w:val="24"/>
        </w:rPr>
        <w:t>3</w:t>
      </w:r>
      <w:r>
        <w:rPr>
          <w:kern w:val="0"/>
          <w:sz w:val="24"/>
        </w:rPr>
        <w:t xml:space="preserve"> 通风路径的开口</w:t>
      </w:r>
      <w:r>
        <w:rPr>
          <w:rFonts w:hint="eastAsia"/>
          <w:kern w:val="0"/>
          <w:sz w:val="24"/>
        </w:rPr>
        <w:t>关闭时，其密闭性要求宜满足建筑外窗开启扇的密闭性要求</w:t>
      </w:r>
      <w:r>
        <w:rPr>
          <w:kern w:val="0"/>
          <w:sz w:val="24"/>
        </w:rPr>
        <w:t>。</w:t>
      </w:r>
    </w:p>
    <w:p>
      <w:pPr>
        <w:spacing w:line="276" w:lineRule="auto"/>
        <w:rPr>
          <w:rFonts w:cs="Arial"/>
          <w:b/>
          <w:kern w:val="0"/>
          <w:sz w:val="24"/>
        </w:rPr>
      </w:pPr>
    </w:p>
    <w:p>
      <w:pPr>
        <w:spacing w:line="360" w:lineRule="auto"/>
        <w:rPr>
          <w:sz w:val="24"/>
        </w:rPr>
      </w:pPr>
      <w:r>
        <w:rPr>
          <w:rFonts w:hint="eastAsia" w:cs="Arial"/>
          <w:b/>
          <w:kern w:val="0"/>
          <w:sz w:val="24"/>
        </w:rPr>
        <w:t>3</w:t>
      </w:r>
      <w:r>
        <w:rPr>
          <w:rFonts w:cs="Arial"/>
          <w:b/>
          <w:kern w:val="0"/>
          <w:sz w:val="24"/>
        </w:rPr>
        <w:t>.2.</w:t>
      </w:r>
      <w:r>
        <w:rPr>
          <w:rFonts w:hint="eastAsia" w:cs="Arial"/>
          <w:b/>
          <w:kern w:val="0"/>
          <w:sz w:val="24"/>
        </w:rPr>
        <w:t>1</w:t>
      </w:r>
      <w:r>
        <w:rPr>
          <w:rFonts w:cs="Arial"/>
          <w:b/>
          <w:kern w:val="0"/>
          <w:sz w:val="24"/>
        </w:rPr>
        <w:t>2</w:t>
      </w:r>
      <w:r>
        <w:rPr>
          <w:rFonts w:hint="eastAsia" w:cs="Arial"/>
          <w:b/>
          <w:kern w:val="0"/>
          <w:sz w:val="24"/>
        </w:rPr>
        <w:t xml:space="preserve"> </w:t>
      </w:r>
      <w:r>
        <w:rPr>
          <w:rFonts w:hint="eastAsia" w:hAnsi="宋体"/>
          <w:sz w:val="24"/>
        </w:rPr>
        <w:t>建筑设计应充分利用天然采光。天然采光不能满足照明要求的场所，宜采用导光、反光等装置将自然光引入室内。</w:t>
      </w:r>
    </w:p>
    <w:p>
      <w:pPr>
        <w:spacing w:line="360" w:lineRule="auto"/>
      </w:pPr>
    </w:p>
    <w:p>
      <w:pPr>
        <w:spacing w:line="360" w:lineRule="auto"/>
        <w:rPr>
          <w:sz w:val="24"/>
        </w:rPr>
      </w:pPr>
      <w:r>
        <w:rPr>
          <w:b/>
          <w:sz w:val="24"/>
        </w:rPr>
        <w:t>3.2.</w:t>
      </w:r>
      <w:r>
        <w:rPr>
          <w:rFonts w:hint="eastAsia"/>
          <w:b/>
          <w:sz w:val="24"/>
        </w:rPr>
        <w:t>1</w:t>
      </w:r>
      <w:r>
        <w:rPr>
          <w:b/>
          <w:sz w:val="24"/>
        </w:rPr>
        <w:t>3</w:t>
      </w:r>
      <w:r>
        <w:rPr>
          <w:rFonts w:hint="eastAsia"/>
          <w:sz w:val="24"/>
        </w:rPr>
        <w:t>主要功能房间的内表面可见光反射比宜符合表3.2.</w:t>
      </w:r>
      <w:r>
        <w:rPr>
          <w:sz w:val="24"/>
        </w:rPr>
        <w:t>13</w:t>
      </w:r>
      <w:r>
        <w:rPr>
          <w:rFonts w:hint="eastAsia"/>
          <w:sz w:val="24"/>
        </w:rPr>
        <w:t>的规定。</w:t>
      </w:r>
    </w:p>
    <w:p>
      <w:pPr>
        <w:spacing w:line="276" w:lineRule="auto"/>
        <w:jc w:val="center"/>
        <w:rPr>
          <w:sz w:val="24"/>
        </w:rPr>
      </w:pPr>
      <w:r>
        <w:rPr>
          <w:rFonts w:hint="eastAsia"/>
          <w:sz w:val="24"/>
        </w:rPr>
        <w:t>表3.2.1</w:t>
      </w:r>
      <w:r>
        <w:rPr>
          <w:sz w:val="24"/>
        </w:rPr>
        <w:t>3</w:t>
      </w:r>
      <w:r>
        <w:rPr>
          <w:rFonts w:hint="eastAsia"/>
          <w:sz w:val="24"/>
        </w:rPr>
        <w:t>主要功能房间的内表面可见光反射比</w:t>
      </w:r>
    </w:p>
    <w:tbl>
      <w:tblPr>
        <w:tblStyle w:val="3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77"/>
        <w:gridCol w:w="25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77" w:type="dxa"/>
            <w:vAlign w:val="center"/>
          </w:tcPr>
          <w:p>
            <w:pPr>
              <w:spacing w:line="276" w:lineRule="auto"/>
              <w:rPr>
                <w:sz w:val="24"/>
              </w:rPr>
            </w:pPr>
            <w:r>
              <w:rPr>
                <w:rFonts w:hint="eastAsia"/>
                <w:sz w:val="24"/>
              </w:rPr>
              <w:t>房间内表面位置</w:t>
            </w:r>
          </w:p>
        </w:tc>
        <w:tc>
          <w:tcPr>
            <w:tcW w:w="2510" w:type="dxa"/>
            <w:vAlign w:val="center"/>
          </w:tcPr>
          <w:p>
            <w:pPr>
              <w:spacing w:line="276" w:lineRule="auto"/>
              <w:rPr>
                <w:sz w:val="24"/>
              </w:rPr>
            </w:pPr>
            <w:r>
              <w:rPr>
                <w:rFonts w:hint="eastAsia"/>
                <w:sz w:val="24"/>
              </w:rPr>
              <w:t>可见光反射比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77" w:type="dxa"/>
            <w:vAlign w:val="center"/>
          </w:tcPr>
          <w:p>
            <w:pPr>
              <w:spacing w:line="276" w:lineRule="auto"/>
              <w:rPr>
                <w:sz w:val="24"/>
              </w:rPr>
            </w:pPr>
            <w:r>
              <w:rPr>
                <w:rFonts w:hint="eastAsia"/>
                <w:sz w:val="24"/>
              </w:rPr>
              <w:t>顶棚</w:t>
            </w:r>
          </w:p>
        </w:tc>
        <w:tc>
          <w:tcPr>
            <w:tcW w:w="2510" w:type="dxa"/>
            <w:vAlign w:val="center"/>
          </w:tcPr>
          <w:p>
            <w:pPr>
              <w:spacing w:line="276" w:lineRule="auto"/>
              <w:rPr>
                <w:sz w:val="24"/>
              </w:rPr>
            </w:pPr>
            <w:r>
              <w:rPr>
                <w:sz w:val="24"/>
              </w:rPr>
              <w:t>0.7</w:t>
            </w:r>
            <w:r>
              <w:rPr>
                <w:rFonts w:hint="eastAsia"/>
                <w:sz w:val="24"/>
              </w:rPr>
              <w:t>～</w:t>
            </w:r>
            <w:r>
              <w:rPr>
                <w:sz w:val="24"/>
              </w:rPr>
              <w:t>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77" w:type="dxa"/>
            <w:vAlign w:val="center"/>
          </w:tcPr>
          <w:p>
            <w:pPr>
              <w:spacing w:line="276" w:lineRule="auto"/>
              <w:rPr>
                <w:sz w:val="24"/>
              </w:rPr>
            </w:pPr>
            <w:r>
              <w:rPr>
                <w:rFonts w:hint="eastAsia"/>
                <w:sz w:val="24"/>
              </w:rPr>
              <w:t>墙面</w:t>
            </w:r>
          </w:p>
        </w:tc>
        <w:tc>
          <w:tcPr>
            <w:tcW w:w="2510" w:type="dxa"/>
            <w:vAlign w:val="center"/>
          </w:tcPr>
          <w:p>
            <w:pPr>
              <w:spacing w:line="276" w:lineRule="auto"/>
              <w:rPr>
                <w:sz w:val="24"/>
              </w:rPr>
            </w:pPr>
            <w:r>
              <w:rPr>
                <w:sz w:val="24"/>
              </w:rPr>
              <w:t>0.5</w:t>
            </w:r>
            <w:r>
              <w:rPr>
                <w:rFonts w:hint="eastAsia"/>
                <w:sz w:val="24"/>
              </w:rPr>
              <w:t>～</w:t>
            </w:r>
            <w:r>
              <w:rPr>
                <w:sz w:val="24"/>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77" w:type="dxa"/>
            <w:vAlign w:val="center"/>
          </w:tcPr>
          <w:p>
            <w:pPr>
              <w:spacing w:line="276" w:lineRule="auto"/>
              <w:rPr>
                <w:sz w:val="24"/>
              </w:rPr>
            </w:pPr>
            <w:r>
              <w:rPr>
                <w:rFonts w:hint="eastAsia"/>
                <w:sz w:val="24"/>
              </w:rPr>
              <w:t>地面</w:t>
            </w:r>
          </w:p>
        </w:tc>
        <w:tc>
          <w:tcPr>
            <w:tcW w:w="2510" w:type="dxa"/>
            <w:vAlign w:val="center"/>
          </w:tcPr>
          <w:p>
            <w:pPr>
              <w:spacing w:line="276" w:lineRule="auto"/>
              <w:rPr>
                <w:sz w:val="24"/>
              </w:rPr>
            </w:pPr>
            <w:r>
              <w:rPr>
                <w:sz w:val="24"/>
              </w:rPr>
              <w:t>0.3</w:t>
            </w:r>
            <w:r>
              <w:rPr>
                <w:rFonts w:hint="eastAsia"/>
                <w:sz w:val="24"/>
              </w:rPr>
              <w:t>～</w:t>
            </w:r>
            <w:r>
              <w:rPr>
                <w:sz w:val="24"/>
              </w:rPr>
              <w:t>0.5</w:t>
            </w:r>
          </w:p>
        </w:tc>
      </w:tr>
    </w:tbl>
    <w:p>
      <w:pPr>
        <w:spacing w:line="276" w:lineRule="auto"/>
        <w:rPr>
          <w:kern w:val="0"/>
          <w:sz w:val="24"/>
        </w:rPr>
      </w:pPr>
    </w:p>
    <w:p>
      <w:pPr>
        <w:spacing w:line="360" w:lineRule="auto"/>
        <w:rPr>
          <w:sz w:val="24"/>
        </w:rPr>
      </w:pPr>
      <w:r>
        <w:rPr>
          <w:b/>
          <w:bCs/>
          <w:sz w:val="24"/>
          <w:szCs w:val="32"/>
        </w:rPr>
        <w:t>3.2.14</w:t>
      </w:r>
      <w:r>
        <w:rPr>
          <w:rFonts w:hint="eastAsia"/>
          <w:sz w:val="24"/>
          <w:szCs w:val="32"/>
        </w:rPr>
        <w:t>数据中心的能效等级不宜低于现行国家标准《数据中心能效限定值及能效等级》</w:t>
      </w:r>
      <w:r>
        <w:rPr>
          <w:sz w:val="24"/>
          <w:szCs w:val="32"/>
        </w:rPr>
        <w:t>GB40879</w:t>
      </w:r>
      <w:r>
        <w:rPr>
          <w:rFonts w:hint="eastAsia"/>
          <w:sz w:val="24"/>
          <w:szCs w:val="32"/>
        </w:rPr>
        <w:t>规定的能效等级</w:t>
      </w:r>
      <w:r>
        <w:rPr>
          <w:sz w:val="24"/>
          <w:szCs w:val="32"/>
        </w:rPr>
        <w:t>2</w:t>
      </w:r>
      <w:r>
        <w:rPr>
          <w:rFonts w:hint="eastAsia"/>
          <w:sz w:val="24"/>
          <w:szCs w:val="32"/>
        </w:rPr>
        <w:t>级。</w:t>
      </w:r>
      <w:bookmarkEnd w:id="37"/>
    </w:p>
    <w:p>
      <w:pPr>
        <w:spacing w:line="276" w:lineRule="auto"/>
        <w:rPr>
          <w:rFonts w:cs="Arial"/>
          <w:sz w:val="24"/>
          <w:szCs w:val="21"/>
        </w:rPr>
      </w:pPr>
    </w:p>
    <w:p>
      <w:pPr>
        <w:spacing w:line="360" w:lineRule="auto"/>
        <w:rPr>
          <w:sz w:val="24"/>
          <w:szCs w:val="32"/>
        </w:rPr>
      </w:pPr>
      <w:r>
        <w:rPr>
          <w:rFonts w:cs="Arial"/>
          <w:b/>
          <w:sz w:val="24"/>
          <w:szCs w:val="21"/>
        </w:rPr>
        <w:t>3.2.15</w:t>
      </w:r>
      <w:r>
        <w:rPr>
          <w:rFonts w:hint="eastAsia"/>
          <w:sz w:val="24"/>
          <w:szCs w:val="32"/>
        </w:rPr>
        <w:t>非透光围护结构热桥部位的内表面温度、防热和防潮设计应符合现行强制性工程建设规范《建筑环境通用规范》</w:t>
      </w:r>
      <w:r>
        <w:rPr>
          <w:sz w:val="24"/>
          <w:szCs w:val="32"/>
        </w:rPr>
        <w:t>GB55016</w:t>
      </w:r>
      <w:r>
        <w:rPr>
          <w:rFonts w:hint="eastAsia"/>
          <w:sz w:val="24"/>
          <w:szCs w:val="32"/>
        </w:rPr>
        <w:t>的要求。</w:t>
      </w:r>
    </w:p>
    <w:p>
      <w:pPr>
        <w:spacing w:line="360" w:lineRule="auto"/>
        <w:rPr>
          <w:szCs w:val="21"/>
        </w:rPr>
      </w:pPr>
    </w:p>
    <w:p>
      <w:pPr>
        <w:autoSpaceDE w:val="0"/>
        <w:autoSpaceDN w:val="0"/>
        <w:adjustRightInd w:val="0"/>
        <w:spacing w:line="360" w:lineRule="auto"/>
        <w:rPr>
          <w:rFonts w:cs="Arial"/>
          <w:kern w:val="0"/>
          <w:sz w:val="24"/>
        </w:rPr>
      </w:pPr>
      <w:r>
        <w:rPr>
          <w:rFonts w:hint="eastAsia" w:cs="Arial"/>
          <w:b/>
          <w:kern w:val="0"/>
          <w:sz w:val="24"/>
        </w:rPr>
        <w:t>3</w:t>
      </w:r>
      <w:r>
        <w:rPr>
          <w:rFonts w:cs="Arial"/>
          <w:b/>
          <w:kern w:val="0"/>
          <w:sz w:val="24"/>
        </w:rPr>
        <w:t>.2.16</w:t>
      </w:r>
      <w:r>
        <w:rPr>
          <w:rFonts w:hint="eastAsia" w:cs="Arial"/>
          <w:b/>
          <w:kern w:val="0"/>
          <w:sz w:val="24"/>
          <w:lang w:val="en-US" w:eastAsia="zh-CN"/>
        </w:rPr>
        <w:t xml:space="preserve"> </w:t>
      </w:r>
      <w:r>
        <w:rPr>
          <w:rFonts w:hint="eastAsia" w:cs="Arial"/>
          <w:kern w:val="0"/>
          <w:sz w:val="24"/>
        </w:rPr>
        <w:t>建筑外门、外窗的气密性在1</w:t>
      </w:r>
      <w:r>
        <w:rPr>
          <w:rFonts w:cs="Arial"/>
          <w:kern w:val="0"/>
          <w:sz w:val="24"/>
        </w:rPr>
        <w:t>0Pa</w:t>
      </w:r>
      <w:r>
        <w:rPr>
          <w:rFonts w:hint="eastAsia" w:cs="Arial"/>
          <w:kern w:val="0"/>
          <w:sz w:val="24"/>
        </w:rPr>
        <w:t>压差下，应满足</w:t>
      </w:r>
      <w:r>
        <w:rPr>
          <w:rFonts w:hint="eastAsia"/>
          <w:kern w:val="0"/>
          <w:sz w:val="24"/>
        </w:rPr>
        <w:t>下列要求：</w:t>
      </w:r>
    </w:p>
    <w:p>
      <w:pPr>
        <w:autoSpaceDE w:val="0"/>
        <w:autoSpaceDN w:val="0"/>
        <w:adjustRightInd w:val="0"/>
        <w:spacing w:line="360" w:lineRule="auto"/>
        <w:ind w:firstLine="420"/>
        <w:rPr>
          <w:kern w:val="0"/>
          <w:sz w:val="24"/>
        </w:rPr>
      </w:pPr>
      <w:r>
        <w:rPr>
          <w:kern w:val="0"/>
          <w:sz w:val="24"/>
        </w:rPr>
        <w:t>1</w:t>
      </w:r>
      <w:r>
        <w:rPr>
          <w:rFonts w:hint="eastAsia"/>
          <w:kern w:val="0"/>
          <w:sz w:val="24"/>
        </w:rPr>
        <w:t xml:space="preserve">  10层及以上建筑</w:t>
      </w:r>
      <w:r>
        <w:rPr>
          <w:rFonts w:cs="Arial"/>
          <w:kern w:val="0"/>
          <w:sz w:val="24"/>
        </w:rPr>
        <w:t>外窗</w:t>
      </w:r>
      <w:r>
        <w:rPr>
          <w:rFonts w:hint="eastAsia" w:cs="Arial"/>
          <w:kern w:val="0"/>
          <w:sz w:val="24"/>
        </w:rPr>
        <w:t>每小时每米缝隙的空气渗透量q</w:t>
      </w:r>
      <w:r>
        <w:rPr>
          <w:rFonts w:cs="Arial"/>
          <w:kern w:val="0"/>
          <w:sz w:val="24"/>
        </w:rPr>
        <w:t>1</w:t>
      </w:r>
      <w:r>
        <w:rPr>
          <w:rFonts w:hint="eastAsia" w:cs="Arial"/>
          <w:kern w:val="0"/>
          <w:sz w:val="24"/>
        </w:rPr>
        <w:t>不应大于1</w:t>
      </w:r>
      <w:r>
        <w:rPr>
          <w:rFonts w:cs="Arial"/>
          <w:kern w:val="0"/>
          <w:sz w:val="24"/>
        </w:rPr>
        <w:t xml:space="preserve">.0 </w:t>
      </w:r>
      <w:r>
        <w:rPr>
          <w:rFonts w:hint="eastAsia" w:cs="Arial"/>
          <w:kern w:val="0"/>
          <w:sz w:val="24"/>
        </w:rPr>
        <w:t>m</w:t>
      </w:r>
      <w:r>
        <w:rPr>
          <w:rFonts w:cs="Arial"/>
          <w:kern w:val="0"/>
          <w:sz w:val="24"/>
          <w:vertAlign w:val="superscript"/>
        </w:rPr>
        <w:t>3</w:t>
      </w:r>
      <w:r>
        <w:rPr>
          <w:rFonts w:hint="eastAsia" w:cs="Arial"/>
          <w:kern w:val="0"/>
          <w:sz w:val="24"/>
        </w:rPr>
        <w:t>，每小时每平方米面积的空气渗透量q</w:t>
      </w:r>
      <w:r>
        <w:rPr>
          <w:rFonts w:cs="Arial"/>
          <w:kern w:val="0"/>
          <w:sz w:val="24"/>
        </w:rPr>
        <w:t>2</w:t>
      </w:r>
      <w:r>
        <w:rPr>
          <w:rFonts w:hint="eastAsia" w:cs="Arial"/>
          <w:kern w:val="0"/>
          <w:sz w:val="24"/>
        </w:rPr>
        <w:t>不应大于3</w:t>
      </w:r>
      <w:r>
        <w:rPr>
          <w:rFonts w:cs="Arial"/>
          <w:kern w:val="0"/>
          <w:sz w:val="24"/>
        </w:rPr>
        <w:t xml:space="preserve">.0 </w:t>
      </w:r>
      <w:r>
        <w:rPr>
          <w:rFonts w:hint="eastAsia" w:cs="Arial"/>
          <w:kern w:val="0"/>
          <w:sz w:val="24"/>
        </w:rPr>
        <w:t>m</w:t>
      </w:r>
      <w:r>
        <w:rPr>
          <w:rFonts w:cs="Arial"/>
          <w:kern w:val="0"/>
          <w:sz w:val="24"/>
          <w:vertAlign w:val="superscript"/>
        </w:rPr>
        <w:t>3</w:t>
      </w:r>
      <w:r>
        <w:rPr>
          <w:rFonts w:hint="eastAsia"/>
          <w:kern w:val="0"/>
          <w:sz w:val="24"/>
        </w:rPr>
        <w:t>；</w:t>
      </w:r>
    </w:p>
    <w:p>
      <w:pPr>
        <w:autoSpaceDE w:val="0"/>
        <w:autoSpaceDN w:val="0"/>
        <w:adjustRightInd w:val="0"/>
        <w:spacing w:line="360" w:lineRule="auto"/>
        <w:ind w:firstLine="420"/>
        <w:rPr>
          <w:kern w:val="0"/>
          <w:sz w:val="24"/>
        </w:rPr>
      </w:pPr>
      <w:r>
        <w:rPr>
          <w:kern w:val="0"/>
          <w:sz w:val="24"/>
        </w:rPr>
        <w:t>2</w:t>
      </w:r>
      <w:r>
        <w:rPr>
          <w:rFonts w:hint="eastAsia"/>
          <w:kern w:val="0"/>
          <w:sz w:val="24"/>
        </w:rPr>
        <w:t xml:space="preserve">  10层以下建筑</w:t>
      </w:r>
      <w:r>
        <w:rPr>
          <w:rFonts w:cs="Arial"/>
          <w:kern w:val="0"/>
          <w:sz w:val="24"/>
        </w:rPr>
        <w:t>外窗</w:t>
      </w:r>
      <w:r>
        <w:rPr>
          <w:rFonts w:hint="eastAsia" w:cs="Arial"/>
          <w:kern w:val="0"/>
          <w:sz w:val="24"/>
        </w:rPr>
        <w:t>每小时每米缝隙的空气渗透量q</w:t>
      </w:r>
      <w:r>
        <w:rPr>
          <w:rFonts w:cs="Arial"/>
          <w:kern w:val="0"/>
          <w:sz w:val="24"/>
        </w:rPr>
        <w:t>1</w:t>
      </w:r>
      <w:r>
        <w:rPr>
          <w:rFonts w:hint="eastAsia" w:cs="Arial"/>
          <w:kern w:val="0"/>
          <w:sz w:val="24"/>
        </w:rPr>
        <w:t>不应大于1</w:t>
      </w:r>
      <w:r>
        <w:rPr>
          <w:rFonts w:cs="Arial"/>
          <w:kern w:val="0"/>
          <w:sz w:val="24"/>
        </w:rPr>
        <w:t xml:space="preserve">.5 </w:t>
      </w:r>
      <w:r>
        <w:rPr>
          <w:rFonts w:hint="eastAsia" w:cs="Arial"/>
          <w:kern w:val="0"/>
          <w:sz w:val="24"/>
        </w:rPr>
        <w:t>m</w:t>
      </w:r>
      <w:r>
        <w:rPr>
          <w:rFonts w:cs="Arial"/>
          <w:kern w:val="0"/>
          <w:sz w:val="24"/>
          <w:vertAlign w:val="superscript"/>
        </w:rPr>
        <w:t>3</w:t>
      </w:r>
      <w:r>
        <w:rPr>
          <w:rFonts w:hint="eastAsia" w:cs="Arial"/>
          <w:kern w:val="0"/>
          <w:sz w:val="24"/>
        </w:rPr>
        <w:t>，每小时每平方米面积的空气渗透量q</w:t>
      </w:r>
      <w:r>
        <w:rPr>
          <w:rFonts w:cs="Arial"/>
          <w:kern w:val="0"/>
          <w:sz w:val="24"/>
        </w:rPr>
        <w:t>2</w:t>
      </w:r>
      <w:r>
        <w:rPr>
          <w:rFonts w:hint="eastAsia" w:cs="Arial"/>
          <w:kern w:val="0"/>
          <w:sz w:val="24"/>
        </w:rPr>
        <w:t>不应大于</w:t>
      </w:r>
      <w:r>
        <w:rPr>
          <w:rFonts w:cs="Arial"/>
          <w:kern w:val="0"/>
          <w:sz w:val="24"/>
        </w:rPr>
        <w:t xml:space="preserve">4.5 </w:t>
      </w:r>
      <w:r>
        <w:rPr>
          <w:rFonts w:hint="eastAsia" w:cs="Arial"/>
          <w:kern w:val="0"/>
          <w:sz w:val="24"/>
        </w:rPr>
        <w:t>m</w:t>
      </w:r>
      <w:r>
        <w:rPr>
          <w:rFonts w:cs="Arial"/>
          <w:kern w:val="0"/>
          <w:sz w:val="24"/>
          <w:vertAlign w:val="superscript"/>
        </w:rPr>
        <w:t>3</w:t>
      </w:r>
      <w:r>
        <w:rPr>
          <w:rFonts w:hint="eastAsia"/>
          <w:kern w:val="0"/>
          <w:sz w:val="24"/>
        </w:rPr>
        <w:t>；；</w:t>
      </w:r>
    </w:p>
    <w:p>
      <w:pPr>
        <w:autoSpaceDE w:val="0"/>
        <w:autoSpaceDN w:val="0"/>
        <w:adjustRightInd w:val="0"/>
        <w:spacing w:line="360" w:lineRule="auto"/>
        <w:ind w:firstLine="420"/>
        <w:rPr>
          <w:kern w:val="0"/>
          <w:sz w:val="24"/>
        </w:rPr>
      </w:pPr>
      <w:r>
        <w:rPr>
          <w:kern w:val="0"/>
          <w:sz w:val="24"/>
        </w:rPr>
        <w:t>3</w:t>
      </w:r>
      <w:r>
        <w:rPr>
          <w:rFonts w:hint="eastAsia"/>
          <w:kern w:val="0"/>
          <w:sz w:val="24"/>
        </w:rPr>
        <w:t xml:space="preserve">  严寒和寒冷地区外门</w:t>
      </w:r>
      <w:r>
        <w:rPr>
          <w:rFonts w:hint="eastAsia" w:cs="Arial"/>
          <w:kern w:val="0"/>
          <w:sz w:val="24"/>
        </w:rPr>
        <w:t>每小时每米缝隙的空气渗透量q</w:t>
      </w:r>
      <w:r>
        <w:rPr>
          <w:rFonts w:cs="Arial"/>
          <w:kern w:val="0"/>
          <w:sz w:val="24"/>
        </w:rPr>
        <w:t>1</w:t>
      </w:r>
      <w:r>
        <w:rPr>
          <w:rFonts w:hint="eastAsia" w:cs="Arial"/>
          <w:kern w:val="0"/>
          <w:sz w:val="24"/>
        </w:rPr>
        <w:t>不应大于</w:t>
      </w:r>
      <w:r>
        <w:rPr>
          <w:rFonts w:cs="Arial"/>
          <w:kern w:val="0"/>
          <w:sz w:val="24"/>
        </w:rPr>
        <w:t xml:space="preserve">2.5 </w:t>
      </w:r>
      <w:r>
        <w:rPr>
          <w:rFonts w:hint="eastAsia" w:cs="Arial"/>
          <w:kern w:val="0"/>
          <w:sz w:val="24"/>
        </w:rPr>
        <w:t>m</w:t>
      </w:r>
      <w:r>
        <w:rPr>
          <w:rFonts w:cs="Arial"/>
          <w:kern w:val="0"/>
          <w:sz w:val="24"/>
          <w:vertAlign w:val="superscript"/>
        </w:rPr>
        <w:t>3</w:t>
      </w:r>
      <w:r>
        <w:rPr>
          <w:rFonts w:hint="eastAsia" w:cs="Arial"/>
          <w:kern w:val="0"/>
          <w:sz w:val="24"/>
        </w:rPr>
        <w:t>，每小时每平方米面积的空气渗透量q</w:t>
      </w:r>
      <w:r>
        <w:rPr>
          <w:rFonts w:cs="Arial"/>
          <w:kern w:val="0"/>
          <w:sz w:val="24"/>
        </w:rPr>
        <w:t>2</w:t>
      </w:r>
      <w:r>
        <w:rPr>
          <w:rFonts w:hint="eastAsia" w:cs="Arial"/>
          <w:kern w:val="0"/>
          <w:sz w:val="24"/>
        </w:rPr>
        <w:t>不应大于</w:t>
      </w:r>
      <w:r>
        <w:rPr>
          <w:rFonts w:cs="Arial"/>
          <w:kern w:val="0"/>
          <w:sz w:val="24"/>
        </w:rPr>
        <w:t xml:space="preserve">7.5 </w:t>
      </w:r>
      <w:r>
        <w:rPr>
          <w:rFonts w:hint="eastAsia" w:cs="Arial"/>
          <w:kern w:val="0"/>
          <w:sz w:val="24"/>
        </w:rPr>
        <w:t>m</w:t>
      </w:r>
      <w:r>
        <w:rPr>
          <w:rFonts w:cs="Arial"/>
          <w:kern w:val="0"/>
          <w:sz w:val="24"/>
          <w:vertAlign w:val="superscript"/>
        </w:rPr>
        <w:t>3</w:t>
      </w:r>
      <w:r>
        <w:rPr>
          <w:rFonts w:hint="eastAsia"/>
          <w:kern w:val="0"/>
          <w:sz w:val="24"/>
        </w:rPr>
        <w:t>。</w:t>
      </w:r>
    </w:p>
    <w:p>
      <w:pPr>
        <w:spacing w:line="276" w:lineRule="auto"/>
        <w:rPr>
          <w:rFonts w:ascii="宋体" w:hAnsi="宋体"/>
          <w:bCs/>
          <w:sz w:val="24"/>
        </w:rPr>
      </w:pPr>
      <w:bookmarkStart w:id="38" w:name="_Toc187572563"/>
      <w:bookmarkStart w:id="39" w:name="_Toc376970878"/>
    </w:p>
    <w:p>
      <w:pPr>
        <w:rPr>
          <w:rFonts w:asciiTheme="minorEastAsia" w:hAnsiTheme="minorEastAsia" w:eastAsiaTheme="minorEastAsia"/>
          <w:sz w:val="24"/>
          <w:szCs w:val="32"/>
        </w:rPr>
      </w:pPr>
      <w:r>
        <w:rPr>
          <w:rFonts w:hint="eastAsia" w:cs="Arial"/>
          <w:b/>
          <w:kern w:val="0"/>
          <w:sz w:val="24"/>
        </w:rPr>
        <w:t>3.2.17</w:t>
      </w:r>
      <w:r>
        <w:rPr>
          <w:rFonts w:hint="eastAsia" w:asciiTheme="minorEastAsia" w:hAnsiTheme="minorEastAsia" w:eastAsiaTheme="minorEastAsia"/>
          <w:sz w:val="24"/>
          <w:szCs w:val="32"/>
        </w:rPr>
        <w:t>数据中心主机房的外围护结构的热工性能应符合下列规定：</w:t>
      </w:r>
    </w:p>
    <w:p>
      <w:pPr>
        <w:autoSpaceDE w:val="0"/>
        <w:autoSpaceDN w:val="0"/>
        <w:adjustRightInd w:val="0"/>
        <w:spacing w:line="360" w:lineRule="auto"/>
        <w:ind w:firstLine="420"/>
        <w:rPr>
          <w:kern w:val="0"/>
          <w:sz w:val="24"/>
        </w:rPr>
      </w:pPr>
      <w:r>
        <w:rPr>
          <w:rFonts w:hint="eastAsia"/>
          <w:kern w:val="0"/>
          <w:sz w:val="24"/>
        </w:rPr>
        <w:t>1</w:t>
      </w:r>
      <w:r>
        <w:rPr>
          <w:kern w:val="0"/>
          <w:sz w:val="24"/>
        </w:rPr>
        <w:t xml:space="preserve"> </w:t>
      </w:r>
      <w:r>
        <w:rPr>
          <w:rFonts w:hint="eastAsia"/>
          <w:kern w:val="0"/>
          <w:sz w:val="24"/>
        </w:rPr>
        <w:t>机柜采用封闭冷风通道时，外围护结构的热工性能应按外墙、屋面热桥部位的内表面温度不低于室内空气露点温度进行计算。</w:t>
      </w:r>
    </w:p>
    <w:p>
      <w:pPr>
        <w:autoSpaceDE w:val="0"/>
        <w:autoSpaceDN w:val="0"/>
        <w:adjustRightInd w:val="0"/>
        <w:spacing w:line="360" w:lineRule="auto"/>
        <w:ind w:firstLine="420"/>
        <w:rPr>
          <w:kern w:val="0"/>
          <w:sz w:val="24"/>
        </w:rPr>
      </w:pPr>
      <w:r>
        <w:rPr>
          <w:kern w:val="0"/>
          <w:sz w:val="24"/>
        </w:rPr>
        <w:t xml:space="preserve">2 </w:t>
      </w:r>
      <w:r>
        <w:rPr>
          <w:rFonts w:hint="eastAsia"/>
          <w:kern w:val="0"/>
          <w:sz w:val="24"/>
        </w:rPr>
        <w:t>主机房不应设置外窗。</w:t>
      </w:r>
    </w:p>
    <w:p>
      <w:pPr>
        <w:rPr>
          <w:b/>
          <w:bCs/>
        </w:rPr>
      </w:pPr>
    </w:p>
    <w:p>
      <w:pPr>
        <w:pStyle w:val="3"/>
        <w:spacing w:after="156" w:line="276" w:lineRule="auto"/>
        <w:jc w:val="center"/>
        <w:rPr>
          <w:rFonts w:ascii="Times New Roman" w:hAnsi="Times New Roman" w:eastAsia="宋体" w:cs="Arial"/>
          <w:kern w:val="0"/>
        </w:rPr>
      </w:pPr>
      <w:bookmarkStart w:id="40" w:name="_Toc146734715"/>
      <w:r>
        <w:rPr>
          <w:rFonts w:hint="eastAsia" w:ascii="Times New Roman" w:hAnsi="Times New Roman" w:eastAsia="宋体" w:cs="Arial"/>
          <w:kern w:val="0"/>
        </w:rPr>
        <w:t>3</w:t>
      </w:r>
      <w:r>
        <w:rPr>
          <w:rFonts w:ascii="Times New Roman" w:hAnsi="Times New Roman" w:eastAsia="宋体" w:cs="Arial"/>
          <w:kern w:val="0"/>
        </w:rPr>
        <w:t xml:space="preserve">.3 </w:t>
      </w:r>
      <w:r>
        <w:rPr>
          <w:rFonts w:hint="eastAsia" w:ascii="Times New Roman" w:hAnsi="Times New Roman" w:eastAsia="宋体" w:cs="Arial"/>
          <w:kern w:val="0"/>
        </w:rPr>
        <w:t>建筑幕墙、采光顶及金属屋面</w:t>
      </w:r>
      <w:bookmarkEnd w:id="40"/>
    </w:p>
    <w:p>
      <w:pPr>
        <w:spacing w:line="360" w:lineRule="auto"/>
        <w:rPr>
          <w:spacing w:val="-6"/>
          <w:sz w:val="24"/>
        </w:rPr>
      </w:pPr>
      <w:r>
        <w:rPr>
          <w:rFonts w:asciiTheme="minorEastAsia" w:hAnsiTheme="minorEastAsia" w:eastAsiaTheme="minorEastAsia"/>
          <w:b/>
          <w:sz w:val="24"/>
        </w:rPr>
        <w:t>3.3.1</w:t>
      </w:r>
      <w:r>
        <w:rPr>
          <w:rFonts w:hint="eastAsia"/>
          <w:spacing w:val="-6"/>
          <w:sz w:val="24"/>
        </w:rPr>
        <w:t xml:space="preserve"> </w:t>
      </w:r>
      <w:r>
        <w:rPr>
          <w:spacing w:val="-6"/>
          <w:sz w:val="24"/>
        </w:rPr>
        <w:t>建筑幕墙、采光顶及金属屋面应满足保温隔热、遮阳、采光、通</w:t>
      </w:r>
      <w:r>
        <w:rPr>
          <w:spacing w:val="-3"/>
          <w:sz w:val="24"/>
        </w:rPr>
        <w:t>风、气密性等性能和太阳能系统应用要求，</w:t>
      </w:r>
      <w:r>
        <w:rPr>
          <w:spacing w:val="-6"/>
          <w:sz w:val="24"/>
        </w:rPr>
        <w:t>建筑幕墙、采光顶及金属屋面的深化设计包括</w:t>
      </w:r>
      <w:r>
        <w:rPr>
          <w:spacing w:val="-3"/>
          <w:sz w:val="24"/>
        </w:rPr>
        <w:t>专项节能设计。</w:t>
      </w:r>
    </w:p>
    <w:p>
      <w:pPr>
        <w:spacing w:line="360" w:lineRule="auto"/>
        <w:rPr>
          <w:kern w:val="0"/>
          <w:szCs w:val="21"/>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rPr>
        <w:t>3.</w:t>
      </w:r>
      <w:r>
        <w:rPr>
          <w:rFonts w:asciiTheme="minorEastAsia" w:hAnsiTheme="minorEastAsia" w:eastAsiaTheme="minorEastAsia"/>
          <w:b/>
          <w:sz w:val="24"/>
        </w:rPr>
        <w:t>3</w:t>
      </w:r>
      <w:r>
        <w:rPr>
          <w:rFonts w:hint="eastAsia" w:asciiTheme="minorEastAsia" w:hAnsiTheme="minorEastAsia" w:eastAsiaTheme="minorEastAsia"/>
          <w:b/>
          <w:sz w:val="24"/>
        </w:rPr>
        <w:t>.2</w:t>
      </w:r>
      <w:r>
        <w:rPr>
          <w:rFonts w:hint="eastAsia" w:asciiTheme="minorEastAsia" w:hAnsiTheme="minorEastAsia" w:eastAsiaTheme="minorEastAsia"/>
          <w:bCs/>
          <w:sz w:val="24"/>
        </w:rPr>
        <w:t>建筑幕墙、采光顶及金属屋面的专项节能设计文件应包括设计说明、设计图纸及节能计算书，并应符合下列规定：</w:t>
      </w:r>
    </w:p>
    <w:p>
      <w:pPr>
        <w:pStyle w:val="52"/>
        <w:numPr>
          <w:ilvl w:val="0"/>
          <w:numId w:val="4"/>
        </w:numPr>
        <w:spacing w:line="360" w:lineRule="auto"/>
        <w:ind w:left="0" w:leftChars="0" w:firstLine="420" w:firstLineChars="175"/>
        <w:rPr>
          <w:rFonts w:asciiTheme="minorEastAsia" w:hAnsiTheme="minorEastAsia"/>
          <w:bCs/>
          <w:sz w:val="24"/>
        </w:rPr>
      </w:pPr>
      <w:r>
        <w:rPr>
          <w:rFonts w:hint="eastAsia" w:asciiTheme="minorEastAsia" w:hAnsiTheme="minorEastAsia"/>
          <w:bCs/>
          <w:sz w:val="24"/>
        </w:rPr>
        <w:t>设计说明应包含工程设计概况、系统构成、性能参数及构造设计要点；</w:t>
      </w:r>
    </w:p>
    <w:p>
      <w:pPr>
        <w:pStyle w:val="52"/>
        <w:numPr>
          <w:ilvl w:val="0"/>
          <w:numId w:val="4"/>
        </w:numPr>
        <w:spacing w:line="360" w:lineRule="auto"/>
        <w:ind w:left="0" w:leftChars="0" w:firstLine="420" w:firstLineChars="175"/>
        <w:rPr>
          <w:rFonts w:asciiTheme="minorEastAsia" w:hAnsiTheme="minorEastAsia"/>
          <w:bCs/>
          <w:sz w:val="24"/>
        </w:rPr>
      </w:pPr>
      <w:r>
        <w:rPr>
          <w:rFonts w:hint="eastAsia" w:asciiTheme="minorEastAsia" w:hAnsiTheme="minorEastAsia"/>
          <w:bCs/>
          <w:sz w:val="24"/>
        </w:rPr>
        <w:t>设计图纸中节能部分应包含系统节点构造、保温层构造、防排水构造、与相邻墙体及洞口边沿间的连接构造等节点设计详图。对大型公建，尚应明确节能性能模拟测试典型区域；</w:t>
      </w:r>
    </w:p>
    <w:p>
      <w:pPr>
        <w:pStyle w:val="52"/>
        <w:numPr>
          <w:ilvl w:val="0"/>
          <w:numId w:val="4"/>
        </w:numPr>
        <w:spacing w:line="360" w:lineRule="auto"/>
        <w:ind w:left="0" w:leftChars="0" w:firstLine="420" w:firstLineChars="175"/>
        <w:rPr>
          <w:rFonts w:asciiTheme="minorEastAsia" w:hAnsiTheme="minorEastAsia"/>
          <w:bCs/>
          <w:sz w:val="24"/>
        </w:rPr>
      </w:pPr>
      <w:r>
        <w:rPr>
          <w:rFonts w:hint="eastAsia" w:asciiTheme="minorEastAsia" w:hAnsiTheme="minorEastAsia"/>
          <w:bCs/>
          <w:sz w:val="24"/>
        </w:rPr>
        <w:t>节能计算书主要包含传热系数、遮阳系数、结露性能计算，热工性能不应低于建筑设计的要求。</w:t>
      </w:r>
    </w:p>
    <w:p>
      <w:pPr>
        <w:spacing w:line="360" w:lineRule="auto"/>
        <w:ind w:firstLine="420"/>
        <w:rPr>
          <w:rFonts w:asciiTheme="minorEastAsia" w:hAnsiTheme="minorEastAsia" w:eastAsiaTheme="minorEastAsia"/>
          <w:bCs/>
          <w:sz w:val="24"/>
        </w:rPr>
      </w:pPr>
    </w:p>
    <w:p>
      <w:pPr>
        <w:spacing w:line="360" w:lineRule="auto"/>
        <w:rPr>
          <w:rFonts w:asciiTheme="minorEastAsia" w:hAnsiTheme="minorEastAsia"/>
          <w:bCs/>
          <w:sz w:val="24"/>
        </w:rPr>
      </w:pPr>
      <w:r>
        <w:rPr>
          <w:rFonts w:hint="eastAsia" w:asciiTheme="minorEastAsia" w:hAnsiTheme="minorEastAsia" w:eastAsiaTheme="minorEastAsia"/>
          <w:b/>
          <w:sz w:val="24"/>
        </w:rPr>
        <w:t>3.</w:t>
      </w:r>
      <w:r>
        <w:rPr>
          <w:rFonts w:asciiTheme="minorEastAsia" w:hAnsiTheme="minorEastAsia" w:eastAsiaTheme="minorEastAsia"/>
          <w:b/>
          <w:sz w:val="24"/>
        </w:rPr>
        <w:t>3</w:t>
      </w:r>
      <w:r>
        <w:rPr>
          <w:rFonts w:hint="eastAsia" w:asciiTheme="minorEastAsia" w:hAnsiTheme="minorEastAsia" w:eastAsiaTheme="minorEastAsia"/>
          <w:b/>
          <w:sz w:val="24"/>
        </w:rPr>
        <w:t>.</w:t>
      </w:r>
      <w:r>
        <w:rPr>
          <w:rFonts w:asciiTheme="minorEastAsia" w:hAnsiTheme="minorEastAsia" w:eastAsiaTheme="minorEastAsia"/>
          <w:b/>
          <w:sz w:val="24"/>
        </w:rPr>
        <w:t>3</w:t>
      </w:r>
      <w:r>
        <w:rPr>
          <w:rFonts w:hint="eastAsia" w:asciiTheme="minorEastAsia" w:hAnsiTheme="minorEastAsia"/>
          <w:bCs/>
          <w:sz w:val="24"/>
        </w:rPr>
        <w:t>建筑幕墙、采光顶及金属屋面气密性设计，应符合</w:t>
      </w:r>
      <w:r>
        <w:rPr>
          <w:rFonts w:hint="eastAsia" w:asciiTheme="minorEastAsia" w:hAnsiTheme="minorEastAsia"/>
          <w:bCs/>
          <w:sz w:val="24"/>
          <w:lang w:val="en-US" w:eastAsia="zh-CN"/>
        </w:rPr>
        <w:t>下列</w:t>
      </w:r>
      <w:r>
        <w:rPr>
          <w:rFonts w:hint="eastAsia" w:asciiTheme="minorEastAsia" w:hAnsiTheme="minorEastAsia"/>
          <w:bCs/>
          <w:sz w:val="24"/>
        </w:rPr>
        <w:t>规定：</w:t>
      </w:r>
      <w:r>
        <w:rPr>
          <w:rFonts w:asciiTheme="minorEastAsia" w:hAnsiTheme="minorEastAsia"/>
          <w:bCs/>
          <w:sz w:val="24"/>
        </w:rPr>
        <w:t xml:space="preserve"> </w:t>
      </w:r>
    </w:p>
    <w:p>
      <w:pPr>
        <w:pStyle w:val="52"/>
        <w:numPr>
          <w:ilvl w:val="0"/>
          <w:numId w:val="5"/>
        </w:numPr>
        <w:spacing w:line="360" w:lineRule="auto"/>
        <w:ind w:left="0" w:firstLine="567" w:firstLineChars="0"/>
        <w:rPr>
          <w:rFonts w:asciiTheme="minorEastAsia" w:hAnsiTheme="minorEastAsia"/>
          <w:bCs/>
          <w:sz w:val="24"/>
        </w:rPr>
      </w:pPr>
      <w:r>
        <w:rPr>
          <w:rFonts w:hint="eastAsia" w:asciiTheme="minorEastAsia" w:hAnsiTheme="minorEastAsia"/>
          <w:bCs/>
          <w:sz w:val="24"/>
        </w:rPr>
        <w:t>建筑幕墙、采光顶及金属屋面的气密性等级应符合国家标准《建筑幕墙</w:t>
      </w:r>
      <w:r>
        <w:rPr>
          <w:rFonts w:asciiTheme="minorEastAsia" w:hAnsiTheme="minorEastAsia"/>
          <w:bCs/>
          <w:sz w:val="24"/>
        </w:rPr>
        <w:t>》GB</w:t>
      </w:r>
      <w:r>
        <w:rPr>
          <w:rFonts w:hint="eastAsia" w:asciiTheme="minorEastAsia" w:hAnsiTheme="minorEastAsia"/>
          <w:bCs/>
          <w:sz w:val="24"/>
        </w:rPr>
        <w:t>/</w:t>
      </w:r>
      <w:r>
        <w:rPr>
          <w:rFonts w:asciiTheme="minorEastAsia" w:hAnsiTheme="minorEastAsia"/>
          <w:bCs/>
          <w:sz w:val="24"/>
        </w:rPr>
        <w:t xml:space="preserve">T </w:t>
      </w:r>
      <w:r>
        <w:rPr>
          <w:rFonts w:hint="eastAsia" w:asciiTheme="minorEastAsia" w:hAnsiTheme="minorEastAsia"/>
          <w:bCs/>
          <w:sz w:val="24"/>
        </w:rPr>
        <w:t>21086的规定，且不应低于3级。</w:t>
      </w:r>
    </w:p>
    <w:p>
      <w:pPr>
        <w:pStyle w:val="52"/>
        <w:numPr>
          <w:ilvl w:val="0"/>
          <w:numId w:val="5"/>
        </w:numPr>
        <w:spacing w:line="360" w:lineRule="auto"/>
        <w:ind w:left="0" w:firstLine="567" w:firstLineChars="0"/>
        <w:rPr>
          <w:rFonts w:asciiTheme="minorEastAsia" w:hAnsiTheme="minorEastAsia"/>
          <w:bCs/>
          <w:sz w:val="24"/>
        </w:rPr>
      </w:pPr>
      <w:r>
        <w:rPr>
          <w:rFonts w:hint="eastAsia" w:asciiTheme="minorEastAsia" w:hAnsiTheme="minorEastAsia"/>
          <w:bCs/>
          <w:sz w:val="24"/>
        </w:rPr>
        <w:t>建筑幕墙非结构受力接缝应采用密封材料密封。单元式幕墙的单元间采用对插组合构件时，纵横缝相交处应采取防渗漏封口构造措施。</w:t>
      </w:r>
    </w:p>
    <w:p>
      <w:pPr>
        <w:pStyle w:val="52"/>
        <w:numPr>
          <w:ilvl w:val="0"/>
          <w:numId w:val="5"/>
        </w:numPr>
        <w:spacing w:line="360" w:lineRule="auto"/>
        <w:ind w:left="0" w:firstLine="567" w:firstLineChars="0"/>
        <w:rPr>
          <w:rFonts w:asciiTheme="minorEastAsia" w:hAnsiTheme="minorEastAsia"/>
          <w:bCs/>
          <w:sz w:val="24"/>
        </w:rPr>
      </w:pPr>
      <w:r>
        <w:rPr>
          <w:rFonts w:hint="eastAsia" w:asciiTheme="minorEastAsia" w:hAnsiTheme="minorEastAsia"/>
          <w:bCs/>
          <w:sz w:val="24"/>
        </w:rPr>
        <w:t>开启部位的密封构造应按等压原理进行设计，且不少于两道密封。</w:t>
      </w:r>
    </w:p>
    <w:p>
      <w:pPr>
        <w:pStyle w:val="52"/>
        <w:numPr>
          <w:ilvl w:val="0"/>
          <w:numId w:val="5"/>
        </w:numPr>
        <w:spacing w:line="360" w:lineRule="auto"/>
        <w:ind w:left="0" w:firstLine="567" w:firstLineChars="0"/>
        <w:rPr>
          <w:rFonts w:asciiTheme="minorEastAsia" w:hAnsiTheme="minorEastAsia"/>
          <w:bCs/>
          <w:sz w:val="24"/>
        </w:rPr>
      </w:pPr>
      <w:r>
        <w:rPr>
          <w:rFonts w:hint="eastAsia" w:asciiTheme="minorEastAsia" w:hAnsiTheme="minorEastAsia"/>
          <w:bCs/>
          <w:sz w:val="24"/>
        </w:rPr>
        <w:t>非透光开启扇与开启框应不少于两道密封，同非透光幕墙气密性要求。</w:t>
      </w:r>
    </w:p>
    <w:p>
      <w:pPr>
        <w:pStyle w:val="52"/>
        <w:numPr>
          <w:ilvl w:val="0"/>
          <w:numId w:val="5"/>
        </w:numPr>
        <w:spacing w:line="360" w:lineRule="auto"/>
        <w:ind w:left="0" w:firstLine="567" w:firstLineChars="0"/>
        <w:rPr>
          <w:rFonts w:asciiTheme="minorEastAsia" w:hAnsiTheme="minorEastAsia"/>
          <w:bCs/>
          <w:sz w:val="24"/>
        </w:rPr>
      </w:pPr>
      <w:r>
        <w:rPr>
          <w:rFonts w:hint="eastAsia" w:asciiTheme="minorEastAsia" w:hAnsiTheme="minorEastAsia"/>
          <w:bCs/>
          <w:sz w:val="24"/>
        </w:rPr>
        <w:t>采光顶面板宜高出屋面，采光顶与屋面连接部位、集水槽和排水沟与周边均应做好防水密封处理。</w:t>
      </w:r>
    </w:p>
    <w:p>
      <w:pPr>
        <w:pStyle w:val="52"/>
        <w:spacing w:line="360" w:lineRule="auto"/>
        <w:ind w:left="360" w:firstLine="0" w:firstLineChars="0"/>
        <w:rPr>
          <w:rFonts w:asciiTheme="minorEastAsia" w:hAnsiTheme="minorEastAsia"/>
          <w:bCs/>
          <w:sz w:val="24"/>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rPr>
        <w:t>3.</w:t>
      </w:r>
      <w:r>
        <w:rPr>
          <w:rFonts w:asciiTheme="minorEastAsia" w:hAnsiTheme="minorEastAsia" w:eastAsiaTheme="minorEastAsia"/>
          <w:b/>
          <w:sz w:val="24"/>
        </w:rPr>
        <w:t>3</w:t>
      </w:r>
      <w:r>
        <w:rPr>
          <w:rFonts w:hint="eastAsia" w:asciiTheme="minorEastAsia" w:hAnsiTheme="minorEastAsia" w:eastAsiaTheme="minorEastAsia"/>
          <w:b/>
          <w:sz w:val="24"/>
        </w:rPr>
        <w:t>.4</w:t>
      </w:r>
      <w:r>
        <w:rPr>
          <w:rFonts w:hint="eastAsia" w:asciiTheme="minorEastAsia" w:hAnsiTheme="minorEastAsia" w:eastAsiaTheme="minorEastAsia"/>
          <w:bCs/>
          <w:sz w:val="24"/>
        </w:rPr>
        <w:t xml:space="preserve"> 建筑幕墙、采光顶及金属屋面的保温隔热防潮设计，应符合下列规定：</w:t>
      </w:r>
    </w:p>
    <w:p>
      <w:pPr>
        <w:pStyle w:val="52"/>
        <w:numPr>
          <w:ilvl w:val="0"/>
          <w:numId w:val="6"/>
        </w:numPr>
        <w:spacing w:line="360" w:lineRule="auto"/>
        <w:ind w:left="0" w:firstLine="426" w:firstLineChars="0"/>
        <w:rPr>
          <w:rFonts w:asciiTheme="minorEastAsia" w:hAnsiTheme="minorEastAsia"/>
          <w:bCs/>
          <w:sz w:val="24"/>
        </w:rPr>
      </w:pPr>
      <w:r>
        <w:rPr>
          <w:rFonts w:hint="eastAsia" w:asciiTheme="minorEastAsia" w:hAnsiTheme="minorEastAsia"/>
          <w:bCs/>
          <w:sz w:val="24"/>
        </w:rPr>
        <w:t>玻璃幕墙、采光顶及金属屋面应选用断桥隔热类型系统。非透光幕墙面板背后应设置不燃材料保温层。透光幕墙和非透光幕墙交接部位的保温构造应连续。开启扇应采用保温隔热构造。</w:t>
      </w:r>
    </w:p>
    <w:p>
      <w:pPr>
        <w:pStyle w:val="52"/>
        <w:numPr>
          <w:ilvl w:val="0"/>
          <w:numId w:val="6"/>
        </w:numPr>
        <w:spacing w:line="360" w:lineRule="auto"/>
        <w:ind w:left="0" w:firstLine="426" w:firstLineChars="0"/>
        <w:rPr>
          <w:rFonts w:asciiTheme="minorEastAsia" w:hAnsiTheme="minorEastAsia"/>
          <w:bCs/>
          <w:sz w:val="24"/>
        </w:rPr>
      </w:pPr>
      <w:r>
        <w:rPr>
          <w:rFonts w:hint="eastAsia" w:asciiTheme="minorEastAsia" w:hAnsiTheme="minorEastAsia"/>
          <w:bCs/>
          <w:sz w:val="24"/>
        </w:rPr>
        <w:t>非透光幕墙的传热系数不应低于相邻部位外墙的传热系数。非透光幕墙开启部位传热系数应不低于透光幕墙的传热系数。当开启部位通风面积不大于本标准第</w:t>
      </w:r>
      <w:r>
        <w:rPr>
          <w:rFonts w:asciiTheme="minorEastAsia" w:hAnsiTheme="minorEastAsia"/>
          <w:bCs/>
          <w:sz w:val="24"/>
        </w:rPr>
        <w:t>3.2.10</w:t>
      </w:r>
      <w:r>
        <w:rPr>
          <w:rFonts w:hint="eastAsia" w:asciiTheme="minorEastAsia" w:hAnsiTheme="minorEastAsia"/>
          <w:bCs/>
          <w:sz w:val="24"/>
        </w:rPr>
        <w:t>条规定时，开启部位传热系数可按透光幕墙传热系数执行。</w:t>
      </w:r>
    </w:p>
    <w:p>
      <w:pPr>
        <w:pStyle w:val="52"/>
        <w:numPr>
          <w:ilvl w:val="0"/>
          <w:numId w:val="6"/>
        </w:numPr>
        <w:spacing w:line="360" w:lineRule="auto"/>
        <w:ind w:left="0" w:firstLine="426" w:firstLineChars="0"/>
        <w:rPr>
          <w:rFonts w:asciiTheme="minorEastAsia" w:hAnsiTheme="minorEastAsia"/>
          <w:bCs/>
          <w:sz w:val="24"/>
        </w:rPr>
      </w:pPr>
      <w:r>
        <w:rPr>
          <w:rFonts w:hint="eastAsia" w:asciiTheme="minorEastAsia" w:hAnsiTheme="minorEastAsia"/>
          <w:bCs/>
          <w:sz w:val="24"/>
        </w:rPr>
        <w:t>保温材料应可靠固定，并应采取防水、隔汽措施。防水层应设置在保温材料的室外侧，隔汽层应设置在保温材料的室内侧。</w:t>
      </w:r>
    </w:p>
    <w:p>
      <w:pPr>
        <w:pStyle w:val="52"/>
        <w:numPr>
          <w:ilvl w:val="0"/>
          <w:numId w:val="6"/>
        </w:numPr>
        <w:spacing w:line="360" w:lineRule="auto"/>
        <w:ind w:left="0" w:firstLine="426" w:firstLineChars="0"/>
        <w:rPr>
          <w:rFonts w:asciiTheme="minorEastAsia" w:hAnsiTheme="minorEastAsia"/>
          <w:bCs/>
          <w:sz w:val="24"/>
        </w:rPr>
      </w:pPr>
      <w:r>
        <w:rPr>
          <w:rFonts w:hint="eastAsia" w:asciiTheme="minorEastAsia" w:hAnsiTheme="minorEastAsia"/>
          <w:bCs/>
          <w:sz w:val="24"/>
        </w:rPr>
        <w:t>在设计环境条件下应无结露现象。与主体结构间不应形成热桥，对跨越室内外的连接部位应采取隔断热桥密封措施。</w:t>
      </w:r>
    </w:p>
    <w:p>
      <w:pPr>
        <w:pStyle w:val="52"/>
        <w:numPr>
          <w:ilvl w:val="0"/>
          <w:numId w:val="6"/>
        </w:numPr>
        <w:spacing w:line="360" w:lineRule="auto"/>
        <w:ind w:left="0" w:firstLine="426" w:firstLineChars="0"/>
        <w:rPr>
          <w:rFonts w:asciiTheme="minorEastAsia" w:hAnsiTheme="minorEastAsia"/>
          <w:bCs/>
          <w:sz w:val="24"/>
        </w:rPr>
      </w:pPr>
      <w:r>
        <w:rPr>
          <w:rFonts w:hint="eastAsia" w:asciiTheme="minorEastAsia" w:hAnsiTheme="minorEastAsia"/>
          <w:bCs/>
          <w:sz w:val="24"/>
        </w:rPr>
        <w:t>采光顶的朝向和倾角，以有利于全年建筑节能设计为宜。采光顶用玻璃应采用夹层中空玻璃。处在严寒、寒冷地区及高温高湿环境的建筑采光顶应设置冷凝水收集和排放系统。</w:t>
      </w:r>
    </w:p>
    <w:p>
      <w:pPr>
        <w:spacing w:line="360" w:lineRule="auto"/>
        <w:rPr>
          <w:rFonts w:asciiTheme="minorEastAsia" w:hAnsiTheme="minorEastAsia"/>
          <w:bCs/>
          <w:sz w:val="24"/>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rPr>
        <w:t>3.</w:t>
      </w:r>
      <w:r>
        <w:rPr>
          <w:rFonts w:asciiTheme="minorEastAsia" w:hAnsiTheme="minorEastAsia" w:eastAsiaTheme="minorEastAsia"/>
          <w:b/>
          <w:sz w:val="24"/>
        </w:rPr>
        <w:t>3</w:t>
      </w:r>
      <w:r>
        <w:rPr>
          <w:rFonts w:hint="eastAsia" w:asciiTheme="minorEastAsia" w:hAnsiTheme="minorEastAsia" w:eastAsiaTheme="minorEastAsia"/>
          <w:b/>
          <w:sz w:val="24"/>
        </w:rPr>
        <w:t xml:space="preserve">.5 </w:t>
      </w:r>
      <w:r>
        <w:rPr>
          <w:rFonts w:hint="eastAsia" w:asciiTheme="minorEastAsia" w:hAnsiTheme="minorEastAsia" w:eastAsiaTheme="minorEastAsia"/>
          <w:bCs/>
          <w:sz w:val="24"/>
        </w:rPr>
        <w:t>透光幕墙和采光顶的遮阳设计</w:t>
      </w:r>
      <w:r>
        <w:rPr>
          <w:rFonts w:hint="eastAsia" w:asciiTheme="minorEastAsia" w:hAnsiTheme="minorEastAsia"/>
          <w:bCs/>
          <w:sz w:val="24"/>
        </w:rPr>
        <w:t>应符合下列规定：</w:t>
      </w:r>
    </w:p>
    <w:p>
      <w:pPr>
        <w:pStyle w:val="52"/>
        <w:numPr>
          <w:ilvl w:val="0"/>
          <w:numId w:val="7"/>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玻璃幕墙应优先采用遮阳型玻璃，通过玻璃面板自身参数配置设计满足遮阳要求。</w:t>
      </w:r>
    </w:p>
    <w:p>
      <w:pPr>
        <w:pStyle w:val="52"/>
        <w:numPr>
          <w:ilvl w:val="0"/>
          <w:numId w:val="7"/>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当设置外遮阳时，外遮阳装置应与幕墙和采光顶一体化设计，连接部位不应破坏幕墙和采光顶系统的传热，并满足强度、刚度及稳定性要求。</w:t>
      </w:r>
    </w:p>
    <w:p>
      <w:pPr>
        <w:pStyle w:val="52"/>
        <w:numPr>
          <w:ilvl w:val="0"/>
          <w:numId w:val="7"/>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当设置内遮阳时，内遮阳装置应与幕墙和采光顶一体化设计，并宜采用隐藏式设计。</w:t>
      </w:r>
    </w:p>
    <w:p>
      <w:pPr>
        <w:pStyle w:val="52"/>
        <w:numPr>
          <w:ilvl w:val="0"/>
          <w:numId w:val="7"/>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双层玻璃幕墙宜在内、外层幕墙之间设置可调节的活动遮阳装置。</w:t>
      </w:r>
    </w:p>
    <w:p>
      <w:pPr>
        <w:spacing w:line="360" w:lineRule="auto"/>
        <w:rPr>
          <w:rFonts w:asciiTheme="minorEastAsia" w:hAnsiTheme="minorEastAsia" w:eastAsiaTheme="minorEastAsia"/>
          <w:bCs/>
          <w:sz w:val="24"/>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rPr>
        <w:t>3.</w:t>
      </w:r>
      <w:r>
        <w:rPr>
          <w:rFonts w:asciiTheme="minorEastAsia" w:hAnsiTheme="minorEastAsia" w:eastAsiaTheme="minorEastAsia"/>
          <w:b/>
          <w:sz w:val="24"/>
        </w:rPr>
        <w:t>3</w:t>
      </w:r>
      <w:r>
        <w:rPr>
          <w:rFonts w:hint="eastAsia" w:asciiTheme="minorEastAsia" w:hAnsiTheme="minorEastAsia" w:eastAsiaTheme="minorEastAsia"/>
          <w:b/>
          <w:sz w:val="24"/>
        </w:rPr>
        <w:t>.</w:t>
      </w:r>
      <w:r>
        <w:rPr>
          <w:rFonts w:asciiTheme="minorEastAsia" w:hAnsiTheme="minorEastAsia" w:eastAsiaTheme="minorEastAsia"/>
          <w:b/>
          <w:sz w:val="24"/>
        </w:rPr>
        <w:t>6</w:t>
      </w:r>
      <w:r>
        <w:rPr>
          <w:rFonts w:hint="eastAsia" w:asciiTheme="minorEastAsia" w:hAnsiTheme="minorEastAsia" w:eastAsiaTheme="minorEastAsia"/>
          <w:bCs/>
          <w:sz w:val="24"/>
        </w:rPr>
        <w:t xml:space="preserve"> 建筑幕墙、采光顶及金属屋面的通风换气部位设计时应</w:t>
      </w:r>
      <w:r>
        <w:rPr>
          <w:rFonts w:hint="eastAsia" w:asciiTheme="minorEastAsia" w:hAnsiTheme="minorEastAsia" w:eastAsiaTheme="minorEastAsia"/>
          <w:bCs/>
          <w:sz w:val="24"/>
          <w:lang w:val="en-US" w:eastAsia="zh-CN"/>
        </w:rPr>
        <w:t>符合下列</w:t>
      </w:r>
      <w:r>
        <w:rPr>
          <w:rFonts w:hint="eastAsia" w:asciiTheme="minorEastAsia" w:hAnsiTheme="minorEastAsia" w:eastAsiaTheme="minorEastAsia"/>
          <w:bCs/>
          <w:sz w:val="24"/>
        </w:rPr>
        <w:t>规定：</w:t>
      </w:r>
    </w:p>
    <w:p>
      <w:pPr>
        <w:pStyle w:val="52"/>
        <w:numPr>
          <w:ilvl w:val="0"/>
          <w:numId w:val="8"/>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建筑幕墙通风管道口部位百叶有效开口面积应保证满足通风要求，通风口周围应密封处理；</w:t>
      </w:r>
    </w:p>
    <w:p>
      <w:pPr>
        <w:pStyle w:val="52"/>
        <w:numPr>
          <w:ilvl w:val="0"/>
          <w:numId w:val="8"/>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斜幕墙不宜设开启窗，确需设置时，内倾斜幕墙开启部位下边框室内侧应有导排水构造措施，外倾斜幕墙开启部位应有安全限位和防坠落构造措施；</w:t>
      </w:r>
    </w:p>
    <w:p>
      <w:pPr>
        <w:pStyle w:val="52"/>
        <w:numPr>
          <w:ilvl w:val="0"/>
          <w:numId w:val="8"/>
        </w:numPr>
        <w:spacing w:line="360" w:lineRule="auto"/>
        <w:ind w:left="0" w:leftChars="0" w:firstLine="420" w:firstLineChars="0"/>
        <w:rPr>
          <w:rFonts w:asciiTheme="minorEastAsia" w:hAnsiTheme="minorEastAsia"/>
          <w:bCs/>
          <w:sz w:val="24"/>
        </w:rPr>
      </w:pPr>
      <w:r>
        <w:rPr>
          <w:rFonts w:asciiTheme="minorEastAsia" w:hAnsiTheme="minorEastAsia"/>
          <w:bCs/>
          <w:sz w:val="24"/>
        </w:rPr>
        <w:t>双层玻璃幕墙间层内空气应有序流动，宜采用空气外循环形式</w:t>
      </w:r>
      <w:r>
        <w:rPr>
          <w:rFonts w:hint="eastAsia" w:asciiTheme="minorEastAsia" w:hAnsiTheme="minorEastAsia"/>
          <w:bCs/>
          <w:sz w:val="24"/>
        </w:rPr>
        <w:t>；</w:t>
      </w:r>
    </w:p>
    <w:p>
      <w:pPr>
        <w:pStyle w:val="52"/>
        <w:numPr>
          <w:ilvl w:val="0"/>
          <w:numId w:val="8"/>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采光顶及金属屋面通风散热开启部位部位宜采用自动开启方式。</w:t>
      </w:r>
    </w:p>
    <w:p>
      <w:pPr>
        <w:autoSpaceDE w:val="0"/>
        <w:autoSpaceDN w:val="0"/>
        <w:adjustRightInd w:val="0"/>
        <w:spacing w:line="360" w:lineRule="auto"/>
        <w:rPr>
          <w:rFonts w:asciiTheme="minorEastAsia" w:hAnsiTheme="minorEastAsia" w:eastAsiaTheme="minorEastAsia"/>
          <w:bCs/>
          <w:sz w:val="24"/>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rPr>
        <w:t>3</w:t>
      </w:r>
      <w:r>
        <w:rPr>
          <w:rFonts w:asciiTheme="minorEastAsia" w:hAnsiTheme="minorEastAsia" w:eastAsiaTheme="minorEastAsia"/>
          <w:b/>
          <w:sz w:val="24"/>
        </w:rPr>
        <w:t>.3.7</w:t>
      </w:r>
      <w:r>
        <w:rPr>
          <w:rFonts w:hint="eastAsia" w:asciiTheme="minorEastAsia" w:hAnsiTheme="minorEastAsia" w:eastAsiaTheme="minorEastAsia"/>
          <w:bCs/>
          <w:sz w:val="24"/>
        </w:rPr>
        <w:t>建筑幕墙、采光顶及金属屋面的节能计算应符合以下规定：</w:t>
      </w:r>
    </w:p>
    <w:p>
      <w:pPr>
        <w:pStyle w:val="52"/>
        <w:numPr>
          <w:ilvl w:val="0"/>
          <w:numId w:val="9"/>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节能计算应包括传热系数、遮阳系数、太阳光总透射比、可见光透射比、抗结露性能等指标。</w:t>
      </w:r>
      <w:r>
        <w:rPr>
          <w:rFonts w:asciiTheme="minorEastAsia" w:hAnsiTheme="minorEastAsia"/>
          <w:bCs/>
          <w:sz w:val="24"/>
        </w:rPr>
        <w:t xml:space="preserve"> </w:t>
      </w:r>
    </w:p>
    <w:p>
      <w:pPr>
        <w:pStyle w:val="52"/>
        <w:numPr>
          <w:ilvl w:val="0"/>
          <w:numId w:val="9"/>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节能计算应按</w:t>
      </w:r>
      <w:r>
        <w:rPr>
          <w:rFonts w:hint="eastAsia" w:asciiTheme="minorEastAsia" w:hAnsiTheme="minorEastAsia"/>
          <w:bCs/>
          <w:sz w:val="24"/>
          <w:lang w:val="en-US" w:eastAsia="zh-CN"/>
        </w:rPr>
        <w:t>现行强制性工程建设规范</w:t>
      </w:r>
      <w:r>
        <w:rPr>
          <w:rFonts w:hint="eastAsia" w:asciiTheme="minorEastAsia" w:hAnsiTheme="minorEastAsia"/>
          <w:bCs/>
          <w:sz w:val="24"/>
        </w:rPr>
        <w:t>《建筑节能与可再生能源利用通用规范》GB55015附录</w:t>
      </w:r>
      <w:r>
        <w:rPr>
          <w:rFonts w:asciiTheme="minorEastAsia" w:hAnsiTheme="minorEastAsia"/>
          <w:bCs/>
          <w:sz w:val="24"/>
        </w:rPr>
        <w:t>B</w:t>
      </w:r>
      <w:r>
        <w:rPr>
          <w:rFonts w:hint="eastAsia" w:asciiTheme="minorEastAsia" w:hAnsiTheme="minorEastAsia"/>
          <w:bCs/>
          <w:sz w:val="24"/>
        </w:rPr>
        <w:t>、</w:t>
      </w:r>
      <w:r>
        <w:rPr>
          <w:rFonts w:hint="eastAsia" w:asciiTheme="minorEastAsia" w:hAnsiTheme="minorEastAsia"/>
          <w:bCs/>
          <w:sz w:val="24"/>
          <w:lang w:val="en-US" w:eastAsia="zh-CN"/>
        </w:rPr>
        <w:t>现行国家标准</w:t>
      </w:r>
      <w:r>
        <w:rPr>
          <w:rFonts w:hint="eastAsia" w:asciiTheme="minorEastAsia" w:hAnsiTheme="minorEastAsia"/>
          <w:bCs/>
          <w:sz w:val="24"/>
        </w:rPr>
        <w:t>《民用建筑设计规范》G</w:t>
      </w:r>
      <w:r>
        <w:rPr>
          <w:rFonts w:asciiTheme="minorEastAsia" w:hAnsiTheme="minorEastAsia"/>
          <w:bCs/>
          <w:sz w:val="24"/>
        </w:rPr>
        <w:t>B50176</w:t>
      </w:r>
      <w:r>
        <w:rPr>
          <w:rFonts w:hint="eastAsia" w:asciiTheme="minorEastAsia" w:hAnsiTheme="minorEastAsia"/>
          <w:bCs/>
          <w:sz w:val="24"/>
        </w:rPr>
        <w:t>附录</w:t>
      </w:r>
      <w:r>
        <w:rPr>
          <w:rFonts w:asciiTheme="minorEastAsia" w:hAnsiTheme="minorEastAsia"/>
          <w:bCs/>
          <w:sz w:val="24"/>
        </w:rPr>
        <w:t>C</w:t>
      </w:r>
      <w:r>
        <w:rPr>
          <w:rFonts w:hint="eastAsia" w:asciiTheme="minorEastAsia" w:hAnsiTheme="minorEastAsia"/>
          <w:bCs/>
          <w:sz w:val="24"/>
        </w:rPr>
        <w:t>和</w:t>
      </w:r>
      <w:r>
        <w:rPr>
          <w:rFonts w:hint="eastAsia" w:asciiTheme="minorEastAsia" w:hAnsiTheme="minorEastAsia"/>
          <w:bCs/>
          <w:sz w:val="24"/>
          <w:lang w:val="en-US" w:eastAsia="zh-CN"/>
        </w:rPr>
        <w:t>行业标准</w:t>
      </w:r>
      <w:r>
        <w:rPr>
          <w:rFonts w:hint="eastAsia" w:asciiTheme="minorEastAsia" w:hAnsiTheme="minorEastAsia"/>
          <w:bCs/>
          <w:sz w:val="24"/>
        </w:rPr>
        <w:t>《建筑门窗玻璃幕墙热工计算规程》J</w:t>
      </w:r>
      <w:r>
        <w:rPr>
          <w:rFonts w:asciiTheme="minorEastAsia" w:hAnsiTheme="minorEastAsia"/>
          <w:bCs/>
          <w:sz w:val="24"/>
        </w:rPr>
        <w:t>GJ151-2008</w:t>
      </w:r>
      <w:r>
        <w:rPr>
          <w:rFonts w:hint="eastAsia" w:asciiTheme="minorEastAsia" w:hAnsiTheme="minorEastAsia"/>
          <w:bCs/>
          <w:sz w:val="24"/>
        </w:rPr>
        <w:t>规定，分别计算典型透光幕墙单元和非透光幕墙单元；</w:t>
      </w:r>
    </w:p>
    <w:p>
      <w:pPr>
        <w:pStyle w:val="52"/>
        <w:numPr>
          <w:ilvl w:val="0"/>
          <w:numId w:val="9"/>
        </w:numPr>
        <w:spacing w:line="360" w:lineRule="auto"/>
        <w:ind w:left="0" w:leftChars="0" w:firstLine="420" w:firstLineChars="0"/>
        <w:rPr>
          <w:rFonts w:asciiTheme="minorEastAsia" w:hAnsiTheme="minorEastAsia"/>
          <w:bCs/>
          <w:sz w:val="24"/>
        </w:rPr>
      </w:pPr>
      <w:r>
        <w:rPr>
          <w:rFonts w:hint="eastAsia" w:cs="宋体" w:asciiTheme="minorEastAsia" w:hAnsiTheme="minorEastAsia"/>
          <w:spacing w:val="1"/>
          <w:sz w:val="24"/>
        </w:rPr>
        <w:t>非透光通风开启部位按照外墙面积计入窗墙面积比时，保温性能应满足外墙保温性能限值；非透光通风开启部位按照透光面积计入窗墙面积比时，保温性能应满足外窗保温性能限值。</w:t>
      </w:r>
    </w:p>
    <w:p>
      <w:pPr>
        <w:pStyle w:val="52"/>
        <w:numPr>
          <w:ilvl w:val="0"/>
          <w:numId w:val="9"/>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玻璃幕墙热工计算应在玻璃幕墙空气渗透量为零，且采用稳态传热计算方法进行。计算玻璃幕墙定型产品的热工参数时，门窗框或幕墙框与墙的连接界面作为绝热边界条件处理。幕墙框的传热系数、框与面板接缝的线传热系数及抗结露宜采用二维稳态热传导理论计算。</w:t>
      </w:r>
    </w:p>
    <w:p>
      <w:pPr>
        <w:pStyle w:val="52"/>
        <w:numPr>
          <w:ilvl w:val="0"/>
          <w:numId w:val="9"/>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双层幕墙的传热系数应根据空气间层的通风情况按非通风状态、微通风状态或强通风状态进行计算。</w:t>
      </w:r>
    </w:p>
    <w:p>
      <w:pPr>
        <w:pStyle w:val="52"/>
        <w:numPr>
          <w:ilvl w:val="0"/>
          <w:numId w:val="9"/>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开放式幕墙或幕墙装饰层与保温层间隔大于</w:t>
      </w:r>
      <w:r>
        <w:rPr>
          <w:rFonts w:asciiTheme="minorEastAsia" w:hAnsiTheme="minorEastAsia"/>
          <w:bCs/>
          <w:sz w:val="24"/>
        </w:rPr>
        <w:t>100mm时，其间隔层和装饰面板不应计入热</w:t>
      </w:r>
      <w:r>
        <w:rPr>
          <w:rFonts w:hint="eastAsia" w:asciiTheme="minorEastAsia" w:hAnsiTheme="minorEastAsia"/>
          <w:bCs/>
          <w:sz w:val="24"/>
        </w:rPr>
        <w:t>工计算的热阻。</w:t>
      </w:r>
    </w:p>
    <w:p>
      <w:pPr>
        <w:spacing w:line="360" w:lineRule="auto"/>
        <w:rPr>
          <w:rFonts w:ascii="楷体" w:hAnsi="楷体" w:eastAsia="楷体"/>
          <w:b/>
          <w:bCs/>
        </w:rPr>
      </w:pPr>
    </w:p>
    <w:p>
      <w:pPr>
        <w:spacing w:line="360" w:lineRule="auto"/>
        <w:rPr>
          <w:rFonts w:asciiTheme="minorEastAsia" w:hAnsiTheme="minorEastAsia"/>
          <w:bCs/>
          <w:sz w:val="24"/>
        </w:rPr>
      </w:pPr>
      <w:r>
        <w:rPr>
          <w:rFonts w:hint="eastAsia" w:asciiTheme="minorEastAsia" w:hAnsiTheme="minorEastAsia" w:eastAsiaTheme="minorEastAsia"/>
          <w:b/>
          <w:sz w:val="24"/>
        </w:rPr>
        <w:t>3</w:t>
      </w:r>
      <w:r>
        <w:rPr>
          <w:rFonts w:asciiTheme="minorEastAsia" w:hAnsiTheme="minorEastAsia" w:eastAsiaTheme="minorEastAsia"/>
          <w:b/>
          <w:sz w:val="24"/>
        </w:rPr>
        <w:t>.3.8</w:t>
      </w:r>
      <w:r>
        <w:rPr>
          <w:rFonts w:hint="eastAsia" w:asciiTheme="minorEastAsia" w:hAnsiTheme="minorEastAsia"/>
          <w:bCs/>
          <w:sz w:val="24"/>
        </w:rPr>
        <w:t>建筑幕墙、采光顶和金属屋面</w:t>
      </w:r>
      <w:r>
        <w:rPr>
          <w:rFonts w:hint="eastAsia" w:asciiTheme="minorEastAsia" w:hAnsiTheme="minorEastAsia" w:eastAsiaTheme="minorEastAsia"/>
          <w:bCs/>
          <w:sz w:val="24"/>
        </w:rPr>
        <w:t>节能设计时，应结合项目总体要求，对</w:t>
      </w:r>
      <w:r>
        <w:rPr>
          <w:rFonts w:hint="eastAsia" w:asciiTheme="minorEastAsia" w:hAnsiTheme="minorEastAsia"/>
          <w:bCs/>
          <w:sz w:val="24"/>
        </w:rPr>
        <w:t>气密性能、热工性能提出检测验证要求</w:t>
      </w:r>
      <w:r>
        <w:rPr>
          <w:rFonts w:hint="eastAsia" w:asciiTheme="minorEastAsia" w:hAnsiTheme="minorEastAsia"/>
          <w:bCs/>
          <w:sz w:val="24"/>
          <w:lang w:eastAsia="zh-CN"/>
        </w:rPr>
        <w:t>，</w:t>
      </w:r>
      <w:r>
        <w:rPr>
          <w:rFonts w:hint="eastAsia" w:asciiTheme="minorEastAsia" w:hAnsiTheme="minorEastAsia"/>
          <w:bCs/>
          <w:sz w:val="24"/>
          <w:lang w:val="en-US" w:eastAsia="zh-CN"/>
        </w:rPr>
        <w:t>并</w:t>
      </w:r>
      <w:r>
        <w:rPr>
          <w:rFonts w:hint="eastAsia" w:asciiTheme="minorEastAsia" w:hAnsiTheme="minorEastAsia" w:eastAsiaTheme="minorEastAsia"/>
          <w:bCs/>
          <w:sz w:val="24"/>
        </w:rPr>
        <w:t>应符合</w:t>
      </w:r>
      <w:r>
        <w:rPr>
          <w:rFonts w:hint="eastAsia" w:asciiTheme="minorEastAsia" w:hAnsiTheme="minorEastAsia" w:eastAsiaTheme="minorEastAsia"/>
          <w:bCs/>
          <w:sz w:val="24"/>
          <w:lang w:val="en-US" w:eastAsia="zh-CN"/>
        </w:rPr>
        <w:t>下列</w:t>
      </w:r>
      <w:r>
        <w:rPr>
          <w:rFonts w:hint="eastAsia" w:asciiTheme="minorEastAsia" w:hAnsiTheme="minorEastAsia" w:eastAsiaTheme="minorEastAsia"/>
          <w:bCs/>
          <w:sz w:val="24"/>
        </w:rPr>
        <w:t>规定：</w:t>
      </w:r>
    </w:p>
    <w:p>
      <w:pPr>
        <w:pStyle w:val="52"/>
        <w:numPr>
          <w:ilvl w:val="0"/>
          <w:numId w:val="10"/>
        </w:numPr>
        <w:spacing w:line="360" w:lineRule="auto"/>
        <w:ind w:left="0" w:leftChars="0" w:firstLine="420" w:firstLineChars="0"/>
        <w:rPr>
          <w:rFonts w:cs="Times New Roman" w:asciiTheme="minorEastAsia" w:hAnsiTheme="minorEastAsia"/>
          <w:bCs/>
          <w:sz w:val="24"/>
          <w:szCs w:val="24"/>
        </w:rPr>
      </w:pPr>
      <w:r>
        <w:rPr>
          <w:rFonts w:hint="eastAsia" w:cs="Times New Roman" w:asciiTheme="minorEastAsia" w:hAnsiTheme="minorEastAsia"/>
          <w:bCs/>
          <w:sz w:val="24"/>
          <w:szCs w:val="24"/>
        </w:rPr>
        <w:t>应对气密性、传热系数、结露性能进行检测。</w:t>
      </w:r>
    </w:p>
    <w:p>
      <w:pPr>
        <w:pStyle w:val="52"/>
        <w:numPr>
          <w:ilvl w:val="0"/>
          <w:numId w:val="10"/>
        </w:numPr>
        <w:spacing w:line="360" w:lineRule="auto"/>
        <w:ind w:left="0" w:leftChars="0" w:firstLine="420" w:firstLineChars="0"/>
        <w:rPr>
          <w:rFonts w:cs="Times New Roman" w:asciiTheme="minorEastAsia" w:hAnsiTheme="minorEastAsia"/>
          <w:bCs/>
          <w:sz w:val="24"/>
          <w:szCs w:val="24"/>
        </w:rPr>
      </w:pPr>
      <w:r>
        <w:rPr>
          <w:rFonts w:hint="eastAsia" w:cs="Times New Roman" w:asciiTheme="minorEastAsia" w:hAnsiTheme="minorEastAsia"/>
          <w:bCs/>
          <w:sz w:val="24"/>
          <w:szCs w:val="24"/>
        </w:rPr>
        <w:t>可开启部位完成安装后，宜选取代表性区域按静压箱法现场检测气密性能。</w:t>
      </w:r>
    </w:p>
    <w:p>
      <w:pPr>
        <w:pStyle w:val="52"/>
        <w:numPr>
          <w:ilvl w:val="0"/>
          <w:numId w:val="10"/>
        </w:numPr>
        <w:spacing w:line="360" w:lineRule="auto"/>
        <w:ind w:left="0" w:leftChars="0" w:firstLine="420" w:firstLineChars="0"/>
        <w:rPr>
          <w:rFonts w:cs="Times New Roman" w:asciiTheme="minorEastAsia" w:hAnsiTheme="minorEastAsia"/>
          <w:bCs/>
          <w:sz w:val="24"/>
          <w:szCs w:val="24"/>
        </w:rPr>
      </w:pPr>
      <w:r>
        <w:rPr>
          <w:rFonts w:hint="eastAsia" w:cs="Times New Roman" w:asciiTheme="minorEastAsia" w:hAnsiTheme="minorEastAsia"/>
          <w:bCs/>
          <w:sz w:val="24"/>
          <w:szCs w:val="24"/>
        </w:rPr>
        <w:t>大型公建项目幕墙应进行气密性、传热系数的现场检测，宜进行热循环试验，并做节能性能专项评估。</w:t>
      </w:r>
    </w:p>
    <w:p>
      <w:pPr>
        <w:spacing w:line="360" w:lineRule="auto"/>
        <w:rPr>
          <w:rFonts w:asciiTheme="minorEastAsia" w:hAnsiTheme="minorEastAsia" w:eastAsiaTheme="minorEastAsia"/>
          <w:bCs/>
          <w:sz w:val="24"/>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rPr>
        <w:t>3.</w:t>
      </w:r>
      <w:r>
        <w:rPr>
          <w:rFonts w:asciiTheme="minorEastAsia" w:hAnsiTheme="minorEastAsia" w:eastAsiaTheme="minorEastAsia"/>
          <w:b/>
          <w:sz w:val="24"/>
        </w:rPr>
        <w:t>3</w:t>
      </w:r>
      <w:r>
        <w:rPr>
          <w:rFonts w:hint="eastAsia" w:asciiTheme="minorEastAsia" w:hAnsiTheme="minorEastAsia" w:eastAsiaTheme="minorEastAsia"/>
          <w:b/>
          <w:sz w:val="24"/>
        </w:rPr>
        <w:t>.</w:t>
      </w:r>
      <w:r>
        <w:rPr>
          <w:rFonts w:asciiTheme="minorEastAsia" w:hAnsiTheme="minorEastAsia" w:eastAsiaTheme="minorEastAsia"/>
          <w:b/>
          <w:sz w:val="24"/>
        </w:rPr>
        <w:t xml:space="preserve">9 </w:t>
      </w:r>
      <w:r>
        <w:rPr>
          <w:rFonts w:hint="eastAsia" w:asciiTheme="minorEastAsia" w:hAnsiTheme="minorEastAsia" w:eastAsiaTheme="minorEastAsia"/>
          <w:bCs/>
          <w:sz w:val="24"/>
        </w:rPr>
        <w:t>建筑幕墙、采光顶及金属屋面利用太阳能资源，采用光伏与建筑一体化系统时，应</w:t>
      </w:r>
      <w:r>
        <w:rPr>
          <w:rFonts w:hint="eastAsia" w:asciiTheme="minorEastAsia" w:hAnsiTheme="minorEastAsia" w:eastAsiaTheme="minorEastAsia"/>
          <w:bCs/>
          <w:sz w:val="24"/>
          <w:lang w:val="en-US" w:eastAsia="zh-CN"/>
        </w:rPr>
        <w:t>符合下列</w:t>
      </w:r>
      <w:r>
        <w:rPr>
          <w:rFonts w:hint="eastAsia" w:asciiTheme="minorEastAsia" w:hAnsiTheme="minorEastAsia" w:eastAsiaTheme="minorEastAsia"/>
          <w:bCs/>
          <w:sz w:val="24"/>
        </w:rPr>
        <w:t>规定：</w:t>
      </w:r>
    </w:p>
    <w:p>
      <w:pPr>
        <w:pStyle w:val="52"/>
        <w:numPr>
          <w:ilvl w:val="0"/>
          <w:numId w:val="11"/>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力学性能和物理性能应满足《建筑幕墙》G</w:t>
      </w:r>
      <w:r>
        <w:rPr>
          <w:rFonts w:asciiTheme="minorEastAsia" w:hAnsiTheme="minorEastAsia"/>
          <w:bCs/>
          <w:sz w:val="24"/>
        </w:rPr>
        <w:t>B/T21086</w:t>
      </w:r>
      <w:r>
        <w:rPr>
          <w:rFonts w:hint="eastAsia" w:asciiTheme="minorEastAsia" w:hAnsiTheme="minorEastAsia"/>
          <w:bCs/>
          <w:sz w:val="24"/>
        </w:rPr>
        <w:t>、《建筑玻璃采光顶技术要求》JG/T 231-2018、《采光顶与金属屋面技术规程》</w:t>
      </w:r>
      <w:r>
        <w:rPr>
          <w:rFonts w:asciiTheme="minorEastAsia" w:hAnsiTheme="minorEastAsia"/>
          <w:bCs/>
          <w:sz w:val="24"/>
        </w:rPr>
        <w:t>JGJ255</w:t>
      </w:r>
      <w:r>
        <w:rPr>
          <w:rFonts w:hint="eastAsia" w:asciiTheme="minorEastAsia" w:hAnsiTheme="minorEastAsia"/>
          <w:bCs/>
          <w:sz w:val="24"/>
        </w:rPr>
        <w:t>的相关要求。</w:t>
      </w:r>
    </w:p>
    <w:p>
      <w:pPr>
        <w:pStyle w:val="52"/>
        <w:numPr>
          <w:ilvl w:val="0"/>
          <w:numId w:val="11"/>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透明光伏组件面板夹层玻璃的夹片不应采用（</w:t>
      </w:r>
      <w:r>
        <w:rPr>
          <w:rFonts w:asciiTheme="minorEastAsia" w:hAnsiTheme="minorEastAsia"/>
          <w:bCs/>
          <w:sz w:val="24"/>
        </w:rPr>
        <w:t>乙烯-醋酸乙烯共聚物</w:t>
      </w:r>
      <w:r>
        <w:rPr>
          <w:rFonts w:hint="eastAsia" w:asciiTheme="minorEastAsia" w:hAnsiTheme="minorEastAsia"/>
          <w:bCs/>
          <w:sz w:val="24"/>
        </w:rPr>
        <w:t>）E</w:t>
      </w:r>
      <w:r>
        <w:rPr>
          <w:rFonts w:asciiTheme="minorEastAsia" w:hAnsiTheme="minorEastAsia"/>
          <w:bCs/>
          <w:sz w:val="24"/>
        </w:rPr>
        <w:t>VA</w:t>
      </w:r>
      <w:r>
        <w:rPr>
          <w:rFonts w:hint="eastAsia" w:asciiTheme="minorEastAsia" w:hAnsiTheme="minorEastAsia"/>
          <w:bCs/>
          <w:sz w:val="24"/>
        </w:rPr>
        <w:t>胶片。</w:t>
      </w:r>
    </w:p>
    <w:p>
      <w:pPr>
        <w:pStyle w:val="52"/>
        <w:numPr>
          <w:ilvl w:val="0"/>
          <w:numId w:val="11"/>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光伏幕墙不应采用全隐框构造设计。设计有外装饰线条时，其外形尺寸在有效日照时间内不应遮挡电池片。</w:t>
      </w:r>
    </w:p>
    <w:p>
      <w:pPr>
        <w:pStyle w:val="52"/>
        <w:numPr>
          <w:ilvl w:val="0"/>
          <w:numId w:val="11"/>
        </w:numPr>
        <w:spacing w:line="360" w:lineRule="auto"/>
        <w:ind w:left="0" w:leftChars="0" w:firstLine="420" w:firstLineChars="0"/>
        <w:rPr>
          <w:rFonts w:asciiTheme="minorEastAsia" w:hAnsiTheme="minorEastAsia"/>
          <w:bCs/>
          <w:sz w:val="24"/>
        </w:rPr>
      </w:pPr>
      <w:r>
        <w:rPr>
          <w:rFonts w:hint="eastAsia" w:asciiTheme="minorEastAsia" w:hAnsiTheme="minorEastAsia"/>
          <w:bCs/>
          <w:sz w:val="24"/>
        </w:rPr>
        <w:t>立柱横梁设计时应留有供电气系统管线布置和可方便拆卸的空腔，且强度、刚度和性能应满足幕墙设计要求。透光区域的光伏玻璃组件的接线盒宜隐藏设计。</w:t>
      </w:r>
    </w:p>
    <w:bookmarkEnd w:id="38"/>
    <w:bookmarkEnd w:id="39"/>
    <w:p>
      <w:pPr>
        <w:pStyle w:val="2"/>
        <w:spacing w:line="276" w:lineRule="auto"/>
        <w:jc w:val="center"/>
        <w:rPr>
          <w:kern w:val="0"/>
        </w:rPr>
      </w:pPr>
      <w:bookmarkStart w:id="41" w:name="_Toc377052134"/>
      <w:bookmarkStart w:id="42" w:name="_Toc376970879"/>
      <w:bookmarkStart w:id="43" w:name="_Toc146734716"/>
      <w:r>
        <w:rPr>
          <w:rFonts w:hint="eastAsia"/>
          <w:kern w:val="0"/>
        </w:rPr>
        <w:t>4供暖通风与空气调节</w:t>
      </w:r>
      <w:bookmarkEnd w:id="41"/>
      <w:bookmarkEnd w:id="42"/>
      <w:bookmarkEnd w:id="43"/>
    </w:p>
    <w:p>
      <w:pPr>
        <w:pStyle w:val="3"/>
        <w:spacing w:line="276" w:lineRule="auto"/>
        <w:jc w:val="center"/>
        <w:rPr>
          <w:rFonts w:ascii="Times New Roman" w:hAnsi="Times New Roman" w:eastAsia="宋体"/>
        </w:rPr>
      </w:pPr>
      <w:bookmarkStart w:id="44" w:name="_Toc146734717"/>
      <w:bookmarkStart w:id="45" w:name="_Toc377052135"/>
      <w:bookmarkStart w:id="46" w:name="_Toc376970880"/>
      <w:r>
        <w:rPr>
          <w:rFonts w:hint="eastAsia" w:ascii="Times New Roman" w:hAnsi="Times New Roman" w:eastAsia="宋体"/>
        </w:rPr>
        <w:t>4</w:t>
      </w:r>
      <w:r>
        <w:rPr>
          <w:rFonts w:ascii="Times New Roman" w:hAnsi="Times New Roman" w:eastAsia="宋体"/>
        </w:rPr>
        <w:t>.1</w:t>
      </w:r>
      <w:r>
        <w:rPr>
          <w:rFonts w:hint="eastAsia" w:ascii="Times New Roman" w:hAnsi="Times New Roman" w:eastAsia="宋体"/>
        </w:rPr>
        <w:t>一般规定</w:t>
      </w:r>
      <w:bookmarkEnd w:id="21"/>
      <w:bookmarkEnd w:id="44"/>
      <w:bookmarkEnd w:id="45"/>
      <w:bookmarkEnd w:id="46"/>
    </w:p>
    <w:p>
      <w:pPr>
        <w:tabs>
          <w:tab w:val="left" w:pos="6888"/>
        </w:tabs>
        <w:spacing w:line="360" w:lineRule="auto"/>
        <w:rPr>
          <w:rFonts w:eastAsiaTheme="minorEastAsia"/>
        </w:rPr>
      </w:pPr>
      <w:r>
        <w:rPr>
          <w:rFonts w:cs="Arial"/>
          <w:b/>
          <w:kern w:val="0"/>
          <w:sz w:val="24"/>
        </w:rPr>
        <w:t xml:space="preserve">4.1.1 </w:t>
      </w:r>
      <w:r>
        <w:rPr>
          <w:rFonts w:hint="eastAsia"/>
          <w:sz w:val="24"/>
        </w:rPr>
        <w:t>甲类公共建筑的施工图设计要求、设备选型和冷源总装机容量要求、用能设备能效要求、</w:t>
      </w:r>
      <w:r>
        <w:rPr>
          <w:rFonts w:hint="eastAsia"/>
          <w:kern w:val="0"/>
          <w:sz w:val="24"/>
        </w:rPr>
        <w:t>系统的水力平衡要求、等均</w:t>
      </w:r>
      <w:r>
        <w:rPr>
          <w:rFonts w:hint="eastAsia"/>
          <w:sz w:val="24"/>
        </w:rPr>
        <w:t>应符合现行强制性工程建设规范《建筑节能与可再生能源利用通用规范》</w:t>
      </w:r>
      <w:r>
        <w:rPr>
          <w:sz w:val="24"/>
        </w:rPr>
        <w:t>GB55015</w:t>
      </w:r>
      <w:r>
        <w:rPr>
          <w:rFonts w:hint="eastAsia"/>
          <w:sz w:val="24"/>
        </w:rPr>
        <w:t>的规定。</w:t>
      </w:r>
    </w:p>
    <w:p>
      <w:pPr>
        <w:spacing w:line="360" w:lineRule="auto"/>
      </w:pPr>
    </w:p>
    <w:p>
      <w:pPr>
        <w:autoSpaceDE w:val="0"/>
        <w:autoSpaceDN w:val="0"/>
        <w:adjustRightInd w:val="0"/>
        <w:spacing w:before="93" w:beforeLines="30" w:line="360" w:lineRule="auto"/>
        <w:rPr>
          <w:kern w:val="0"/>
          <w:sz w:val="24"/>
        </w:rPr>
      </w:pPr>
      <w:r>
        <w:rPr>
          <w:rFonts w:cs="Arial"/>
          <w:b/>
          <w:kern w:val="0"/>
          <w:sz w:val="24"/>
        </w:rPr>
        <w:t>4.1.</w:t>
      </w:r>
      <w:r>
        <w:rPr>
          <w:rFonts w:hint="eastAsia" w:cs="Arial"/>
          <w:b/>
          <w:kern w:val="0"/>
          <w:sz w:val="24"/>
        </w:rPr>
        <w:t>2</w:t>
      </w:r>
      <w:r>
        <w:rPr>
          <w:rFonts w:cs="Arial"/>
          <w:b/>
          <w:kern w:val="0"/>
          <w:sz w:val="24"/>
        </w:rPr>
        <w:t xml:space="preserve"> </w:t>
      </w:r>
      <w:r>
        <w:rPr>
          <w:rFonts w:hint="eastAsia"/>
          <w:kern w:val="0"/>
          <w:sz w:val="24"/>
        </w:rPr>
        <w:t>严寒A区和严寒B区的公共建筑宜设热水集中供暖系统，对于设置空气调节系统的建筑，不宜采用热风末端作为唯一的供暖方式；对于严寒C区和寒冷地区的公共建筑，供暖方式应根据建筑等级、供暖期天数、能源消耗量和运行费用等因素，经技术经济综合分析比较后确定。</w:t>
      </w:r>
    </w:p>
    <w:p>
      <w:pPr>
        <w:autoSpaceDE w:val="0"/>
        <w:autoSpaceDN w:val="0"/>
        <w:adjustRightInd w:val="0"/>
        <w:spacing w:line="360" w:lineRule="auto"/>
      </w:pPr>
    </w:p>
    <w:p>
      <w:pPr>
        <w:autoSpaceDE w:val="0"/>
        <w:autoSpaceDN w:val="0"/>
        <w:adjustRightInd w:val="0"/>
        <w:spacing w:line="360" w:lineRule="auto"/>
        <w:rPr>
          <w:kern w:val="0"/>
          <w:sz w:val="24"/>
        </w:rPr>
      </w:pPr>
      <w:r>
        <w:rPr>
          <w:rFonts w:cs="Arial"/>
          <w:b/>
          <w:kern w:val="0"/>
          <w:sz w:val="24"/>
        </w:rPr>
        <w:t>4.1.</w:t>
      </w:r>
      <w:r>
        <w:rPr>
          <w:rFonts w:hint="eastAsia" w:cs="Arial"/>
          <w:b/>
          <w:kern w:val="0"/>
          <w:sz w:val="24"/>
        </w:rPr>
        <w:t>3</w:t>
      </w:r>
      <w:r>
        <w:rPr>
          <w:rFonts w:cs="Arial"/>
          <w:b/>
          <w:kern w:val="0"/>
          <w:sz w:val="24"/>
        </w:rPr>
        <w:t xml:space="preserve"> </w:t>
      </w:r>
      <w:r>
        <w:rPr>
          <w:rFonts w:hint="eastAsia"/>
          <w:kern w:val="0"/>
          <w:sz w:val="24"/>
        </w:rPr>
        <w:t>系统冷热媒温度的选取应符合现行国家标准《民用建筑供暖通风与空气调节设计规范》GB50736的有关规定。在经济技术合理时，冷媒温度宜高于常用设计温度，热媒温度宜低于常用设计温度。在过渡季宜使用冷却水或其他天然冷源进行免费供冷。</w:t>
      </w:r>
    </w:p>
    <w:p>
      <w:pPr>
        <w:autoSpaceDE w:val="0"/>
        <w:autoSpaceDN w:val="0"/>
        <w:adjustRightInd w:val="0"/>
        <w:spacing w:line="360" w:lineRule="auto"/>
        <w:ind w:firstLine="420"/>
        <w:rPr>
          <w:kern w:val="0"/>
        </w:rPr>
      </w:pPr>
    </w:p>
    <w:p>
      <w:pPr>
        <w:autoSpaceDE w:val="0"/>
        <w:autoSpaceDN w:val="0"/>
        <w:adjustRightInd w:val="0"/>
        <w:spacing w:line="360" w:lineRule="auto"/>
        <w:rPr>
          <w:rFonts w:cs="宋体"/>
          <w:kern w:val="0"/>
          <w:sz w:val="24"/>
        </w:rPr>
      </w:pPr>
      <w:r>
        <w:rPr>
          <w:rFonts w:cs="Arial"/>
          <w:b/>
          <w:bCs/>
          <w:kern w:val="0"/>
          <w:sz w:val="24"/>
        </w:rPr>
        <w:t>4.</w:t>
      </w:r>
      <w:r>
        <w:rPr>
          <w:rFonts w:hint="eastAsia" w:cs="Arial"/>
          <w:b/>
          <w:bCs/>
          <w:kern w:val="0"/>
          <w:sz w:val="24"/>
        </w:rPr>
        <w:t>1</w:t>
      </w:r>
      <w:r>
        <w:rPr>
          <w:rFonts w:cs="Arial"/>
          <w:b/>
          <w:bCs/>
          <w:kern w:val="0"/>
          <w:sz w:val="24"/>
        </w:rPr>
        <w:t>.</w:t>
      </w:r>
      <w:r>
        <w:rPr>
          <w:rFonts w:hint="eastAsia" w:cs="Arial"/>
          <w:b/>
          <w:bCs/>
          <w:kern w:val="0"/>
          <w:sz w:val="24"/>
        </w:rPr>
        <w:t>4</w:t>
      </w:r>
      <w:r>
        <w:rPr>
          <w:rFonts w:hint="eastAsia" w:cs="宋体"/>
          <w:kern w:val="0"/>
          <w:sz w:val="24"/>
        </w:rPr>
        <w:t>当利用通风可以排除室内的余热、余湿或其它污染物时，宜采用自然通风、机械通风或复合通风的通风方式。并符合下列规定：</w:t>
      </w:r>
    </w:p>
    <w:p>
      <w:pPr>
        <w:autoSpaceDE w:val="0"/>
        <w:autoSpaceDN w:val="0"/>
        <w:adjustRightInd w:val="0"/>
        <w:spacing w:line="360" w:lineRule="auto"/>
        <w:ind w:left="210" w:leftChars="100"/>
        <w:rPr>
          <w:rFonts w:cs="宋体"/>
          <w:kern w:val="0"/>
          <w:sz w:val="24"/>
        </w:rPr>
      </w:pPr>
      <w:r>
        <w:rPr>
          <w:rFonts w:hint="eastAsia" w:cs="宋体"/>
          <w:kern w:val="0"/>
          <w:sz w:val="24"/>
        </w:rPr>
        <w:t>1</w:t>
      </w:r>
      <w:r>
        <w:rPr>
          <w:rFonts w:cs="宋体"/>
          <w:kern w:val="0"/>
          <w:sz w:val="24"/>
        </w:rPr>
        <w:t xml:space="preserve"> </w:t>
      </w:r>
      <w:r>
        <w:rPr>
          <w:rFonts w:hint="eastAsia" w:ascii="宋体" w:hAnsi="宋体"/>
          <w:sz w:val="24"/>
        </w:rPr>
        <w:t>复合通风中的机械通风应与自然通风协调，不应影响自然通风路径与效果。</w:t>
      </w:r>
    </w:p>
    <w:p>
      <w:pPr>
        <w:tabs>
          <w:tab w:val="left" w:pos="4620"/>
          <w:tab w:val="right" w:pos="8306"/>
        </w:tabs>
        <w:spacing w:line="360" w:lineRule="auto"/>
        <w:ind w:left="210" w:leftChars="100"/>
        <w:rPr>
          <w:sz w:val="24"/>
        </w:rPr>
      </w:pPr>
      <w:r>
        <w:rPr>
          <w:b/>
          <w:sz w:val="24"/>
        </w:rPr>
        <w:t xml:space="preserve">2 </w:t>
      </w:r>
      <w:r>
        <w:rPr>
          <w:rFonts w:hint="eastAsia"/>
          <w:sz w:val="24"/>
        </w:rPr>
        <w:t>建筑中庭采用自然通风降温时，可设置机械排风装置加强自然补风。</w:t>
      </w:r>
    </w:p>
    <w:p>
      <w:pPr>
        <w:tabs>
          <w:tab w:val="left" w:pos="4620"/>
          <w:tab w:val="right" w:pos="8306"/>
        </w:tabs>
        <w:spacing w:line="360" w:lineRule="auto"/>
        <w:rPr>
          <w:sz w:val="24"/>
        </w:rPr>
      </w:pPr>
    </w:p>
    <w:p>
      <w:pPr>
        <w:autoSpaceDE w:val="0"/>
        <w:autoSpaceDN w:val="0"/>
        <w:adjustRightInd w:val="0"/>
        <w:spacing w:line="360" w:lineRule="auto"/>
        <w:rPr>
          <w:kern w:val="0"/>
          <w:sz w:val="24"/>
        </w:rPr>
      </w:pPr>
      <w:r>
        <w:rPr>
          <w:rFonts w:cs="Arial"/>
          <w:b/>
          <w:kern w:val="0"/>
          <w:sz w:val="24"/>
        </w:rPr>
        <w:t>4.1.5</w:t>
      </w:r>
      <w:r>
        <w:rPr>
          <w:rFonts w:hint="eastAsia" w:cs="Arial"/>
          <w:b/>
          <w:kern w:val="0"/>
          <w:sz w:val="24"/>
          <w:lang w:val="en-US" w:eastAsia="zh-CN"/>
        </w:rPr>
        <w:t xml:space="preserve"> </w:t>
      </w:r>
      <w:r>
        <w:rPr>
          <w:rFonts w:hint="eastAsia"/>
          <w:kern w:val="0"/>
          <w:sz w:val="24"/>
        </w:rPr>
        <w:t>符合下列情况之一时，宜采用分散设置的空调装置或系统：</w:t>
      </w:r>
    </w:p>
    <w:p>
      <w:pPr>
        <w:autoSpaceDE w:val="0"/>
        <w:autoSpaceDN w:val="0"/>
        <w:adjustRightInd w:val="0"/>
        <w:spacing w:line="360" w:lineRule="auto"/>
        <w:rPr>
          <w:kern w:val="0"/>
          <w:sz w:val="24"/>
        </w:rPr>
      </w:pPr>
      <w:r>
        <w:rPr>
          <w:kern w:val="0"/>
          <w:sz w:val="24"/>
        </w:rPr>
        <w:t xml:space="preserve">    1  </w:t>
      </w:r>
      <w:r>
        <w:rPr>
          <w:rFonts w:hint="eastAsia"/>
          <w:kern w:val="0"/>
          <w:sz w:val="24"/>
        </w:rPr>
        <w:t>全年所需供冷、供暖时间短或采用集中供冷、供暖系统不经济；</w:t>
      </w:r>
    </w:p>
    <w:p>
      <w:pPr>
        <w:autoSpaceDE w:val="0"/>
        <w:autoSpaceDN w:val="0"/>
        <w:adjustRightInd w:val="0"/>
        <w:spacing w:line="360" w:lineRule="auto"/>
        <w:rPr>
          <w:kern w:val="0"/>
          <w:sz w:val="24"/>
        </w:rPr>
      </w:pPr>
      <w:r>
        <w:rPr>
          <w:kern w:val="0"/>
          <w:sz w:val="24"/>
        </w:rPr>
        <w:t xml:space="preserve">    2  </w:t>
      </w:r>
      <w:r>
        <w:rPr>
          <w:rFonts w:hint="eastAsia"/>
          <w:kern w:val="0"/>
          <w:sz w:val="24"/>
        </w:rPr>
        <w:t>需设空气调节的房间布置分散；</w:t>
      </w:r>
    </w:p>
    <w:p>
      <w:pPr>
        <w:autoSpaceDE w:val="0"/>
        <w:autoSpaceDN w:val="0"/>
        <w:adjustRightInd w:val="0"/>
        <w:spacing w:line="360" w:lineRule="auto"/>
        <w:rPr>
          <w:kern w:val="0"/>
          <w:sz w:val="24"/>
        </w:rPr>
      </w:pPr>
      <w:r>
        <w:rPr>
          <w:kern w:val="0"/>
          <w:sz w:val="24"/>
        </w:rPr>
        <w:t xml:space="preserve">    3  </w:t>
      </w:r>
      <w:r>
        <w:rPr>
          <w:rFonts w:hint="eastAsia"/>
          <w:kern w:val="0"/>
          <w:sz w:val="24"/>
        </w:rPr>
        <w:t>设有集中供冷、供暖系统的建筑中，使用时间和要求不同的房间；</w:t>
      </w:r>
    </w:p>
    <w:p>
      <w:pPr>
        <w:autoSpaceDE w:val="0"/>
        <w:autoSpaceDN w:val="0"/>
        <w:adjustRightInd w:val="0"/>
        <w:spacing w:line="360" w:lineRule="auto"/>
        <w:rPr>
          <w:kern w:val="0"/>
          <w:sz w:val="24"/>
        </w:rPr>
      </w:pPr>
      <w:r>
        <w:rPr>
          <w:kern w:val="0"/>
          <w:sz w:val="24"/>
        </w:rPr>
        <w:t xml:space="preserve">    4  </w:t>
      </w:r>
      <w:r>
        <w:rPr>
          <w:rFonts w:hint="eastAsia"/>
          <w:kern w:val="0"/>
          <w:sz w:val="24"/>
        </w:rPr>
        <w:t>需增设空调系统，而难以设置机房和管道的既有公共建筑。</w:t>
      </w:r>
    </w:p>
    <w:p>
      <w:pPr>
        <w:autoSpaceDE w:val="0"/>
        <w:autoSpaceDN w:val="0"/>
        <w:adjustRightInd w:val="0"/>
        <w:spacing w:line="360" w:lineRule="auto"/>
        <w:rPr>
          <w:kern w:val="0"/>
        </w:rPr>
      </w:pPr>
    </w:p>
    <w:p>
      <w:pPr>
        <w:spacing w:line="360" w:lineRule="auto"/>
        <w:rPr>
          <w:rFonts w:eastAsiaTheme="minorEastAsia"/>
          <w:kern w:val="0"/>
          <w:sz w:val="24"/>
        </w:rPr>
      </w:pPr>
      <w:r>
        <w:rPr>
          <w:rFonts w:eastAsiaTheme="minorEastAsia"/>
          <w:b/>
          <w:kern w:val="0"/>
          <w:sz w:val="24"/>
        </w:rPr>
        <w:t>4.1.6</w:t>
      </w:r>
      <w:r>
        <w:rPr>
          <w:rFonts w:hint="eastAsia" w:eastAsiaTheme="minorEastAsia"/>
          <w:kern w:val="0"/>
          <w:sz w:val="24"/>
        </w:rPr>
        <w:t>采用温湿度独立控制空调系统时，应符合下列要求：</w:t>
      </w:r>
    </w:p>
    <w:p>
      <w:pPr>
        <w:spacing w:line="360" w:lineRule="auto"/>
        <w:ind w:firstLine="482"/>
        <w:rPr>
          <w:rFonts w:eastAsiaTheme="minorEastAsia"/>
          <w:kern w:val="0"/>
          <w:sz w:val="24"/>
        </w:rPr>
      </w:pPr>
      <w:r>
        <w:rPr>
          <w:rFonts w:eastAsiaTheme="minorEastAsia"/>
          <w:b/>
          <w:kern w:val="0"/>
          <w:sz w:val="24"/>
        </w:rPr>
        <w:t>1</w:t>
      </w:r>
      <w:r>
        <w:rPr>
          <w:rFonts w:hint="eastAsia" w:eastAsiaTheme="minorEastAsia"/>
          <w:kern w:val="0"/>
          <w:sz w:val="24"/>
        </w:rPr>
        <w:t>应根据气候特点，经技术经济分析论证，确定高温冷源的制备方式和新风除湿方式。在干热气候区应用时，高温冷源宜只承担室内和新风的显热负荷，计算空调冷负荷时，不应将潜热负荷统计到制冷机组负荷中；</w:t>
      </w:r>
    </w:p>
    <w:p>
      <w:pPr>
        <w:spacing w:line="360" w:lineRule="auto"/>
        <w:ind w:firstLine="482"/>
        <w:rPr>
          <w:rFonts w:eastAsiaTheme="minorEastAsia"/>
          <w:kern w:val="0"/>
          <w:sz w:val="24"/>
        </w:rPr>
      </w:pPr>
      <w:r>
        <w:rPr>
          <w:rFonts w:eastAsiaTheme="minorEastAsia"/>
          <w:b/>
          <w:kern w:val="0"/>
          <w:sz w:val="24"/>
        </w:rPr>
        <w:t>2</w:t>
      </w:r>
      <w:r>
        <w:rPr>
          <w:rFonts w:hint="eastAsia" w:eastAsiaTheme="minorEastAsia"/>
          <w:kern w:val="0"/>
          <w:sz w:val="24"/>
        </w:rPr>
        <w:t>宜考虑全年对天然冷源和可再生能源的应用措施；</w:t>
      </w:r>
    </w:p>
    <w:p>
      <w:pPr>
        <w:spacing w:line="360" w:lineRule="auto"/>
        <w:ind w:firstLine="482"/>
        <w:rPr>
          <w:rFonts w:eastAsiaTheme="minorEastAsia"/>
          <w:kern w:val="0"/>
          <w:sz w:val="24"/>
        </w:rPr>
      </w:pPr>
      <w:r>
        <w:rPr>
          <w:rFonts w:eastAsiaTheme="minorEastAsia"/>
          <w:b/>
          <w:kern w:val="0"/>
          <w:sz w:val="24"/>
        </w:rPr>
        <w:t>3</w:t>
      </w:r>
      <w:r>
        <w:rPr>
          <w:rFonts w:hint="eastAsia" w:eastAsiaTheme="minorEastAsia"/>
          <w:kern w:val="0"/>
          <w:sz w:val="24"/>
        </w:rPr>
        <w:t>不宜采用再热空气处理方式。</w:t>
      </w:r>
    </w:p>
    <w:p>
      <w:pPr>
        <w:spacing w:line="360" w:lineRule="auto"/>
        <w:ind w:firstLine="482"/>
        <w:rPr>
          <w:rFonts w:eastAsiaTheme="minorEastAsia"/>
          <w:kern w:val="0"/>
          <w:sz w:val="24"/>
        </w:rPr>
      </w:pPr>
      <w:r>
        <w:rPr>
          <w:rFonts w:hint="eastAsia" w:eastAsiaTheme="minorEastAsia"/>
          <w:kern w:val="0"/>
          <w:sz w:val="24"/>
        </w:rPr>
        <w:t>4采用高温冷源的风机盘管宜选用干式风机盘管。</w:t>
      </w:r>
    </w:p>
    <w:p>
      <w:pPr>
        <w:pStyle w:val="9"/>
        <w:spacing w:line="360" w:lineRule="auto"/>
        <w:rPr>
          <w:rFonts w:cs="Arial"/>
          <w:b/>
          <w:kern w:val="0"/>
          <w:sz w:val="24"/>
        </w:rPr>
      </w:pPr>
    </w:p>
    <w:p>
      <w:pPr>
        <w:pStyle w:val="9"/>
        <w:spacing w:line="360" w:lineRule="auto"/>
        <w:rPr>
          <w:kern w:val="0"/>
          <w:sz w:val="24"/>
        </w:rPr>
      </w:pPr>
      <w:r>
        <w:rPr>
          <w:rFonts w:cs="Arial"/>
          <w:b/>
          <w:kern w:val="0"/>
          <w:sz w:val="24"/>
        </w:rPr>
        <w:t>4.1.</w:t>
      </w:r>
      <w:r>
        <w:rPr>
          <w:rFonts w:hint="eastAsia" w:cs="Arial"/>
          <w:b/>
          <w:kern w:val="0"/>
          <w:sz w:val="24"/>
        </w:rPr>
        <w:t>7</w:t>
      </w:r>
      <w:r>
        <w:rPr>
          <w:rFonts w:hint="eastAsia"/>
          <w:kern w:val="0"/>
          <w:sz w:val="24"/>
        </w:rPr>
        <w:t>使用时间不同的空气调节区不应划分在同一个定风量全空气风系统中。温度、湿度等要求不同的空气调节区不宜划分在同一个空气调节风系统中。</w:t>
      </w:r>
    </w:p>
    <w:p>
      <w:pPr>
        <w:pStyle w:val="9"/>
        <w:spacing w:line="360" w:lineRule="auto"/>
        <w:rPr>
          <w:kern w:val="0"/>
          <w:sz w:val="24"/>
        </w:rPr>
      </w:pPr>
    </w:p>
    <w:p>
      <w:pPr>
        <w:autoSpaceDE w:val="0"/>
        <w:autoSpaceDN w:val="0"/>
        <w:adjustRightInd w:val="0"/>
        <w:spacing w:line="360" w:lineRule="auto"/>
        <w:rPr>
          <w:rFonts w:cs="Arial"/>
          <w:kern w:val="0"/>
          <w:sz w:val="24"/>
        </w:rPr>
      </w:pPr>
      <w:r>
        <w:rPr>
          <w:rFonts w:cs="Arial"/>
          <w:b/>
          <w:bCs/>
          <w:kern w:val="0"/>
          <w:sz w:val="24"/>
        </w:rPr>
        <w:t>4.1.8</w:t>
      </w:r>
      <w:r>
        <w:rPr>
          <w:rFonts w:hint="eastAsia" w:cs="Arial"/>
          <w:b/>
          <w:bCs/>
          <w:kern w:val="0"/>
          <w:sz w:val="24"/>
          <w:lang w:val="en-US" w:eastAsia="zh-CN"/>
        </w:rPr>
        <w:t xml:space="preserve"> </w:t>
      </w:r>
      <w:r>
        <w:rPr>
          <w:rFonts w:hint="eastAsia" w:cs="Arial"/>
          <w:kern w:val="0"/>
          <w:sz w:val="24"/>
        </w:rPr>
        <w:t>干热气候区空调制冷方式应以自然通风、外遮阳、蒸发冷却等被动式空调方式为主。空调冷源应优先选用蒸发冷却或其他天然冷源，其次选用高温机械制冷冷水机组。</w:t>
      </w:r>
    </w:p>
    <w:p>
      <w:pPr>
        <w:pStyle w:val="9"/>
        <w:rPr>
          <w:kern w:val="0"/>
          <w:sz w:val="24"/>
        </w:rPr>
      </w:pPr>
    </w:p>
    <w:p>
      <w:pPr>
        <w:pStyle w:val="3"/>
        <w:spacing w:line="276" w:lineRule="auto"/>
        <w:jc w:val="center"/>
        <w:rPr>
          <w:rFonts w:ascii="Times New Roman" w:hAnsi="Times New Roman" w:eastAsia="宋体"/>
        </w:rPr>
      </w:pPr>
      <w:bookmarkStart w:id="47" w:name="_Toc187572566"/>
      <w:bookmarkStart w:id="48" w:name="_Toc377052136"/>
      <w:bookmarkStart w:id="49" w:name="_Toc376970881"/>
      <w:bookmarkStart w:id="50" w:name="_Toc146734718"/>
      <w:r>
        <w:rPr>
          <w:rFonts w:hint="eastAsia" w:ascii="Times New Roman" w:hAnsi="Times New Roman" w:eastAsia="宋体"/>
        </w:rPr>
        <w:t>4</w:t>
      </w:r>
      <w:r>
        <w:rPr>
          <w:rFonts w:ascii="Times New Roman" w:hAnsi="Times New Roman" w:eastAsia="宋体"/>
        </w:rPr>
        <w:t xml:space="preserve">.2 </w:t>
      </w:r>
      <w:bookmarkEnd w:id="47"/>
      <w:r>
        <w:rPr>
          <w:rFonts w:hint="eastAsia" w:ascii="Times New Roman" w:hAnsi="Times New Roman" w:eastAsia="宋体"/>
        </w:rPr>
        <w:t>冷源与热源</w:t>
      </w:r>
      <w:bookmarkEnd w:id="48"/>
      <w:bookmarkEnd w:id="49"/>
      <w:bookmarkEnd w:id="50"/>
    </w:p>
    <w:p>
      <w:pPr>
        <w:pStyle w:val="63"/>
        <w:spacing w:line="360" w:lineRule="auto"/>
        <w:rPr>
          <w:kern w:val="0"/>
        </w:rPr>
      </w:pPr>
      <w:r>
        <w:rPr>
          <w:rFonts w:cs="Arial"/>
          <w:b/>
          <w:kern w:val="0"/>
          <w:sz w:val="24"/>
        </w:rPr>
        <w:t>4.2.1</w:t>
      </w:r>
      <w:r>
        <w:rPr>
          <w:rFonts w:hint="eastAsia"/>
          <w:kern w:val="0"/>
          <w:sz w:val="24"/>
        </w:rPr>
        <w:t>供暖空调冷源与热源应根据建筑规模、用途、建设地点的能源条件、结构、价格以及国家节能减排和环保政策的相关规定，通过综合论证确定，并应符合下列规定：</w:t>
      </w:r>
    </w:p>
    <w:p>
      <w:pPr>
        <w:autoSpaceDE w:val="0"/>
        <w:autoSpaceDN w:val="0"/>
        <w:adjustRightInd w:val="0"/>
        <w:spacing w:line="360" w:lineRule="auto"/>
        <w:ind w:firstLine="480" w:firstLineChars="200"/>
        <w:jc w:val="left"/>
        <w:rPr>
          <w:kern w:val="0"/>
          <w:sz w:val="24"/>
        </w:rPr>
      </w:pPr>
      <w:r>
        <w:rPr>
          <w:rFonts w:cs="宋体"/>
          <w:kern w:val="0"/>
          <w:sz w:val="24"/>
        </w:rPr>
        <w:t>1</w:t>
      </w:r>
      <w:r>
        <w:rPr>
          <w:rFonts w:hint="eastAsia" w:cs="宋体"/>
          <w:kern w:val="0"/>
          <w:sz w:val="24"/>
        </w:rPr>
        <w:t xml:space="preserve"> 有可供利用的废热或工业余热的区域，热源宜采用废热或工业余热。当废热或工业余热的温度较高、经技术经济论证合理时，冷源宜采用吸收式冷水机组。</w:t>
      </w:r>
    </w:p>
    <w:p>
      <w:pPr>
        <w:autoSpaceDE w:val="0"/>
        <w:autoSpaceDN w:val="0"/>
        <w:adjustRightInd w:val="0"/>
        <w:spacing w:line="360" w:lineRule="auto"/>
        <w:ind w:firstLine="480" w:firstLineChars="200"/>
        <w:jc w:val="left"/>
        <w:rPr>
          <w:rFonts w:cs="宋体"/>
          <w:kern w:val="0"/>
          <w:sz w:val="24"/>
        </w:rPr>
      </w:pPr>
      <w:r>
        <w:rPr>
          <w:rFonts w:cs="宋体"/>
          <w:kern w:val="0"/>
          <w:sz w:val="24"/>
        </w:rPr>
        <w:t>2</w:t>
      </w:r>
      <w:r>
        <w:rPr>
          <w:rFonts w:hint="eastAsia" w:cs="宋体"/>
          <w:kern w:val="0"/>
          <w:sz w:val="24"/>
        </w:rPr>
        <w:t xml:space="preserve"> 在技术经济合理的情况下，冷、热源宜利用浅层地能、太阳能、风能等可再生能源。当采用可再生能源受到气候等原因的限制无法保证时，应设置辅助冷、热源。</w:t>
      </w:r>
    </w:p>
    <w:p>
      <w:pPr>
        <w:autoSpaceDE w:val="0"/>
        <w:autoSpaceDN w:val="0"/>
        <w:adjustRightInd w:val="0"/>
        <w:spacing w:line="360" w:lineRule="auto"/>
        <w:ind w:firstLine="480" w:firstLineChars="200"/>
        <w:jc w:val="left"/>
        <w:rPr>
          <w:rFonts w:cs="宋体"/>
          <w:kern w:val="0"/>
          <w:sz w:val="24"/>
        </w:rPr>
      </w:pPr>
      <w:r>
        <w:rPr>
          <w:rFonts w:cs="宋体"/>
          <w:kern w:val="0"/>
          <w:sz w:val="24"/>
        </w:rPr>
        <w:t>3</w:t>
      </w:r>
      <w:r>
        <w:rPr>
          <w:rFonts w:hint="eastAsia" w:cs="宋体"/>
          <w:kern w:val="0"/>
          <w:sz w:val="24"/>
        </w:rPr>
        <w:t xml:space="preserve"> 不具备本条第</w:t>
      </w:r>
      <w:r>
        <w:rPr>
          <w:rFonts w:cs="宋体"/>
          <w:kern w:val="0"/>
          <w:sz w:val="24"/>
        </w:rPr>
        <w:t>1</w:t>
      </w:r>
      <w:r>
        <w:rPr>
          <w:rFonts w:hint="eastAsia" w:cs="宋体"/>
          <w:kern w:val="0"/>
          <w:sz w:val="24"/>
        </w:rPr>
        <w:t>、</w:t>
      </w:r>
      <w:r>
        <w:rPr>
          <w:rFonts w:cs="宋体"/>
          <w:kern w:val="0"/>
          <w:sz w:val="24"/>
        </w:rPr>
        <w:t>2</w:t>
      </w:r>
      <w:r>
        <w:rPr>
          <w:rFonts w:hint="eastAsia" w:cs="宋体"/>
          <w:kern w:val="0"/>
          <w:sz w:val="24"/>
        </w:rPr>
        <w:t>款的条件，但有城市或区域热网的地区，集中式空调系统的供热热源宜优先采用城市或区域热网。</w:t>
      </w:r>
    </w:p>
    <w:p>
      <w:pPr>
        <w:autoSpaceDE w:val="0"/>
        <w:autoSpaceDN w:val="0"/>
        <w:adjustRightInd w:val="0"/>
        <w:spacing w:line="360" w:lineRule="auto"/>
        <w:ind w:firstLine="480" w:firstLineChars="200"/>
        <w:jc w:val="left"/>
        <w:rPr>
          <w:rFonts w:cs="宋体"/>
          <w:kern w:val="0"/>
          <w:sz w:val="24"/>
        </w:rPr>
      </w:pPr>
      <w:r>
        <w:rPr>
          <w:rFonts w:cs="宋体"/>
          <w:kern w:val="0"/>
          <w:sz w:val="24"/>
        </w:rPr>
        <w:t>4</w:t>
      </w:r>
      <w:r>
        <w:rPr>
          <w:rFonts w:hint="eastAsia" w:cs="宋体"/>
          <w:kern w:val="0"/>
          <w:sz w:val="24"/>
        </w:rPr>
        <w:t xml:space="preserve"> 不具备本条第</w:t>
      </w:r>
      <w:r>
        <w:rPr>
          <w:rFonts w:cs="宋体"/>
          <w:kern w:val="0"/>
          <w:sz w:val="24"/>
        </w:rPr>
        <w:t>1</w:t>
      </w:r>
      <w:r>
        <w:rPr>
          <w:rFonts w:hint="eastAsia" w:cs="宋体"/>
          <w:kern w:val="0"/>
          <w:sz w:val="24"/>
        </w:rPr>
        <w:t>、</w:t>
      </w:r>
      <w:r>
        <w:rPr>
          <w:rFonts w:cs="宋体"/>
          <w:kern w:val="0"/>
          <w:sz w:val="24"/>
        </w:rPr>
        <w:t>2</w:t>
      </w:r>
      <w:r>
        <w:rPr>
          <w:rFonts w:hint="eastAsia" w:cs="宋体"/>
          <w:kern w:val="0"/>
          <w:sz w:val="24"/>
        </w:rPr>
        <w:t>款的条件，但城市电网夏季供电充足的地区，空调系统的冷源宜采用电动压缩式机组。</w:t>
      </w:r>
    </w:p>
    <w:p>
      <w:pPr>
        <w:autoSpaceDE w:val="0"/>
        <w:autoSpaceDN w:val="0"/>
        <w:adjustRightInd w:val="0"/>
        <w:spacing w:line="360" w:lineRule="auto"/>
        <w:ind w:firstLine="480" w:firstLineChars="200"/>
        <w:jc w:val="left"/>
        <w:rPr>
          <w:rFonts w:cs="宋体"/>
          <w:kern w:val="0"/>
          <w:sz w:val="24"/>
        </w:rPr>
      </w:pPr>
      <w:r>
        <w:rPr>
          <w:rFonts w:cs="宋体"/>
          <w:kern w:val="0"/>
          <w:sz w:val="24"/>
        </w:rPr>
        <w:t>5</w:t>
      </w:r>
      <w:r>
        <w:rPr>
          <w:rFonts w:hint="eastAsia" w:cs="宋体"/>
          <w:kern w:val="0"/>
          <w:sz w:val="24"/>
        </w:rPr>
        <w:t xml:space="preserve"> 不具备本条第</w:t>
      </w:r>
      <w:r>
        <w:rPr>
          <w:rFonts w:cs="宋体"/>
          <w:kern w:val="0"/>
          <w:sz w:val="24"/>
        </w:rPr>
        <w:t>1</w:t>
      </w:r>
      <w:r>
        <w:rPr>
          <w:rFonts w:hint="eastAsia" w:cs="宋体"/>
          <w:kern w:val="0"/>
          <w:sz w:val="24"/>
        </w:rPr>
        <w:t>款</w:t>
      </w:r>
      <w:r>
        <w:rPr>
          <w:rFonts w:cs="宋体"/>
          <w:kern w:val="0"/>
          <w:sz w:val="24"/>
        </w:rPr>
        <w:t>~</w:t>
      </w:r>
      <w:r>
        <w:rPr>
          <w:rFonts w:hint="eastAsia" w:cs="宋体"/>
          <w:kern w:val="0"/>
          <w:sz w:val="24"/>
        </w:rPr>
        <w:t>第</w:t>
      </w:r>
      <w:r>
        <w:rPr>
          <w:rFonts w:cs="宋体"/>
          <w:kern w:val="0"/>
          <w:sz w:val="24"/>
        </w:rPr>
        <w:t>4</w:t>
      </w:r>
      <w:r>
        <w:rPr>
          <w:rFonts w:hint="eastAsia" w:cs="宋体"/>
          <w:kern w:val="0"/>
          <w:sz w:val="24"/>
        </w:rPr>
        <w:t>款的条件，但城市燃气供应充足的地区，宜采用燃气锅炉、燃气热水机供热或燃气吸收式冷（温）水机组供冷、供热。</w:t>
      </w:r>
    </w:p>
    <w:p>
      <w:pPr>
        <w:autoSpaceDE w:val="0"/>
        <w:autoSpaceDN w:val="0"/>
        <w:adjustRightInd w:val="0"/>
        <w:spacing w:line="360" w:lineRule="auto"/>
        <w:ind w:firstLine="480" w:firstLineChars="200"/>
        <w:jc w:val="left"/>
        <w:rPr>
          <w:rFonts w:cs="宋体"/>
          <w:kern w:val="0"/>
          <w:sz w:val="24"/>
        </w:rPr>
      </w:pPr>
      <w:r>
        <w:rPr>
          <w:rFonts w:cs="宋体"/>
          <w:kern w:val="0"/>
          <w:sz w:val="24"/>
        </w:rPr>
        <w:t>6</w:t>
      </w:r>
      <w:r>
        <w:rPr>
          <w:rFonts w:hint="eastAsia" w:cs="宋体"/>
          <w:kern w:val="0"/>
          <w:sz w:val="24"/>
        </w:rPr>
        <w:t xml:space="preserve"> 不具备本条第</w:t>
      </w:r>
      <w:r>
        <w:rPr>
          <w:rFonts w:cs="宋体"/>
          <w:kern w:val="0"/>
          <w:sz w:val="24"/>
        </w:rPr>
        <w:t>1</w:t>
      </w:r>
      <w:r>
        <w:rPr>
          <w:rFonts w:hint="eastAsia" w:cs="宋体"/>
          <w:kern w:val="0"/>
          <w:sz w:val="24"/>
        </w:rPr>
        <w:t>款</w:t>
      </w:r>
      <w:r>
        <w:rPr>
          <w:rFonts w:cs="宋体"/>
          <w:kern w:val="0"/>
          <w:sz w:val="24"/>
        </w:rPr>
        <w:t>~5</w:t>
      </w:r>
      <w:r>
        <w:rPr>
          <w:rFonts w:hint="eastAsia" w:cs="宋体"/>
          <w:kern w:val="0"/>
          <w:sz w:val="24"/>
        </w:rPr>
        <w:t>款条件的地区，可采用燃煤锅炉房、燃油锅炉供热，蒸汽吸收式冷水机组或燃油吸收式冷（温）水机组供冷、供热。</w:t>
      </w:r>
    </w:p>
    <w:p>
      <w:pPr>
        <w:autoSpaceDE w:val="0"/>
        <w:autoSpaceDN w:val="0"/>
        <w:adjustRightInd w:val="0"/>
        <w:spacing w:line="360" w:lineRule="auto"/>
        <w:ind w:firstLine="480" w:firstLineChars="200"/>
        <w:jc w:val="left"/>
        <w:rPr>
          <w:rFonts w:cs="宋体"/>
          <w:kern w:val="0"/>
          <w:sz w:val="24"/>
        </w:rPr>
      </w:pPr>
      <w:r>
        <w:rPr>
          <w:rFonts w:cs="宋体"/>
          <w:kern w:val="0"/>
          <w:sz w:val="24"/>
        </w:rPr>
        <w:t>7</w:t>
      </w:r>
      <w:r>
        <w:rPr>
          <w:rFonts w:hint="eastAsia" w:cs="宋体"/>
          <w:kern w:val="0"/>
          <w:sz w:val="24"/>
        </w:rPr>
        <w:t>夏季室外空气设计露点温度较低、温度日较差大的地区，宜优先采用直接蒸发冷却、间接蒸发冷却或直接蒸发冷却与间接蒸发冷却相结合的二级或三级蒸发冷却的空气处理方式。</w:t>
      </w:r>
    </w:p>
    <w:p>
      <w:pPr>
        <w:autoSpaceDE w:val="0"/>
        <w:autoSpaceDN w:val="0"/>
        <w:adjustRightInd w:val="0"/>
        <w:spacing w:line="360" w:lineRule="auto"/>
        <w:ind w:firstLine="480" w:firstLineChars="200"/>
        <w:jc w:val="left"/>
        <w:rPr>
          <w:rFonts w:cs="宋体"/>
          <w:kern w:val="0"/>
          <w:sz w:val="24"/>
        </w:rPr>
      </w:pPr>
      <w:r>
        <w:rPr>
          <w:rFonts w:cs="宋体"/>
          <w:kern w:val="0"/>
          <w:sz w:val="24"/>
        </w:rPr>
        <w:t>8</w:t>
      </w:r>
      <w:r>
        <w:rPr>
          <w:rFonts w:hint="eastAsia" w:cs="宋体"/>
          <w:kern w:val="0"/>
          <w:sz w:val="24"/>
        </w:rPr>
        <w:t xml:space="preserve"> 天然气供应充足的地区，当建筑的电力负荷、热负荷和冷负荷能较好匹配、能充分发挥冷、热、电联产系统的能源综合利用效率且经济技术比较合理时，宜采用分布式燃气冷热电三联供系统。</w:t>
      </w:r>
    </w:p>
    <w:p>
      <w:pPr>
        <w:autoSpaceDE w:val="0"/>
        <w:autoSpaceDN w:val="0"/>
        <w:adjustRightInd w:val="0"/>
        <w:spacing w:line="360" w:lineRule="auto"/>
        <w:ind w:firstLine="480" w:firstLineChars="200"/>
        <w:jc w:val="left"/>
        <w:rPr>
          <w:rFonts w:cs="宋体"/>
          <w:kern w:val="0"/>
          <w:sz w:val="24"/>
        </w:rPr>
      </w:pPr>
      <w:r>
        <w:rPr>
          <w:rFonts w:cs="宋体"/>
          <w:kern w:val="0"/>
          <w:sz w:val="24"/>
        </w:rPr>
        <w:t>9</w:t>
      </w:r>
      <w:r>
        <w:rPr>
          <w:rFonts w:hint="eastAsia" w:cs="宋体"/>
          <w:kern w:val="0"/>
          <w:sz w:val="24"/>
        </w:rPr>
        <w:t xml:space="preserve"> 全年进行空气调节，且各房间或区域负荷特性相差较大，需要长时间地向建筑同时供热和供冷，经技术经济比较合理时，宜采用水环热泵空调系统供冷、供热。</w:t>
      </w:r>
    </w:p>
    <w:p>
      <w:pPr>
        <w:autoSpaceDE w:val="0"/>
        <w:autoSpaceDN w:val="0"/>
        <w:adjustRightInd w:val="0"/>
        <w:spacing w:line="360" w:lineRule="auto"/>
        <w:ind w:firstLine="480" w:firstLineChars="200"/>
        <w:jc w:val="left"/>
        <w:rPr>
          <w:rFonts w:cs="宋体"/>
          <w:kern w:val="0"/>
          <w:sz w:val="24"/>
        </w:rPr>
      </w:pPr>
      <w:r>
        <w:rPr>
          <w:rFonts w:cs="宋体"/>
          <w:kern w:val="0"/>
          <w:sz w:val="24"/>
        </w:rPr>
        <w:t xml:space="preserve">10 </w:t>
      </w:r>
      <w:r>
        <w:rPr>
          <w:rFonts w:hint="eastAsia" w:cs="宋体"/>
          <w:kern w:val="0"/>
          <w:sz w:val="24"/>
        </w:rPr>
        <w:t>经技术经济比较，采用低谷电能够对电网“削峰填谷”和节省运行费用作用明显时，宜采用蓄能系统供冷、供热。</w:t>
      </w:r>
    </w:p>
    <w:p>
      <w:pPr>
        <w:autoSpaceDE w:val="0"/>
        <w:autoSpaceDN w:val="0"/>
        <w:adjustRightInd w:val="0"/>
        <w:spacing w:line="360" w:lineRule="auto"/>
        <w:ind w:firstLine="480" w:firstLineChars="200"/>
        <w:jc w:val="left"/>
        <w:rPr>
          <w:rFonts w:cs="宋体"/>
          <w:kern w:val="0"/>
          <w:sz w:val="24"/>
        </w:rPr>
      </w:pPr>
      <w:r>
        <w:rPr>
          <w:rFonts w:cs="宋体"/>
          <w:kern w:val="0"/>
          <w:sz w:val="24"/>
        </w:rPr>
        <w:t>11</w:t>
      </w:r>
      <w:r>
        <w:rPr>
          <w:rFonts w:hint="eastAsia" w:cs="宋体"/>
          <w:kern w:val="0"/>
          <w:sz w:val="24"/>
        </w:rPr>
        <w:t xml:space="preserve"> 夏热冬冷地区以及干旱缺水地区的中、小型建筑宜采用空气源热泵或地埋管地源热泵系统供冷、供热。</w:t>
      </w:r>
    </w:p>
    <w:p>
      <w:pPr>
        <w:autoSpaceDE w:val="0"/>
        <w:autoSpaceDN w:val="0"/>
        <w:adjustRightInd w:val="0"/>
        <w:spacing w:line="360" w:lineRule="auto"/>
        <w:ind w:firstLine="480" w:firstLineChars="200"/>
        <w:jc w:val="left"/>
        <w:rPr>
          <w:rFonts w:cs="宋体"/>
          <w:kern w:val="0"/>
          <w:sz w:val="24"/>
        </w:rPr>
      </w:pPr>
      <w:r>
        <w:rPr>
          <w:rFonts w:cs="宋体"/>
          <w:kern w:val="0"/>
          <w:sz w:val="24"/>
        </w:rPr>
        <w:t>12</w:t>
      </w:r>
      <w:r>
        <w:rPr>
          <w:rFonts w:hint="eastAsia" w:cs="宋体"/>
          <w:kern w:val="0"/>
          <w:sz w:val="24"/>
        </w:rPr>
        <w:t xml:space="preserve"> 有天然地表水等资源可供利用、或者有可利用的浅层地下水且能保证100%回灌时，可采用地表水或地下水地源热泵系统供冷、供热。</w:t>
      </w:r>
    </w:p>
    <w:p>
      <w:pPr>
        <w:autoSpaceDE w:val="0"/>
        <w:autoSpaceDN w:val="0"/>
        <w:adjustRightInd w:val="0"/>
        <w:spacing w:line="360" w:lineRule="auto"/>
        <w:ind w:firstLine="480" w:firstLineChars="200"/>
        <w:jc w:val="left"/>
        <w:rPr>
          <w:rFonts w:cs="宋体"/>
          <w:kern w:val="0"/>
          <w:sz w:val="24"/>
        </w:rPr>
      </w:pPr>
      <w:r>
        <w:rPr>
          <w:rFonts w:cs="宋体"/>
          <w:kern w:val="0"/>
          <w:sz w:val="24"/>
        </w:rPr>
        <w:t>13</w:t>
      </w:r>
      <w:r>
        <w:rPr>
          <w:rFonts w:hint="eastAsia" w:cs="宋体"/>
          <w:kern w:val="0"/>
          <w:sz w:val="24"/>
        </w:rPr>
        <w:t xml:space="preserve"> 具有多种能源的地区，可采用复合式能源供冷、供热。</w:t>
      </w:r>
    </w:p>
    <w:p>
      <w:pPr>
        <w:autoSpaceDE w:val="0"/>
        <w:autoSpaceDN w:val="0"/>
        <w:adjustRightInd w:val="0"/>
        <w:spacing w:line="360" w:lineRule="auto"/>
        <w:rPr>
          <w:kern w:val="0"/>
        </w:rPr>
      </w:pPr>
    </w:p>
    <w:p>
      <w:pPr>
        <w:spacing w:line="360" w:lineRule="auto"/>
        <w:rPr>
          <w:kern w:val="0"/>
          <w:sz w:val="24"/>
        </w:rPr>
      </w:pPr>
      <w:r>
        <w:rPr>
          <w:rFonts w:cs="Arial"/>
          <w:b/>
          <w:kern w:val="0"/>
          <w:sz w:val="24"/>
        </w:rPr>
        <w:t>4.2.2</w:t>
      </w:r>
      <w:r>
        <w:rPr>
          <w:rFonts w:hint="eastAsia"/>
          <w:kern w:val="0"/>
          <w:sz w:val="24"/>
        </w:rPr>
        <w:t>锅炉供暖设计应符合下列规定：</w:t>
      </w:r>
    </w:p>
    <w:p>
      <w:pPr>
        <w:autoSpaceDE w:val="0"/>
        <w:autoSpaceDN w:val="0"/>
        <w:adjustRightInd w:val="0"/>
        <w:spacing w:line="360" w:lineRule="auto"/>
        <w:ind w:firstLine="470" w:firstLineChars="196"/>
        <w:jc w:val="left"/>
        <w:rPr>
          <w:rFonts w:cs="宋体"/>
          <w:kern w:val="0"/>
          <w:sz w:val="24"/>
        </w:rPr>
      </w:pPr>
      <w:r>
        <w:rPr>
          <w:rFonts w:hint="eastAsia" w:cs="宋体"/>
          <w:kern w:val="0"/>
          <w:sz w:val="24"/>
        </w:rPr>
        <w:t>1 单台锅炉的设计容量应以保证其具有长时间较高运行效率的原则确定，实际运行负荷率不宜低于</w:t>
      </w:r>
      <w:r>
        <w:rPr>
          <w:rFonts w:cs="宋体"/>
          <w:kern w:val="0"/>
          <w:sz w:val="24"/>
        </w:rPr>
        <w:t>50%</w:t>
      </w:r>
      <w:r>
        <w:rPr>
          <w:rFonts w:hint="eastAsia" w:cs="宋体"/>
          <w:kern w:val="0"/>
          <w:sz w:val="24"/>
        </w:rPr>
        <w:t>；</w:t>
      </w:r>
    </w:p>
    <w:p>
      <w:pPr>
        <w:autoSpaceDE w:val="0"/>
        <w:autoSpaceDN w:val="0"/>
        <w:adjustRightInd w:val="0"/>
        <w:spacing w:line="360" w:lineRule="auto"/>
        <w:ind w:firstLine="480" w:firstLineChars="200"/>
        <w:jc w:val="left"/>
        <w:rPr>
          <w:rFonts w:cs="宋体"/>
          <w:kern w:val="0"/>
          <w:sz w:val="24"/>
        </w:rPr>
      </w:pPr>
      <w:r>
        <w:rPr>
          <w:rFonts w:hint="eastAsia" w:cs="宋体"/>
          <w:kern w:val="0"/>
          <w:sz w:val="24"/>
        </w:rPr>
        <w:t>2 在保证锅炉具有长时间较高运行效率的前提下，各台锅炉的容量宜相等；</w:t>
      </w:r>
    </w:p>
    <w:p>
      <w:pPr>
        <w:autoSpaceDE w:val="0"/>
        <w:autoSpaceDN w:val="0"/>
        <w:adjustRightInd w:val="0"/>
        <w:spacing w:line="360" w:lineRule="auto"/>
        <w:ind w:firstLine="480" w:firstLineChars="200"/>
        <w:jc w:val="left"/>
        <w:rPr>
          <w:rFonts w:cs="宋体"/>
          <w:kern w:val="0"/>
          <w:sz w:val="24"/>
        </w:rPr>
      </w:pPr>
      <w:r>
        <w:rPr>
          <w:rFonts w:hint="eastAsia" w:cs="宋体"/>
          <w:kern w:val="0"/>
          <w:sz w:val="24"/>
        </w:rPr>
        <w:t>3 当供暖系统的设计回水水温小于或等于</w:t>
      </w:r>
      <w:r>
        <w:rPr>
          <w:rFonts w:cs="宋体"/>
          <w:kern w:val="0"/>
          <w:sz w:val="24"/>
        </w:rPr>
        <w:t>50</w:t>
      </w:r>
      <w:r>
        <w:rPr>
          <w:rFonts w:hint="eastAsia" w:cs="宋体"/>
          <w:kern w:val="0"/>
          <w:sz w:val="24"/>
        </w:rPr>
        <w:t>℃时，宜采用冷凝式锅炉。</w:t>
      </w:r>
    </w:p>
    <w:p>
      <w:pPr>
        <w:spacing w:line="360" w:lineRule="auto"/>
      </w:pPr>
    </w:p>
    <w:p>
      <w:pPr>
        <w:autoSpaceDE w:val="0"/>
        <w:autoSpaceDN w:val="0"/>
        <w:adjustRightInd w:val="0"/>
        <w:spacing w:line="360" w:lineRule="auto"/>
        <w:jc w:val="left"/>
        <w:rPr>
          <w:kern w:val="0"/>
          <w:sz w:val="24"/>
        </w:rPr>
      </w:pPr>
      <w:r>
        <w:rPr>
          <w:rFonts w:cs="Arial"/>
          <w:b/>
          <w:kern w:val="0"/>
          <w:sz w:val="24"/>
        </w:rPr>
        <w:t xml:space="preserve">4.2.3 </w:t>
      </w:r>
      <w:r>
        <w:rPr>
          <w:rFonts w:hint="eastAsia" w:cs="宋体"/>
          <w:kern w:val="0"/>
          <w:sz w:val="24"/>
        </w:rPr>
        <w:t>集中空调系统的冷水（热泵）机组台数及单机制冷量（制热量）选择，应能适应负荷全年变化规律，满足季节及部分负荷要求。机组不宜少于两台，且同类型机组不宜超过4台；当小型工程仅设一台时，应选调节性能优良的机型，并能满足建筑最低负荷的要求。</w:t>
      </w:r>
    </w:p>
    <w:p>
      <w:pPr>
        <w:autoSpaceDE w:val="0"/>
        <w:autoSpaceDN w:val="0"/>
        <w:adjustRightInd w:val="0"/>
        <w:spacing w:line="360" w:lineRule="auto"/>
        <w:jc w:val="left"/>
        <w:rPr>
          <w:kern w:val="0"/>
          <w:sz w:val="24"/>
        </w:rPr>
      </w:pPr>
    </w:p>
    <w:p>
      <w:pPr>
        <w:autoSpaceDE w:val="0"/>
        <w:autoSpaceDN w:val="0"/>
        <w:adjustRightInd w:val="0"/>
        <w:spacing w:before="78" w:beforeLines="25" w:line="360" w:lineRule="auto"/>
        <w:ind w:left="1"/>
        <w:jc w:val="left"/>
        <w:rPr>
          <w:kern w:val="0"/>
          <w:sz w:val="24"/>
        </w:rPr>
      </w:pPr>
      <w:r>
        <w:rPr>
          <w:rFonts w:cs="Arial"/>
          <w:b/>
          <w:kern w:val="0"/>
          <w:sz w:val="24"/>
        </w:rPr>
        <w:t>4.2.4</w:t>
      </w:r>
      <w:r>
        <w:rPr>
          <w:rFonts w:hint="eastAsia" w:cs="Arial"/>
          <w:kern w:val="0"/>
          <w:sz w:val="24"/>
        </w:rPr>
        <w:t>采用分布式能源站作为冷热源时，宜采用由自身发电驱动、以热电联产产生的废热为低位热源的热泵系统。</w:t>
      </w:r>
    </w:p>
    <w:p>
      <w:pPr>
        <w:spacing w:line="276" w:lineRule="auto"/>
        <w:ind w:firstLine="420" w:firstLineChars="200"/>
        <w:rPr>
          <w:rFonts w:eastAsia="楷体"/>
        </w:rPr>
      </w:pPr>
    </w:p>
    <w:p>
      <w:pPr>
        <w:spacing w:line="360" w:lineRule="auto"/>
        <w:rPr>
          <w:sz w:val="24"/>
        </w:rPr>
      </w:pPr>
      <w:r>
        <w:rPr>
          <w:b/>
          <w:sz w:val="24"/>
        </w:rPr>
        <w:t>4.2.5</w:t>
      </w:r>
      <w:r>
        <w:rPr>
          <w:sz w:val="24"/>
        </w:rPr>
        <w:t>冰蓄冷系统采用电机驱动的蒸气压缩循环水冷式冷水机组时，除动态制冰机组外，双工况制冷机组性能系数</w:t>
      </w:r>
      <w:r>
        <w:rPr>
          <w:rFonts w:hint="eastAsia"/>
          <w:sz w:val="24"/>
        </w:rPr>
        <w:t>C</w:t>
      </w:r>
      <w:r>
        <w:rPr>
          <w:sz w:val="24"/>
        </w:rPr>
        <w:t>OP</w:t>
      </w:r>
      <w:r>
        <w:rPr>
          <w:rFonts w:hint="eastAsia"/>
          <w:sz w:val="24"/>
        </w:rPr>
        <w:t>综合和部分负荷性能系数IPLV</w:t>
      </w:r>
      <w:r>
        <w:rPr>
          <w:sz w:val="24"/>
        </w:rPr>
        <w:t>及其蓄冰工况制冷量变化率不应低于表 4.2.6中的限值；水蓄冷系统制冷机组的性能系数和综合部分负荷性能系数的限值，可参考冰蓄冷系统双工况制冷机组的空调工况。</w:t>
      </w:r>
    </w:p>
    <w:p>
      <w:pPr>
        <w:spacing w:line="276" w:lineRule="auto"/>
        <w:jc w:val="center"/>
        <w:rPr>
          <w:rFonts w:eastAsia="黑体"/>
          <w:sz w:val="18"/>
          <w:szCs w:val="18"/>
        </w:rPr>
      </w:pPr>
      <w:r>
        <w:rPr>
          <w:rFonts w:eastAsia="黑体"/>
          <w:sz w:val="18"/>
          <w:szCs w:val="18"/>
        </w:rPr>
        <w:t>表 4.2.</w:t>
      </w:r>
      <w:bookmarkStart w:id="51" w:name="_Hlk146234817"/>
      <w:r>
        <w:rPr>
          <w:rFonts w:eastAsia="黑体"/>
          <w:sz w:val="18"/>
          <w:szCs w:val="18"/>
        </w:rPr>
        <w:t>5  双工况制冷机组</w:t>
      </w:r>
      <w:bookmarkEnd w:id="51"/>
      <w:r>
        <w:rPr>
          <w:rFonts w:eastAsia="黑体"/>
          <w:sz w:val="18"/>
          <w:szCs w:val="18"/>
        </w:rPr>
        <w:t>性能系数和其蓄冰工况的制冷量变化率</w:t>
      </w:r>
    </w:p>
    <w:tbl>
      <w:tblPr>
        <w:tblStyle w:val="31"/>
        <w:tblW w:w="0" w:type="auto"/>
        <w:tblInd w:w="13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4"/>
        <w:gridCol w:w="1134"/>
        <w:gridCol w:w="1134"/>
        <w:gridCol w:w="1559"/>
        <w:gridCol w:w="1418"/>
        <w:gridCol w:w="1134"/>
        <w:gridCol w:w="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vMerge w:val="restart"/>
          </w:tcPr>
          <w:p>
            <w:pPr>
              <w:jc w:val="left"/>
              <w:rPr>
                <w:rFonts w:eastAsiaTheme="majorEastAsia"/>
                <w:sz w:val="15"/>
                <w:szCs w:val="15"/>
              </w:rPr>
            </w:pPr>
            <w:r>
              <w:rPr>
                <w:rFonts w:eastAsiaTheme="majorEastAsia"/>
                <w:sz w:val="15"/>
                <w:szCs w:val="15"/>
              </w:rPr>
              <w:t>名义制冷量</w:t>
            </w:r>
          </w:p>
          <w:p>
            <w:pPr>
              <w:jc w:val="center"/>
              <w:rPr>
                <w:rFonts w:eastAsiaTheme="majorEastAsia"/>
                <w:sz w:val="15"/>
                <w:szCs w:val="15"/>
              </w:rPr>
            </w:pPr>
            <w:r>
              <w:rPr>
                <w:rFonts w:eastAsiaTheme="majorEastAsia"/>
                <w:sz w:val="15"/>
                <w:szCs w:val="15"/>
              </w:rPr>
              <w:t>kW</w:t>
            </w:r>
          </w:p>
        </w:tc>
        <w:tc>
          <w:tcPr>
            <w:tcW w:w="5245" w:type="dxa"/>
            <w:gridSpan w:val="4"/>
          </w:tcPr>
          <w:p>
            <w:pPr>
              <w:jc w:val="center"/>
              <w:rPr>
                <w:rFonts w:eastAsiaTheme="majorEastAsia"/>
                <w:sz w:val="15"/>
                <w:szCs w:val="15"/>
              </w:rPr>
            </w:pPr>
            <w:r>
              <w:rPr>
                <w:rFonts w:eastAsiaTheme="majorEastAsia"/>
                <w:sz w:val="15"/>
                <w:szCs w:val="15"/>
              </w:rPr>
              <w:t>空调工况</w:t>
            </w:r>
          </w:p>
        </w:tc>
        <w:tc>
          <w:tcPr>
            <w:tcW w:w="1780" w:type="dxa"/>
            <w:gridSpan w:val="2"/>
          </w:tcPr>
          <w:p>
            <w:pPr>
              <w:jc w:val="center"/>
              <w:rPr>
                <w:rFonts w:eastAsiaTheme="majorEastAsia"/>
                <w:sz w:val="15"/>
                <w:szCs w:val="15"/>
              </w:rPr>
            </w:pPr>
            <w:r>
              <w:rPr>
                <w:rFonts w:eastAsiaTheme="majorEastAsia"/>
                <w:sz w:val="15"/>
                <w:szCs w:val="15"/>
              </w:rPr>
              <w:t>蓄冰工况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vMerge w:val="continue"/>
          </w:tcPr>
          <w:p>
            <w:pPr>
              <w:jc w:val="center"/>
              <w:rPr>
                <w:rFonts w:eastAsiaTheme="majorEastAsia"/>
                <w:sz w:val="15"/>
                <w:szCs w:val="15"/>
              </w:rPr>
            </w:pPr>
          </w:p>
        </w:tc>
        <w:tc>
          <w:tcPr>
            <w:tcW w:w="1134" w:type="dxa"/>
          </w:tcPr>
          <w:p>
            <w:pPr>
              <w:jc w:val="center"/>
              <w:rPr>
                <w:rFonts w:eastAsiaTheme="majorEastAsia"/>
                <w:sz w:val="15"/>
                <w:szCs w:val="15"/>
              </w:rPr>
            </w:pPr>
            <w:r>
              <w:rPr>
                <w:rFonts w:eastAsiaTheme="majorEastAsia"/>
                <w:sz w:val="15"/>
                <w:szCs w:val="15"/>
              </w:rPr>
              <w:t>定频制冷机组性能系数</w:t>
            </w:r>
          </w:p>
          <w:p>
            <w:pPr>
              <w:jc w:val="center"/>
              <w:rPr>
                <w:rFonts w:eastAsiaTheme="majorEastAsia"/>
                <w:sz w:val="15"/>
                <w:szCs w:val="15"/>
              </w:rPr>
            </w:pPr>
            <w:bookmarkStart w:id="52" w:name="_Hlk146233457"/>
            <w:r>
              <w:rPr>
                <w:rFonts w:eastAsiaTheme="majorEastAsia"/>
                <w:sz w:val="15"/>
                <w:szCs w:val="15"/>
              </w:rPr>
              <w:t xml:space="preserve">(COP) </w:t>
            </w:r>
          </w:p>
          <w:bookmarkEnd w:id="52"/>
          <w:p>
            <w:pPr>
              <w:jc w:val="center"/>
              <w:rPr>
                <w:rFonts w:eastAsiaTheme="majorEastAsia"/>
                <w:sz w:val="15"/>
                <w:szCs w:val="15"/>
              </w:rPr>
            </w:pPr>
            <w:r>
              <w:rPr>
                <w:sz w:val="15"/>
                <w:szCs w:val="15"/>
              </w:rPr>
              <w:t>W/W</w:t>
            </w:r>
          </w:p>
        </w:tc>
        <w:tc>
          <w:tcPr>
            <w:tcW w:w="1134" w:type="dxa"/>
          </w:tcPr>
          <w:p>
            <w:pPr>
              <w:jc w:val="center"/>
              <w:rPr>
                <w:rFonts w:eastAsiaTheme="majorEastAsia"/>
                <w:sz w:val="15"/>
                <w:szCs w:val="15"/>
              </w:rPr>
            </w:pPr>
            <w:r>
              <w:rPr>
                <w:rFonts w:eastAsiaTheme="majorEastAsia"/>
                <w:sz w:val="15"/>
                <w:szCs w:val="15"/>
              </w:rPr>
              <w:t>变频制冷机组性能系数</w:t>
            </w:r>
          </w:p>
          <w:p>
            <w:pPr>
              <w:jc w:val="center"/>
              <w:rPr>
                <w:rFonts w:eastAsiaTheme="majorEastAsia"/>
                <w:sz w:val="15"/>
                <w:szCs w:val="15"/>
              </w:rPr>
            </w:pPr>
            <w:r>
              <w:rPr>
                <w:rFonts w:eastAsiaTheme="majorEastAsia"/>
                <w:sz w:val="15"/>
                <w:szCs w:val="15"/>
              </w:rPr>
              <w:t xml:space="preserve">(COP) </w:t>
            </w:r>
          </w:p>
          <w:p>
            <w:pPr>
              <w:jc w:val="center"/>
              <w:rPr>
                <w:rFonts w:eastAsiaTheme="majorEastAsia"/>
                <w:sz w:val="15"/>
                <w:szCs w:val="15"/>
              </w:rPr>
            </w:pPr>
            <w:r>
              <w:rPr>
                <w:sz w:val="15"/>
                <w:szCs w:val="15"/>
              </w:rPr>
              <w:t>W/W</w:t>
            </w:r>
          </w:p>
        </w:tc>
        <w:tc>
          <w:tcPr>
            <w:tcW w:w="1559" w:type="dxa"/>
          </w:tcPr>
          <w:p>
            <w:pPr>
              <w:jc w:val="center"/>
              <w:rPr>
                <w:rFonts w:eastAsiaTheme="majorEastAsia"/>
                <w:sz w:val="15"/>
                <w:szCs w:val="15"/>
              </w:rPr>
            </w:pPr>
            <w:r>
              <w:rPr>
                <w:rFonts w:eastAsiaTheme="majorEastAsia"/>
                <w:sz w:val="15"/>
                <w:szCs w:val="15"/>
              </w:rPr>
              <w:t>定频制冷机组</w:t>
            </w:r>
            <w:bookmarkStart w:id="53" w:name="_Hlk146237270"/>
            <w:bookmarkStart w:id="54" w:name="_Hlk146233438"/>
            <w:r>
              <w:rPr>
                <w:rFonts w:eastAsiaTheme="majorEastAsia"/>
                <w:sz w:val="15"/>
                <w:szCs w:val="15"/>
              </w:rPr>
              <w:t>综合部分负荷性能系数</w:t>
            </w:r>
            <w:bookmarkEnd w:id="53"/>
            <w:r>
              <w:rPr>
                <w:rFonts w:eastAsiaTheme="majorEastAsia"/>
                <w:sz w:val="15"/>
                <w:szCs w:val="15"/>
              </w:rPr>
              <w:t>（IPLV）</w:t>
            </w:r>
            <w:bookmarkEnd w:id="54"/>
          </w:p>
          <w:p>
            <w:pPr>
              <w:jc w:val="center"/>
              <w:rPr>
                <w:rFonts w:eastAsiaTheme="majorEastAsia"/>
                <w:sz w:val="15"/>
                <w:szCs w:val="15"/>
              </w:rPr>
            </w:pPr>
            <w:r>
              <w:rPr>
                <w:rFonts w:eastAsiaTheme="majorEastAsia"/>
                <w:sz w:val="15"/>
                <w:szCs w:val="15"/>
              </w:rPr>
              <w:t>W/W</w:t>
            </w:r>
          </w:p>
        </w:tc>
        <w:tc>
          <w:tcPr>
            <w:tcW w:w="1418" w:type="dxa"/>
          </w:tcPr>
          <w:p>
            <w:pPr>
              <w:jc w:val="center"/>
              <w:rPr>
                <w:rFonts w:eastAsiaTheme="majorEastAsia"/>
                <w:sz w:val="15"/>
                <w:szCs w:val="15"/>
              </w:rPr>
            </w:pPr>
            <w:r>
              <w:rPr>
                <w:rFonts w:eastAsiaTheme="majorEastAsia"/>
                <w:sz w:val="15"/>
                <w:szCs w:val="15"/>
              </w:rPr>
              <w:t>变频制冷机组综合部分负荷性能系数（IPLV）</w:t>
            </w:r>
          </w:p>
          <w:p>
            <w:pPr>
              <w:jc w:val="center"/>
              <w:rPr>
                <w:rFonts w:eastAsiaTheme="majorEastAsia"/>
                <w:sz w:val="15"/>
                <w:szCs w:val="15"/>
              </w:rPr>
            </w:pPr>
            <w:r>
              <w:rPr>
                <w:rFonts w:eastAsiaTheme="majorEastAsia"/>
                <w:sz w:val="15"/>
                <w:szCs w:val="15"/>
              </w:rPr>
              <w:t>W/W</w:t>
            </w:r>
          </w:p>
        </w:tc>
        <w:tc>
          <w:tcPr>
            <w:tcW w:w="1134" w:type="dxa"/>
          </w:tcPr>
          <w:p>
            <w:pPr>
              <w:jc w:val="center"/>
              <w:rPr>
                <w:rFonts w:eastAsiaTheme="majorEastAsia"/>
                <w:sz w:val="15"/>
                <w:szCs w:val="15"/>
              </w:rPr>
            </w:pPr>
            <w:r>
              <w:rPr>
                <w:rFonts w:eastAsiaTheme="majorEastAsia"/>
                <w:sz w:val="15"/>
                <w:szCs w:val="15"/>
              </w:rPr>
              <w:t>制冷机组</w:t>
            </w:r>
          </w:p>
          <w:p>
            <w:pPr>
              <w:jc w:val="center"/>
              <w:rPr>
                <w:rFonts w:eastAsiaTheme="majorEastAsia"/>
                <w:sz w:val="15"/>
                <w:szCs w:val="15"/>
              </w:rPr>
            </w:pPr>
            <w:r>
              <w:rPr>
                <w:rFonts w:eastAsiaTheme="majorEastAsia"/>
                <w:sz w:val="15"/>
                <w:szCs w:val="15"/>
              </w:rPr>
              <w:t>性能系数(COP)</w:t>
            </w:r>
          </w:p>
          <w:p>
            <w:pPr>
              <w:jc w:val="center"/>
              <w:rPr>
                <w:sz w:val="15"/>
                <w:szCs w:val="15"/>
              </w:rPr>
            </w:pPr>
            <w:r>
              <w:rPr>
                <w:sz w:val="15"/>
                <w:szCs w:val="15"/>
              </w:rPr>
              <w:t>W/W</w:t>
            </w:r>
          </w:p>
        </w:tc>
        <w:tc>
          <w:tcPr>
            <w:tcW w:w="646" w:type="dxa"/>
          </w:tcPr>
          <w:p>
            <w:pPr>
              <w:jc w:val="center"/>
              <w:rPr>
                <w:rFonts w:eastAsiaTheme="majorEastAsia"/>
                <w:sz w:val="15"/>
                <w:szCs w:val="15"/>
              </w:rPr>
            </w:pPr>
            <w:r>
              <w:rPr>
                <w:sz w:val="15"/>
                <w:szCs w:val="15"/>
              </w:rPr>
              <w:t>制冷量变化率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9" w:hRule="atLeast"/>
        </w:trPr>
        <w:tc>
          <w:tcPr>
            <w:tcW w:w="1134" w:type="dxa"/>
            <w:shd w:val="clear" w:color="auto" w:fill="auto"/>
            <w:vAlign w:val="center"/>
          </w:tcPr>
          <w:p>
            <w:pPr>
              <w:widowControl/>
              <w:jc w:val="center"/>
              <w:rPr>
                <w:kern w:val="0"/>
                <w:sz w:val="15"/>
                <w:szCs w:val="15"/>
              </w:rPr>
            </w:pPr>
            <w:r>
              <w:rPr>
                <w:kern w:val="0"/>
                <w:sz w:val="15"/>
                <w:szCs w:val="15"/>
              </w:rPr>
              <w:t>CC</w:t>
            </w:r>
            <w:r>
              <w:rPr>
                <w:rFonts w:eastAsia="黑体"/>
                <w:b/>
                <w:sz w:val="15"/>
                <w:szCs w:val="15"/>
              </w:rPr>
              <w:t>≤</w:t>
            </w:r>
            <w:r>
              <w:rPr>
                <w:kern w:val="0"/>
                <w:sz w:val="15"/>
                <w:szCs w:val="15"/>
              </w:rPr>
              <w:t>528</w:t>
            </w:r>
          </w:p>
        </w:tc>
        <w:tc>
          <w:tcPr>
            <w:tcW w:w="1134" w:type="dxa"/>
          </w:tcPr>
          <w:p>
            <w:pPr>
              <w:spacing w:line="276" w:lineRule="auto"/>
              <w:jc w:val="center"/>
              <w:rPr>
                <w:rFonts w:eastAsiaTheme="majorEastAsia"/>
                <w:sz w:val="15"/>
                <w:szCs w:val="15"/>
              </w:rPr>
            </w:pPr>
            <w:r>
              <w:rPr>
                <w:sz w:val="15"/>
                <w:szCs w:val="15"/>
              </w:rPr>
              <w:t>5.0</w:t>
            </w:r>
          </w:p>
        </w:tc>
        <w:tc>
          <w:tcPr>
            <w:tcW w:w="1134" w:type="dxa"/>
          </w:tcPr>
          <w:p>
            <w:pPr>
              <w:spacing w:line="276" w:lineRule="auto"/>
              <w:jc w:val="center"/>
              <w:rPr>
                <w:sz w:val="15"/>
                <w:szCs w:val="15"/>
              </w:rPr>
            </w:pPr>
          </w:p>
        </w:tc>
        <w:tc>
          <w:tcPr>
            <w:tcW w:w="1559" w:type="dxa"/>
          </w:tcPr>
          <w:p>
            <w:pPr>
              <w:spacing w:line="276" w:lineRule="auto"/>
              <w:jc w:val="center"/>
              <w:rPr>
                <w:sz w:val="15"/>
                <w:szCs w:val="15"/>
              </w:rPr>
            </w:pPr>
            <w:r>
              <w:rPr>
                <w:sz w:val="15"/>
                <w:szCs w:val="15"/>
              </w:rPr>
              <w:t>6.3</w:t>
            </w:r>
          </w:p>
        </w:tc>
        <w:tc>
          <w:tcPr>
            <w:tcW w:w="1418" w:type="dxa"/>
          </w:tcPr>
          <w:p>
            <w:pPr>
              <w:spacing w:line="276" w:lineRule="auto"/>
              <w:jc w:val="center"/>
              <w:rPr>
                <w:rFonts w:eastAsiaTheme="majorEastAsia"/>
                <w:sz w:val="15"/>
                <w:szCs w:val="15"/>
              </w:rPr>
            </w:pPr>
          </w:p>
        </w:tc>
        <w:tc>
          <w:tcPr>
            <w:tcW w:w="1134" w:type="dxa"/>
          </w:tcPr>
          <w:p>
            <w:pPr>
              <w:jc w:val="center"/>
              <w:rPr>
                <w:rFonts w:eastAsiaTheme="majorEastAsia"/>
                <w:sz w:val="15"/>
                <w:szCs w:val="15"/>
              </w:rPr>
            </w:pPr>
            <w:r>
              <w:rPr>
                <w:rFonts w:eastAsiaTheme="majorEastAsia"/>
                <w:sz w:val="15"/>
                <w:szCs w:val="15"/>
              </w:rPr>
              <w:t>3.8</w:t>
            </w:r>
          </w:p>
        </w:tc>
        <w:tc>
          <w:tcPr>
            <w:tcW w:w="646" w:type="dxa"/>
            <w:vMerge w:val="restart"/>
          </w:tcPr>
          <w:p>
            <w:pPr>
              <w:spacing w:line="480" w:lineRule="auto"/>
              <w:jc w:val="center"/>
              <w:rPr>
                <w:rFonts w:eastAsiaTheme="majorEastAsia"/>
                <w:sz w:val="15"/>
                <w:szCs w:val="15"/>
              </w:rPr>
            </w:pPr>
            <w:r>
              <w:rPr>
                <w:rFonts w:eastAsiaTheme="majorEastAsia"/>
                <w:sz w:val="15"/>
                <w:szCs w:val="15"/>
              </w:rPr>
              <w:t>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shd w:val="clear" w:color="auto" w:fill="auto"/>
            <w:vAlign w:val="center"/>
          </w:tcPr>
          <w:p>
            <w:pPr>
              <w:widowControl/>
              <w:rPr>
                <w:kern w:val="0"/>
                <w:sz w:val="15"/>
                <w:szCs w:val="15"/>
              </w:rPr>
            </w:pPr>
            <w:r>
              <w:rPr>
                <w:kern w:val="0"/>
                <w:sz w:val="15"/>
                <w:szCs w:val="15"/>
              </w:rPr>
              <w:t>52</w:t>
            </w:r>
            <w:r>
              <w:rPr>
                <w:sz w:val="15"/>
                <w:szCs w:val="15"/>
              </w:rPr>
              <w:t>＜</w:t>
            </w:r>
            <w:r>
              <w:rPr>
                <w:kern w:val="0"/>
                <w:sz w:val="15"/>
                <w:szCs w:val="15"/>
              </w:rPr>
              <w:t>CC</w:t>
            </w:r>
            <w:r>
              <w:rPr>
                <w:rFonts w:eastAsia="黑体"/>
                <w:b/>
                <w:sz w:val="15"/>
                <w:szCs w:val="15"/>
              </w:rPr>
              <w:t>≤</w:t>
            </w:r>
            <w:r>
              <w:rPr>
                <w:kern w:val="0"/>
                <w:sz w:val="15"/>
                <w:szCs w:val="15"/>
              </w:rPr>
              <w:t>1163</w:t>
            </w:r>
          </w:p>
        </w:tc>
        <w:tc>
          <w:tcPr>
            <w:tcW w:w="1134" w:type="dxa"/>
            <w:tcBorders>
              <w:top w:val="nil"/>
            </w:tcBorders>
          </w:tcPr>
          <w:p>
            <w:pPr>
              <w:spacing w:line="276" w:lineRule="auto"/>
              <w:jc w:val="center"/>
              <w:rPr>
                <w:rFonts w:eastAsiaTheme="majorEastAsia"/>
                <w:sz w:val="15"/>
                <w:szCs w:val="15"/>
              </w:rPr>
            </w:pPr>
            <w:r>
              <w:rPr>
                <w:sz w:val="15"/>
                <w:szCs w:val="15"/>
              </w:rPr>
              <w:t>5.3</w:t>
            </w:r>
          </w:p>
        </w:tc>
        <w:tc>
          <w:tcPr>
            <w:tcW w:w="1134" w:type="dxa"/>
          </w:tcPr>
          <w:p>
            <w:pPr>
              <w:spacing w:line="276" w:lineRule="auto"/>
              <w:jc w:val="center"/>
              <w:rPr>
                <w:sz w:val="15"/>
                <w:szCs w:val="15"/>
              </w:rPr>
            </w:pPr>
          </w:p>
        </w:tc>
        <w:tc>
          <w:tcPr>
            <w:tcW w:w="1559" w:type="dxa"/>
          </w:tcPr>
          <w:p>
            <w:pPr>
              <w:spacing w:line="276" w:lineRule="auto"/>
              <w:jc w:val="center"/>
              <w:rPr>
                <w:sz w:val="15"/>
                <w:szCs w:val="15"/>
              </w:rPr>
            </w:pPr>
            <w:r>
              <w:rPr>
                <w:sz w:val="15"/>
                <w:szCs w:val="15"/>
              </w:rPr>
              <w:t>7.0</w:t>
            </w:r>
          </w:p>
        </w:tc>
        <w:tc>
          <w:tcPr>
            <w:tcW w:w="1418" w:type="dxa"/>
          </w:tcPr>
          <w:p>
            <w:pPr>
              <w:spacing w:line="276" w:lineRule="auto"/>
              <w:jc w:val="center"/>
              <w:rPr>
                <w:rFonts w:eastAsiaTheme="majorEastAsia"/>
                <w:sz w:val="15"/>
                <w:szCs w:val="15"/>
              </w:rPr>
            </w:pPr>
          </w:p>
        </w:tc>
        <w:tc>
          <w:tcPr>
            <w:tcW w:w="1134" w:type="dxa"/>
          </w:tcPr>
          <w:p>
            <w:pPr>
              <w:jc w:val="center"/>
              <w:rPr>
                <w:rFonts w:eastAsiaTheme="majorEastAsia"/>
                <w:sz w:val="15"/>
                <w:szCs w:val="15"/>
              </w:rPr>
            </w:pPr>
            <w:r>
              <w:rPr>
                <w:rFonts w:eastAsiaTheme="majorEastAsia"/>
                <w:sz w:val="15"/>
                <w:szCs w:val="15"/>
              </w:rPr>
              <w:t>4.0</w:t>
            </w:r>
          </w:p>
        </w:tc>
        <w:tc>
          <w:tcPr>
            <w:tcW w:w="646" w:type="dxa"/>
            <w:vMerge w:val="continue"/>
          </w:tcPr>
          <w:p>
            <w:pPr>
              <w:spacing w:line="276" w:lineRule="auto"/>
              <w:jc w:val="center"/>
              <w:rPr>
                <w:rFonts w:eastAsiaTheme="majorEastAsia"/>
                <w:sz w:val="15"/>
                <w:szCs w:val="15"/>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4" w:type="dxa"/>
            <w:shd w:val="clear" w:color="auto" w:fill="auto"/>
            <w:vAlign w:val="center"/>
          </w:tcPr>
          <w:p>
            <w:pPr>
              <w:widowControl/>
              <w:jc w:val="center"/>
              <w:rPr>
                <w:kern w:val="0"/>
                <w:sz w:val="15"/>
                <w:szCs w:val="15"/>
              </w:rPr>
            </w:pPr>
            <w:r>
              <w:rPr>
                <w:kern w:val="0"/>
                <w:sz w:val="15"/>
                <w:szCs w:val="15"/>
              </w:rPr>
              <w:t>CC＞1163</w:t>
            </w:r>
          </w:p>
        </w:tc>
        <w:tc>
          <w:tcPr>
            <w:tcW w:w="1134" w:type="dxa"/>
          </w:tcPr>
          <w:p>
            <w:pPr>
              <w:spacing w:line="276" w:lineRule="auto"/>
              <w:jc w:val="center"/>
              <w:rPr>
                <w:rFonts w:eastAsiaTheme="majorEastAsia"/>
                <w:sz w:val="15"/>
                <w:szCs w:val="15"/>
              </w:rPr>
            </w:pPr>
            <w:r>
              <w:rPr>
                <w:sz w:val="15"/>
                <w:szCs w:val="15"/>
              </w:rPr>
              <w:t>5.7</w:t>
            </w:r>
          </w:p>
        </w:tc>
        <w:tc>
          <w:tcPr>
            <w:tcW w:w="1134" w:type="dxa"/>
          </w:tcPr>
          <w:p>
            <w:pPr>
              <w:spacing w:line="276" w:lineRule="auto"/>
              <w:jc w:val="center"/>
              <w:rPr>
                <w:sz w:val="15"/>
                <w:szCs w:val="15"/>
              </w:rPr>
            </w:pPr>
          </w:p>
        </w:tc>
        <w:tc>
          <w:tcPr>
            <w:tcW w:w="1559" w:type="dxa"/>
          </w:tcPr>
          <w:p>
            <w:pPr>
              <w:spacing w:line="276" w:lineRule="auto"/>
              <w:jc w:val="center"/>
              <w:rPr>
                <w:sz w:val="15"/>
                <w:szCs w:val="15"/>
              </w:rPr>
            </w:pPr>
            <w:r>
              <w:rPr>
                <w:sz w:val="15"/>
                <w:szCs w:val="15"/>
              </w:rPr>
              <w:t>7.60</w:t>
            </w:r>
          </w:p>
        </w:tc>
        <w:tc>
          <w:tcPr>
            <w:tcW w:w="1418" w:type="dxa"/>
          </w:tcPr>
          <w:p>
            <w:pPr>
              <w:spacing w:line="276" w:lineRule="auto"/>
              <w:jc w:val="center"/>
              <w:rPr>
                <w:rFonts w:eastAsiaTheme="majorEastAsia"/>
                <w:sz w:val="15"/>
                <w:szCs w:val="15"/>
              </w:rPr>
            </w:pPr>
          </w:p>
        </w:tc>
        <w:tc>
          <w:tcPr>
            <w:tcW w:w="1134" w:type="dxa"/>
          </w:tcPr>
          <w:p>
            <w:pPr>
              <w:jc w:val="center"/>
              <w:rPr>
                <w:rFonts w:eastAsiaTheme="majorEastAsia"/>
                <w:sz w:val="15"/>
                <w:szCs w:val="15"/>
              </w:rPr>
            </w:pPr>
            <w:r>
              <w:rPr>
                <w:rFonts w:eastAsiaTheme="majorEastAsia"/>
                <w:sz w:val="15"/>
                <w:szCs w:val="15"/>
              </w:rPr>
              <w:t>4.2</w:t>
            </w:r>
          </w:p>
        </w:tc>
        <w:tc>
          <w:tcPr>
            <w:tcW w:w="646" w:type="dxa"/>
          </w:tcPr>
          <w:p>
            <w:pPr>
              <w:spacing w:line="276" w:lineRule="auto"/>
              <w:jc w:val="center"/>
              <w:rPr>
                <w:rFonts w:eastAsiaTheme="majorEastAsia"/>
                <w:sz w:val="15"/>
                <w:szCs w:val="15"/>
              </w:rPr>
            </w:pPr>
            <w:r>
              <w:rPr>
                <w:rFonts w:eastAsiaTheme="majorEastAsia"/>
                <w:sz w:val="15"/>
                <w:szCs w:val="15"/>
              </w:rPr>
              <w:t>60%</w:t>
            </w:r>
          </w:p>
        </w:tc>
      </w:tr>
    </w:tbl>
    <w:p>
      <w:pPr>
        <w:spacing w:line="276" w:lineRule="auto"/>
      </w:pPr>
    </w:p>
    <w:p>
      <w:pPr>
        <w:spacing w:line="276" w:lineRule="auto"/>
        <w:ind w:firstLine="420" w:firstLineChars="200"/>
        <w:rPr>
          <w:rFonts w:eastAsia="楷体"/>
        </w:rPr>
      </w:pPr>
    </w:p>
    <w:p>
      <w:pPr>
        <w:spacing w:line="360" w:lineRule="auto"/>
        <w:rPr>
          <w:sz w:val="24"/>
          <w:szCs w:val="32"/>
        </w:rPr>
      </w:pPr>
      <w:r>
        <w:rPr>
          <w:b/>
          <w:sz w:val="24"/>
          <w:szCs w:val="32"/>
        </w:rPr>
        <w:t>4.2.6</w:t>
      </w:r>
      <w:r>
        <w:rPr>
          <w:sz w:val="24"/>
          <w:szCs w:val="32"/>
        </w:rPr>
        <w:t>采用电机驱动的蒸气压缩循环高出水温度冷水（热泵）机组时，其在名义工况和规定条件下的性能系数（COP）和综合部分负荷性能系数IPLV不应低于表4.2.6中的</w:t>
      </w:r>
      <w:r>
        <w:rPr>
          <w:rFonts w:hint="eastAsia"/>
          <w:sz w:val="24"/>
          <w:szCs w:val="32"/>
        </w:rPr>
        <w:t>限</w:t>
      </w:r>
      <w:r>
        <w:rPr>
          <w:sz w:val="24"/>
          <w:szCs w:val="32"/>
        </w:rPr>
        <w:t>值。</w:t>
      </w:r>
    </w:p>
    <w:p>
      <w:pPr>
        <w:spacing w:line="276" w:lineRule="auto"/>
        <w:jc w:val="center"/>
        <w:rPr>
          <w:rFonts w:eastAsia="黑体"/>
          <w:sz w:val="18"/>
          <w:szCs w:val="18"/>
        </w:rPr>
      </w:pPr>
      <w:r>
        <w:rPr>
          <w:rFonts w:eastAsia="黑体"/>
          <w:sz w:val="18"/>
          <w:szCs w:val="18"/>
        </w:rPr>
        <w:t>表4.2.6  高出水温度冷水（热泵）机组性能系数(COP)和综合部分负荷性能系数[IPLV（HT）]</w:t>
      </w:r>
    </w:p>
    <w:tbl>
      <w:tblPr>
        <w:tblStyle w:val="3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6"/>
        <w:gridCol w:w="1134"/>
        <w:gridCol w:w="1417"/>
        <w:gridCol w:w="1560"/>
        <w:gridCol w:w="1559"/>
        <w:gridCol w:w="1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tcPr>
          <w:p>
            <w:pPr>
              <w:jc w:val="center"/>
              <w:rPr>
                <w:sz w:val="15"/>
                <w:szCs w:val="15"/>
              </w:rPr>
            </w:pPr>
          </w:p>
          <w:p>
            <w:pPr>
              <w:jc w:val="center"/>
              <w:rPr>
                <w:sz w:val="15"/>
                <w:szCs w:val="15"/>
              </w:rPr>
            </w:pPr>
            <w:r>
              <w:rPr>
                <w:sz w:val="15"/>
                <w:szCs w:val="15"/>
              </w:rPr>
              <w:t>机组类型</w:t>
            </w:r>
          </w:p>
        </w:tc>
        <w:tc>
          <w:tcPr>
            <w:tcW w:w="1134" w:type="dxa"/>
          </w:tcPr>
          <w:p>
            <w:pPr>
              <w:jc w:val="center"/>
              <w:rPr>
                <w:sz w:val="15"/>
                <w:szCs w:val="15"/>
              </w:rPr>
            </w:pPr>
            <w:r>
              <w:rPr>
                <w:sz w:val="15"/>
                <w:szCs w:val="15"/>
              </w:rPr>
              <w:t>机组制冷量</w:t>
            </w:r>
          </w:p>
          <w:p>
            <w:pPr>
              <w:jc w:val="center"/>
              <w:rPr>
                <w:sz w:val="15"/>
                <w:szCs w:val="15"/>
              </w:rPr>
            </w:pPr>
            <w:r>
              <w:rPr>
                <w:sz w:val="15"/>
                <w:szCs w:val="15"/>
              </w:rPr>
              <w:t>kW</w:t>
            </w:r>
          </w:p>
        </w:tc>
        <w:tc>
          <w:tcPr>
            <w:tcW w:w="1417" w:type="dxa"/>
          </w:tcPr>
          <w:p>
            <w:pPr>
              <w:jc w:val="center"/>
              <w:rPr>
                <w:sz w:val="15"/>
                <w:szCs w:val="15"/>
              </w:rPr>
            </w:pPr>
            <w:r>
              <w:rPr>
                <w:sz w:val="15"/>
                <w:szCs w:val="15"/>
              </w:rPr>
              <w:t>定频机组性能系数（COP）</w:t>
            </w:r>
          </w:p>
          <w:p>
            <w:pPr>
              <w:jc w:val="center"/>
              <w:rPr>
                <w:sz w:val="15"/>
                <w:szCs w:val="15"/>
              </w:rPr>
            </w:pPr>
            <w:r>
              <w:rPr>
                <w:sz w:val="15"/>
                <w:szCs w:val="15"/>
              </w:rPr>
              <w:t>W/W</w:t>
            </w:r>
          </w:p>
        </w:tc>
        <w:tc>
          <w:tcPr>
            <w:tcW w:w="1560" w:type="dxa"/>
          </w:tcPr>
          <w:p>
            <w:pPr>
              <w:jc w:val="center"/>
              <w:rPr>
                <w:sz w:val="15"/>
                <w:szCs w:val="15"/>
              </w:rPr>
            </w:pPr>
            <w:r>
              <w:rPr>
                <w:sz w:val="15"/>
                <w:szCs w:val="15"/>
              </w:rPr>
              <w:t>变频机组性能系数（COP）</w:t>
            </w:r>
          </w:p>
          <w:p>
            <w:pPr>
              <w:jc w:val="center"/>
              <w:rPr>
                <w:sz w:val="15"/>
                <w:szCs w:val="15"/>
              </w:rPr>
            </w:pPr>
            <w:r>
              <w:rPr>
                <w:sz w:val="15"/>
                <w:szCs w:val="15"/>
              </w:rPr>
              <w:t>W/W</w:t>
            </w:r>
          </w:p>
        </w:tc>
        <w:tc>
          <w:tcPr>
            <w:tcW w:w="1559" w:type="dxa"/>
          </w:tcPr>
          <w:p>
            <w:pPr>
              <w:jc w:val="center"/>
              <w:rPr>
                <w:sz w:val="15"/>
                <w:szCs w:val="15"/>
                <w:vertAlign w:val="superscript"/>
              </w:rPr>
            </w:pPr>
            <w:r>
              <w:rPr>
                <w:sz w:val="15"/>
                <w:szCs w:val="15"/>
              </w:rPr>
              <w:t>定频机组</w:t>
            </w:r>
            <w:r>
              <w:rPr>
                <w:rFonts w:eastAsiaTheme="majorEastAsia"/>
                <w:sz w:val="15"/>
                <w:szCs w:val="15"/>
              </w:rPr>
              <w:t>综合部分负</w:t>
            </w:r>
            <w:r>
              <w:rPr>
                <w:sz w:val="15"/>
                <w:szCs w:val="15"/>
              </w:rPr>
              <w:t>荷性能系数IPLV]</w:t>
            </w:r>
            <w:r>
              <w:rPr>
                <w:sz w:val="15"/>
                <w:szCs w:val="15"/>
                <w:vertAlign w:val="superscript"/>
              </w:rPr>
              <w:t>a</w:t>
            </w:r>
          </w:p>
          <w:p>
            <w:pPr>
              <w:jc w:val="center"/>
              <w:rPr>
                <w:rFonts w:eastAsiaTheme="majorEastAsia"/>
                <w:sz w:val="15"/>
                <w:szCs w:val="15"/>
              </w:rPr>
            </w:pPr>
            <w:r>
              <w:rPr>
                <w:sz w:val="15"/>
                <w:szCs w:val="15"/>
              </w:rPr>
              <w:t>W/W</w:t>
            </w:r>
          </w:p>
        </w:tc>
        <w:tc>
          <w:tcPr>
            <w:tcW w:w="1780" w:type="dxa"/>
          </w:tcPr>
          <w:p>
            <w:pPr>
              <w:jc w:val="center"/>
              <w:rPr>
                <w:sz w:val="15"/>
                <w:szCs w:val="15"/>
              </w:rPr>
            </w:pPr>
            <w:r>
              <w:rPr>
                <w:sz w:val="15"/>
                <w:szCs w:val="15"/>
              </w:rPr>
              <w:t>变频机组综合部分</w:t>
            </w:r>
          </w:p>
          <w:p>
            <w:pPr>
              <w:jc w:val="center"/>
              <w:rPr>
                <w:sz w:val="15"/>
                <w:szCs w:val="15"/>
              </w:rPr>
            </w:pPr>
            <w:r>
              <w:rPr>
                <w:sz w:val="15"/>
                <w:szCs w:val="15"/>
              </w:rPr>
              <w:t>负荷性能系数</w:t>
            </w:r>
          </w:p>
          <w:p>
            <w:pPr>
              <w:jc w:val="center"/>
              <w:rPr>
                <w:sz w:val="15"/>
                <w:szCs w:val="15"/>
                <w:vertAlign w:val="superscript"/>
              </w:rPr>
            </w:pPr>
            <w:r>
              <w:rPr>
                <w:sz w:val="15"/>
                <w:szCs w:val="15"/>
              </w:rPr>
              <w:t>IPLV</w:t>
            </w:r>
            <w:r>
              <w:rPr>
                <w:sz w:val="15"/>
                <w:szCs w:val="15"/>
                <w:vertAlign w:val="superscript"/>
              </w:rPr>
              <w:t>a</w:t>
            </w:r>
          </w:p>
          <w:p>
            <w:pPr>
              <w:jc w:val="center"/>
              <w:rPr>
                <w:sz w:val="15"/>
                <w:szCs w:val="15"/>
                <w:vertAlign w:val="superscript"/>
              </w:rPr>
            </w:pPr>
            <w:r>
              <w:rPr>
                <w:sz w:val="15"/>
                <w:szCs w:val="15"/>
              </w:rPr>
              <w:t xml:space="preserve"> W/W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restart"/>
          </w:tcPr>
          <w:p>
            <w:pPr>
              <w:spacing w:line="276" w:lineRule="auto"/>
              <w:jc w:val="center"/>
              <w:rPr>
                <w:sz w:val="15"/>
                <w:szCs w:val="15"/>
              </w:rPr>
            </w:pPr>
          </w:p>
          <w:p>
            <w:pPr>
              <w:spacing w:line="276" w:lineRule="auto"/>
              <w:jc w:val="center"/>
              <w:rPr>
                <w:sz w:val="15"/>
                <w:szCs w:val="15"/>
              </w:rPr>
            </w:pPr>
            <w:r>
              <w:rPr>
                <w:sz w:val="15"/>
                <w:szCs w:val="15"/>
              </w:rPr>
              <w:t>水冷式</w:t>
            </w:r>
          </w:p>
        </w:tc>
        <w:tc>
          <w:tcPr>
            <w:tcW w:w="1134" w:type="dxa"/>
          </w:tcPr>
          <w:p>
            <w:pPr>
              <w:spacing w:line="276" w:lineRule="auto"/>
              <w:jc w:val="center"/>
              <w:rPr>
                <w:sz w:val="15"/>
                <w:szCs w:val="15"/>
              </w:rPr>
            </w:pPr>
            <w:r>
              <w:rPr>
                <w:sz w:val="15"/>
                <w:szCs w:val="15"/>
              </w:rPr>
              <w:t>≤528</w:t>
            </w:r>
          </w:p>
        </w:tc>
        <w:tc>
          <w:tcPr>
            <w:tcW w:w="1417" w:type="dxa"/>
          </w:tcPr>
          <w:p>
            <w:pPr>
              <w:spacing w:line="276" w:lineRule="auto"/>
              <w:jc w:val="center"/>
              <w:rPr>
                <w:sz w:val="15"/>
                <w:szCs w:val="15"/>
              </w:rPr>
            </w:pPr>
            <w:r>
              <w:rPr>
                <w:sz w:val="15"/>
                <w:szCs w:val="15"/>
              </w:rPr>
              <w:t>6.5</w:t>
            </w:r>
          </w:p>
        </w:tc>
        <w:tc>
          <w:tcPr>
            <w:tcW w:w="1560" w:type="dxa"/>
          </w:tcPr>
          <w:p>
            <w:pPr>
              <w:spacing w:line="276" w:lineRule="auto"/>
              <w:jc w:val="center"/>
              <w:rPr>
                <w:sz w:val="15"/>
                <w:szCs w:val="15"/>
              </w:rPr>
            </w:pPr>
            <w:r>
              <w:rPr>
                <w:sz w:val="15"/>
                <w:szCs w:val="15"/>
              </w:rPr>
              <w:t>6.1</w:t>
            </w:r>
          </w:p>
        </w:tc>
        <w:tc>
          <w:tcPr>
            <w:tcW w:w="1559" w:type="dxa"/>
          </w:tcPr>
          <w:p>
            <w:pPr>
              <w:spacing w:line="276" w:lineRule="auto"/>
              <w:jc w:val="center"/>
              <w:rPr>
                <w:sz w:val="15"/>
                <w:szCs w:val="15"/>
              </w:rPr>
            </w:pPr>
            <w:r>
              <w:rPr>
                <w:sz w:val="15"/>
                <w:szCs w:val="15"/>
              </w:rPr>
              <w:t>7.5</w:t>
            </w:r>
          </w:p>
        </w:tc>
        <w:tc>
          <w:tcPr>
            <w:tcW w:w="1780" w:type="dxa"/>
          </w:tcPr>
          <w:p>
            <w:pPr>
              <w:spacing w:line="276" w:lineRule="auto"/>
              <w:jc w:val="center"/>
              <w:rPr>
                <w:sz w:val="15"/>
                <w:szCs w:val="15"/>
              </w:rPr>
            </w:pPr>
            <w:r>
              <w:rPr>
                <w:sz w:val="15"/>
                <w:szCs w:val="15"/>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continue"/>
          </w:tcPr>
          <w:p>
            <w:pPr>
              <w:spacing w:line="276" w:lineRule="auto"/>
              <w:jc w:val="center"/>
              <w:rPr>
                <w:sz w:val="15"/>
                <w:szCs w:val="15"/>
              </w:rPr>
            </w:pPr>
          </w:p>
        </w:tc>
        <w:tc>
          <w:tcPr>
            <w:tcW w:w="1134" w:type="dxa"/>
          </w:tcPr>
          <w:p>
            <w:pPr>
              <w:spacing w:line="276" w:lineRule="auto"/>
              <w:jc w:val="center"/>
              <w:rPr>
                <w:sz w:val="15"/>
                <w:szCs w:val="15"/>
              </w:rPr>
            </w:pPr>
            <w:r>
              <w:rPr>
                <w:sz w:val="15"/>
                <w:szCs w:val="15"/>
              </w:rPr>
              <w:t>&gt;528~1163</w:t>
            </w:r>
          </w:p>
        </w:tc>
        <w:tc>
          <w:tcPr>
            <w:tcW w:w="1417" w:type="dxa"/>
          </w:tcPr>
          <w:p>
            <w:pPr>
              <w:spacing w:line="276" w:lineRule="auto"/>
              <w:jc w:val="center"/>
              <w:rPr>
                <w:sz w:val="15"/>
                <w:szCs w:val="15"/>
              </w:rPr>
            </w:pPr>
            <w:r>
              <w:rPr>
                <w:sz w:val="15"/>
                <w:szCs w:val="15"/>
              </w:rPr>
              <w:t>7.0</w:t>
            </w:r>
          </w:p>
        </w:tc>
        <w:tc>
          <w:tcPr>
            <w:tcW w:w="1560" w:type="dxa"/>
          </w:tcPr>
          <w:p>
            <w:pPr>
              <w:spacing w:line="276" w:lineRule="auto"/>
              <w:jc w:val="center"/>
              <w:rPr>
                <w:sz w:val="15"/>
                <w:szCs w:val="15"/>
              </w:rPr>
            </w:pPr>
            <w:r>
              <w:rPr>
                <w:sz w:val="15"/>
                <w:szCs w:val="15"/>
              </w:rPr>
              <w:t>6.5</w:t>
            </w:r>
          </w:p>
        </w:tc>
        <w:tc>
          <w:tcPr>
            <w:tcW w:w="1559" w:type="dxa"/>
          </w:tcPr>
          <w:p>
            <w:pPr>
              <w:spacing w:line="276" w:lineRule="auto"/>
              <w:jc w:val="center"/>
              <w:rPr>
                <w:sz w:val="15"/>
                <w:szCs w:val="15"/>
              </w:rPr>
            </w:pPr>
            <w:r>
              <w:rPr>
                <w:sz w:val="15"/>
                <w:szCs w:val="15"/>
              </w:rPr>
              <w:t>7.9</w:t>
            </w:r>
          </w:p>
        </w:tc>
        <w:tc>
          <w:tcPr>
            <w:tcW w:w="1780" w:type="dxa"/>
          </w:tcPr>
          <w:p>
            <w:pPr>
              <w:spacing w:line="276" w:lineRule="auto"/>
              <w:jc w:val="center"/>
              <w:rPr>
                <w:sz w:val="15"/>
                <w:szCs w:val="15"/>
              </w:rPr>
            </w:pPr>
            <w:r>
              <w:rPr>
                <w:sz w:val="15"/>
                <w:szCs w:val="15"/>
              </w:rPr>
              <w:t>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continue"/>
          </w:tcPr>
          <w:p>
            <w:pPr>
              <w:spacing w:line="276" w:lineRule="auto"/>
              <w:jc w:val="center"/>
              <w:rPr>
                <w:sz w:val="15"/>
                <w:szCs w:val="15"/>
              </w:rPr>
            </w:pPr>
          </w:p>
        </w:tc>
        <w:tc>
          <w:tcPr>
            <w:tcW w:w="1134" w:type="dxa"/>
          </w:tcPr>
          <w:p>
            <w:pPr>
              <w:spacing w:line="276" w:lineRule="auto"/>
              <w:jc w:val="center"/>
              <w:rPr>
                <w:sz w:val="15"/>
                <w:szCs w:val="15"/>
              </w:rPr>
            </w:pPr>
            <w:r>
              <w:rPr>
                <w:sz w:val="15"/>
                <w:szCs w:val="15"/>
              </w:rPr>
              <w:t>&gt;1163</w:t>
            </w:r>
          </w:p>
        </w:tc>
        <w:tc>
          <w:tcPr>
            <w:tcW w:w="1417" w:type="dxa"/>
          </w:tcPr>
          <w:p>
            <w:pPr>
              <w:spacing w:line="276" w:lineRule="auto"/>
              <w:jc w:val="center"/>
              <w:rPr>
                <w:sz w:val="15"/>
                <w:szCs w:val="15"/>
              </w:rPr>
            </w:pPr>
            <w:r>
              <w:rPr>
                <w:sz w:val="15"/>
                <w:szCs w:val="15"/>
              </w:rPr>
              <w:t>7.5</w:t>
            </w:r>
          </w:p>
        </w:tc>
        <w:tc>
          <w:tcPr>
            <w:tcW w:w="1560" w:type="dxa"/>
          </w:tcPr>
          <w:p>
            <w:pPr>
              <w:spacing w:line="276" w:lineRule="auto"/>
              <w:jc w:val="center"/>
              <w:rPr>
                <w:sz w:val="15"/>
                <w:szCs w:val="15"/>
              </w:rPr>
            </w:pPr>
            <w:r>
              <w:rPr>
                <w:sz w:val="15"/>
                <w:szCs w:val="15"/>
              </w:rPr>
              <w:t>7.0</w:t>
            </w:r>
          </w:p>
        </w:tc>
        <w:tc>
          <w:tcPr>
            <w:tcW w:w="1559" w:type="dxa"/>
          </w:tcPr>
          <w:p>
            <w:pPr>
              <w:spacing w:line="276" w:lineRule="auto"/>
              <w:jc w:val="center"/>
              <w:rPr>
                <w:sz w:val="15"/>
                <w:szCs w:val="15"/>
              </w:rPr>
            </w:pPr>
            <w:r>
              <w:rPr>
                <w:sz w:val="15"/>
                <w:szCs w:val="15"/>
              </w:rPr>
              <w:t>8.2</w:t>
            </w:r>
          </w:p>
        </w:tc>
        <w:tc>
          <w:tcPr>
            <w:tcW w:w="1780" w:type="dxa"/>
          </w:tcPr>
          <w:p>
            <w:pPr>
              <w:spacing w:line="276" w:lineRule="auto"/>
              <w:jc w:val="center"/>
              <w:rPr>
                <w:sz w:val="15"/>
                <w:szCs w:val="15"/>
              </w:rPr>
            </w:pPr>
            <w:r>
              <w:rPr>
                <w:sz w:val="15"/>
                <w:szCs w:val="15"/>
              </w:rPr>
              <w:t>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restart"/>
          </w:tcPr>
          <w:p>
            <w:pPr>
              <w:spacing w:line="276" w:lineRule="auto"/>
              <w:jc w:val="center"/>
              <w:rPr>
                <w:sz w:val="15"/>
                <w:szCs w:val="15"/>
              </w:rPr>
            </w:pPr>
            <w:r>
              <w:rPr>
                <w:sz w:val="15"/>
                <w:szCs w:val="15"/>
              </w:rPr>
              <w:t>风冷式</w:t>
            </w:r>
          </w:p>
        </w:tc>
        <w:tc>
          <w:tcPr>
            <w:tcW w:w="1134" w:type="dxa"/>
          </w:tcPr>
          <w:p>
            <w:pPr>
              <w:spacing w:line="276" w:lineRule="auto"/>
              <w:jc w:val="center"/>
              <w:rPr>
                <w:sz w:val="15"/>
                <w:szCs w:val="15"/>
              </w:rPr>
            </w:pPr>
            <w:r>
              <w:rPr>
                <w:sz w:val="15"/>
                <w:szCs w:val="15"/>
              </w:rPr>
              <w:t>≤50</w:t>
            </w:r>
          </w:p>
        </w:tc>
        <w:tc>
          <w:tcPr>
            <w:tcW w:w="1417" w:type="dxa"/>
          </w:tcPr>
          <w:p>
            <w:pPr>
              <w:spacing w:line="276" w:lineRule="auto"/>
              <w:jc w:val="center"/>
              <w:rPr>
                <w:sz w:val="15"/>
                <w:szCs w:val="15"/>
              </w:rPr>
            </w:pPr>
            <w:r>
              <w:rPr>
                <w:sz w:val="15"/>
                <w:szCs w:val="15"/>
              </w:rPr>
              <w:t>3.6</w:t>
            </w:r>
          </w:p>
        </w:tc>
        <w:tc>
          <w:tcPr>
            <w:tcW w:w="1560" w:type="dxa"/>
          </w:tcPr>
          <w:p>
            <w:pPr>
              <w:spacing w:line="276" w:lineRule="auto"/>
              <w:jc w:val="center"/>
              <w:rPr>
                <w:sz w:val="15"/>
                <w:szCs w:val="15"/>
              </w:rPr>
            </w:pPr>
            <w:r>
              <w:rPr>
                <w:sz w:val="15"/>
                <w:szCs w:val="15"/>
              </w:rPr>
              <w:t>3.3</w:t>
            </w:r>
          </w:p>
        </w:tc>
        <w:tc>
          <w:tcPr>
            <w:tcW w:w="1559" w:type="dxa"/>
          </w:tcPr>
          <w:p>
            <w:pPr>
              <w:spacing w:line="276" w:lineRule="auto"/>
              <w:jc w:val="center"/>
              <w:rPr>
                <w:sz w:val="15"/>
                <w:szCs w:val="15"/>
              </w:rPr>
            </w:pPr>
            <w:r>
              <w:rPr>
                <w:sz w:val="15"/>
                <w:szCs w:val="15"/>
              </w:rPr>
              <w:t>4.0</w:t>
            </w:r>
          </w:p>
        </w:tc>
        <w:tc>
          <w:tcPr>
            <w:tcW w:w="1780" w:type="dxa"/>
          </w:tcPr>
          <w:p>
            <w:pPr>
              <w:spacing w:line="276" w:lineRule="auto"/>
              <w:jc w:val="center"/>
              <w:rPr>
                <w:sz w:val="15"/>
                <w:szCs w:val="15"/>
              </w:rPr>
            </w:pPr>
            <w:r>
              <w:rPr>
                <w:sz w:val="15"/>
                <w:szCs w:val="15"/>
              </w:rPr>
              <w:t>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6" w:type="dxa"/>
            <w:vMerge w:val="continue"/>
          </w:tcPr>
          <w:p>
            <w:pPr>
              <w:spacing w:line="276" w:lineRule="auto"/>
              <w:jc w:val="center"/>
              <w:rPr>
                <w:sz w:val="15"/>
                <w:szCs w:val="15"/>
              </w:rPr>
            </w:pPr>
          </w:p>
        </w:tc>
        <w:tc>
          <w:tcPr>
            <w:tcW w:w="1134" w:type="dxa"/>
          </w:tcPr>
          <w:p>
            <w:pPr>
              <w:spacing w:line="276" w:lineRule="auto"/>
              <w:jc w:val="center"/>
              <w:rPr>
                <w:sz w:val="15"/>
                <w:szCs w:val="15"/>
              </w:rPr>
            </w:pPr>
            <w:r>
              <w:rPr>
                <w:sz w:val="15"/>
                <w:szCs w:val="15"/>
              </w:rPr>
              <w:t>&gt;50</w:t>
            </w:r>
          </w:p>
        </w:tc>
        <w:tc>
          <w:tcPr>
            <w:tcW w:w="1417" w:type="dxa"/>
          </w:tcPr>
          <w:p>
            <w:pPr>
              <w:spacing w:line="276" w:lineRule="auto"/>
              <w:jc w:val="center"/>
              <w:rPr>
                <w:sz w:val="15"/>
                <w:szCs w:val="15"/>
              </w:rPr>
            </w:pPr>
            <w:r>
              <w:rPr>
                <w:sz w:val="15"/>
                <w:szCs w:val="15"/>
              </w:rPr>
              <w:t>3.8</w:t>
            </w:r>
          </w:p>
        </w:tc>
        <w:tc>
          <w:tcPr>
            <w:tcW w:w="1560" w:type="dxa"/>
          </w:tcPr>
          <w:p>
            <w:pPr>
              <w:spacing w:line="276" w:lineRule="auto"/>
              <w:jc w:val="center"/>
              <w:rPr>
                <w:sz w:val="15"/>
                <w:szCs w:val="15"/>
              </w:rPr>
            </w:pPr>
            <w:r>
              <w:rPr>
                <w:sz w:val="15"/>
                <w:szCs w:val="15"/>
              </w:rPr>
              <w:t>3.5</w:t>
            </w:r>
          </w:p>
        </w:tc>
        <w:tc>
          <w:tcPr>
            <w:tcW w:w="1559" w:type="dxa"/>
          </w:tcPr>
          <w:p>
            <w:pPr>
              <w:spacing w:line="276" w:lineRule="auto"/>
              <w:jc w:val="center"/>
              <w:rPr>
                <w:sz w:val="15"/>
                <w:szCs w:val="15"/>
              </w:rPr>
            </w:pPr>
            <w:r>
              <w:rPr>
                <w:sz w:val="15"/>
                <w:szCs w:val="15"/>
              </w:rPr>
              <w:t>4.2</w:t>
            </w:r>
          </w:p>
        </w:tc>
        <w:tc>
          <w:tcPr>
            <w:tcW w:w="1780" w:type="dxa"/>
          </w:tcPr>
          <w:p>
            <w:pPr>
              <w:spacing w:line="276" w:lineRule="auto"/>
              <w:jc w:val="center"/>
              <w:rPr>
                <w:sz w:val="15"/>
                <w:szCs w:val="15"/>
              </w:rPr>
            </w:pPr>
            <w:r>
              <w:rPr>
                <w:sz w:val="15"/>
                <w:szCs w:val="15"/>
              </w:rPr>
              <w:t>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96" w:type="dxa"/>
            <w:gridSpan w:val="6"/>
          </w:tcPr>
          <w:p>
            <w:pPr>
              <w:spacing w:line="276" w:lineRule="auto"/>
              <w:jc w:val="left"/>
              <w:rPr>
                <w:sz w:val="15"/>
                <w:szCs w:val="15"/>
              </w:rPr>
            </w:pPr>
            <w:r>
              <w:rPr>
                <w:b/>
                <w:sz w:val="15"/>
                <w:szCs w:val="15"/>
              </w:rPr>
              <w:t>注:</w:t>
            </w:r>
            <w:r>
              <w:rPr>
                <w:sz w:val="15"/>
                <w:szCs w:val="15"/>
              </w:rPr>
              <w:t xml:space="preserve"> 蒸发器和冷凝器水侧的污垢系数按 GB/T 18430.1-2007 中附录C的规定进行修正。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96" w:type="dxa"/>
            <w:gridSpan w:val="6"/>
          </w:tcPr>
          <w:p>
            <w:pPr>
              <w:spacing w:line="276" w:lineRule="auto"/>
              <w:ind w:firstLine="75" w:firstLineChars="50"/>
              <w:jc w:val="left"/>
              <w:rPr>
                <w:sz w:val="15"/>
                <w:szCs w:val="15"/>
              </w:rPr>
            </w:pPr>
            <w:r>
              <w:rPr>
                <w:sz w:val="15"/>
                <w:szCs w:val="15"/>
                <w:vertAlign w:val="superscript"/>
              </w:rPr>
              <w:t xml:space="preserve">a   </w:t>
            </w:r>
            <w:r>
              <w:rPr>
                <w:sz w:val="15"/>
                <w:szCs w:val="15"/>
              </w:rPr>
              <w:t>不能卸载的机组不适用IPLV数据，但应明示，如“不适用IPLV”。</w:t>
            </w:r>
          </w:p>
        </w:tc>
      </w:tr>
    </w:tbl>
    <w:p>
      <w:pPr>
        <w:spacing w:line="276" w:lineRule="auto"/>
        <w:jc w:val="left"/>
        <w:rPr>
          <w:sz w:val="15"/>
          <w:szCs w:val="15"/>
        </w:rPr>
      </w:pPr>
    </w:p>
    <w:p>
      <w:pPr>
        <w:spacing w:line="276" w:lineRule="auto"/>
        <w:rPr>
          <w:b/>
        </w:rPr>
      </w:pPr>
    </w:p>
    <w:p>
      <w:pPr>
        <w:spacing w:line="360" w:lineRule="auto"/>
        <w:rPr>
          <w:sz w:val="24"/>
          <w:szCs w:val="32"/>
        </w:rPr>
      </w:pPr>
      <w:r>
        <w:rPr>
          <w:b/>
          <w:sz w:val="24"/>
          <w:szCs w:val="32"/>
        </w:rPr>
        <w:t>4.2.7</w:t>
      </w:r>
      <w:bookmarkStart w:id="55" w:name="_Hlk146267466"/>
      <w:r>
        <w:rPr>
          <w:sz w:val="24"/>
          <w:szCs w:val="32"/>
        </w:rPr>
        <w:t>电机驱动的蒸气压缩循环数据中心专用冷水机组的全年性能系数（ACCOP）</w:t>
      </w:r>
      <w:bookmarkEnd w:id="55"/>
      <w:r>
        <w:rPr>
          <w:sz w:val="24"/>
          <w:szCs w:val="32"/>
        </w:rPr>
        <w:t>，应按下式计算：</w:t>
      </w:r>
    </w:p>
    <w:p>
      <w:pPr>
        <w:spacing w:line="360" w:lineRule="auto"/>
        <w:ind w:firstLine="480" w:firstLineChars="200"/>
        <w:jc w:val="right"/>
        <w:rPr>
          <w:rFonts w:eastAsiaTheme="majorEastAsia"/>
          <w:bCs/>
          <w:sz w:val="24"/>
          <w:szCs w:val="32"/>
        </w:rPr>
      </w:pPr>
      <w:r>
        <w:rPr>
          <w:rFonts w:eastAsiaTheme="majorEastAsia"/>
          <w:bCs/>
          <w:sz w:val="24"/>
          <w:szCs w:val="32"/>
        </w:rPr>
        <w:t>ACCOP= T</w:t>
      </w:r>
      <w:r>
        <w:rPr>
          <w:rFonts w:eastAsiaTheme="majorEastAsia"/>
          <w:bCs/>
          <w:sz w:val="24"/>
          <w:szCs w:val="32"/>
          <w:vertAlign w:val="subscript"/>
        </w:rPr>
        <w:t>a</w:t>
      </w:r>
      <w:r>
        <w:rPr>
          <w:rFonts w:eastAsiaTheme="majorEastAsia"/>
          <w:bCs/>
          <w:sz w:val="24"/>
          <w:szCs w:val="32"/>
        </w:rPr>
        <w:t>×COP</w:t>
      </w:r>
      <w:r>
        <w:rPr>
          <w:rFonts w:eastAsiaTheme="majorEastAsia"/>
          <w:bCs/>
          <w:sz w:val="24"/>
          <w:szCs w:val="32"/>
          <w:vertAlign w:val="subscript"/>
        </w:rPr>
        <w:t>ca</w:t>
      </w:r>
      <w:r>
        <w:rPr>
          <w:rFonts w:eastAsiaTheme="majorEastAsia"/>
          <w:bCs/>
          <w:sz w:val="24"/>
          <w:szCs w:val="32"/>
        </w:rPr>
        <w:t>+ T</w:t>
      </w:r>
      <w:r>
        <w:rPr>
          <w:rFonts w:eastAsiaTheme="majorEastAsia"/>
          <w:bCs/>
          <w:sz w:val="24"/>
          <w:szCs w:val="32"/>
          <w:vertAlign w:val="subscript"/>
        </w:rPr>
        <w:t>b</w:t>
      </w:r>
      <w:r>
        <w:rPr>
          <w:rFonts w:eastAsiaTheme="majorEastAsia"/>
          <w:bCs/>
          <w:sz w:val="24"/>
          <w:szCs w:val="32"/>
        </w:rPr>
        <w:t>×COP</w:t>
      </w:r>
      <w:r>
        <w:rPr>
          <w:rFonts w:eastAsiaTheme="majorEastAsia"/>
          <w:bCs/>
          <w:sz w:val="24"/>
          <w:szCs w:val="32"/>
          <w:vertAlign w:val="subscript"/>
        </w:rPr>
        <w:t>cb</w:t>
      </w:r>
      <w:r>
        <w:rPr>
          <w:rFonts w:eastAsiaTheme="majorEastAsia"/>
          <w:bCs/>
          <w:sz w:val="24"/>
          <w:szCs w:val="32"/>
        </w:rPr>
        <w:t xml:space="preserve"> + T</w:t>
      </w:r>
      <w:r>
        <w:rPr>
          <w:rFonts w:eastAsiaTheme="majorEastAsia"/>
          <w:bCs/>
          <w:sz w:val="24"/>
          <w:szCs w:val="32"/>
          <w:vertAlign w:val="subscript"/>
        </w:rPr>
        <w:t>c</w:t>
      </w:r>
      <w:r>
        <w:rPr>
          <w:rFonts w:eastAsiaTheme="majorEastAsia"/>
          <w:bCs/>
          <w:sz w:val="24"/>
          <w:szCs w:val="32"/>
        </w:rPr>
        <w:t>×COP</w:t>
      </w:r>
      <w:r>
        <w:rPr>
          <w:rFonts w:eastAsiaTheme="majorEastAsia"/>
          <w:bCs/>
          <w:sz w:val="24"/>
          <w:szCs w:val="32"/>
          <w:vertAlign w:val="subscript"/>
        </w:rPr>
        <w:t>cc</w:t>
      </w:r>
      <w:r>
        <w:rPr>
          <w:rFonts w:eastAsiaTheme="majorEastAsia"/>
          <w:bCs/>
          <w:sz w:val="24"/>
          <w:szCs w:val="32"/>
        </w:rPr>
        <w:t>+T</w:t>
      </w:r>
      <w:r>
        <w:rPr>
          <w:rFonts w:eastAsiaTheme="majorEastAsia"/>
          <w:bCs/>
          <w:sz w:val="24"/>
          <w:szCs w:val="32"/>
          <w:vertAlign w:val="subscript"/>
        </w:rPr>
        <w:t>d</w:t>
      </w:r>
      <w:r>
        <w:rPr>
          <w:rFonts w:eastAsiaTheme="majorEastAsia"/>
          <w:bCs/>
          <w:sz w:val="24"/>
          <w:szCs w:val="32"/>
        </w:rPr>
        <w:t>×COP</w:t>
      </w:r>
      <w:r>
        <w:rPr>
          <w:rFonts w:eastAsiaTheme="majorEastAsia"/>
          <w:bCs/>
          <w:sz w:val="24"/>
          <w:szCs w:val="32"/>
          <w:vertAlign w:val="subscript"/>
        </w:rPr>
        <w:t>cd</w:t>
      </w:r>
      <w:r>
        <w:rPr>
          <w:rFonts w:eastAsiaTheme="majorEastAsia"/>
          <w:bCs/>
          <w:sz w:val="24"/>
          <w:szCs w:val="32"/>
        </w:rPr>
        <w:t xml:space="preserve">    (4.2.7)</w:t>
      </w:r>
    </w:p>
    <w:p>
      <w:pPr>
        <w:spacing w:line="360" w:lineRule="auto"/>
        <w:rPr>
          <w:rFonts w:eastAsiaTheme="majorEastAsia"/>
          <w:bCs/>
          <w:sz w:val="24"/>
          <w:szCs w:val="32"/>
        </w:rPr>
      </w:pPr>
      <w:r>
        <w:rPr>
          <w:rFonts w:eastAsiaTheme="majorEastAsia"/>
          <w:bCs/>
          <w:sz w:val="24"/>
          <w:szCs w:val="32"/>
        </w:rPr>
        <w:t>式</w:t>
      </w:r>
      <w:r>
        <w:rPr>
          <w:rFonts w:hint="eastAsia" w:eastAsiaTheme="majorEastAsia"/>
          <w:bCs/>
          <w:sz w:val="24"/>
          <w:szCs w:val="32"/>
        </w:rPr>
        <w:t>中</w:t>
      </w:r>
      <w:r>
        <w:rPr>
          <w:rFonts w:eastAsiaTheme="majorEastAsia"/>
          <w:bCs/>
          <w:sz w:val="24"/>
          <w:szCs w:val="32"/>
        </w:rPr>
        <w:t xml:space="preserve">： </w:t>
      </w:r>
    </w:p>
    <w:p>
      <w:pPr>
        <w:spacing w:line="360" w:lineRule="auto"/>
        <w:ind w:firstLine="480" w:firstLineChars="200"/>
        <w:rPr>
          <w:rFonts w:eastAsiaTheme="majorEastAsia"/>
          <w:bCs/>
          <w:sz w:val="24"/>
          <w:szCs w:val="32"/>
        </w:rPr>
      </w:pPr>
      <w:r>
        <w:rPr>
          <w:rFonts w:eastAsiaTheme="majorEastAsia"/>
          <w:bCs/>
          <w:sz w:val="24"/>
          <w:szCs w:val="32"/>
        </w:rPr>
        <w:t>COP</w:t>
      </w:r>
      <w:r>
        <w:rPr>
          <w:rFonts w:eastAsiaTheme="majorEastAsia"/>
          <w:bCs/>
          <w:sz w:val="24"/>
          <w:szCs w:val="32"/>
          <w:vertAlign w:val="subscript"/>
        </w:rPr>
        <w:t>ca</w:t>
      </w:r>
      <w:r>
        <w:rPr>
          <w:rFonts w:eastAsiaTheme="majorEastAsia"/>
          <w:bCs/>
          <w:sz w:val="24"/>
          <w:szCs w:val="32"/>
        </w:rPr>
        <w:t xml:space="preserve">—A 工况下机组 100%负荷时的制冷性能系数； </w:t>
      </w:r>
    </w:p>
    <w:p>
      <w:pPr>
        <w:spacing w:line="360" w:lineRule="auto"/>
        <w:ind w:firstLine="480" w:firstLineChars="200"/>
        <w:rPr>
          <w:rFonts w:eastAsiaTheme="majorEastAsia"/>
          <w:bCs/>
          <w:sz w:val="24"/>
          <w:szCs w:val="32"/>
        </w:rPr>
      </w:pPr>
      <w:r>
        <w:rPr>
          <w:rFonts w:eastAsiaTheme="majorEastAsia"/>
          <w:bCs/>
          <w:sz w:val="24"/>
          <w:szCs w:val="32"/>
        </w:rPr>
        <w:t>COP</w:t>
      </w:r>
      <w:r>
        <w:rPr>
          <w:rFonts w:eastAsiaTheme="majorEastAsia"/>
          <w:bCs/>
          <w:sz w:val="24"/>
          <w:szCs w:val="32"/>
          <w:vertAlign w:val="subscript"/>
        </w:rPr>
        <w:t>cb</w:t>
      </w:r>
      <w:r>
        <w:rPr>
          <w:rFonts w:eastAsiaTheme="majorEastAsia"/>
          <w:bCs/>
          <w:sz w:val="24"/>
          <w:szCs w:val="32"/>
        </w:rPr>
        <w:t xml:space="preserve">—B 工况下机组 100%负荷时的制冷性能系数； </w:t>
      </w:r>
    </w:p>
    <w:p>
      <w:pPr>
        <w:spacing w:line="360" w:lineRule="auto"/>
        <w:ind w:firstLine="480" w:firstLineChars="200"/>
        <w:rPr>
          <w:rFonts w:eastAsiaTheme="majorEastAsia"/>
          <w:bCs/>
          <w:sz w:val="24"/>
          <w:szCs w:val="32"/>
        </w:rPr>
      </w:pPr>
      <w:r>
        <w:rPr>
          <w:rFonts w:eastAsiaTheme="majorEastAsia"/>
          <w:bCs/>
          <w:sz w:val="24"/>
          <w:szCs w:val="32"/>
        </w:rPr>
        <w:t>COP</w:t>
      </w:r>
      <w:r>
        <w:rPr>
          <w:rFonts w:eastAsiaTheme="majorEastAsia"/>
          <w:bCs/>
          <w:sz w:val="24"/>
          <w:szCs w:val="32"/>
          <w:vertAlign w:val="subscript"/>
        </w:rPr>
        <w:t>cc</w:t>
      </w:r>
      <w:r>
        <w:rPr>
          <w:rFonts w:eastAsiaTheme="majorEastAsia"/>
          <w:bCs/>
          <w:sz w:val="24"/>
          <w:szCs w:val="32"/>
        </w:rPr>
        <w:t xml:space="preserve">—C 工况下机组 100%负荷时的制冷性能系数； </w:t>
      </w:r>
    </w:p>
    <w:p>
      <w:pPr>
        <w:spacing w:line="360" w:lineRule="auto"/>
        <w:ind w:firstLine="480" w:firstLineChars="200"/>
        <w:rPr>
          <w:rFonts w:eastAsiaTheme="majorEastAsia"/>
          <w:bCs/>
          <w:sz w:val="24"/>
          <w:szCs w:val="32"/>
        </w:rPr>
      </w:pPr>
      <w:r>
        <w:rPr>
          <w:rFonts w:eastAsiaTheme="majorEastAsia"/>
          <w:bCs/>
          <w:sz w:val="24"/>
          <w:szCs w:val="32"/>
        </w:rPr>
        <w:t>COP</w:t>
      </w:r>
      <w:r>
        <w:rPr>
          <w:rFonts w:eastAsiaTheme="majorEastAsia"/>
          <w:bCs/>
          <w:sz w:val="24"/>
          <w:szCs w:val="32"/>
          <w:vertAlign w:val="subscript"/>
        </w:rPr>
        <w:t>cd</w:t>
      </w:r>
      <w:r>
        <w:rPr>
          <w:rFonts w:eastAsiaTheme="majorEastAsia"/>
          <w:bCs/>
          <w:sz w:val="24"/>
          <w:szCs w:val="32"/>
        </w:rPr>
        <w:t xml:space="preserve">—D 工况下机组 50%负荷时的制冷性能系数； </w:t>
      </w:r>
    </w:p>
    <w:p>
      <w:pPr>
        <w:spacing w:line="360" w:lineRule="auto"/>
        <w:ind w:left="1140" w:leftChars="200" w:hanging="720" w:hangingChars="300"/>
        <w:rPr>
          <w:rFonts w:eastAsiaTheme="majorEastAsia"/>
          <w:bCs/>
          <w:sz w:val="24"/>
          <w:szCs w:val="32"/>
        </w:rPr>
      </w:pPr>
      <w:r>
        <w:rPr>
          <w:rFonts w:eastAsiaTheme="majorEastAsia"/>
          <w:bCs/>
          <w:sz w:val="24"/>
          <w:szCs w:val="32"/>
        </w:rPr>
        <w:t>T</w:t>
      </w:r>
      <w:r>
        <w:rPr>
          <w:rFonts w:eastAsiaTheme="majorEastAsia"/>
          <w:bCs/>
          <w:sz w:val="24"/>
          <w:szCs w:val="32"/>
          <w:vertAlign w:val="subscript"/>
        </w:rPr>
        <w:t>a</w:t>
      </w:r>
      <w:r>
        <w:rPr>
          <w:rFonts w:eastAsiaTheme="majorEastAsia"/>
          <w:bCs/>
          <w:sz w:val="24"/>
          <w:szCs w:val="32"/>
        </w:rPr>
        <w:t>~T</w:t>
      </w:r>
      <w:r>
        <w:rPr>
          <w:rFonts w:eastAsiaTheme="majorEastAsia"/>
          <w:bCs/>
          <w:sz w:val="24"/>
          <w:szCs w:val="32"/>
          <w:vertAlign w:val="subscript"/>
        </w:rPr>
        <w:t>d</w:t>
      </w:r>
      <w:r>
        <w:rPr>
          <w:rFonts w:eastAsiaTheme="majorEastAsia"/>
          <w:bCs/>
          <w:sz w:val="24"/>
          <w:szCs w:val="32"/>
        </w:rPr>
        <w:t>—A、B、C、D 四个标准工况的温度分布系数，为各点代表的温度区间运行小时数占全年总运行小时数的百分比。</w:t>
      </w:r>
      <w:r>
        <w:rPr>
          <w:rFonts w:hint="eastAsia" w:eastAsiaTheme="majorEastAsia"/>
          <w:bCs/>
          <w:sz w:val="24"/>
          <w:szCs w:val="32"/>
        </w:rPr>
        <w:t>全国典型城市的温度分布系数（</w:t>
      </w:r>
      <w:r>
        <w:rPr>
          <w:rFonts w:eastAsiaTheme="majorEastAsia"/>
          <w:bCs/>
          <w:sz w:val="24"/>
          <w:szCs w:val="32"/>
        </w:rPr>
        <w:t>T</w:t>
      </w:r>
      <w:r>
        <w:rPr>
          <w:rFonts w:eastAsiaTheme="majorEastAsia"/>
          <w:bCs/>
          <w:sz w:val="24"/>
          <w:szCs w:val="32"/>
          <w:vertAlign w:val="subscript"/>
        </w:rPr>
        <w:t>a</w:t>
      </w:r>
      <w:r>
        <w:rPr>
          <w:rFonts w:eastAsiaTheme="majorEastAsia"/>
          <w:bCs/>
          <w:sz w:val="24"/>
          <w:szCs w:val="32"/>
        </w:rPr>
        <w:t>~T</w:t>
      </w:r>
      <w:r>
        <w:rPr>
          <w:rFonts w:eastAsiaTheme="majorEastAsia"/>
          <w:bCs/>
          <w:sz w:val="24"/>
          <w:szCs w:val="32"/>
          <w:vertAlign w:val="subscript"/>
        </w:rPr>
        <w:t>d</w:t>
      </w:r>
      <w:r>
        <w:rPr>
          <w:rFonts w:hint="eastAsia" w:eastAsiaTheme="majorEastAsia"/>
          <w:bCs/>
          <w:sz w:val="24"/>
          <w:szCs w:val="32"/>
        </w:rPr>
        <w:t>）详见</w:t>
      </w:r>
      <w:r>
        <w:rPr>
          <w:rFonts w:eastAsia="楷体"/>
          <w:sz w:val="24"/>
          <w:szCs w:val="32"/>
        </w:rPr>
        <w:t>GB/T 18430.1</w:t>
      </w:r>
      <w:r>
        <w:rPr>
          <w:rFonts w:hint="eastAsia" w:eastAsiaTheme="majorEastAsia"/>
          <w:bCs/>
          <w:sz w:val="24"/>
          <w:szCs w:val="32"/>
        </w:rPr>
        <w:t>的有关规定。</w:t>
      </w:r>
    </w:p>
    <w:p>
      <w:pPr>
        <w:spacing w:line="276" w:lineRule="auto"/>
        <w:rPr>
          <w:b/>
        </w:rPr>
      </w:pPr>
    </w:p>
    <w:p>
      <w:pPr>
        <w:spacing w:line="360" w:lineRule="auto"/>
        <w:rPr>
          <w:sz w:val="24"/>
          <w:szCs w:val="32"/>
        </w:rPr>
      </w:pPr>
      <w:r>
        <w:rPr>
          <w:b/>
          <w:sz w:val="24"/>
          <w:szCs w:val="32"/>
        </w:rPr>
        <w:t>4.2.8</w:t>
      </w:r>
      <w:r>
        <w:rPr>
          <w:sz w:val="24"/>
          <w:szCs w:val="32"/>
        </w:rPr>
        <w:t>数据中心专用冷水机组的能效参数不应低于表 4.2.8中的限值。</w:t>
      </w:r>
    </w:p>
    <w:p>
      <w:pPr>
        <w:spacing w:line="276" w:lineRule="auto"/>
        <w:jc w:val="center"/>
        <w:rPr>
          <w:rFonts w:eastAsia="黑体"/>
          <w:sz w:val="18"/>
          <w:szCs w:val="18"/>
        </w:rPr>
      </w:pPr>
      <w:r>
        <w:rPr>
          <w:rFonts w:eastAsia="黑体"/>
          <w:sz w:val="18"/>
          <w:szCs w:val="18"/>
        </w:rPr>
        <w:t xml:space="preserve">表4.2.8  数据中心专用冷水机组的能效参数   </w:t>
      </w:r>
    </w:p>
    <w:tbl>
      <w:tblPr>
        <w:tblStyle w:val="3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8"/>
        <w:gridCol w:w="1984"/>
        <w:gridCol w:w="2126"/>
        <w:gridCol w:w="31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gridSpan w:val="2"/>
            <w:vMerge w:val="restart"/>
          </w:tcPr>
          <w:p>
            <w:pPr>
              <w:jc w:val="center"/>
              <w:rPr>
                <w:rFonts w:eastAsiaTheme="majorEastAsia"/>
                <w:sz w:val="15"/>
                <w:szCs w:val="15"/>
              </w:rPr>
            </w:pPr>
            <w:r>
              <w:rPr>
                <w:rFonts w:eastAsiaTheme="majorEastAsia"/>
                <w:sz w:val="15"/>
                <w:szCs w:val="15"/>
              </w:rPr>
              <w:t>机组类型</w:t>
            </w:r>
          </w:p>
          <w:p>
            <w:pPr>
              <w:jc w:val="center"/>
              <w:rPr>
                <w:rFonts w:eastAsiaTheme="majorEastAsia"/>
                <w:sz w:val="15"/>
                <w:szCs w:val="15"/>
              </w:rPr>
            </w:pPr>
            <w:r>
              <w:rPr>
                <w:rFonts w:eastAsiaTheme="majorEastAsia"/>
                <w:sz w:val="15"/>
                <w:szCs w:val="15"/>
              </w:rPr>
              <w:t>名义制冷量CC</w:t>
            </w:r>
          </w:p>
          <w:p>
            <w:pPr>
              <w:jc w:val="center"/>
              <w:rPr>
                <w:rFonts w:eastAsiaTheme="majorEastAsia"/>
                <w:sz w:val="15"/>
                <w:szCs w:val="15"/>
              </w:rPr>
            </w:pPr>
            <w:r>
              <w:rPr>
                <w:rFonts w:eastAsiaTheme="majorEastAsia"/>
                <w:sz w:val="15"/>
                <w:szCs w:val="15"/>
              </w:rPr>
              <w:t xml:space="preserve"> kW</w:t>
            </w:r>
            <w:r>
              <w:rPr>
                <w:rFonts w:eastAsiaTheme="majorEastAsia"/>
                <w:sz w:val="15"/>
                <w:szCs w:val="15"/>
              </w:rPr>
              <w:tab/>
            </w:r>
          </w:p>
        </w:tc>
        <w:tc>
          <w:tcPr>
            <w:tcW w:w="5324" w:type="dxa"/>
            <w:gridSpan w:val="2"/>
          </w:tcPr>
          <w:p>
            <w:pPr>
              <w:spacing w:line="276" w:lineRule="auto"/>
              <w:jc w:val="center"/>
              <w:rPr>
                <w:rFonts w:eastAsiaTheme="majorEastAsia"/>
                <w:sz w:val="15"/>
                <w:szCs w:val="15"/>
              </w:rPr>
            </w:pPr>
            <w:r>
              <w:rPr>
                <w:rFonts w:eastAsiaTheme="majorEastAsia"/>
                <w:sz w:val="15"/>
                <w:szCs w:val="15"/>
              </w:rPr>
              <w:t>能效参数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 w:hRule="atLeast"/>
        </w:trPr>
        <w:tc>
          <w:tcPr>
            <w:tcW w:w="2972" w:type="dxa"/>
            <w:gridSpan w:val="2"/>
            <w:vMerge w:val="continue"/>
          </w:tcPr>
          <w:p>
            <w:pPr>
              <w:spacing w:line="276" w:lineRule="auto"/>
              <w:jc w:val="center"/>
              <w:rPr>
                <w:rFonts w:eastAsiaTheme="majorEastAsia"/>
                <w:sz w:val="15"/>
                <w:szCs w:val="15"/>
              </w:rPr>
            </w:pPr>
          </w:p>
        </w:tc>
        <w:tc>
          <w:tcPr>
            <w:tcW w:w="2126" w:type="dxa"/>
          </w:tcPr>
          <w:p>
            <w:pPr>
              <w:spacing w:line="276" w:lineRule="auto"/>
              <w:jc w:val="center"/>
              <w:rPr>
                <w:rFonts w:eastAsiaTheme="majorEastAsia"/>
                <w:i/>
                <w:iCs/>
                <w:sz w:val="15"/>
                <w:szCs w:val="15"/>
              </w:rPr>
            </w:pPr>
            <w:r>
              <w:rPr>
                <w:rFonts w:eastAsiaTheme="majorEastAsia"/>
                <w:i/>
                <w:iCs/>
                <w:sz w:val="15"/>
                <w:szCs w:val="15"/>
              </w:rPr>
              <w:t>COP</w:t>
            </w:r>
          </w:p>
        </w:tc>
        <w:tc>
          <w:tcPr>
            <w:tcW w:w="3198" w:type="dxa"/>
          </w:tcPr>
          <w:p>
            <w:pPr>
              <w:spacing w:line="276" w:lineRule="auto"/>
              <w:jc w:val="center"/>
              <w:rPr>
                <w:rFonts w:eastAsiaTheme="majorEastAsia"/>
                <w:i/>
                <w:iCs/>
                <w:sz w:val="15"/>
                <w:szCs w:val="15"/>
              </w:rPr>
            </w:pPr>
            <w:r>
              <w:rPr>
                <w:rFonts w:eastAsiaTheme="majorEastAsia"/>
                <w:i/>
                <w:iCs/>
                <w:sz w:val="15"/>
                <w:szCs w:val="15"/>
              </w:rPr>
              <w:t>ACCOP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 w:type="dxa"/>
            <w:vMerge w:val="restart"/>
          </w:tcPr>
          <w:p>
            <w:pPr>
              <w:jc w:val="center"/>
              <w:rPr>
                <w:rFonts w:eastAsiaTheme="majorEastAsia"/>
                <w:sz w:val="15"/>
                <w:szCs w:val="15"/>
              </w:rPr>
            </w:pPr>
          </w:p>
          <w:p>
            <w:pPr>
              <w:jc w:val="center"/>
              <w:rPr>
                <w:rFonts w:eastAsiaTheme="majorEastAsia"/>
                <w:sz w:val="15"/>
                <w:szCs w:val="15"/>
              </w:rPr>
            </w:pPr>
          </w:p>
          <w:p>
            <w:pPr>
              <w:jc w:val="center"/>
              <w:rPr>
                <w:rFonts w:eastAsia="黑体"/>
              </w:rPr>
            </w:pPr>
            <w:r>
              <w:rPr>
                <w:rFonts w:hint="eastAsia" w:eastAsiaTheme="majorEastAsia"/>
                <w:sz w:val="15"/>
                <w:szCs w:val="15"/>
              </w:rPr>
              <w:t>水冷式</w:t>
            </w:r>
          </w:p>
        </w:tc>
        <w:tc>
          <w:tcPr>
            <w:tcW w:w="1984" w:type="dxa"/>
          </w:tcPr>
          <w:p>
            <w:pPr>
              <w:jc w:val="center"/>
              <w:rPr>
                <w:rFonts w:eastAsiaTheme="majorEastAsia"/>
                <w:sz w:val="15"/>
                <w:szCs w:val="15"/>
              </w:rPr>
            </w:pPr>
            <w:r>
              <w:rPr>
                <w:rFonts w:eastAsiaTheme="majorEastAsia"/>
                <w:sz w:val="15"/>
                <w:szCs w:val="15"/>
              </w:rPr>
              <w:t>50</w:t>
            </w:r>
            <w:r>
              <w:rPr>
                <w:rFonts w:eastAsiaTheme="majorEastAsia"/>
                <w:sz w:val="15"/>
                <w:szCs w:val="15"/>
              </w:rPr>
              <w:sym w:font="Technic" w:char="F03C"/>
            </w:r>
            <w:r>
              <w:rPr>
                <w:rFonts w:eastAsiaTheme="majorEastAsia"/>
                <w:sz w:val="15"/>
                <w:szCs w:val="15"/>
              </w:rPr>
              <w:t>CC</w:t>
            </w:r>
            <w:r>
              <w:rPr>
                <w:sz w:val="15"/>
                <w:szCs w:val="15"/>
              </w:rPr>
              <w:t>≤300</w:t>
            </w:r>
          </w:p>
        </w:tc>
        <w:tc>
          <w:tcPr>
            <w:tcW w:w="2126" w:type="dxa"/>
          </w:tcPr>
          <w:p>
            <w:pPr>
              <w:spacing w:line="276" w:lineRule="auto"/>
              <w:jc w:val="center"/>
              <w:rPr>
                <w:rFonts w:eastAsiaTheme="majorEastAsia"/>
                <w:sz w:val="15"/>
                <w:szCs w:val="15"/>
              </w:rPr>
            </w:pPr>
            <w:r>
              <w:rPr>
                <w:rFonts w:eastAsiaTheme="majorEastAsia"/>
                <w:sz w:val="15"/>
                <w:szCs w:val="15"/>
              </w:rPr>
              <w:t>5.30</w:t>
            </w:r>
          </w:p>
        </w:tc>
        <w:tc>
          <w:tcPr>
            <w:tcW w:w="3198" w:type="dxa"/>
          </w:tcPr>
          <w:p>
            <w:pPr>
              <w:spacing w:line="276" w:lineRule="auto"/>
              <w:jc w:val="center"/>
              <w:rPr>
                <w:rFonts w:eastAsiaTheme="majorEastAsia"/>
                <w:sz w:val="15"/>
                <w:szCs w:val="15"/>
              </w:rPr>
            </w:pPr>
            <w:r>
              <w:rPr>
                <w:rFonts w:eastAsiaTheme="majorEastAsia"/>
                <w:sz w:val="15"/>
                <w:szCs w:val="15"/>
              </w:rPr>
              <w:t>6.30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 w:type="dxa"/>
            <w:vMerge w:val="continue"/>
          </w:tcPr>
          <w:p>
            <w:pPr>
              <w:spacing w:line="276" w:lineRule="auto"/>
              <w:jc w:val="center"/>
              <w:rPr>
                <w:rFonts w:eastAsia="黑体"/>
              </w:rPr>
            </w:pPr>
          </w:p>
        </w:tc>
        <w:tc>
          <w:tcPr>
            <w:tcW w:w="1984" w:type="dxa"/>
          </w:tcPr>
          <w:p>
            <w:pPr>
              <w:spacing w:line="276" w:lineRule="auto"/>
              <w:jc w:val="center"/>
              <w:rPr>
                <w:rFonts w:eastAsiaTheme="majorEastAsia"/>
                <w:sz w:val="15"/>
                <w:szCs w:val="15"/>
              </w:rPr>
            </w:pPr>
            <w:r>
              <w:rPr>
                <w:rFonts w:eastAsiaTheme="majorEastAsia"/>
                <w:sz w:val="15"/>
                <w:szCs w:val="15"/>
              </w:rPr>
              <w:t>300</w:t>
            </w:r>
            <w:r>
              <w:rPr>
                <w:rFonts w:eastAsiaTheme="majorEastAsia"/>
                <w:sz w:val="15"/>
                <w:szCs w:val="15"/>
              </w:rPr>
              <w:sym w:font="Technic" w:char="F03C"/>
            </w:r>
            <w:r>
              <w:rPr>
                <w:rFonts w:eastAsiaTheme="majorEastAsia"/>
                <w:sz w:val="15"/>
                <w:szCs w:val="15"/>
              </w:rPr>
              <w:t>CC</w:t>
            </w:r>
            <w:r>
              <w:rPr>
                <w:sz w:val="15"/>
                <w:szCs w:val="15"/>
              </w:rPr>
              <w:t>≤</w:t>
            </w:r>
            <w:r>
              <w:rPr>
                <w:rFonts w:eastAsiaTheme="majorEastAsia"/>
                <w:sz w:val="15"/>
                <w:szCs w:val="15"/>
              </w:rPr>
              <w:t xml:space="preserve"> 528</w:t>
            </w:r>
            <w:r>
              <w:rPr>
                <w:rFonts w:eastAsiaTheme="majorEastAsia"/>
                <w:sz w:val="15"/>
                <w:szCs w:val="15"/>
              </w:rPr>
              <w:tab/>
            </w:r>
          </w:p>
        </w:tc>
        <w:tc>
          <w:tcPr>
            <w:tcW w:w="2126" w:type="dxa"/>
          </w:tcPr>
          <w:p>
            <w:pPr>
              <w:spacing w:line="276" w:lineRule="auto"/>
              <w:jc w:val="center"/>
              <w:rPr>
                <w:rFonts w:eastAsiaTheme="majorEastAsia"/>
                <w:sz w:val="15"/>
                <w:szCs w:val="15"/>
              </w:rPr>
            </w:pPr>
            <w:r>
              <w:rPr>
                <w:rFonts w:eastAsiaTheme="majorEastAsia"/>
                <w:sz w:val="15"/>
                <w:szCs w:val="15"/>
              </w:rPr>
              <w:t>5.80</w:t>
            </w:r>
          </w:p>
        </w:tc>
        <w:tc>
          <w:tcPr>
            <w:tcW w:w="3198" w:type="dxa"/>
          </w:tcPr>
          <w:p>
            <w:pPr>
              <w:spacing w:line="276" w:lineRule="auto"/>
              <w:jc w:val="center"/>
              <w:rPr>
                <w:rFonts w:eastAsiaTheme="majorEastAsia"/>
                <w:sz w:val="15"/>
                <w:szCs w:val="15"/>
              </w:rPr>
            </w:pPr>
            <w:r>
              <w:rPr>
                <w:rFonts w:eastAsiaTheme="majorEastAsia"/>
                <w:sz w:val="15"/>
                <w:szCs w:val="15"/>
              </w:rPr>
              <w:t>6.80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 w:type="dxa"/>
            <w:vMerge w:val="continue"/>
          </w:tcPr>
          <w:p>
            <w:pPr>
              <w:spacing w:line="276" w:lineRule="auto"/>
              <w:jc w:val="center"/>
              <w:rPr>
                <w:rFonts w:eastAsia="黑体"/>
              </w:rPr>
            </w:pPr>
          </w:p>
        </w:tc>
        <w:tc>
          <w:tcPr>
            <w:tcW w:w="1984" w:type="dxa"/>
          </w:tcPr>
          <w:p>
            <w:pPr>
              <w:spacing w:line="276" w:lineRule="auto"/>
              <w:ind w:firstLine="300" w:firstLineChars="200"/>
              <w:rPr>
                <w:rFonts w:eastAsiaTheme="majorEastAsia"/>
                <w:sz w:val="15"/>
                <w:szCs w:val="15"/>
              </w:rPr>
            </w:pPr>
            <w:r>
              <w:rPr>
                <w:rFonts w:eastAsiaTheme="majorEastAsia"/>
                <w:sz w:val="15"/>
                <w:szCs w:val="15"/>
              </w:rPr>
              <w:t>528</w:t>
            </w:r>
            <w:r>
              <w:rPr>
                <w:rFonts w:eastAsiaTheme="majorEastAsia"/>
                <w:sz w:val="15"/>
                <w:szCs w:val="15"/>
              </w:rPr>
              <w:sym w:font="Technic" w:char="F03C"/>
            </w:r>
            <w:r>
              <w:rPr>
                <w:rFonts w:eastAsiaTheme="majorEastAsia"/>
                <w:sz w:val="15"/>
                <w:szCs w:val="15"/>
              </w:rPr>
              <w:t>CC</w:t>
            </w:r>
            <w:r>
              <w:rPr>
                <w:sz w:val="15"/>
                <w:szCs w:val="15"/>
              </w:rPr>
              <w:t>≤</w:t>
            </w:r>
            <w:r>
              <w:rPr>
                <w:rFonts w:eastAsiaTheme="majorEastAsia"/>
                <w:sz w:val="15"/>
                <w:szCs w:val="15"/>
              </w:rPr>
              <w:t xml:space="preserve"> 1163</w:t>
            </w:r>
          </w:p>
        </w:tc>
        <w:tc>
          <w:tcPr>
            <w:tcW w:w="2126" w:type="dxa"/>
          </w:tcPr>
          <w:p>
            <w:pPr>
              <w:spacing w:line="276" w:lineRule="auto"/>
              <w:jc w:val="center"/>
              <w:rPr>
                <w:rFonts w:eastAsiaTheme="majorEastAsia"/>
                <w:sz w:val="15"/>
                <w:szCs w:val="15"/>
              </w:rPr>
            </w:pPr>
            <w:r>
              <w:rPr>
                <w:rFonts w:eastAsiaTheme="majorEastAsia"/>
                <w:sz w:val="15"/>
                <w:szCs w:val="15"/>
              </w:rPr>
              <w:t>6.10</w:t>
            </w:r>
          </w:p>
        </w:tc>
        <w:tc>
          <w:tcPr>
            <w:tcW w:w="3198" w:type="dxa"/>
          </w:tcPr>
          <w:p>
            <w:pPr>
              <w:spacing w:line="276" w:lineRule="auto"/>
              <w:jc w:val="center"/>
              <w:rPr>
                <w:rFonts w:eastAsiaTheme="majorEastAsia"/>
                <w:sz w:val="15"/>
                <w:szCs w:val="15"/>
              </w:rPr>
            </w:pPr>
            <w:r>
              <w:rPr>
                <w:rFonts w:eastAsiaTheme="majorEastAsia"/>
                <w:sz w:val="15"/>
                <w:szCs w:val="15"/>
              </w:rPr>
              <w:t>7.40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8" w:type="dxa"/>
            <w:vMerge w:val="continue"/>
          </w:tcPr>
          <w:p>
            <w:pPr>
              <w:spacing w:line="276" w:lineRule="auto"/>
              <w:jc w:val="center"/>
              <w:rPr>
                <w:rFonts w:eastAsia="黑体"/>
              </w:rPr>
            </w:pPr>
          </w:p>
        </w:tc>
        <w:tc>
          <w:tcPr>
            <w:tcW w:w="1984" w:type="dxa"/>
          </w:tcPr>
          <w:p>
            <w:pPr>
              <w:spacing w:line="276" w:lineRule="auto"/>
              <w:ind w:firstLine="600" w:firstLineChars="400"/>
              <w:rPr>
                <w:rFonts w:eastAsiaTheme="majorEastAsia"/>
                <w:sz w:val="15"/>
                <w:szCs w:val="15"/>
              </w:rPr>
            </w:pPr>
            <w:r>
              <w:rPr>
                <w:rFonts w:eastAsiaTheme="majorEastAsia"/>
                <w:sz w:val="15"/>
                <w:szCs w:val="15"/>
              </w:rPr>
              <w:t>CC &gt;1163</w:t>
            </w:r>
          </w:p>
        </w:tc>
        <w:tc>
          <w:tcPr>
            <w:tcW w:w="2126" w:type="dxa"/>
          </w:tcPr>
          <w:p>
            <w:pPr>
              <w:spacing w:line="276" w:lineRule="auto"/>
              <w:jc w:val="center"/>
              <w:rPr>
                <w:rFonts w:eastAsiaTheme="majorEastAsia"/>
                <w:sz w:val="15"/>
                <w:szCs w:val="15"/>
              </w:rPr>
            </w:pPr>
            <w:r>
              <w:rPr>
                <w:rFonts w:eastAsiaTheme="majorEastAsia"/>
                <w:sz w:val="15"/>
                <w:szCs w:val="15"/>
              </w:rPr>
              <w:t>6.40</w:t>
            </w:r>
          </w:p>
        </w:tc>
        <w:tc>
          <w:tcPr>
            <w:tcW w:w="3198" w:type="dxa"/>
          </w:tcPr>
          <w:p>
            <w:pPr>
              <w:spacing w:line="276" w:lineRule="auto"/>
              <w:jc w:val="center"/>
              <w:rPr>
                <w:rFonts w:eastAsiaTheme="majorEastAsia"/>
                <w:sz w:val="15"/>
                <w:szCs w:val="15"/>
              </w:rPr>
            </w:pPr>
            <w:r>
              <w:rPr>
                <w:rFonts w:eastAsiaTheme="majorEastAsia"/>
                <w:sz w:val="15"/>
                <w:szCs w:val="15"/>
              </w:rPr>
              <w:t>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gridSpan w:val="2"/>
          </w:tcPr>
          <w:p>
            <w:pPr>
              <w:spacing w:line="276" w:lineRule="auto"/>
              <w:jc w:val="center"/>
              <w:rPr>
                <w:rFonts w:eastAsiaTheme="majorEastAsia"/>
                <w:sz w:val="15"/>
                <w:szCs w:val="15"/>
              </w:rPr>
            </w:pPr>
            <w:r>
              <w:rPr>
                <w:rFonts w:eastAsiaTheme="majorEastAsia"/>
                <w:sz w:val="15"/>
                <w:szCs w:val="15"/>
              </w:rPr>
              <w:tab/>
            </w:r>
            <w:r>
              <w:rPr>
                <w:rFonts w:eastAsiaTheme="majorEastAsia"/>
                <w:sz w:val="15"/>
                <w:szCs w:val="15"/>
              </w:rPr>
              <w:t>风冷式</w:t>
            </w:r>
          </w:p>
        </w:tc>
        <w:tc>
          <w:tcPr>
            <w:tcW w:w="2126" w:type="dxa"/>
          </w:tcPr>
          <w:p>
            <w:pPr>
              <w:spacing w:line="276" w:lineRule="auto"/>
              <w:jc w:val="center"/>
              <w:rPr>
                <w:rFonts w:eastAsiaTheme="majorEastAsia"/>
                <w:sz w:val="15"/>
                <w:szCs w:val="15"/>
              </w:rPr>
            </w:pPr>
            <w:r>
              <w:rPr>
                <w:rFonts w:eastAsiaTheme="majorEastAsia"/>
                <w:sz w:val="15"/>
                <w:szCs w:val="15"/>
              </w:rPr>
              <w:t xml:space="preserve"> 3.00</w:t>
            </w:r>
            <w:r>
              <w:rPr>
                <w:rFonts w:eastAsiaTheme="majorEastAsia"/>
                <w:sz w:val="15"/>
                <w:szCs w:val="15"/>
              </w:rPr>
              <w:tab/>
            </w:r>
          </w:p>
        </w:tc>
        <w:tc>
          <w:tcPr>
            <w:tcW w:w="3198" w:type="dxa"/>
          </w:tcPr>
          <w:p>
            <w:pPr>
              <w:spacing w:line="276" w:lineRule="auto"/>
              <w:jc w:val="center"/>
              <w:rPr>
                <w:rFonts w:eastAsiaTheme="majorEastAsia"/>
                <w:sz w:val="15"/>
                <w:szCs w:val="15"/>
              </w:rPr>
            </w:pPr>
            <w:r>
              <w:rPr>
                <w:rFonts w:eastAsiaTheme="majorEastAsia"/>
                <w:sz w:val="15"/>
                <w:szCs w:val="15"/>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gridSpan w:val="2"/>
          </w:tcPr>
          <w:p>
            <w:pPr>
              <w:spacing w:line="276" w:lineRule="auto"/>
              <w:jc w:val="center"/>
              <w:rPr>
                <w:rFonts w:eastAsiaTheme="majorEastAsia"/>
                <w:sz w:val="15"/>
                <w:szCs w:val="15"/>
              </w:rPr>
            </w:pPr>
            <w:r>
              <w:rPr>
                <w:rFonts w:eastAsiaTheme="majorEastAsia"/>
                <w:sz w:val="15"/>
                <w:szCs w:val="15"/>
              </w:rPr>
              <w:t>蒸发冷却式</w:t>
            </w:r>
          </w:p>
        </w:tc>
        <w:tc>
          <w:tcPr>
            <w:tcW w:w="2126" w:type="dxa"/>
          </w:tcPr>
          <w:p>
            <w:pPr>
              <w:spacing w:line="276" w:lineRule="auto"/>
              <w:jc w:val="center"/>
              <w:rPr>
                <w:rFonts w:eastAsiaTheme="majorEastAsia"/>
                <w:sz w:val="15"/>
                <w:szCs w:val="15"/>
              </w:rPr>
            </w:pPr>
            <w:r>
              <w:rPr>
                <w:rFonts w:eastAsiaTheme="majorEastAsia"/>
                <w:sz w:val="15"/>
                <w:szCs w:val="15"/>
              </w:rPr>
              <w:t>4.40</w:t>
            </w:r>
          </w:p>
        </w:tc>
        <w:tc>
          <w:tcPr>
            <w:tcW w:w="3198" w:type="dxa"/>
          </w:tcPr>
          <w:p>
            <w:pPr>
              <w:spacing w:line="276" w:lineRule="auto"/>
              <w:jc w:val="center"/>
              <w:rPr>
                <w:rFonts w:eastAsiaTheme="majorEastAsia"/>
                <w:sz w:val="15"/>
                <w:szCs w:val="15"/>
              </w:rPr>
            </w:pPr>
            <w:r>
              <w:rPr>
                <w:rFonts w:eastAsiaTheme="majorEastAsia"/>
                <w:sz w:val="15"/>
                <w:szCs w:val="15"/>
              </w:rPr>
              <w:t>5.10</w:t>
            </w:r>
          </w:p>
        </w:tc>
      </w:tr>
    </w:tbl>
    <w:p>
      <w:pPr>
        <w:spacing w:line="276" w:lineRule="auto"/>
        <w:rPr>
          <w:rFonts w:eastAsia="楷体"/>
        </w:rPr>
      </w:pPr>
    </w:p>
    <w:p>
      <w:pPr>
        <w:spacing w:line="276" w:lineRule="auto"/>
        <w:rPr>
          <w:rFonts w:cs="Arial"/>
          <w:b/>
          <w:bCs/>
          <w:kern w:val="0"/>
          <w:sz w:val="24"/>
        </w:rPr>
      </w:pPr>
    </w:p>
    <w:p>
      <w:pPr>
        <w:autoSpaceDE w:val="0"/>
        <w:autoSpaceDN w:val="0"/>
        <w:adjustRightInd w:val="0"/>
        <w:spacing w:line="276" w:lineRule="auto"/>
        <w:jc w:val="left"/>
        <w:rPr>
          <w:rFonts w:cs="宋体"/>
          <w:kern w:val="0"/>
          <w:sz w:val="24"/>
        </w:rPr>
      </w:pPr>
      <w:r>
        <w:rPr>
          <w:rFonts w:cs="Arial"/>
          <w:b/>
          <w:bCs/>
          <w:kern w:val="0"/>
          <w:sz w:val="24"/>
        </w:rPr>
        <w:t xml:space="preserve">4.2.9 </w:t>
      </w:r>
      <w:r>
        <w:rPr>
          <w:rFonts w:hint="eastAsia" w:cs="宋体"/>
          <w:kern w:val="0"/>
          <w:sz w:val="24"/>
        </w:rPr>
        <w:t>空气源热泵机组的设计应符合下列规定：</w:t>
      </w:r>
    </w:p>
    <w:p>
      <w:pPr>
        <w:autoSpaceDE w:val="0"/>
        <w:autoSpaceDN w:val="0"/>
        <w:adjustRightInd w:val="0"/>
        <w:spacing w:line="276" w:lineRule="auto"/>
        <w:ind w:firstLine="480"/>
        <w:jc w:val="left"/>
        <w:rPr>
          <w:rFonts w:cs="宋体"/>
          <w:kern w:val="0"/>
          <w:sz w:val="24"/>
        </w:rPr>
      </w:pPr>
      <w:r>
        <w:rPr>
          <w:rFonts w:cs="宋体"/>
          <w:kern w:val="0"/>
          <w:sz w:val="24"/>
        </w:rPr>
        <w:t>1</w:t>
      </w:r>
      <w:r>
        <w:rPr>
          <w:rFonts w:hint="eastAsia" w:cs="宋体"/>
          <w:kern w:val="0"/>
          <w:sz w:val="24"/>
        </w:rPr>
        <w:t xml:space="preserve"> 具有先进可靠的融霜控制，融霜时间总和不应超过运行周期时间的</w:t>
      </w:r>
      <w:r>
        <w:rPr>
          <w:rFonts w:cs="宋体"/>
          <w:kern w:val="0"/>
          <w:sz w:val="24"/>
        </w:rPr>
        <w:t>20</w:t>
      </w:r>
      <w:r>
        <w:rPr>
          <w:rFonts w:hint="eastAsia" w:cs="宋体"/>
          <w:kern w:val="0"/>
          <w:sz w:val="24"/>
        </w:rPr>
        <w:t>％；</w:t>
      </w:r>
    </w:p>
    <w:p>
      <w:pPr>
        <w:autoSpaceDE w:val="0"/>
        <w:autoSpaceDN w:val="0"/>
        <w:adjustRightInd w:val="0"/>
        <w:spacing w:line="276" w:lineRule="auto"/>
        <w:ind w:firstLine="480"/>
        <w:jc w:val="left"/>
        <w:rPr>
          <w:rFonts w:cs="宋体"/>
          <w:kern w:val="0"/>
          <w:sz w:val="24"/>
        </w:rPr>
      </w:pPr>
      <w:r>
        <w:rPr>
          <w:rFonts w:cs="宋体"/>
          <w:kern w:val="0"/>
          <w:sz w:val="24"/>
        </w:rPr>
        <w:t xml:space="preserve">2 </w:t>
      </w:r>
      <w:r>
        <w:rPr>
          <w:rFonts w:hint="eastAsia" w:cs="宋体"/>
          <w:kern w:val="0"/>
          <w:sz w:val="24"/>
        </w:rPr>
        <w:t>冬季设计工况下，冷热风机组性能系数（</w:t>
      </w:r>
      <w:r>
        <w:rPr>
          <w:rFonts w:cs="宋体"/>
          <w:kern w:val="0"/>
          <w:sz w:val="24"/>
        </w:rPr>
        <w:t>COP</w:t>
      </w:r>
      <w:r>
        <w:rPr>
          <w:rFonts w:hint="eastAsia" w:cs="宋体"/>
          <w:kern w:val="0"/>
          <w:sz w:val="24"/>
        </w:rPr>
        <w:t>）不应小于</w:t>
      </w:r>
      <w:r>
        <w:rPr>
          <w:rFonts w:cs="宋体"/>
          <w:kern w:val="0"/>
          <w:sz w:val="24"/>
        </w:rPr>
        <w:t>1.8</w:t>
      </w:r>
      <w:r>
        <w:rPr>
          <w:rFonts w:hint="eastAsia" w:cs="宋体"/>
          <w:kern w:val="0"/>
          <w:sz w:val="24"/>
        </w:rPr>
        <w:t>，冷热水机组性能系数（</w:t>
      </w:r>
      <w:r>
        <w:rPr>
          <w:rFonts w:cs="宋体"/>
          <w:kern w:val="0"/>
          <w:sz w:val="24"/>
        </w:rPr>
        <w:t>COP</w:t>
      </w:r>
      <w:r>
        <w:rPr>
          <w:rFonts w:hint="eastAsia" w:cs="宋体"/>
          <w:kern w:val="0"/>
          <w:sz w:val="24"/>
        </w:rPr>
        <w:t>）不应小于</w:t>
      </w:r>
      <w:r>
        <w:rPr>
          <w:rFonts w:cs="宋体"/>
          <w:kern w:val="0"/>
          <w:sz w:val="24"/>
        </w:rPr>
        <w:t>2.0</w:t>
      </w:r>
      <w:r>
        <w:rPr>
          <w:rFonts w:hint="eastAsia" w:cs="宋体"/>
          <w:kern w:val="0"/>
          <w:sz w:val="24"/>
        </w:rPr>
        <w:t>；</w:t>
      </w:r>
    </w:p>
    <w:p>
      <w:pPr>
        <w:autoSpaceDE w:val="0"/>
        <w:autoSpaceDN w:val="0"/>
        <w:adjustRightInd w:val="0"/>
        <w:spacing w:line="276" w:lineRule="auto"/>
        <w:ind w:firstLine="480"/>
        <w:jc w:val="left"/>
        <w:rPr>
          <w:rFonts w:cs="宋体"/>
          <w:kern w:val="0"/>
          <w:sz w:val="24"/>
        </w:rPr>
      </w:pPr>
      <w:r>
        <w:rPr>
          <w:rFonts w:cs="宋体"/>
          <w:kern w:val="0"/>
          <w:sz w:val="24"/>
        </w:rPr>
        <w:t xml:space="preserve">3 </w:t>
      </w:r>
      <w:r>
        <w:rPr>
          <w:rFonts w:hint="eastAsia" w:cs="宋体"/>
          <w:kern w:val="0"/>
          <w:sz w:val="24"/>
        </w:rPr>
        <w:t>冬季寒冷、潮湿的地区，当室外设计温度低于当地平衡点温度时，或当室内温度稳定性有较高要求时，应设置辅助热源；</w:t>
      </w:r>
    </w:p>
    <w:p>
      <w:pPr>
        <w:autoSpaceDE w:val="0"/>
        <w:autoSpaceDN w:val="0"/>
        <w:adjustRightInd w:val="0"/>
        <w:spacing w:line="276" w:lineRule="auto"/>
        <w:ind w:firstLine="480" w:firstLineChars="200"/>
        <w:jc w:val="left"/>
        <w:rPr>
          <w:rFonts w:cs="宋体"/>
          <w:kern w:val="0"/>
          <w:sz w:val="24"/>
        </w:rPr>
      </w:pPr>
      <w:r>
        <w:rPr>
          <w:rFonts w:cs="宋体"/>
          <w:kern w:val="0"/>
          <w:sz w:val="24"/>
        </w:rPr>
        <w:t xml:space="preserve">4 </w:t>
      </w:r>
      <w:r>
        <w:rPr>
          <w:rFonts w:hint="eastAsia" w:cs="宋体"/>
          <w:kern w:val="0"/>
          <w:sz w:val="24"/>
        </w:rPr>
        <w:t>对于同时供冷、供暖的建筑，宜选用热回收式热泵机组。</w:t>
      </w:r>
    </w:p>
    <w:p>
      <w:pPr>
        <w:autoSpaceDE w:val="0"/>
        <w:autoSpaceDN w:val="0"/>
        <w:adjustRightInd w:val="0"/>
        <w:spacing w:line="276" w:lineRule="auto"/>
        <w:jc w:val="left"/>
        <w:rPr>
          <w:rFonts w:cs="仿宋_GB2312"/>
          <w:bCs/>
          <w:kern w:val="0"/>
        </w:rPr>
      </w:pPr>
    </w:p>
    <w:p>
      <w:pPr>
        <w:autoSpaceDE w:val="0"/>
        <w:autoSpaceDN w:val="0"/>
        <w:adjustRightInd w:val="0"/>
        <w:spacing w:line="276" w:lineRule="auto"/>
        <w:jc w:val="left"/>
        <w:rPr>
          <w:rFonts w:cs="宋体"/>
          <w:kern w:val="0"/>
          <w:sz w:val="24"/>
        </w:rPr>
      </w:pPr>
      <w:r>
        <w:rPr>
          <w:rFonts w:cs="Arial"/>
          <w:b/>
          <w:bCs/>
          <w:kern w:val="0"/>
          <w:sz w:val="24"/>
        </w:rPr>
        <w:t>4.2.10</w:t>
      </w:r>
      <w:r>
        <w:rPr>
          <w:rFonts w:hint="eastAsia" w:cs="宋体"/>
          <w:kern w:val="0"/>
          <w:sz w:val="24"/>
        </w:rPr>
        <w:t>空气源、风冷、蒸发冷却式冷水（热泵）式机组室外机的设置，应符合下列规定：</w:t>
      </w:r>
    </w:p>
    <w:p>
      <w:pPr>
        <w:autoSpaceDE w:val="0"/>
        <w:autoSpaceDN w:val="0"/>
        <w:adjustRightInd w:val="0"/>
        <w:spacing w:line="276" w:lineRule="auto"/>
        <w:ind w:firstLine="480"/>
        <w:jc w:val="left"/>
        <w:rPr>
          <w:rFonts w:cs="宋体"/>
          <w:kern w:val="0"/>
          <w:sz w:val="24"/>
        </w:rPr>
      </w:pPr>
      <w:r>
        <w:rPr>
          <w:rFonts w:cs="宋体"/>
          <w:b w:val="0"/>
          <w:bCs/>
          <w:kern w:val="0"/>
          <w:sz w:val="24"/>
        </w:rPr>
        <w:t>1</w:t>
      </w:r>
      <w:r>
        <w:rPr>
          <w:rFonts w:hint="eastAsia" w:cs="宋体"/>
          <w:b/>
          <w:kern w:val="0"/>
          <w:sz w:val="24"/>
        </w:rPr>
        <w:t xml:space="preserve"> </w:t>
      </w:r>
      <w:r>
        <w:rPr>
          <w:rFonts w:hint="eastAsia" w:cs="宋体"/>
          <w:kern w:val="0"/>
          <w:sz w:val="24"/>
        </w:rPr>
        <w:t>应确保进风与排风通畅，在排出空气与吸入空气之间不发生明显的气流短路；</w:t>
      </w:r>
    </w:p>
    <w:p>
      <w:pPr>
        <w:autoSpaceDE w:val="0"/>
        <w:autoSpaceDN w:val="0"/>
        <w:adjustRightInd w:val="0"/>
        <w:spacing w:line="276" w:lineRule="auto"/>
        <w:ind w:firstLine="480"/>
        <w:jc w:val="left"/>
        <w:rPr>
          <w:rFonts w:cs="宋体"/>
          <w:kern w:val="0"/>
          <w:sz w:val="24"/>
        </w:rPr>
      </w:pPr>
      <w:r>
        <w:rPr>
          <w:rFonts w:cs="宋体"/>
          <w:b w:val="0"/>
          <w:bCs/>
          <w:kern w:val="0"/>
          <w:sz w:val="24"/>
        </w:rPr>
        <w:t>2</w:t>
      </w:r>
      <w:r>
        <w:rPr>
          <w:rFonts w:hint="eastAsia" w:cs="宋体"/>
          <w:b/>
          <w:kern w:val="0"/>
          <w:sz w:val="24"/>
        </w:rPr>
        <w:t xml:space="preserve"> </w:t>
      </w:r>
      <w:r>
        <w:rPr>
          <w:rFonts w:hint="eastAsia" w:cs="宋体"/>
          <w:kern w:val="0"/>
          <w:sz w:val="24"/>
        </w:rPr>
        <w:t>应避免污浊气流的影响；</w:t>
      </w:r>
    </w:p>
    <w:p>
      <w:pPr>
        <w:autoSpaceDE w:val="0"/>
        <w:autoSpaceDN w:val="0"/>
        <w:adjustRightInd w:val="0"/>
        <w:spacing w:line="276" w:lineRule="auto"/>
        <w:ind w:firstLine="480"/>
        <w:jc w:val="left"/>
        <w:rPr>
          <w:rFonts w:cs="宋体" w:asciiTheme="minorEastAsia" w:hAnsiTheme="minorEastAsia" w:eastAsiaTheme="minorEastAsia"/>
          <w:kern w:val="0"/>
          <w:sz w:val="24"/>
        </w:rPr>
      </w:pPr>
      <w:r>
        <w:rPr>
          <w:rFonts w:cs="宋体"/>
          <w:b w:val="0"/>
          <w:bCs/>
          <w:kern w:val="0"/>
          <w:sz w:val="24"/>
        </w:rPr>
        <w:t>3</w:t>
      </w:r>
      <w:r>
        <w:rPr>
          <w:rFonts w:hint="eastAsia" w:cs="宋体"/>
          <w:b/>
          <w:kern w:val="0"/>
          <w:sz w:val="24"/>
        </w:rPr>
        <w:t xml:space="preserve"> </w:t>
      </w:r>
      <w:r>
        <w:rPr>
          <w:rFonts w:hint="eastAsia" w:cs="宋体"/>
          <w:kern w:val="0"/>
          <w:sz w:val="24"/>
        </w:rPr>
        <w:t>噪声和排热应符合周</w:t>
      </w:r>
      <w:r>
        <w:rPr>
          <w:rFonts w:hint="eastAsia" w:cs="宋体" w:asciiTheme="minorEastAsia" w:hAnsiTheme="minorEastAsia" w:eastAsiaTheme="minorEastAsia"/>
          <w:kern w:val="0"/>
          <w:sz w:val="24"/>
        </w:rPr>
        <w:t>围环境要求；</w:t>
      </w:r>
    </w:p>
    <w:p>
      <w:pPr>
        <w:autoSpaceDE w:val="0"/>
        <w:autoSpaceDN w:val="0"/>
        <w:adjustRightInd w:val="0"/>
        <w:spacing w:line="276" w:lineRule="auto"/>
        <w:ind w:firstLine="475" w:firstLineChars="198"/>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4</w:t>
      </w:r>
      <w:r>
        <w:rPr>
          <w:rFonts w:hint="eastAsia" w:cs="宋体" w:asciiTheme="minorEastAsia" w:hAnsiTheme="minorEastAsia" w:eastAsiaTheme="minorEastAsia"/>
          <w:kern w:val="0"/>
          <w:sz w:val="24"/>
        </w:rPr>
        <w:t xml:space="preserve"> 应便于对室外机的换热器进行清扫。</w:t>
      </w:r>
    </w:p>
    <w:p>
      <w:pPr>
        <w:spacing w:line="360" w:lineRule="auto"/>
        <w:rPr>
          <w:rFonts w:cs="宋体"/>
          <w:b/>
          <w:kern w:val="0"/>
          <w:sz w:val="24"/>
        </w:rPr>
      </w:pPr>
    </w:p>
    <w:p>
      <w:pPr>
        <w:autoSpaceDE w:val="0"/>
        <w:autoSpaceDN w:val="0"/>
        <w:adjustRightInd w:val="0"/>
        <w:spacing w:line="360" w:lineRule="auto"/>
        <w:jc w:val="left"/>
        <w:rPr>
          <w:rFonts w:cs="宋体" w:asciiTheme="minorEastAsia" w:hAnsiTheme="minorEastAsia" w:eastAsiaTheme="minorEastAsia"/>
          <w:kern w:val="0"/>
          <w:sz w:val="24"/>
        </w:rPr>
      </w:pPr>
      <w:r>
        <w:rPr>
          <w:rFonts w:hint="eastAsia" w:cs="宋体"/>
          <w:b/>
          <w:kern w:val="0"/>
          <w:sz w:val="24"/>
        </w:rPr>
        <w:t>4.2.</w:t>
      </w:r>
      <w:r>
        <w:rPr>
          <w:rFonts w:cs="宋体"/>
          <w:b/>
          <w:kern w:val="0"/>
          <w:sz w:val="24"/>
        </w:rPr>
        <w:t>11</w:t>
      </w:r>
      <w:r>
        <w:rPr>
          <w:rFonts w:hint="eastAsia" w:cs="宋体"/>
          <w:kern w:val="0"/>
          <w:sz w:val="24"/>
        </w:rPr>
        <w:t>除具有热回收功能型或低温热泵型多联机系统外，</w:t>
      </w:r>
      <w:r>
        <w:rPr>
          <w:rFonts w:cs="宋体"/>
          <w:kern w:val="0"/>
          <w:sz w:val="24"/>
        </w:rPr>
        <w:t>多联机空调系统</w:t>
      </w:r>
      <w:r>
        <w:rPr>
          <w:rFonts w:hint="eastAsia" w:cs="宋体"/>
          <w:kern w:val="0"/>
          <w:sz w:val="24"/>
        </w:rPr>
        <w:t>的制冷剂连接管</w:t>
      </w:r>
      <w:r>
        <w:rPr>
          <w:rFonts w:cs="宋体"/>
          <w:kern w:val="0"/>
          <w:sz w:val="24"/>
        </w:rPr>
        <w:t>等效长度应满足对应制冷工况下满负荷</w:t>
      </w:r>
      <w:r>
        <w:rPr>
          <w:rFonts w:hint="eastAsia" w:cs="宋体" w:asciiTheme="minorEastAsia" w:hAnsiTheme="minorEastAsia" w:eastAsiaTheme="minorEastAsia"/>
          <w:kern w:val="0"/>
          <w:sz w:val="24"/>
        </w:rPr>
        <w:t>时</w:t>
      </w:r>
      <w:r>
        <w:rPr>
          <w:rFonts w:cs="宋体" w:asciiTheme="minorEastAsia" w:hAnsiTheme="minorEastAsia" w:eastAsiaTheme="minorEastAsia"/>
          <w:kern w:val="0"/>
          <w:sz w:val="24"/>
        </w:rPr>
        <w:t>的</w:t>
      </w:r>
      <w:r>
        <w:rPr>
          <w:rFonts w:hint="eastAsia" w:cs="宋体" w:asciiTheme="minorEastAsia" w:hAnsiTheme="minorEastAsia" w:eastAsiaTheme="minorEastAsia"/>
          <w:kern w:val="0"/>
          <w:sz w:val="24"/>
        </w:rPr>
        <w:t>能效比（EER）</w:t>
      </w:r>
      <w:r>
        <w:rPr>
          <w:rFonts w:cs="宋体" w:asciiTheme="minorEastAsia" w:hAnsiTheme="minorEastAsia" w:eastAsiaTheme="minorEastAsia"/>
          <w:kern w:val="0"/>
          <w:sz w:val="24"/>
        </w:rPr>
        <w:t>不低于2.8</w:t>
      </w:r>
      <w:r>
        <w:rPr>
          <w:rFonts w:hint="eastAsia" w:cs="宋体" w:asciiTheme="minorEastAsia" w:hAnsiTheme="minorEastAsia" w:eastAsiaTheme="minorEastAsia"/>
          <w:kern w:val="0"/>
          <w:sz w:val="24"/>
        </w:rPr>
        <w:t>的要求</w:t>
      </w:r>
      <w:r>
        <w:rPr>
          <w:rFonts w:cs="宋体" w:asciiTheme="minorEastAsia" w:hAnsiTheme="minorEastAsia" w:eastAsiaTheme="minorEastAsia"/>
          <w:kern w:val="0"/>
          <w:sz w:val="24"/>
        </w:rPr>
        <w:t>。</w:t>
      </w:r>
    </w:p>
    <w:p>
      <w:pPr>
        <w:autoSpaceDE w:val="0"/>
        <w:autoSpaceDN w:val="0"/>
        <w:adjustRightInd w:val="0"/>
        <w:spacing w:line="360" w:lineRule="auto"/>
        <w:rPr>
          <w:rFonts w:ascii="楷体" w:hAnsi="楷体" w:eastAsia="楷体" w:cs="Arial"/>
          <w:b/>
          <w:kern w:val="0"/>
          <w:szCs w:val="21"/>
        </w:rPr>
      </w:pPr>
    </w:p>
    <w:p>
      <w:pPr>
        <w:autoSpaceDE w:val="0"/>
        <w:autoSpaceDN w:val="0"/>
        <w:adjustRightInd w:val="0"/>
        <w:spacing w:line="360" w:lineRule="auto"/>
        <w:rPr>
          <w:kern w:val="0"/>
          <w:sz w:val="24"/>
        </w:rPr>
      </w:pPr>
      <w:r>
        <w:rPr>
          <w:rFonts w:cs="Arial"/>
          <w:b/>
          <w:kern w:val="0"/>
          <w:sz w:val="24"/>
        </w:rPr>
        <w:t>4.2.12</w:t>
      </w:r>
      <w:r>
        <w:rPr>
          <w:rFonts w:hint="eastAsia"/>
          <w:kern w:val="0"/>
          <w:sz w:val="24"/>
        </w:rPr>
        <w:t>对冬季或过渡季存在供冷需求的建筑，</w:t>
      </w:r>
      <w:r>
        <w:rPr>
          <w:rFonts w:hint="eastAsia"/>
          <w:sz w:val="24"/>
        </w:rPr>
        <w:t>应充分利用新风降温；</w:t>
      </w:r>
      <w:r>
        <w:rPr>
          <w:rFonts w:hint="eastAsia"/>
          <w:kern w:val="0"/>
          <w:sz w:val="24"/>
        </w:rPr>
        <w:t>经技术经济分析合理时，可利用冷却塔提供空气调节冷水</w:t>
      </w:r>
      <w:r>
        <w:rPr>
          <w:rFonts w:hint="eastAsia" w:cs="宋体"/>
          <w:kern w:val="0"/>
          <w:sz w:val="24"/>
        </w:rPr>
        <w:t>或使用具有同时制冷和制热功能的空调（热泵）产品</w:t>
      </w:r>
      <w:r>
        <w:rPr>
          <w:rFonts w:hint="eastAsia"/>
          <w:kern w:val="0"/>
          <w:sz w:val="24"/>
        </w:rPr>
        <w:t>。</w:t>
      </w:r>
    </w:p>
    <w:p>
      <w:pPr>
        <w:autoSpaceDE w:val="0"/>
        <w:autoSpaceDN w:val="0"/>
        <w:adjustRightInd w:val="0"/>
        <w:spacing w:line="360" w:lineRule="auto"/>
        <w:rPr>
          <w:b/>
          <w:bCs/>
          <w:szCs w:val="32"/>
        </w:rPr>
      </w:pPr>
    </w:p>
    <w:p>
      <w:pPr>
        <w:autoSpaceDE w:val="0"/>
        <w:autoSpaceDN w:val="0"/>
        <w:adjustRightInd w:val="0"/>
        <w:spacing w:line="360" w:lineRule="auto"/>
        <w:rPr>
          <w:kern w:val="0"/>
          <w:sz w:val="24"/>
        </w:rPr>
      </w:pPr>
      <w:r>
        <w:rPr>
          <w:rFonts w:cs="Arial"/>
          <w:b/>
          <w:kern w:val="0"/>
          <w:sz w:val="24"/>
        </w:rPr>
        <w:t>4.2.13</w:t>
      </w:r>
      <w:r>
        <w:rPr>
          <w:rFonts w:hint="eastAsia"/>
          <w:kern w:val="0"/>
          <w:sz w:val="24"/>
        </w:rPr>
        <w:t>采用蒸汽为热源，经技术经济比较合理时，应回收用汽设备产生的凝结水。凝结水回收系统应采用闭式系统。</w:t>
      </w:r>
    </w:p>
    <w:p>
      <w:pPr>
        <w:autoSpaceDE w:val="0"/>
        <w:autoSpaceDN w:val="0"/>
        <w:adjustRightInd w:val="0"/>
        <w:spacing w:line="360" w:lineRule="auto"/>
        <w:rPr>
          <w:kern w:val="0"/>
          <w:szCs w:val="21"/>
        </w:rPr>
      </w:pPr>
    </w:p>
    <w:p>
      <w:pPr>
        <w:autoSpaceDE w:val="0"/>
        <w:autoSpaceDN w:val="0"/>
        <w:adjustRightInd w:val="0"/>
        <w:spacing w:line="360" w:lineRule="auto"/>
        <w:rPr>
          <w:rFonts w:cs="宋体"/>
          <w:kern w:val="0"/>
          <w:sz w:val="24"/>
        </w:rPr>
      </w:pPr>
      <w:r>
        <w:rPr>
          <w:rFonts w:cs="Arial"/>
          <w:b/>
          <w:bCs/>
          <w:kern w:val="0"/>
          <w:sz w:val="24"/>
        </w:rPr>
        <w:t>4.2.14</w:t>
      </w:r>
      <w:r>
        <w:rPr>
          <w:rFonts w:hint="eastAsia" w:cs="宋体"/>
          <w:kern w:val="0"/>
          <w:sz w:val="24"/>
        </w:rPr>
        <w:t>对常年存在生活热水需求的建筑，当采用电动蒸汽压缩循环冷水机组时，宜采用具有冷凝热回收功能的冷水机组。</w:t>
      </w:r>
    </w:p>
    <w:p>
      <w:pPr>
        <w:autoSpaceDE w:val="0"/>
        <w:autoSpaceDN w:val="0"/>
        <w:adjustRightInd w:val="0"/>
        <w:spacing w:line="360" w:lineRule="auto"/>
        <w:rPr>
          <w:rFonts w:cs="宋体"/>
          <w:kern w:val="0"/>
          <w:sz w:val="24"/>
        </w:rPr>
      </w:pPr>
    </w:p>
    <w:p>
      <w:pPr>
        <w:autoSpaceDE w:val="0"/>
        <w:autoSpaceDN w:val="0"/>
        <w:adjustRightInd w:val="0"/>
        <w:spacing w:line="360" w:lineRule="auto"/>
        <w:rPr>
          <w:rFonts w:cs="宋体"/>
          <w:kern w:val="0"/>
          <w:sz w:val="24"/>
        </w:rPr>
      </w:pPr>
      <w:r>
        <w:rPr>
          <w:rFonts w:hint="eastAsia" w:cs="宋体"/>
          <w:kern w:val="0"/>
          <w:sz w:val="24"/>
        </w:rPr>
        <w:t>4.2.</w:t>
      </w:r>
      <w:r>
        <w:rPr>
          <w:rFonts w:cs="宋体"/>
          <w:kern w:val="0"/>
          <w:sz w:val="24"/>
        </w:rPr>
        <w:t>15</w:t>
      </w:r>
      <w:r>
        <w:rPr>
          <w:rFonts w:hint="eastAsia" w:cs="宋体"/>
          <w:kern w:val="0"/>
          <w:sz w:val="24"/>
        </w:rPr>
        <w:t>多冷机冷源系统优化设计应符合下列要求：</w:t>
      </w:r>
    </w:p>
    <w:p>
      <w:pPr>
        <w:autoSpaceDE w:val="0"/>
        <w:autoSpaceDN w:val="0"/>
        <w:adjustRightInd w:val="0"/>
        <w:spacing w:line="360" w:lineRule="auto"/>
        <w:rPr>
          <w:rFonts w:cs="宋体"/>
          <w:kern w:val="0"/>
          <w:sz w:val="24"/>
        </w:rPr>
      </w:pPr>
      <w:r>
        <w:rPr>
          <w:rFonts w:hint="eastAsia" w:cs="宋体"/>
          <w:kern w:val="0"/>
          <w:sz w:val="24"/>
        </w:rPr>
        <w:t xml:space="preserve">    1  按冷源整体负荷的0-25%、25%-50%、50%-75%和75%-100%四个负荷段进行划分，并根据建筑类型和逐时计算结果，确定各负荷段运行时间占比；</w:t>
      </w:r>
    </w:p>
    <w:p>
      <w:pPr>
        <w:autoSpaceDE w:val="0"/>
        <w:autoSpaceDN w:val="0"/>
        <w:adjustRightInd w:val="0"/>
        <w:spacing w:line="360" w:lineRule="auto"/>
        <w:ind w:firstLine="480"/>
        <w:rPr>
          <w:rFonts w:cs="宋体"/>
          <w:kern w:val="0"/>
          <w:sz w:val="24"/>
        </w:rPr>
      </w:pPr>
      <w:r>
        <w:rPr>
          <w:rFonts w:cs="宋体"/>
          <w:kern w:val="0"/>
          <w:sz w:val="24"/>
        </w:rPr>
        <w:t>2</w:t>
      </w:r>
      <w:r>
        <w:rPr>
          <w:rFonts w:hint="eastAsia" w:cs="宋体"/>
          <w:kern w:val="0"/>
          <w:sz w:val="24"/>
        </w:rPr>
        <w:t xml:space="preserve"> 应根据建筑部分负荷工况在设计文件中明确部分负荷时冷源运行策略，并根据第4.2.</w:t>
      </w:r>
      <w:r>
        <w:rPr>
          <w:rFonts w:cs="宋体"/>
          <w:kern w:val="0"/>
          <w:sz w:val="24"/>
        </w:rPr>
        <w:t>17</w:t>
      </w:r>
      <w:r>
        <w:rPr>
          <w:rFonts w:hint="eastAsia" w:cs="宋体"/>
          <w:kern w:val="0"/>
          <w:sz w:val="24"/>
        </w:rPr>
        <w:t>条的规定计算得到系统设计综合能效比（EER）。</w:t>
      </w:r>
    </w:p>
    <w:p>
      <w:pPr>
        <w:autoSpaceDE w:val="0"/>
        <w:autoSpaceDN w:val="0"/>
        <w:adjustRightInd w:val="0"/>
        <w:spacing w:line="360" w:lineRule="auto"/>
        <w:rPr>
          <w:rFonts w:cs="宋体"/>
          <w:kern w:val="0"/>
          <w:sz w:val="24"/>
        </w:rPr>
      </w:pPr>
    </w:p>
    <w:p>
      <w:pPr>
        <w:autoSpaceDE w:val="0"/>
        <w:autoSpaceDN w:val="0"/>
        <w:adjustRightInd w:val="0"/>
        <w:spacing w:line="360" w:lineRule="auto"/>
        <w:rPr>
          <w:rFonts w:cs="宋体"/>
          <w:kern w:val="0"/>
          <w:sz w:val="24"/>
        </w:rPr>
      </w:pPr>
      <w:r>
        <w:rPr>
          <w:rFonts w:hint="eastAsia" w:cs="宋体"/>
          <w:kern w:val="0"/>
          <w:sz w:val="24"/>
        </w:rPr>
        <w:t>4.2</w:t>
      </w:r>
      <w:r>
        <w:rPr>
          <w:rFonts w:cs="宋体"/>
          <w:kern w:val="0"/>
          <w:sz w:val="24"/>
        </w:rPr>
        <w:t>.16</w:t>
      </w:r>
      <w:r>
        <w:rPr>
          <w:rFonts w:hint="eastAsia" w:cs="宋体"/>
          <w:kern w:val="0"/>
          <w:sz w:val="24"/>
        </w:rPr>
        <w:t>多冷机冷源系统设计综合能效比（EER）应按下式进行计算 ：</w:t>
      </w:r>
    </w:p>
    <w:p>
      <w:pPr>
        <w:autoSpaceDE w:val="0"/>
        <w:autoSpaceDN w:val="0"/>
        <w:adjustRightInd w:val="0"/>
        <w:spacing w:line="360" w:lineRule="auto"/>
        <w:jc w:val="right"/>
        <w:rPr>
          <w:rFonts w:cs="宋体"/>
          <w:kern w:val="0"/>
          <w:sz w:val="24"/>
        </w:rPr>
      </w:pPr>
      <w:r>
        <w:rPr>
          <w:rFonts w:cs="宋体"/>
          <w:kern w:val="0"/>
          <w:sz w:val="24"/>
        </w:rPr>
        <w:t xml:space="preserve">     EER= A*</w:t>
      </w:r>
      <w:r>
        <w:rPr>
          <w:rFonts w:ascii="Cambria Math" w:hAnsi="Cambria Math" w:cs="Cambria Math"/>
          <w:kern w:val="0"/>
          <w:sz w:val="24"/>
        </w:rPr>
        <w:t>𝐸𝐸𝑅</w:t>
      </w:r>
      <w:r>
        <w:rPr>
          <w:rFonts w:cs="宋体"/>
          <w:kern w:val="0"/>
          <w:sz w:val="24"/>
        </w:rPr>
        <w:t xml:space="preserve"> </w:t>
      </w:r>
      <w:r>
        <w:rPr>
          <w:rFonts w:cs="宋体"/>
          <w:kern w:val="0"/>
          <w:sz w:val="24"/>
          <w:vertAlign w:val="subscript"/>
        </w:rPr>
        <w:t>0−0.25</w:t>
      </w:r>
      <w:r>
        <w:rPr>
          <w:rFonts w:cs="宋体"/>
          <w:kern w:val="0"/>
          <w:sz w:val="24"/>
        </w:rPr>
        <w:t>+B</w:t>
      </w:r>
      <w:r>
        <w:rPr>
          <w:rFonts w:hint="eastAsia" w:ascii="MS Gothic" w:hAnsi="MS Gothic" w:eastAsia="MS Gothic" w:cs="MS Gothic"/>
          <w:kern w:val="0"/>
          <w:sz w:val="24"/>
        </w:rPr>
        <w:t>∗</w:t>
      </w:r>
      <w:r>
        <w:rPr>
          <w:rFonts w:ascii="Cambria Math" w:hAnsi="Cambria Math" w:cs="Cambria Math"/>
          <w:kern w:val="0"/>
          <w:sz w:val="24"/>
        </w:rPr>
        <w:t>𝐸𝐸𝑅</w:t>
      </w:r>
      <w:r>
        <w:rPr>
          <w:rFonts w:cs="宋体"/>
          <w:kern w:val="0"/>
          <w:sz w:val="24"/>
          <w:vertAlign w:val="subscript"/>
        </w:rPr>
        <w:t>0.25−0.5</w:t>
      </w:r>
      <w:r>
        <w:rPr>
          <w:rFonts w:cs="宋体"/>
          <w:kern w:val="0"/>
          <w:sz w:val="24"/>
        </w:rPr>
        <w:t>+C</w:t>
      </w:r>
      <w:r>
        <w:rPr>
          <w:rFonts w:hint="eastAsia" w:ascii="MS Gothic" w:hAnsi="MS Gothic" w:eastAsia="MS Gothic" w:cs="MS Gothic"/>
          <w:kern w:val="0"/>
          <w:sz w:val="24"/>
        </w:rPr>
        <w:t>∗</w:t>
      </w:r>
      <w:r>
        <w:rPr>
          <w:rFonts w:ascii="Cambria Math" w:hAnsi="Cambria Math" w:cs="Cambria Math"/>
          <w:kern w:val="0"/>
          <w:sz w:val="24"/>
        </w:rPr>
        <w:t>𝐸𝐸𝑅</w:t>
      </w:r>
      <w:r>
        <w:rPr>
          <w:rFonts w:cs="宋体"/>
          <w:kern w:val="0"/>
          <w:sz w:val="24"/>
          <w:vertAlign w:val="subscript"/>
        </w:rPr>
        <w:t>0.5−0.75</w:t>
      </w:r>
      <w:r>
        <w:rPr>
          <w:rFonts w:cs="宋体"/>
          <w:kern w:val="0"/>
          <w:sz w:val="24"/>
        </w:rPr>
        <w:t>+D</w:t>
      </w:r>
      <w:r>
        <w:rPr>
          <w:rFonts w:hint="eastAsia" w:ascii="MS Gothic" w:hAnsi="MS Gothic" w:eastAsia="MS Gothic" w:cs="MS Gothic"/>
          <w:kern w:val="0"/>
          <w:sz w:val="24"/>
        </w:rPr>
        <w:t>∗</w:t>
      </w:r>
      <w:r>
        <w:rPr>
          <w:rFonts w:ascii="Cambria Math" w:hAnsi="Cambria Math" w:cs="Cambria Math"/>
          <w:kern w:val="0"/>
          <w:sz w:val="24"/>
        </w:rPr>
        <w:t>𝐸𝐸𝑅</w:t>
      </w:r>
      <w:r>
        <w:rPr>
          <w:rFonts w:cs="宋体"/>
          <w:kern w:val="0"/>
          <w:sz w:val="24"/>
          <w:vertAlign w:val="subscript"/>
        </w:rPr>
        <w:t>0.75−1</w:t>
      </w:r>
      <w:r>
        <w:rPr>
          <w:rFonts w:cs="宋体"/>
          <w:kern w:val="0"/>
          <w:sz w:val="24"/>
        </w:rPr>
        <w:t xml:space="preserve">     </w:t>
      </w:r>
      <w:r>
        <w:rPr>
          <w:rFonts w:hint="eastAsia" w:cs="宋体"/>
          <w:kern w:val="0"/>
          <w:sz w:val="24"/>
        </w:rPr>
        <w:t>（</w:t>
      </w:r>
      <w:r>
        <w:rPr>
          <w:rFonts w:cs="宋体"/>
          <w:kern w:val="0"/>
          <w:sz w:val="24"/>
        </w:rPr>
        <w:t>4.2.16</w:t>
      </w:r>
      <w:r>
        <w:rPr>
          <w:rFonts w:hint="eastAsia" w:cs="宋体"/>
          <w:kern w:val="0"/>
          <w:sz w:val="24"/>
        </w:rPr>
        <w:t>）</w:t>
      </w:r>
    </w:p>
    <w:p>
      <w:pPr>
        <w:autoSpaceDE w:val="0"/>
        <w:autoSpaceDN w:val="0"/>
        <w:adjustRightInd w:val="0"/>
        <w:spacing w:line="360" w:lineRule="auto"/>
        <w:rPr>
          <w:rFonts w:cs="宋体"/>
          <w:kern w:val="0"/>
          <w:sz w:val="24"/>
        </w:rPr>
      </w:pPr>
      <w:r>
        <w:rPr>
          <w:rFonts w:hint="eastAsia" w:cs="宋体"/>
          <w:kern w:val="0"/>
          <w:sz w:val="24"/>
        </w:rPr>
        <w:t>式中：</w:t>
      </w:r>
      <w:r>
        <w:rPr>
          <w:rFonts w:cs="宋体"/>
          <w:kern w:val="0"/>
          <w:sz w:val="24"/>
        </w:rPr>
        <w:t>A——</w:t>
      </w:r>
      <w:r>
        <w:rPr>
          <w:rFonts w:hint="eastAsia" w:cs="宋体"/>
          <w:kern w:val="0"/>
          <w:sz w:val="24"/>
        </w:rPr>
        <w:t>建筑负荷率为</w:t>
      </w:r>
      <w:r>
        <w:rPr>
          <w:rFonts w:cs="宋体"/>
          <w:kern w:val="0"/>
          <w:sz w:val="24"/>
        </w:rPr>
        <w:t>0-25%</w:t>
      </w:r>
      <w:r>
        <w:rPr>
          <w:rFonts w:hint="eastAsia" w:cs="宋体"/>
          <w:kern w:val="0"/>
          <w:sz w:val="24"/>
        </w:rPr>
        <w:t>工况下运行时间占比；</w:t>
      </w:r>
    </w:p>
    <w:p>
      <w:pPr>
        <w:autoSpaceDE w:val="0"/>
        <w:autoSpaceDN w:val="0"/>
        <w:adjustRightInd w:val="0"/>
        <w:spacing w:line="360" w:lineRule="auto"/>
        <w:rPr>
          <w:rFonts w:cs="宋体"/>
          <w:kern w:val="0"/>
          <w:sz w:val="24"/>
        </w:rPr>
      </w:pPr>
      <w:r>
        <w:rPr>
          <w:rFonts w:cs="宋体"/>
          <w:kern w:val="0"/>
          <w:sz w:val="24"/>
        </w:rPr>
        <w:t xml:space="preserve">      B——</w:t>
      </w:r>
      <w:r>
        <w:rPr>
          <w:rFonts w:hint="eastAsia" w:cs="宋体"/>
          <w:kern w:val="0"/>
          <w:sz w:val="24"/>
        </w:rPr>
        <w:t>建筑负荷率为</w:t>
      </w:r>
      <w:r>
        <w:rPr>
          <w:rFonts w:cs="宋体"/>
          <w:kern w:val="0"/>
          <w:sz w:val="24"/>
        </w:rPr>
        <w:t>25-50%</w:t>
      </w:r>
      <w:r>
        <w:rPr>
          <w:rFonts w:hint="eastAsia" w:cs="宋体"/>
          <w:kern w:val="0"/>
          <w:sz w:val="24"/>
        </w:rPr>
        <w:t>工况下运行时间占比；</w:t>
      </w:r>
    </w:p>
    <w:p>
      <w:pPr>
        <w:autoSpaceDE w:val="0"/>
        <w:autoSpaceDN w:val="0"/>
        <w:adjustRightInd w:val="0"/>
        <w:spacing w:line="360" w:lineRule="auto"/>
        <w:rPr>
          <w:rFonts w:cs="宋体"/>
          <w:kern w:val="0"/>
          <w:sz w:val="24"/>
        </w:rPr>
      </w:pPr>
      <w:r>
        <w:rPr>
          <w:rFonts w:cs="宋体"/>
          <w:kern w:val="0"/>
          <w:sz w:val="24"/>
        </w:rPr>
        <w:t xml:space="preserve">      C——</w:t>
      </w:r>
      <w:r>
        <w:rPr>
          <w:rFonts w:hint="eastAsia" w:cs="宋体"/>
          <w:kern w:val="0"/>
          <w:sz w:val="24"/>
        </w:rPr>
        <w:t>建筑负荷率为</w:t>
      </w:r>
      <w:r>
        <w:rPr>
          <w:rFonts w:cs="宋体"/>
          <w:kern w:val="0"/>
          <w:sz w:val="24"/>
        </w:rPr>
        <w:t>50-75%</w:t>
      </w:r>
      <w:r>
        <w:rPr>
          <w:rFonts w:hint="eastAsia" w:cs="宋体"/>
          <w:kern w:val="0"/>
          <w:sz w:val="24"/>
        </w:rPr>
        <w:t>工况下运行时间占比；</w:t>
      </w:r>
    </w:p>
    <w:p>
      <w:pPr>
        <w:autoSpaceDE w:val="0"/>
        <w:autoSpaceDN w:val="0"/>
        <w:adjustRightInd w:val="0"/>
        <w:spacing w:line="360" w:lineRule="auto"/>
        <w:rPr>
          <w:rFonts w:cs="宋体"/>
          <w:kern w:val="0"/>
          <w:sz w:val="24"/>
        </w:rPr>
      </w:pPr>
      <w:r>
        <w:rPr>
          <w:rFonts w:cs="宋体"/>
          <w:kern w:val="0"/>
          <w:sz w:val="24"/>
        </w:rPr>
        <w:t xml:space="preserve">      D——</w:t>
      </w:r>
      <w:r>
        <w:rPr>
          <w:rFonts w:hint="eastAsia" w:cs="宋体"/>
          <w:kern w:val="0"/>
          <w:sz w:val="24"/>
        </w:rPr>
        <w:t>建筑负荷率</w:t>
      </w:r>
      <w:r>
        <w:rPr>
          <w:rFonts w:cs="宋体"/>
          <w:kern w:val="0"/>
          <w:sz w:val="24"/>
        </w:rPr>
        <w:t>75-100%</w:t>
      </w:r>
      <w:r>
        <w:rPr>
          <w:rFonts w:hint="eastAsia" w:cs="宋体"/>
          <w:kern w:val="0"/>
          <w:sz w:val="24"/>
        </w:rPr>
        <w:t>工况下运行时间占比；</w:t>
      </w:r>
    </w:p>
    <w:p>
      <w:pPr>
        <w:autoSpaceDE w:val="0"/>
        <w:autoSpaceDN w:val="0"/>
        <w:adjustRightInd w:val="0"/>
        <w:spacing w:line="360" w:lineRule="auto"/>
        <w:rPr>
          <w:rFonts w:cs="宋体"/>
          <w:kern w:val="0"/>
          <w:sz w:val="24"/>
        </w:rPr>
      </w:pPr>
      <m:oMath>
        <m:sSub>
          <m:sSubPr>
            <m:ctrlPr>
              <w:rPr>
                <w:rFonts w:ascii="Cambria Math" w:hAnsi="Cambria Math" w:cs="宋体"/>
                <w:i/>
                <w:iCs/>
                <w:kern w:val="0"/>
                <w:sz w:val="24"/>
                <w:lang w:val="pt-BR"/>
              </w:rPr>
            </m:ctrlPr>
          </m:sSubPr>
          <m:e>
            <m:r>
              <m:rPr/>
              <w:rPr>
                <w:rFonts w:ascii="Cambria Math" w:hAnsi="Cambria Math" w:cs="宋体"/>
                <w:kern w:val="0"/>
                <w:sz w:val="24"/>
              </w:rPr>
              <m:t>          EER</m:t>
            </m:r>
            <m:ctrlPr>
              <w:rPr>
                <w:rFonts w:ascii="Cambria Math" w:hAnsi="Cambria Math" w:cs="宋体"/>
                <w:i/>
                <w:iCs/>
                <w:kern w:val="0"/>
                <w:sz w:val="24"/>
                <w:lang w:val="pt-BR"/>
              </w:rPr>
            </m:ctrlPr>
          </m:e>
          <m:sub>
            <m:r>
              <m:rPr/>
              <w:rPr>
                <w:rFonts w:ascii="Cambria Math" w:hAnsi="Cambria Math" w:cs="宋体"/>
                <w:kern w:val="0"/>
                <w:sz w:val="24"/>
                <w:lang w:val="pt-BR"/>
              </w:rPr>
              <m:t>0</m:t>
            </m:r>
            <m:r>
              <m:rPr/>
              <w:rPr>
                <w:rFonts w:ascii="Cambria Math" w:hAnsi="Cambria Math" w:cs="宋体"/>
                <w:kern w:val="0"/>
                <w:sz w:val="24"/>
              </w:rPr>
              <m:t>−0.25</m:t>
            </m:r>
            <m:ctrlPr>
              <w:rPr>
                <w:rFonts w:ascii="Cambria Math" w:hAnsi="Cambria Math" w:cs="宋体"/>
                <w:i/>
                <w:iCs/>
                <w:kern w:val="0"/>
                <w:sz w:val="24"/>
                <w:lang w:val="pt-BR"/>
              </w:rPr>
            </m:ctrlPr>
          </m:sub>
        </m:sSub>
      </m:oMath>
      <w:r>
        <w:rPr>
          <w:rFonts w:cs="宋体"/>
          <w:kern w:val="0"/>
          <w:sz w:val="24"/>
        </w:rPr>
        <w:t>——</w:t>
      </w:r>
      <w:r>
        <w:rPr>
          <w:rFonts w:hint="eastAsia" w:cs="宋体"/>
          <w:kern w:val="0"/>
          <w:sz w:val="24"/>
        </w:rPr>
        <w:t>建筑负荷率为</w:t>
      </w:r>
      <w:r>
        <w:rPr>
          <w:rFonts w:cs="宋体"/>
          <w:kern w:val="0"/>
          <w:sz w:val="24"/>
        </w:rPr>
        <w:t>0-25%</w:t>
      </w:r>
      <w:r>
        <w:rPr>
          <w:rFonts w:hint="eastAsia" w:cs="宋体"/>
          <w:kern w:val="0"/>
          <w:sz w:val="24"/>
        </w:rPr>
        <w:t>工况下制冷系统综合制冷性能系数</w:t>
      </w:r>
      <w:r>
        <w:rPr>
          <w:rFonts w:cs="宋体"/>
          <w:kern w:val="0"/>
          <w:sz w:val="24"/>
        </w:rPr>
        <w:t xml:space="preserve"> </w:t>
      </w:r>
      <w:r>
        <w:rPr>
          <w:rFonts w:hint="eastAsia" w:cs="宋体"/>
          <w:kern w:val="0"/>
          <w:sz w:val="24"/>
        </w:rPr>
        <w:t>；</w:t>
      </w:r>
    </w:p>
    <w:p>
      <w:pPr>
        <w:autoSpaceDE w:val="0"/>
        <w:autoSpaceDN w:val="0"/>
        <w:adjustRightInd w:val="0"/>
        <w:spacing w:line="360" w:lineRule="auto"/>
        <w:rPr>
          <w:rFonts w:cs="宋体"/>
          <w:kern w:val="0"/>
          <w:sz w:val="24"/>
        </w:rPr>
      </w:pPr>
      <w:r>
        <w:rPr>
          <w:rFonts w:cs="宋体"/>
          <w:kern w:val="0"/>
          <w:sz w:val="24"/>
          <w:lang w:val="pt-BR"/>
        </w:rPr>
        <w:t xml:space="preserve">    </w:t>
      </w:r>
      <m:oMath>
        <m:sSub>
          <m:sSubPr>
            <m:ctrlPr>
              <w:rPr>
                <w:rFonts w:ascii="Cambria Math" w:hAnsi="Cambria Math" w:cs="宋体"/>
                <w:i/>
                <w:iCs/>
                <w:kern w:val="0"/>
                <w:sz w:val="24"/>
                <w:lang w:val="pt-BR"/>
              </w:rPr>
            </m:ctrlPr>
          </m:sSubPr>
          <m:e>
            <m:r>
              <m:rPr/>
              <w:rPr>
                <w:rFonts w:ascii="Cambria Math" w:hAnsi="Cambria Math" w:cs="宋体"/>
                <w:kern w:val="0"/>
                <w:sz w:val="24"/>
              </w:rPr>
              <m:t>EER</m:t>
            </m:r>
            <m:ctrlPr>
              <w:rPr>
                <w:rFonts w:ascii="Cambria Math" w:hAnsi="Cambria Math" w:cs="宋体"/>
                <w:i/>
                <w:iCs/>
                <w:kern w:val="0"/>
                <w:sz w:val="24"/>
                <w:lang w:val="pt-BR"/>
              </w:rPr>
            </m:ctrlPr>
          </m:e>
          <m:sub>
            <m:r>
              <m:rPr/>
              <w:rPr>
                <w:rFonts w:ascii="Cambria Math" w:hAnsi="Cambria Math" w:cs="宋体"/>
                <w:kern w:val="0"/>
                <w:sz w:val="24"/>
              </w:rPr>
              <m:t>0.25−0.5</m:t>
            </m:r>
            <m:ctrlPr>
              <w:rPr>
                <w:rFonts w:ascii="Cambria Math" w:hAnsi="Cambria Math" w:cs="宋体"/>
                <w:i/>
                <w:iCs/>
                <w:kern w:val="0"/>
                <w:sz w:val="24"/>
                <w:lang w:val="pt-BR"/>
              </w:rPr>
            </m:ctrlPr>
          </m:sub>
        </m:sSub>
      </m:oMath>
      <w:r>
        <w:rPr>
          <w:rFonts w:cs="宋体"/>
          <w:kern w:val="0"/>
          <w:sz w:val="24"/>
        </w:rPr>
        <w:t>——</w:t>
      </w:r>
      <w:r>
        <w:rPr>
          <w:rFonts w:hint="eastAsia" w:cs="宋体"/>
          <w:kern w:val="0"/>
          <w:sz w:val="24"/>
        </w:rPr>
        <w:t>建筑负荷率为</w:t>
      </w:r>
      <w:r>
        <w:rPr>
          <w:rFonts w:cs="宋体"/>
          <w:kern w:val="0"/>
          <w:sz w:val="24"/>
        </w:rPr>
        <w:t>25%-50 %</w:t>
      </w:r>
      <w:r>
        <w:rPr>
          <w:rFonts w:hint="eastAsia" w:cs="宋体"/>
          <w:kern w:val="0"/>
          <w:sz w:val="24"/>
        </w:rPr>
        <w:t>工况下制冷系统综合制冷性能系数</w:t>
      </w:r>
      <w:r>
        <w:rPr>
          <w:rFonts w:cs="宋体"/>
          <w:kern w:val="0"/>
          <w:sz w:val="24"/>
        </w:rPr>
        <w:t xml:space="preserve"> </w:t>
      </w:r>
      <w:r>
        <w:rPr>
          <w:rFonts w:hint="eastAsia" w:cs="宋体"/>
          <w:kern w:val="0"/>
          <w:sz w:val="24"/>
        </w:rPr>
        <w:t>；</w:t>
      </w:r>
    </w:p>
    <w:p>
      <w:pPr>
        <w:autoSpaceDE w:val="0"/>
        <w:autoSpaceDN w:val="0"/>
        <w:adjustRightInd w:val="0"/>
        <w:spacing w:line="360" w:lineRule="auto"/>
        <w:rPr>
          <w:rFonts w:cs="宋体"/>
          <w:kern w:val="0"/>
          <w:sz w:val="24"/>
        </w:rPr>
      </w:pPr>
      <w:r>
        <w:rPr>
          <w:rFonts w:cs="宋体"/>
          <w:kern w:val="0"/>
          <w:sz w:val="24"/>
          <w:lang w:val="pt-BR"/>
        </w:rPr>
        <w:t xml:space="preserve">    </w:t>
      </w:r>
      <m:oMath>
        <m:sSub>
          <m:sSubPr>
            <m:ctrlPr>
              <w:rPr>
                <w:rFonts w:ascii="Cambria Math" w:hAnsi="Cambria Math" w:cs="宋体"/>
                <w:i/>
                <w:iCs/>
                <w:kern w:val="0"/>
                <w:sz w:val="24"/>
                <w:lang w:val="pt-BR"/>
              </w:rPr>
            </m:ctrlPr>
          </m:sSubPr>
          <m:e>
            <m:r>
              <m:rPr/>
              <w:rPr>
                <w:rFonts w:ascii="Cambria Math" w:hAnsi="Cambria Math" w:cs="宋体"/>
                <w:kern w:val="0"/>
                <w:sz w:val="24"/>
              </w:rPr>
              <m:t>EER</m:t>
            </m:r>
            <m:ctrlPr>
              <w:rPr>
                <w:rFonts w:ascii="Cambria Math" w:hAnsi="Cambria Math" w:cs="宋体"/>
                <w:i/>
                <w:iCs/>
                <w:kern w:val="0"/>
                <w:sz w:val="24"/>
                <w:lang w:val="pt-BR"/>
              </w:rPr>
            </m:ctrlPr>
          </m:e>
          <m:sub>
            <m:r>
              <m:rPr/>
              <w:rPr>
                <w:rFonts w:ascii="Cambria Math" w:hAnsi="Cambria Math" w:cs="宋体"/>
                <w:kern w:val="0"/>
                <w:sz w:val="24"/>
                <w:lang w:val="pt-BR"/>
              </w:rPr>
              <m:t>0</m:t>
            </m:r>
            <m:r>
              <m:rPr/>
              <w:rPr>
                <w:rFonts w:ascii="Cambria Math" w:hAnsi="Cambria Math" w:cs="宋体"/>
                <w:kern w:val="0"/>
                <w:sz w:val="24"/>
              </w:rPr>
              <m:t>.5−0.75</m:t>
            </m:r>
            <m:ctrlPr>
              <w:rPr>
                <w:rFonts w:ascii="Cambria Math" w:hAnsi="Cambria Math" w:cs="宋体"/>
                <w:i/>
                <w:iCs/>
                <w:kern w:val="0"/>
                <w:sz w:val="24"/>
                <w:lang w:val="pt-BR"/>
              </w:rPr>
            </m:ctrlPr>
          </m:sub>
        </m:sSub>
      </m:oMath>
      <w:r>
        <w:rPr>
          <w:rFonts w:cs="宋体"/>
          <w:kern w:val="0"/>
          <w:sz w:val="24"/>
        </w:rPr>
        <w:t>——</w:t>
      </w:r>
      <w:r>
        <w:rPr>
          <w:rFonts w:hint="eastAsia" w:cs="宋体"/>
          <w:kern w:val="0"/>
          <w:sz w:val="24"/>
        </w:rPr>
        <w:t>建筑负荷率为</w:t>
      </w:r>
      <w:r>
        <w:rPr>
          <w:rFonts w:cs="宋体"/>
          <w:kern w:val="0"/>
          <w:sz w:val="24"/>
        </w:rPr>
        <w:t>50%-75 %</w:t>
      </w:r>
      <w:r>
        <w:rPr>
          <w:rFonts w:hint="eastAsia" w:cs="宋体"/>
          <w:kern w:val="0"/>
          <w:sz w:val="24"/>
        </w:rPr>
        <w:t>工况下制冷系统综合制冷性能系数</w:t>
      </w:r>
      <w:r>
        <w:rPr>
          <w:rFonts w:cs="宋体"/>
          <w:kern w:val="0"/>
          <w:sz w:val="24"/>
        </w:rPr>
        <w:t xml:space="preserve"> </w:t>
      </w:r>
      <w:r>
        <w:rPr>
          <w:rFonts w:hint="eastAsia" w:cs="宋体"/>
          <w:kern w:val="0"/>
          <w:sz w:val="24"/>
        </w:rPr>
        <w:t>；</w:t>
      </w:r>
    </w:p>
    <w:p>
      <w:pPr>
        <w:autoSpaceDE w:val="0"/>
        <w:autoSpaceDN w:val="0"/>
        <w:adjustRightInd w:val="0"/>
        <w:spacing w:line="360" w:lineRule="auto"/>
        <w:rPr>
          <w:rFonts w:cs="宋体"/>
          <w:kern w:val="0"/>
          <w:sz w:val="24"/>
        </w:rPr>
      </w:pPr>
      <w:r>
        <w:rPr>
          <w:rFonts w:cs="宋体"/>
          <w:kern w:val="0"/>
          <w:sz w:val="24"/>
          <w:lang w:val="pt-BR"/>
        </w:rPr>
        <w:t xml:space="preserve">    </w:t>
      </w:r>
      <m:oMath>
        <m:sSub>
          <m:sSubPr>
            <m:ctrlPr>
              <w:rPr>
                <w:rFonts w:ascii="Cambria Math" w:hAnsi="Cambria Math" w:cs="宋体"/>
                <w:i/>
                <w:iCs/>
                <w:kern w:val="0"/>
                <w:sz w:val="24"/>
                <w:lang w:val="pt-BR"/>
              </w:rPr>
            </m:ctrlPr>
          </m:sSubPr>
          <m:e>
            <m:r>
              <m:rPr/>
              <w:rPr>
                <w:rFonts w:ascii="Cambria Math" w:hAnsi="Cambria Math" w:cs="宋体"/>
                <w:kern w:val="0"/>
                <w:sz w:val="24"/>
              </w:rPr>
              <m:t>EER</m:t>
            </m:r>
            <m:ctrlPr>
              <w:rPr>
                <w:rFonts w:ascii="Cambria Math" w:hAnsi="Cambria Math" w:cs="宋体"/>
                <w:i/>
                <w:iCs/>
                <w:kern w:val="0"/>
                <w:sz w:val="24"/>
                <w:lang w:val="pt-BR"/>
              </w:rPr>
            </m:ctrlPr>
          </m:e>
          <m:sub>
            <m:r>
              <m:rPr/>
              <w:rPr>
                <w:rFonts w:ascii="Cambria Math" w:hAnsi="Cambria Math" w:cs="宋体"/>
                <w:kern w:val="0"/>
                <w:sz w:val="24"/>
                <w:lang w:val="pt-BR"/>
              </w:rPr>
              <m:t>0</m:t>
            </m:r>
            <m:r>
              <m:rPr/>
              <w:rPr>
                <w:rFonts w:ascii="Cambria Math" w:hAnsi="Cambria Math" w:cs="宋体"/>
                <w:kern w:val="0"/>
                <w:sz w:val="24"/>
              </w:rPr>
              <m:t>.75−0.1</m:t>
            </m:r>
            <m:ctrlPr>
              <w:rPr>
                <w:rFonts w:ascii="Cambria Math" w:hAnsi="Cambria Math" w:cs="宋体"/>
                <w:i/>
                <w:iCs/>
                <w:kern w:val="0"/>
                <w:sz w:val="24"/>
                <w:lang w:val="pt-BR"/>
              </w:rPr>
            </m:ctrlPr>
          </m:sub>
        </m:sSub>
      </m:oMath>
      <w:r>
        <w:rPr>
          <w:rFonts w:cs="宋体"/>
          <w:kern w:val="0"/>
          <w:sz w:val="24"/>
        </w:rPr>
        <w:t>——</w:t>
      </w:r>
      <w:r>
        <w:rPr>
          <w:rFonts w:hint="eastAsia" w:cs="宋体"/>
          <w:kern w:val="0"/>
          <w:sz w:val="24"/>
        </w:rPr>
        <w:t>建筑负荷率为</w:t>
      </w:r>
      <w:r>
        <w:rPr>
          <w:rFonts w:cs="宋体"/>
          <w:kern w:val="0"/>
          <w:sz w:val="24"/>
        </w:rPr>
        <w:t>75%-100 %</w:t>
      </w:r>
      <w:r>
        <w:rPr>
          <w:rFonts w:hint="eastAsia" w:cs="宋体"/>
          <w:kern w:val="0"/>
          <w:sz w:val="24"/>
        </w:rPr>
        <w:t>工况下制冷系统综合制冷性能系数</w:t>
      </w:r>
    </w:p>
    <w:p>
      <w:pPr>
        <w:autoSpaceDE w:val="0"/>
        <w:autoSpaceDN w:val="0"/>
        <w:adjustRightInd w:val="0"/>
        <w:spacing w:line="360" w:lineRule="auto"/>
        <w:rPr>
          <w:rFonts w:cs="宋体"/>
          <w:kern w:val="0"/>
          <w:sz w:val="24"/>
        </w:rPr>
      </w:pPr>
    </w:p>
    <w:p>
      <w:pPr>
        <w:autoSpaceDE w:val="0"/>
        <w:autoSpaceDN w:val="0"/>
        <w:adjustRightInd w:val="0"/>
        <w:spacing w:line="360" w:lineRule="auto"/>
        <w:rPr>
          <w:rFonts w:cs="宋体"/>
          <w:kern w:val="0"/>
          <w:sz w:val="24"/>
        </w:rPr>
      </w:pPr>
      <w:r>
        <w:rPr>
          <w:rFonts w:hint="eastAsia" w:cs="宋体"/>
          <w:kern w:val="0"/>
          <w:sz w:val="24"/>
        </w:rPr>
        <w:t>4.2.</w:t>
      </w:r>
      <w:r>
        <w:rPr>
          <w:rFonts w:cs="宋体"/>
          <w:kern w:val="0"/>
          <w:sz w:val="24"/>
        </w:rPr>
        <w:t>17</w:t>
      </w:r>
      <w:r>
        <w:rPr>
          <w:rFonts w:hint="eastAsia" w:cs="宋体"/>
          <w:kern w:val="0"/>
          <w:sz w:val="24"/>
        </w:rPr>
        <w:t xml:space="preserve">  多冷机冷源系统设计综合能效比（EER） 不宜低于表4.2.</w:t>
      </w:r>
      <w:r>
        <w:rPr>
          <w:rFonts w:cs="宋体"/>
          <w:kern w:val="0"/>
          <w:sz w:val="24"/>
        </w:rPr>
        <w:t>17</w:t>
      </w:r>
      <w:r>
        <w:rPr>
          <w:rFonts w:hint="eastAsia" w:cs="宋体"/>
          <w:kern w:val="0"/>
          <w:sz w:val="24"/>
        </w:rPr>
        <w:t xml:space="preserve">的规定。大型公建应采用高效机房整体设计，其多冷机冷源系统设计综合能效比（EER） </w:t>
      </w:r>
      <w:r>
        <w:rPr>
          <w:rFonts w:cs="宋体"/>
          <w:kern w:val="0"/>
          <w:sz w:val="24"/>
        </w:rPr>
        <w:t>不宜低于5.2</w:t>
      </w:r>
      <w:r>
        <w:rPr>
          <w:rFonts w:hint="eastAsia" w:cs="宋体"/>
          <w:kern w:val="0"/>
          <w:sz w:val="24"/>
        </w:rPr>
        <w:t>。</w:t>
      </w:r>
    </w:p>
    <w:p>
      <w:pPr>
        <w:autoSpaceDE w:val="0"/>
        <w:autoSpaceDN w:val="0"/>
        <w:adjustRightInd w:val="0"/>
        <w:spacing w:line="276" w:lineRule="auto"/>
        <w:jc w:val="center"/>
        <w:rPr>
          <w:rFonts w:cs="宋体"/>
          <w:kern w:val="0"/>
          <w:szCs w:val="21"/>
        </w:rPr>
      </w:pPr>
      <w:r>
        <w:rPr>
          <w:rFonts w:hint="eastAsia" w:cs="宋体"/>
          <w:kern w:val="0"/>
          <w:szCs w:val="21"/>
        </w:rPr>
        <w:t>表4.2.</w:t>
      </w:r>
      <w:r>
        <w:rPr>
          <w:rFonts w:cs="宋体"/>
          <w:kern w:val="0"/>
          <w:szCs w:val="21"/>
        </w:rPr>
        <w:t>17</w:t>
      </w:r>
      <w:r>
        <w:rPr>
          <w:rFonts w:hint="eastAsia" w:cs="宋体"/>
          <w:kern w:val="0"/>
          <w:szCs w:val="21"/>
        </w:rPr>
        <w:t xml:space="preserve"> 多冷机冷源系统设计综合能效比（EER）</w:t>
      </w:r>
    </w:p>
    <w:tbl>
      <w:tblPr>
        <w:tblStyle w:val="7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3097"/>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pct"/>
            <w:tcBorders>
              <w:bottom w:val="single" w:color="auto" w:sz="4" w:space="0"/>
              <w:right w:val="single" w:color="auto" w:sz="4" w:space="0"/>
            </w:tcBorders>
            <w:vAlign w:val="center"/>
          </w:tcPr>
          <w:p>
            <w:pPr>
              <w:autoSpaceDE w:val="0"/>
              <w:autoSpaceDN w:val="0"/>
              <w:adjustRightInd w:val="0"/>
              <w:spacing w:line="276" w:lineRule="auto"/>
              <w:jc w:val="center"/>
              <w:rPr>
                <w:rFonts w:cs="宋体"/>
                <w:kern w:val="0"/>
                <w:sz w:val="21"/>
                <w:szCs w:val="21"/>
              </w:rPr>
            </w:pPr>
            <w:r>
              <w:rPr>
                <w:rFonts w:hint="eastAsia" w:cs="宋体"/>
                <w:b/>
                <w:bCs/>
                <w:kern w:val="0"/>
                <w:sz w:val="21"/>
                <w:szCs w:val="21"/>
              </w:rPr>
              <w:t>气候区</w:t>
            </w:r>
          </w:p>
        </w:tc>
        <w:tc>
          <w:tcPr>
            <w:tcW w:w="1817" w:type="pct"/>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kern w:val="0"/>
                <w:sz w:val="21"/>
                <w:szCs w:val="21"/>
              </w:rPr>
            </w:pPr>
            <w:r>
              <w:rPr>
                <w:rFonts w:hint="eastAsia" w:cs="宋体"/>
                <w:b/>
                <w:bCs/>
                <w:kern w:val="0"/>
                <w:sz w:val="21"/>
                <w:szCs w:val="21"/>
              </w:rPr>
              <w:t>办公建筑</w:t>
            </w:r>
          </w:p>
        </w:tc>
        <w:tc>
          <w:tcPr>
            <w:tcW w:w="1779" w:type="pct"/>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kern w:val="0"/>
                <w:sz w:val="21"/>
                <w:szCs w:val="21"/>
              </w:rPr>
            </w:pPr>
            <w:r>
              <w:rPr>
                <w:rFonts w:hint="eastAsia" w:cs="宋体"/>
                <w:b/>
                <w:bCs/>
                <w:kern w:val="0"/>
                <w:sz w:val="21"/>
                <w:szCs w:val="21"/>
              </w:rPr>
              <w:t>酒店建筑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pct"/>
            <w:tcBorders>
              <w:top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cs="宋体"/>
                <w:kern w:val="0"/>
                <w:sz w:val="21"/>
                <w:szCs w:val="21"/>
              </w:rPr>
            </w:pPr>
            <w:r>
              <w:rPr>
                <w:rFonts w:hint="eastAsia" w:cs="宋体"/>
                <w:kern w:val="0"/>
                <w:sz w:val="21"/>
                <w:szCs w:val="21"/>
              </w:rPr>
              <w:t>严寒地区</w:t>
            </w:r>
          </w:p>
        </w:tc>
        <w:tc>
          <w:tcPr>
            <w:tcW w:w="1817"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asciiTheme="minorEastAsia" w:hAnsiTheme="minorEastAsia" w:eastAsiaTheme="minorEastAsia"/>
                <w:kern w:val="0"/>
                <w:sz w:val="21"/>
                <w:szCs w:val="21"/>
              </w:rPr>
            </w:pPr>
            <w:r>
              <w:rPr>
                <w:rFonts w:asciiTheme="minorEastAsia" w:hAnsiTheme="minorEastAsia" w:eastAsiaTheme="minorEastAsia"/>
                <w:kern w:val="24"/>
                <w:sz w:val="21"/>
                <w:szCs w:val="21"/>
              </w:rPr>
              <w:t>3.96</w:t>
            </w:r>
          </w:p>
        </w:tc>
        <w:tc>
          <w:tcPr>
            <w:tcW w:w="1779"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asciiTheme="minorEastAsia" w:hAnsiTheme="minorEastAsia" w:eastAsiaTheme="minorEastAsia"/>
                <w:kern w:val="0"/>
                <w:sz w:val="21"/>
                <w:szCs w:val="21"/>
              </w:rPr>
            </w:pPr>
            <w:r>
              <w:rPr>
                <w:rFonts w:asciiTheme="minorEastAsia" w:hAnsiTheme="minorEastAsia" w:eastAsiaTheme="minorEastAsia"/>
                <w:kern w:val="24"/>
                <w:sz w:val="21"/>
                <w:szCs w:val="21"/>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pct"/>
            <w:tcBorders>
              <w:top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cs="宋体"/>
                <w:kern w:val="0"/>
                <w:sz w:val="21"/>
                <w:szCs w:val="21"/>
              </w:rPr>
            </w:pPr>
            <w:r>
              <w:rPr>
                <w:rFonts w:hint="eastAsia" w:cs="宋体"/>
                <w:kern w:val="0"/>
                <w:sz w:val="21"/>
                <w:szCs w:val="21"/>
              </w:rPr>
              <w:t>寒冷地区</w:t>
            </w:r>
          </w:p>
        </w:tc>
        <w:tc>
          <w:tcPr>
            <w:tcW w:w="1817"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asciiTheme="minorEastAsia" w:hAnsiTheme="minorEastAsia" w:eastAsiaTheme="minorEastAsia"/>
                <w:kern w:val="0"/>
                <w:sz w:val="21"/>
                <w:szCs w:val="21"/>
              </w:rPr>
            </w:pPr>
            <w:r>
              <w:rPr>
                <w:rFonts w:asciiTheme="minorEastAsia" w:hAnsiTheme="minorEastAsia" w:eastAsiaTheme="minorEastAsia"/>
                <w:kern w:val="24"/>
                <w:sz w:val="21"/>
                <w:szCs w:val="21"/>
              </w:rPr>
              <w:t>4.29</w:t>
            </w:r>
          </w:p>
        </w:tc>
        <w:tc>
          <w:tcPr>
            <w:tcW w:w="1779"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asciiTheme="minorEastAsia" w:hAnsiTheme="minorEastAsia" w:eastAsiaTheme="minorEastAsia"/>
                <w:kern w:val="0"/>
                <w:sz w:val="21"/>
                <w:szCs w:val="21"/>
              </w:rPr>
            </w:pPr>
            <w:r>
              <w:rPr>
                <w:rFonts w:asciiTheme="minorEastAsia" w:hAnsiTheme="minorEastAsia" w:eastAsiaTheme="minorEastAsia"/>
                <w:kern w:val="24"/>
                <w:sz w:val="21"/>
                <w:szCs w:val="21"/>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04" w:type="pct"/>
            <w:tcBorders>
              <w:top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cs="宋体"/>
                <w:kern w:val="0"/>
                <w:sz w:val="21"/>
                <w:szCs w:val="21"/>
              </w:rPr>
            </w:pPr>
            <w:r>
              <w:rPr>
                <w:rFonts w:hint="eastAsia" w:cs="宋体"/>
                <w:kern w:val="0"/>
                <w:sz w:val="21"/>
                <w:szCs w:val="21"/>
              </w:rPr>
              <w:t>夏热冬冷地区</w:t>
            </w:r>
          </w:p>
        </w:tc>
        <w:tc>
          <w:tcPr>
            <w:tcW w:w="1817"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asciiTheme="minorEastAsia" w:hAnsiTheme="minorEastAsia" w:eastAsiaTheme="minorEastAsia"/>
                <w:kern w:val="0"/>
                <w:sz w:val="21"/>
                <w:szCs w:val="21"/>
              </w:rPr>
            </w:pPr>
            <w:r>
              <w:rPr>
                <w:rFonts w:asciiTheme="minorEastAsia" w:hAnsiTheme="minorEastAsia" w:eastAsiaTheme="minorEastAsia"/>
                <w:kern w:val="24"/>
                <w:sz w:val="21"/>
                <w:szCs w:val="21"/>
              </w:rPr>
              <w:t>4.52</w:t>
            </w:r>
          </w:p>
        </w:tc>
        <w:tc>
          <w:tcPr>
            <w:tcW w:w="1779"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asciiTheme="minorEastAsia" w:hAnsiTheme="minorEastAsia" w:eastAsiaTheme="minorEastAsia"/>
                <w:kern w:val="0"/>
                <w:sz w:val="21"/>
                <w:szCs w:val="21"/>
              </w:rPr>
            </w:pPr>
            <w:r>
              <w:rPr>
                <w:rFonts w:asciiTheme="minorEastAsia" w:hAnsiTheme="minorEastAsia" w:eastAsiaTheme="minorEastAsia"/>
                <w:kern w:val="24"/>
                <w:sz w:val="21"/>
                <w:szCs w:val="21"/>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04" w:type="pct"/>
            <w:tcBorders>
              <w:top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cs="宋体"/>
                <w:kern w:val="0"/>
                <w:sz w:val="21"/>
                <w:szCs w:val="21"/>
              </w:rPr>
            </w:pPr>
            <w:r>
              <w:rPr>
                <w:rFonts w:hint="eastAsia" w:cs="宋体"/>
                <w:kern w:val="0"/>
                <w:sz w:val="21"/>
                <w:szCs w:val="21"/>
              </w:rPr>
              <w:t>夏热冬暖地区</w:t>
            </w:r>
          </w:p>
        </w:tc>
        <w:tc>
          <w:tcPr>
            <w:tcW w:w="1817"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asciiTheme="minorEastAsia" w:hAnsiTheme="minorEastAsia" w:eastAsiaTheme="minorEastAsia"/>
                <w:kern w:val="0"/>
                <w:sz w:val="21"/>
                <w:szCs w:val="21"/>
              </w:rPr>
            </w:pPr>
            <w:r>
              <w:rPr>
                <w:rFonts w:asciiTheme="minorEastAsia" w:hAnsiTheme="minorEastAsia" w:eastAsiaTheme="minorEastAsia"/>
                <w:kern w:val="24"/>
                <w:sz w:val="21"/>
                <w:szCs w:val="21"/>
              </w:rPr>
              <w:t>4.70</w:t>
            </w:r>
          </w:p>
        </w:tc>
        <w:tc>
          <w:tcPr>
            <w:tcW w:w="1779"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76" w:lineRule="auto"/>
              <w:jc w:val="center"/>
              <w:rPr>
                <w:rFonts w:cs="宋体" w:asciiTheme="minorEastAsia" w:hAnsiTheme="minorEastAsia" w:eastAsiaTheme="minorEastAsia"/>
                <w:kern w:val="0"/>
                <w:sz w:val="21"/>
                <w:szCs w:val="21"/>
              </w:rPr>
            </w:pPr>
            <w:r>
              <w:rPr>
                <w:rFonts w:asciiTheme="minorEastAsia" w:hAnsiTheme="minorEastAsia" w:eastAsiaTheme="minorEastAsia"/>
                <w:kern w:val="24"/>
                <w:sz w:val="21"/>
                <w:szCs w:val="21"/>
              </w:rPr>
              <w:t>4.19</w:t>
            </w:r>
          </w:p>
        </w:tc>
      </w:tr>
    </w:tbl>
    <w:p>
      <w:pPr>
        <w:autoSpaceDE w:val="0"/>
        <w:autoSpaceDN w:val="0"/>
        <w:adjustRightInd w:val="0"/>
        <w:spacing w:line="276" w:lineRule="auto"/>
        <w:rPr>
          <w:rFonts w:cs="宋体"/>
          <w:kern w:val="0"/>
          <w:sz w:val="24"/>
        </w:rPr>
      </w:pPr>
    </w:p>
    <w:p>
      <w:pPr>
        <w:pStyle w:val="3"/>
        <w:spacing w:line="276" w:lineRule="auto"/>
        <w:jc w:val="center"/>
        <w:rPr>
          <w:rFonts w:ascii="Times New Roman" w:hAnsi="Times New Roman" w:eastAsia="宋体"/>
        </w:rPr>
      </w:pPr>
      <w:bookmarkStart w:id="56" w:name="_Toc187572567"/>
      <w:bookmarkStart w:id="57" w:name="_Toc377052137"/>
      <w:bookmarkStart w:id="58" w:name="_Toc146734719"/>
      <w:bookmarkStart w:id="59" w:name="_Toc376970882"/>
      <w:r>
        <w:rPr>
          <w:rFonts w:hint="eastAsia" w:ascii="Times New Roman" w:hAnsi="Times New Roman" w:eastAsia="宋体"/>
        </w:rPr>
        <w:t>4</w:t>
      </w:r>
      <w:r>
        <w:rPr>
          <w:rFonts w:ascii="Times New Roman" w:hAnsi="Times New Roman" w:eastAsia="宋体"/>
        </w:rPr>
        <w:t xml:space="preserve">.3 </w:t>
      </w:r>
      <w:bookmarkEnd w:id="56"/>
      <w:r>
        <w:rPr>
          <w:rFonts w:hint="eastAsia" w:ascii="Times New Roman" w:hAnsi="Times New Roman" w:eastAsia="宋体"/>
        </w:rPr>
        <w:t>输配系统</w:t>
      </w:r>
      <w:bookmarkEnd w:id="57"/>
      <w:bookmarkEnd w:id="58"/>
      <w:bookmarkEnd w:id="59"/>
    </w:p>
    <w:p>
      <w:pPr>
        <w:autoSpaceDE w:val="0"/>
        <w:autoSpaceDN w:val="0"/>
        <w:adjustRightInd w:val="0"/>
        <w:spacing w:line="360" w:lineRule="auto"/>
        <w:rPr>
          <w:kern w:val="0"/>
          <w:sz w:val="24"/>
        </w:rPr>
      </w:pPr>
      <w:r>
        <w:rPr>
          <w:rFonts w:hint="eastAsia" w:cs="Arial"/>
          <w:b/>
          <w:kern w:val="0"/>
          <w:sz w:val="24"/>
        </w:rPr>
        <w:t>4</w:t>
      </w:r>
      <w:r>
        <w:rPr>
          <w:rFonts w:cs="Arial"/>
          <w:b/>
          <w:kern w:val="0"/>
          <w:sz w:val="24"/>
        </w:rPr>
        <w:t>.</w:t>
      </w:r>
      <w:r>
        <w:rPr>
          <w:rFonts w:hint="eastAsia" w:cs="Arial"/>
          <w:b/>
          <w:kern w:val="0"/>
          <w:sz w:val="24"/>
        </w:rPr>
        <w:t>3</w:t>
      </w:r>
      <w:r>
        <w:rPr>
          <w:rFonts w:cs="Arial"/>
          <w:b/>
          <w:kern w:val="0"/>
          <w:sz w:val="24"/>
        </w:rPr>
        <w:t>.1</w:t>
      </w:r>
      <w:r>
        <w:rPr>
          <w:rFonts w:hint="eastAsia"/>
          <w:kern w:val="0"/>
          <w:sz w:val="24"/>
        </w:rPr>
        <w:t>集中供暖系统应采用热水作为热媒。</w:t>
      </w:r>
    </w:p>
    <w:p>
      <w:pPr>
        <w:spacing w:line="360" w:lineRule="auto"/>
        <w:rPr>
          <w:b/>
          <w:bCs/>
          <w:szCs w:val="32"/>
        </w:rPr>
      </w:pPr>
    </w:p>
    <w:p>
      <w:pPr>
        <w:spacing w:line="360" w:lineRule="auto"/>
        <w:rPr>
          <w:kern w:val="0"/>
          <w:sz w:val="24"/>
        </w:rPr>
      </w:pPr>
      <w:r>
        <w:rPr>
          <w:rFonts w:cs="Arial"/>
          <w:b/>
          <w:kern w:val="0"/>
          <w:sz w:val="24"/>
        </w:rPr>
        <w:t>4.3.2</w:t>
      </w:r>
      <w:r>
        <w:rPr>
          <w:rFonts w:hint="eastAsia"/>
          <w:kern w:val="0"/>
          <w:sz w:val="24"/>
        </w:rPr>
        <w:t>集中供暖系统的热力入口处及供水或回水管的分支管路上，应根据水力平衡要求设置水力平衡装置。</w:t>
      </w:r>
    </w:p>
    <w:p>
      <w:pPr>
        <w:spacing w:line="360" w:lineRule="auto"/>
        <w:rPr>
          <w:b/>
          <w:bCs/>
          <w:szCs w:val="32"/>
        </w:rPr>
      </w:pPr>
    </w:p>
    <w:p>
      <w:pPr>
        <w:spacing w:line="360" w:lineRule="auto"/>
        <w:rPr>
          <w:rFonts w:ascii="宋体" w:hAnsi="宋体"/>
          <w:bCs/>
          <w:sz w:val="24"/>
        </w:rPr>
      </w:pPr>
      <w:r>
        <w:rPr>
          <w:rFonts w:cs="Arial"/>
          <w:b/>
          <w:kern w:val="0"/>
          <w:sz w:val="24"/>
        </w:rPr>
        <w:t>4.3.3</w:t>
      </w:r>
      <w:r>
        <w:rPr>
          <w:rFonts w:hint="eastAsia" w:ascii="宋体" w:hAnsi="宋体"/>
          <w:bCs/>
          <w:sz w:val="24"/>
        </w:rPr>
        <w:t>在选配集中供暖系统循环水泵时，应计算集中供暖系统耗电输热比</w:t>
      </w:r>
      <w:r>
        <w:rPr>
          <w:rFonts w:hint="eastAsia" w:ascii="宋体" w:hAnsi="宋体"/>
          <w:bCs/>
          <w:sz w:val="24"/>
          <w:lang w:eastAsia="zh-CN"/>
        </w:rPr>
        <w:t>（</w:t>
      </w:r>
      <w:r>
        <w:rPr>
          <w:rFonts w:hint="default" w:ascii="Times New Roman" w:hAnsi="Times New Roman" w:cs="Times New Roman"/>
          <w:bCs/>
          <w:sz w:val="24"/>
        </w:rPr>
        <w:t>EHR-h</w:t>
      </w:r>
      <w:r>
        <w:rPr>
          <w:rFonts w:hint="eastAsia" w:ascii="宋体" w:hAnsi="宋体"/>
          <w:bCs/>
          <w:sz w:val="24"/>
          <w:lang w:eastAsia="zh-CN"/>
        </w:rPr>
        <w:t>）</w:t>
      </w:r>
      <w:r>
        <w:rPr>
          <w:rFonts w:hint="eastAsia" w:ascii="宋体" w:hAnsi="宋体"/>
          <w:bCs/>
          <w:sz w:val="24"/>
        </w:rPr>
        <w:t>，并应标注在施工图的设计说明中。集中供暖系统耗电输热比计算应按下式计算：</w:t>
      </w:r>
    </w:p>
    <w:p>
      <w:pPr>
        <w:jc w:val="right"/>
        <w:rPr>
          <w:i/>
          <w:iCs/>
        </w:rPr>
      </w:pPr>
    </w:p>
    <w:p>
      <w:pPr>
        <w:jc w:val="right"/>
        <w:rPr>
          <w:sz w:val="24"/>
          <w:szCs w:val="32"/>
        </w:rPr>
      </w:pPr>
      <w:r>
        <w:rPr>
          <w:rFonts w:hint="eastAsia"/>
          <w:i/>
          <w:iCs/>
          <w:sz w:val="24"/>
          <w:szCs w:val="32"/>
        </w:rPr>
        <w:t>EHR-h</w:t>
      </w:r>
      <w:r>
        <w:rPr>
          <w:sz w:val="24"/>
          <w:szCs w:val="32"/>
        </w:rPr>
        <w:t>=</w:t>
      </w:r>
      <w:r>
        <w:rPr>
          <w:position w:val="-26"/>
          <w:sz w:val="24"/>
          <w:szCs w:val="32"/>
        </w:rPr>
        <w:object>
          <v:shape id="_x0000_i1025" o:spt="75" type="#_x0000_t75" style="height:36.75pt;width:165.7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5" r:id="rId13">
            <o:LockedField>false</o:LockedField>
          </o:OLEObject>
        </w:object>
      </w:r>
      <w:r>
        <w:rPr>
          <w:rFonts w:hint="eastAsia"/>
          <w:sz w:val="24"/>
          <w:szCs w:val="32"/>
        </w:rPr>
        <w:t xml:space="preserve"> </w:t>
      </w:r>
      <w:r>
        <w:rPr>
          <w:rFonts w:hint="eastAsia"/>
          <w:sz w:val="24"/>
          <w:szCs w:val="32"/>
          <w:lang w:val="en-US" w:eastAsia="zh-CN"/>
        </w:rPr>
        <w:t xml:space="preserve">          </w:t>
      </w:r>
      <w:r>
        <w:rPr>
          <w:rFonts w:hint="eastAsia"/>
          <w:sz w:val="24"/>
          <w:szCs w:val="32"/>
          <w:lang w:val="en-CA"/>
        </w:rPr>
        <w:t>（</w:t>
      </w:r>
      <w:r>
        <w:rPr>
          <w:rFonts w:hint="eastAsia"/>
          <w:sz w:val="24"/>
          <w:szCs w:val="32"/>
        </w:rPr>
        <w:t>4.3.</w:t>
      </w:r>
      <w:r>
        <w:rPr>
          <w:sz w:val="24"/>
          <w:szCs w:val="32"/>
        </w:rPr>
        <w:t>3</w:t>
      </w:r>
      <w:r>
        <w:rPr>
          <w:rFonts w:hint="eastAsia"/>
          <w:sz w:val="24"/>
          <w:szCs w:val="32"/>
          <w:lang w:val="en-CA"/>
        </w:rPr>
        <w:t>）</w:t>
      </w:r>
    </w:p>
    <w:p>
      <w:pPr>
        <w:tabs>
          <w:tab w:val="left" w:pos="832"/>
        </w:tabs>
        <w:spacing w:line="360" w:lineRule="auto"/>
        <w:rPr>
          <w:sz w:val="24"/>
        </w:rPr>
      </w:pPr>
      <w:r>
        <w:rPr>
          <w:rFonts w:hint="eastAsia"/>
          <w:sz w:val="24"/>
        </w:rPr>
        <w:t xml:space="preserve">式中 </w:t>
      </w:r>
      <w:r>
        <w:rPr>
          <w:rFonts w:hint="eastAsia"/>
          <w:i/>
          <w:iCs/>
          <w:sz w:val="24"/>
        </w:rPr>
        <w:t>EHR-h——</w:t>
      </w:r>
      <w:r>
        <w:rPr>
          <w:rFonts w:hint="eastAsia"/>
          <w:iCs/>
          <w:sz w:val="24"/>
        </w:rPr>
        <w:t>集中供暖水系统耗电输热比；</w:t>
      </w:r>
    </w:p>
    <w:p>
      <w:pPr>
        <w:tabs>
          <w:tab w:val="left" w:pos="832"/>
        </w:tabs>
        <w:spacing w:line="360" w:lineRule="auto"/>
        <w:ind w:firstLine="720" w:firstLineChars="300"/>
        <w:rPr>
          <w:sz w:val="24"/>
        </w:rPr>
      </w:pPr>
      <w:r>
        <w:rPr>
          <w:rFonts w:hint="eastAsia"/>
          <w:i/>
          <w:iCs/>
          <w:sz w:val="24"/>
        </w:rPr>
        <w:t>G</w:t>
      </w:r>
      <w:r>
        <w:rPr>
          <w:i/>
          <w:iCs/>
          <w:sz w:val="24"/>
        </w:rPr>
        <w:tab/>
      </w:r>
      <w:r>
        <w:rPr>
          <w:rFonts w:hint="eastAsia" w:ascii="Times" w:hAnsi="Times"/>
          <w:spacing w:val="-4"/>
          <w:sz w:val="24"/>
        </w:rPr>
        <w:t>——</w:t>
      </w:r>
      <w:r>
        <w:rPr>
          <w:rFonts w:hint="eastAsia"/>
          <w:sz w:val="24"/>
        </w:rPr>
        <w:t>每台运行水泵的设计流量（m</w:t>
      </w:r>
      <w:r>
        <w:rPr>
          <w:rFonts w:hint="eastAsia"/>
          <w:sz w:val="24"/>
          <w:vertAlign w:val="superscript"/>
        </w:rPr>
        <w:t>3</w:t>
      </w:r>
      <w:r>
        <w:rPr>
          <w:rFonts w:hint="eastAsia"/>
          <w:sz w:val="24"/>
        </w:rPr>
        <w:t>/h）；</w:t>
      </w:r>
    </w:p>
    <w:p>
      <w:pPr>
        <w:tabs>
          <w:tab w:val="left" w:pos="832"/>
        </w:tabs>
        <w:spacing w:line="360" w:lineRule="auto"/>
        <w:ind w:firstLine="720" w:firstLineChars="300"/>
        <w:rPr>
          <w:sz w:val="24"/>
        </w:rPr>
      </w:pPr>
      <w:r>
        <w:rPr>
          <w:rFonts w:hint="eastAsia"/>
          <w:i/>
          <w:iCs/>
          <w:sz w:val="24"/>
        </w:rPr>
        <w:t>H</w:t>
      </w:r>
      <w:r>
        <w:rPr>
          <w:i/>
          <w:iCs/>
          <w:sz w:val="24"/>
        </w:rPr>
        <w:tab/>
      </w:r>
      <w:r>
        <w:rPr>
          <w:rFonts w:hint="eastAsia" w:ascii="Times" w:hAnsi="Times"/>
          <w:spacing w:val="-4"/>
          <w:sz w:val="24"/>
        </w:rPr>
        <w:t>——</w:t>
      </w:r>
      <w:r>
        <w:rPr>
          <w:rFonts w:hint="eastAsia"/>
          <w:sz w:val="24"/>
        </w:rPr>
        <w:t>每台运行水泵对应的设计扬程（mH</w:t>
      </w:r>
      <w:r>
        <w:rPr>
          <w:rFonts w:hint="eastAsia"/>
          <w:sz w:val="24"/>
          <w:vertAlign w:val="subscript"/>
        </w:rPr>
        <w:t>2</w:t>
      </w:r>
      <w:r>
        <w:rPr>
          <w:rFonts w:hint="eastAsia"/>
          <w:sz w:val="24"/>
        </w:rPr>
        <w:t>O）；</w:t>
      </w:r>
    </w:p>
    <w:p>
      <w:pPr>
        <w:tabs>
          <w:tab w:val="left" w:pos="832"/>
        </w:tabs>
        <w:spacing w:line="360" w:lineRule="auto"/>
        <w:ind w:left="1303" w:leftChars="369" w:hanging="528" w:hangingChars="220"/>
        <w:rPr>
          <w:sz w:val="24"/>
        </w:rPr>
      </w:pPr>
      <w:r>
        <w:rPr>
          <w:rFonts w:ascii="Symbol" w:hAnsi="Symbol"/>
          <w:i/>
          <w:iCs/>
          <w:sz w:val="24"/>
        </w:rPr>
        <w:t></w:t>
      </w:r>
      <w:r>
        <w:rPr>
          <w:rFonts w:hint="eastAsia" w:ascii="Times" w:hAnsi="Times"/>
          <w:position w:val="-4"/>
          <w:sz w:val="24"/>
          <w:vertAlign w:val="subscript"/>
        </w:rPr>
        <w:t>b</w:t>
      </w:r>
      <w:r>
        <w:rPr>
          <w:rFonts w:ascii="Times" w:hAnsi="Times"/>
          <w:position w:val="-4"/>
          <w:sz w:val="24"/>
          <w:vertAlign w:val="subscript"/>
        </w:rPr>
        <w:tab/>
      </w:r>
      <w:r>
        <w:rPr>
          <w:rFonts w:hint="eastAsia" w:ascii="Times" w:hAnsi="Times"/>
          <w:spacing w:val="-4"/>
          <w:sz w:val="24"/>
        </w:rPr>
        <w:t>——</w:t>
      </w:r>
      <w:r>
        <w:rPr>
          <w:rFonts w:hint="eastAsia"/>
          <w:sz w:val="24"/>
        </w:rPr>
        <w:t>每台运行水泵对应的设计工作点的效率；</w:t>
      </w:r>
    </w:p>
    <w:p>
      <w:pPr>
        <w:tabs>
          <w:tab w:val="left" w:pos="832"/>
        </w:tabs>
        <w:spacing w:line="360" w:lineRule="auto"/>
        <w:ind w:firstLine="720" w:firstLineChars="300"/>
        <w:rPr>
          <w:sz w:val="24"/>
        </w:rPr>
      </w:pPr>
      <w:r>
        <w:rPr>
          <w:rFonts w:hint="eastAsia"/>
          <w:i/>
          <w:iCs/>
          <w:sz w:val="24"/>
        </w:rPr>
        <w:t>Q</w:t>
      </w:r>
      <w:r>
        <w:rPr>
          <w:sz w:val="24"/>
        </w:rPr>
        <w:tab/>
      </w:r>
      <w:r>
        <w:rPr>
          <w:rFonts w:hint="eastAsia" w:ascii="Times" w:hAnsi="Times"/>
          <w:spacing w:val="-4"/>
          <w:sz w:val="24"/>
        </w:rPr>
        <w:t>——</w:t>
      </w:r>
      <w:r>
        <w:rPr>
          <w:rFonts w:hint="eastAsia"/>
          <w:sz w:val="24"/>
        </w:rPr>
        <w:t>设计热负荷或冷负荷（kW）；</w:t>
      </w:r>
    </w:p>
    <w:p>
      <w:pPr>
        <w:tabs>
          <w:tab w:val="left" w:pos="832"/>
        </w:tabs>
        <w:spacing w:line="360" w:lineRule="auto"/>
        <w:ind w:firstLine="720" w:firstLineChars="300"/>
        <w:rPr>
          <w:sz w:val="24"/>
        </w:rPr>
      </w:pPr>
      <w:r>
        <w:rPr>
          <w:rFonts w:ascii="Symbol" w:hAnsi="Symbol"/>
          <w:sz w:val="24"/>
        </w:rPr>
        <w:t></w:t>
      </w:r>
      <w:r>
        <w:rPr>
          <w:rFonts w:hint="eastAsia"/>
          <w:i/>
          <w:iCs/>
          <w:sz w:val="24"/>
        </w:rPr>
        <w:t>T</w:t>
      </w:r>
      <w:r>
        <w:rPr>
          <w:sz w:val="24"/>
        </w:rPr>
        <w:tab/>
      </w:r>
      <w:r>
        <w:rPr>
          <w:rFonts w:hint="eastAsia" w:ascii="Times" w:hAnsi="Times"/>
          <w:spacing w:val="-4"/>
          <w:sz w:val="24"/>
        </w:rPr>
        <w:t>——</w:t>
      </w:r>
      <w:r>
        <w:rPr>
          <w:rFonts w:hint="eastAsia"/>
          <w:sz w:val="24"/>
        </w:rPr>
        <w:t>规定的供回水温差；</w:t>
      </w:r>
    </w:p>
    <w:p>
      <w:pPr>
        <w:tabs>
          <w:tab w:val="left" w:pos="832"/>
        </w:tabs>
        <w:spacing w:line="360" w:lineRule="auto"/>
        <w:ind w:firstLine="720" w:firstLineChars="300"/>
        <w:rPr>
          <w:sz w:val="24"/>
        </w:rPr>
      </w:pPr>
      <w:r>
        <w:rPr>
          <w:rFonts w:hint="eastAsia"/>
          <w:i/>
          <w:iCs/>
          <w:sz w:val="24"/>
        </w:rPr>
        <w:t>A</w:t>
      </w:r>
      <w:r>
        <w:rPr>
          <w:sz w:val="24"/>
        </w:rPr>
        <w:tab/>
      </w:r>
      <w:r>
        <w:rPr>
          <w:rFonts w:hint="eastAsia" w:ascii="Times" w:hAnsi="Times"/>
          <w:spacing w:val="-4"/>
          <w:sz w:val="24"/>
        </w:rPr>
        <w:t>——</w:t>
      </w:r>
      <w:r>
        <w:rPr>
          <w:rFonts w:hint="eastAsia"/>
          <w:sz w:val="24"/>
        </w:rPr>
        <w:t>与水泵流量有关的计算系数，按表4.3.9-2取值；</w:t>
      </w:r>
    </w:p>
    <w:p>
      <w:pPr>
        <w:tabs>
          <w:tab w:val="left" w:pos="832"/>
        </w:tabs>
        <w:spacing w:line="360" w:lineRule="auto"/>
        <w:ind w:left="1302" w:leftChars="300" w:hanging="672" w:hangingChars="280"/>
        <w:rPr>
          <w:sz w:val="24"/>
        </w:rPr>
      </w:pPr>
      <w:r>
        <w:rPr>
          <w:rFonts w:hint="eastAsia"/>
          <w:i/>
          <w:iCs/>
          <w:sz w:val="24"/>
        </w:rPr>
        <w:t>B</w:t>
      </w:r>
      <w:r>
        <w:rPr>
          <w:sz w:val="24"/>
        </w:rPr>
        <w:tab/>
      </w:r>
      <w:r>
        <w:rPr>
          <w:rFonts w:hint="eastAsia" w:ascii="Times" w:hAnsi="Times"/>
          <w:spacing w:val="-4"/>
          <w:sz w:val="24"/>
        </w:rPr>
        <w:t>——</w:t>
      </w:r>
      <w:r>
        <w:rPr>
          <w:rFonts w:hint="eastAsia"/>
          <w:sz w:val="24"/>
        </w:rPr>
        <w:t>与机房和用户的水阻力有关的计算系数，一级泵系统时B值取17，二级泵系统时B取21；</w:t>
      </w:r>
    </w:p>
    <w:p>
      <w:pPr>
        <w:tabs>
          <w:tab w:val="left" w:pos="832"/>
        </w:tabs>
        <w:snapToGrid w:val="0"/>
        <w:spacing w:line="360" w:lineRule="auto"/>
        <w:ind w:firstLine="530" w:firstLineChars="221"/>
        <w:rPr>
          <w:sz w:val="24"/>
        </w:rPr>
      </w:pPr>
      <w:r>
        <w:rPr>
          <w:position w:val="-4"/>
          <w:sz w:val="24"/>
        </w:rPr>
        <w:object>
          <v:shape id="_x0000_i1026"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26" DrawAspect="Content" ObjectID="_1468075726" r:id="rId15">
            <o:LockedField>false</o:LockedField>
          </o:OLEObject>
        </w:object>
      </w:r>
      <w:r>
        <w:rPr>
          <w:rFonts w:hint="eastAsia" w:ascii="Times" w:hAnsi="Times"/>
          <w:spacing w:val="-4"/>
          <w:sz w:val="24"/>
        </w:rPr>
        <w:t>——热力站至供暖末端（散热器或辐射供暖分集水器）</w:t>
      </w:r>
      <w:r>
        <w:rPr>
          <w:rFonts w:hint="eastAsia"/>
          <w:sz w:val="24"/>
        </w:rPr>
        <w:t>供回水管道的总长度（m）</w:t>
      </w:r>
    </w:p>
    <w:p>
      <w:pPr>
        <w:tabs>
          <w:tab w:val="left" w:pos="832"/>
        </w:tabs>
        <w:snapToGrid w:val="0"/>
        <w:spacing w:line="360" w:lineRule="auto"/>
        <w:ind w:firstLine="720" w:firstLineChars="300"/>
        <w:rPr>
          <w:sz w:val="24"/>
        </w:rPr>
      </w:pPr>
      <w:r>
        <w:rPr>
          <w:rFonts w:ascii="Symbol" w:hAnsi="Symbol"/>
          <w:i/>
          <w:iCs/>
          <w:sz w:val="24"/>
        </w:rPr>
        <w:t></w:t>
      </w:r>
      <w:r>
        <w:rPr>
          <w:sz w:val="24"/>
        </w:rPr>
        <w:tab/>
      </w:r>
      <w:r>
        <w:rPr>
          <w:rFonts w:hint="eastAsia" w:ascii="Times" w:hAnsi="Times"/>
          <w:spacing w:val="-4"/>
          <w:sz w:val="24"/>
        </w:rPr>
        <w:t>——</w:t>
      </w:r>
      <w:r>
        <w:rPr>
          <w:rFonts w:hint="eastAsia"/>
          <w:sz w:val="24"/>
        </w:rPr>
        <w:t>与</w:t>
      </w:r>
      <w:r>
        <w:rPr>
          <w:position w:val="-4"/>
          <w:sz w:val="24"/>
        </w:rPr>
        <w:object>
          <v:shape id="_x0000_i1027"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7">
            <o:LockedField>false</o:LockedField>
          </o:OLEObject>
        </w:object>
      </w:r>
      <w:r>
        <w:rPr>
          <w:rFonts w:hint="eastAsia"/>
          <w:sz w:val="24"/>
        </w:rPr>
        <w:t>有关的计算系数</w:t>
      </w:r>
      <w:r>
        <w:rPr>
          <w:rFonts w:hint="eastAsia"/>
          <w:sz w:val="24"/>
          <w:lang w:val="en-US" w:eastAsia="zh-CN"/>
        </w:rPr>
        <w:t>应按下列要求取值</w:t>
      </w:r>
      <w:r>
        <w:rPr>
          <w:rFonts w:hint="eastAsia"/>
          <w:sz w:val="24"/>
        </w:rPr>
        <w:t>：</w:t>
      </w:r>
    </w:p>
    <w:p>
      <w:pPr>
        <w:tabs>
          <w:tab w:val="left" w:pos="832"/>
        </w:tabs>
        <w:snapToGrid w:val="0"/>
        <w:spacing w:line="360" w:lineRule="auto"/>
        <w:ind w:firstLine="720" w:firstLineChars="300"/>
        <w:rPr>
          <w:sz w:val="24"/>
        </w:rPr>
      </w:pPr>
      <w:r>
        <w:rPr>
          <w:rFonts w:hint="eastAsia"/>
          <w:sz w:val="24"/>
          <w:lang w:val="en-US" w:eastAsia="zh-CN"/>
        </w:rPr>
        <w:t>1</w:t>
      </w:r>
      <w:r>
        <w:rPr>
          <w:rFonts w:hint="eastAsia"/>
          <w:sz w:val="24"/>
        </w:rPr>
        <w:t>当</w:t>
      </w:r>
      <w:r>
        <w:rPr>
          <w:position w:val="-4"/>
          <w:sz w:val="24"/>
        </w:rPr>
        <w:object>
          <v:shape id="_x0000_i1028"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8">
            <o:LockedField>false</o:LockedField>
          </o:OLEObject>
        </w:object>
      </w:r>
      <w:r>
        <w:rPr>
          <w:rFonts w:hint="eastAsia"/>
          <w:sz w:val="24"/>
        </w:rPr>
        <w:t>≤400m时，</w:t>
      </w:r>
      <w:r>
        <w:rPr>
          <w:rFonts w:ascii="Symbol" w:hAnsi="Symbol"/>
          <w:i/>
          <w:iCs/>
          <w:sz w:val="24"/>
        </w:rPr>
        <w:t></w:t>
      </w:r>
      <w:r>
        <w:rPr>
          <w:sz w:val="24"/>
        </w:rPr>
        <w:tab/>
      </w:r>
      <w:r>
        <w:rPr>
          <w:rFonts w:hint="eastAsia"/>
          <w:sz w:val="24"/>
        </w:rPr>
        <w:t>=0.0115；</w:t>
      </w:r>
    </w:p>
    <w:p>
      <w:pPr>
        <w:tabs>
          <w:tab w:val="left" w:pos="832"/>
        </w:tabs>
        <w:snapToGrid w:val="0"/>
        <w:spacing w:line="360" w:lineRule="auto"/>
        <w:ind w:firstLine="720" w:firstLineChars="300"/>
        <w:rPr>
          <w:sz w:val="24"/>
        </w:rPr>
      </w:pPr>
      <w:r>
        <w:rPr>
          <w:rFonts w:hint="eastAsia"/>
          <w:sz w:val="24"/>
          <w:lang w:val="en-US" w:eastAsia="zh-CN"/>
        </w:rPr>
        <w:t xml:space="preserve">2 </w:t>
      </w:r>
      <w:r>
        <w:rPr>
          <w:rFonts w:hint="eastAsia"/>
          <w:sz w:val="24"/>
        </w:rPr>
        <w:t>当400m＜</w:t>
      </w:r>
      <w:r>
        <w:rPr>
          <w:position w:val="-4"/>
          <w:sz w:val="24"/>
        </w:rPr>
        <w:object>
          <v:shape id="_x0000_i1029"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9">
            <o:LockedField>false</o:LockedField>
          </o:OLEObject>
        </w:object>
      </w:r>
      <w:r>
        <w:rPr>
          <w:rFonts w:hint="eastAsia"/>
          <w:sz w:val="24"/>
        </w:rPr>
        <w:t>≤1000m时，</w:t>
      </w:r>
      <w:r>
        <w:rPr>
          <w:rFonts w:ascii="Symbol" w:hAnsi="Symbol"/>
          <w:i/>
          <w:iCs/>
          <w:sz w:val="24"/>
        </w:rPr>
        <w:t></w:t>
      </w:r>
      <w:r>
        <w:rPr>
          <w:sz w:val="24"/>
        </w:rPr>
        <w:tab/>
      </w:r>
      <w:r>
        <w:rPr>
          <w:rFonts w:hint="eastAsia"/>
          <w:sz w:val="24"/>
        </w:rPr>
        <w:t>=0.003833+3.067/</w:t>
      </w:r>
      <w:r>
        <w:rPr>
          <w:position w:val="-4"/>
          <w:sz w:val="24"/>
        </w:rPr>
        <w:object>
          <v:shape id="_x0000_i1030"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20">
            <o:LockedField>false</o:LockedField>
          </o:OLEObject>
        </w:object>
      </w:r>
      <w:r>
        <w:rPr>
          <w:rFonts w:hint="eastAsia"/>
          <w:sz w:val="24"/>
        </w:rPr>
        <w:t>；</w:t>
      </w:r>
    </w:p>
    <w:p>
      <w:pPr>
        <w:autoSpaceDE w:val="0"/>
        <w:autoSpaceDN w:val="0"/>
        <w:adjustRightInd w:val="0"/>
        <w:spacing w:line="360" w:lineRule="auto"/>
        <w:ind w:left="210" w:firstLine="420"/>
        <w:rPr>
          <w:sz w:val="24"/>
        </w:rPr>
      </w:pPr>
      <w:r>
        <w:rPr>
          <w:rFonts w:hint="eastAsia"/>
          <w:sz w:val="24"/>
          <w:lang w:val="en-US" w:eastAsia="zh-CN"/>
        </w:rPr>
        <w:t xml:space="preserve">3 </w:t>
      </w:r>
      <w:r>
        <w:rPr>
          <w:rFonts w:hint="eastAsia"/>
          <w:sz w:val="24"/>
        </w:rPr>
        <w:t>当</w:t>
      </w:r>
      <w:r>
        <w:rPr>
          <w:position w:val="-4"/>
          <w:sz w:val="24"/>
        </w:rPr>
        <w:object>
          <v:shape id="_x0000_i1031"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31" DrawAspect="Content" ObjectID="_1468075731" r:id="rId21">
            <o:LockedField>false</o:LockedField>
          </o:OLEObject>
        </w:object>
      </w:r>
      <w:r>
        <w:rPr>
          <w:rFonts w:hint="eastAsia"/>
          <w:sz w:val="24"/>
        </w:rPr>
        <w:t>≥1000m时，</w:t>
      </w:r>
      <w:r>
        <w:rPr>
          <w:rFonts w:ascii="Symbol" w:hAnsi="Symbol"/>
          <w:i/>
          <w:iCs/>
          <w:sz w:val="24"/>
        </w:rPr>
        <w:t></w:t>
      </w:r>
      <w:r>
        <w:rPr>
          <w:rFonts w:hint="eastAsia"/>
          <w:sz w:val="24"/>
        </w:rPr>
        <w:t>=0.0069；</w:t>
      </w:r>
    </w:p>
    <w:p>
      <w:pPr>
        <w:autoSpaceDE w:val="0"/>
        <w:autoSpaceDN w:val="0"/>
        <w:adjustRightInd w:val="0"/>
        <w:spacing w:line="276" w:lineRule="auto"/>
        <w:rPr>
          <w:kern w:val="0"/>
          <w:szCs w:val="21"/>
        </w:rPr>
      </w:pPr>
    </w:p>
    <w:p>
      <w:pPr>
        <w:autoSpaceDE w:val="0"/>
        <w:autoSpaceDN w:val="0"/>
        <w:adjustRightInd w:val="0"/>
        <w:spacing w:line="276" w:lineRule="auto"/>
        <w:jc w:val="left"/>
        <w:rPr>
          <w:rFonts w:cs="宋体"/>
          <w:kern w:val="0"/>
          <w:sz w:val="24"/>
        </w:rPr>
      </w:pPr>
      <w:r>
        <w:rPr>
          <w:rFonts w:cs="Arial"/>
          <w:b/>
          <w:kern w:val="0"/>
          <w:sz w:val="24"/>
        </w:rPr>
        <w:t>4.3.4</w:t>
      </w:r>
      <w:r>
        <w:rPr>
          <w:rFonts w:hint="eastAsia" w:cs="Arial"/>
          <w:b/>
          <w:kern w:val="0"/>
          <w:sz w:val="24"/>
          <w:lang w:val="en-US" w:eastAsia="zh-CN"/>
        </w:rPr>
        <w:t xml:space="preserve"> </w:t>
      </w:r>
      <w:r>
        <w:rPr>
          <w:rFonts w:hint="eastAsia" w:cs="宋体"/>
          <w:kern w:val="0"/>
          <w:sz w:val="24"/>
        </w:rPr>
        <w:t>集中供暖系统采用变流量水系统时，循环水泵宜采用变速调节控制。</w:t>
      </w:r>
    </w:p>
    <w:p>
      <w:pPr>
        <w:autoSpaceDE w:val="0"/>
        <w:autoSpaceDN w:val="0"/>
        <w:adjustRightInd w:val="0"/>
        <w:spacing w:line="276" w:lineRule="auto"/>
        <w:jc w:val="left"/>
        <w:rPr>
          <w:rFonts w:cs="Arial"/>
          <w:kern w:val="0"/>
          <w:sz w:val="24"/>
        </w:rPr>
      </w:pPr>
    </w:p>
    <w:p>
      <w:pPr>
        <w:autoSpaceDE w:val="0"/>
        <w:autoSpaceDN w:val="0"/>
        <w:adjustRightInd w:val="0"/>
        <w:spacing w:line="360" w:lineRule="auto"/>
        <w:jc w:val="left"/>
        <w:rPr>
          <w:rFonts w:cs="Arial"/>
          <w:kern w:val="0"/>
          <w:sz w:val="24"/>
        </w:rPr>
      </w:pPr>
      <w:r>
        <w:rPr>
          <w:rFonts w:cs="Arial"/>
          <w:b/>
          <w:kern w:val="0"/>
          <w:sz w:val="24"/>
        </w:rPr>
        <w:t>4.3.</w:t>
      </w:r>
      <w:r>
        <w:rPr>
          <w:rFonts w:hint="eastAsia" w:cs="Arial"/>
          <w:b/>
          <w:kern w:val="0"/>
          <w:sz w:val="24"/>
        </w:rPr>
        <w:t>5</w:t>
      </w:r>
      <w:r>
        <w:rPr>
          <w:rFonts w:hint="eastAsia" w:cs="Arial"/>
          <w:b/>
          <w:kern w:val="0"/>
          <w:sz w:val="24"/>
          <w:lang w:val="en-US" w:eastAsia="zh-CN"/>
        </w:rPr>
        <w:t xml:space="preserve"> </w:t>
      </w:r>
      <w:r>
        <w:rPr>
          <w:rFonts w:hint="eastAsia" w:cs="Arial"/>
          <w:kern w:val="0"/>
          <w:sz w:val="24"/>
        </w:rPr>
        <w:t>集中空调冷、热水系统的设计应符合下列规定：</w:t>
      </w:r>
    </w:p>
    <w:p>
      <w:pPr>
        <w:autoSpaceDE w:val="0"/>
        <w:autoSpaceDN w:val="0"/>
        <w:adjustRightInd w:val="0"/>
        <w:spacing w:line="360" w:lineRule="auto"/>
        <w:ind w:firstLine="480"/>
        <w:jc w:val="left"/>
        <w:rPr>
          <w:rFonts w:cs="宋体"/>
          <w:kern w:val="0"/>
          <w:sz w:val="24"/>
        </w:rPr>
      </w:pPr>
      <w:r>
        <w:rPr>
          <w:rFonts w:cs="宋体"/>
          <w:b/>
          <w:kern w:val="0"/>
          <w:sz w:val="24"/>
        </w:rPr>
        <w:t>1</w:t>
      </w:r>
      <w:r>
        <w:rPr>
          <w:rFonts w:hint="eastAsia" w:cs="宋体"/>
          <w:b/>
          <w:kern w:val="0"/>
          <w:sz w:val="24"/>
        </w:rPr>
        <w:t xml:space="preserve"> </w:t>
      </w:r>
      <w:r>
        <w:rPr>
          <w:rFonts w:hint="eastAsia" w:cs="宋体"/>
          <w:kern w:val="0"/>
          <w:sz w:val="24"/>
        </w:rPr>
        <w:t>当建筑所有区域只要求按季节同时进行供冷和供热转换时，应采用两管制空调水系统；当建筑内一些区域的空调系统需全年供冷、其它区域仅要求按季节进行供冷和供热转换时，可采用分区两管制空调水系统；当空调水系统的供冷和供热工况转换频繁或需同时使用时，宜采用四管制空调水系统。</w:t>
      </w:r>
    </w:p>
    <w:p>
      <w:pPr>
        <w:autoSpaceDE w:val="0"/>
        <w:autoSpaceDN w:val="0"/>
        <w:adjustRightInd w:val="0"/>
        <w:spacing w:line="360" w:lineRule="auto"/>
        <w:ind w:firstLine="482" w:firstLineChars="200"/>
        <w:jc w:val="left"/>
        <w:rPr>
          <w:rFonts w:cs="宋体"/>
          <w:kern w:val="0"/>
          <w:sz w:val="24"/>
        </w:rPr>
      </w:pPr>
      <w:r>
        <w:rPr>
          <w:rFonts w:cs="宋体"/>
          <w:b/>
          <w:kern w:val="0"/>
          <w:sz w:val="24"/>
        </w:rPr>
        <w:t>2</w:t>
      </w:r>
      <w:r>
        <w:rPr>
          <w:rFonts w:hint="eastAsia" w:cs="宋体"/>
          <w:b/>
          <w:kern w:val="0"/>
          <w:sz w:val="24"/>
        </w:rPr>
        <w:t xml:space="preserve"> </w:t>
      </w:r>
      <w:r>
        <w:rPr>
          <w:rFonts w:hint="eastAsia" w:cs="宋体"/>
          <w:kern w:val="0"/>
          <w:sz w:val="24"/>
        </w:rPr>
        <w:t>冷水水温和供回水温差要求一致且各区域管路压力损失相差不大的工程，单台水泵功率较大时，经技术经济比较，在确保设备的适应性、控制方案和运行管理可靠的前提下，空调冷水可采用冷水机组和负荷侧均变流量的一级泵系统，且一级泵应采用调速泵。</w:t>
      </w:r>
    </w:p>
    <w:p>
      <w:pPr>
        <w:autoSpaceDE w:val="0"/>
        <w:autoSpaceDN w:val="0"/>
        <w:adjustRightInd w:val="0"/>
        <w:spacing w:line="360" w:lineRule="auto"/>
        <w:ind w:firstLine="482" w:firstLineChars="200"/>
        <w:jc w:val="left"/>
        <w:rPr>
          <w:rFonts w:cs="宋体"/>
          <w:kern w:val="0"/>
          <w:sz w:val="24"/>
        </w:rPr>
      </w:pPr>
      <w:r>
        <w:rPr>
          <w:rFonts w:cs="宋体"/>
          <w:b/>
          <w:kern w:val="0"/>
          <w:sz w:val="24"/>
        </w:rPr>
        <w:t>3</w:t>
      </w:r>
      <w:r>
        <w:rPr>
          <w:rFonts w:hint="eastAsia" w:cs="宋体"/>
          <w:b/>
          <w:kern w:val="0"/>
          <w:sz w:val="24"/>
        </w:rPr>
        <w:t xml:space="preserve"> </w:t>
      </w:r>
      <w:r>
        <w:rPr>
          <w:rFonts w:hint="eastAsia" w:cs="宋体"/>
          <w:kern w:val="0"/>
          <w:sz w:val="24"/>
        </w:rPr>
        <w:t>系统作用半径较大、设计水流阻力较高的大型工程，空调冷水宜采用变流量二级泵系统。当各环路的设计水流阻力相差较大或各系统水温或温差要求不同时，宜按区域或系统分别设置二级泵，且二级泵应采用调速泵。</w:t>
      </w:r>
    </w:p>
    <w:p>
      <w:pPr>
        <w:autoSpaceDE w:val="0"/>
        <w:autoSpaceDN w:val="0"/>
        <w:adjustRightInd w:val="0"/>
        <w:spacing w:line="360" w:lineRule="auto"/>
        <w:ind w:firstLine="482" w:firstLineChars="200"/>
        <w:jc w:val="left"/>
        <w:rPr>
          <w:rFonts w:cs="宋体"/>
          <w:kern w:val="0"/>
          <w:sz w:val="24"/>
        </w:rPr>
      </w:pPr>
      <w:r>
        <w:rPr>
          <w:rFonts w:cs="宋体"/>
          <w:b/>
          <w:kern w:val="0"/>
          <w:sz w:val="24"/>
        </w:rPr>
        <w:t>4</w:t>
      </w:r>
      <w:r>
        <w:rPr>
          <w:rFonts w:hint="eastAsia" w:cs="宋体"/>
          <w:b/>
          <w:kern w:val="0"/>
          <w:sz w:val="24"/>
        </w:rPr>
        <w:t xml:space="preserve"> </w:t>
      </w:r>
      <w:r>
        <w:rPr>
          <w:rFonts w:hint="eastAsia" w:cs="宋体"/>
          <w:kern w:val="0"/>
          <w:sz w:val="24"/>
        </w:rPr>
        <w:t>提供冷源设备集中且用户分散的区域供冷的大规模空调冷水系统，当二级泵的输送距离较远且各用户管路阻力相差较大，或者水温（温差）要求不同时，可采用多级泵系统，且二级泵等负荷侧各级泵应采用调速泵。</w:t>
      </w:r>
    </w:p>
    <w:p>
      <w:pPr>
        <w:spacing w:line="360" w:lineRule="auto"/>
        <w:ind w:left="2"/>
        <w:rPr>
          <w:rFonts w:ascii="楷体" w:hAnsi="楷体" w:eastAsia="楷体"/>
          <w:kern w:val="0"/>
          <w:szCs w:val="21"/>
        </w:rPr>
      </w:pPr>
    </w:p>
    <w:p>
      <w:pPr>
        <w:spacing w:line="360" w:lineRule="auto"/>
        <w:ind w:left="2"/>
        <w:rPr>
          <w:sz w:val="24"/>
          <w:szCs w:val="21"/>
        </w:rPr>
      </w:pPr>
      <w:r>
        <w:rPr>
          <w:rFonts w:cs="Arial"/>
          <w:b/>
          <w:sz w:val="24"/>
          <w:szCs w:val="21"/>
        </w:rPr>
        <w:t>4.3.6</w:t>
      </w:r>
      <w:r>
        <w:rPr>
          <w:rFonts w:hint="eastAsia"/>
          <w:sz w:val="24"/>
          <w:szCs w:val="21"/>
        </w:rPr>
        <w:t>空调水系统布置和管径的选择，应减少并联环路之间压力损失的相对差额。当设计工况下并联环路之间压力损失的相对差额超过</w:t>
      </w:r>
      <w:r>
        <w:rPr>
          <w:sz w:val="24"/>
          <w:szCs w:val="21"/>
        </w:rPr>
        <w:t>15%</w:t>
      </w:r>
      <w:r>
        <w:rPr>
          <w:rFonts w:hint="eastAsia"/>
          <w:sz w:val="24"/>
          <w:szCs w:val="21"/>
        </w:rPr>
        <w:t>时，应采取水力平衡措施。</w:t>
      </w:r>
    </w:p>
    <w:p>
      <w:pPr>
        <w:spacing w:line="360" w:lineRule="auto"/>
        <w:ind w:left="2"/>
        <w:rPr>
          <w:szCs w:val="21"/>
        </w:rPr>
      </w:pPr>
    </w:p>
    <w:p>
      <w:pPr>
        <w:spacing w:line="360" w:lineRule="auto"/>
        <w:ind w:left="2"/>
        <w:rPr>
          <w:sz w:val="24"/>
          <w:szCs w:val="21"/>
        </w:rPr>
      </w:pPr>
      <w:r>
        <w:rPr>
          <w:b/>
          <w:sz w:val="24"/>
          <w:szCs w:val="21"/>
        </w:rPr>
        <w:t>4.3.7</w:t>
      </w:r>
      <w:r>
        <w:rPr>
          <w:rFonts w:hint="eastAsia"/>
          <w:sz w:val="24"/>
          <w:szCs w:val="21"/>
        </w:rPr>
        <w:t>采用换热器加热或冷却的二次空调水系统的循环水泵宜采用变速调节。</w:t>
      </w:r>
    </w:p>
    <w:p>
      <w:pPr>
        <w:autoSpaceDE w:val="0"/>
        <w:autoSpaceDN w:val="0"/>
        <w:adjustRightInd w:val="0"/>
        <w:spacing w:line="360" w:lineRule="auto"/>
        <w:jc w:val="left"/>
        <w:rPr>
          <w:kern w:val="0"/>
          <w:szCs w:val="21"/>
        </w:rPr>
      </w:pPr>
    </w:p>
    <w:p>
      <w:pPr>
        <w:autoSpaceDE w:val="0"/>
        <w:autoSpaceDN w:val="0"/>
        <w:adjustRightInd w:val="0"/>
        <w:spacing w:line="360" w:lineRule="auto"/>
        <w:jc w:val="left"/>
        <w:rPr>
          <w:rFonts w:cs="宋体"/>
          <w:kern w:val="0"/>
          <w:sz w:val="24"/>
        </w:rPr>
      </w:pPr>
      <w:r>
        <w:rPr>
          <w:rFonts w:cs="Arial"/>
          <w:b/>
          <w:bCs/>
          <w:kern w:val="0"/>
          <w:sz w:val="24"/>
        </w:rPr>
        <w:t xml:space="preserve">4.3.8 </w:t>
      </w:r>
      <w:r>
        <w:rPr>
          <w:rFonts w:hint="eastAsia" w:cs="宋体"/>
          <w:kern w:val="0"/>
          <w:sz w:val="24"/>
        </w:rPr>
        <w:t>除空调冷水系统和空调热水系统的设计流量、管网阻力特性及水泵工作特性相近的情况外，两管制空调水系统应分别设置冷水和热水循环泵。</w:t>
      </w:r>
    </w:p>
    <w:p>
      <w:pPr>
        <w:autoSpaceDE w:val="0"/>
        <w:autoSpaceDN w:val="0"/>
        <w:adjustRightInd w:val="0"/>
        <w:spacing w:line="360" w:lineRule="auto"/>
        <w:jc w:val="left"/>
        <w:rPr>
          <w:rFonts w:cs="宋体"/>
          <w:kern w:val="0"/>
          <w:sz w:val="24"/>
        </w:rPr>
      </w:pPr>
    </w:p>
    <w:p>
      <w:pPr>
        <w:autoSpaceDE w:val="0"/>
        <w:autoSpaceDN w:val="0"/>
        <w:adjustRightInd w:val="0"/>
        <w:spacing w:line="360" w:lineRule="auto"/>
        <w:jc w:val="left"/>
        <w:rPr>
          <w:rFonts w:ascii="宋体" w:hAnsi="宋体"/>
          <w:bCs/>
          <w:sz w:val="24"/>
        </w:rPr>
      </w:pPr>
      <w:r>
        <w:rPr>
          <w:rFonts w:cs="Arial"/>
          <w:b/>
          <w:kern w:val="0"/>
          <w:sz w:val="24"/>
        </w:rPr>
        <w:t>4.3.9</w:t>
      </w:r>
      <w:r>
        <w:rPr>
          <w:rFonts w:hint="eastAsia" w:ascii="宋体" w:hAnsi="宋体"/>
          <w:bCs/>
          <w:sz w:val="24"/>
        </w:rPr>
        <w:t>在选配空调冷（热）水系统的循环水泵时，应计算空调冷（热）水系统耗电输冷（热）比[</w:t>
      </w:r>
      <w:r>
        <w:rPr>
          <w:rFonts w:ascii="宋体" w:hAnsi="宋体"/>
          <w:bCs/>
          <w:sz w:val="24"/>
        </w:rPr>
        <w:t>EC(H)R-a</w:t>
      </w:r>
      <w:r>
        <w:rPr>
          <w:rFonts w:hint="eastAsia" w:ascii="宋体" w:hAnsi="宋体"/>
          <w:bCs/>
          <w:sz w:val="24"/>
        </w:rPr>
        <w:t>]，并应标注在施工图的设计说明中。空调冷（热）水系统耗电输冷（热）比计算应符合下列规定：</w:t>
      </w:r>
    </w:p>
    <w:p>
      <w:pPr>
        <w:spacing w:line="360" w:lineRule="auto"/>
        <w:jc w:val="left"/>
        <w:rPr>
          <w:rFonts w:ascii="宋体" w:hAnsi="宋体"/>
          <w:bCs/>
          <w:sz w:val="24"/>
        </w:rPr>
      </w:pPr>
      <w:r>
        <w:rPr>
          <w:rFonts w:hint="eastAsia" w:ascii="宋体" w:hAnsi="宋体"/>
          <w:bCs/>
          <w:sz w:val="24"/>
        </w:rPr>
        <w:t>1</w:t>
      </w:r>
      <w:r>
        <w:rPr>
          <w:rFonts w:ascii="宋体" w:hAnsi="宋体"/>
          <w:bCs/>
          <w:sz w:val="24"/>
        </w:rPr>
        <w:t xml:space="preserve"> </w:t>
      </w:r>
      <w:r>
        <w:rPr>
          <w:rFonts w:hint="eastAsia" w:ascii="宋体" w:hAnsi="宋体"/>
          <w:bCs/>
          <w:sz w:val="24"/>
        </w:rPr>
        <w:t>空调冷（热）水系统耗电输冷（热）比应按下式计算：</w:t>
      </w:r>
    </w:p>
    <w:p>
      <w:pPr>
        <w:jc w:val="right"/>
        <w:rPr>
          <w:i/>
          <w:iCs/>
        </w:rPr>
      </w:pPr>
    </w:p>
    <w:p>
      <w:pPr>
        <w:jc w:val="right"/>
      </w:pPr>
      <w:r>
        <w:rPr>
          <w:rFonts w:hint="eastAsia"/>
          <w:i/>
          <w:iCs/>
        </w:rPr>
        <w:t>EC</w:t>
      </w:r>
      <w:r>
        <w:rPr>
          <w:rFonts w:hint="eastAsia"/>
        </w:rPr>
        <w:t>(</w:t>
      </w:r>
      <w:r>
        <w:rPr>
          <w:rFonts w:hint="eastAsia"/>
          <w:i/>
          <w:iCs/>
        </w:rPr>
        <w:t>H</w:t>
      </w:r>
      <w:r>
        <w:rPr>
          <w:rFonts w:hint="eastAsia"/>
        </w:rPr>
        <w:t>)</w:t>
      </w:r>
      <w:r>
        <w:rPr>
          <w:rFonts w:hint="eastAsia"/>
          <w:i/>
          <w:iCs/>
        </w:rPr>
        <w:t>R-a</w:t>
      </w:r>
      <w:r>
        <w:t>=</w:t>
      </w:r>
      <w:r>
        <w:rPr>
          <w:position w:val="-26"/>
        </w:rPr>
        <w:object>
          <v:shape id="_x0000_i1032" o:spt="75" type="#_x0000_t75" style="height:36.75pt;width:165.75pt;" o:ole="t" filled="f" o:preferrelative="t" stroked="f" coordsize="21600,21600">
            <v:path/>
            <v:fill on="f" focussize="0,0"/>
            <v:stroke on="f" joinstyle="miter"/>
            <v:imagedata r:id="rId14" o:title=""/>
            <o:lock v:ext="edit" aspectratio="t"/>
            <w10:wrap type="none"/>
            <w10:anchorlock/>
          </v:shape>
          <o:OLEObject Type="Embed" ProgID="Equation.DSMT4" ShapeID="_x0000_i1032" DrawAspect="Content" ObjectID="_1468075732" r:id="rId22">
            <o:LockedField>false</o:LockedField>
          </o:OLEObject>
        </w:object>
      </w:r>
      <w:r>
        <w:rPr>
          <w:rFonts w:hint="eastAsia"/>
        </w:rPr>
        <w:t xml:space="preserve"> </w:t>
      </w:r>
      <w:r>
        <w:rPr>
          <w:rFonts w:hint="eastAsia"/>
          <w:lang w:val="en-US" w:eastAsia="zh-CN"/>
        </w:rPr>
        <w:t xml:space="preserve">          </w:t>
      </w:r>
      <w:r>
        <w:rPr>
          <w:rFonts w:hint="eastAsia"/>
          <w:lang w:val="en-CA"/>
        </w:rPr>
        <w:t>（</w:t>
      </w:r>
      <w:r>
        <w:rPr>
          <w:rFonts w:hint="eastAsia"/>
        </w:rPr>
        <w:t>4.3.9</w:t>
      </w:r>
      <w:r>
        <w:rPr>
          <w:rFonts w:hint="eastAsia"/>
          <w:lang w:val="en-CA"/>
        </w:rPr>
        <w:t>）</w:t>
      </w:r>
    </w:p>
    <w:p>
      <w:pPr>
        <w:tabs>
          <w:tab w:val="left" w:pos="832"/>
        </w:tabs>
      </w:pPr>
      <w:r>
        <w:rPr>
          <w:rFonts w:hint="eastAsia"/>
        </w:rPr>
        <w:t xml:space="preserve">式中 </w:t>
      </w:r>
      <w:r>
        <w:rPr>
          <w:rFonts w:hint="eastAsia"/>
          <w:i/>
          <w:iCs/>
        </w:rPr>
        <w:t>EC</w:t>
      </w:r>
      <w:r>
        <w:rPr>
          <w:rFonts w:hint="eastAsia"/>
        </w:rPr>
        <w:t>(</w:t>
      </w:r>
      <w:r>
        <w:rPr>
          <w:rFonts w:hint="eastAsia"/>
          <w:i/>
          <w:iCs/>
        </w:rPr>
        <w:t>H</w:t>
      </w:r>
      <w:r>
        <w:rPr>
          <w:rFonts w:hint="eastAsia"/>
        </w:rPr>
        <w:t>)</w:t>
      </w:r>
      <w:r>
        <w:rPr>
          <w:rFonts w:hint="eastAsia"/>
          <w:i/>
          <w:iCs/>
        </w:rPr>
        <w:t>R-a——</w:t>
      </w:r>
      <w:r>
        <w:rPr>
          <w:rFonts w:hint="eastAsia"/>
          <w:iCs/>
        </w:rPr>
        <w:t>空调冷（热）水系统循环水泵的耗电输冷（热）比；</w:t>
      </w:r>
    </w:p>
    <w:p>
      <w:pPr>
        <w:tabs>
          <w:tab w:val="left" w:pos="832"/>
        </w:tabs>
        <w:ind w:firstLine="630" w:firstLineChars="300"/>
      </w:pPr>
      <w:r>
        <w:rPr>
          <w:rFonts w:hint="eastAsia"/>
          <w:i/>
          <w:iCs/>
        </w:rPr>
        <w:t>G</w:t>
      </w:r>
      <w:r>
        <w:rPr>
          <w:i/>
          <w:iCs/>
        </w:rPr>
        <w:tab/>
      </w:r>
      <w:r>
        <w:rPr>
          <w:rFonts w:hint="eastAsia" w:ascii="Times" w:hAnsi="Times"/>
          <w:spacing w:val="-4"/>
        </w:rPr>
        <w:t>——</w:t>
      </w:r>
      <w:r>
        <w:rPr>
          <w:rFonts w:hint="eastAsia"/>
        </w:rPr>
        <w:t>每台运行水泵的设计流量（m</w:t>
      </w:r>
      <w:r>
        <w:rPr>
          <w:rFonts w:hint="eastAsia"/>
          <w:vertAlign w:val="superscript"/>
        </w:rPr>
        <w:t>3</w:t>
      </w:r>
      <w:r>
        <w:rPr>
          <w:rFonts w:hint="eastAsia"/>
        </w:rPr>
        <w:t>/h）；</w:t>
      </w:r>
    </w:p>
    <w:p>
      <w:pPr>
        <w:tabs>
          <w:tab w:val="left" w:pos="832"/>
        </w:tabs>
        <w:ind w:firstLine="630" w:firstLineChars="300"/>
      </w:pPr>
      <w:r>
        <w:rPr>
          <w:rFonts w:hint="eastAsia"/>
          <w:i/>
          <w:iCs/>
        </w:rPr>
        <w:t>H</w:t>
      </w:r>
      <w:r>
        <w:rPr>
          <w:i/>
          <w:iCs/>
        </w:rPr>
        <w:tab/>
      </w:r>
      <w:r>
        <w:rPr>
          <w:rFonts w:hint="eastAsia" w:ascii="Times" w:hAnsi="Times"/>
          <w:spacing w:val="-4"/>
        </w:rPr>
        <w:t>——</w:t>
      </w:r>
      <w:r>
        <w:rPr>
          <w:rFonts w:hint="eastAsia"/>
        </w:rPr>
        <w:t>每台运行水泵对应的设计扬程（mH</w:t>
      </w:r>
      <w:r>
        <w:rPr>
          <w:rFonts w:hint="eastAsia"/>
          <w:vertAlign w:val="subscript"/>
        </w:rPr>
        <w:t>2</w:t>
      </w:r>
      <w:r>
        <w:rPr>
          <w:rFonts w:hint="eastAsia"/>
        </w:rPr>
        <w:t>O）；</w:t>
      </w:r>
    </w:p>
    <w:p>
      <w:pPr>
        <w:tabs>
          <w:tab w:val="left" w:pos="832"/>
        </w:tabs>
        <w:ind w:left="1237" w:leftChars="369" w:hanging="462" w:hangingChars="220"/>
      </w:pPr>
      <w:r>
        <w:rPr>
          <w:rFonts w:ascii="Symbol" w:hAnsi="Symbol"/>
          <w:i/>
          <w:iCs/>
        </w:rPr>
        <w:t></w:t>
      </w:r>
      <w:r>
        <w:rPr>
          <w:rFonts w:hint="eastAsia" w:ascii="Times" w:hAnsi="Times"/>
          <w:position w:val="-4"/>
          <w:vertAlign w:val="subscript"/>
        </w:rPr>
        <w:t>b</w:t>
      </w:r>
      <w:r>
        <w:rPr>
          <w:rFonts w:ascii="Times" w:hAnsi="Times"/>
          <w:position w:val="-4"/>
          <w:vertAlign w:val="subscript"/>
        </w:rPr>
        <w:tab/>
      </w:r>
      <w:r>
        <w:rPr>
          <w:rFonts w:hint="eastAsia" w:ascii="Times" w:hAnsi="Times"/>
          <w:spacing w:val="-4"/>
        </w:rPr>
        <w:t>——</w:t>
      </w:r>
      <w:r>
        <w:rPr>
          <w:rFonts w:hint="eastAsia"/>
        </w:rPr>
        <w:t>每台运行水泵对应的设计工作点的效率；</w:t>
      </w:r>
    </w:p>
    <w:p>
      <w:pPr>
        <w:tabs>
          <w:tab w:val="left" w:pos="832"/>
        </w:tabs>
        <w:ind w:firstLine="630" w:firstLineChars="300"/>
      </w:pPr>
      <w:r>
        <w:rPr>
          <w:rFonts w:hint="eastAsia"/>
          <w:i/>
          <w:iCs/>
        </w:rPr>
        <w:t>Q</w:t>
      </w:r>
      <w:r>
        <w:tab/>
      </w:r>
      <w:r>
        <w:rPr>
          <w:rFonts w:hint="eastAsia" w:ascii="Times" w:hAnsi="Times"/>
          <w:spacing w:val="-4"/>
        </w:rPr>
        <w:t>——</w:t>
      </w:r>
      <w:r>
        <w:rPr>
          <w:rFonts w:hint="eastAsia"/>
        </w:rPr>
        <w:t>设计热负荷或冷负荷（kW）；</w:t>
      </w:r>
    </w:p>
    <w:p>
      <w:pPr>
        <w:tabs>
          <w:tab w:val="left" w:pos="832"/>
        </w:tabs>
        <w:ind w:firstLine="630" w:firstLineChars="300"/>
      </w:pPr>
      <w:r>
        <w:rPr>
          <w:rFonts w:ascii="Symbol" w:hAnsi="Symbol"/>
        </w:rPr>
        <w:t></w:t>
      </w:r>
      <w:r>
        <w:rPr>
          <w:rFonts w:hint="eastAsia"/>
          <w:i/>
          <w:iCs/>
        </w:rPr>
        <w:t>T</w:t>
      </w:r>
      <w:r>
        <w:tab/>
      </w:r>
      <w:r>
        <w:rPr>
          <w:rFonts w:hint="eastAsia" w:ascii="Times" w:hAnsi="Times"/>
          <w:spacing w:val="-4"/>
        </w:rPr>
        <w:t>——</w:t>
      </w:r>
      <w:r>
        <w:rPr>
          <w:rFonts w:hint="eastAsia"/>
        </w:rPr>
        <w:t>规定的供回水温差，按表4.3.9-1取值（℃）；</w:t>
      </w:r>
    </w:p>
    <w:p>
      <w:pPr>
        <w:tabs>
          <w:tab w:val="left" w:pos="832"/>
        </w:tabs>
        <w:ind w:firstLine="630" w:firstLineChars="300"/>
      </w:pPr>
      <w:r>
        <w:rPr>
          <w:rFonts w:hint="eastAsia"/>
          <w:i/>
          <w:iCs/>
        </w:rPr>
        <w:t>A</w:t>
      </w:r>
      <w:r>
        <w:tab/>
      </w:r>
      <w:r>
        <w:rPr>
          <w:rFonts w:hint="eastAsia" w:ascii="Times" w:hAnsi="Times"/>
          <w:spacing w:val="-4"/>
        </w:rPr>
        <w:t>——</w:t>
      </w:r>
      <w:r>
        <w:rPr>
          <w:rFonts w:hint="eastAsia"/>
        </w:rPr>
        <w:t>与水泵流量有关的计算系数，按表4.3.9-2取值；</w:t>
      </w:r>
    </w:p>
    <w:p>
      <w:pPr>
        <w:tabs>
          <w:tab w:val="left" w:pos="832"/>
        </w:tabs>
        <w:ind w:left="1218" w:leftChars="300" w:hanging="588" w:hangingChars="280"/>
      </w:pPr>
      <w:r>
        <w:rPr>
          <w:rFonts w:hint="eastAsia"/>
          <w:i/>
          <w:iCs/>
        </w:rPr>
        <w:t>B</w:t>
      </w:r>
      <w:r>
        <w:tab/>
      </w:r>
      <w:r>
        <w:rPr>
          <w:rFonts w:hint="eastAsia" w:ascii="Times" w:hAnsi="Times"/>
          <w:spacing w:val="-4"/>
        </w:rPr>
        <w:t>——</w:t>
      </w:r>
      <w:r>
        <w:rPr>
          <w:rFonts w:hint="eastAsia"/>
        </w:rPr>
        <w:t>与机房和用户的水阻力有关的计算系数，按表4.3.9-3取值；</w:t>
      </w:r>
    </w:p>
    <w:p>
      <w:pPr>
        <w:tabs>
          <w:tab w:val="left" w:pos="832"/>
        </w:tabs>
        <w:snapToGrid w:val="0"/>
        <w:ind w:firstLine="630" w:firstLineChars="300"/>
      </w:pPr>
      <w:r>
        <w:rPr>
          <w:rFonts w:ascii="Symbol" w:hAnsi="Symbol"/>
          <w:i/>
          <w:iCs/>
        </w:rPr>
        <w:t></w:t>
      </w:r>
      <w:r>
        <w:tab/>
      </w:r>
      <w:r>
        <w:rPr>
          <w:rFonts w:hint="eastAsia" w:ascii="Times" w:hAnsi="Times"/>
          <w:spacing w:val="-4"/>
        </w:rPr>
        <w:t>——</w:t>
      </w:r>
      <w:r>
        <w:rPr>
          <w:rFonts w:hint="eastAsia"/>
        </w:rPr>
        <w:t>与</w:t>
      </w:r>
      <w:r>
        <w:rPr>
          <w:position w:val="-4"/>
        </w:rPr>
        <w:object>
          <v:shape id="_x0000_i1033"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33" DrawAspect="Content" ObjectID="_1468075733" r:id="rId23">
            <o:LockedField>false</o:LockedField>
          </o:OLEObject>
        </w:object>
      </w:r>
      <w:r>
        <w:rPr>
          <w:rFonts w:hint="eastAsia"/>
        </w:rPr>
        <w:t>有关的计算系数，按表4.3.9-4</w:t>
      </w:r>
      <w:r>
        <w:rPr>
          <w:rFonts w:hint="eastAsia"/>
          <w:lang w:eastAsia="zh-CN"/>
        </w:rPr>
        <w:t>、</w:t>
      </w:r>
      <w:r>
        <w:rPr>
          <w:rFonts w:hint="eastAsia"/>
        </w:rPr>
        <w:t>4.3.9-</w:t>
      </w:r>
      <w:r>
        <w:rPr>
          <w:rFonts w:hint="eastAsia"/>
          <w:lang w:val="en-US" w:eastAsia="zh-CN"/>
        </w:rPr>
        <w:t>5</w:t>
      </w:r>
      <w:r>
        <w:rPr>
          <w:rFonts w:hint="eastAsia"/>
        </w:rPr>
        <w:t>取值；</w:t>
      </w:r>
    </w:p>
    <w:p>
      <w:pPr>
        <w:tabs>
          <w:tab w:val="left" w:pos="832"/>
        </w:tabs>
        <w:snapToGrid w:val="0"/>
        <w:ind w:firstLine="464" w:firstLineChars="221"/>
      </w:pPr>
      <w:r>
        <w:rPr>
          <w:position w:val="-4"/>
        </w:rPr>
        <w:object>
          <v:shape id="_x0000_i1034"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34" DrawAspect="Content" ObjectID="_1468075734" r:id="rId24">
            <o:LockedField>false</o:LockedField>
          </o:OLEObject>
        </w:object>
      </w:r>
      <w:r>
        <w:rPr>
          <w:rFonts w:hint="eastAsia" w:ascii="Times" w:hAnsi="Times"/>
          <w:spacing w:val="-4"/>
        </w:rPr>
        <w:t>——</w:t>
      </w:r>
      <w:r>
        <w:rPr>
          <w:rFonts w:hint="eastAsia"/>
        </w:rPr>
        <w:t>管网供回水管总长度（m）.</w:t>
      </w:r>
    </w:p>
    <w:p/>
    <w:p>
      <w:pPr>
        <w:jc w:val="center"/>
      </w:pPr>
      <w:r>
        <w:rPr>
          <w:rFonts w:hint="eastAsia"/>
        </w:rPr>
        <w:t>表</w:t>
      </w:r>
      <w:r>
        <w:t>4.3.9-</w:t>
      </w:r>
      <w:r>
        <w:rPr>
          <w:rFonts w:hint="eastAsia"/>
        </w:rPr>
        <w:t>1</w:t>
      </w:r>
      <w:r>
        <w:t xml:space="preserve"> </w:t>
      </w:r>
      <w:r>
        <w:rPr>
          <w:rFonts w:hint="eastAsia"/>
        </w:rPr>
        <w:t xml:space="preserve"> ΔT值（℃）</w:t>
      </w:r>
    </w:p>
    <w:tbl>
      <w:tblPr>
        <w:tblStyle w:val="31"/>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65"/>
        <w:gridCol w:w="1418"/>
        <w:gridCol w:w="1606"/>
        <w:gridCol w:w="1810"/>
        <w:gridCol w:w="16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trPr>
        <w:tc>
          <w:tcPr>
            <w:tcW w:w="1212" w:type="pct"/>
            <w:vMerge w:val="restart"/>
            <w:vAlign w:val="center"/>
          </w:tcPr>
          <w:p>
            <w:pPr>
              <w:jc w:val="center"/>
              <w:rPr>
                <w:rFonts w:ascii="宋体" w:hAnsi="宋体"/>
              </w:rPr>
            </w:pPr>
            <w:r>
              <w:rPr>
                <w:rFonts w:ascii="宋体" w:hAnsi="宋体"/>
                <w:bCs/>
              </w:rPr>
              <w:t>冷水系统</w:t>
            </w:r>
          </w:p>
        </w:tc>
        <w:tc>
          <w:tcPr>
            <w:tcW w:w="3788" w:type="pct"/>
            <w:gridSpan w:val="4"/>
            <w:vAlign w:val="center"/>
          </w:tcPr>
          <w:p>
            <w:pPr>
              <w:jc w:val="center"/>
              <w:rPr>
                <w:rFonts w:ascii="宋体" w:hAnsi="宋体"/>
              </w:rPr>
            </w:pPr>
            <w:r>
              <w:rPr>
                <w:rFonts w:ascii="宋体" w:hAnsi="宋体"/>
                <w:bCs/>
              </w:rPr>
              <w:t>热水系统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2" w:hRule="atLeast"/>
        </w:trPr>
        <w:tc>
          <w:tcPr>
            <w:tcW w:w="1212" w:type="pct"/>
            <w:vMerge w:val="continue"/>
            <w:vAlign w:val="center"/>
          </w:tcPr>
          <w:p>
            <w:pPr>
              <w:jc w:val="center"/>
              <w:rPr>
                <w:rFonts w:ascii="宋体" w:hAnsi="宋体"/>
              </w:rPr>
            </w:pPr>
          </w:p>
        </w:tc>
        <w:tc>
          <w:tcPr>
            <w:tcW w:w="832" w:type="pct"/>
            <w:vAlign w:val="center"/>
          </w:tcPr>
          <w:p>
            <w:pPr>
              <w:jc w:val="center"/>
              <w:rPr>
                <w:rFonts w:ascii="宋体" w:hAnsi="宋体"/>
              </w:rPr>
            </w:pPr>
            <w:r>
              <w:rPr>
                <w:rFonts w:ascii="宋体" w:hAnsi="宋体"/>
              </w:rPr>
              <w:t>严寒</w:t>
            </w:r>
          </w:p>
        </w:tc>
        <w:tc>
          <w:tcPr>
            <w:tcW w:w="942" w:type="pct"/>
            <w:vAlign w:val="center"/>
          </w:tcPr>
          <w:p>
            <w:pPr>
              <w:jc w:val="center"/>
              <w:rPr>
                <w:rFonts w:ascii="宋体" w:hAnsi="宋体"/>
              </w:rPr>
            </w:pPr>
            <w:r>
              <w:rPr>
                <w:rFonts w:ascii="宋体" w:hAnsi="宋体"/>
              </w:rPr>
              <w:t>寒冷</w:t>
            </w:r>
          </w:p>
        </w:tc>
        <w:tc>
          <w:tcPr>
            <w:tcW w:w="1062" w:type="pct"/>
            <w:vAlign w:val="center"/>
          </w:tcPr>
          <w:p>
            <w:pPr>
              <w:jc w:val="center"/>
              <w:rPr>
                <w:rFonts w:ascii="宋体" w:hAnsi="宋体"/>
              </w:rPr>
            </w:pPr>
            <w:r>
              <w:rPr>
                <w:rFonts w:ascii="宋体" w:hAnsi="宋体"/>
              </w:rPr>
              <w:t>夏热冬冷</w:t>
            </w:r>
          </w:p>
        </w:tc>
        <w:tc>
          <w:tcPr>
            <w:tcW w:w="952" w:type="pct"/>
            <w:vAlign w:val="center"/>
          </w:tcPr>
          <w:p>
            <w:pPr>
              <w:jc w:val="center"/>
              <w:rPr>
                <w:rFonts w:ascii="宋体" w:hAnsi="宋体"/>
              </w:rPr>
            </w:pPr>
            <w:r>
              <w:rPr>
                <w:rFonts w:ascii="宋体" w:hAnsi="宋体"/>
              </w:rPr>
              <w:t>夏热冬暖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1212" w:type="pct"/>
            <w:vAlign w:val="center"/>
          </w:tcPr>
          <w:p>
            <w:pPr>
              <w:jc w:val="center"/>
              <w:rPr>
                <w:rFonts w:ascii="宋体" w:hAnsi="宋体"/>
              </w:rPr>
            </w:pPr>
            <w:r>
              <w:rPr>
                <w:rFonts w:hint="eastAsia" w:ascii="宋体" w:hAnsi="宋体"/>
              </w:rPr>
              <w:t>5</w:t>
            </w:r>
          </w:p>
        </w:tc>
        <w:tc>
          <w:tcPr>
            <w:tcW w:w="832" w:type="pct"/>
            <w:vAlign w:val="center"/>
          </w:tcPr>
          <w:p>
            <w:pPr>
              <w:jc w:val="center"/>
              <w:rPr>
                <w:rFonts w:ascii="宋体" w:hAnsi="宋体"/>
              </w:rPr>
            </w:pPr>
            <w:r>
              <w:rPr>
                <w:rFonts w:hint="eastAsia" w:ascii="宋体" w:hAnsi="宋体"/>
              </w:rPr>
              <w:t>15</w:t>
            </w:r>
          </w:p>
        </w:tc>
        <w:tc>
          <w:tcPr>
            <w:tcW w:w="942" w:type="pct"/>
            <w:vAlign w:val="center"/>
          </w:tcPr>
          <w:p>
            <w:pPr>
              <w:jc w:val="center"/>
              <w:rPr>
                <w:rFonts w:ascii="宋体" w:hAnsi="宋体"/>
              </w:rPr>
            </w:pPr>
            <w:r>
              <w:rPr>
                <w:rFonts w:hint="eastAsia" w:ascii="宋体" w:hAnsi="宋体"/>
              </w:rPr>
              <w:t>15</w:t>
            </w:r>
          </w:p>
        </w:tc>
        <w:tc>
          <w:tcPr>
            <w:tcW w:w="1062" w:type="pct"/>
            <w:vAlign w:val="center"/>
          </w:tcPr>
          <w:p>
            <w:pPr>
              <w:jc w:val="center"/>
              <w:rPr>
                <w:rFonts w:ascii="宋体" w:hAnsi="宋体"/>
              </w:rPr>
            </w:pPr>
            <w:r>
              <w:rPr>
                <w:rFonts w:hint="eastAsia" w:ascii="宋体" w:hAnsi="宋体"/>
              </w:rPr>
              <w:t>10</w:t>
            </w:r>
          </w:p>
        </w:tc>
        <w:tc>
          <w:tcPr>
            <w:tcW w:w="952" w:type="pct"/>
            <w:vAlign w:val="center"/>
          </w:tcPr>
          <w:p>
            <w:pPr>
              <w:jc w:val="center"/>
              <w:rPr>
                <w:rFonts w:ascii="宋体" w:hAnsi="宋体"/>
              </w:rPr>
            </w:pPr>
            <w:r>
              <w:rPr>
                <w:rFonts w:hint="eastAsia" w:ascii="宋体" w:hAnsi="宋体"/>
              </w:rPr>
              <w:t>5</w:t>
            </w:r>
          </w:p>
        </w:tc>
      </w:tr>
    </w:tbl>
    <w:p/>
    <w:p>
      <w:pPr>
        <w:jc w:val="center"/>
      </w:pPr>
      <w:r>
        <w:rPr>
          <w:rFonts w:hint="eastAsia"/>
        </w:rPr>
        <w:t>表</w:t>
      </w:r>
      <w:r>
        <w:t>4.3.9-</w:t>
      </w:r>
      <w:r>
        <w:rPr>
          <w:rFonts w:hint="eastAsia"/>
        </w:rPr>
        <w:t>2</w:t>
      </w:r>
      <w:r>
        <w:t xml:space="preserve"> </w:t>
      </w:r>
      <w:r>
        <w:rPr>
          <w:rFonts w:hint="eastAsia"/>
        </w:rPr>
        <w:t xml:space="preserve">  A值</w:t>
      </w:r>
    </w:p>
    <w:tbl>
      <w:tblPr>
        <w:tblStyle w:val="31"/>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99"/>
        <w:gridCol w:w="1759"/>
        <w:gridCol w:w="1727"/>
        <w:gridCol w:w="19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1818" w:type="pct"/>
            <w:vAlign w:val="center"/>
          </w:tcPr>
          <w:p>
            <w:pPr>
              <w:jc w:val="center"/>
              <w:rPr>
                <w:rFonts w:ascii="宋体" w:hAnsi="宋体"/>
              </w:rPr>
            </w:pPr>
            <w:r>
              <w:rPr>
                <w:rFonts w:ascii="宋体" w:hAnsi="宋体"/>
                <w:bCs/>
              </w:rPr>
              <w:t>设计水泵流量</w:t>
            </w:r>
            <w:r>
              <w:rPr>
                <w:rFonts w:hint="eastAsia" w:ascii="宋体" w:hAnsi="宋体"/>
                <w:bCs/>
              </w:rPr>
              <w:t>m³/h</w:t>
            </w:r>
          </w:p>
        </w:tc>
        <w:tc>
          <w:tcPr>
            <w:tcW w:w="1032" w:type="pct"/>
            <w:vAlign w:val="center"/>
          </w:tcPr>
          <w:p>
            <w:pPr>
              <w:jc w:val="center"/>
              <w:rPr>
                <w:rFonts w:ascii="宋体" w:hAnsi="宋体"/>
              </w:rPr>
            </w:pPr>
            <w:r>
              <w:rPr>
                <w:rFonts w:hint="eastAsia" w:ascii="宋体" w:hAnsi="宋体"/>
                <w:bCs/>
              </w:rPr>
              <w:t>≤60</w:t>
            </w:r>
          </w:p>
        </w:tc>
        <w:tc>
          <w:tcPr>
            <w:tcW w:w="1013" w:type="pct"/>
            <w:vAlign w:val="center"/>
          </w:tcPr>
          <w:p>
            <w:pPr>
              <w:jc w:val="center"/>
              <w:rPr>
                <w:rFonts w:ascii="宋体" w:hAnsi="宋体"/>
              </w:rPr>
            </w:pPr>
            <w:r>
              <w:rPr>
                <w:rFonts w:hint="eastAsia" w:ascii="宋体" w:hAnsi="宋体"/>
                <w:bCs/>
              </w:rPr>
              <w:t>60~200</w:t>
            </w:r>
          </w:p>
        </w:tc>
        <w:tc>
          <w:tcPr>
            <w:tcW w:w="1136" w:type="pct"/>
            <w:vAlign w:val="center"/>
          </w:tcPr>
          <w:p>
            <w:pPr>
              <w:jc w:val="center"/>
              <w:rPr>
                <w:rFonts w:ascii="宋体" w:hAnsi="宋体"/>
              </w:rPr>
            </w:pPr>
            <w:r>
              <w:rPr>
                <w:rFonts w:ascii="宋体" w:hAnsi="宋体"/>
                <w:bCs/>
              </w:rPr>
              <w:t>＞</w:t>
            </w:r>
            <w:r>
              <w:rPr>
                <w:rFonts w:hint="eastAsia" w:ascii="宋体" w:hAnsi="宋体"/>
                <w:bCs/>
              </w:rPr>
              <w:t>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trPr>
        <w:tc>
          <w:tcPr>
            <w:tcW w:w="1818" w:type="pct"/>
            <w:vAlign w:val="center"/>
          </w:tcPr>
          <w:p>
            <w:pPr>
              <w:jc w:val="center"/>
              <w:rPr>
                <w:rFonts w:ascii="宋体" w:hAnsi="宋体"/>
              </w:rPr>
            </w:pPr>
            <w:r>
              <w:rPr>
                <w:rFonts w:hint="eastAsia" w:ascii="宋体" w:hAnsi="宋体"/>
              </w:rPr>
              <w:t>A</w:t>
            </w:r>
            <w:r>
              <w:rPr>
                <w:rFonts w:ascii="宋体" w:hAnsi="宋体"/>
              </w:rPr>
              <w:t>值</w:t>
            </w:r>
          </w:p>
        </w:tc>
        <w:tc>
          <w:tcPr>
            <w:tcW w:w="1032" w:type="pct"/>
            <w:vAlign w:val="center"/>
          </w:tcPr>
          <w:p>
            <w:pPr>
              <w:jc w:val="center"/>
            </w:pPr>
            <w:r>
              <w:t>0.00380</w:t>
            </w:r>
            <w:r>
              <w:rPr>
                <w:rFonts w:hint="eastAsia"/>
              </w:rPr>
              <w:t>3</w:t>
            </w:r>
          </w:p>
        </w:tc>
        <w:tc>
          <w:tcPr>
            <w:tcW w:w="1013" w:type="pct"/>
            <w:vAlign w:val="center"/>
          </w:tcPr>
          <w:p>
            <w:pPr>
              <w:jc w:val="center"/>
            </w:pPr>
            <w:r>
              <w:t>0.003549</w:t>
            </w:r>
          </w:p>
        </w:tc>
        <w:tc>
          <w:tcPr>
            <w:tcW w:w="1136" w:type="pct"/>
            <w:vAlign w:val="center"/>
          </w:tcPr>
          <w:p>
            <w:pPr>
              <w:jc w:val="center"/>
            </w:pPr>
            <w:r>
              <w:t>0.00341</w:t>
            </w:r>
            <w:r>
              <w:rPr>
                <w:rFonts w:hint="eastAsia"/>
              </w:rPr>
              <w:t>3</w:t>
            </w:r>
          </w:p>
        </w:tc>
      </w:tr>
    </w:tbl>
    <w:p/>
    <w:p>
      <w:pPr>
        <w:jc w:val="center"/>
      </w:pPr>
      <w:r>
        <w:rPr>
          <w:rFonts w:hint="eastAsia"/>
        </w:rPr>
        <w:t>表</w:t>
      </w:r>
      <w:r>
        <w:t>4.3.9-</w:t>
      </w:r>
      <w:r>
        <w:rPr>
          <w:rFonts w:hint="eastAsia"/>
        </w:rPr>
        <w:t>3</w:t>
      </w:r>
      <w:r>
        <w:t xml:space="preserve"> </w:t>
      </w:r>
      <w:r>
        <w:rPr>
          <w:rFonts w:hint="eastAsia"/>
        </w:rPr>
        <w:t xml:space="preserve"> B值</w:t>
      </w:r>
    </w:p>
    <w:tbl>
      <w:tblPr>
        <w:tblStyle w:val="31"/>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1029"/>
        <w:gridCol w:w="1101"/>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jc w:val="center"/>
        </w:trPr>
        <w:tc>
          <w:tcPr>
            <w:tcW w:w="2500" w:type="pct"/>
            <w:gridSpan w:val="3"/>
            <w:vAlign w:val="center"/>
          </w:tcPr>
          <w:p>
            <w:pPr>
              <w:jc w:val="center"/>
              <w:rPr>
                <w:rFonts w:ascii="宋体" w:hAnsi="宋体"/>
              </w:rPr>
            </w:pPr>
            <w:r>
              <w:rPr>
                <w:rFonts w:ascii="宋体" w:hAnsi="宋体"/>
                <w:bCs/>
              </w:rPr>
              <w:t>系统组成</w:t>
            </w:r>
          </w:p>
        </w:tc>
        <w:tc>
          <w:tcPr>
            <w:tcW w:w="1250" w:type="pct"/>
            <w:vAlign w:val="center"/>
          </w:tcPr>
          <w:p>
            <w:pPr>
              <w:jc w:val="center"/>
              <w:rPr>
                <w:rFonts w:ascii="宋体" w:hAnsi="宋体"/>
              </w:rPr>
            </w:pPr>
            <w:r>
              <w:rPr>
                <w:rFonts w:ascii="宋体" w:hAnsi="宋体"/>
                <w:bCs/>
              </w:rPr>
              <w:t>四管制单冷、单热管道</w:t>
            </w:r>
            <w:r>
              <w:rPr>
                <w:rFonts w:hint="eastAsia" w:ascii="宋体" w:hAnsi="宋体"/>
                <w:bCs/>
              </w:rPr>
              <w:t>B</w:t>
            </w:r>
            <w:r>
              <w:rPr>
                <w:rFonts w:ascii="宋体" w:hAnsi="宋体"/>
                <w:bCs/>
              </w:rPr>
              <w:t>值</w:t>
            </w:r>
          </w:p>
        </w:tc>
        <w:tc>
          <w:tcPr>
            <w:tcW w:w="1250" w:type="pct"/>
            <w:vAlign w:val="center"/>
          </w:tcPr>
          <w:p>
            <w:pPr>
              <w:jc w:val="center"/>
              <w:rPr>
                <w:rFonts w:ascii="宋体" w:hAnsi="宋体"/>
              </w:rPr>
            </w:pPr>
            <w:r>
              <w:rPr>
                <w:rFonts w:ascii="宋体" w:hAnsi="宋体"/>
                <w:bCs/>
              </w:rPr>
              <w:t>两管制热水管道</w:t>
            </w:r>
            <w:r>
              <w:rPr>
                <w:rFonts w:hint="eastAsia" w:ascii="宋体" w:hAnsi="宋体"/>
                <w:bCs/>
              </w:rPr>
              <w:t>B</w:t>
            </w:r>
            <w:r>
              <w:rPr>
                <w:rFonts w:ascii="宋体" w:hAnsi="宋体"/>
                <w:bCs/>
              </w:rPr>
              <w:t>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jc w:val="center"/>
        </w:trPr>
        <w:tc>
          <w:tcPr>
            <w:tcW w:w="1250" w:type="pct"/>
            <w:vMerge w:val="restart"/>
            <w:vAlign w:val="center"/>
          </w:tcPr>
          <w:p>
            <w:pPr>
              <w:jc w:val="center"/>
              <w:rPr>
                <w:rFonts w:ascii="宋体" w:hAnsi="宋体"/>
              </w:rPr>
            </w:pPr>
            <w:r>
              <w:rPr>
                <w:rFonts w:ascii="宋体" w:hAnsi="宋体"/>
              </w:rPr>
              <w:t>一级泵</w:t>
            </w:r>
          </w:p>
        </w:tc>
        <w:tc>
          <w:tcPr>
            <w:tcW w:w="1250" w:type="pct"/>
            <w:gridSpan w:val="2"/>
            <w:vAlign w:val="center"/>
          </w:tcPr>
          <w:p>
            <w:pPr>
              <w:jc w:val="center"/>
              <w:rPr>
                <w:rFonts w:ascii="宋体" w:hAnsi="宋体"/>
              </w:rPr>
            </w:pPr>
            <w:r>
              <w:rPr>
                <w:rFonts w:ascii="宋体" w:hAnsi="宋体"/>
              </w:rPr>
              <w:t>冷水系统</w:t>
            </w:r>
          </w:p>
        </w:tc>
        <w:tc>
          <w:tcPr>
            <w:tcW w:w="1250" w:type="pct"/>
            <w:vAlign w:val="center"/>
          </w:tcPr>
          <w:p>
            <w:pPr>
              <w:jc w:val="center"/>
              <w:rPr>
                <w:rFonts w:ascii="宋体" w:hAnsi="宋体"/>
              </w:rPr>
            </w:pPr>
            <w:r>
              <w:rPr>
                <w:rFonts w:hint="eastAsia" w:ascii="宋体" w:hAnsi="宋体"/>
              </w:rPr>
              <w:t>26</w:t>
            </w:r>
          </w:p>
        </w:tc>
        <w:tc>
          <w:tcPr>
            <w:tcW w:w="1250" w:type="pct"/>
            <w:vAlign w:val="center"/>
          </w:tcPr>
          <w:p>
            <w:pPr>
              <w:jc w:val="center"/>
              <w:rPr>
                <w:rFonts w:ascii="宋体" w:hAnsi="宋体"/>
              </w:rPr>
            </w:pPr>
            <w:r>
              <w:rPr>
                <w:rFonts w:hint="eastAsia" w:ascii="宋体" w:hAnsi="宋体"/>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1" w:hRule="atLeast"/>
          <w:jc w:val="center"/>
        </w:trPr>
        <w:tc>
          <w:tcPr>
            <w:tcW w:w="1250" w:type="pct"/>
            <w:vMerge w:val="continue"/>
            <w:vAlign w:val="center"/>
          </w:tcPr>
          <w:p>
            <w:pPr>
              <w:jc w:val="center"/>
              <w:rPr>
                <w:rFonts w:ascii="宋体" w:hAnsi="宋体"/>
              </w:rPr>
            </w:pPr>
          </w:p>
        </w:tc>
        <w:tc>
          <w:tcPr>
            <w:tcW w:w="604" w:type="pct"/>
            <w:vMerge w:val="restart"/>
            <w:vAlign w:val="center"/>
          </w:tcPr>
          <w:p>
            <w:pPr>
              <w:jc w:val="center"/>
              <w:rPr>
                <w:rFonts w:ascii="宋体" w:hAnsi="宋体"/>
              </w:rPr>
            </w:pPr>
            <w:r>
              <w:rPr>
                <w:rFonts w:ascii="宋体" w:hAnsi="宋体"/>
              </w:rPr>
              <w:t>热水系统</w:t>
            </w:r>
          </w:p>
        </w:tc>
        <w:tc>
          <w:tcPr>
            <w:tcW w:w="646" w:type="pct"/>
            <w:vAlign w:val="center"/>
          </w:tcPr>
          <w:p>
            <w:pPr>
              <w:jc w:val="center"/>
              <w:rPr>
                <w:rFonts w:ascii="宋体" w:hAnsi="宋体"/>
              </w:rPr>
            </w:pPr>
            <w:r>
              <w:rPr>
                <w:rFonts w:hint="eastAsia" w:ascii="宋体" w:hAnsi="宋体"/>
              </w:rPr>
              <w:t>一般系统</w:t>
            </w:r>
          </w:p>
        </w:tc>
        <w:tc>
          <w:tcPr>
            <w:tcW w:w="1250" w:type="pct"/>
            <w:vAlign w:val="center"/>
          </w:tcPr>
          <w:p>
            <w:pPr>
              <w:jc w:val="center"/>
              <w:rPr>
                <w:rFonts w:ascii="宋体" w:hAnsi="宋体"/>
              </w:rPr>
            </w:pPr>
            <w:r>
              <w:rPr>
                <w:rFonts w:hint="eastAsia" w:ascii="宋体" w:hAnsi="宋体"/>
              </w:rPr>
              <w:t>21</w:t>
            </w:r>
          </w:p>
        </w:tc>
        <w:tc>
          <w:tcPr>
            <w:tcW w:w="1250" w:type="pct"/>
            <w:vAlign w:val="center"/>
          </w:tcPr>
          <w:p>
            <w:pPr>
              <w:jc w:val="center"/>
              <w:rPr>
                <w:rFonts w:ascii="宋体" w:hAnsi="宋体"/>
              </w:rPr>
            </w:pPr>
            <w:r>
              <w:rPr>
                <w:rFonts w:hint="eastAsia" w:ascii="宋体" w:hAnsi="宋体"/>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3" w:hRule="atLeast"/>
          <w:jc w:val="center"/>
        </w:trPr>
        <w:tc>
          <w:tcPr>
            <w:tcW w:w="1250" w:type="pct"/>
            <w:vMerge w:val="continue"/>
            <w:vAlign w:val="center"/>
          </w:tcPr>
          <w:p>
            <w:pPr>
              <w:jc w:val="center"/>
              <w:rPr>
                <w:rFonts w:ascii="宋体" w:hAnsi="宋体"/>
              </w:rPr>
            </w:pPr>
          </w:p>
        </w:tc>
        <w:tc>
          <w:tcPr>
            <w:tcW w:w="604" w:type="pct"/>
            <w:vMerge w:val="continue"/>
            <w:vAlign w:val="center"/>
          </w:tcPr>
          <w:p>
            <w:pPr>
              <w:jc w:val="center"/>
              <w:rPr>
                <w:rFonts w:ascii="宋体" w:hAnsi="宋体"/>
              </w:rPr>
            </w:pPr>
          </w:p>
        </w:tc>
        <w:tc>
          <w:tcPr>
            <w:tcW w:w="646" w:type="pct"/>
            <w:vAlign w:val="center"/>
          </w:tcPr>
          <w:p>
            <w:pPr>
              <w:jc w:val="center"/>
              <w:rPr>
                <w:rFonts w:ascii="宋体" w:hAnsi="宋体"/>
              </w:rPr>
            </w:pPr>
            <w:r>
              <w:rPr>
                <w:rFonts w:hint="eastAsia" w:ascii="宋体" w:hAnsi="宋体"/>
              </w:rPr>
              <w:t>热泵系统</w:t>
            </w:r>
          </w:p>
        </w:tc>
        <w:tc>
          <w:tcPr>
            <w:tcW w:w="1250" w:type="pct"/>
            <w:vAlign w:val="center"/>
          </w:tcPr>
          <w:p>
            <w:pPr>
              <w:jc w:val="center"/>
              <w:rPr>
                <w:rFonts w:ascii="宋体" w:hAnsi="宋体"/>
              </w:rPr>
            </w:pPr>
            <w:r>
              <w:rPr>
                <w:rFonts w:hint="eastAsia" w:ascii="宋体" w:hAnsi="宋体"/>
              </w:rPr>
              <w:t>26</w:t>
            </w:r>
          </w:p>
        </w:tc>
        <w:tc>
          <w:tcPr>
            <w:tcW w:w="1250" w:type="pct"/>
            <w:vAlign w:val="center"/>
          </w:tcPr>
          <w:p>
            <w:pPr>
              <w:jc w:val="center"/>
              <w:rPr>
                <w:rFonts w:ascii="宋体" w:hAnsi="宋体"/>
              </w:rPr>
            </w:pPr>
            <w:r>
              <w:rPr>
                <w:rFonts w:hint="eastAsia" w:ascii="宋体" w:hAnsi="宋体"/>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jc w:val="center"/>
        </w:trPr>
        <w:tc>
          <w:tcPr>
            <w:tcW w:w="1250" w:type="pct"/>
            <w:vMerge w:val="restart"/>
            <w:vAlign w:val="center"/>
          </w:tcPr>
          <w:p>
            <w:pPr>
              <w:jc w:val="center"/>
              <w:rPr>
                <w:rFonts w:ascii="宋体" w:hAnsi="宋体"/>
              </w:rPr>
            </w:pPr>
            <w:r>
              <w:rPr>
                <w:rFonts w:ascii="宋体" w:hAnsi="宋体"/>
              </w:rPr>
              <w:t>二级泵</w:t>
            </w:r>
          </w:p>
        </w:tc>
        <w:tc>
          <w:tcPr>
            <w:tcW w:w="1250" w:type="pct"/>
            <w:gridSpan w:val="2"/>
            <w:vAlign w:val="center"/>
          </w:tcPr>
          <w:p>
            <w:pPr>
              <w:jc w:val="center"/>
              <w:rPr>
                <w:rFonts w:ascii="宋体" w:hAnsi="宋体"/>
              </w:rPr>
            </w:pPr>
            <w:r>
              <w:rPr>
                <w:rFonts w:ascii="宋体" w:hAnsi="宋体"/>
              </w:rPr>
              <w:t>冷水系统</w:t>
            </w:r>
          </w:p>
        </w:tc>
        <w:tc>
          <w:tcPr>
            <w:tcW w:w="1250" w:type="pct"/>
            <w:vAlign w:val="center"/>
          </w:tcPr>
          <w:p>
            <w:pPr>
              <w:jc w:val="center"/>
              <w:rPr>
                <w:rFonts w:ascii="宋体" w:hAnsi="宋体"/>
              </w:rPr>
            </w:pPr>
            <w:r>
              <w:rPr>
                <w:rFonts w:hint="eastAsia" w:ascii="宋体" w:hAnsi="宋体"/>
              </w:rPr>
              <w:t>31</w:t>
            </w:r>
          </w:p>
        </w:tc>
        <w:tc>
          <w:tcPr>
            <w:tcW w:w="1250" w:type="pct"/>
            <w:vAlign w:val="center"/>
          </w:tcPr>
          <w:p>
            <w:pPr>
              <w:jc w:val="center"/>
              <w:rPr>
                <w:rFonts w:ascii="宋体" w:hAnsi="宋体"/>
              </w:rPr>
            </w:pPr>
            <w:r>
              <w:rPr>
                <w:rFonts w:hint="eastAsia" w:ascii="宋体" w:hAnsi="宋体"/>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jc w:val="center"/>
        </w:trPr>
        <w:tc>
          <w:tcPr>
            <w:tcW w:w="1250" w:type="pct"/>
            <w:vMerge w:val="continue"/>
            <w:vAlign w:val="center"/>
          </w:tcPr>
          <w:p>
            <w:pPr>
              <w:jc w:val="center"/>
              <w:rPr>
                <w:rFonts w:ascii="宋体" w:hAnsi="宋体"/>
              </w:rPr>
            </w:pPr>
          </w:p>
        </w:tc>
        <w:tc>
          <w:tcPr>
            <w:tcW w:w="604" w:type="pct"/>
            <w:vMerge w:val="restart"/>
            <w:vAlign w:val="center"/>
          </w:tcPr>
          <w:p>
            <w:pPr>
              <w:jc w:val="center"/>
              <w:rPr>
                <w:rFonts w:ascii="宋体" w:hAnsi="宋体"/>
              </w:rPr>
            </w:pPr>
            <w:r>
              <w:rPr>
                <w:rFonts w:ascii="宋体" w:hAnsi="宋体"/>
              </w:rPr>
              <w:t>热水系统</w:t>
            </w:r>
          </w:p>
        </w:tc>
        <w:tc>
          <w:tcPr>
            <w:tcW w:w="646" w:type="pct"/>
            <w:vAlign w:val="center"/>
          </w:tcPr>
          <w:p>
            <w:pPr>
              <w:jc w:val="center"/>
              <w:rPr>
                <w:rFonts w:ascii="宋体" w:hAnsi="宋体"/>
              </w:rPr>
            </w:pPr>
            <w:r>
              <w:rPr>
                <w:rFonts w:hint="eastAsia" w:ascii="宋体" w:hAnsi="宋体"/>
              </w:rPr>
              <w:t>一般系统</w:t>
            </w:r>
          </w:p>
        </w:tc>
        <w:tc>
          <w:tcPr>
            <w:tcW w:w="1250" w:type="pct"/>
            <w:vAlign w:val="center"/>
          </w:tcPr>
          <w:p>
            <w:pPr>
              <w:jc w:val="center"/>
              <w:rPr>
                <w:rFonts w:ascii="宋体" w:hAnsi="宋体"/>
              </w:rPr>
            </w:pPr>
            <w:r>
              <w:rPr>
                <w:rFonts w:hint="eastAsia" w:ascii="宋体" w:hAnsi="宋体"/>
              </w:rPr>
              <w:t>26</w:t>
            </w:r>
          </w:p>
        </w:tc>
        <w:tc>
          <w:tcPr>
            <w:tcW w:w="1250" w:type="pct"/>
            <w:vAlign w:val="center"/>
          </w:tcPr>
          <w:p>
            <w:pPr>
              <w:jc w:val="center"/>
              <w:rPr>
                <w:rFonts w:ascii="宋体" w:hAnsi="宋体"/>
              </w:rPr>
            </w:pPr>
            <w:r>
              <w:rPr>
                <w:rFonts w:hint="eastAsia" w:ascii="宋体" w:hAnsi="宋体"/>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 w:hRule="atLeast"/>
          <w:jc w:val="center"/>
        </w:trPr>
        <w:tc>
          <w:tcPr>
            <w:tcW w:w="1250" w:type="pct"/>
            <w:vMerge w:val="continue"/>
            <w:vAlign w:val="center"/>
          </w:tcPr>
          <w:p>
            <w:pPr>
              <w:jc w:val="center"/>
              <w:rPr>
                <w:rFonts w:ascii="宋体" w:hAnsi="宋体"/>
              </w:rPr>
            </w:pPr>
          </w:p>
        </w:tc>
        <w:tc>
          <w:tcPr>
            <w:tcW w:w="604" w:type="pct"/>
            <w:vMerge w:val="continue"/>
            <w:vAlign w:val="center"/>
          </w:tcPr>
          <w:p>
            <w:pPr>
              <w:jc w:val="center"/>
              <w:rPr>
                <w:rFonts w:ascii="宋体" w:hAnsi="宋体"/>
              </w:rPr>
            </w:pPr>
          </w:p>
        </w:tc>
        <w:tc>
          <w:tcPr>
            <w:tcW w:w="646" w:type="pct"/>
            <w:vAlign w:val="center"/>
          </w:tcPr>
          <w:p>
            <w:pPr>
              <w:jc w:val="center"/>
              <w:rPr>
                <w:rFonts w:ascii="宋体" w:hAnsi="宋体"/>
              </w:rPr>
            </w:pPr>
            <w:r>
              <w:rPr>
                <w:rFonts w:hint="eastAsia" w:ascii="宋体" w:hAnsi="宋体"/>
              </w:rPr>
              <w:t>热泵系统</w:t>
            </w:r>
          </w:p>
        </w:tc>
        <w:tc>
          <w:tcPr>
            <w:tcW w:w="1250" w:type="pct"/>
            <w:vAlign w:val="center"/>
          </w:tcPr>
          <w:p>
            <w:pPr>
              <w:jc w:val="center"/>
              <w:rPr>
                <w:rFonts w:ascii="宋体" w:hAnsi="宋体"/>
              </w:rPr>
            </w:pPr>
            <w:r>
              <w:rPr>
                <w:rFonts w:hint="eastAsia" w:ascii="宋体" w:hAnsi="宋体"/>
              </w:rPr>
              <w:t>31</w:t>
            </w:r>
          </w:p>
        </w:tc>
        <w:tc>
          <w:tcPr>
            <w:tcW w:w="1250" w:type="pct"/>
            <w:vAlign w:val="center"/>
          </w:tcPr>
          <w:p>
            <w:pPr>
              <w:jc w:val="center"/>
              <w:rPr>
                <w:rFonts w:ascii="宋体" w:hAnsi="宋体"/>
              </w:rPr>
            </w:pPr>
            <w:r>
              <w:rPr>
                <w:rFonts w:hint="eastAsia" w:ascii="宋体" w:hAnsi="宋体"/>
              </w:rPr>
              <w:t>30</w:t>
            </w:r>
          </w:p>
        </w:tc>
      </w:tr>
    </w:tbl>
    <w:p/>
    <w:p>
      <w:pPr>
        <w:jc w:val="center"/>
      </w:pPr>
      <w:r>
        <w:rPr>
          <w:rFonts w:hint="eastAsia"/>
        </w:rPr>
        <w:t>表</w:t>
      </w:r>
      <w:r>
        <w:t>4.3.9-</w:t>
      </w:r>
      <w:r>
        <w:rPr>
          <w:rFonts w:hint="eastAsia"/>
        </w:rPr>
        <w:t>4</w:t>
      </w:r>
      <w:r>
        <w:t xml:space="preserve"> </w:t>
      </w:r>
      <w:r>
        <w:rPr>
          <w:rFonts w:hint="eastAsia"/>
        </w:rPr>
        <w:t>四管制冷、热水管道系统的α值</w:t>
      </w:r>
    </w:p>
    <w:tbl>
      <w:tblPr>
        <w:tblStyle w:val="31"/>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5" w:hRule="atLeast"/>
        </w:trPr>
        <w:tc>
          <w:tcPr>
            <w:tcW w:w="1250" w:type="pct"/>
            <w:vMerge w:val="restart"/>
            <w:vAlign w:val="center"/>
          </w:tcPr>
          <w:p>
            <w:pPr>
              <w:jc w:val="center"/>
              <w:rPr>
                <w:rFonts w:ascii="宋体" w:hAnsi="宋体"/>
              </w:rPr>
            </w:pPr>
            <w:r>
              <w:rPr>
                <w:rFonts w:ascii="宋体" w:hAnsi="宋体"/>
                <w:bCs/>
              </w:rPr>
              <w:t>系统</w:t>
            </w:r>
          </w:p>
        </w:tc>
        <w:tc>
          <w:tcPr>
            <w:tcW w:w="3750" w:type="pct"/>
            <w:gridSpan w:val="3"/>
            <w:vAlign w:val="center"/>
          </w:tcPr>
          <w:p>
            <w:pPr>
              <w:jc w:val="center"/>
              <w:rPr>
                <w:rFonts w:ascii="宋体" w:hAnsi="宋体"/>
              </w:rPr>
            </w:pPr>
            <w:r>
              <w:rPr>
                <w:rFonts w:ascii="宋体" w:hAnsi="宋体"/>
                <w:bCs/>
              </w:rPr>
              <w:t>管道长度∑</w:t>
            </w:r>
            <w:r>
              <w:rPr>
                <w:rFonts w:hint="eastAsia" w:ascii="宋体" w:hAnsi="宋体"/>
                <w:bCs/>
              </w:rPr>
              <w:t>L</w:t>
            </w:r>
            <w:r>
              <w:rPr>
                <w:rFonts w:ascii="宋体" w:hAnsi="宋体"/>
                <w:bCs/>
              </w:rPr>
              <w:t>范围（</w:t>
            </w:r>
            <w:r>
              <w:rPr>
                <w:rFonts w:hint="eastAsia" w:ascii="宋体" w:hAnsi="宋体"/>
                <w:bCs/>
              </w:rPr>
              <w:t>m</w:t>
            </w:r>
            <w:r>
              <w:rPr>
                <w:rFonts w:ascii="宋体" w:hAnsi="宋体"/>
                <w:bC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5" w:hRule="atLeast"/>
        </w:trPr>
        <w:tc>
          <w:tcPr>
            <w:tcW w:w="1250" w:type="pct"/>
            <w:vMerge w:val="continue"/>
            <w:vAlign w:val="center"/>
          </w:tcPr>
          <w:p>
            <w:pPr>
              <w:jc w:val="center"/>
              <w:rPr>
                <w:rFonts w:ascii="宋体" w:hAnsi="宋体"/>
              </w:rPr>
            </w:pPr>
          </w:p>
        </w:tc>
        <w:tc>
          <w:tcPr>
            <w:tcW w:w="1250" w:type="pct"/>
            <w:vAlign w:val="center"/>
          </w:tcPr>
          <w:p>
            <w:pPr>
              <w:jc w:val="center"/>
              <w:rPr>
                <w:rFonts w:ascii="宋体" w:hAnsi="宋体"/>
              </w:rPr>
            </w:pPr>
            <w:r>
              <w:rPr>
                <w:rFonts w:hint="eastAsia" w:ascii="宋体" w:hAnsi="宋体"/>
              </w:rPr>
              <w:t>∑L≤400</w:t>
            </w:r>
          </w:p>
        </w:tc>
        <w:tc>
          <w:tcPr>
            <w:tcW w:w="1250" w:type="pct"/>
            <w:vAlign w:val="center"/>
          </w:tcPr>
          <w:p>
            <w:pPr>
              <w:jc w:val="center"/>
              <w:rPr>
                <w:rFonts w:ascii="宋体" w:hAnsi="宋体"/>
              </w:rPr>
            </w:pPr>
            <w:r>
              <w:rPr>
                <w:rFonts w:hint="eastAsia" w:ascii="宋体" w:hAnsi="宋体"/>
              </w:rPr>
              <w:t>400</w:t>
            </w:r>
            <w:r>
              <w:rPr>
                <w:rFonts w:ascii="宋体" w:hAnsi="宋体"/>
              </w:rPr>
              <w:t>＜∑</w:t>
            </w:r>
            <w:r>
              <w:rPr>
                <w:rFonts w:hint="eastAsia" w:ascii="宋体" w:hAnsi="宋体"/>
              </w:rPr>
              <w:t>L</w:t>
            </w:r>
            <w:r>
              <w:rPr>
                <w:rFonts w:ascii="宋体" w:hAnsi="宋体"/>
              </w:rPr>
              <w:t>＜</w:t>
            </w:r>
            <w:r>
              <w:rPr>
                <w:rFonts w:hint="eastAsia" w:ascii="宋体" w:hAnsi="宋体"/>
              </w:rPr>
              <w:t>1000</w:t>
            </w:r>
          </w:p>
        </w:tc>
        <w:tc>
          <w:tcPr>
            <w:tcW w:w="1250" w:type="pct"/>
            <w:vAlign w:val="center"/>
          </w:tcPr>
          <w:p>
            <w:pPr>
              <w:jc w:val="center"/>
              <w:rPr>
                <w:rFonts w:ascii="宋体" w:hAnsi="宋体"/>
              </w:rPr>
            </w:pPr>
            <w:r>
              <w:rPr>
                <w:rFonts w:hint="eastAsia" w:ascii="宋体" w:hAnsi="宋体"/>
              </w:rPr>
              <w:t>∑L≥1000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1250" w:type="pct"/>
            <w:vAlign w:val="center"/>
          </w:tcPr>
          <w:p>
            <w:pPr>
              <w:jc w:val="center"/>
              <w:rPr>
                <w:rFonts w:ascii="宋体" w:hAnsi="宋体"/>
              </w:rPr>
            </w:pPr>
            <w:r>
              <w:rPr>
                <w:rFonts w:ascii="宋体" w:hAnsi="宋体"/>
              </w:rPr>
              <w:t>冷水</w:t>
            </w:r>
          </w:p>
        </w:tc>
        <w:tc>
          <w:tcPr>
            <w:tcW w:w="1250" w:type="pct"/>
            <w:vAlign w:val="center"/>
          </w:tcPr>
          <w:p>
            <w:pPr>
              <w:jc w:val="center"/>
              <w:rPr>
                <w:rFonts w:ascii="宋体" w:hAnsi="宋体"/>
              </w:rPr>
            </w:pPr>
            <w:r>
              <w:rPr>
                <w:rFonts w:hint="eastAsia" w:ascii="宋体" w:hAnsi="宋体"/>
              </w:rPr>
              <w:t>0.015</w:t>
            </w:r>
          </w:p>
        </w:tc>
        <w:tc>
          <w:tcPr>
            <w:tcW w:w="1250" w:type="pct"/>
            <w:vAlign w:val="center"/>
          </w:tcPr>
          <w:p>
            <w:pPr>
              <w:jc w:val="center"/>
              <w:rPr>
                <w:rFonts w:ascii="宋体" w:hAnsi="宋体"/>
              </w:rPr>
            </w:pPr>
            <w:r>
              <w:rPr>
                <w:rFonts w:hint="eastAsia" w:ascii="宋体" w:hAnsi="宋体"/>
              </w:rPr>
              <w:t>0.013+0.8/∑L</w:t>
            </w:r>
          </w:p>
        </w:tc>
        <w:tc>
          <w:tcPr>
            <w:tcW w:w="1250" w:type="pct"/>
            <w:vAlign w:val="center"/>
          </w:tcPr>
          <w:p>
            <w:pPr>
              <w:jc w:val="center"/>
              <w:rPr>
                <w:rFonts w:ascii="宋体" w:hAnsi="宋体"/>
              </w:rPr>
            </w:pPr>
            <w:r>
              <w:rPr>
                <w:rFonts w:hint="eastAsia" w:ascii="宋体" w:hAnsi="宋体"/>
              </w:rPr>
              <w:t>0.010+3.8/∑L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4" w:hRule="atLeast"/>
        </w:trPr>
        <w:tc>
          <w:tcPr>
            <w:tcW w:w="1250" w:type="pct"/>
            <w:vAlign w:val="center"/>
          </w:tcPr>
          <w:p>
            <w:pPr>
              <w:jc w:val="center"/>
              <w:rPr>
                <w:rFonts w:ascii="宋体" w:hAnsi="宋体"/>
              </w:rPr>
            </w:pPr>
            <w:r>
              <w:rPr>
                <w:rFonts w:ascii="宋体" w:hAnsi="宋体"/>
              </w:rPr>
              <w:t>热水</w:t>
            </w:r>
          </w:p>
        </w:tc>
        <w:tc>
          <w:tcPr>
            <w:tcW w:w="1250" w:type="pct"/>
            <w:vAlign w:val="center"/>
          </w:tcPr>
          <w:p>
            <w:pPr>
              <w:jc w:val="center"/>
              <w:rPr>
                <w:rFonts w:ascii="宋体" w:hAnsi="宋体"/>
              </w:rPr>
            </w:pPr>
            <w:r>
              <w:rPr>
                <w:rFonts w:hint="eastAsia" w:ascii="宋体" w:hAnsi="宋体"/>
              </w:rPr>
              <w:t>0.014</w:t>
            </w:r>
          </w:p>
        </w:tc>
        <w:tc>
          <w:tcPr>
            <w:tcW w:w="1250" w:type="pct"/>
            <w:vAlign w:val="center"/>
          </w:tcPr>
          <w:p>
            <w:pPr>
              <w:jc w:val="center"/>
              <w:rPr>
                <w:rFonts w:ascii="宋体" w:hAnsi="宋体"/>
              </w:rPr>
            </w:pPr>
            <w:r>
              <w:rPr>
                <w:rFonts w:hint="eastAsia" w:ascii="宋体" w:hAnsi="宋体"/>
              </w:rPr>
              <w:t>0.0125+0.6/∑L</w:t>
            </w:r>
          </w:p>
        </w:tc>
        <w:tc>
          <w:tcPr>
            <w:tcW w:w="1250" w:type="pct"/>
            <w:vAlign w:val="center"/>
          </w:tcPr>
          <w:p>
            <w:pPr>
              <w:jc w:val="center"/>
              <w:rPr>
                <w:rFonts w:ascii="宋体" w:hAnsi="宋体"/>
              </w:rPr>
            </w:pPr>
            <w:r>
              <w:rPr>
                <w:rFonts w:hint="eastAsia" w:ascii="宋体" w:hAnsi="宋体"/>
              </w:rPr>
              <w:t>0.009+4.1/∑L</w:t>
            </w:r>
          </w:p>
        </w:tc>
      </w:tr>
    </w:tbl>
    <w:p/>
    <w:p>
      <w:pPr>
        <w:jc w:val="center"/>
      </w:pPr>
      <w:r>
        <w:rPr>
          <w:rFonts w:hint="eastAsia"/>
        </w:rPr>
        <w:t>表</w:t>
      </w:r>
      <w:r>
        <w:t>4.3.9-5 两管热水管道系统α 值</w:t>
      </w:r>
    </w:p>
    <w:tbl>
      <w:tblPr>
        <w:tblStyle w:val="31"/>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8"/>
        <w:gridCol w:w="1377"/>
        <w:gridCol w:w="1375"/>
        <w:gridCol w:w="2471"/>
        <w:gridCol w:w="24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4" w:hRule="atLeast"/>
          <w:jc w:val="center"/>
        </w:trPr>
        <w:tc>
          <w:tcPr>
            <w:tcW w:w="1294" w:type="pct"/>
            <w:gridSpan w:val="2"/>
            <w:vMerge w:val="restart"/>
            <w:vAlign w:val="center"/>
          </w:tcPr>
          <w:p>
            <w:pPr>
              <w:jc w:val="center"/>
              <w:rPr>
                <w:rFonts w:ascii="宋体" w:hAnsi="宋体"/>
              </w:rPr>
            </w:pPr>
            <w:r>
              <w:rPr>
                <w:rFonts w:ascii="宋体" w:hAnsi="宋体"/>
                <w:bCs/>
              </w:rPr>
              <w:t>系统</w:t>
            </w:r>
          </w:p>
        </w:tc>
        <w:tc>
          <w:tcPr>
            <w:tcW w:w="3706" w:type="pct"/>
            <w:gridSpan w:val="3"/>
            <w:vAlign w:val="center"/>
          </w:tcPr>
          <w:p>
            <w:pPr>
              <w:jc w:val="center"/>
              <w:rPr>
                <w:rFonts w:ascii="宋体" w:hAnsi="宋体"/>
              </w:rPr>
            </w:pPr>
            <w:r>
              <w:rPr>
                <w:rFonts w:ascii="宋体" w:hAnsi="宋体"/>
                <w:bCs/>
              </w:rPr>
              <w:t>管道长度∑</w:t>
            </w:r>
            <w:r>
              <w:rPr>
                <w:rFonts w:hint="eastAsia" w:ascii="宋体" w:hAnsi="宋体"/>
                <w:bCs/>
              </w:rPr>
              <w:t>L</w:t>
            </w:r>
            <w:r>
              <w:rPr>
                <w:rFonts w:ascii="宋体" w:hAnsi="宋体"/>
                <w:bCs/>
              </w:rPr>
              <w:t>范围（</w:t>
            </w:r>
            <w:r>
              <w:rPr>
                <w:rFonts w:hint="eastAsia" w:ascii="宋体" w:hAnsi="宋体"/>
                <w:bCs/>
              </w:rPr>
              <w:t>m</w:t>
            </w:r>
            <w:r>
              <w:rPr>
                <w:rFonts w:ascii="宋体" w:hAnsi="宋体"/>
                <w:bC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8" w:hRule="atLeast"/>
          <w:jc w:val="center"/>
        </w:trPr>
        <w:tc>
          <w:tcPr>
            <w:tcW w:w="1294" w:type="pct"/>
            <w:gridSpan w:val="2"/>
            <w:vMerge w:val="continue"/>
            <w:vAlign w:val="center"/>
          </w:tcPr>
          <w:p>
            <w:pPr>
              <w:jc w:val="center"/>
              <w:rPr>
                <w:rFonts w:ascii="宋体" w:hAnsi="宋体"/>
              </w:rPr>
            </w:pPr>
          </w:p>
        </w:tc>
        <w:tc>
          <w:tcPr>
            <w:tcW w:w="807" w:type="pct"/>
            <w:vAlign w:val="center"/>
          </w:tcPr>
          <w:p>
            <w:pPr>
              <w:jc w:val="center"/>
              <w:rPr>
                <w:rFonts w:ascii="宋体" w:hAnsi="宋体"/>
              </w:rPr>
            </w:pPr>
            <w:r>
              <w:rPr>
                <w:rFonts w:hint="eastAsia" w:ascii="宋体" w:hAnsi="宋体"/>
              </w:rPr>
              <w:t>∑L≤400</w:t>
            </w:r>
          </w:p>
        </w:tc>
        <w:tc>
          <w:tcPr>
            <w:tcW w:w="1450" w:type="pct"/>
            <w:vAlign w:val="center"/>
          </w:tcPr>
          <w:p>
            <w:pPr>
              <w:jc w:val="center"/>
              <w:rPr>
                <w:rFonts w:ascii="宋体" w:hAnsi="宋体"/>
              </w:rPr>
            </w:pPr>
            <w:r>
              <w:rPr>
                <w:rFonts w:hint="eastAsia" w:ascii="宋体" w:hAnsi="宋体"/>
              </w:rPr>
              <w:t>400</w:t>
            </w:r>
            <w:r>
              <w:rPr>
                <w:rFonts w:ascii="宋体" w:hAnsi="宋体"/>
              </w:rPr>
              <w:t>＜∑</w:t>
            </w:r>
            <w:r>
              <w:rPr>
                <w:rFonts w:hint="eastAsia" w:ascii="宋体" w:hAnsi="宋体"/>
              </w:rPr>
              <w:t>L</w:t>
            </w:r>
            <w:r>
              <w:rPr>
                <w:rFonts w:ascii="宋体" w:hAnsi="宋体"/>
              </w:rPr>
              <w:t>＜</w:t>
            </w:r>
            <w:r>
              <w:rPr>
                <w:rFonts w:hint="eastAsia" w:ascii="宋体" w:hAnsi="宋体"/>
              </w:rPr>
              <w:t>1000</w:t>
            </w:r>
          </w:p>
        </w:tc>
        <w:tc>
          <w:tcPr>
            <w:tcW w:w="1450" w:type="pct"/>
            <w:vAlign w:val="center"/>
          </w:tcPr>
          <w:p>
            <w:pPr>
              <w:jc w:val="center"/>
              <w:rPr>
                <w:rFonts w:ascii="宋体" w:hAnsi="宋体"/>
              </w:rPr>
            </w:pPr>
            <w:r>
              <w:rPr>
                <w:rFonts w:hint="eastAsia" w:ascii="宋体" w:hAnsi="宋体"/>
              </w:rPr>
              <w:t>∑L≥1000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486" w:type="pct"/>
            <w:vMerge w:val="restart"/>
            <w:vAlign w:val="center"/>
          </w:tcPr>
          <w:p>
            <w:pPr>
              <w:jc w:val="center"/>
              <w:rPr>
                <w:rFonts w:ascii="宋体" w:hAnsi="宋体"/>
              </w:rPr>
            </w:pPr>
            <w:r>
              <w:rPr>
                <w:rFonts w:ascii="宋体" w:hAnsi="宋体"/>
              </w:rPr>
              <w:t>热水</w:t>
            </w:r>
          </w:p>
        </w:tc>
        <w:tc>
          <w:tcPr>
            <w:tcW w:w="807" w:type="pct"/>
            <w:vAlign w:val="center"/>
          </w:tcPr>
          <w:p>
            <w:pPr>
              <w:jc w:val="center"/>
              <w:rPr>
                <w:rFonts w:ascii="宋体" w:hAnsi="宋体"/>
              </w:rPr>
            </w:pPr>
            <w:r>
              <w:rPr>
                <w:rFonts w:ascii="宋体" w:hAnsi="宋体"/>
              </w:rPr>
              <w:t>严寒</w:t>
            </w:r>
          </w:p>
        </w:tc>
        <w:tc>
          <w:tcPr>
            <w:tcW w:w="807" w:type="pct"/>
            <w:vAlign w:val="center"/>
          </w:tcPr>
          <w:p>
            <w:pPr>
              <w:jc w:val="center"/>
              <w:rPr>
                <w:rFonts w:ascii="宋体" w:hAnsi="宋体"/>
              </w:rPr>
            </w:pPr>
            <w:r>
              <w:rPr>
                <w:rFonts w:hint="eastAsia" w:ascii="宋体" w:hAnsi="宋体"/>
              </w:rPr>
              <w:t>0.0068</w:t>
            </w:r>
          </w:p>
        </w:tc>
        <w:tc>
          <w:tcPr>
            <w:tcW w:w="1450" w:type="pct"/>
            <w:vAlign w:val="center"/>
          </w:tcPr>
          <w:p>
            <w:pPr>
              <w:jc w:val="center"/>
              <w:rPr>
                <w:rFonts w:ascii="宋体" w:hAnsi="宋体"/>
              </w:rPr>
            </w:pPr>
            <w:r>
              <w:rPr>
                <w:rFonts w:hint="eastAsia" w:ascii="宋体" w:hAnsi="宋体"/>
              </w:rPr>
              <w:t>0.0059+0.36/∑L</w:t>
            </w:r>
          </w:p>
        </w:tc>
        <w:tc>
          <w:tcPr>
            <w:tcW w:w="1450" w:type="pct"/>
            <w:vAlign w:val="center"/>
          </w:tcPr>
          <w:p>
            <w:pPr>
              <w:jc w:val="center"/>
              <w:rPr>
                <w:rFonts w:ascii="宋体" w:hAnsi="宋体"/>
              </w:rPr>
            </w:pPr>
            <w:r>
              <w:rPr>
                <w:rFonts w:hint="eastAsia" w:ascii="宋体" w:hAnsi="宋体"/>
              </w:rPr>
              <w:t>0.0045+1.71∑L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486" w:type="pct"/>
            <w:vMerge w:val="continue"/>
            <w:vAlign w:val="center"/>
          </w:tcPr>
          <w:p>
            <w:pPr>
              <w:jc w:val="center"/>
              <w:rPr>
                <w:rFonts w:ascii="宋体" w:hAnsi="宋体"/>
              </w:rPr>
            </w:pPr>
          </w:p>
        </w:tc>
        <w:tc>
          <w:tcPr>
            <w:tcW w:w="807" w:type="pct"/>
            <w:vAlign w:val="center"/>
          </w:tcPr>
          <w:p>
            <w:pPr>
              <w:jc w:val="center"/>
              <w:rPr>
                <w:rFonts w:ascii="宋体" w:hAnsi="宋体"/>
              </w:rPr>
            </w:pPr>
            <w:r>
              <w:rPr>
                <w:rFonts w:ascii="宋体" w:hAnsi="宋体"/>
              </w:rPr>
              <w:t>寒冷</w:t>
            </w:r>
          </w:p>
        </w:tc>
        <w:tc>
          <w:tcPr>
            <w:tcW w:w="807" w:type="pct"/>
            <w:vMerge w:val="restart"/>
            <w:vAlign w:val="center"/>
          </w:tcPr>
          <w:p>
            <w:pPr>
              <w:jc w:val="center"/>
              <w:rPr>
                <w:rFonts w:ascii="宋体" w:hAnsi="宋体"/>
              </w:rPr>
            </w:pPr>
            <w:r>
              <w:rPr>
                <w:rFonts w:hint="eastAsia" w:ascii="宋体" w:hAnsi="宋体"/>
              </w:rPr>
              <w:t>0.0018</w:t>
            </w:r>
          </w:p>
        </w:tc>
        <w:tc>
          <w:tcPr>
            <w:tcW w:w="1450" w:type="pct"/>
            <w:vMerge w:val="restart"/>
            <w:vAlign w:val="center"/>
          </w:tcPr>
          <w:p>
            <w:pPr>
              <w:jc w:val="center"/>
              <w:rPr>
                <w:rFonts w:ascii="宋体" w:hAnsi="宋体"/>
              </w:rPr>
            </w:pPr>
            <w:r>
              <w:rPr>
                <w:rFonts w:hint="eastAsia" w:ascii="宋体" w:hAnsi="宋体"/>
              </w:rPr>
              <w:t>0.0016+0.096/∑L</w:t>
            </w:r>
          </w:p>
        </w:tc>
        <w:tc>
          <w:tcPr>
            <w:tcW w:w="1450" w:type="pct"/>
            <w:vMerge w:val="restart"/>
            <w:vAlign w:val="center"/>
          </w:tcPr>
          <w:p>
            <w:pPr>
              <w:jc w:val="center"/>
              <w:rPr>
                <w:rFonts w:ascii="宋体" w:hAnsi="宋体"/>
              </w:rPr>
            </w:pPr>
            <w:r>
              <w:rPr>
                <w:rFonts w:hint="eastAsia" w:ascii="宋体" w:hAnsi="宋体"/>
              </w:rPr>
              <w:t>0.0012+0.456/∑L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486" w:type="pct"/>
            <w:vMerge w:val="continue"/>
            <w:vAlign w:val="center"/>
          </w:tcPr>
          <w:p>
            <w:pPr>
              <w:jc w:val="center"/>
              <w:rPr>
                <w:rFonts w:ascii="宋体" w:hAnsi="宋体"/>
              </w:rPr>
            </w:pPr>
          </w:p>
        </w:tc>
        <w:tc>
          <w:tcPr>
            <w:tcW w:w="807" w:type="pct"/>
            <w:vAlign w:val="center"/>
          </w:tcPr>
          <w:p>
            <w:pPr>
              <w:jc w:val="center"/>
              <w:rPr>
                <w:rFonts w:ascii="宋体" w:hAnsi="宋体"/>
              </w:rPr>
            </w:pPr>
            <w:r>
              <w:rPr>
                <w:rFonts w:ascii="宋体" w:hAnsi="宋体"/>
              </w:rPr>
              <w:t>夏热冬冷</w:t>
            </w:r>
          </w:p>
        </w:tc>
        <w:tc>
          <w:tcPr>
            <w:tcW w:w="807" w:type="pct"/>
            <w:vMerge w:val="continue"/>
            <w:vAlign w:val="center"/>
          </w:tcPr>
          <w:p>
            <w:pPr>
              <w:jc w:val="center"/>
              <w:rPr>
                <w:rFonts w:ascii="宋体" w:hAnsi="宋体"/>
              </w:rPr>
            </w:pPr>
          </w:p>
        </w:tc>
        <w:tc>
          <w:tcPr>
            <w:tcW w:w="1450" w:type="pct"/>
            <w:vMerge w:val="continue"/>
            <w:vAlign w:val="center"/>
          </w:tcPr>
          <w:p>
            <w:pPr>
              <w:jc w:val="center"/>
              <w:rPr>
                <w:rFonts w:ascii="宋体" w:hAnsi="宋体"/>
              </w:rPr>
            </w:pPr>
          </w:p>
        </w:tc>
        <w:tc>
          <w:tcPr>
            <w:tcW w:w="1450" w:type="pct"/>
            <w:vMerge w:val="continue"/>
            <w:vAlign w:val="center"/>
          </w:tcPr>
          <w:p>
            <w:pPr>
              <w:jc w:val="center"/>
              <w:rPr>
                <w:rFonts w:ascii="宋体" w:hAnsi="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486" w:type="pct"/>
            <w:vMerge w:val="continue"/>
            <w:vAlign w:val="center"/>
          </w:tcPr>
          <w:p>
            <w:pPr>
              <w:jc w:val="center"/>
              <w:rPr>
                <w:rFonts w:ascii="宋体" w:hAnsi="宋体"/>
              </w:rPr>
            </w:pPr>
          </w:p>
        </w:tc>
        <w:tc>
          <w:tcPr>
            <w:tcW w:w="807" w:type="pct"/>
            <w:vAlign w:val="center"/>
          </w:tcPr>
          <w:p>
            <w:pPr>
              <w:jc w:val="center"/>
              <w:rPr>
                <w:rFonts w:ascii="宋体" w:hAnsi="宋体"/>
              </w:rPr>
            </w:pPr>
            <w:r>
              <w:rPr>
                <w:rFonts w:ascii="宋体" w:hAnsi="宋体"/>
              </w:rPr>
              <w:t>夏热冬暖</w:t>
            </w:r>
          </w:p>
        </w:tc>
        <w:tc>
          <w:tcPr>
            <w:tcW w:w="807" w:type="pct"/>
            <w:vAlign w:val="center"/>
          </w:tcPr>
          <w:p>
            <w:pPr>
              <w:jc w:val="center"/>
              <w:rPr>
                <w:rFonts w:ascii="宋体" w:hAnsi="宋体"/>
              </w:rPr>
            </w:pPr>
            <w:r>
              <w:rPr>
                <w:rFonts w:hint="eastAsia" w:ascii="宋体" w:hAnsi="宋体"/>
              </w:rPr>
              <w:t>0.0024</w:t>
            </w:r>
          </w:p>
        </w:tc>
        <w:tc>
          <w:tcPr>
            <w:tcW w:w="1450" w:type="pct"/>
            <w:vAlign w:val="center"/>
          </w:tcPr>
          <w:p>
            <w:pPr>
              <w:jc w:val="center"/>
              <w:rPr>
                <w:rFonts w:ascii="宋体" w:hAnsi="宋体"/>
              </w:rPr>
            </w:pPr>
            <w:r>
              <w:rPr>
                <w:rFonts w:hint="eastAsia" w:ascii="宋体" w:hAnsi="宋体"/>
              </w:rPr>
              <w:t>0.0021+0.256/∑L</w:t>
            </w:r>
          </w:p>
        </w:tc>
        <w:tc>
          <w:tcPr>
            <w:tcW w:w="1450" w:type="pct"/>
            <w:vAlign w:val="center"/>
          </w:tcPr>
          <w:p>
            <w:pPr>
              <w:jc w:val="center"/>
              <w:rPr>
                <w:rFonts w:ascii="宋体" w:hAnsi="宋体"/>
              </w:rPr>
            </w:pPr>
            <w:r>
              <w:rPr>
                <w:rFonts w:hint="eastAsia" w:ascii="宋体" w:hAnsi="宋体"/>
              </w:rPr>
              <w:t>0.0016+0.576/∑L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1294" w:type="pct"/>
            <w:gridSpan w:val="2"/>
            <w:vAlign w:val="center"/>
          </w:tcPr>
          <w:p>
            <w:pPr>
              <w:jc w:val="center"/>
              <w:rPr>
                <w:rFonts w:ascii="宋体" w:hAnsi="宋体"/>
              </w:rPr>
            </w:pPr>
            <w:r>
              <w:rPr>
                <w:rFonts w:ascii="宋体" w:hAnsi="宋体"/>
              </w:rPr>
              <w:t>冷水</w:t>
            </w:r>
          </w:p>
        </w:tc>
        <w:tc>
          <w:tcPr>
            <w:tcW w:w="807" w:type="pct"/>
            <w:vAlign w:val="center"/>
          </w:tcPr>
          <w:p>
            <w:pPr>
              <w:jc w:val="center"/>
              <w:rPr>
                <w:rFonts w:ascii="宋体" w:hAnsi="宋体"/>
              </w:rPr>
            </w:pPr>
            <w:r>
              <w:rPr>
                <w:rFonts w:hint="eastAsia" w:ascii="宋体" w:hAnsi="宋体"/>
              </w:rPr>
              <w:t>0.015</w:t>
            </w:r>
          </w:p>
        </w:tc>
        <w:tc>
          <w:tcPr>
            <w:tcW w:w="1450" w:type="pct"/>
            <w:vAlign w:val="center"/>
          </w:tcPr>
          <w:p>
            <w:pPr>
              <w:jc w:val="center"/>
              <w:rPr>
                <w:rFonts w:ascii="宋体" w:hAnsi="宋体"/>
              </w:rPr>
            </w:pPr>
            <w:r>
              <w:rPr>
                <w:rFonts w:hint="eastAsia" w:ascii="宋体" w:hAnsi="宋体"/>
              </w:rPr>
              <w:t>0.013+0.8/∑L</w:t>
            </w:r>
          </w:p>
        </w:tc>
        <w:tc>
          <w:tcPr>
            <w:tcW w:w="1450" w:type="pct"/>
            <w:vAlign w:val="center"/>
          </w:tcPr>
          <w:p>
            <w:pPr>
              <w:jc w:val="center"/>
              <w:rPr>
                <w:rFonts w:ascii="宋体" w:hAnsi="宋体"/>
              </w:rPr>
            </w:pPr>
            <w:r>
              <w:rPr>
                <w:rFonts w:hint="eastAsia" w:ascii="宋体" w:hAnsi="宋体"/>
              </w:rPr>
              <w:t>0.010+3.8/∑L</w:t>
            </w:r>
          </w:p>
        </w:tc>
      </w:tr>
    </w:tbl>
    <w:p>
      <w:pPr>
        <w:rPr>
          <w:rFonts w:ascii="宋体" w:hAnsi="宋体"/>
        </w:rPr>
      </w:pPr>
    </w:p>
    <w:p>
      <w:pPr>
        <w:spacing w:line="360" w:lineRule="auto"/>
        <w:rPr>
          <w:rFonts w:ascii="宋体" w:hAnsi="宋体"/>
          <w:sz w:val="24"/>
          <w:szCs w:val="32"/>
        </w:rPr>
      </w:pPr>
      <w:r>
        <w:rPr>
          <w:rFonts w:ascii="宋体" w:hAnsi="宋体"/>
          <w:b/>
          <w:bCs/>
          <w:sz w:val="24"/>
          <w:szCs w:val="32"/>
        </w:rPr>
        <w:t>2</w:t>
      </w:r>
      <w:r>
        <w:rPr>
          <w:rFonts w:ascii="宋体" w:hAnsi="宋体"/>
          <w:sz w:val="24"/>
          <w:szCs w:val="32"/>
        </w:rPr>
        <w:t xml:space="preserve"> </w:t>
      </w:r>
      <w:r>
        <w:rPr>
          <w:rFonts w:hint="eastAsia" w:ascii="宋体" w:hAnsi="宋体"/>
          <w:sz w:val="24"/>
          <w:szCs w:val="32"/>
        </w:rPr>
        <w:t>空调冷（热）水系统耗电输冷（热）比计算参数应符合下列规定：</w:t>
      </w:r>
    </w:p>
    <w:p>
      <w:pPr>
        <w:spacing w:line="360" w:lineRule="auto"/>
        <w:ind w:left="10" w:leftChars="0" w:firstLine="408" w:firstLineChars="170"/>
        <w:rPr>
          <w:rFonts w:ascii="宋体" w:hAnsi="宋体"/>
          <w:sz w:val="24"/>
          <w:szCs w:val="32"/>
        </w:rPr>
      </w:pPr>
      <w:r>
        <w:rPr>
          <w:rFonts w:ascii="宋体" w:hAnsi="宋体"/>
          <w:sz w:val="24"/>
          <w:szCs w:val="32"/>
        </w:rPr>
        <w:t>1）空气源热泵、溴化</w:t>
      </w:r>
      <w:r>
        <w:rPr>
          <w:rFonts w:hint="eastAsia" w:ascii="宋体" w:hAnsi="宋体"/>
          <w:sz w:val="24"/>
          <w:szCs w:val="32"/>
        </w:rPr>
        <w:t>锂机组、水源热泵等机组的热水供回水温差应按机组实际参数确定，当无参考资料时，热泵系统热水供回水可按</w:t>
      </w:r>
      <w:r>
        <w:rPr>
          <w:rFonts w:ascii="宋体" w:hAnsi="宋体"/>
          <w:sz w:val="24"/>
          <w:szCs w:val="32"/>
        </w:rPr>
        <w:t>5℃温差确定；直接提供高温冷水的机组，冷水供回水温差应按机组实际参数确定。</w:t>
      </w:r>
    </w:p>
    <w:p>
      <w:pPr>
        <w:spacing w:line="360" w:lineRule="auto"/>
        <w:ind w:left="10" w:leftChars="0" w:firstLine="408" w:firstLineChars="170"/>
        <w:rPr>
          <w:rFonts w:ascii="宋体" w:hAnsi="宋体"/>
          <w:sz w:val="24"/>
          <w:szCs w:val="32"/>
        </w:rPr>
      </w:pPr>
      <w:r>
        <w:rPr>
          <w:rFonts w:ascii="宋体" w:hAnsi="宋体"/>
          <w:sz w:val="24"/>
          <w:szCs w:val="32"/>
        </w:rPr>
        <w:t>2）多台水泵并联运行时，A值应按较大流量选取。</w:t>
      </w:r>
    </w:p>
    <w:p>
      <w:pPr>
        <w:spacing w:line="360" w:lineRule="auto"/>
        <w:ind w:left="10" w:leftChars="0" w:firstLine="408" w:firstLineChars="170"/>
        <w:rPr>
          <w:rFonts w:ascii="宋体" w:hAnsi="宋体"/>
          <w:sz w:val="24"/>
          <w:szCs w:val="32"/>
        </w:rPr>
      </w:pPr>
      <w:r>
        <w:rPr>
          <w:rFonts w:ascii="宋体" w:hAnsi="宋体"/>
          <w:sz w:val="24"/>
          <w:szCs w:val="32"/>
        </w:rPr>
        <w:t>3）两管制冷水管道的B值应按四管制单冷管道的B值选取；热泵系统单热热水管道B值应按四管制单冷管道的B值选取，热泵系统二管制热水管道B值比四管制单冷管道的B值减少1；多级泵冷水系统，每增加一级泵，B值可增加5；多级泵热水系统，每增加一级泵，B值可增加4。</w:t>
      </w:r>
    </w:p>
    <w:p>
      <w:pPr>
        <w:spacing w:line="360" w:lineRule="auto"/>
        <w:ind w:left="10" w:leftChars="0" w:firstLine="408" w:firstLineChars="170"/>
        <w:rPr>
          <w:rFonts w:ascii="宋体" w:hAnsi="宋体"/>
          <w:sz w:val="24"/>
          <w:szCs w:val="32"/>
        </w:rPr>
      </w:pPr>
      <w:r>
        <w:rPr>
          <w:rFonts w:ascii="宋体" w:hAnsi="宋体"/>
          <w:sz w:val="24"/>
          <w:szCs w:val="32"/>
        </w:rPr>
        <w:t>4）两管制冷水系统α 值 计算式应与四管制冷水系统相同；热泵系统α 值</w:t>
      </w:r>
      <w:r>
        <w:rPr>
          <w:rFonts w:hint="eastAsia" w:ascii="宋体" w:hAnsi="宋体"/>
          <w:sz w:val="24"/>
          <w:szCs w:val="32"/>
        </w:rPr>
        <w:t>与四管制冷水系统相同。</w:t>
      </w:r>
    </w:p>
    <w:p>
      <w:pPr>
        <w:spacing w:line="360" w:lineRule="auto"/>
        <w:ind w:left="10" w:leftChars="0" w:firstLine="408" w:firstLineChars="170"/>
        <w:rPr>
          <w:rFonts w:ascii="宋体" w:hAnsi="宋体"/>
          <w:sz w:val="24"/>
          <w:szCs w:val="32"/>
        </w:rPr>
      </w:pPr>
      <w:r>
        <w:rPr>
          <w:rFonts w:ascii="宋体" w:hAnsi="宋体"/>
          <w:sz w:val="24"/>
          <w:szCs w:val="32"/>
        </w:rPr>
        <w:t>5）当最远用户为风机盘管时，</w:t>
      </w:r>
      <w:r>
        <w:rPr>
          <w:position w:val="-4"/>
          <w:sz w:val="24"/>
          <w:szCs w:val="32"/>
        </w:rPr>
        <w:object>
          <v:shape id="_x0000_i1035" o:spt="75" type="#_x0000_t75" style="height:14.25pt;width:14.25pt;" o:ole="t" filled="f" o:preferrelative="t" stroked="f" coordsize="21600,21600">
            <v:path/>
            <v:fill on="f" focussize="0,0"/>
            <v:stroke on="f" joinstyle="miter"/>
            <v:imagedata r:id="rId16" o:title=""/>
            <o:lock v:ext="edit" aspectratio="t"/>
            <w10:wrap type="none"/>
            <w10:anchorlock/>
          </v:shape>
          <o:OLEObject Type="Embed" ProgID="Equation.DSMT4" ShapeID="_x0000_i1035" DrawAspect="Content" ObjectID="_1468075735" r:id="rId25">
            <o:LockedField>false</o:LockedField>
          </o:OLEObject>
        </w:object>
      </w:r>
      <w:r>
        <w:rPr>
          <w:rFonts w:hint="eastAsia" w:ascii="宋体" w:hAnsi="宋体"/>
          <w:sz w:val="24"/>
          <w:szCs w:val="32"/>
        </w:rPr>
        <w:t>应按机房出口至最远端风机盘管的供回水管道总长度减去</w:t>
      </w:r>
      <w:r>
        <w:rPr>
          <w:rFonts w:ascii="宋体" w:hAnsi="宋体"/>
          <w:sz w:val="24"/>
          <w:szCs w:val="32"/>
        </w:rPr>
        <w:t>100m确定。</w:t>
      </w:r>
    </w:p>
    <w:p>
      <w:pPr>
        <w:spacing w:line="360" w:lineRule="auto"/>
        <w:jc w:val="left"/>
        <w:rPr>
          <w:rFonts w:ascii="宋体" w:hAnsi="宋体"/>
          <w:bCs/>
          <w:sz w:val="24"/>
        </w:rPr>
      </w:pPr>
    </w:p>
    <w:p>
      <w:pPr>
        <w:autoSpaceDE w:val="0"/>
        <w:autoSpaceDN w:val="0"/>
        <w:adjustRightInd w:val="0"/>
        <w:spacing w:line="276" w:lineRule="auto"/>
        <w:jc w:val="left"/>
        <w:rPr>
          <w:kern w:val="0"/>
          <w:szCs w:val="21"/>
        </w:rPr>
      </w:pPr>
    </w:p>
    <w:p>
      <w:pPr>
        <w:autoSpaceDE w:val="0"/>
        <w:autoSpaceDN w:val="0"/>
        <w:adjustRightInd w:val="0"/>
        <w:spacing w:line="360" w:lineRule="auto"/>
        <w:jc w:val="left"/>
        <w:rPr>
          <w:rFonts w:cs="宋体"/>
          <w:kern w:val="0"/>
          <w:sz w:val="24"/>
        </w:rPr>
      </w:pPr>
      <w:r>
        <w:rPr>
          <w:rFonts w:cs="Arial"/>
          <w:b/>
          <w:kern w:val="0"/>
          <w:sz w:val="24"/>
        </w:rPr>
        <w:t>4.3.10</w:t>
      </w:r>
      <w:r>
        <w:rPr>
          <w:rFonts w:hint="eastAsia" w:cs="宋体"/>
          <w:kern w:val="0"/>
          <w:sz w:val="24"/>
        </w:rPr>
        <w:t>当通风系统使用时间较长且运行工况（风量、风压）有较大变化时，通风机宜采用双速或变速风机。</w:t>
      </w:r>
    </w:p>
    <w:p>
      <w:pPr>
        <w:autoSpaceDE w:val="0"/>
        <w:autoSpaceDN w:val="0"/>
        <w:adjustRightInd w:val="0"/>
        <w:spacing w:line="360" w:lineRule="auto"/>
        <w:rPr>
          <w:kern w:val="0"/>
          <w:szCs w:val="21"/>
        </w:rPr>
      </w:pPr>
    </w:p>
    <w:p>
      <w:pPr>
        <w:autoSpaceDE w:val="0"/>
        <w:autoSpaceDN w:val="0"/>
        <w:adjustRightInd w:val="0"/>
        <w:spacing w:line="360" w:lineRule="auto"/>
        <w:rPr>
          <w:kern w:val="0"/>
          <w:sz w:val="24"/>
        </w:rPr>
      </w:pPr>
      <w:r>
        <w:rPr>
          <w:rFonts w:cs="Arial"/>
          <w:b/>
          <w:kern w:val="0"/>
          <w:sz w:val="24"/>
        </w:rPr>
        <w:t>4.3.1</w:t>
      </w:r>
      <w:r>
        <w:rPr>
          <w:rFonts w:hint="eastAsia" w:cs="Arial"/>
          <w:b/>
          <w:kern w:val="0"/>
          <w:sz w:val="24"/>
        </w:rPr>
        <w:t xml:space="preserve">1 </w:t>
      </w:r>
      <w:r>
        <w:rPr>
          <w:rFonts w:hint="eastAsia"/>
          <w:kern w:val="0"/>
          <w:sz w:val="24"/>
        </w:rPr>
        <w:t>设计定风量全空气空气调节系统时，宜采取实现全新风运行或可调新风比的措施，并宜设计相应的排风系统。</w:t>
      </w:r>
    </w:p>
    <w:p>
      <w:pPr>
        <w:autoSpaceDE w:val="0"/>
        <w:autoSpaceDN w:val="0"/>
        <w:adjustRightInd w:val="0"/>
        <w:spacing w:line="360" w:lineRule="auto"/>
        <w:rPr>
          <w:kern w:val="0"/>
        </w:rPr>
      </w:pPr>
    </w:p>
    <w:p>
      <w:pPr>
        <w:autoSpaceDE w:val="0"/>
        <w:autoSpaceDN w:val="0"/>
        <w:adjustRightInd w:val="0"/>
        <w:spacing w:line="360" w:lineRule="auto"/>
        <w:rPr>
          <w:kern w:val="0"/>
          <w:sz w:val="24"/>
        </w:rPr>
      </w:pPr>
      <w:r>
        <w:rPr>
          <w:rFonts w:cs="Arial"/>
          <w:b/>
          <w:kern w:val="0"/>
          <w:sz w:val="24"/>
        </w:rPr>
        <w:t>4.3.</w:t>
      </w:r>
      <w:r>
        <w:rPr>
          <w:rFonts w:hint="eastAsia" w:cs="Arial"/>
          <w:b/>
          <w:kern w:val="0"/>
          <w:sz w:val="24"/>
        </w:rPr>
        <w:t>12</w:t>
      </w:r>
      <w:r>
        <w:rPr>
          <w:rFonts w:hint="eastAsia"/>
          <w:kern w:val="0"/>
          <w:sz w:val="24"/>
        </w:rPr>
        <w:t>当一个空气调节风系统负担多个使用空间时，系统的新风量应按下列公式计算：</w:t>
      </w: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4110"/>
        <w:gridCol w:w="2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autoSpaceDE w:val="0"/>
              <w:autoSpaceDN w:val="0"/>
              <w:adjustRightInd w:val="0"/>
              <w:spacing w:line="360" w:lineRule="auto"/>
              <w:rPr>
                <w:kern w:val="0"/>
                <w:sz w:val="24"/>
              </w:rPr>
            </w:pPr>
          </w:p>
        </w:tc>
        <w:tc>
          <w:tcPr>
            <w:tcW w:w="4110" w:type="dxa"/>
          </w:tcPr>
          <w:p>
            <w:pPr>
              <w:autoSpaceDE w:val="0"/>
              <w:autoSpaceDN w:val="0"/>
              <w:adjustRightInd w:val="0"/>
              <w:spacing w:line="360" w:lineRule="auto"/>
              <w:rPr>
                <w:kern w:val="0"/>
                <w:sz w:val="24"/>
              </w:rPr>
            </w:pPr>
            <w:r>
              <w:rPr>
                <w:kern w:val="0"/>
                <w:sz w:val="24"/>
              </w:rPr>
              <w:t>Y=X</w:t>
            </w:r>
            <w:r>
              <w:rPr>
                <w:rFonts w:hint="eastAsia"/>
                <w:kern w:val="0"/>
                <w:sz w:val="24"/>
              </w:rPr>
              <w:t>/</w:t>
            </w:r>
            <w:r>
              <w:rPr>
                <w:kern w:val="0"/>
                <w:sz w:val="24"/>
              </w:rPr>
              <w:t>(1+X</w:t>
            </w:r>
            <w:r>
              <w:rPr>
                <w:rFonts w:hint="eastAsia"/>
                <w:kern w:val="0"/>
                <w:sz w:val="24"/>
              </w:rPr>
              <w:t>－</w:t>
            </w:r>
            <w:r>
              <w:rPr>
                <w:kern w:val="0"/>
                <w:sz w:val="24"/>
              </w:rPr>
              <w:t>Z)</w:t>
            </w:r>
          </w:p>
        </w:tc>
        <w:tc>
          <w:tcPr>
            <w:tcW w:w="2177" w:type="dxa"/>
          </w:tcPr>
          <w:p>
            <w:pPr>
              <w:autoSpaceDE w:val="0"/>
              <w:autoSpaceDN w:val="0"/>
              <w:adjustRightInd w:val="0"/>
              <w:spacing w:line="360" w:lineRule="auto"/>
              <w:jc w:val="right"/>
              <w:rPr>
                <w:kern w:val="0"/>
                <w:sz w:val="24"/>
              </w:rPr>
            </w:pPr>
            <w:r>
              <w:rPr>
                <w:kern w:val="0"/>
                <w:sz w:val="24"/>
              </w:rPr>
              <w:t>(4.3.</w:t>
            </w:r>
            <w:r>
              <w:rPr>
                <w:rFonts w:hint="eastAsia"/>
                <w:kern w:val="0"/>
                <w:sz w:val="24"/>
              </w:rPr>
              <w:t>12</w:t>
            </w:r>
            <w:r>
              <w:rPr>
                <w:kern w:val="0"/>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autoSpaceDE w:val="0"/>
              <w:autoSpaceDN w:val="0"/>
              <w:adjustRightInd w:val="0"/>
              <w:spacing w:line="360" w:lineRule="auto"/>
              <w:rPr>
                <w:kern w:val="0"/>
                <w:sz w:val="24"/>
              </w:rPr>
            </w:pPr>
          </w:p>
        </w:tc>
        <w:tc>
          <w:tcPr>
            <w:tcW w:w="4110" w:type="dxa"/>
          </w:tcPr>
          <w:p>
            <w:pPr>
              <w:autoSpaceDE w:val="0"/>
              <w:autoSpaceDN w:val="0"/>
              <w:adjustRightInd w:val="0"/>
              <w:spacing w:line="360" w:lineRule="auto"/>
              <w:rPr>
                <w:kern w:val="0"/>
                <w:sz w:val="24"/>
              </w:rPr>
            </w:pPr>
            <w:r>
              <w:rPr>
                <w:kern w:val="0"/>
                <w:sz w:val="24"/>
              </w:rPr>
              <w:t>Y=V</w:t>
            </w:r>
            <w:r>
              <w:rPr>
                <w:kern w:val="0"/>
                <w:sz w:val="24"/>
                <w:vertAlign w:val="subscript"/>
              </w:rPr>
              <w:t>ot</w:t>
            </w:r>
            <w:r>
              <w:rPr>
                <w:rFonts w:hint="eastAsia"/>
                <w:kern w:val="0"/>
                <w:sz w:val="24"/>
              </w:rPr>
              <w:t>/</w:t>
            </w:r>
            <w:r>
              <w:rPr>
                <w:kern w:val="0"/>
                <w:sz w:val="24"/>
              </w:rPr>
              <w:t>V</w:t>
            </w:r>
            <w:r>
              <w:rPr>
                <w:kern w:val="0"/>
                <w:sz w:val="24"/>
                <w:vertAlign w:val="subscript"/>
              </w:rPr>
              <w:t>st</w:t>
            </w:r>
          </w:p>
        </w:tc>
        <w:tc>
          <w:tcPr>
            <w:tcW w:w="2177" w:type="dxa"/>
          </w:tcPr>
          <w:p>
            <w:pPr>
              <w:autoSpaceDE w:val="0"/>
              <w:autoSpaceDN w:val="0"/>
              <w:adjustRightInd w:val="0"/>
              <w:spacing w:line="360" w:lineRule="auto"/>
              <w:jc w:val="right"/>
              <w:rPr>
                <w:kern w:val="0"/>
                <w:sz w:val="24"/>
              </w:rPr>
            </w:pPr>
            <w:r>
              <w:rPr>
                <w:kern w:val="0"/>
                <w:sz w:val="24"/>
              </w:rPr>
              <w:t>(4.3.</w:t>
            </w:r>
            <w:r>
              <w:rPr>
                <w:rFonts w:hint="eastAsia"/>
                <w:kern w:val="0"/>
                <w:sz w:val="24"/>
              </w:rPr>
              <w:t>12</w:t>
            </w:r>
            <w:r>
              <w:rPr>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autoSpaceDE w:val="0"/>
              <w:autoSpaceDN w:val="0"/>
              <w:adjustRightInd w:val="0"/>
              <w:spacing w:line="360" w:lineRule="auto"/>
              <w:rPr>
                <w:kern w:val="0"/>
                <w:sz w:val="24"/>
              </w:rPr>
            </w:pPr>
          </w:p>
        </w:tc>
        <w:tc>
          <w:tcPr>
            <w:tcW w:w="4110" w:type="dxa"/>
          </w:tcPr>
          <w:p>
            <w:pPr>
              <w:wordWrap w:val="0"/>
              <w:autoSpaceDE w:val="0"/>
              <w:autoSpaceDN w:val="0"/>
              <w:adjustRightInd w:val="0"/>
              <w:spacing w:line="360" w:lineRule="auto"/>
              <w:ind w:right="-108"/>
              <w:rPr>
                <w:kern w:val="0"/>
                <w:sz w:val="24"/>
              </w:rPr>
            </w:pPr>
            <w:r>
              <w:rPr>
                <w:kern w:val="0"/>
                <w:sz w:val="24"/>
              </w:rPr>
              <w:t>X=V</w:t>
            </w:r>
            <w:r>
              <w:rPr>
                <w:kern w:val="0"/>
                <w:sz w:val="24"/>
                <w:vertAlign w:val="subscript"/>
              </w:rPr>
              <w:t>on</w:t>
            </w:r>
            <w:r>
              <w:rPr>
                <w:rFonts w:hint="eastAsia"/>
                <w:kern w:val="0"/>
                <w:sz w:val="24"/>
              </w:rPr>
              <w:t>/</w:t>
            </w:r>
            <w:r>
              <w:rPr>
                <w:kern w:val="0"/>
                <w:sz w:val="24"/>
              </w:rPr>
              <w:t>V</w:t>
            </w:r>
            <w:r>
              <w:rPr>
                <w:kern w:val="0"/>
                <w:sz w:val="24"/>
                <w:vertAlign w:val="subscript"/>
              </w:rPr>
              <w:t>st</w:t>
            </w:r>
          </w:p>
        </w:tc>
        <w:tc>
          <w:tcPr>
            <w:tcW w:w="2177" w:type="dxa"/>
          </w:tcPr>
          <w:p>
            <w:pPr>
              <w:autoSpaceDE w:val="0"/>
              <w:autoSpaceDN w:val="0"/>
              <w:adjustRightInd w:val="0"/>
              <w:spacing w:line="360" w:lineRule="auto"/>
              <w:jc w:val="right"/>
              <w:rPr>
                <w:kern w:val="0"/>
                <w:sz w:val="24"/>
              </w:rPr>
            </w:pPr>
            <w:r>
              <w:rPr>
                <w:kern w:val="0"/>
                <w:sz w:val="24"/>
              </w:rPr>
              <w:t>(4.3.</w:t>
            </w:r>
            <w:r>
              <w:rPr>
                <w:rFonts w:hint="eastAsia"/>
                <w:kern w:val="0"/>
                <w:sz w:val="24"/>
              </w:rPr>
              <w:t>12</w:t>
            </w:r>
            <w:r>
              <w:rPr>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autoSpaceDE w:val="0"/>
              <w:autoSpaceDN w:val="0"/>
              <w:adjustRightInd w:val="0"/>
              <w:spacing w:line="360" w:lineRule="auto"/>
              <w:rPr>
                <w:kern w:val="0"/>
                <w:sz w:val="24"/>
              </w:rPr>
            </w:pPr>
          </w:p>
        </w:tc>
        <w:tc>
          <w:tcPr>
            <w:tcW w:w="4110" w:type="dxa"/>
          </w:tcPr>
          <w:p>
            <w:pPr>
              <w:autoSpaceDE w:val="0"/>
              <w:autoSpaceDN w:val="0"/>
              <w:adjustRightInd w:val="0"/>
              <w:spacing w:line="360" w:lineRule="auto"/>
              <w:rPr>
                <w:kern w:val="0"/>
                <w:sz w:val="24"/>
              </w:rPr>
            </w:pPr>
            <w:r>
              <w:rPr>
                <w:kern w:val="0"/>
                <w:sz w:val="24"/>
              </w:rPr>
              <w:t>Z=V</w:t>
            </w:r>
            <w:r>
              <w:rPr>
                <w:kern w:val="0"/>
                <w:sz w:val="24"/>
                <w:vertAlign w:val="subscript"/>
              </w:rPr>
              <w:t>oc</w:t>
            </w:r>
            <w:r>
              <w:rPr>
                <w:rFonts w:hint="eastAsia"/>
                <w:kern w:val="0"/>
                <w:sz w:val="24"/>
              </w:rPr>
              <w:t>/</w:t>
            </w:r>
            <w:r>
              <w:rPr>
                <w:kern w:val="0"/>
                <w:sz w:val="24"/>
              </w:rPr>
              <w:t>V</w:t>
            </w:r>
            <w:r>
              <w:rPr>
                <w:kern w:val="0"/>
                <w:sz w:val="24"/>
                <w:vertAlign w:val="subscript"/>
              </w:rPr>
              <w:t>sc</w:t>
            </w:r>
          </w:p>
        </w:tc>
        <w:tc>
          <w:tcPr>
            <w:tcW w:w="2177" w:type="dxa"/>
          </w:tcPr>
          <w:p>
            <w:pPr>
              <w:autoSpaceDE w:val="0"/>
              <w:autoSpaceDN w:val="0"/>
              <w:adjustRightInd w:val="0"/>
              <w:spacing w:line="360" w:lineRule="auto"/>
              <w:jc w:val="right"/>
              <w:rPr>
                <w:kern w:val="0"/>
                <w:sz w:val="24"/>
              </w:rPr>
            </w:pPr>
            <w:r>
              <w:rPr>
                <w:kern w:val="0"/>
                <w:sz w:val="24"/>
              </w:rPr>
              <w:t>(4.3.</w:t>
            </w:r>
            <w:r>
              <w:rPr>
                <w:rFonts w:hint="eastAsia"/>
                <w:kern w:val="0"/>
                <w:sz w:val="24"/>
              </w:rPr>
              <w:t>12</w:t>
            </w:r>
            <w:r>
              <w:rPr>
                <w:kern w:val="0"/>
                <w:sz w:val="24"/>
              </w:rPr>
              <w:t>-4)</w:t>
            </w:r>
          </w:p>
        </w:tc>
      </w:tr>
    </w:tbl>
    <w:p>
      <w:pPr>
        <w:autoSpaceDE w:val="0"/>
        <w:autoSpaceDN w:val="0"/>
        <w:adjustRightInd w:val="0"/>
        <w:spacing w:line="360" w:lineRule="auto"/>
        <w:rPr>
          <w:kern w:val="0"/>
          <w:sz w:val="24"/>
        </w:rPr>
      </w:pPr>
      <w:r>
        <w:rPr>
          <w:rFonts w:hint="eastAsia"/>
          <w:kern w:val="0"/>
          <w:sz w:val="24"/>
        </w:rPr>
        <w:t>式中：</w:t>
      </w:r>
      <w:r>
        <w:rPr>
          <w:kern w:val="0"/>
          <w:sz w:val="24"/>
        </w:rPr>
        <w:t>Y——</w:t>
      </w:r>
      <w:r>
        <w:rPr>
          <w:rFonts w:hint="eastAsia"/>
          <w:kern w:val="0"/>
          <w:sz w:val="24"/>
        </w:rPr>
        <w:t>修正后的系统新风量在送风量中的比例；</w:t>
      </w:r>
    </w:p>
    <w:p>
      <w:pPr>
        <w:autoSpaceDE w:val="0"/>
        <w:autoSpaceDN w:val="0"/>
        <w:adjustRightInd w:val="0"/>
        <w:spacing w:line="360" w:lineRule="auto"/>
        <w:ind w:firstLine="600" w:firstLineChars="250"/>
        <w:rPr>
          <w:kern w:val="0"/>
          <w:sz w:val="24"/>
        </w:rPr>
      </w:pPr>
      <w:r>
        <w:rPr>
          <w:kern w:val="0"/>
          <w:sz w:val="24"/>
        </w:rPr>
        <w:t>V</w:t>
      </w:r>
      <w:r>
        <w:rPr>
          <w:kern w:val="0"/>
          <w:sz w:val="24"/>
          <w:vertAlign w:val="subscript"/>
        </w:rPr>
        <w:t>ot</w:t>
      </w:r>
      <w:r>
        <w:rPr>
          <w:kern w:val="0"/>
          <w:sz w:val="24"/>
        </w:rPr>
        <w:t>——</w:t>
      </w:r>
      <w:r>
        <w:rPr>
          <w:rFonts w:hint="eastAsia"/>
          <w:kern w:val="0"/>
          <w:sz w:val="24"/>
        </w:rPr>
        <w:t>修正后的总新风量</w:t>
      </w:r>
      <w:r>
        <w:rPr>
          <w:kern w:val="0"/>
          <w:sz w:val="24"/>
        </w:rPr>
        <w:t>(m</w:t>
      </w:r>
      <w:r>
        <w:rPr>
          <w:kern w:val="0"/>
          <w:sz w:val="24"/>
          <w:vertAlign w:val="superscript"/>
        </w:rPr>
        <w:t>3</w:t>
      </w:r>
      <w:r>
        <w:rPr>
          <w:kern w:val="0"/>
          <w:sz w:val="24"/>
        </w:rPr>
        <w:t>/h)</w:t>
      </w:r>
      <w:r>
        <w:rPr>
          <w:rFonts w:hint="eastAsia"/>
          <w:kern w:val="0"/>
          <w:sz w:val="24"/>
        </w:rPr>
        <w:t>；</w:t>
      </w:r>
    </w:p>
    <w:p>
      <w:pPr>
        <w:autoSpaceDE w:val="0"/>
        <w:autoSpaceDN w:val="0"/>
        <w:adjustRightInd w:val="0"/>
        <w:spacing w:line="360" w:lineRule="auto"/>
        <w:ind w:firstLine="600" w:firstLineChars="250"/>
        <w:rPr>
          <w:kern w:val="0"/>
          <w:sz w:val="24"/>
        </w:rPr>
      </w:pPr>
      <w:r>
        <w:rPr>
          <w:kern w:val="0"/>
          <w:sz w:val="24"/>
        </w:rPr>
        <w:t>V</w:t>
      </w:r>
      <w:r>
        <w:rPr>
          <w:kern w:val="0"/>
          <w:sz w:val="24"/>
          <w:vertAlign w:val="subscript"/>
        </w:rPr>
        <w:t>st</w:t>
      </w:r>
      <w:r>
        <w:rPr>
          <w:kern w:val="0"/>
          <w:sz w:val="24"/>
        </w:rPr>
        <w:t>——</w:t>
      </w:r>
      <w:r>
        <w:rPr>
          <w:rFonts w:hint="eastAsia"/>
          <w:kern w:val="0"/>
          <w:sz w:val="24"/>
        </w:rPr>
        <w:t>总送风量，即系统中所有房间送风量之和</w:t>
      </w:r>
      <w:r>
        <w:rPr>
          <w:kern w:val="0"/>
          <w:sz w:val="24"/>
        </w:rPr>
        <w:t>(m</w:t>
      </w:r>
      <w:r>
        <w:rPr>
          <w:kern w:val="0"/>
          <w:sz w:val="24"/>
          <w:vertAlign w:val="superscript"/>
        </w:rPr>
        <w:t>3</w:t>
      </w:r>
      <w:r>
        <w:rPr>
          <w:kern w:val="0"/>
          <w:sz w:val="24"/>
        </w:rPr>
        <w:t>/h)</w:t>
      </w:r>
      <w:r>
        <w:rPr>
          <w:rFonts w:hint="eastAsia"/>
          <w:kern w:val="0"/>
          <w:sz w:val="24"/>
        </w:rPr>
        <w:t>；</w:t>
      </w:r>
    </w:p>
    <w:p>
      <w:pPr>
        <w:autoSpaceDE w:val="0"/>
        <w:autoSpaceDN w:val="0"/>
        <w:adjustRightInd w:val="0"/>
        <w:spacing w:line="360" w:lineRule="auto"/>
        <w:ind w:firstLine="600" w:firstLineChars="250"/>
        <w:rPr>
          <w:kern w:val="0"/>
          <w:sz w:val="24"/>
        </w:rPr>
      </w:pPr>
      <w:r>
        <w:rPr>
          <w:kern w:val="0"/>
          <w:sz w:val="24"/>
        </w:rPr>
        <w:t>X——</w:t>
      </w:r>
      <w:r>
        <w:rPr>
          <w:rFonts w:hint="eastAsia"/>
          <w:kern w:val="0"/>
          <w:sz w:val="24"/>
        </w:rPr>
        <w:t>未修正的系统新风量在送风量中的比例；</w:t>
      </w:r>
    </w:p>
    <w:p>
      <w:pPr>
        <w:autoSpaceDE w:val="0"/>
        <w:autoSpaceDN w:val="0"/>
        <w:adjustRightInd w:val="0"/>
        <w:spacing w:line="360" w:lineRule="auto"/>
        <w:ind w:firstLine="600" w:firstLineChars="250"/>
        <w:rPr>
          <w:kern w:val="0"/>
          <w:sz w:val="24"/>
        </w:rPr>
      </w:pPr>
      <w:r>
        <w:rPr>
          <w:kern w:val="0"/>
          <w:sz w:val="24"/>
        </w:rPr>
        <w:t>V</w:t>
      </w:r>
      <w:r>
        <w:rPr>
          <w:kern w:val="0"/>
          <w:sz w:val="24"/>
          <w:vertAlign w:val="subscript"/>
        </w:rPr>
        <w:t>on</w:t>
      </w:r>
      <w:r>
        <w:rPr>
          <w:kern w:val="0"/>
          <w:sz w:val="24"/>
        </w:rPr>
        <w:t>——</w:t>
      </w:r>
      <w:r>
        <w:rPr>
          <w:rFonts w:hint="eastAsia"/>
          <w:kern w:val="0"/>
          <w:sz w:val="24"/>
        </w:rPr>
        <w:t>系统中所有房间的新风量之和</w:t>
      </w:r>
      <w:r>
        <w:rPr>
          <w:kern w:val="0"/>
          <w:sz w:val="24"/>
        </w:rPr>
        <w:t>(m</w:t>
      </w:r>
      <w:r>
        <w:rPr>
          <w:kern w:val="0"/>
          <w:sz w:val="24"/>
          <w:vertAlign w:val="superscript"/>
        </w:rPr>
        <w:t>3</w:t>
      </w:r>
      <w:r>
        <w:rPr>
          <w:kern w:val="0"/>
          <w:sz w:val="24"/>
        </w:rPr>
        <w:t>/h)</w:t>
      </w:r>
      <w:r>
        <w:rPr>
          <w:rFonts w:hint="eastAsia"/>
          <w:kern w:val="0"/>
          <w:sz w:val="24"/>
        </w:rPr>
        <w:t>；</w:t>
      </w:r>
    </w:p>
    <w:p>
      <w:pPr>
        <w:autoSpaceDE w:val="0"/>
        <w:autoSpaceDN w:val="0"/>
        <w:adjustRightInd w:val="0"/>
        <w:spacing w:line="360" w:lineRule="auto"/>
        <w:ind w:firstLine="600" w:firstLineChars="250"/>
        <w:rPr>
          <w:kern w:val="0"/>
          <w:sz w:val="24"/>
        </w:rPr>
      </w:pPr>
      <w:r>
        <w:rPr>
          <w:kern w:val="0"/>
          <w:sz w:val="24"/>
        </w:rPr>
        <w:t>Z——</w:t>
      </w:r>
      <w:r>
        <w:rPr>
          <w:rFonts w:hint="eastAsia"/>
          <w:kern w:val="0"/>
          <w:sz w:val="24"/>
        </w:rPr>
        <w:t>需求最大的房间的新风比；</w:t>
      </w:r>
    </w:p>
    <w:p>
      <w:pPr>
        <w:autoSpaceDE w:val="0"/>
        <w:autoSpaceDN w:val="0"/>
        <w:adjustRightInd w:val="0"/>
        <w:spacing w:line="360" w:lineRule="auto"/>
        <w:ind w:firstLine="600" w:firstLineChars="250"/>
        <w:rPr>
          <w:kern w:val="0"/>
          <w:sz w:val="24"/>
        </w:rPr>
      </w:pPr>
      <w:r>
        <w:rPr>
          <w:kern w:val="0"/>
          <w:sz w:val="24"/>
        </w:rPr>
        <w:t>V</w:t>
      </w:r>
      <w:r>
        <w:rPr>
          <w:kern w:val="0"/>
          <w:sz w:val="24"/>
          <w:vertAlign w:val="subscript"/>
        </w:rPr>
        <w:t>oc</w:t>
      </w:r>
      <w:r>
        <w:rPr>
          <w:kern w:val="0"/>
          <w:sz w:val="24"/>
        </w:rPr>
        <w:t>——</w:t>
      </w:r>
      <w:r>
        <w:rPr>
          <w:rFonts w:hint="eastAsia"/>
          <w:kern w:val="0"/>
          <w:sz w:val="24"/>
        </w:rPr>
        <w:t>需求最大的房间的新风量</w:t>
      </w:r>
      <w:r>
        <w:rPr>
          <w:kern w:val="0"/>
          <w:sz w:val="24"/>
        </w:rPr>
        <w:t>(m</w:t>
      </w:r>
      <w:r>
        <w:rPr>
          <w:kern w:val="0"/>
          <w:sz w:val="24"/>
          <w:vertAlign w:val="superscript"/>
        </w:rPr>
        <w:t>3</w:t>
      </w:r>
      <w:r>
        <w:rPr>
          <w:kern w:val="0"/>
          <w:sz w:val="24"/>
        </w:rPr>
        <w:t>/h)</w:t>
      </w:r>
      <w:r>
        <w:rPr>
          <w:rFonts w:hint="eastAsia"/>
          <w:kern w:val="0"/>
          <w:sz w:val="24"/>
        </w:rPr>
        <w:t>；</w:t>
      </w:r>
    </w:p>
    <w:p>
      <w:pPr>
        <w:autoSpaceDE w:val="0"/>
        <w:autoSpaceDN w:val="0"/>
        <w:adjustRightInd w:val="0"/>
        <w:spacing w:line="360" w:lineRule="auto"/>
        <w:ind w:firstLine="600" w:firstLineChars="250"/>
        <w:jc w:val="left"/>
        <w:rPr>
          <w:kern w:val="0"/>
          <w:sz w:val="24"/>
        </w:rPr>
      </w:pPr>
      <w:r>
        <w:rPr>
          <w:kern w:val="0"/>
          <w:sz w:val="24"/>
        </w:rPr>
        <w:t>V</w:t>
      </w:r>
      <w:r>
        <w:rPr>
          <w:kern w:val="0"/>
          <w:sz w:val="24"/>
          <w:vertAlign w:val="subscript"/>
        </w:rPr>
        <w:t>sc</w:t>
      </w:r>
      <w:r>
        <w:rPr>
          <w:kern w:val="0"/>
          <w:sz w:val="24"/>
        </w:rPr>
        <w:t>——</w:t>
      </w:r>
      <w:r>
        <w:rPr>
          <w:rFonts w:hint="eastAsia"/>
          <w:kern w:val="0"/>
          <w:sz w:val="24"/>
        </w:rPr>
        <w:t>需求最大的房间的送风量</w:t>
      </w:r>
      <w:r>
        <w:rPr>
          <w:kern w:val="0"/>
          <w:sz w:val="24"/>
        </w:rPr>
        <w:t>(m</w:t>
      </w:r>
      <w:r>
        <w:rPr>
          <w:kern w:val="0"/>
          <w:sz w:val="24"/>
          <w:vertAlign w:val="superscript"/>
        </w:rPr>
        <w:t>3</w:t>
      </w:r>
      <w:r>
        <w:rPr>
          <w:kern w:val="0"/>
          <w:sz w:val="24"/>
        </w:rPr>
        <w:t>/h)</w:t>
      </w:r>
      <w:r>
        <w:rPr>
          <w:rFonts w:hint="eastAsia"/>
          <w:kern w:val="0"/>
          <w:sz w:val="24"/>
        </w:rPr>
        <w:t>。</w:t>
      </w:r>
    </w:p>
    <w:p>
      <w:pPr>
        <w:spacing w:line="360" w:lineRule="auto"/>
        <w:rPr>
          <w:rFonts w:cs="Arial"/>
          <w:b/>
          <w:sz w:val="24"/>
        </w:rPr>
      </w:pPr>
    </w:p>
    <w:p>
      <w:pPr>
        <w:spacing w:line="360" w:lineRule="auto"/>
        <w:rPr>
          <w:sz w:val="24"/>
        </w:rPr>
      </w:pPr>
      <w:r>
        <w:rPr>
          <w:rFonts w:cs="Arial"/>
          <w:b/>
          <w:sz w:val="24"/>
        </w:rPr>
        <w:t>4.3.1</w:t>
      </w:r>
      <w:r>
        <w:rPr>
          <w:rFonts w:hint="eastAsia" w:cs="Arial"/>
          <w:b/>
          <w:sz w:val="24"/>
        </w:rPr>
        <w:t>3</w:t>
      </w:r>
      <w:r>
        <w:rPr>
          <w:rFonts w:hint="eastAsia" w:cs="Arial"/>
          <w:sz w:val="24"/>
        </w:rPr>
        <w:t>在人员密度相对较大且变化较大的房间，应根据室内CO</w:t>
      </w:r>
      <w:r>
        <w:rPr>
          <w:rFonts w:cs="Arial"/>
          <w:sz w:val="24"/>
          <w:vertAlign w:val="subscript"/>
        </w:rPr>
        <w:t>2</w:t>
      </w:r>
      <w:r>
        <w:rPr>
          <w:rFonts w:hint="eastAsia" w:cs="Arial"/>
          <w:sz w:val="24"/>
        </w:rPr>
        <w:t>浓度检测值进行新风需求控制，排风量宜适应新风量的变化以保持房间的正压。</w:t>
      </w:r>
    </w:p>
    <w:p>
      <w:pPr>
        <w:spacing w:line="360" w:lineRule="auto"/>
        <w:rPr>
          <w:rFonts w:ascii="楷体" w:hAnsi="楷体" w:eastAsia="楷体"/>
          <w:kern w:val="0"/>
        </w:rPr>
      </w:pPr>
    </w:p>
    <w:p>
      <w:pPr>
        <w:spacing w:line="360" w:lineRule="auto"/>
        <w:rPr>
          <w:sz w:val="24"/>
        </w:rPr>
      </w:pPr>
      <w:r>
        <w:rPr>
          <w:rFonts w:cs="Arial"/>
          <w:b/>
          <w:sz w:val="24"/>
        </w:rPr>
        <w:t>4.3.1</w:t>
      </w:r>
      <w:r>
        <w:rPr>
          <w:rFonts w:hint="eastAsia" w:cs="Arial"/>
          <w:b/>
          <w:sz w:val="24"/>
        </w:rPr>
        <w:t>4</w:t>
      </w:r>
      <w:r>
        <w:rPr>
          <w:rFonts w:hint="eastAsia"/>
          <w:sz w:val="24"/>
        </w:rPr>
        <w:t>当采用人工冷、热源对空气调节系统进行预热或预冷运行时，新风系统应能关闭；当采用室外空气进行预冷时，应尽量利用新风系统。</w:t>
      </w:r>
    </w:p>
    <w:p>
      <w:pPr>
        <w:spacing w:line="360" w:lineRule="auto"/>
        <w:rPr>
          <w:rFonts w:cs="Arial"/>
          <w:bCs/>
          <w:kern w:val="0"/>
          <w:sz w:val="24"/>
        </w:rPr>
      </w:pPr>
    </w:p>
    <w:p>
      <w:pPr>
        <w:spacing w:line="360" w:lineRule="auto"/>
        <w:rPr>
          <w:kern w:val="0"/>
          <w:sz w:val="24"/>
        </w:rPr>
      </w:pPr>
      <w:r>
        <w:rPr>
          <w:rFonts w:cs="Arial"/>
          <w:b/>
          <w:kern w:val="0"/>
          <w:sz w:val="24"/>
        </w:rPr>
        <w:t>4.3.</w:t>
      </w:r>
      <w:r>
        <w:rPr>
          <w:rFonts w:hint="eastAsia" w:cs="Arial"/>
          <w:b/>
          <w:kern w:val="0"/>
          <w:sz w:val="24"/>
        </w:rPr>
        <w:t>15</w:t>
      </w:r>
      <w:r>
        <w:rPr>
          <w:rFonts w:hint="eastAsia"/>
          <w:kern w:val="0"/>
          <w:sz w:val="24"/>
        </w:rPr>
        <w:t>空气调节内、外区应根据室内进深、分隔、朝向、楼层以及围护结构特点等因素划分。内、外区宜分别设置空气调节系统。</w:t>
      </w:r>
    </w:p>
    <w:p>
      <w:pPr>
        <w:autoSpaceDE w:val="0"/>
        <w:autoSpaceDN w:val="0"/>
        <w:adjustRightInd w:val="0"/>
        <w:spacing w:line="360" w:lineRule="auto"/>
        <w:rPr>
          <w:kern w:val="0"/>
        </w:rPr>
      </w:pPr>
    </w:p>
    <w:p>
      <w:pPr>
        <w:spacing w:line="360" w:lineRule="auto"/>
        <w:rPr>
          <w:sz w:val="24"/>
        </w:rPr>
      </w:pPr>
      <w:r>
        <w:rPr>
          <w:rFonts w:cs="Arial"/>
          <w:b/>
          <w:sz w:val="24"/>
        </w:rPr>
        <w:t>4.3.1</w:t>
      </w:r>
      <w:r>
        <w:rPr>
          <w:rFonts w:hint="eastAsia" w:cs="Arial"/>
          <w:b/>
          <w:sz w:val="24"/>
        </w:rPr>
        <w:t>6</w:t>
      </w:r>
      <w:r>
        <w:rPr>
          <w:rFonts w:hint="eastAsia"/>
          <w:sz w:val="24"/>
        </w:rPr>
        <w:t>风机盘管加新风空调系统的新风宜直接送入各空气调节区，不宜经过风机盘管机组后再送出。</w:t>
      </w:r>
    </w:p>
    <w:p>
      <w:pPr>
        <w:autoSpaceDE w:val="0"/>
        <w:autoSpaceDN w:val="0"/>
        <w:adjustRightInd w:val="0"/>
        <w:spacing w:before="93" w:line="360" w:lineRule="auto"/>
        <w:ind w:firstLine="420"/>
      </w:pPr>
    </w:p>
    <w:p>
      <w:pPr>
        <w:spacing w:line="360" w:lineRule="auto"/>
        <w:rPr>
          <w:rFonts w:cs="Arial"/>
          <w:sz w:val="24"/>
        </w:rPr>
      </w:pPr>
      <w:r>
        <w:rPr>
          <w:rFonts w:cs="Arial"/>
          <w:b/>
          <w:sz w:val="24"/>
        </w:rPr>
        <w:t>4.3.</w:t>
      </w:r>
      <w:r>
        <w:rPr>
          <w:rFonts w:hint="eastAsia" w:cs="Arial"/>
          <w:b/>
          <w:sz w:val="24"/>
        </w:rPr>
        <w:t>17</w:t>
      </w:r>
      <w:r>
        <w:rPr>
          <w:rFonts w:hint="eastAsia" w:cs="Arial"/>
          <w:sz w:val="24"/>
        </w:rPr>
        <w:t>空气过滤器的设计选择应符合下列规定：</w:t>
      </w:r>
    </w:p>
    <w:p>
      <w:pPr>
        <w:spacing w:line="360" w:lineRule="auto"/>
        <w:ind w:firstLine="465"/>
        <w:rPr>
          <w:rFonts w:cs="Arial"/>
          <w:sz w:val="24"/>
        </w:rPr>
      </w:pPr>
      <w:r>
        <w:rPr>
          <w:rFonts w:hint="eastAsia" w:cs="Arial"/>
          <w:b/>
          <w:sz w:val="24"/>
        </w:rPr>
        <w:t>1</w:t>
      </w:r>
      <w:r>
        <w:rPr>
          <w:rFonts w:hint="eastAsia" w:cs="Arial"/>
          <w:sz w:val="24"/>
        </w:rPr>
        <w:t>空气过滤器的性能参数应符合现行国家标准《空气过滤器》</w:t>
      </w:r>
      <w:r>
        <w:rPr>
          <w:rFonts w:cs="Arial"/>
          <w:sz w:val="24"/>
        </w:rPr>
        <w:t>GB</w:t>
      </w:r>
      <w:r>
        <w:rPr>
          <w:rFonts w:hint="eastAsia" w:cs="Arial"/>
          <w:sz w:val="24"/>
        </w:rPr>
        <w:t>/</w:t>
      </w:r>
      <w:r>
        <w:rPr>
          <w:rFonts w:cs="Arial"/>
          <w:sz w:val="24"/>
        </w:rPr>
        <w:t>T 14295</w:t>
      </w:r>
      <w:r>
        <w:rPr>
          <w:rFonts w:hint="eastAsia" w:cs="Arial"/>
          <w:sz w:val="24"/>
        </w:rPr>
        <w:t>的有关规定；</w:t>
      </w:r>
    </w:p>
    <w:p>
      <w:pPr>
        <w:spacing w:line="360" w:lineRule="auto"/>
        <w:ind w:firstLine="465"/>
        <w:rPr>
          <w:rFonts w:cs="Arial"/>
          <w:sz w:val="24"/>
        </w:rPr>
      </w:pPr>
      <w:r>
        <w:rPr>
          <w:rFonts w:cs="Arial"/>
          <w:b/>
          <w:sz w:val="24"/>
        </w:rPr>
        <w:t>2</w:t>
      </w:r>
      <w:r>
        <w:rPr>
          <w:rFonts w:hint="eastAsia" w:cs="Arial"/>
          <w:sz w:val="24"/>
        </w:rPr>
        <w:t>宜设置过滤器阻力监测、报警装置，并应具备更换条件；</w:t>
      </w:r>
    </w:p>
    <w:p>
      <w:pPr>
        <w:spacing w:line="360" w:lineRule="auto"/>
        <w:ind w:firstLine="482" w:firstLineChars="200"/>
        <w:rPr>
          <w:rFonts w:hint="eastAsia" w:eastAsia="宋体" w:cs="Arial"/>
          <w:sz w:val="24"/>
          <w:lang w:eastAsia="zh-CN"/>
        </w:rPr>
      </w:pPr>
      <w:r>
        <w:rPr>
          <w:rFonts w:cs="Arial"/>
          <w:b/>
          <w:sz w:val="24"/>
        </w:rPr>
        <w:t>3</w:t>
      </w:r>
      <w:r>
        <w:rPr>
          <w:rFonts w:hint="eastAsia" w:cs="Arial"/>
          <w:sz w:val="24"/>
        </w:rPr>
        <w:t>全空气空气调节系统的过滤器应能满足全新风运行的需要</w:t>
      </w:r>
      <w:r>
        <w:rPr>
          <w:rFonts w:hint="eastAsia" w:cs="Arial"/>
          <w:sz w:val="24"/>
          <w:lang w:eastAsia="zh-CN"/>
        </w:rPr>
        <w:t>；</w:t>
      </w:r>
    </w:p>
    <w:p>
      <w:pPr>
        <w:spacing w:line="360" w:lineRule="auto"/>
        <w:ind w:firstLine="480" w:firstLineChars="200"/>
        <w:rPr>
          <w:rFonts w:cs="Arial"/>
          <w:sz w:val="24"/>
        </w:rPr>
      </w:pPr>
      <w:r>
        <w:rPr>
          <w:rFonts w:hint="eastAsia" w:cs="Arial"/>
          <w:sz w:val="24"/>
        </w:rPr>
        <w:t>4</w:t>
      </w:r>
      <w:r>
        <w:rPr>
          <w:rFonts w:cs="Arial"/>
          <w:sz w:val="24"/>
        </w:rPr>
        <w:t xml:space="preserve"> </w:t>
      </w:r>
      <w:r>
        <w:rPr>
          <w:rFonts w:hint="eastAsia" w:cs="Arial"/>
          <w:sz w:val="24"/>
        </w:rPr>
        <w:t>宜选用低阻力空气过滤器。</w:t>
      </w:r>
    </w:p>
    <w:p>
      <w:pPr>
        <w:spacing w:line="360" w:lineRule="auto"/>
        <w:ind w:firstLine="480" w:firstLineChars="200"/>
        <w:rPr>
          <w:rFonts w:cs="Arial"/>
          <w:sz w:val="24"/>
        </w:rPr>
      </w:pPr>
    </w:p>
    <w:p>
      <w:pPr>
        <w:spacing w:line="360" w:lineRule="auto"/>
        <w:rPr>
          <w:sz w:val="24"/>
        </w:rPr>
      </w:pPr>
    </w:p>
    <w:p>
      <w:pPr>
        <w:spacing w:line="360" w:lineRule="auto"/>
        <w:rPr>
          <w:sz w:val="24"/>
        </w:rPr>
      </w:pPr>
      <w:r>
        <w:rPr>
          <w:rFonts w:cs="Arial"/>
          <w:b/>
          <w:sz w:val="24"/>
        </w:rPr>
        <w:t>4.3.18</w:t>
      </w:r>
      <w:r>
        <w:rPr>
          <w:rFonts w:hint="eastAsia"/>
          <w:sz w:val="24"/>
        </w:rPr>
        <w:t>空气调节风系统不应利用土建风道作为送风道和输送冷、热处理后的新风风道。当受条件限制利用土建风道时，应采取可靠的防漏风和绝热措施。</w:t>
      </w:r>
    </w:p>
    <w:p>
      <w:pPr>
        <w:autoSpaceDE w:val="0"/>
        <w:autoSpaceDN w:val="0"/>
        <w:adjustRightInd w:val="0"/>
        <w:spacing w:line="360" w:lineRule="auto"/>
        <w:ind w:firstLine="435"/>
        <w:rPr>
          <w:kern w:val="0"/>
          <w:szCs w:val="21"/>
        </w:rPr>
      </w:pPr>
    </w:p>
    <w:p>
      <w:pPr>
        <w:spacing w:line="360" w:lineRule="auto"/>
        <w:rPr>
          <w:rFonts w:cs="Arial"/>
          <w:sz w:val="24"/>
        </w:rPr>
      </w:pPr>
      <w:r>
        <w:rPr>
          <w:rFonts w:cs="Arial"/>
          <w:b/>
          <w:sz w:val="24"/>
        </w:rPr>
        <w:t>4.3.</w:t>
      </w:r>
      <w:r>
        <w:rPr>
          <w:rFonts w:hint="eastAsia" w:cs="Arial"/>
          <w:b/>
          <w:sz w:val="24"/>
        </w:rPr>
        <w:t>19</w:t>
      </w:r>
      <w:r>
        <w:rPr>
          <w:rFonts w:hint="eastAsia" w:cs="Arial"/>
          <w:sz w:val="24"/>
        </w:rPr>
        <w:t>空气调节冷却水系统设计应符合下列规定：</w:t>
      </w:r>
    </w:p>
    <w:p>
      <w:pPr>
        <w:spacing w:line="360" w:lineRule="auto"/>
        <w:ind w:firstLine="420"/>
        <w:rPr>
          <w:rFonts w:cs="Arial"/>
          <w:sz w:val="24"/>
        </w:rPr>
      </w:pPr>
      <w:r>
        <w:rPr>
          <w:rFonts w:cs="Arial"/>
          <w:sz w:val="24"/>
        </w:rPr>
        <w:t>1</w:t>
      </w:r>
      <w:r>
        <w:rPr>
          <w:rFonts w:hint="eastAsia" w:cs="Arial"/>
          <w:sz w:val="24"/>
        </w:rPr>
        <w:t xml:space="preserve"> 应具有过滤、缓蚀、阻垢、杀菌、灭藻等水处理功能；</w:t>
      </w:r>
    </w:p>
    <w:p>
      <w:pPr>
        <w:spacing w:line="360" w:lineRule="auto"/>
        <w:ind w:firstLine="420"/>
        <w:rPr>
          <w:rFonts w:cs="Arial"/>
          <w:sz w:val="24"/>
        </w:rPr>
      </w:pPr>
      <w:r>
        <w:rPr>
          <w:rFonts w:hint="eastAsia" w:cs="Arial"/>
          <w:sz w:val="24"/>
        </w:rPr>
        <w:t>2</w:t>
      </w:r>
      <w:r>
        <w:rPr>
          <w:rFonts w:hint="eastAsia" w:cs="Arial"/>
          <w:b/>
          <w:sz w:val="24"/>
        </w:rPr>
        <w:t xml:space="preserve"> </w:t>
      </w:r>
      <w:r>
        <w:rPr>
          <w:rFonts w:hint="eastAsia" w:cs="Arial"/>
          <w:sz w:val="24"/>
        </w:rPr>
        <w:t>冷却塔应设置在空气流通条件好的场所；</w:t>
      </w:r>
    </w:p>
    <w:p>
      <w:pPr>
        <w:spacing w:line="360" w:lineRule="auto"/>
        <w:ind w:firstLine="420"/>
        <w:rPr>
          <w:rFonts w:cs="Arial"/>
          <w:sz w:val="24"/>
        </w:rPr>
      </w:pPr>
      <w:r>
        <w:rPr>
          <w:rFonts w:hint="eastAsia" w:cs="Arial"/>
          <w:sz w:val="24"/>
        </w:rPr>
        <w:t>3 冷却塔补水总管上应设置水流量计量装置；</w:t>
      </w:r>
    </w:p>
    <w:p>
      <w:pPr>
        <w:spacing w:line="360" w:lineRule="auto"/>
        <w:ind w:firstLine="420"/>
        <w:rPr>
          <w:rFonts w:hint="eastAsia" w:eastAsia="宋体" w:cs="Arial"/>
          <w:sz w:val="24"/>
          <w:lang w:eastAsia="zh-CN"/>
        </w:rPr>
      </w:pPr>
      <w:r>
        <w:rPr>
          <w:rFonts w:hint="eastAsia" w:cs="Arial"/>
          <w:sz w:val="24"/>
        </w:rPr>
        <w:t>4 当在室内设置冷却水集水箱时，冷却塔布水器与集水箱设计水位之间的高差不应超过8m</w:t>
      </w:r>
      <w:r>
        <w:rPr>
          <w:rFonts w:hint="eastAsia" w:cs="Arial"/>
          <w:sz w:val="24"/>
          <w:lang w:eastAsia="zh-CN"/>
        </w:rPr>
        <w:t>；</w:t>
      </w:r>
    </w:p>
    <w:p>
      <w:pPr>
        <w:spacing w:line="360" w:lineRule="auto"/>
        <w:ind w:firstLine="420"/>
        <w:rPr>
          <w:rFonts w:cs="Arial"/>
          <w:sz w:val="24"/>
        </w:rPr>
      </w:pPr>
      <w:r>
        <w:rPr>
          <w:rFonts w:hint="eastAsia" w:cs="Arial"/>
          <w:sz w:val="24"/>
        </w:rPr>
        <w:t>5</w:t>
      </w:r>
      <w:r>
        <w:rPr>
          <w:rFonts w:cs="Arial"/>
          <w:sz w:val="24"/>
        </w:rPr>
        <w:t xml:space="preserve"> </w:t>
      </w:r>
      <w:r>
        <w:rPr>
          <w:rFonts w:hint="eastAsia" w:cs="Arial"/>
          <w:sz w:val="24"/>
        </w:rPr>
        <w:t>冷却塔宜选用变速风机，宜选用低压力的喷淋装置。</w:t>
      </w:r>
    </w:p>
    <w:p>
      <w:pPr>
        <w:spacing w:line="360" w:lineRule="auto"/>
        <w:ind w:firstLine="420"/>
        <w:rPr>
          <w:rFonts w:cs="Arial"/>
          <w:sz w:val="24"/>
        </w:rPr>
      </w:pPr>
    </w:p>
    <w:p>
      <w:pPr>
        <w:autoSpaceDE w:val="0"/>
        <w:autoSpaceDN w:val="0"/>
        <w:adjustRightInd w:val="0"/>
        <w:spacing w:line="360" w:lineRule="auto"/>
        <w:rPr>
          <w:rFonts w:cs="Arial"/>
          <w:bCs/>
          <w:kern w:val="0"/>
          <w:sz w:val="24"/>
        </w:rPr>
      </w:pPr>
    </w:p>
    <w:p>
      <w:pPr>
        <w:autoSpaceDE w:val="0"/>
        <w:autoSpaceDN w:val="0"/>
        <w:adjustRightInd w:val="0"/>
        <w:spacing w:line="360" w:lineRule="auto"/>
        <w:rPr>
          <w:kern w:val="0"/>
          <w:sz w:val="24"/>
        </w:rPr>
      </w:pPr>
      <w:r>
        <w:rPr>
          <w:rFonts w:cs="Arial"/>
          <w:b/>
          <w:kern w:val="0"/>
          <w:sz w:val="24"/>
        </w:rPr>
        <w:t>4.3.</w:t>
      </w:r>
      <w:r>
        <w:rPr>
          <w:rFonts w:hint="eastAsia" w:cs="Arial"/>
          <w:b/>
          <w:kern w:val="0"/>
          <w:sz w:val="24"/>
        </w:rPr>
        <w:t xml:space="preserve">20 </w:t>
      </w:r>
      <w:r>
        <w:rPr>
          <w:rFonts w:hint="eastAsia"/>
          <w:kern w:val="0"/>
          <w:sz w:val="24"/>
        </w:rPr>
        <w:t>空气调节系统送风温差应根据焓湿图表示的空气处理过程计算确定。空气调节系统采用上送风气流组织形式时，宜加大夏季设计送风温差，并应符合下列规定：</w:t>
      </w:r>
    </w:p>
    <w:p>
      <w:pPr>
        <w:spacing w:line="360" w:lineRule="auto"/>
        <w:ind w:firstLine="420"/>
        <w:rPr>
          <w:rFonts w:cs="Arial"/>
          <w:sz w:val="24"/>
        </w:rPr>
      </w:pPr>
      <w:r>
        <w:rPr>
          <w:rFonts w:cs="Arial"/>
          <w:b/>
          <w:sz w:val="24"/>
        </w:rPr>
        <w:t>1</w:t>
      </w:r>
      <w:r>
        <w:rPr>
          <w:rFonts w:hint="eastAsia" w:cs="Arial"/>
          <w:sz w:val="24"/>
        </w:rPr>
        <w:t>送风高度小于或等于</w:t>
      </w:r>
      <w:r>
        <w:rPr>
          <w:rFonts w:cs="Arial"/>
          <w:sz w:val="24"/>
        </w:rPr>
        <w:t>5m</w:t>
      </w:r>
      <w:r>
        <w:rPr>
          <w:rFonts w:hint="eastAsia" w:cs="Arial"/>
          <w:sz w:val="24"/>
        </w:rPr>
        <w:t>时，送风温差不宜小于</w:t>
      </w:r>
      <w:r>
        <w:rPr>
          <w:rFonts w:cs="Arial"/>
          <w:sz w:val="24"/>
        </w:rPr>
        <w:t>5</w:t>
      </w:r>
      <w:r>
        <w:rPr>
          <w:rFonts w:hint="eastAsia" w:cs="Arial"/>
          <w:sz w:val="24"/>
        </w:rPr>
        <w:t>℃；</w:t>
      </w:r>
    </w:p>
    <w:p>
      <w:pPr>
        <w:spacing w:line="360" w:lineRule="auto"/>
        <w:ind w:firstLine="420"/>
        <w:rPr>
          <w:rFonts w:cs="Arial"/>
          <w:sz w:val="24"/>
        </w:rPr>
      </w:pPr>
      <w:r>
        <w:rPr>
          <w:rFonts w:cs="Arial"/>
          <w:b/>
          <w:sz w:val="24"/>
        </w:rPr>
        <w:t>2</w:t>
      </w:r>
      <w:r>
        <w:rPr>
          <w:rFonts w:hint="eastAsia" w:cs="Arial"/>
          <w:sz w:val="24"/>
        </w:rPr>
        <w:t>送风高度大于</w:t>
      </w:r>
      <w:r>
        <w:rPr>
          <w:rFonts w:cs="Arial"/>
          <w:sz w:val="24"/>
        </w:rPr>
        <w:t>5m</w:t>
      </w:r>
      <w:r>
        <w:rPr>
          <w:rFonts w:hint="eastAsia" w:cs="Arial"/>
          <w:sz w:val="24"/>
        </w:rPr>
        <w:t>时，送风温差不宜小于</w:t>
      </w:r>
      <w:r>
        <w:rPr>
          <w:rFonts w:cs="Arial"/>
          <w:sz w:val="24"/>
        </w:rPr>
        <w:t>10</w:t>
      </w:r>
      <w:r>
        <w:rPr>
          <w:rFonts w:hint="eastAsia" w:cs="Arial"/>
          <w:sz w:val="24"/>
        </w:rPr>
        <w:t>℃。</w:t>
      </w:r>
    </w:p>
    <w:p>
      <w:pPr>
        <w:autoSpaceDE w:val="0"/>
        <w:autoSpaceDN w:val="0"/>
        <w:adjustRightInd w:val="0"/>
        <w:spacing w:line="360" w:lineRule="auto"/>
        <w:rPr>
          <w:rFonts w:cs="Arial"/>
          <w:b/>
          <w:kern w:val="0"/>
          <w:sz w:val="24"/>
        </w:rPr>
      </w:pPr>
    </w:p>
    <w:p>
      <w:pPr>
        <w:autoSpaceDE w:val="0"/>
        <w:autoSpaceDN w:val="0"/>
        <w:adjustRightInd w:val="0"/>
        <w:spacing w:line="360" w:lineRule="auto"/>
        <w:rPr>
          <w:rFonts w:cs="Arial"/>
          <w:kern w:val="0"/>
          <w:sz w:val="24"/>
        </w:rPr>
      </w:pPr>
      <w:r>
        <w:rPr>
          <w:rFonts w:cs="Arial"/>
          <w:b/>
          <w:kern w:val="0"/>
          <w:sz w:val="24"/>
        </w:rPr>
        <w:t>4.3.21</w:t>
      </w:r>
      <w:r>
        <w:rPr>
          <w:rFonts w:hint="eastAsia" w:cs="Arial"/>
          <w:kern w:val="0"/>
          <w:sz w:val="24"/>
        </w:rPr>
        <w:t xml:space="preserve"> 在同一个空气处理系统中，不宜同时有加热和冷却过程。</w:t>
      </w:r>
    </w:p>
    <w:p>
      <w:pPr>
        <w:autoSpaceDE w:val="0"/>
        <w:autoSpaceDN w:val="0"/>
        <w:adjustRightInd w:val="0"/>
        <w:spacing w:line="360" w:lineRule="auto"/>
        <w:rPr>
          <w:rFonts w:cs="Arial"/>
          <w:bCs/>
          <w:kern w:val="0"/>
          <w:sz w:val="24"/>
        </w:rPr>
      </w:pPr>
    </w:p>
    <w:p>
      <w:pPr>
        <w:spacing w:line="360" w:lineRule="auto"/>
        <w:rPr>
          <w:rFonts w:hAnsiTheme="minorEastAsia" w:eastAsiaTheme="minorEastAsia"/>
          <w:sz w:val="24"/>
        </w:rPr>
      </w:pPr>
      <w:r>
        <w:rPr>
          <w:rFonts w:eastAsiaTheme="minorEastAsia"/>
          <w:b/>
          <w:kern w:val="0"/>
          <w:sz w:val="24"/>
        </w:rPr>
        <w:t>4.3.22</w:t>
      </w:r>
      <w:r>
        <w:rPr>
          <w:rFonts w:hint="eastAsia" w:asciiTheme="minorEastAsia" w:hAnsiTheme="minorEastAsia" w:eastAsiaTheme="minorEastAsia"/>
          <w:sz w:val="24"/>
        </w:rPr>
        <w:t>空调风系统和通风系统的风量大于</w:t>
      </w:r>
      <w:r>
        <w:rPr>
          <w:rFonts w:eastAsiaTheme="minorEastAsia"/>
          <w:sz w:val="24"/>
        </w:rPr>
        <w:t>10000m</w:t>
      </w:r>
      <w:r>
        <w:rPr>
          <w:rFonts w:eastAsiaTheme="minorEastAsia"/>
          <w:sz w:val="24"/>
          <w:vertAlign w:val="superscript"/>
        </w:rPr>
        <w:t>3</w:t>
      </w:r>
      <w:r>
        <w:rPr>
          <w:rFonts w:eastAsiaTheme="minorEastAsia"/>
          <w:sz w:val="24"/>
        </w:rPr>
        <w:t>/h</w:t>
      </w:r>
      <w:r>
        <w:rPr>
          <w:rFonts w:asciiTheme="minorEastAsia" w:hAnsiTheme="minorEastAsia" w:eastAsiaTheme="minorEastAsia"/>
          <w:sz w:val="24"/>
        </w:rPr>
        <w:t>时，风道系统单位风量耗功</w:t>
      </w:r>
      <w:r>
        <w:rPr>
          <w:rFonts w:hint="eastAsia" w:asciiTheme="minorEastAsia" w:hAnsiTheme="minorEastAsia" w:eastAsiaTheme="minorEastAsia"/>
          <w:sz w:val="24"/>
        </w:rPr>
        <w:t>率</w:t>
      </w:r>
      <w:r>
        <w:rPr>
          <w:rFonts w:hAnsiTheme="minorEastAsia" w:eastAsiaTheme="minorEastAsia"/>
          <w:sz w:val="24"/>
        </w:rPr>
        <w:t>（</w:t>
      </w:r>
      <w:r>
        <w:rPr>
          <w:rFonts w:eastAsiaTheme="minorEastAsia"/>
          <w:sz w:val="24"/>
        </w:rPr>
        <w:t>Ws</w:t>
      </w:r>
      <w:r>
        <w:rPr>
          <w:rFonts w:hAnsiTheme="minorEastAsia" w:eastAsiaTheme="minorEastAsia"/>
          <w:sz w:val="24"/>
        </w:rPr>
        <w:t>）不</w:t>
      </w:r>
      <w:r>
        <w:rPr>
          <w:rFonts w:hint="eastAsia" w:hAnsiTheme="minorEastAsia" w:eastAsiaTheme="minorEastAsia"/>
          <w:sz w:val="24"/>
        </w:rPr>
        <w:t>宜</w:t>
      </w:r>
      <w:r>
        <w:rPr>
          <w:rFonts w:hAnsiTheme="minorEastAsia" w:eastAsiaTheme="minorEastAsia"/>
          <w:sz w:val="24"/>
        </w:rPr>
        <w:t>大于表</w:t>
      </w:r>
      <w:r>
        <w:rPr>
          <w:rFonts w:eastAsiaTheme="minorEastAsia"/>
          <w:sz w:val="24"/>
        </w:rPr>
        <w:t>4.3.2</w:t>
      </w:r>
      <w:r>
        <w:rPr>
          <w:rFonts w:hint="eastAsia" w:eastAsiaTheme="minorEastAsia"/>
          <w:sz w:val="24"/>
        </w:rPr>
        <w:t>3</w:t>
      </w:r>
      <w:r>
        <w:rPr>
          <w:rFonts w:hAnsiTheme="minorEastAsia" w:eastAsiaTheme="minorEastAsia"/>
          <w:sz w:val="24"/>
        </w:rPr>
        <w:t>的</w:t>
      </w:r>
      <w:r>
        <w:rPr>
          <w:rFonts w:hint="eastAsia" w:hAnsiTheme="minorEastAsia" w:eastAsiaTheme="minorEastAsia"/>
          <w:sz w:val="24"/>
        </w:rPr>
        <w:t>数值。</w:t>
      </w:r>
      <w:r>
        <w:rPr>
          <w:rFonts w:hint="eastAsia" w:asciiTheme="minorEastAsia" w:hAnsiTheme="minorEastAsia" w:eastAsiaTheme="minorEastAsia"/>
          <w:sz w:val="24"/>
        </w:rPr>
        <w:t>风道系统单位风量耗功率</w:t>
      </w:r>
      <w:r>
        <w:rPr>
          <w:rFonts w:hAnsiTheme="minorEastAsia" w:eastAsiaTheme="minorEastAsia"/>
          <w:sz w:val="24"/>
        </w:rPr>
        <w:t>（</w:t>
      </w:r>
      <w:r>
        <w:rPr>
          <w:rFonts w:eastAsiaTheme="minorEastAsia"/>
          <w:sz w:val="24"/>
        </w:rPr>
        <w:t>Ws</w:t>
      </w:r>
      <w:r>
        <w:rPr>
          <w:rFonts w:hAnsiTheme="minorEastAsia" w:eastAsiaTheme="minorEastAsia"/>
          <w:sz w:val="24"/>
        </w:rPr>
        <w:t>）应按下式计算：</w:t>
      </w:r>
    </w:p>
    <w:tbl>
      <w:tblPr>
        <w:tblStyle w:val="3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spacing w:line="360" w:lineRule="auto"/>
              <w:rPr>
                <w:rFonts w:eastAsiaTheme="minorEastAsia"/>
                <w:sz w:val="24"/>
              </w:rPr>
            </w:pPr>
          </w:p>
        </w:tc>
        <w:tc>
          <w:tcPr>
            <w:tcW w:w="2841" w:type="dxa"/>
          </w:tcPr>
          <w:p>
            <w:pPr>
              <w:spacing w:line="360" w:lineRule="auto"/>
              <w:rPr>
                <w:rFonts w:eastAsiaTheme="minorEastAsia"/>
                <w:sz w:val="24"/>
              </w:rPr>
            </w:pPr>
            <w:r>
              <w:rPr>
                <w:rFonts w:eastAsiaTheme="minorEastAsia"/>
                <w:kern w:val="0"/>
                <w:sz w:val="24"/>
              </w:rPr>
              <w:t>W</w:t>
            </w:r>
            <w:r>
              <w:rPr>
                <w:rFonts w:eastAsiaTheme="minorEastAsia"/>
                <w:kern w:val="0"/>
                <w:sz w:val="24"/>
                <w:vertAlign w:val="subscript"/>
              </w:rPr>
              <w:t>s</w:t>
            </w:r>
            <w:r>
              <w:rPr>
                <w:rFonts w:eastAsiaTheme="minorEastAsia"/>
                <w:kern w:val="0"/>
                <w:sz w:val="24"/>
              </w:rPr>
              <w:t xml:space="preserve"> = P/(3600×η</w:t>
            </w:r>
            <w:r>
              <w:rPr>
                <w:rFonts w:eastAsiaTheme="minorEastAsia"/>
                <w:kern w:val="0"/>
                <w:sz w:val="24"/>
                <w:vertAlign w:val="subscript"/>
              </w:rPr>
              <w:t>CD</w:t>
            </w:r>
            <w:r>
              <w:rPr>
                <w:rFonts w:eastAsiaTheme="minorEastAsia"/>
                <w:kern w:val="0"/>
                <w:sz w:val="24"/>
              </w:rPr>
              <w:t>×η</w:t>
            </w:r>
            <w:r>
              <w:rPr>
                <w:rFonts w:eastAsiaTheme="minorEastAsia"/>
                <w:kern w:val="0"/>
                <w:sz w:val="24"/>
                <w:vertAlign w:val="subscript"/>
              </w:rPr>
              <w:t>F</w:t>
            </w:r>
            <w:r>
              <w:rPr>
                <w:rFonts w:eastAsiaTheme="minorEastAsia"/>
                <w:kern w:val="0"/>
                <w:sz w:val="24"/>
              </w:rPr>
              <w:t>)</w:t>
            </w:r>
          </w:p>
        </w:tc>
        <w:tc>
          <w:tcPr>
            <w:tcW w:w="2841" w:type="dxa"/>
          </w:tcPr>
          <w:p>
            <w:pPr>
              <w:spacing w:line="360" w:lineRule="auto"/>
              <w:jc w:val="right"/>
              <w:rPr>
                <w:kern w:val="0"/>
                <w:sz w:val="24"/>
              </w:rPr>
            </w:pPr>
            <w:r>
              <w:rPr>
                <w:rFonts w:hAnsiTheme="minorEastAsia" w:eastAsiaTheme="minorEastAsia"/>
                <w:kern w:val="0"/>
                <w:sz w:val="24"/>
              </w:rPr>
              <w:t>（</w:t>
            </w:r>
            <w:r>
              <w:rPr>
                <w:rFonts w:eastAsiaTheme="minorEastAsia"/>
                <w:kern w:val="0"/>
                <w:sz w:val="24"/>
              </w:rPr>
              <w:t>4.3.</w:t>
            </w:r>
            <w:r>
              <w:rPr>
                <w:rFonts w:hint="eastAsia" w:eastAsiaTheme="minorEastAsia"/>
                <w:kern w:val="0"/>
                <w:sz w:val="24"/>
              </w:rPr>
              <w:t>22</w:t>
            </w:r>
            <w:r>
              <w:rPr>
                <w:rFonts w:hAnsiTheme="minorEastAsia" w:eastAsiaTheme="minorEastAsia"/>
                <w:kern w:val="0"/>
                <w:sz w:val="24"/>
              </w:rPr>
              <w:t>）</w:t>
            </w:r>
          </w:p>
        </w:tc>
      </w:tr>
    </w:tbl>
    <w:p>
      <w:pPr>
        <w:spacing w:line="360" w:lineRule="auto"/>
        <w:rPr>
          <w:rFonts w:hAnsiTheme="minorEastAsia" w:eastAsiaTheme="minorEastAsia"/>
          <w:kern w:val="0"/>
          <w:sz w:val="24"/>
        </w:rPr>
      </w:pPr>
      <w:r>
        <w:rPr>
          <w:rFonts w:hAnsiTheme="minorEastAsia" w:eastAsiaTheme="minorEastAsia"/>
          <w:kern w:val="0"/>
          <w:sz w:val="24"/>
        </w:rPr>
        <w:t>式中</w:t>
      </w:r>
      <w:r>
        <w:rPr>
          <w:rFonts w:eastAsiaTheme="minorEastAsia"/>
          <w:kern w:val="0"/>
          <w:sz w:val="24"/>
        </w:rPr>
        <w:t>W</w:t>
      </w:r>
      <w:r>
        <w:rPr>
          <w:rFonts w:eastAsiaTheme="minorEastAsia"/>
          <w:kern w:val="0"/>
          <w:sz w:val="24"/>
          <w:vertAlign w:val="subscript"/>
        </w:rPr>
        <w:t>s</w:t>
      </w:r>
      <w:r>
        <w:rPr>
          <w:rFonts w:eastAsiaTheme="minorEastAsia"/>
          <w:kern w:val="0"/>
          <w:sz w:val="24"/>
        </w:rPr>
        <w:t>——</w:t>
      </w:r>
      <w:r>
        <w:rPr>
          <w:rFonts w:hint="eastAsia" w:asciiTheme="minorEastAsia" w:hAnsiTheme="minorEastAsia" w:eastAsiaTheme="minorEastAsia"/>
          <w:sz w:val="24"/>
        </w:rPr>
        <w:t>风道系统</w:t>
      </w:r>
      <w:r>
        <w:rPr>
          <w:rFonts w:hint="eastAsia" w:eastAsiaTheme="minorEastAsia"/>
          <w:kern w:val="0"/>
          <w:sz w:val="24"/>
        </w:rPr>
        <w:t>单位风量耗功率 [W/</w:t>
      </w:r>
      <w:r>
        <w:rPr>
          <w:rFonts w:eastAsiaTheme="minorEastAsia"/>
          <w:kern w:val="0"/>
          <w:sz w:val="24"/>
        </w:rPr>
        <w:t>(</w:t>
      </w:r>
      <w:r>
        <w:rPr>
          <w:rFonts w:eastAsiaTheme="minorEastAsia"/>
          <w:sz w:val="24"/>
        </w:rPr>
        <w:t>m</w:t>
      </w:r>
      <w:r>
        <w:rPr>
          <w:rFonts w:eastAsiaTheme="minorEastAsia"/>
          <w:sz w:val="24"/>
          <w:vertAlign w:val="superscript"/>
        </w:rPr>
        <w:t>3</w:t>
      </w:r>
      <w:r>
        <w:rPr>
          <w:rFonts w:eastAsiaTheme="minorEastAsia"/>
          <w:sz w:val="24"/>
        </w:rPr>
        <w:t>/h</w:t>
      </w:r>
      <w:r>
        <w:rPr>
          <w:rFonts w:eastAsiaTheme="minorEastAsia"/>
          <w:kern w:val="0"/>
          <w:sz w:val="24"/>
        </w:rPr>
        <w:t>)</w:t>
      </w:r>
      <w:r>
        <w:rPr>
          <w:rFonts w:hint="eastAsia" w:eastAsiaTheme="minorEastAsia"/>
          <w:kern w:val="0"/>
          <w:sz w:val="24"/>
        </w:rPr>
        <w:t>];</w:t>
      </w:r>
    </w:p>
    <w:p>
      <w:pPr>
        <w:spacing w:line="360" w:lineRule="auto"/>
        <w:ind w:firstLine="600" w:firstLineChars="250"/>
        <w:rPr>
          <w:kern w:val="0"/>
          <w:sz w:val="24"/>
        </w:rPr>
      </w:pPr>
      <w:r>
        <w:rPr>
          <w:rFonts w:eastAsiaTheme="minorEastAsia"/>
          <w:kern w:val="0"/>
          <w:sz w:val="24"/>
        </w:rPr>
        <w:t>P ——</w:t>
      </w:r>
      <w:r>
        <w:rPr>
          <w:rFonts w:hAnsiTheme="minorEastAsia" w:eastAsiaTheme="minorEastAsia"/>
          <w:kern w:val="0"/>
          <w:sz w:val="24"/>
        </w:rPr>
        <w:t>空调机组的余压或通风系统风机的风压（</w:t>
      </w:r>
      <w:r>
        <w:rPr>
          <w:rFonts w:eastAsiaTheme="minorEastAsia"/>
          <w:kern w:val="0"/>
          <w:sz w:val="24"/>
        </w:rPr>
        <w:t>Pa</w:t>
      </w:r>
      <w:r>
        <w:rPr>
          <w:rFonts w:hAnsiTheme="minorEastAsia" w:eastAsiaTheme="minorEastAsia"/>
          <w:kern w:val="0"/>
          <w:sz w:val="24"/>
        </w:rPr>
        <w:t>）；</w:t>
      </w:r>
    </w:p>
    <w:p>
      <w:pPr>
        <w:spacing w:line="360" w:lineRule="auto"/>
        <w:ind w:firstLine="600" w:firstLineChars="250"/>
        <w:rPr>
          <w:kern w:val="0"/>
          <w:sz w:val="24"/>
        </w:rPr>
      </w:pPr>
      <w:r>
        <w:rPr>
          <w:rFonts w:eastAsiaTheme="minorEastAsia"/>
          <w:kern w:val="0"/>
          <w:sz w:val="24"/>
        </w:rPr>
        <w:t>η</w:t>
      </w:r>
      <w:r>
        <w:rPr>
          <w:rFonts w:eastAsiaTheme="minorEastAsia"/>
          <w:kern w:val="0"/>
          <w:sz w:val="24"/>
          <w:vertAlign w:val="subscript"/>
        </w:rPr>
        <w:t>CD</w:t>
      </w:r>
      <w:r>
        <w:rPr>
          <w:rFonts w:eastAsiaTheme="minorEastAsia"/>
          <w:kern w:val="0"/>
          <w:sz w:val="24"/>
        </w:rPr>
        <w:t>——</w:t>
      </w:r>
      <w:r>
        <w:rPr>
          <w:rFonts w:hAnsiTheme="minorEastAsia" w:eastAsiaTheme="minorEastAsia"/>
          <w:kern w:val="0"/>
          <w:sz w:val="24"/>
        </w:rPr>
        <w:t>电机及传动效率（</w:t>
      </w:r>
      <w:r>
        <w:rPr>
          <w:rFonts w:eastAsiaTheme="minorEastAsia"/>
          <w:kern w:val="0"/>
          <w:sz w:val="24"/>
        </w:rPr>
        <w:t>%</w:t>
      </w:r>
      <w:r>
        <w:rPr>
          <w:rFonts w:hAnsiTheme="minorEastAsia" w:eastAsiaTheme="minorEastAsia"/>
          <w:kern w:val="0"/>
          <w:sz w:val="24"/>
        </w:rPr>
        <w:t>），</w:t>
      </w:r>
      <w:r>
        <w:rPr>
          <w:rFonts w:eastAsiaTheme="minorEastAsia"/>
          <w:kern w:val="0"/>
          <w:sz w:val="24"/>
        </w:rPr>
        <w:t>η</w:t>
      </w:r>
      <w:r>
        <w:rPr>
          <w:rFonts w:eastAsiaTheme="minorEastAsia"/>
          <w:kern w:val="0"/>
          <w:sz w:val="24"/>
          <w:vertAlign w:val="subscript"/>
        </w:rPr>
        <w:t>CD</w:t>
      </w:r>
      <w:r>
        <w:rPr>
          <w:rFonts w:hAnsiTheme="minorEastAsia" w:eastAsiaTheme="minorEastAsia"/>
          <w:kern w:val="0"/>
          <w:sz w:val="24"/>
        </w:rPr>
        <w:t>取</w:t>
      </w:r>
      <w:r>
        <w:rPr>
          <w:rFonts w:eastAsiaTheme="minorEastAsia"/>
          <w:kern w:val="0"/>
          <w:sz w:val="24"/>
        </w:rPr>
        <w:t>0.855</w:t>
      </w:r>
      <w:r>
        <w:rPr>
          <w:rFonts w:hAnsiTheme="minorEastAsia" w:eastAsiaTheme="minorEastAsia"/>
          <w:kern w:val="0"/>
          <w:sz w:val="24"/>
        </w:rPr>
        <w:t>；</w:t>
      </w:r>
    </w:p>
    <w:p>
      <w:pPr>
        <w:spacing w:line="360" w:lineRule="auto"/>
        <w:ind w:firstLine="600" w:firstLineChars="250"/>
        <w:rPr>
          <w:kern w:val="0"/>
          <w:sz w:val="24"/>
        </w:rPr>
      </w:pPr>
      <w:r>
        <w:rPr>
          <w:rFonts w:eastAsiaTheme="minorEastAsia"/>
          <w:kern w:val="0"/>
          <w:sz w:val="24"/>
        </w:rPr>
        <w:t>η</w:t>
      </w:r>
      <w:r>
        <w:rPr>
          <w:rFonts w:eastAsiaTheme="minorEastAsia"/>
          <w:kern w:val="0"/>
          <w:sz w:val="24"/>
          <w:vertAlign w:val="subscript"/>
        </w:rPr>
        <w:t>F</w:t>
      </w:r>
      <w:r>
        <w:rPr>
          <w:rFonts w:eastAsiaTheme="minorEastAsia"/>
          <w:kern w:val="0"/>
          <w:sz w:val="24"/>
        </w:rPr>
        <w:t>——</w:t>
      </w:r>
      <w:r>
        <w:rPr>
          <w:rFonts w:hAnsiTheme="minorEastAsia" w:eastAsiaTheme="minorEastAsia"/>
          <w:kern w:val="0"/>
          <w:sz w:val="24"/>
        </w:rPr>
        <w:t>风机效率（</w:t>
      </w:r>
      <w:r>
        <w:rPr>
          <w:rFonts w:eastAsiaTheme="minorEastAsia"/>
          <w:kern w:val="0"/>
          <w:sz w:val="24"/>
        </w:rPr>
        <w:t>%</w:t>
      </w:r>
      <w:r>
        <w:rPr>
          <w:rFonts w:hAnsiTheme="minorEastAsia" w:eastAsiaTheme="minorEastAsia"/>
          <w:kern w:val="0"/>
          <w:sz w:val="24"/>
        </w:rPr>
        <w:t>），按设计图中标注的效率选择。</w:t>
      </w:r>
    </w:p>
    <w:p>
      <w:pPr>
        <w:spacing w:line="360" w:lineRule="auto"/>
        <w:jc w:val="center"/>
        <w:rPr>
          <w:rFonts w:eastAsiaTheme="minorEastAsia"/>
          <w:sz w:val="24"/>
        </w:rPr>
      </w:pPr>
      <w:r>
        <w:rPr>
          <w:rFonts w:eastAsiaTheme="minorEastAsia"/>
          <w:sz w:val="24"/>
        </w:rPr>
        <w:t>表4.3.2</w:t>
      </w:r>
      <w:r>
        <w:rPr>
          <w:rFonts w:hint="eastAsia" w:eastAsiaTheme="minorEastAsia"/>
          <w:sz w:val="24"/>
        </w:rPr>
        <w:t>2</w:t>
      </w:r>
      <w:r>
        <w:rPr>
          <w:rFonts w:eastAsiaTheme="minorEastAsia"/>
          <w:sz w:val="24"/>
        </w:rPr>
        <w:t>风道系统单位风量耗功率</w:t>
      </w:r>
      <w:r>
        <w:rPr>
          <w:rFonts w:eastAsiaTheme="minorEastAsia"/>
          <w:i/>
          <w:kern w:val="0"/>
          <w:sz w:val="24"/>
        </w:rPr>
        <w:t>W</w:t>
      </w:r>
      <w:r>
        <w:rPr>
          <w:rFonts w:eastAsiaTheme="minorEastAsia"/>
          <w:i/>
          <w:kern w:val="0"/>
          <w:sz w:val="24"/>
          <w:vertAlign w:val="subscript"/>
        </w:rPr>
        <w:t>s</w:t>
      </w:r>
      <w:r>
        <w:rPr>
          <w:rFonts w:eastAsiaTheme="minorEastAsia"/>
          <w:kern w:val="0"/>
          <w:sz w:val="24"/>
        </w:rPr>
        <w:t>[W/(</w:t>
      </w:r>
      <w:r>
        <w:rPr>
          <w:rFonts w:eastAsiaTheme="minorEastAsia"/>
          <w:sz w:val="24"/>
        </w:rPr>
        <w:t>m</w:t>
      </w:r>
      <w:r>
        <w:rPr>
          <w:rFonts w:eastAsiaTheme="minorEastAsia"/>
          <w:sz w:val="24"/>
          <w:vertAlign w:val="superscript"/>
        </w:rPr>
        <w:t>3</w:t>
      </w:r>
      <w:r>
        <w:rPr>
          <w:rFonts w:eastAsiaTheme="minorEastAsia"/>
          <w:sz w:val="24"/>
        </w:rPr>
        <w:t>/h</w:t>
      </w:r>
      <w:r>
        <w:rPr>
          <w:rFonts w:eastAsiaTheme="minorEastAsia"/>
          <w:kern w:val="0"/>
          <w:sz w:val="24"/>
        </w:rPr>
        <w:t>)]</w:t>
      </w:r>
    </w:p>
    <w:tbl>
      <w:tblPr>
        <w:tblStyle w:val="3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898"/>
        <w:gridCol w:w="16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98" w:type="dxa"/>
            <w:vAlign w:val="center"/>
          </w:tcPr>
          <w:p>
            <w:pPr>
              <w:spacing w:line="360" w:lineRule="auto"/>
              <w:rPr>
                <w:rFonts w:eastAsiaTheme="minorEastAsia"/>
                <w:szCs w:val="21"/>
              </w:rPr>
            </w:pPr>
            <w:r>
              <w:rPr>
                <w:rFonts w:hAnsiTheme="minorEastAsia" w:eastAsiaTheme="minorEastAsia"/>
                <w:szCs w:val="21"/>
              </w:rPr>
              <w:t>系统形式</w:t>
            </w:r>
          </w:p>
        </w:tc>
        <w:tc>
          <w:tcPr>
            <w:tcW w:w="1605" w:type="dxa"/>
            <w:vAlign w:val="center"/>
          </w:tcPr>
          <w:p>
            <w:pPr>
              <w:spacing w:line="360" w:lineRule="auto"/>
              <w:rPr>
                <w:rFonts w:eastAsiaTheme="minorEastAsia"/>
                <w:szCs w:val="21"/>
              </w:rPr>
            </w:pPr>
            <w:r>
              <w:rPr>
                <w:rFonts w:eastAsiaTheme="minorEastAsia"/>
                <w:i/>
                <w:szCs w:val="21"/>
              </w:rPr>
              <w:t>W</w:t>
            </w:r>
            <w:r>
              <w:rPr>
                <w:rFonts w:eastAsiaTheme="minorEastAsia"/>
                <w:i/>
                <w:szCs w:val="21"/>
                <w:vertAlign w:val="subscript"/>
              </w:rPr>
              <w:t>s</w:t>
            </w:r>
            <w:r>
              <w:rPr>
                <w:rFonts w:hAnsiTheme="minorEastAsia" w:eastAsiaTheme="minorEastAsia"/>
                <w:szCs w:val="21"/>
              </w:rPr>
              <w:t>限值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2" w:hRule="atLeast"/>
          <w:jc w:val="center"/>
        </w:trPr>
        <w:tc>
          <w:tcPr>
            <w:tcW w:w="4898" w:type="dxa"/>
            <w:vAlign w:val="center"/>
          </w:tcPr>
          <w:p>
            <w:pPr>
              <w:spacing w:line="360" w:lineRule="auto"/>
              <w:rPr>
                <w:rFonts w:eastAsiaTheme="minorEastAsia"/>
                <w:szCs w:val="21"/>
              </w:rPr>
            </w:pPr>
            <w:r>
              <w:rPr>
                <w:rFonts w:hAnsiTheme="minorEastAsia" w:eastAsiaTheme="minorEastAsia"/>
                <w:szCs w:val="21"/>
              </w:rPr>
              <w:t>机械通风</w:t>
            </w:r>
            <w:r>
              <w:rPr>
                <w:rFonts w:hAnsiTheme="minorEastAsia" w:eastAsiaTheme="minorEastAsia"/>
                <w:szCs w:val="21"/>
                <w:u w:val="single"/>
              </w:rPr>
              <w:t>系统</w:t>
            </w:r>
            <w:r>
              <w:rPr>
                <w:rFonts w:hint="eastAsia" w:hAnsiTheme="minorEastAsia" w:eastAsiaTheme="minorEastAsia"/>
                <w:szCs w:val="21"/>
                <w:u w:val="single"/>
              </w:rPr>
              <w:t>（不适用兼做排烟系统的车库）</w:t>
            </w:r>
          </w:p>
        </w:tc>
        <w:tc>
          <w:tcPr>
            <w:tcW w:w="1605" w:type="dxa"/>
            <w:vAlign w:val="center"/>
          </w:tcPr>
          <w:p>
            <w:pPr>
              <w:spacing w:line="360" w:lineRule="auto"/>
              <w:rPr>
                <w:rFonts w:eastAsiaTheme="minorEastAsia"/>
                <w:szCs w:val="21"/>
              </w:rPr>
            </w:pPr>
            <w:r>
              <w:rPr>
                <w:rFonts w:eastAsiaTheme="minorEastAsia"/>
                <w:szCs w:val="21"/>
              </w:rPr>
              <w:t>0.27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98" w:type="dxa"/>
            <w:vAlign w:val="center"/>
          </w:tcPr>
          <w:p>
            <w:pPr>
              <w:spacing w:line="360" w:lineRule="auto"/>
              <w:rPr>
                <w:rFonts w:eastAsiaTheme="minorEastAsia"/>
                <w:szCs w:val="21"/>
              </w:rPr>
            </w:pPr>
            <w:r>
              <w:rPr>
                <w:rFonts w:hAnsiTheme="minorEastAsia" w:eastAsiaTheme="minorEastAsia"/>
                <w:szCs w:val="21"/>
              </w:rPr>
              <w:t>新风系统</w:t>
            </w:r>
          </w:p>
        </w:tc>
        <w:tc>
          <w:tcPr>
            <w:tcW w:w="1605" w:type="dxa"/>
            <w:vAlign w:val="center"/>
          </w:tcPr>
          <w:p>
            <w:pPr>
              <w:spacing w:line="360" w:lineRule="auto"/>
              <w:rPr>
                <w:rFonts w:eastAsiaTheme="minorEastAsia"/>
                <w:szCs w:val="21"/>
              </w:rPr>
            </w:pPr>
            <w:r>
              <w:rPr>
                <w:rFonts w:eastAsiaTheme="minorEastAsia"/>
                <w:szCs w:val="21"/>
              </w:rPr>
              <w:t>0.24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98" w:type="dxa"/>
            <w:vAlign w:val="center"/>
          </w:tcPr>
          <w:p>
            <w:pPr>
              <w:spacing w:line="360" w:lineRule="auto"/>
              <w:rPr>
                <w:rFonts w:eastAsiaTheme="minorEastAsia"/>
                <w:szCs w:val="21"/>
              </w:rPr>
            </w:pPr>
            <w:r>
              <w:rPr>
                <w:rFonts w:hAnsiTheme="minorEastAsia" w:eastAsiaTheme="minorEastAsia"/>
                <w:szCs w:val="21"/>
              </w:rPr>
              <w:t>办公建筑定风量系统</w:t>
            </w:r>
          </w:p>
        </w:tc>
        <w:tc>
          <w:tcPr>
            <w:tcW w:w="1605" w:type="dxa"/>
            <w:vAlign w:val="center"/>
          </w:tcPr>
          <w:p>
            <w:pPr>
              <w:spacing w:line="360" w:lineRule="auto"/>
              <w:rPr>
                <w:rFonts w:eastAsiaTheme="minorEastAsia"/>
                <w:szCs w:val="21"/>
              </w:rPr>
            </w:pPr>
            <w:r>
              <w:rPr>
                <w:rFonts w:eastAsiaTheme="minorEastAsia"/>
                <w:szCs w:val="21"/>
              </w:rPr>
              <w:t>0.27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98" w:type="dxa"/>
            <w:vAlign w:val="center"/>
          </w:tcPr>
          <w:p>
            <w:pPr>
              <w:spacing w:line="360" w:lineRule="auto"/>
              <w:rPr>
                <w:rFonts w:eastAsiaTheme="minorEastAsia"/>
                <w:szCs w:val="21"/>
              </w:rPr>
            </w:pPr>
            <w:r>
              <w:rPr>
                <w:rFonts w:hAnsiTheme="minorEastAsia" w:eastAsiaTheme="minorEastAsia"/>
                <w:szCs w:val="21"/>
              </w:rPr>
              <w:t>办公建筑变风量系统</w:t>
            </w:r>
          </w:p>
        </w:tc>
        <w:tc>
          <w:tcPr>
            <w:tcW w:w="1605" w:type="dxa"/>
            <w:vAlign w:val="center"/>
          </w:tcPr>
          <w:p>
            <w:pPr>
              <w:spacing w:line="360" w:lineRule="auto"/>
              <w:rPr>
                <w:rFonts w:eastAsiaTheme="minorEastAsia"/>
                <w:szCs w:val="21"/>
              </w:rPr>
            </w:pPr>
            <w:r>
              <w:rPr>
                <w:rFonts w:eastAsiaTheme="minorEastAsia"/>
                <w:szCs w:val="21"/>
              </w:rPr>
              <w:t>0.29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898" w:type="dxa"/>
            <w:vAlign w:val="center"/>
          </w:tcPr>
          <w:p>
            <w:pPr>
              <w:spacing w:line="360" w:lineRule="auto"/>
              <w:rPr>
                <w:rFonts w:eastAsiaTheme="minorEastAsia"/>
                <w:szCs w:val="21"/>
              </w:rPr>
            </w:pPr>
            <w:r>
              <w:rPr>
                <w:rFonts w:hAnsiTheme="minorEastAsia" w:eastAsiaTheme="minorEastAsia"/>
                <w:szCs w:val="21"/>
              </w:rPr>
              <w:t>商业、酒店建筑全空气系统</w:t>
            </w:r>
          </w:p>
        </w:tc>
        <w:tc>
          <w:tcPr>
            <w:tcW w:w="1605" w:type="dxa"/>
            <w:vAlign w:val="center"/>
          </w:tcPr>
          <w:p>
            <w:pPr>
              <w:spacing w:line="360" w:lineRule="auto"/>
              <w:rPr>
                <w:rFonts w:eastAsiaTheme="minorEastAsia"/>
                <w:szCs w:val="21"/>
              </w:rPr>
            </w:pPr>
            <w:r>
              <w:rPr>
                <w:rFonts w:eastAsiaTheme="minorEastAsia"/>
                <w:szCs w:val="21"/>
              </w:rPr>
              <w:t>0.30</w:t>
            </w:r>
          </w:p>
        </w:tc>
      </w:tr>
    </w:tbl>
    <w:p>
      <w:pPr>
        <w:autoSpaceDE w:val="0"/>
        <w:autoSpaceDN w:val="0"/>
        <w:adjustRightInd w:val="0"/>
        <w:spacing w:line="360" w:lineRule="auto"/>
        <w:rPr>
          <w:kern w:val="0"/>
        </w:rPr>
      </w:pPr>
    </w:p>
    <w:p>
      <w:pPr>
        <w:autoSpaceDE w:val="0"/>
        <w:autoSpaceDN w:val="0"/>
        <w:adjustRightInd w:val="0"/>
        <w:spacing w:line="360" w:lineRule="auto"/>
        <w:rPr>
          <w:rFonts w:cs="Arial"/>
          <w:kern w:val="0"/>
          <w:sz w:val="24"/>
        </w:rPr>
      </w:pPr>
      <w:r>
        <w:rPr>
          <w:rFonts w:cs="Arial"/>
          <w:b/>
          <w:kern w:val="0"/>
          <w:sz w:val="24"/>
        </w:rPr>
        <w:t>4.3.23</w:t>
      </w:r>
      <w:r>
        <w:rPr>
          <w:rFonts w:hint="eastAsia" w:cs="Arial"/>
          <w:kern w:val="0"/>
          <w:sz w:val="24"/>
        </w:rPr>
        <w:t>当输送</w:t>
      </w:r>
      <w:r>
        <w:rPr>
          <w:rFonts w:hint="eastAsia" w:cs="宋体"/>
          <w:kern w:val="0"/>
          <w:sz w:val="24"/>
        </w:rPr>
        <w:t>冷媒温度低于其管道外环境温度且不允许冷媒温度有升高，或</w:t>
      </w:r>
      <w:r>
        <w:rPr>
          <w:rFonts w:hint="eastAsia" w:cs="Arial"/>
          <w:kern w:val="0"/>
          <w:sz w:val="24"/>
        </w:rPr>
        <w:t>当输送</w:t>
      </w:r>
      <w:r>
        <w:rPr>
          <w:rFonts w:hint="eastAsia" w:cs="宋体"/>
          <w:kern w:val="0"/>
          <w:sz w:val="24"/>
        </w:rPr>
        <w:t>热媒温度高于其管道外环境温度且不允许热媒温度有降低时，管道与设备应采取保温保冷措施；</w:t>
      </w:r>
      <w:r>
        <w:rPr>
          <w:rFonts w:hint="eastAsia" w:cs="Arial"/>
          <w:kern w:val="0"/>
          <w:sz w:val="24"/>
        </w:rPr>
        <w:t>绝热层的设置应符合下列规定：</w:t>
      </w:r>
    </w:p>
    <w:p>
      <w:pPr>
        <w:autoSpaceDE w:val="0"/>
        <w:autoSpaceDN w:val="0"/>
        <w:adjustRightInd w:val="0"/>
        <w:spacing w:line="360" w:lineRule="auto"/>
        <w:ind w:firstLine="482" w:firstLineChars="200"/>
        <w:rPr>
          <w:rFonts w:cs="Arial"/>
          <w:kern w:val="0"/>
          <w:sz w:val="24"/>
        </w:rPr>
      </w:pPr>
      <w:r>
        <w:rPr>
          <w:rFonts w:cs="Arial"/>
          <w:b/>
          <w:kern w:val="0"/>
          <w:sz w:val="24"/>
        </w:rPr>
        <w:t>1</w:t>
      </w:r>
      <w:r>
        <w:rPr>
          <w:rFonts w:hint="eastAsia" w:cs="Arial"/>
          <w:b/>
          <w:kern w:val="0"/>
          <w:sz w:val="24"/>
        </w:rPr>
        <w:t xml:space="preserve"> </w:t>
      </w:r>
      <w:r>
        <w:rPr>
          <w:rFonts w:hint="eastAsia" w:cs="Arial"/>
          <w:kern w:val="0"/>
          <w:sz w:val="24"/>
        </w:rPr>
        <w:t>保温层厚度应按现行国家标准《设备及管道绝热设计导则》</w:t>
      </w:r>
      <w:r>
        <w:rPr>
          <w:rFonts w:cs="Arial"/>
          <w:kern w:val="0"/>
          <w:sz w:val="24"/>
        </w:rPr>
        <w:t>GB</w:t>
      </w:r>
      <w:r>
        <w:rPr>
          <w:rFonts w:hint="eastAsia" w:cs="Arial"/>
          <w:kern w:val="0"/>
          <w:sz w:val="24"/>
        </w:rPr>
        <w:t>/</w:t>
      </w:r>
      <w:r>
        <w:rPr>
          <w:rFonts w:cs="Arial"/>
          <w:kern w:val="0"/>
          <w:sz w:val="24"/>
        </w:rPr>
        <w:t>T 8175</w:t>
      </w:r>
      <w:r>
        <w:rPr>
          <w:rFonts w:hint="eastAsia" w:cs="Arial"/>
          <w:kern w:val="0"/>
          <w:sz w:val="24"/>
        </w:rPr>
        <w:t>中经济厚度计算方法计算；</w:t>
      </w:r>
    </w:p>
    <w:p>
      <w:pPr>
        <w:autoSpaceDE w:val="0"/>
        <w:autoSpaceDN w:val="0"/>
        <w:adjustRightInd w:val="0"/>
        <w:spacing w:line="360" w:lineRule="auto"/>
        <w:ind w:firstLine="482" w:firstLineChars="200"/>
        <w:rPr>
          <w:rFonts w:cs="Arial"/>
          <w:kern w:val="0"/>
          <w:sz w:val="24"/>
        </w:rPr>
      </w:pPr>
      <w:r>
        <w:rPr>
          <w:rFonts w:cs="Arial"/>
          <w:b/>
          <w:kern w:val="0"/>
          <w:sz w:val="24"/>
        </w:rPr>
        <w:t>2</w:t>
      </w:r>
      <w:r>
        <w:rPr>
          <w:rFonts w:hint="eastAsia" w:cs="Arial"/>
          <w:b/>
          <w:kern w:val="0"/>
          <w:sz w:val="24"/>
        </w:rPr>
        <w:t xml:space="preserve"> </w:t>
      </w:r>
      <w:r>
        <w:rPr>
          <w:rFonts w:hint="eastAsia" w:cs="Arial"/>
          <w:kern w:val="0"/>
          <w:sz w:val="24"/>
        </w:rPr>
        <w:t>供冷或冷热共用时，保冷层厚度应按现行国家标准《设备及管道绝热设计导则》</w:t>
      </w:r>
      <w:r>
        <w:rPr>
          <w:rFonts w:cs="Arial"/>
          <w:kern w:val="0"/>
          <w:sz w:val="24"/>
        </w:rPr>
        <w:t>GB</w:t>
      </w:r>
      <w:r>
        <w:rPr>
          <w:rFonts w:hint="eastAsia" w:cs="Arial"/>
          <w:kern w:val="0"/>
          <w:sz w:val="24"/>
        </w:rPr>
        <w:t>/</w:t>
      </w:r>
      <w:r>
        <w:rPr>
          <w:rFonts w:cs="Arial"/>
          <w:kern w:val="0"/>
          <w:sz w:val="24"/>
        </w:rPr>
        <w:t>T</w:t>
      </w:r>
      <w:r>
        <w:rPr>
          <w:rFonts w:hint="eastAsia" w:cs="Arial"/>
          <w:kern w:val="0"/>
          <w:sz w:val="24"/>
        </w:rPr>
        <w:t>8175中经济厚度和防止表面结露的保冷层厚度方法计算，并取大值；</w:t>
      </w:r>
    </w:p>
    <w:p>
      <w:pPr>
        <w:autoSpaceDE w:val="0"/>
        <w:autoSpaceDN w:val="0"/>
        <w:adjustRightInd w:val="0"/>
        <w:spacing w:line="360" w:lineRule="auto"/>
        <w:ind w:firstLine="482" w:firstLineChars="200"/>
        <w:rPr>
          <w:rFonts w:cs="Arial"/>
          <w:kern w:val="0"/>
          <w:sz w:val="24"/>
        </w:rPr>
      </w:pPr>
      <w:r>
        <w:rPr>
          <w:rFonts w:cs="Arial"/>
          <w:b/>
          <w:kern w:val="0"/>
          <w:sz w:val="24"/>
        </w:rPr>
        <w:t>3</w:t>
      </w:r>
      <w:r>
        <w:rPr>
          <w:rFonts w:hint="eastAsia" w:cs="Arial"/>
          <w:b/>
          <w:kern w:val="0"/>
          <w:sz w:val="24"/>
        </w:rPr>
        <w:t xml:space="preserve"> </w:t>
      </w:r>
      <w:r>
        <w:rPr>
          <w:rFonts w:hint="eastAsia" w:cs="宋体"/>
          <w:kern w:val="0"/>
          <w:sz w:val="24"/>
        </w:rPr>
        <w:t>管道与设备</w:t>
      </w:r>
      <w:r>
        <w:rPr>
          <w:rFonts w:hint="eastAsia" w:cs="Arial"/>
          <w:kern w:val="0"/>
          <w:sz w:val="24"/>
        </w:rPr>
        <w:t>绝热厚度及风管绝热层最小热阻可按本标准附录D的规定选用；</w:t>
      </w:r>
    </w:p>
    <w:p>
      <w:pPr>
        <w:autoSpaceDE w:val="0"/>
        <w:autoSpaceDN w:val="0"/>
        <w:adjustRightInd w:val="0"/>
        <w:spacing w:line="360" w:lineRule="auto"/>
        <w:ind w:firstLine="482" w:firstLineChars="200"/>
        <w:rPr>
          <w:rFonts w:cs="Arial"/>
          <w:kern w:val="0"/>
          <w:sz w:val="24"/>
        </w:rPr>
      </w:pPr>
      <w:r>
        <w:rPr>
          <w:rFonts w:cs="Arial"/>
          <w:b/>
          <w:kern w:val="0"/>
          <w:sz w:val="24"/>
        </w:rPr>
        <w:t>4</w:t>
      </w:r>
      <w:r>
        <w:rPr>
          <w:rFonts w:hint="eastAsia" w:cs="Arial"/>
          <w:b/>
          <w:kern w:val="0"/>
          <w:sz w:val="24"/>
        </w:rPr>
        <w:t xml:space="preserve"> </w:t>
      </w:r>
      <w:r>
        <w:rPr>
          <w:rFonts w:hint="eastAsia" w:cs="Arial"/>
          <w:kern w:val="0"/>
          <w:sz w:val="24"/>
        </w:rPr>
        <w:t>管道和支架之间，管道穿墙、穿楼板处应采取防止“热桥”或“冷桥”的措施；</w:t>
      </w:r>
    </w:p>
    <w:p>
      <w:pPr>
        <w:tabs>
          <w:tab w:val="right" w:pos="-3240"/>
          <w:tab w:val="left" w:pos="540"/>
        </w:tabs>
        <w:spacing w:line="360" w:lineRule="auto"/>
        <w:ind w:firstLine="482" w:firstLineChars="200"/>
        <w:rPr>
          <w:rFonts w:cs="Arial"/>
          <w:kern w:val="0"/>
          <w:sz w:val="24"/>
        </w:rPr>
      </w:pPr>
      <w:r>
        <w:rPr>
          <w:rFonts w:cs="Arial"/>
          <w:b/>
          <w:kern w:val="0"/>
          <w:sz w:val="24"/>
        </w:rPr>
        <w:t>5</w:t>
      </w:r>
      <w:r>
        <w:rPr>
          <w:rFonts w:hint="eastAsia" w:cs="Arial"/>
          <w:b/>
          <w:kern w:val="0"/>
          <w:sz w:val="24"/>
        </w:rPr>
        <w:t xml:space="preserve"> </w:t>
      </w:r>
      <w:r>
        <w:rPr>
          <w:rFonts w:hint="eastAsia" w:cs="Arial"/>
          <w:kern w:val="0"/>
          <w:sz w:val="24"/>
        </w:rPr>
        <w:t>采用非闭孔材料保温时，外表面应设保护层；采用非闭孔材料保冷时，外表面应设隔汽层和保护层。</w:t>
      </w:r>
    </w:p>
    <w:p>
      <w:pPr>
        <w:autoSpaceDE w:val="0"/>
        <w:autoSpaceDN w:val="0"/>
        <w:adjustRightInd w:val="0"/>
        <w:spacing w:line="360" w:lineRule="auto"/>
      </w:pPr>
    </w:p>
    <w:p>
      <w:pPr>
        <w:autoSpaceDE w:val="0"/>
        <w:autoSpaceDN w:val="0"/>
        <w:adjustRightInd w:val="0"/>
        <w:spacing w:line="360" w:lineRule="auto"/>
        <w:rPr>
          <w:rFonts w:cs="Arial"/>
          <w:sz w:val="24"/>
        </w:rPr>
      </w:pPr>
      <w:r>
        <w:rPr>
          <w:rFonts w:hint="eastAsia" w:cs="Arial"/>
          <w:b/>
          <w:sz w:val="24"/>
        </w:rPr>
        <w:t>4.3.24</w:t>
      </w:r>
      <w:r>
        <w:rPr>
          <w:rFonts w:hint="eastAsia" w:cs="Arial"/>
          <w:b/>
          <w:sz w:val="24"/>
          <w:lang w:val="en-US" w:eastAsia="zh-CN"/>
        </w:rPr>
        <w:t xml:space="preserve"> </w:t>
      </w:r>
      <w:r>
        <w:rPr>
          <w:rFonts w:hint="eastAsia" w:cs="Arial"/>
          <w:sz w:val="24"/>
        </w:rPr>
        <w:t>严寒和寒冷地区通风或空调系统与室外相连接的风管和设施上应设置可自动联锁关闭且密闭性能好的电动风阀，并采取密封措施。</w:t>
      </w:r>
    </w:p>
    <w:p>
      <w:pPr>
        <w:autoSpaceDE w:val="0"/>
        <w:autoSpaceDN w:val="0"/>
        <w:adjustRightInd w:val="0"/>
        <w:spacing w:line="360" w:lineRule="auto"/>
        <w:rPr>
          <w:rFonts w:cs="Arial"/>
          <w:b/>
          <w:bCs/>
          <w:kern w:val="0"/>
          <w:sz w:val="24"/>
        </w:rPr>
      </w:pPr>
    </w:p>
    <w:p>
      <w:pPr>
        <w:autoSpaceDE w:val="0"/>
        <w:autoSpaceDN w:val="0"/>
        <w:adjustRightInd w:val="0"/>
        <w:spacing w:line="360" w:lineRule="auto"/>
        <w:rPr>
          <w:kern w:val="0"/>
          <w:sz w:val="24"/>
        </w:rPr>
      </w:pPr>
      <w:r>
        <w:rPr>
          <w:rFonts w:cs="Arial"/>
          <w:b/>
          <w:kern w:val="0"/>
          <w:sz w:val="24"/>
        </w:rPr>
        <w:t>4.3.</w:t>
      </w:r>
      <w:r>
        <w:rPr>
          <w:rFonts w:hint="eastAsia" w:cs="Arial"/>
          <w:b/>
          <w:kern w:val="0"/>
          <w:sz w:val="24"/>
        </w:rPr>
        <w:t xml:space="preserve">25 </w:t>
      </w:r>
      <w:r>
        <w:rPr>
          <w:rFonts w:hint="eastAsia"/>
          <w:kern w:val="0"/>
          <w:sz w:val="24"/>
        </w:rPr>
        <w:t>设有集中排风的空调系统经技术经济比较合理时，宜设置热回收新风机组。严寒地区采用空气热回收装置时，应对热回收装置的排风侧是否出现结霜或结露现象进行核算。当出现结霜或结露时，应采取预热等保温防冻措施</w:t>
      </w:r>
      <w:r>
        <w:rPr>
          <w:rFonts w:hint="eastAsia" w:cs="宋体"/>
          <w:kern w:val="0"/>
          <w:sz w:val="24"/>
        </w:rPr>
        <w:t>。</w:t>
      </w:r>
    </w:p>
    <w:p>
      <w:pPr>
        <w:autoSpaceDE w:val="0"/>
        <w:autoSpaceDN w:val="0"/>
        <w:adjustRightInd w:val="0"/>
        <w:spacing w:line="360" w:lineRule="auto"/>
        <w:rPr>
          <w:rFonts w:cs="Arial"/>
          <w:b/>
          <w:kern w:val="0"/>
          <w:sz w:val="24"/>
        </w:rPr>
      </w:pPr>
    </w:p>
    <w:p>
      <w:pPr>
        <w:autoSpaceDE w:val="0"/>
        <w:autoSpaceDN w:val="0"/>
        <w:adjustRightInd w:val="0"/>
        <w:spacing w:line="360" w:lineRule="auto"/>
        <w:rPr>
          <w:rFonts w:cs="Arial"/>
          <w:b/>
          <w:kern w:val="0"/>
          <w:sz w:val="24"/>
        </w:rPr>
      </w:pPr>
      <w:r>
        <w:rPr>
          <w:rFonts w:cs="Arial"/>
          <w:b/>
          <w:kern w:val="0"/>
          <w:sz w:val="24"/>
        </w:rPr>
        <w:t>4.3.</w:t>
      </w:r>
      <w:r>
        <w:rPr>
          <w:rFonts w:hint="eastAsia" w:cs="Arial"/>
          <w:b/>
          <w:kern w:val="0"/>
          <w:sz w:val="24"/>
        </w:rPr>
        <w:t xml:space="preserve">26 </w:t>
      </w:r>
      <w:r>
        <w:rPr>
          <w:rFonts w:hint="eastAsia" w:cs="Arial"/>
          <w:kern w:val="0"/>
          <w:sz w:val="24"/>
        </w:rPr>
        <w:t>有人员长期停留且不设置集中新风、排风系统的空气调节区或</w:t>
      </w:r>
      <w:r>
        <w:rPr>
          <w:rFonts w:cs="Arial"/>
          <w:kern w:val="0"/>
          <w:sz w:val="24"/>
        </w:rPr>
        <w:t>空调</w:t>
      </w:r>
      <w:r>
        <w:rPr>
          <w:rFonts w:hint="eastAsia" w:cs="Arial"/>
          <w:kern w:val="0"/>
          <w:sz w:val="24"/>
        </w:rPr>
        <w:t>房间，宜在各空气调节区或空调房间分别安装带热回收功能的双向换气装置。</w:t>
      </w:r>
    </w:p>
    <w:p>
      <w:pPr>
        <w:pStyle w:val="3"/>
        <w:spacing w:line="276" w:lineRule="auto"/>
        <w:jc w:val="center"/>
        <w:rPr>
          <w:rFonts w:ascii="Times New Roman" w:hAnsi="Times New Roman" w:eastAsia="宋体"/>
        </w:rPr>
      </w:pPr>
      <w:bookmarkStart w:id="60" w:name="_Toc187572568"/>
      <w:bookmarkStart w:id="61" w:name="_Toc377052138"/>
      <w:bookmarkStart w:id="62" w:name="_Toc376970883"/>
      <w:bookmarkStart w:id="63" w:name="_Toc146734720"/>
      <w:r>
        <w:rPr>
          <w:rFonts w:hint="eastAsia" w:ascii="Times New Roman" w:hAnsi="Times New Roman" w:eastAsia="宋体"/>
        </w:rPr>
        <w:t>4</w:t>
      </w:r>
      <w:r>
        <w:rPr>
          <w:rFonts w:ascii="Times New Roman" w:hAnsi="Times New Roman" w:eastAsia="宋体"/>
        </w:rPr>
        <w:t xml:space="preserve">.4 </w:t>
      </w:r>
      <w:bookmarkEnd w:id="60"/>
      <w:r>
        <w:rPr>
          <w:rFonts w:hint="eastAsia" w:ascii="Times New Roman" w:hAnsi="Times New Roman" w:eastAsia="宋体"/>
        </w:rPr>
        <w:t>末端系统</w:t>
      </w:r>
      <w:bookmarkEnd w:id="61"/>
      <w:bookmarkEnd w:id="62"/>
      <w:bookmarkEnd w:id="63"/>
    </w:p>
    <w:p>
      <w:pPr>
        <w:autoSpaceDE w:val="0"/>
        <w:autoSpaceDN w:val="0"/>
        <w:adjustRightInd w:val="0"/>
        <w:spacing w:line="360" w:lineRule="auto"/>
        <w:rPr>
          <w:rFonts w:cs="Arial"/>
          <w:kern w:val="0"/>
          <w:sz w:val="24"/>
        </w:rPr>
      </w:pPr>
      <w:r>
        <w:rPr>
          <w:rFonts w:cs="Arial"/>
          <w:b/>
          <w:kern w:val="0"/>
          <w:sz w:val="24"/>
        </w:rPr>
        <w:t>4.4.</w:t>
      </w:r>
      <w:r>
        <w:rPr>
          <w:rFonts w:hint="eastAsia" w:cs="Arial"/>
          <w:b/>
          <w:kern w:val="0"/>
          <w:sz w:val="24"/>
        </w:rPr>
        <w:t xml:space="preserve">1 </w:t>
      </w:r>
      <w:r>
        <w:rPr>
          <w:rFonts w:hint="eastAsia" w:cs="Arial"/>
          <w:kern w:val="0"/>
          <w:sz w:val="24"/>
        </w:rPr>
        <w:t>散热器宜明装；地面辐射供暖面层材料的热阻不宜大于0.05m</w:t>
      </w:r>
      <w:r>
        <w:rPr>
          <w:rFonts w:cs="Arial"/>
          <w:kern w:val="0"/>
          <w:sz w:val="24"/>
          <w:vertAlign w:val="superscript"/>
        </w:rPr>
        <w:t>2</w:t>
      </w:r>
      <w:r>
        <w:rPr>
          <w:rFonts w:hint="eastAsia" w:cs="Arial"/>
          <w:kern w:val="0"/>
          <w:sz w:val="24"/>
        </w:rPr>
        <w:t>·K/W。</w:t>
      </w:r>
    </w:p>
    <w:p>
      <w:pPr>
        <w:autoSpaceDE w:val="0"/>
        <w:autoSpaceDN w:val="0"/>
        <w:adjustRightInd w:val="0"/>
        <w:spacing w:line="360" w:lineRule="auto"/>
        <w:rPr>
          <w:kern w:val="0"/>
        </w:rPr>
      </w:pPr>
    </w:p>
    <w:p>
      <w:pPr>
        <w:autoSpaceDE w:val="0"/>
        <w:autoSpaceDN w:val="0"/>
        <w:adjustRightInd w:val="0"/>
        <w:spacing w:line="360" w:lineRule="auto"/>
        <w:rPr>
          <w:kern w:val="0"/>
          <w:sz w:val="24"/>
        </w:rPr>
      </w:pPr>
      <w:r>
        <w:rPr>
          <w:rFonts w:cs="Arial"/>
          <w:b/>
          <w:kern w:val="0"/>
          <w:sz w:val="24"/>
        </w:rPr>
        <w:t>4.4.2</w:t>
      </w:r>
      <w:r>
        <w:rPr>
          <w:rFonts w:hint="eastAsia" w:cs="Arial"/>
          <w:b/>
          <w:kern w:val="0"/>
          <w:sz w:val="24"/>
          <w:lang w:val="en-US" w:eastAsia="zh-CN"/>
        </w:rPr>
        <w:t xml:space="preserve"> </w:t>
      </w:r>
      <w:r>
        <w:rPr>
          <w:rFonts w:hint="eastAsia"/>
          <w:kern w:val="0"/>
          <w:sz w:val="24"/>
        </w:rPr>
        <w:t>设计变风量全空气空气调节系统时，应采用变频自动调节风机转速的方式，并应在设计文件中标明每个变风量末端装置的最小送风量。</w:t>
      </w:r>
    </w:p>
    <w:p>
      <w:pPr>
        <w:autoSpaceDE w:val="0"/>
        <w:autoSpaceDN w:val="0"/>
        <w:adjustRightInd w:val="0"/>
        <w:spacing w:line="360" w:lineRule="auto"/>
        <w:rPr>
          <w:rFonts w:cs="Arial"/>
          <w:b/>
          <w:kern w:val="0"/>
          <w:sz w:val="24"/>
        </w:rPr>
      </w:pPr>
    </w:p>
    <w:p>
      <w:pPr>
        <w:autoSpaceDE w:val="0"/>
        <w:autoSpaceDN w:val="0"/>
        <w:adjustRightInd w:val="0"/>
        <w:spacing w:line="360" w:lineRule="auto"/>
        <w:rPr>
          <w:rFonts w:cs="Arial"/>
          <w:b/>
          <w:kern w:val="0"/>
          <w:sz w:val="24"/>
        </w:rPr>
      </w:pPr>
      <w:r>
        <w:rPr>
          <w:rFonts w:cs="Arial"/>
          <w:b/>
          <w:kern w:val="0"/>
          <w:sz w:val="24"/>
        </w:rPr>
        <w:t>4.4.3</w:t>
      </w:r>
      <w:r>
        <w:rPr>
          <w:rFonts w:hint="eastAsia" w:cs="Arial"/>
          <w:b/>
          <w:kern w:val="0"/>
          <w:sz w:val="24"/>
        </w:rPr>
        <w:t xml:space="preserve"> </w:t>
      </w:r>
      <w:r>
        <w:rPr>
          <w:rFonts w:hint="eastAsia" w:cs="Arial"/>
          <w:kern w:val="0"/>
          <w:sz w:val="24"/>
        </w:rPr>
        <w:t>建筑空间高度大于等于</w:t>
      </w:r>
      <w:r>
        <w:rPr>
          <w:rFonts w:cs="Arial"/>
          <w:kern w:val="0"/>
          <w:sz w:val="24"/>
        </w:rPr>
        <w:t>10m</w:t>
      </w:r>
      <w:r>
        <w:rPr>
          <w:rFonts w:hint="eastAsia" w:cs="Arial"/>
          <w:kern w:val="0"/>
          <w:sz w:val="24"/>
        </w:rPr>
        <w:t>、且体积大于</w:t>
      </w:r>
      <w:r>
        <w:rPr>
          <w:rFonts w:cs="Arial"/>
          <w:kern w:val="0"/>
          <w:sz w:val="24"/>
        </w:rPr>
        <w:t>10000m</w:t>
      </w:r>
      <w:r>
        <w:rPr>
          <w:rFonts w:cs="Arial"/>
          <w:kern w:val="0"/>
          <w:sz w:val="24"/>
          <w:vertAlign w:val="superscript"/>
        </w:rPr>
        <w:t>3</w:t>
      </w:r>
      <w:r>
        <w:rPr>
          <w:rFonts w:hint="eastAsia" w:cs="Arial"/>
          <w:kern w:val="0"/>
          <w:sz w:val="24"/>
        </w:rPr>
        <w:t>时，宜采用辐射供暖供冷或分层空气调节系统。</w:t>
      </w:r>
    </w:p>
    <w:p>
      <w:pPr>
        <w:autoSpaceDE w:val="0"/>
        <w:autoSpaceDN w:val="0"/>
        <w:adjustRightInd w:val="0"/>
        <w:spacing w:before="93" w:line="360" w:lineRule="auto"/>
        <w:rPr>
          <w:kern w:val="0"/>
        </w:rPr>
      </w:pPr>
    </w:p>
    <w:p>
      <w:pPr>
        <w:autoSpaceDE w:val="0"/>
        <w:autoSpaceDN w:val="0"/>
        <w:adjustRightInd w:val="0"/>
        <w:spacing w:line="360" w:lineRule="auto"/>
        <w:rPr>
          <w:rFonts w:cs="Arial"/>
          <w:kern w:val="0"/>
          <w:sz w:val="24"/>
        </w:rPr>
      </w:pPr>
      <w:r>
        <w:rPr>
          <w:rFonts w:hint="eastAsia" w:cs="Arial"/>
          <w:b/>
          <w:kern w:val="0"/>
          <w:sz w:val="24"/>
        </w:rPr>
        <w:t>4.4.</w:t>
      </w:r>
      <w:r>
        <w:rPr>
          <w:rFonts w:cs="Arial"/>
          <w:b/>
          <w:kern w:val="0"/>
          <w:sz w:val="24"/>
        </w:rPr>
        <w:t>4</w:t>
      </w:r>
      <w:r>
        <w:rPr>
          <w:rFonts w:hint="eastAsia" w:cs="Arial"/>
          <w:b/>
          <w:kern w:val="0"/>
          <w:sz w:val="24"/>
          <w:lang w:val="en-US" w:eastAsia="zh-CN"/>
        </w:rPr>
        <w:t xml:space="preserve"> </w:t>
      </w:r>
      <w:r>
        <w:rPr>
          <w:rFonts w:hint="eastAsia" w:cs="Arial"/>
          <w:kern w:val="0"/>
          <w:sz w:val="24"/>
        </w:rPr>
        <w:t>机电设备用房、厨房热加工间等发热量较大的房间的通风设计应满足下列要求：</w:t>
      </w:r>
    </w:p>
    <w:p>
      <w:pPr>
        <w:autoSpaceDE w:val="0"/>
        <w:autoSpaceDN w:val="0"/>
        <w:adjustRightInd w:val="0"/>
        <w:spacing w:line="360" w:lineRule="auto"/>
        <w:ind w:firstLine="420"/>
        <w:rPr>
          <w:rFonts w:cs="Arial"/>
          <w:kern w:val="0"/>
          <w:sz w:val="24"/>
        </w:rPr>
      </w:pPr>
      <w:r>
        <w:rPr>
          <w:rFonts w:hint="eastAsia" w:cs="Arial"/>
          <w:b/>
          <w:kern w:val="0"/>
          <w:sz w:val="24"/>
        </w:rPr>
        <w:t xml:space="preserve">1 </w:t>
      </w:r>
      <w:r>
        <w:rPr>
          <w:rFonts w:hint="eastAsia" w:cs="Arial"/>
          <w:kern w:val="0"/>
          <w:sz w:val="24"/>
        </w:rPr>
        <w:t>在保证设备正常工作前提下，宜采用通风消除室内余热。机电设备用房夏季室内计算温度取值不宜低于夏季通风室外计算温度。</w:t>
      </w:r>
    </w:p>
    <w:p>
      <w:pPr>
        <w:autoSpaceDE w:val="0"/>
        <w:autoSpaceDN w:val="0"/>
        <w:adjustRightInd w:val="0"/>
        <w:spacing w:line="360" w:lineRule="auto"/>
        <w:ind w:firstLine="420"/>
        <w:rPr>
          <w:rFonts w:cs="Arial"/>
          <w:kern w:val="0"/>
          <w:sz w:val="24"/>
        </w:rPr>
      </w:pPr>
      <w:r>
        <w:rPr>
          <w:rFonts w:hint="eastAsia" w:cs="Arial"/>
          <w:b/>
          <w:kern w:val="0"/>
          <w:sz w:val="24"/>
        </w:rPr>
        <w:t xml:space="preserve">2 </w:t>
      </w:r>
      <w:r>
        <w:rPr>
          <w:rFonts w:hint="eastAsia" w:cs="Arial"/>
          <w:kern w:val="0"/>
          <w:sz w:val="24"/>
        </w:rPr>
        <w:t>厨房热加工间宜采用补风式油烟排气罩。采用直流式空调送风的区域，夏季室内计算温度取值不宜低于夏季通风室外计算温度。</w:t>
      </w:r>
    </w:p>
    <w:p>
      <w:pPr>
        <w:pStyle w:val="3"/>
        <w:spacing w:line="276" w:lineRule="auto"/>
        <w:jc w:val="center"/>
        <w:rPr>
          <w:rFonts w:ascii="Times New Roman" w:hAnsi="Times New Roman" w:eastAsia="宋体"/>
        </w:rPr>
      </w:pPr>
      <w:bookmarkStart w:id="64" w:name="_Toc187572569"/>
      <w:bookmarkStart w:id="65" w:name="_Toc376970884"/>
      <w:bookmarkStart w:id="66" w:name="_Toc377052139"/>
      <w:bookmarkStart w:id="67" w:name="_Toc146734721"/>
      <w:r>
        <w:rPr>
          <w:rFonts w:hint="eastAsia" w:ascii="Times New Roman" w:hAnsi="Times New Roman" w:eastAsia="宋体"/>
        </w:rPr>
        <w:t>4</w:t>
      </w:r>
      <w:r>
        <w:rPr>
          <w:rFonts w:ascii="Times New Roman" w:hAnsi="Times New Roman" w:eastAsia="宋体"/>
        </w:rPr>
        <w:t xml:space="preserve">.5 </w:t>
      </w:r>
      <w:r>
        <w:rPr>
          <w:rFonts w:hint="eastAsia" w:ascii="Times New Roman" w:hAnsi="Times New Roman" w:eastAsia="宋体"/>
        </w:rPr>
        <w:t>监测、控制</w:t>
      </w:r>
      <w:bookmarkEnd w:id="64"/>
      <w:r>
        <w:rPr>
          <w:rFonts w:hint="eastAsia" w:ascii="Times New Roman" w:hAnsi="Times New Roman" w:eastAsia="宋体"/>
        </w:rPr>
        <w:t>与计量</w:t>
      </w:r>
      <w:bookmarkEnd w:id="65"/>
      <w:bookmarkEnd w:id="66"/>
      <w:bookmarkEnd w:id="67"/>
    </w:p>
    <w:p>
      <w:pPr>
        <w:autoSpaceDE w:val="0"/>
        <w:autoSpaceDN w:val="0"/>
        <w:adjustRightInd w:val="0"/>
        <w:spacing w:line="360" w:lineRule="auto"/>
        <w:rPr>
          <w:kern w:val="0"/>
          <w:sz w:val="24"/>
        </w:rPr>
      </w:pPr>
      <w:r>
        <w:rPr>
          <w:b/>
          <w:kern w:val="0"/>
          <w:sz w:val="24"/>
        </w:rPr>
        <w:t xml:space="preserve">4.5.1 </w:t>
      </w:r>
      <w:r>
        <w:rPr>
          <w:rFonts w:hint="eastAsia"/>
          <w:kern w:val="0"/>
          <w:sz w:val="24"/>
        </w:rPr>
        <w:t>集中供暖通风与空气调节系统，应进行监测与控制。建筑面积大于</w:t>
      </w:r>
      <w:r>
        <w:rPr>
          <w:kern w:val="0"/>
          <w:sz w:val="24"/>
        </w:rPr>
        <w:t>20000m</w:t>
      </w:r>
      <w:r>
        <w:rPr>
          <w:kern w:val="0"/>
          <w:sz w:val="24"/>
          <w:vertAlign w:val="superscript"/>
        </w:rPr>
        <w:t>2</w:t>
      </w:r>
      <w:r>
        <w:rPr>
          <w:rFonts w:hint="eastAsia"/>
          <w:kern w:val="0"/>
          <w:sz w:val="24"/>
        </w:rPr>
        <w:t>的公共建筑使用全空气调节系统时，宜采用直接数字控制系统。系统功能及监测控制内容应根据建筑功能、相关标淮、系统类型等通过技术经济比较确定。</w:t>
      </w:r>
    </w:p>
    <w:p>
      <w:pPr>
        <w:autoSpaceDE w:val="0"/>
        <w:autoSpaceDN w:val="0"/>
        <w:adjustRightInd w:val="0"/>
        <w:spacing w:line="360" w:lineRule="auto"/>
        <w:rPr>
          <w:kern w:val="0"/>
          <w:sz w:val="24"/>
        </w:rPr>
      </w:pPr>
    </w:p>
    <w:p>
      <w:pPr>
        <w:tabs>
          <w:tab w:val="left" w:pos="6888"/>
        </w:tabs>
        <w:spacing w:line="360" w:lineRule="auto"/>
        <w:rPr>
          <w:rFonts w:eastAsiaTheme="minorEastAsia"/>
        </w:rPr>
      </w:pPr>
      <w:r>
        <w:rPr>
          <w:rFonts w:hint="eastAsia"/>
          <w:b/>
          <w:bCs/>
          <w:sz w:val="24"/>
        </w:rPr>
        <w:t>4.5.2</w:t>
      </w:r>
      <w:r>
        <w:rPr>
          <w:rFonts w:hint="eastAsia"/>
          <w:sz w:val="24"/>
        </w:rPr>
        <w:t xml:space="preserve">  锅炉房、换热机房和制冷机房的计量设计应符合</w:t>
      </w:r>
      <w:r>
        <w:rPr>
          <w:sz w:val="24"/>
        </w:rPr>
        <w:t>现行强制性工程建设规范《建筑节能与可再生能源利用通用规范》GB55015的要求。</w:t>
      </w:r>
    </w:p>
    <w:p>
      <w:pPr>
        <w:spacing w:line="360" w:lineRule="auto"/>
        <w:rPr>
          <w:b/>
          <w:sz w:val="24"/>
        </w:rPr>
      </w:pPr>
    </w:p>
    <w:p>
      <w:pPr>
        <w:spacing w:line="360" w:lineRule="auto"/>
        <w:rPr>
          <w:sz w:val="24"/>
        </w:rPr>
      </w:pPr>
      <w:r>
        <w:rPr>
          <w:rFonts w:hint="eastAsia"/>
          <w:b/>
          <w:sz w:val="24"/>
        </w:rPr>
        <w:t>4.5.3</w:t>
      </w:r>
      <w:r>
        <w:rPr>
          <w:rFonts w:hint="eastAsia"/>
          <w:b/>
          <w:sz w:val="24"/>
          <w:lang w:val="en-US" w:eastAsia="zh-CN"/>
        </w:rPr>
        <w:t xml:space="preserve"> </w:t>
      </w:r>
      <w:r>
        <w:rPr>
          <w:rFonts w:hint="eastAsia"/>
          <w:sz w:val="24"/>
        </w:rPr>
        <w:t>采用区域性冷源和热源时，在每栋公共建筑的冷源和热源入口处，应设置冷量和热量计量装置。采用集中供暖空调系统时，不同使用单位或区域宜分别设置冷量和热量计量装置。</w:t>
      </w:r>
    </w:p>
    <w:p>
      <w:pPr>
        <w:spacing w:line="360" w:lineRule="auto"/>
        <w:rPr>
          <w:b/>
          <w:kern w:val="0"/>
        </w:rPr>
      </w:pPr>
    </w:p>
    <w:p>
      <w:pPr>
        <w:spacing w:line="360" w:lineRule="auto"/>
        <w:rPr>
          <w:sz w:val="24"/>
        </w:rPr>
      </w:pPr>
      <w:r>
        <w:rPr>
          <w:rFonts w:hint="eastAsia"/>
          <w:b/>
          <w:sz w:val="24"/>
        </w:rPr>
        <w:t>4.5.</w:t>
      </w:r>
      <w:r>
        <w:rPr>
          <w:b/>
          <w:sz w:val="24"/>
        </w:rPr>
        <w:t>4</w:t>
      </w:r>
      <w:r>
        <w:rPr>
          <w:rFonts w:hint="eastAsia"/>
          <w:b/>
          <w:sz w:val="24"/>
          <w:lang w:val="en-US" w:eastAsia="zh-CN"/>
        </w:rPr>
        <w:t xml:space="preserve"> </w:t>
      </w:r>
      <w:r>
        <w:rPr>
          <w:rFonts w:hint="eastAsia" w:asciiTheme="minorEastAsia" w:hAnsiTheme="minorEastAsia" w:eastAsiaTheme="minorEastAsia"/>
          <w:bCs/>
          <w:sz w:val="24"/>
        </w:rPr>
        <w:t>锅炉房和换热机房应设置供热量自动控制装置，并应符合下</w:t>
      </w:r>
      <w:r>
        <w:rPr>
          <w:rFonts w:hint="eastAsia"/>
          <w:sz w:val="24"/>
        </w:rPr>
        <w:t>列规定：</w:t>
      </w:r>
    </w:p>
    <w:p>
      <w:pPr>
        <w:spacing w:line="360" w:lineRule="auto"/>
        <w:ind w:firstLine="480" w:firstLineChars="200"/>
        <w:rPr>
          <w:sz w:val="24"/>
        </w:rPr>
      </w:pPr>
      <w:r>
        <w:rPr>
          <w:sz w:val="24"/>
        </w:rPr>
        <w:t>1</w:t>
      </w:r>
      <w:r>
        <w:rPr>
          <w:rFonts w:hint="eastAsia"/>
          <w:sz w:val="24"/>
        </w:rPr>
        <w:t xml:space="preserve"> 应能进行水泵与阀门等设备连锁控制；</w:t>
      </w:r>
    </w:p>
    <w:p>
      <w:pPr>
        <w:spacing w:line="360" w:lineRule="auto"/>
        <w:ind w:firstLine="480" w:firstLineChars="200"/>
        <w:rPr>
          <w:sz w:val="24"/>
        </w:rPr>
      </w:pPr>
      <w:r>
        <w:rPr>
          <w:sz w:val="24"/>
        </w:rPr>
        <w:t>2</w:t>
      </w:r>
      <w:r>
        <w:rPr>
          <w:rFonts w:hint="eastAsia"/>
          <w:sz w:val="24"/>
        </w:rPr>
        <w:t xml:space="preserve"> 供水温度应能根据室外温度进行调节；</w:t>
      </w:r>
    </w:p>
    <w:p>
      <w:pPr>
        <w:spacing w:line="360" w:lineRule="auto"/>
        <w:ind w:firstLine="480" w:firstLineChars="200"/>
        <w:rPr>
          <w:sz w:val="24"/>
        </w:rPr>
      </w:pPr>
      <w:r>
        <w:rPr>
          <w:sz w:val="24"/>
        </w:rPr>
        <w:t>3</w:t>
      </w:r>
      <w:r>
        <w:rPr>
          <w:rFonts w:hint="eastAsia"/>
          <w:sz w:val="24"/>
        </w:rPr>
        <w:t xml:space="preserve"> 供水流量应能根据末端需求进行调节；</w:t>
      </w:r>
    </w:p>
    <w:p>
      <w:pPr>
        <w:spacing w:line="360" w:lineRule="auto"/>
        <w:ind w:firstLine="480" w:firstLineChars="200"/>
        <w:rPr>
          <w:sz w:val="24"/>
        </w:rPr>
      </w:pPr>
      <w:r>
        <w:rPr>
          <w:sz w:val="24"/>
        </w:rPr>
        <w:t>4</w:t>
      </w:r>
      <w:r>
        <w:rPr>
          <w:rFonts w:hint="eastAsia"/>
          <w:sz w:val="24"/>
        </w:rPr>
        <w:t xml:space="preserve"> 宜能根据末端需求进行水泵台数和转速的控制；</w:t>
      </w:r>
    </w:p>
    <w:p>
      <w:pPr>
        <w:spacing w:line="360" w:lineRule="auto"/>
        <w:ind w:firstLine="480" w:firstLineChars="200"/>
        <w:rPr>
          <w:sz w:val="24"/>
        </w:rPr>
      </w:pPr>
      <w:r>
        <w:rPr>
          <w:sz w:val="24"/>
        </w:rPr>
        <w:t>5</w:t>
      </w:r>
      <w:r>
        <w:rPr>
          <w:rFonts w:hint="eastAsia"/>
          <w:b/>
          <w:sz w:val="24"/>
        </w:rPr>
        <w:t xml:space="preserve"> </w:t>
      </w:r>
      <w:r>
        <w:rPr>
          <w:rFonts w:hint="eastAsia"/>
          <w:sz w:val="24"/>
        </w:rPr>
        <w:t>应能根据需求供热量调节锅炉的投运台数和投入燃料量。</w:t>
      </w:r>
    </w:p>
    <w:p>
      <w:pPr>
        <w:spacing w:line="360" w:lineRule="auto"/>
      </w:pPr>
    </w:p>
    <w:p>
      <w:pPr>
        <w:tabs>
          <w:tab w:val="left" w:pos="6888"/>
        </w:tabs>
        <w:spacing w:line="360" w:lineRule="auto"/>
        <w:rPr>
          <w:rFonts w:eastAsiaTheme="minorEastAsia"/>
        </w:rPr>
      </w:pPr>
      <w:r>
        <w:rPr>
          <w:b/>
          <w:bCs/>
          <w:sz w:val="24"/>
        </w:rPr>
        <w:t>4.5.5</w:t>
      </w:r>
      <w:r>
        <w:rPr>
          <w:rFonts w:hint="eastAsia"/>
          <w:b/>
          <w:bCs/>
          <w:sz w:val="24"/>
        </w:rPr>
        <w:t xml:space="preserve"> </w:t>
      </w:r>
      <w:r>
        <w:rPr>
          <w:rFonts w:hint="eastAsia"/>
          <w:sz w:val="24"/>
        </w:rPr>
        <w:t xml:space="preserve"> 供暖空调系统末端室温调控要求应符合</w:t>
      </w:r>
      <w:r>
        <w:rPr>
          <w:sz w:val="24"/>
        </w:rPr>
        <w:t>现行强制性工程建设规范《建筑节能与可再生能源利用通用规范》GB55015的要求。</w:t>
      </w:r>
    </w:p>
    <w:p>
      <w:pPr>
        <w:spacing w:line="360" w:lineRule="auto"/>
        <w:ind w:firstLine="420"/>
        <w:rPr>
          <w:b/>
          <w:kern w:val="0"/>
          <w:sz w:val="24"/>
        </w:rPr>
      </w:pPr>
    </w:p>
    <w:p>
      <w:pPr>
        <w:spacing w:line="360" w:lineRule="auto"/>
        <w:rPr>
          <w:kern w:val="0"/>
          <w:sz w:val="24"/>
        </w:rPr>
      </w:pPr>
      <w:r>
        <w:rPr>
          <w:rFonts w:hint="eastAsia"/>
          <w:b/>
          <w:kern w:val="0"/>
          <w:sz w:val="24"/>
        </w:rPr>
        <w:t>4.5.</w:t>
      </w:r>
      <w:r>
        <w:rPr>
          <w:b/>
          <w:kern w:val="0"/>
          <w:sz w:val="24"/>
        </w:rPr>
        <w:t>6</w:t>
      </w:r>
      <w:r>
        <w:rPr>
          <w:rFonts w:hint="eastAsia"/>
          <w:kern w:val="0"/>
          <w:sz w:val="24"/>
        </w:rPr>
        <w:t>冷热源机房的控制功能应符合下列规定：</w:t>
      </w:r>
    </w:p>
    <w:p>
      <w:pPr>
        <w:spacing w:line="360" w:lineRule="auto"/>
        <w:ind w:firstLine="420"/>
        <w:rPr>
          <w:b/>
          <w:sz w:val="24"/>
        </w:rPr>
      </w:pPr>
      <w:r>
        <w:rPr>
          <w:b/>
          <w:sz w:val="24"/>
        </w:rPr>
        <w:t>1</w:t>
      </w:r>
      <w:r>
        <w:rPr>
          <w:rFonts w:hint="eastAsia"/>
          <w:sz w:val="24"/>
        </w:rPr>
        <w:t>应能进行冷水机组的台数控制，宜采用冷量优化控制方式；</w:t>
      </w:r>
    </w:p>
    <w:p>
      <w:pPr>
        <w:spacing w:line="360" w:lineRule="auto"/>
        <w:ind w:firstLine="420"/>
        <w:rPr>
          <w:b/>
          <w:sz w:val="24"/>
        </w:rPr>
      </w:pPr>
      <w:r>
        <w:rPr>
          <w:b/>
          <w:sz w:val="24"/>
        </w:rPr>
        <w:t>2</w:t>
      </w:r>
      <w:r>
        <w:rPr>
          <w:rFonts w:hint="eastAsia"/>
          <w:sz w:val="24"/>
        </w:rPr>
        <w:t>应能进行水泵的台数控制，宜采用流量优化控制方式；二级泵应能进行自动变速控制，宜根据管道压差控制转速，且压差宜能优化调节；</w:t>
      </w:r>
    </w:p>
    <w:p>
      <w:pPr>
        <w:spacing w:line="360" w:lineRule="auto"/>
        <w:ind w:firstLine="420"/>
        <w:rPr>
          <w:b/>
          <w:sz w:val="24"/>
        </w:rPr>
      </w:pPr>
      <w:r>
        <w:rPr>
          <w:b/>
          <w:sz w:val="24"/>
        </w:rPr>
        <w:t>3</w:t>
      </w:r>
      <w:r>
        <w:rPr>
          <w:rFonts w:hint="eastAsia"/>
          <w:sz w:val="24"/>
        </w:rPr>
        <w:t>应能进行冷却塔风机的台数控制，宜根据室外气象参数进行变速控制；</w:t>
      </w:r>
    </w:p>
    <w:p>
      <w:pPr>
        <w:spacing w:line="360" w:lineRule="auto"/>
        <w:ind w:firstLine="420"/>
        <w:rPr>
          <w:b/>
          <w:sz w:val="24"/>
        </w:rPr>
      </w:pPr>
      <w:r>
        <w:rPr>
          <w:b/>
          <w:sz w:val="24"/>
        </w:rPr>
        <w:t>4</w:t>
      </w:r>
      <w:r>
        <w:rPr>
          <w:rFonts w:hint="eastAsia"/>
          <w:sz w:val="24"/>
        </w:rPr>
        <w:t>宜能根据室外气象参数和末端需求进行供水温度的优化调节；</w:t>
      </w:r>
    </w:p>
    <w:p>
      <w:pPr>
        <w:spacing w:line="360" w:lineRule="auto"/>
        <w:ind w:firstLine="420"/>
        <w:rPr>
          <w:sz w:val="24"/>
        </w:rPr>
      </w:pPr>
      <w:r>
        <w:rPr>
          <w:b/>
          <w:sz w:val="24"/>
        </w:rPr>
        <w:t>5</w:t>
      </w:r>
      <w:r>
        <w:rPr>
          <w:rFonts w:hint="eastAsia"/>
          <w:sz w:val="24"/>
        </w:rPr>
        <w:t>冷热源主机设备3台以上的，宜采用机组群控方式；当采用群控方式时，控制系统应与冷水机组自带控制单元建立通信连接。</w:t>
      </w:r>
    </w:p>
    <w:p>
      <w:pPr>
        <w:autoSpaceDE w:val="0"/>
        <w:autoSpaceDN w:val="0"/>
        <w:adjustRightInd w:val="0"/>
        <w:spacing w:line="360" w:lineRule="auto"/>
        <w:ind w:firstLine="480" w:firstLineChars="200"/>
        <w:rPr>
          <w:rFonts w:cs="宋体"/>
          <w:kern w:val="0"/>
          <w:sz w:val="24"/>
        </w:rPr>
      </w:pPr>
      <w:r>
        <w:rPr>
          <w:rFonts w:cs="宋体"/>
          <w:kern w:val="0"/>
          <w:sz w:val="24"/>
        </w:rPr>
        <w:t>6</w:t>
      </w:r>
      <w:r>
        <w:rPr>
          <w:rFonts w:hint="eastAsia" w:cs="宋体"/>
          <w:kern w:val="0"/>
          <w:sz w:val="24"/>
        </w:rPr>
        <w:t>宜采用系统自动寻优控制。</w:t>
      </w:r>
    </w:p>
    <w:p>
      <w:pPr>
        <w:spacing w:line="360" w:lineRule="auto"/>
        <w:rPr>
          <w:b/>
          <w:kern w:val="0"/>
          <w:sz w:val="24"/>
        </w:rPr>
      </w:pPr>
    </w:p>
    <w:p>
      <w:pPr>
        <w:spacing w:line="360" w:lineRule="auto"/>
        <w:rPr>
          <w:kern w:val="0"/>
          <w:sz w:val="24"/>
        </w:rPr>
      </w:pPr>
      <w:r>
        <w:rPr>
          <w:rFonts w:hint="eastAsia"/>
          <w:b/>
          <w:kern w:val="0"/>
          <w:sz w:val="24"/>
        </w:rPr>
        <w:t>4.5.</w:t>
      </w:r>
      <w:r>
        <w:rPr>
          <w:b/>
          <w:kern w:val="0"/>
          <w:sz w:val="24"/>
        </w:rPr>
        <w:t>7</w:t>
      </w:r>
      <w:r>
        <w:rPr>
          <w:rFonts w:hint="eastAsia"/>
          <w:kern w:val="0"/>
          <w:sz w:val="24"/>
        </w:rPr>
        <w:t>全空气空调系统的控制应符合下列规定：</w:t>
      </w:r>
    </w:p>
    <w:p>
      <w:pPr>
        <w:spacing w:line="360" w:lineRule="auto"/>
        <w:ind w:firstLine="420"/>
        <w:rPr>
          <w:sz w:val="24"/>
        </w:rPr>
      </w:pPr>
      <w:r>
        <w:rPr>
          <w:rFonts w:hint="eastAsia"/>
          <w:b/>
          <w:sz w:val="24"/>
        </w:rPr>
        <w:t xml:space="preserve">1 </w:t>
      </w:r>
      <w:r>
        <w:rPr>
          <w:rFonts w:hint="eastAsia"/>
          <w:sz w:val="24"/>
        </w:rPr>
        <w:t>应能进行风机、风阀和水阀的启停连锁控制；</w:t>
      </w:r>
    </w:p>
    <w:p>
      <w:pPr>
        <w:spacing w:line="360" w:lineRule="auto"/>
        <w:ind w:firstLine="420"/>
        <w:rPr>
          <w:kern w:val="0"/>
          <w:sz w:val="24"/>
        </w:rPr>
      </w:pPr>
      <w:r>
        <w:rPr>
          <w:b/>
          <w:kern w:val="0"/>
          <w:sz w:val="24"/>
        </w:rPr>
        <w:t>2</w:t>
      </w:r>
      <w:r>
        <w:rPr>
          <w:rFonts w:hint="eastAsia"/>
          <w:b/>
          <w:kern w:val="0"/>
          <w:sz w:val="24"/>
        </w:rPr>
        <w:t xml:space="preserve"> </w:t>
      </w:r>
      <w:r>
        <w:rPr>
          <w:rFonts w:hint="eastAsia"/>
          <w:kern w:val="0"/>
          <w:sz w:val="24"/>
        </w:rPr>
        <w:t>应能按使用时间进行定时启停控制，宜对启停时间进行优化调整；</w:t>
      </w:r>
    </w:p>
    <w:p>
      <w:pPr>
        <w:spacing w:line="360" w:lineRule="auto"/>
        <w:ind w:firstLine="405"/>
        <w:rPr>
          <w:kern w:val="0"/>
          <w:sz w:val="24"/>
        </w:rPr>
      </w:pPr>
      <w:r>
        <w:rPr>
          <w:b/>
          <w:kern w:val="0"/>
          <w:sz w:val="24"/>
        </w:rPr>
        <w:t>3</w:t>
      </w:r>
      <w:r>
        <w:rPr>
          <w:rFonts w:hint="eastAsia"/>
          <w:b/>
          <w:kern w:val="0"/>
          <w:sz w:val="24"/>
        </w:rPr>
        <w:t xml:space="preserve"> </w:t>
      </w:r>
      <w:r>
        <w:rPr>
          <w:rFonts w:hint="eastAsia"/>
          <w:kern w:val="0"/>
          <w:sz w:val="24"/>
        </w:rPr>
        <w:t>采用变风量系统时，风机应采用变速控制方式；</w:t>
      </w:r>
    </w:p>
    <w:p>
      <w:pPr>
        <w:spacing w:line="360" w:lineRule="auto"/>
        <w:ind w:firstLine="405"/>
        <w:rPr>
          <w:kern w:val="0"/>
          <w:sz w:val="24"/>
        </w:rPr>
      </w:pPr>
      <w:r>
        <w:rPr>
          <w:rFonts w:hint="eastAsia"/>
          <w:b/>
          <w:kern w:val="0"/>
          <w:sz w:val="24"/>
        </w:rPr>
        <w:t xml:space="preserve">4 </w:t>
      </w:r>
      <w:r>
        <w:rPr>
          <w:rFonts w:hint="eastAsia"/>
          <w:kern w:val="0"/>
          <w:sz w:val="24"/>
        </w:rPr>
        <w:t>过渡季宜采用加大新风比的控制方式；</w:t>
      </w:r>
    </w:p>
    <w:p>
      <w:pPr>
        <w:spacing w:line="360" w:lineRule="auto"/>
        <w:ind w:firstLine="405"/>
        <w:rPr>
          <w:kern w:val="0"/>
          <w:sz w:val="24"/>
        </w:rPr>
      </w:pPr>
      <w:r>
        <w:rPr>
          <w:rFonts w:hint="eastAsia"/>
          <w:b/>
          <w:kern w:val="0"/>
          <w:sz w:val="24"/>
        </w:rPr>
        <w:t xml:space="preserve">5 </w:t>
      </w:r>
      <w:r>
        <w:rPr>
          <w:rFonts w:hint="eastAsia"/>
          <w:kern w:val="0"/>
          <w:sz w:val="24"/>
        </w:rPr>
        <w:t>宜根据室外气象参数优化调节室内温度设定值；</w:t>
      </w:r>
    </w:p>
    <w:p>
      <w:pPr>
        <w:spacing w:line="360" w:lineRule="auto"/>
        <w:ind w:firstLine="405"/>
        <w:rPr>
          <w:kern w:val="0"/>
          <w:sz w:val="24"/>
        </w:rPr>
      </w:pPr>
      <w:r>
        <w:rPr>
          <w:rFonts w:hint="eastAsia"/>
          <w:b/>
          <w:kern w:val="0"/>
          <w:sz w:val="24"/>
        </w:rPr>
        <w:t xml:space="preserve">6 </w:t>
      </w:r>
      <w:r>
        <w:rPr>
          <w:rFonts w:hint="eastAsia"/>
          <w:kern w:val="0"/>
          <w:sz w:val="24"/>
        </w:rPr>
        <w:t>全新风系统送风末端宜采用设置人离延时关闭控制方式。</w:t>
      </w:r>
    </w:p>
    <w:p>
      <w:pPr>
        <w:autoSpaceDE w:val="0"/>
        <w:autoSpaceDN w:val="0"/>
        <w:adjustRightInd w:val="0"/>
        <w:spacing w:line="360" w:lineRule="auto"/>
        <w:ind w:firstLine="420"/>
        <w:rPr>
          <w:rFonts w:cs="Arial"/>
          <w:b/>
          <w:kern w:val="0"/>
          <w:sz w:val="24"/>
        </w:rPr>
      </w:pPr>
    </w:p>
    <w:p>
      <w:pPr>
        <w:spacing w:line="360" w:lineRule="auto"/>
        <w:rPr>
          <w:kern w:val="0"/>
          <w:sz w:val="24"/>
        </w:rPr>
      </w:pPr>
      <w:r>
        <w:rPr>
          <w:rFonts w:hint="eastAsia"/>
          <w:b/>
          <w:kern w:val="0"/>
          <w:sz w:val="24"/>
        </w:rPr>
        <w:t>4.5.</w:t>
      </w:r>
      <w:r>
        <w:rPr>
          <w:b/>
          <w:kern w:val="0"/>
          <w:sz w:val="24"/>
        </w:rPr>
        <w:t>8</w:t>
      </w:r>
      <w:r>
        <w:rPr>
          <w:rFonts w:hint="eastAsia"/>
          <w:kern w:val="0"/>
          <w:sz w:val="24"/>
        </w:rPr>
        <w:t>风机盘管应采用电动水阀和风速相结合的控制方式，宜设置常闭式电动通断阀。公共区域风机盘管的控制应符合下列规定：</w:t>
      </w:r>
    </w:p>
    <w:p>
      <w:pPr>
        <w:spacing w:line="360" w:lineRule="auto"/>
        <w:ind w:firstLine="405"/>
        <w:rPr>
          <w:sz w:val="24"/>
        </w:rPr>
      </w:pPr>
      <w:r>
        <w:rPr>
          <w:rFonts w:hint="eastAsia"/>
          <w:b/>
          <w:sz w:val="24"/>
        </w:rPr>
        <w:t xml:space="preserve">1 </w:t>
      </w:r>
      <w:r>
        <w:rPr>
          <w:rFonts w:hint="eastAsia"/>
          <w:sz w:val="24"/>
        </w:rPr>
        <w:t>应能对室内温度设定值范围进行限制；</w:t>
      </w:r>
    </w:p>
    <w:p>
      <w:pPr>
        <w:spacing w:line="360" w:lineRule="auto"/>
        <w:ind w:firstLine="405"/>
        <w:rPr>
          <w:kern w:val="0"/>
          <w:sz w:val="24"/>
        </w:rPr>
      </w:pPr>
      <w:r>
        <w:rPr>
          <w:b/>
          <w:kern w:val="0"/>
          <w:sz w:val="24"/>
        </w:rPr>
        <w:t>2</w:t>
      </w:r>
      <w:r>
        <w:rPr>
          <w:rFonts w:hint="eastAsia"/>
          <w:b/>
          <w:kern w:val="0"/>
          <w:sz w:val="24"/>
        </w:rPr>
        <w:t xml:space="preserve"> </w:t>
      </w:r>
      <w:r>
        <w:rPr>
          <w:rFonts w:hint="eastAsia"/>
          <w:kern w:val="0"/>
          <w:sz w:val="24"/>
        </w:rPr>
        <w:t>应能按使用时间进行定时启停控制，宜对启停时间进行优化调整。</w:t>
      </w:r>
    </w:p>
    <w:p>
      <w:pPr>
        <w:autoSpaceDE w:val="0"/>
        <w:autoSpaceDN w:val="0"/>
        <w:adjustRightInd w:val="0"/>
        <w:spacing w:line="360" w:lineRule="auto"/>
        <w:rPr>
          <w:kern w:val="0"/>
          <w:sz w:val="24"/>
        </w:rPr>
      </w:pPr>
    </w:p>
    <w:p>
      <w:pPr>
        <w:spacing w:line="360" w:lineRule="auto"/>
        <w:rPr>
          <w:kern w:val="0"/>
          <w:sz w:val="24"/>
        </w:rPr>
      </w:pPr>
      <w:r>
        <w:rPr>
          <w:b/>
          <w:kern w:val="0"/>
          <w:sz w:val="24"/>
        </w:rPr>
        <w:t>4.5.9</w:t>
      </w:r>
      <w:r>
        <w:rPr>
          <w:rFonts w:hint="eastAsia"/>
          <w:kern w:val="0"/>
          <w:sz w:val="24"/>
        </w:rPr>
        <w:t>以排除房间余热为主的通风系统，宜根据房间温度控制通风设备运行台数或转速。</w:t>
      </w:r>
    </w:p>
    <w:p>
      <w:pPr>
        <w:autoSpaceDE w:val="0"/>
        <w:autoSpaceDN w:val="0"/>
        <w:adjustRightInd w:val="0"/>
        <w:spacing w:line="360" w:lineRule="auto"/>
        <w:rPr>
          <w:kern w:val="0"/>
          <w:sz w:val="24"/>
        </w:rPr>
      </w:pPr>
    </w:p>
    <w:p>
      <w:pPr>
        <w:spacing w:line="360" w:lineRule="auto"/>
        <w:rPr>
          <w:b/>
          <w:kern w:val="0"/>
          <w:sz w:val="24"/>
        </w:rPr>
      </w:pPr>
      <w:r>
        <w:rPr>
          <w:rFonts w:hint="eastAsia"/>
          <w:b/>
          <w:kern w:val="0"/>
          <w:sz w:val="24"/>
        </w:rPr>
        <w:t>4.5.</w:t>
      </w:r>
      <w:r>
        <w:rPr>
          <w:b/>
          <w:kern w:val="0"/>
          <w:sz w:val="24"/>
        </w:rPr>
        <w:t>10</w:t>
      </w:r>
      <w:r>
        <w:rPr>
          <w:rFonts w:hint="eastAsia"/>
          <w:kern w:val="0"/>
          <w:sz w:val="24"/>
        </w:rPr>
        <w:t>地下停车库风机宜采用多台并联方式或设置风机调速装置，并宜根据使用情况对通风机设置定时启停（台数）控制或根据车库内的</w:t>
      </w:r>
      <w:r>
        <w:rPr>
          <w:kern w:val="0"/>
          <w:sz w:val="24"/>
        </w:rPr>
        <w:t>CO</w:t>
      </w:r>
      <w:r>
        <w:rPr>
          <w:rFonts w:hint="eastAsia"/>
          <w:kern w:val="0"/>
          <w:sz w:val="24"/>
        </w:rPr>
        <w:t>浓度进行自动运行控制。</w:t>
      </w:r>
    </w:p>
    <w:p>
      <w:pPr>
        <w:autoSpaceDE w:val="0"/>
        <w:autoSpaceDN w:val="0"/>
        <w:adjustRightInd w:val="0"/>
        <w:spacing w:line="360" w:lineRule="auto"/>
        <w:rPr>
          <w:kern w:val="0"/>
        </w:rPr>
      </w:pPr>
    </w:p>
    <w:p>
      <w:pPr>
        <w:autoSpaceDE w:val="0"/>
        <w:autoSpaceDN w:val="0"/>
        <w:adjustRightInd w:val="0"/>
        <w:spacing w:line="360" w:lineRule="auto"/>
        <w:rPr>
          <w:kern w:val="0"/>
          <w:sz w:val="24"/>
        </w:rPr>
      </w:pPr>
      <w:r>
        <w:rPr>
          <w:rFonts w:cs="Arial"/>
          <w:b/>
          <w:kern w:val="0"/>
          <w:sz w:val="24"/>
        </w:rPr>
        <w:t>4.5.11</w:t>
      </w:r>
      <w:r>
        <w:rPr>
          <w:rFonts w:hint="eastAsia"/>
          <w:kern w:val="0"/>
          <w:sz w:val="24"/>
        </w:rPr>
        <w:t>间歇运行的空气调节系统，宜设置自动启停控制装置。控制装置应具备按预定时间表、按服务区域是否有人等模式控制设备启停的功能。</w:t>
      </w:r>
    </w:p>
    <w:p>
      <w:pPr>
        <w:widowControl/>
        <w:spacing w:line="276" w:lineRule="auto"/>
        <w:jc w:val="left"/>
        <w:rPr>
          <w:rFonts w:cs="Arial"/>
          <w:kern w:val="0"/>
          <w:sz w:val="24"/>
        </w:rPr>
      </w:pPr>
    </w:p>
    <w:p>
      <w:pPr>
        <w:widowControl/>
        <w:jc w:val="center"/>
        <w:rPr>
          <w:rFonts w:cs="Arial"/>
          <w:kern w:val="0"/>
          <w:sz w:val="24"/>
        </w:rPr>
      </w:pPr>
      <w:r>
        <w:rPr>
          <w:rFonts w:cs="Arial"/>
          <w:kern w:val="0"/>
          <w:sz w:val="24"/>
        </w:rPr>
        <w:br w:type="page"/>
      </w:r>
    </w:p>
    <w:p>
      <w:pPr>
        <w:pStyle w:val="2"/>
        <w:spacing w:line="276" w:lineRule="auto"/>
        <w:jc w:val="center"/>
      </w:pPr>
      <w:bookmarkStart w:id="68" w:name="_Toc376970885"/>
      <w:bookmarkStart w:id="69" w:name="_Toc146734722"/>
      <w:bookmarkStart w:id="70" w:name="_Toc377052140"/>
      <w:r>
        <w:rPr>
          <w:rFonts w:hint="eastAsia"/>
        </w:rPr>
        <w:t>5给水排水</w:t>
      </w:r>
      <w:bookmarkEnd w:id="68"/>
      <w:bookmarkEnd w:id="69"/>
      <w:bookmarkEnd w:id="70"/>
    </w:p>
    <w:p>
      <w:pPr>
        <w:pStyle w:val="3"/>
        <w:spacing w:line="276" w:lineRule="auto"/>
        <w:jc w:val="center"/>
        <w:rPr>
          <w:rFonts w:ascii="Times New Roman" w:hAnsi="Times New Roman" w:eastAsia="宋体"/>
        </w:rPr>
      </w:pPr>
      <w:bookmarkStart w:id="71" w:name="_Toc146734723"/>
      <w:r>
        <w:rPr>
          <w:rFonts w:hint="eastAsia" w:ascii="Times New Roman" w:hAnsi="Times New Roman" w:eastAsia="宋体"/>
        </w:rPr>
        <w:t>5</w:t>
      </w:r>
      <w:r>
        <w:rPr>
          <w:rFonts w:ascii="Times New Roman" w:hAnsi="Times New Roman" w:eastAsia="宋体"/>
        </w:rPr>
        <w:t>.1</w:t>
      </w:r>
      <w:r>
        <w:rPr>
          <w:rFonts w:hint="eastAsia" w:ascii="Times New Roman" w:hAnsi="Times New Roman" w:eastAsia="宋体"/>
        </w:rPr>
        <w:t>一般规定</w:t>
      </w:r>
      <w:bookmarkEnd w:id="71"/>
    </w:p>
    <w:p>
      <w:pPr>
        <w:tabs>
          <w:tab w:val="left" w:pos="6888"/>
        </w:tabs>
        <w:spacing w:line="360" w:lineRule="auto"/>
        <w:rPr>
          <w:rFonts w:eastAsiaTheme="minorEastAsia"/>
        </w:rPr>
      </w:pPr>
      <w:r>
        <w:rPr>
          <w:rFonts w:hint="eastAsia" w:cs="Arial"/>
          <w:b/>
          <w:sz w:val="24"/>
        </w:rPr>
        <w:t>5</w:t>
      </w:r>
      <w:r>
        <w:rPr>
          <w:rFonts w:cs="Arial"/>
          <w:b/>
          <w:sz w:val="24"/>
        </w:rPr>
        <w:t>.1.1</w:t>
      </w:r>
      <w:r>
        <w:rPr>
          <w:rFonts w:hint="eastAsia" w:cs="Arial"/>
          <w:bCs/>
          <w:sz w:val="24"/>
        </w:rPr>
        <w:t>集中生活热水供应系统的热源、生活热水各类热源的设备能效限值和给水泵设计选型的效率限值</w:t>
      </w:r>
      <w:r>
        <w:rPr>
          <w:rFonts w:hint="eastAsia"/>
          <w:bCs/>
          <w:sz w:val="24"/>
        </w:rPr>
        <w:t>应符合现行</w:t>
      </w:r>
      <w:bookmarkStart w:id="72" w:name="_Hlk146268926"/>
      <w:r>
        <w:rPr>
          <w:rFonts w:hint="eastAsia"/>
          <w:bCs/>
          <w:sz w:val="24"/>
        </w:rPr>
        <w:t>国家标准</w:t>
      </w:r>
      <w:r>
        <w:rPr>
          <w:rFonts w:hint="eastAsia"/>
          <w:sz w:val="24"/>
        </w:rPr>
        <w:t>《建筑节能与可再生能源利用通用规范》</w:t>
      </w:r>
      <w:bookmarkEnd w:id="72"/>
      <w:r>
        <w:rPr>
          <w:sz w:val="24"/>
        </w:rPr>
        <w:t>GB55015</w:t>
      </w:r>
      <w:r>
        <w:rPr>
          <w:rFonts w:hint="eastAsia"/>
          <w:sz w:val="24"/>
        </w:rPr>
        <w:t>的规定。</w:t>
      </w:r>
    </w:p>
    <w:p>
      <w:pPr>
        <w:spacing w:line="360" w:lineRule="auto"/>
        <w:rPr>
          <w:rFonts w:ascii="楷体" w:hAnsi="楷体" w:eastAsia="楷体"/>
          <w:szCs w:val="21"/>
        </w:rPr>
      </w:pPr>
    </w:p>
    <w:p>
      <w:pPr>
        <w:spacing w:line="360" w:lineRule="auto"/>
        <w:rPr>
          <w:rFonts w:cs="Arial"/>
          <w:sz w:val="24"/>
        </w:rPr>
      </w:pPr>
      <w:r>
        <w:rPr>
          <w:rFonts w:cs="Arial"/>
          <w:b/>
          <w:sz w:val="24"/>
        </w:rPr>
        <w:t>5.1.2</w:t>
      </w:r>
      <w:r>
        <w:rPr>
          <w:rFonts w:hint="eastAsia" w:cs="Arial"/>
          <w:sz w:val="24"/>
        </w:rPr>
        <w:t>给水排水系统的节水设计应符合</w:t>
      </w:r>
      <w:r>
        <w:rPr>
          <w:rFonts w:cs="Arial"/>
          <w:sz w:val="24"/>
        </w:rPr>
        <w:t>国家现行标准</w:t>
      </w:r>
      <w:r>
        <w:rPr>
          <w:rFonts w:hint="eastAsia" w:cs="Arial"/>
          <w:sz w:val="24"/>
        </w:rPr>
        <w:t>《建筑给水排水与节水通用规范》</w:t>
      </w:r>
      <w:r>
        <w:rPr>
          <w:rFonts w:cs="Arial"/>
          <w:sz w:val="24"/>
        </w:rPr>
        <w:t>GB55020</w:t>
      </w:r>
      <w:r>
        <w:rPr>
          <w:rFonts w:hint="eastAsia" w:cs="Arial"/>
          <w:sz w:val="24"/>
        </w:rPr>
        <w:t>、《建筑给水排水设计标准》GB50015和</w:t>
      </w:r>
      <w:r>
        <w:rPr>
          <w:rFonts w:cs="Arial"/>
          <w:sz w:val="24"/>
        </w:rPr>
        <w:t>《民用建筑节水设计标准》GB50555有关规定。</w:t>
      </w:r>
    </w:p>
    <w:p>
      <w:pPr>
        <w:spacing w:line="360" w:lineRule="auto"/>
        <w:rPr>
          <w:sz w:val="24"/>
        </w:rPr>
      </w:pPr>
    </w:p>
    <w:p>
      <w:pPr>
        <w:spacing w:line="360" w:lineRule="auto"/>
        <w:rPr>
          <w:rFonts w:cs="Arial"/>
          <w:sz w:val="24"/>
        </w:rPr>
      </w:pPr>
      <w:r>
        <w:rPr>
          <w:rFonts w:cs="Arial"/>
          <w:b/>
          <w:sz w:val="24"/>
        </w:rPr>
        <w:t>5.1.3</w:t>
      </w:r>
      <w:r>
        <w:rPr>
          <w:rFonts w:hint="eastAsia" w:cs="Arial"/>
          <w:sz w:val="24"/>
        </w:rPr>
        <w:t>计量水表应根据建筑类型、用水部门和管理要求等因素进行设置，宜采用智能型水表，并</w:t>
      </w:r>
      <w:r>
        <w:rPr>
          <w:rFonts w:cs="Arial"/>
          <w:sz w:val="24"/>
        </w:rPr>
        <w:t>应</w:t>
      </w:r>
      <w:r>
        <w:rPr>
          <w:rFonts w:hint="eastAsia" w:cs="Arial"/>
          <w:sz w:val="24"/>
        </w:rPr>
        <w:t>符合</w:t>
      </w:r>
      <w:r>
        <w:rPr>
          <w:rFonts w:cs="Arial"/>
          <w:sz w:val="24"/>
        </w:rPr>
        <w:t>现行国家标准《民用建筑节水设计标准》GB 50555的有关规定。</w:t>
      </w:r>
    </w:p>
    <w:p>
      <w:pPr>
        <w:spacing w:line="360" w:lineRule="auto"/>
        <w:rPr>
          <w:rFonts w:ascii="楷体" w:hAnsi="楷体" w:eastAsia="楷体"/>
        </w:rPr>
      </w:pPr>
    </w:p>
    <w:p>
      <w:pPr>
        <w:spacing w:line="360" w:lineRule="auto"/>
        <w:rPr>
          <w:rFonts w:asciiTheme="minorEastAsia" w:hAnsiTheme="minorEastAsia" w:eastAsiaTheme="minorEastAsia"/>
          <w:sz w:val="24"/>
        </w:rPr>
      </w:pPr>
      <w:r>
        <w:rPr>
          <w:rFonts w:eastAsiaTheme="minorEastAsia"/>
          <w:b/>
          <w:sz w:val="24"/>
        </w:rPr>
        <w:t>5.1.4</w:t>
      </w:r>
      <w:r>
        <w:rPr>
          <w:rFonts w:hint="eastAsia" w:cs="Arial" w:asciiTheme="minorEastAsia" w:hAnsiTheme="minorEastAsia" w:eastAsiaTheme="minorEastAsia"/>
          <w:sz w:val="24"/>
        </w:rPr>
        <w:t>有计量要求的水加热、</w:t>
      </w:r>
      <w:r>
        <w:rPr>
          <w:rFonts w:hint="eastAsia" w:asciiTheme="minorEastAsia" w:hAnsiTheme="minorEastAsia" w:eastAsiaTheme="minorEastAsia"/>
          <w:sz w:val="24"/>
        </w:rPr>
        <w:t>换热站室，应安装热水表、热量表、蒸汽流量计或能源计量表。</w:t>
      </w:r>
    </w:p>
    <w:p>
      <w:pPr>
        <w:spacing w:line="360" w:lineRule="auto"/>
        <w:rPr>
          <w:szCs w:val="21"/>
        </w:rPr>
      </w:pPr>
    </w:p>
    <w:p>
      <w:pPr>
        <w:spacing w:line="360" w:lineRule="auto"/>
        <w:rPr>
          <w:rFonts w:cs="Arial"/>
          <w:sz w:val="24"/>
        </w:rPr>
      </w:pPr>
      <w:r>
        <w:rPr>
          <w:rFonts w:cs="Arial"/>
          <w:b/>
          <w:sz w:val="24"/>
        </w:rPr>
        <w:t>5.1.5</w:t>
      </w:r>
      <w:r>
        <w:rPr>
          <w:rFonts w:hint="eastAsia" w:cs="Arial"/>
          <w:sz w:val="24"/>
        </w:rPr>
        <w:t>给水泵应根据给水管网水力计算结果选型，并应保证设计工况下水泵效率处在高效区。</w:t>
      </w:r>
    </w:p>
    <w:p>
      <w:pPr>
        <w:spacing w:line="360" w:lineRule="auto"/>
        <w:rPr>
          <w:rFonts w:cs="Arial"/>
          <w:b/>
          <w:bCs/>
          <w:sz w:val="24"/>
        </w:rPr>
      </w:pPr>
    </w:p>
    <w:p>
      <w:pPr>
        <w:spacing w:line="360" w:lineRule="auto"/>
        <w:rPr>
          <w:rFonts w:cs="Arial"/>
          <w:b/>
          <w:sz w:val="24"/>
        </w:rPr>
      </w:pPr>
      <w:r>
        <w:rPr>
          <w:rFonts w:cs="Arial"/>
          <w:b/>
          <w:sz w:val="24"/>
        </w:rPr>
        <w:t>5.1.6</w:t>
      </w:r>
      <w:r>
        <w:rPr>
          <w:rFonts w:cs="Arial"/>
          <w:sz w:val="24"/>
        </w:rPr>
        <w:t>卫生间的卫生器具和配件应符合</w:t>
      </w:r>
      <w:r>
        <w:rPr>
          <w:rFonts w:hint="eastAsia" w:cs="Arial"/>
          <w:sz w:val="24"/>
        </w:rPr>
        <w:t>现行</w:t>
      </w:r>
      <w:r>
        <w:rPr>
          <w:rFonts w:cs="Arial"/>
          <w:sz w:val="24"/>
        </w:rPr>
        <w:t>行业标准《节水型生活用水器具》CJ 164的</w:t>
      </w:r>
      <w:r>
        <w:rPr>
          <w:rFonts w:hint="eastAsia" w:cs="Arial"/>
          <w:sz w:val="24"/>
        </w:rPr>
        <w:t>有关</w:t>
      </w:r>
      <w:r>
        <w:rPr>
          <w:rFonts w:cs="Arial"/>
          <w:sz w:val="24"/>
        </w:rPr>
        <w:t>规定。</w:t>
      </w:r>
    </w:p>
    <w:p>
      <w:pPr>
        <w:pStyle w:val="3"/>
        <w:spacing w:line="276" w:lineRule="auto"/>
        <w:jc w:val="center"/>
        <w:rPr>
          <w:rFonts w:ascii="Times New Roman" w:hAnsi="Times New Roman" w:eastAsia="宋体"/>
        </w:rPr>
      </w:pPr>
      <w:bookmarkStart w:id="73" w:name="_Toc146734724"/>
      <w:r>
        <w:rPr>
          <w:rFonts w:hint="eastAsia" w:ascii="Times New Roman" w:hAnsi="Times New Roman" w:eastAsia="宋体"/>
        </w:rPr>
        <w:t>5.2给水与排水系统设计</w:t>
      </w:r>
      <w:bookmarkEnd w:id="73"/>
    </w:p>
    <w:p>
      <w:pPr>
        <w:spacing w:line="360" w:lineRule="auto"/>
        <w:rPr>
          <w:rFonts w:cs="Arial"/>
          <w:sz w:val="24"/>
        </w:rPr>
      </w:pPr>
      <w:r>
        <w:rPr>
          <w:rFonts w:cs="Arial"/>
          <w:b/>
          <w:sz w:val="24"/>
        </w:rPr>
        <w:t>5.2.1</w:t>
      </w:r>
      <w:r>
        <w:rPr>
          <w:rFonts w:cs="Arial"/>
          <w:sz w:val="24"/>
        </w:rPr>
        <w:t>给水系统应充分利用城镇给水管网或小区给水管网的水压直接供水。</w:t>
      </w:r>
      <w:r>
        <w:rPr>
          <w:rFonts w:hint="eastAsia" w:cs="Arial"/>
          <w:sz w:val="24"/>
        </w:rPr>
        <w:t>经</w:t>
      </w:r>
      <w:r>
        <w:rPr>
          <w:rFonts w:cs="Arial"/>
          <w:sz w:val="24"/>
        </w:rPr>
        <w:t>批准可采用叠压供水系统。</w:t>
      </w:r>
    </w:p>
    <w:p>
      <w:pPr>
        <w:spacing w:line="360" w:lineRule="auto"/>
        <w:rPr>
          <w:rFonts w:cs="Arial"/>
          <w:b/>
          <w:bCs/>
          <w:sz w:val="24"/>
        </w:rPr>
      </w:pPr>
    </w:p>
    <w:p>
      <w:pPr>
        <w:spacing w:line="360" w:lineRule="auto"/>
        <w:rPr>
          <w:rFonts w:cs="Arial"/>
          <w:sz w:val="24"/>
        </w:rPr>
      </w:pPr>
      <w:r>
        <w:rPr>
          <w:rFonts w:cs="Arial"/>
          <w:b/>
          <w:sz w:val="24"/>
        </w:rPr>
        <w:t>5.2.2</w:t>
      </w:r>
      <w:r>
        <w:rPr>
          <w:rFonts w:hint="eastAsia" w:cs="Arial"/>
          <w:sz w:val="24"/>
        </w:rPr>
        <w:t>二次</w:t>
      </w:r>
      <w:r>
        <w:rPr>
          <w:rFonts w:cs="Arial"/>
          <w:sz w:val="24"/>
        </w:rPr>
        <w:t>加压</w:t>
      </w:r>
      <w:r>
        <w:rPr>
          <w:rFonts w:hint="eastAsia" w:cs="Arial"/>
          <w:sz w:val="24"/>
        </w:rPr>
        <w:t>泵</w:t>
      </w:r>
      <w:r>
        <w:rPr>
          <w:rFonts w:cs="Arial"/>
          <w:sz w:val="24"/>
        </w:rPr>
        <w:t>站的数量、规模</w:t>
      </w:r>
      <w:r>
        <w:rPr>
          <w:rFonts w:hint="eastAsia" w:cs="Arial"/>
          <w:sz w:val="24"/>
        </w:rPr>
        <w:t>、</w:t>
      </w:r>
      <w:r>
        <w:rPr>
          <w:rFonts w:cs="Arial"/>
          <w:sz w:val="24"/>
        </w:rPr>
        <w:t>位置</w:t>
      </w:r>
      <w:r>
        <w:rPr>
          <w:rFonts w:hint="eastAsia" w:cs="Arial"/>
          <w:sz w:val="24"/>
        </w:rPr>
        <w:t>和泵组供水水压</w:t>
      </w:r>
      <w:r>
        <w:rPr>
          <w:rFonts w:cs="Arial"/>
          <w:sz w:val="24"/>
        </w:rPr>
        <w:t>应根据</w:t>
      </w:r>
      <w:r>
        <w:rPr>
          <w:rFonts w:hint="eastAsia" w:cs="Arial"/>
          <w:sz w:val="24"/>
        </w:rPr>
        <w:t>城镇</w:t>
      </w:r>
      <w:r>
        <w:rPr>
          <w:rFonts w:cs="Arial"/>
          <w:sz w:val="24"/>
        </w:rPr>
        <w:t>给水条件、小区规模、建筑高度、建筑的分布</w:t>
      </w:r>
      <w:r>
        <w:rPr>
          <w:rFonts w:hint="eastAsia" w:cs="Arial"/>
          <w:sz w:val="24"/>
        </w:rPr>
        <w:t>、使用标准</w:t>
      </w:r>
      <w:r>
        <w:rPr>
          <w:rFonts w:cs="Arial"/>
          <w:sz w:val="24"/>
        </w:rPr>
        <w:t>、安全供水和降低能耗等因素合理确定。</w:t>
      </w:r>
      <w:bookmarkStart w:id="74" w:name="_Hlk146285826"/>
      <w:r>
        <w:rPr>
          <w:rFonts w:hint="eastAsia" w:cs="Arial"/>
          <w:sz w:val="24"/>
        </w:rPr>
        <w:t>加压泵站宜设置在供水区域的中心或用水点集中的位置。</w:t>
      </w:r>
      <w:bookmarkEnd w:id="74"/>
    </w:p>
    <w:p>
      <w:pPr>
        <w:spacing w:line="360" w:lineRule="auto"/>
        <w:rPr>
          <w:rFonts w:ascii="楷体" w:hAnsi="楷体" w:eastAsia="楷体"/>
        </w:rPr>
      </w:pPr>
    </w:p>
    <w:p>
      <w:pPr>
        <w:spacing w:line="360" w:lineRule="auto"/>
        <w:rPr>
          <w:rFonts w:cs="Arial"/>
          <w:sz w:val="24"/>
        </w:rPr>
      </w:pPr>
      <w:r>
        <w:rPr>
          <w:rFonts w:cs="Arial"/>
          <w:b/>
          <w:sz w:val="24"/>
        </w:rPr>
        <w:t>5.2.3</w:t>
      </w:r>
      <w:r>
        <w:rPr>
          <w:rFonts w:cs="Arial"/>
          <w:sz w:val="24"/>
        </w:rPr>
        <w:t>给水系统的</w:t>
      </w:r>
      <w:r>
        <w:rPr>
          <w:rFonts w:hint="eastAsia" w:cs="Arial"/>
          <w:sz w:val="24"/>
        </w:rPr>
        <w:t>供水方式及</w:t>
      </w:r>
      <w:r>
        <w:rPr>
          <w:rFonts w:cs="Arial"/>
          <w:sz w:val="24"/>
        </w:rPr>
        <w:t>竖向分区应根据建筑的用途、层数、使用要求、材料设备性能、维护管理和能耗等因素综合确定。分区压力要求应</w:t>
      </w:r>
      <w:r>
        <w:rPr>
          <w:rFonts w:hint="eastAsia" w:cs="Arial"/>
          <w:sz w:val="24"/>
        </w:rPr>
        <w:t>符合</w:t>
      </w:r>
      <w:r>
        <w:rPr>
          <w:rFonts w:cs="Arial"/>
          <w:sz w:val="24"/>
        </w:rPr>
        <w:t>现行国家标准《建筑给</w:t>
      </w:r>
      <w:r>
        <w:rPr>
          <w:rFonts w:hint="eastAsia" w:cs="Arial"/>
          <w:sz w:val="24"/>
        </w:rPr>
        <w:t>水</w:t>
      </w:r>
      <w:r>
        <w:rPr>
          <w:rFonts w:cs="Arial"/>
          <w:sz w:val="24"/>
        </w:rPr>
        <w:t>排水设计规范》GB 50015</w:t>
      </w:r>
      <w:r>
        <w:rPr>
          <w:rFonts w:hint="eastAsia" w:cs="Arial"/>
          <w:sz w:val="24"/>
        </w:rPr>
        <w:t>和《民用建筑节水设计标准》GB50555的有关规定</w:t>
      </w:r>
      <w:r>
        <w:rPr>
          <w:rFonts w:cs="Arial"/>
          <w:sz w:val="24"/>
        </w:rPr>
        <w:t>。</w:t>
      </w:r>
    </w:p>
    <w:p>
      <w:pPr>
        <w:spacing w:line="360" w:lineRule="auto"/>
      </w:pPr>
    </w:p>
    <w:p>
      <w:pPr>
        <w:spacing w:line="360" w:lineRule="auto"/>
        <w:rPr>
          <w:sz w:val="24"/>
        </w:rPr>
      </w:pPr>
      <w:r>
        <w:rPr>
          <w:rFonts w:hint="eastAsia" w:cs="Arial"/>
          <w:b/>
          <w:sz w:val="24"/>
        </w:rPr>
        <w:t>5.2.4</w:t>
      </w:r>
      <w:r>
        <w:rPr>
          <w:rFonts w:hint="eastAsia"/>
          <w:sz w:val="24"/>
        </w:rPr>
        <w:t>变频调速泵组应根据用水量和用水均匀性等因素合理选择搭配水泵及调节设施，宜按供水需求自动控制水泵启动的台数，保证在高效区运行。</w:t>
      </w:r>
    </w:p>
    <w:p>
      <w:pPr>
        <w:spacing w:line="360" w:lineRule="auto"/>
        <w:rPr>
          <w:sz w:val="24"/>
        </w:rPr>
      </w:pPr>
    </w:p>
    <w:p>
      <w:pPr>
        <w:spacing w:line="360" w:lineRule="auto"/>
        <w:rPr>
          <w:rFonts w:cs="Arial"/>
          <w:sz w:val="24"/>
        </w:rPr>
      </w:pPr>
      <w:r>
        <w:rPr>
          <w:rFonts w:cs="Arial"/>
          <w:b/>
          <w:sz w:val="24"/>
        </w:rPr>
        <w:t>5.2.</w:t>
      </w:r>
      <w:r>
        <w:rPr>
          <w:rFonts w:hint="eastAsia" w:cs="Arial"/>
          <w:b/>
          <w:sz w:val="24"/>
        </w:rPr>
        <w:t>5</w:t>
      </w:r>
      <w:r>
        <w:rPr>
          <w:rFonts w:cs="Arial"/>
          <w:sz w:val="24"/>
        </w:rPr>
        <w:t>地面以上的生活污、废水排水宜采用重力流系统直接排至室外管网。</w:t>
      </w:r>
    </w:p>
    <w:p>
      <w:pPr>
        <w:spacing w:line="360" w:lineRule="auto"/>
        <w:rPr>
          <w:rFonts w:cs="Arial"/>
          <w:b/>
          <w:bCs/>
          <w:sz w:val="24"/>
        </w:rPr>
      </w:pPr>
    </w:p>
    <w:p>
      <w:pPr>
        <w:pStyle w:val="3"/>
        <w:spacing w:line="276" w:lineRule="auto"/>
        <w:jc w:val="center"/>
        <w:rPr>
          <w:rFonts w:ascii="Times New Roman" w:hAnsi="Times New Roman" w:eastAsia="宋体"/>
        </w:rPr>
      </w:pPr>
      <w:bookmarkStart w:id="75" w:name="_Toc146734725"/>
      <w:r>
        <w:rPr>
          <w:rFonts w:hint="eastAsia" w:ascii="Times New Roman" w:hAnsi="Times New Roman" w:eastAsia="宋体"/>
        </w:rPr>
        <w:t>5.3生活热水</w:t>
      </w:r>
      <w:bookmarkEnd w:id="75"/>
    </w:p>
    <w:p>
      <w:pPr>
        <w:shd w:val="clear" w:color="auto" w:fill="FFFFFF"/>
        <w:spacing w:line="360" w:lineRule="auto"/>
        <w:rPr>
          <w:rFonts w:cs="Arial"/>
          <w:sz w:val="24"/>
        </w:rPr>
      </w:pPr>
      <w:r>
        <w:rPr>
          <w:rFonts w:cs="Arial"/>
          <w:b/>
          <w:sz w:val="24"/>
        </w:rPr>
        <w:t>5.3.1</w:t>
      </w:r>
      <w:r>
        <w:rPr>
          <w:rFonts w:hint="eastAsia" w:cs="Arial"/>
          <w:sz w:val="24"/>
        </w:rPr>
        <w:t>集中热水供应系统的热源除应符合现行</w:t>
      </w:r>
      <w:r>
        <w:rPr>
          <w:rFonts w:hint="eastAsia" w:cs="Arial"/>
          <w:sz w:val="24"/>
          <w:lang w:val="en-US" w:eastAsia="zh-CN"/>
        </w:rPr>
        <w:t>强制性工程建设规范</w:t>
      </w:r>
      <w:r>
        <w:rPr>
          <w:rFonts w:hint="eastAsia" w:cs="Arial"/>
          <w:sz w:val="24"/>
        </w:rPr>
        <w:t>《建筑节能与可再生能源利用通用规范》</w:t>
      </w:r>
      <w:r>
        <w:rPr>
          <w:rFonts w:cs="Arial"/>
          <w:sz w:val="24"/>
        </w:rPr>
        <w:t>GB55015</w:t>
      </w:r>
      <w:r>
        <w:rPr>
          <w:rFonts w:hint="eastAsia" w:cs="Arial"/>
          <w:sz w:val="24"/>
        </w:rPr>
        <w:t>的规定外，宜利用余热、废热、可再生能源或空气源热泵作为热水供应热源。</w:t>
      </w:r>
      <w:r>
        <w:rPr>
          <w:rFonts w:cs="Arial"/>
          <w:sz w:val="24"/>
        </w:rPr>
        <w:t>太阳能集中热水系统宜按每栋建筑或每个单元设置</w:t>
      </w:r>
      <w:r>
        <w:rPr>
          <w:rFonts w:hint="eastAsia" w:cs="Arial"/>
          <w:sz w:val="24"/>
        </w:rPr>
        <w:t>。</w:t>
      </w:r>
    </w:p>
    <w:p>
      <w:pPr>
        <w:spacing w:line="360" w:lineRule="auto"/>
        <w:rPr>
          <w:sz w:val="24"/>
        </w:rPr>
      </w:pPr>
    </w:p>
    <w:p>
      <w:pPr>
        <w:spacing w:line="360" w:lineRule="auto"/>
        <w:rPr>
          <w:rFonts w:cs="Arial"/>
          <w:b/>
          <w:sz w:val="24"/>
          <w:u w:val="single"/>
        </w:rPr>
      </w:pPr>
      <w:r>
        <w:rPr>
          <w:rFonts w:hint="eastAsia" w:cs="Arial"/>
          <w:bCs/>
          <w:sz w:val="24"/>
        </w:rPr>
        <w:t>5</w:t>
      </w:r>
      <w:r>
        <w:rPr>
          <w:rFonts w:cs="Arial"/>
          <w:bCs/>
          <w:sz w:val="24"/>
        </w:rPr>
        <w:t>.3.2</w:t>
      </w:r>
      <w:r>
        <w:rPr>
          <w:rFonts w:hint="eastAsia" w:cs="Arial"/>
          <w:sz w:val="24"/>
        </w:rPr>
        <w:t>当采用太阳能、空气源热泵、余热回收等可再生能源作为集中生活热水的热源时，宜采用梯级储热技术。</w:t>
      </w:r>
    </w:p>
    <w:p>
      <w:pPr>
        <w:autoSpaceDE w:val="0"/>
        <w:autoSpaceDN w:val="0"/>
        <w:adjustRightInd w:val="0"/>
        <w:spacing w:line="360" w:lineRule="auto"/>
        <w:rPr>
          <w:sz w:val="24"/>
        </w:rPr>
      </w:pPr>
    </w:p>
    <w:p>
      <w:pPr>
        <w:spacing w:line="360" w:lineRule="auto"/>
        <w:rPr>
          <w:rFonts w:cs="Arial"/>
          <w:sz w:val="24"/>
        </w:rPr>
      </w:pPr>
      <w:r>
        <w:rPr>
          <w:rFonts w:cs="Arial"/>
          <w:b/>
          <w:sz w:val="24"/>
        </w:rPr>
        <w:t>5.3.3</w:t>
      </w:r>
      <w:r>
        <w:rPr>
          <w:rFonts w:hint="eastAsia" w:cs="Arial"/>
          <w:sz w:val="24"/>
        </w:rPr>
        <w:t>设有</w:t>
      </w:r>
      <w:r>
        <w:rPr>
          <w:rFonts w:cs="Arial"/>
          <w:sz w:val="24"/>
        </w:rPr>
        <w:t>集中热水供应系统的热水循环管网服务半径不宜大于</w:t>
      </w:r>
      <w:r>
        <w:rPr>
          <w:rFonts w:hint="eastAsia" w:cs="Arial"/>
          <w:sz w:val="24"/>
        </w:rPr>
        <w:t>3</w:t>
      </w:r>
      <w:r>
        <w:rPr>
          <w:rFonts w:cs="Arial"/>
          <w:sz w:val="24"/>
        </w:rPr>
        <w:t>00m</w:t>
      </w:r>
      <w:r>
        <w:rPr>
          <w:rFonts w:hint="eastAsia" w:cs="Arial"/>
          <w:sz w:val="24"/>
        </w:rPr>
        <w:t>且不应大于500m。水加热、热交换站室宜设置在服务区域的中心位置。</w:t>
      </w:r>
    </w:p>
    <w:p>
      <w:pPr>
        <w:spacing w:line="360" w:lineRule="auto"/>
        <w:rPr>
          <w:rFonts w:ascii="宋体" w:hAnsi="宋体"/>
          <w:szCs w:val="21"/>
        </w:rPr>
      </w:pPr>
    </w:p>
    <w:p>
      <w:pPr>
        <w:spacing w:line="360" w:lineRule="auto"/>
        <w:rPr>
          <w:rFonts w:cs="Arial"/>
          <w:sz w:val="24"/>
        </w:rPr>
      </w:pPr>
      <w:r>
        <w:rPr>
          <w:rFonts w:cs="Arial"/>
          <w:b/>
          <w:sz w:val="24"/>
        </w:rPr>
        <w:t>5.3.4</w:t>
      </w:r>
      <w:r>
        <w:rPr>
          <w:rFonts w:hint="eastAsia" w:cs="Arial"/>
          <w:sz w:val="24"/>
        </w:rPr>
        <w:t>仅设有洗手盆的建筑不宜设计集中生活热水供应系统。</w:t>
      </w:r>
      <w:r>
        <w:rPr>
          <w:rFonts w:cs="Arial"/>
          <w:sz w:val="24"/>
        </w:rPr>
        <w:t>设有集中热水供应系统的建筑中，</w:t>
      </w:r>
      <w:r>
        <w:rPr>
          <w:rFonts w:hint="eastAsia" w:cs="Arial"/>
          <w:sz w:val="24"/>
          <w:u w:val="none"/>
        </w:rPr>
        <w:t>按</w:t>
      </w:r>
      <w:r>
        <w:rPr>
          <w:rFonts w:cs="Arial"/>
          <w:sz w:val="24"/>
          <w:u w:val="none"/>
        </w:rPr>
        <w:t>60</w:t>
      </w:r>
      <w:r>
        <w:rPr>
          <w:rFonts w:hint="eastAsia" w:cs="Arial"/>
          <w:sz w:val="24"/>
          <w:u w:val="none"/>
        </w:rPr>
        <w:t>℃计的生活热水最高日总用水量</w:t>
      </w:r>
      <w:r>
        <w:rPr>
          <w:rFonts w:cs="Arial"/>
          <w:sz w:val="24"/>
        </w:rPr>
        <w:t>设计值</w:t>
      </w:r>
      <w:r>
        <w:rPr>
          <w:rFonts w:hint="eastAsia" w:cs="Arial"/>
          <w:sz w:val="24"/>
        </w:rPr>
        <w:t>大于等于5m</w:t>
      </w:r>
      <w:r>
        <w:rPr>
          <w:rFonts w:cs="Arial"/>
          <w:sz w:val="24"/>
          <w:vertAlign w:val="superscript"/>
        </w:rPr>
        <w:t>3</w:t>
      </w:r>
      <w:r>
        <w:rPr>
          <w:rFonts w:cs="Arial"/>
          <w:sz w:val="24"/>
        </w:rPr>
        <w:t>或定时供应</w:t>
      </w:r>
      <w:r>
        <w:rPr>
          <w:rFonts w:hint="eastAsia" w:cs="Arial"/>
          <w:sz w:val="24"/>
        </w:rPr>
        <w:t>热水</w:t>
      </w:r>
      <w:r>
        <w:rPr>
          <w:rFonts w:cs="Arial"/>
          <w:sz w:val="24"/>
        </w:rPr>
        <w:t>的用户宜设置单独的热水</w:t>
      </w:r>
      <w:r>
        <w:rPr>
          <w:rFonts w:hint="eastAsia" w:cs="Arial"/>
          <w:sz w:val="24"/>
        </w:rPr>
        <w:t>循环系统</w:t>
      </w:r>
      <w:r>
        <w:rPr>
          <w:rFonts w:cs="Arial"/>
          <w:sz w:val="24"/>
        </w:rPr>
        <w:t>。</w:t>
      </w:r>
    </w:p>
    <w:p>
      <w:pPr>
        <w:spacing w:line="360" w:lineRule="auto"/>
        <w:rPr>
          <w:rFonts w:ascii="楷体" w:hAnsi="楷体" w:eastAsia="楷体" w:cs="Arial"/>
          <w:b/>
          <w:bCs/>
          <w:sz w:val="24"/>
        </w:rPr>
      </w:pPr>
    </w:p>
    <w:p>
      <w:pPr>
        <w:spacing w:line="360" w:lineRule="auto"/>
        <w:rPr>
          <w:rFonts w:cs="Arial"/>
          <w:sz w:val="24"/>
        </w:rPr>
      </w:pPr>
      <w:r>
        <w:rPr>
          <w:rFonts w:cs="Arial"/>
          <w:b/>
          <w:sz w:val="24"/>
        </w:rPr>
        <w:t>5.3.5</w:t>
      </w:r>
      <w:r>
        <w:rPr>
          <w:rFonts w:cs="Arial"/>
          <w:sz w:val="24"/>
        </w:rPr>
        <w:t>集中热水供应系统</w:t>
      </w:r>
      <w:r>
        <w:rPr>
          <w:rFonts w:hint="eastAsia" w:cs="Arial"/>
          <w:sz w:val="24"/>
        </w:rPr>
        <w:t>的供水分区宜与用水点处的冷水分区同区，并应采取</w:t>
      </w:r>
      <w:r>
        <w:rPr>
          <w:rFonts w:cs="Arial"/>
          <w:sz w:val="24"/>
        </w:rPr>
        <w:t>保证用水点处冷、热水供水压力平衡和保证循环管网有效循环的措施。</w:t>
      </w:r>
    </w:p>
    <w:p>
      <w:pPr>
        <w:spacing w:line="360" w:lineRule="auto"/>
        <w:rPr>
          <w:rFonts w:ascii="楷体" w:hAnsi="楷体" w:eastAsia="楷体" w:cs="Arial"/>
          <w:b/>
          <w:bCs/>
          <w:sz w:val="24"/>
        </w:rPr>
      </w:pPr>
    </w:p>
    <w:p>
      <w:pPr>
        <w:spacing w:line="360" w:lineRule="auto"/>
        <w:rPr>
          <w:bCs/>
          <w:kern w:val="0"/>
          <w:sz w:val="24"/>
        </w:rPr>
      </w:pPr>
      <w:r>
        <w:rPr>
          <w:rFonts w:cs="Arial"/>
          <w:b/>
          <w:sz w:val="24"/>
        </w:rPr>
        <w:t>5.3.6</w:t>
      </w:r>
      <w:r>
        <w:rPr>
          <w:rFonts w:hint="eastAsia" w:ascii="Arial" w:hAnsi="Arial" w:cs="Arial"/>
          <w:bCs/>
          <w:kern w:val="0"/>
          <w:sz w:val="24"/>
        </w:rPr>
        <w:t>集中热水</w:t>
      </w:r>
      <w:r>
        <w:rPr>
          <w:bCs/>
          <w:kern w:val="0"/>
          <w:sz w:val="24"/>
        </w:rPr>
        <w:t>供应系统的管网及设备应</w:t>
      </w:r>
      <w:r>
        <w:rPr>
          <w:rFonts w:hint="eastAsia"/>
          <w:bCs/>
          <w:kern w:val="0"/>
          <w:sz w:val="24"/>
        </w:rPr>
        <w:t>采取</w:t>
      </w:r>
      <w:r>
        <w:rPr>
          <w:bCs/>
          <w:kern w:val="0"/>
          <w:sz w:val="24"/>
        </w:rPr>
        <w:t>保温</w:t>
      </w:r>
      <w:r>
        <w:rPr>
          <w:rFonts w:hint="eastAsia"/>
          <w:bCs/>
          <w:kern w:val="0"/>
          <w:sz w:val="24"/>
        </w:rPr>
        <w:t>措施</w:t>
      </w:r>
      <w:r>
        <w:rPr>
          <w:bCs/>
          <w:kern w:val="0"/>
          <w:sz w:val="24"/>
        </w:rPr>
        <w:t>，保温层厚度应按现行</w:t>
      </w:r>
      <w:r>
        <w:rPr>
          <w:kern w:val="0"/>
          <w:sz w:val="24"/>
        </w:rPr>
        <w:t>国家标准《设备及管道绝热设计导则》GB/T8175</w:t>
      </w:r>
      <w:r>
        <w:rPr>
          <w:bCs/>
          <w:kern w:val="0"/>
          <w:sz w:val="24"/>
        </w:rPr>
        <w:t>中经济厚度计算方法确定，也可按本标准</w:t>
      </w:r>
      <w:r>
        <w:rPr>
          <w:rFonts w:hint="eastAsia"/>
          <w:bCs/>
          <w:kern w:val="0"/>
          <w:sz w:val="24"/>
          <w:u w:val="single"/>
        </w:rPr>
        <w:t>附录</w:t>
      </w:r>
      <w:r>
        <w:rPr>
          <w:bCs/>
          <w:kern w:val="0"/>
          <w:sz w:val="24"/>
          <w:u w:val="single"/>
        </w:rPr>
        <w:t>C</w:t>
      </w:r>
      <w:r>
        <w:rPr>
          <w:bCs/>
          <w:kern w:val="0"/>
          <w:sz w:val="24"/>
        </w:rPr>
        <w:t>的规定选用。</w:t>
      </w:r>
    </w:p>
    <w:p>
      <w:pPr>
        <w:spacing w:line="360" w:lineRule="auto"/>
        <w:rPr>
          <w:rFonts w:cs="Arial"/>
          <w:szCs w:val="21"/>
        </w:rPr>
      </w:pPr>
    </w:p>
    <w:p>
      <w:pPr>
        <w:spacing w:line="360" w:lineRule="auto"/>
        <w:rPr>
          <w:rFonts w:ascii="Arial" w:hAnsi="Arial" w:cs="Arial"/>
          <w:bCs/>
          <w:kern w:val="0"/>
          <w:sz w:val="24"/>
        </w:rPr>
      </w:pPr>
      <w:r>
        <w:rPr>
          <w:rFonts w:cs="Arial"/>
          <w:b/>
          <w:sz w:val="24"/>
        </w:rPr>
        <w:t>5.3.7</w:t>
      </w:r>
      <w:r>
        <w:rPr>
          <w:rFonts w:hint="eastAsia" w:ascii="Arial" w:hAnsi="Arial" w:cs="Arial"/>
          <w:bCs/>
          <w:kern w:val="0"/>
          <w:sz w:val="24"/>
        </w:rPr>
        <w:t>集中热水供应系统的监测和控制宜符合下列规定：</w:t>
      </w:r>
    </w:p>
    <w:p>
      <w:pPr>
        <w:spacing w:line="360" w:lineRule="auto"/>
        <w:ind w:firstLine="472" w:firstLineChars="196"/>
        <w:rPr>
          <w:bCs/>
          <w:kern w:val="0"/>
          <w:sz w:val="24"/>
        </w:rPr>
      </w:pPr>
      <w:r>
        <w:rPr>
          <w:b/>
          <w:bCs/>
          <w:kern w:val="0"/>
          <w:sz w:val="24"/>
        </w:rPr>
        <w:t>1</w:t>
      </w:r>
      <w:r>
        <w:rPr>
          <w:rFonts w:hAnsi="Arial"/>
          <w:bCs/>
          <w:kern w:val="0"/>
          <w:sz w:val="24"/>
        </w:rPr>
        <w:t>对系统</w:t>
      </w:r>
      <w:r>
        <w:rPr>
          <w:rFonts w:hint="eastAsia" w:hAnsi="Arial"/>
          <w:bCs/>
          <w:kern w:val="0"/>
          <w:sz w:val="24"/>
        </w:rPr>
        <w:t>热水耗</w:t>
      </w:r>
      <w:r>
        <w:rPr>
          <w:rFonts w:hAnsi="Arial"/>
          <w:bCs/>
          <w:kern w:val="0"/>
          <w:sz w:val="24"/>
        </w:rPr>
        <w:t>量</w:t>
      </w:r>
      <w:r>
        <w:rPr>
          <w:rFonts w:hint="eastAsia" w:hAnsi="Arial"/>
          <w:bCs/>
          <w:kern w:val="0"/>
          <w:sz w:val="24"/>
        </w:rPr>
        <w:t>和系统总供热量</w:t>
      </w:r>
      <w:r>
        <w:rPr>
          <w:rFonts w:hAnsi="Arial"/>
          <w:bCs/>
          <w:kern w:val="0"/>
          <w:sz w:val="24"/>
        </w:rPr>
        <w:t>值宜进行监测；</w:t>
      </w:r>
    </w:p>
    <w:p>
      <w:pPr>
        <w:spacing w:line="360" w:lineRule="auto"/>
        <w:ind w:firstLine="482" w:firstLineChars="200"/>
        <w:rPr>
          <w:bCs/>
          <w:kern w:val="0"/>
          <w:sz w:val="24"/>
        </w:rPr>
      </w:pPr>
      <w:r>
        <w:rPr>
          <w:rFonts w:hint="eastAsia"/>
          <w:b/>
          <w:bCs/>
          <w:kern w:val="0"/>
          <w:sz w:val="24"/>
        </w:rPr>
        <w:t>2</w:t>
      </w:r>
      <w:r>
        <w:rPr>
          <w:rFonts w:hAnsi="Arial"/>
          <w:bCs/>
          <w:kern w:val="0"/>
          <w:sz w:val="24"/>
        </w:rPr>
        <w:t>对设备运行状态宜进行检测及故障报警；</w:t>
      </w:r>
    </w:p>
    <w:p>
      <w:pPr>
        <w:spacing w:line="360" w:lineRule="auto"/>
        <w:ind w:firstLine="482" w:firstLineChars="200"/>
        <w:rPr>
          <w:bCs/>
          <w:kern w:val="0"/>
          <w:sz w:val="24"/>
        </w:rPr>
      </w:pPr>
      <w:r>
        <w:rPr>
          <w:rFonts w:hint="eastAsia"/>
          <w:b/>
          <w:bCs/>
          <w:kern w:val="0"/>
          <w:sz w:val="24"/>
        </w:rPr>
        <w:t>3</w:t>
      </w:r>
      <w:r>
        <w:rPr>
          <w:rFonts w:hAnsi="Arial"/>
          <w:bCs/>
          <w:kern w:val="0"/>
          <w:sz w:val="24"/>
        </w:rPr>
        <w:t>对每日用水量、供水温度宜进行监测；</w:t>
      </w:r>
    </w:p>
    <w:p>
      <w:pPr>
        <w:spacing w:line="360" w:lineRule="auto"/>
        <w:ind w:firstLine="480"/>
        <w:rPr>
          <w:rFonts w:hAnsi="Arial"/>
          <w:bCs/>
          <w:kern w:val="0"/>
          <w:sz w:val="24"/>
        </w:rPr>
      </w:pPr>
      <w:r>
        <w:rPr>
          <w:rFonts w:hint="eastAsia"/>
          <w:b/>
          <w:bCs/>
          <w:kern w:val="0"/>
          <w:sz w:val="24"/>
        </w:rPr>
        <w:t>4</w:t>
      </w:r>
      <w:r>
        <w:rPr>
          <w:rFonts w:hAnsi="Arial"/>
          <w:bCs/>
          <w:kern w:val="0"/>
          <w:sz w:val="24"/>
        </w:rPr>
        <w:t>装机数量</w:t>
      </w:r>
      <w:r>
        <w:rPr>
          <w:rFonts w:hint="eastAsia" w:hAnsi="Arial"/>
          <w:bCs/>
          <w:kern w:val="0"/>
          <w:sz w:val="24"/>
        </w:rPr>
        <w:t>大于</w:t>
      </w:r>
      <w:r>
        <w:rPr>
          <w:rFonts w:hAnsi="Arial"/>
          <w:bCs/>
          <w:kern w:val="0"/>
          <w:sz w:val="24"/>
        </w:rPr>
        <w:t>等于</w:t>
      </w:r>
      <w:r>
        <w:rPr>
          <w:rFonts w:hint="eastAsia" w:hAnsi="Arial"/>
          <w:bCs/>
          <w:kern w:val="0"/>
          <w:sz w:val="24"/>
        </w:rPr>
        <w:t>3台</w:t>
      </w:r>
      <w:r>
        <w:rPr>
          <w:rFonts w:hAnsi="Arial"/>
          <w:bCs/>
          <w:kern w:val="0"/>
          <w:sz w:val="24"/>
        </w:rPr>
        <w:t>的工程，宜采用机组群控方式。</w:t>
      </w:r>
    </w:p>
    <w:p>
      <w:pPr>
        <w:spacing w:line="360" w:lineRule="auto"/>
        <w:rPr>
          <w:rFonts w:ascii="楷体" w:hAnsi="楷体" w:eastAsia="楷体" w:cs="Arial"/>
          <w:szCs w:val="21"/>
        </w:rPr>
      </w:pPr>
    </w:p>
    <w:p>
      <w:pPr>
        <w:spacing w:line="276" w:lineRule="auto"/>
        <w:rPr>
          <w:rFonts w:ascii="楷体" w:hAnsi="楷体" w:eastAsia="楷体" w:cs="Arial"/>
          <w:szCs w:val="21"/>
        </w:rPr>
        <w:sectPr>
          <w:footerReference r:id="rId8" w:type="default"/>
          <w:pgSz w:w="11906" w:h="16838"/>
          <w:pgMar w:top="1440" w:right="1800" w:bottom="1440" w:left="1800" w:header="851" w:footer="992" w:gutter="0"/>
          <w:cols w:space="425" w:num="1"/>
          <w:docGrid w:type="lines" w:linePitch="312" w:charSpace="0"/>
        </w:sectPr>
      </w:pPr>
    </w:p>
    <w:p>
      <w:pPr>
        <w:pStyle w:val="2"/>
        <w:spacing w:line="276" w:lineRule="auto"/>
        <w:jc w:val="center"/>
      </w:pPr>
      <w:bookmarkStart w:id="76" w:name="_Toc377052144"/>
      <w:bookmarkStart w:id="77" w:name="_Toc146734726"/>
      <w:bookmarkStart w:id="78" w:name="_Toc376970889"/>
      <w:r>
        <w:rPr>
          <w:rFonts w:hint="eastAsia"/>
        </w:rPr>
        <w:t>6 电气</w:t>
      </w:r>
      <w:bookmarkEnd w:id="76"/>
      <w:bookmarkEnd w:id="77"/>
      <w:bookmarkEnd w:id="78"/>
    </w:p>
    <w:p>
      <w:pPr>
        <w:pStyle w:val="3"/>
        <w:spacing w:line="276" w:lineRule="auto"/>
        <w:jc w:val="center"/>
        <w:rPr>
          <w:rFonts w:ascii="Times New Roman" w:hAnsi="Times New Roman" w:eastAsia="宋体"/>
        </w:rPr>
      </w:pPr>
      <w:bookmarkStart w:id="79" w:name="_Toc377052145"/>
      <w:bookmarkStart w:id="80" w:name="_Toc376970890"/>
      <w:bookmarkStart w:id="81" w:name="_Toc146734727"/>
      <w:r>
        <w:rPr>
          <w:rFonts w:hint="eastAsia" w:ascii="Times New Roman" w:hAnsi="Times New Roman" w:eastAsia="宋体"/>
        </w:rPr>
        <w:t>6.1 一般规定</w:t>
      </w:r>
      <w:bookmarkEnd w:id="79"/>
      <w:bookmarkEnd w:id="80"/>
      <w:bookmarkEnd w:id="81"/>
    </w:p>
    <w:p>
      <w:pPr>
        <w:spacing w:line="360" w:lineRule="auto"/>
        <w:rPr>
          <w:sz w:val="24"/>
        </w:rPr>
      </w:pPr>
      <w:r>
        <w:rPr>
          <w:b/>
          <w:sz w:val="24"/>
        </w:rPr>
        <w:t>6.1.1</w:t>
      </w:r>
      <w:r>
        <w:rPr>
          <w:rFonts w:hint="eastAsia"/>
          <w:sz w:val="24"/>
        </w:rPr>
        <w:t>电气系统的设计应安全可靠、经济合理、高效节能。</w:t>
      </w:r>
    </w:p>
    <w:p>
      <w:pPr>
        <w:spacing w:line="360" w:lineRule="auto"/>
        <w:rPr>
          <w:sz w:val="24"/>
        </w:rPr>
      </w:pPr>
    </w:p>
    <w:p>
      <w:pPr>
        <w:spacing w:line="360" w:lineRule="auto"/>
        <w:rPr>
          <w:sz w:val="24"/>
        </w:rPr>
      </w:pPr>
      <w:r>
        <w:rPr>
          <w:b/>
          <w:sz w:val="24"/>
        </w:rPr>
        <w:t>6.1.2</w:t>
      </w:r>
      <w:r>
        <w:rPr>
          <w:rFonts w:hint="eastAsia"/>
          <w:sz w:val="24"/>
        </w:rPr>
        <w:t>电气系统宜选用技术先进、成熟、可靠，损耗低、谐波发射量少、能效高的节能产品，提高能源利用效率。</w:t>
      </w:r>
    </w:p>
    <w:p>
      <w:pPr>
        <w:spacing w:line="360" w:lineRule="auto"/>
        <w:rPr>
          <w:sz w:val="24"/>
        </w:rPr>
      </w:pPr>
    </w:p>
    <w:p>
      <w:pPr>
        <w:spacing w:line="360" w:lineRule="auto"/>
        <w:rPr>
          <w:sz w:val="24"/>
        </w:rPr>
      </w:pPr>
      <w:r>
        <w:rPr>
          <w:rFonts w:hint="eastAsia"/>
          <w:b/>
          <w:bCs/>
          <w:sz w:val="24"/>
        </w:rPr>
        <w:t>6</w:t>
      </w:r>
      <w:r>
        <w:rPr>
          <w:b/>
          <w:bCs/>
          <w:sz w:val="24"/>
        </w:rPr>
        <w:t>.1.3</w:t>
      </w:r>
      <w:r>
        <w:rPr>
          <w:rFonts w:hint="eastAsia"/>
          <w:sz w:val="24"/>
        </w:rPr>
        <w:t>用电设备宜能够按不同用电时段峰谷电价进行用电功率调节，并明确运行控制策略。。</w:t>
      </w:r>
    </w:p>
    <w:p>
      <w:pPr>
        <w:spacing w:line="276" w:lineRule="auto"/>
        <w:rPr>
          <w:sz w:val="24"/>
        </w:rPr>
      </w:pPr>
    </w:p>
    <w:p>
      <w:pPr>
        <w:spacing w:line="360" w:lineRule="auto"/>
        <w:rPr>
          <w:b/>
          <w:bCs/>
          <w:sz w:val="24"/>
        </w:rPr>
      </w:pPr>
      <w:r>
        <w:rPr>
          <w:b/>
          <w:bCs/>
          <w:sz w:val="24"/>
        </w:rPr>
        <w:t>6</w:t>
      </w:r>
      <w:r>
        <w:rPr>
          <w:b/>
          <w:sz w:val="24"/>
        </w:rPr>
        <w:t>.1.4</w:t>
      </w:r>
      <w:r>
        <w:rPr>
          <w:rFonts w:hint="eastAsia"/>
          <w:sz w:val="24"/>
        </w:rPr>
        <w:t>公共建筑用能系统宜采用全电气化设计。</w:t>
      </w:r>
    </w:p>
    <w:p>
      <w:pPr>
        <w:spacing w:line="276" w:lineRule="auto"/>
        <w:rPr>
          <w:sz w:val="24"/>
        </w:rPr>
      </w:pPr>
    </w:p>
    <w:p>
      <w:pPr>
        <w:pStyle w:val="3"/>
        <w:spacing w:line="276" w:lineRule="auto"/>
        <w:jc w:val="center"/>
        <w:rPr>
          <w:rFonts w:ascii="Times New Roman" w:hAnsi="Times New Roman" w:eastAsia="宋体"/>
        </w:rPr>
      </w:pPr>
      <w:bookmarkStart w:id="82" w:name="_Toc377052146"/>
      <w:bookmarkStart w:id="83" w:name="_Toc376970891"/>
      <w:bookmarkStart w:id="84" w:name="_Toc146734728"/>
      <w:r>
        <w:rPr>
          <w:rFonts w:hint="eastAsia" w:ascii="Times New Roman" w:hAnsi="Times New Roman" w:eastAsia="宋体"/>
        </w:rPr>
        <w:t>6.2供配电系统</w:t>
      </w:r>
      <w:bookmarkEnd w:id="82"/>
      <w:bookmarkEnd w:id="83"/>
      <w:bookmarkEnd w:id="84"/>
    </w:p>
    <w:p>
      <w:pPr>
        <w:spacing w:line="360" w:lineRule="auto"/>
        <w:rPr>
          <w:sz w:val="24"/>
        </w:rPr>
      </w:pPr>
      <w:r>
        <w:rPr>
          <w:b/>
          <w:sz w:val="24"/>
        </w:rPr>
        <w:t>6.2.1</w:t>
      </w:r>
      <w:r>
        <w:rPr>
          <w:rFonts w:hint="eastAsia"/>
          <w:sz w:val="24"/>
        </w:rPr>
        <w:t>电气系统的设计应根据当地供电条件及负荷容量，确定供电电压等级。</w:t>
      </w:r>
    </w:p>
    <w:p>
      <w:pPr>
        <w:spacing w:line="360" w:lineRule="auto"/>
        <w:rPr>
          <w:b/>
          <w:sz w:val="24"/>
        </w:rPr>
      </w:pPr>
    </w:p>
    <w:p>
      <w:pPr>
        <w:spacing w:line="360" w:lineRule="auto"/>
        <w:rPr>
          <w:sz w:val="24"/>
        </w:rPr>
      </w:pPr>
      <w:r>
        <w:rPr>
          <w:b/>
          <w:sz w:val="24"/>
        </w:rPr>
        <w:t xml:space="preserve">6.2.2  </w:t>
      </w:r>
      <w:r>
        <w:rPr>
          <w:rFonts w:hint="eastAsia"/>
          <w:sz w:val="24"/>
        </w:rPr>
        <w:t>变电所位置及数量宜接近负荷中心或大功率用电设备。</w:t>
      </w:r>
    </w:p>
    <w:p>
      <w:pPr>
        <w:spacing w:line="360" w:lineRule="auto"/>
        <w:rPr>
          <w:sz w:val="24"/>
        </w:rPr>
      </w:pPr>
    </w:p>
    <w:p>
      <w:pPr>
        <w:spacing w:line="360" w:lineRule="auto"/>
        <w:rPr>
          <w:sz w:val="24"/>
        </w:rPr>
      </w:pPr>
      <w:r>
        <w:rPr>
          <w:b/>
          <w:sz w:val="24"/>
        </w:rPr>
        <w:t>6.2.</w:t>
      </w:r>
      <w:r>
        <w:rPr>
          <w:rFonts w:hint="eastAsia"/>
          <w:b/>
          <w:sz w:val="24"/>
        </w:rPr>
        <w:t>3</w:t>
      </w:r>
      <w:r>
        <w:rPr>
          <w:rFonts w:hint="eastAsia"/>
          <w:sz w:val="24"/>
        </w:rPr>
        <w:t>电力变压器、电动机、交流接触器和光源、灯具、镇流器</w:t>
      </w:r>
      <w:r>
        <w:rPr>
          <w:rFonts w:hint="eastAsia" w:asciiTheme="minorEastAsia" w:hAnsiTheme="minorEastAsia"/>
          <w:sz w:val="24"/>
        </w:rPr>
        <w:t>或L</w:t>
      </w:r>
      <w:r>
        <w:rPr>
          <w:rFonts w:asciiTheme="minorEastAsia" w:hAnsiTheme="minorEastAsia"/>
          <w:sz w:val="24"/>
        </w:rPr>
        <w:t>ED</w:t>
      </w:r>
      <w:r>
        <w:rPr>
          <w:rFonts w:hint="eastAsia" w:asciiTheme="minorEastAsia" w:hAnsiTheme="minorEastAsia"/>
          <w:sz w:val="24"/>
        </w:rPr>
        <w:t>驱动电源</w:t>
      </w:r>
      <w:r>
        <w:rPr>
          <w:rFonts w:hint="eastAsia"/>
          <w:sz w:val="24"/>
        </w:rPr>
        <w:t>等的能效水平应优于国家现行相关能效标准的节能评价值或能效等级2级的参数。</w:t>
      </w:r>
    </w:p>
    <w:p>
      <w:pPr>
        <w:spacing w:line="360" w:lineRule="auto"/>
      </w:pPr>
    </w:p>
    <w:p>
      <w:pPr>
        <w:spacing w:line="360" w:lineRule="auto"/>
        <w:rPr>
          <w:sz w:val="24"/>
        </w:rPr>
      </w:pPr>
      <w:r>
        <w:rPr>
          <w:b/>
          <w:sz w:val="24"/>
        </w:rPr>
        <w:t>6.2.</w:t>
      </w:r>
      <w:r>
        <w:rPr>
          <w:rFonts w:hint="eastAsia"/>
          <w:b/>
          <w:sz w:val="24"/>
        </w:rPr>
        <w:t>4</w:t>
      </w:r>
      <w:r>
        <w:rPr>
          <w:rFonts w:hint="eastAsia"/>
          <w:sz w:val="24"/>
        </w:rPr>
        <w:t>电力变压器的负载率宜使其运行在经济运行参数范围内。</w:t>
      </w:r>
    </w:p>
    <w:p>
      <w:pPr>
        <w:spacing w:line="360" w:lineRule="auto"/>
        <w:rPr>
          <w:sz w:val="24"/>
        </w:rPr>
      </w:pPr>
    </w:p>
    <w:p>
      <w:pPr>
        <w:spacing w:line="360" w:lineRule="auto"/>
        <w:rPr>
          <w:sz w:val="24"/>
        </w:rPr>
      </w:pPr>
      <w:r>
        <w:rPr>
          <w:b/>
          <w:sz w:val="24"/>
        </w:rPr>
        <w:t>6.2.</w:t>
      </w:r>
      <w:r>
        <w:rPr>
          <w:rFonts w:hint="eastAsia"/>
          <w:b/>
          <w:sz w:val="24"/>
        </w:rPr>
        <w:t>5</w:t>
      </w:r>
      <w:r>
        <w:rPr>
          <w:rFonts w:hint="eastAsia"/>
          <w:sz w:val="24"/>
        </w:rPr>
        <w:t>配电系统三相负</w:t>
      </w:r>
      <w:r>
        <w:rPr>
          <w:sz w:val="24"/>
        </w:rPr>
        <w:t>荷</w:t>
      </w:r>
      <w:r>
        <w:rPr>
          <w:rFonts w:hint="eastAsia"/>
          <w:sz w:val="24"/>
        </w:rPr>
        <w:t>不平衡度不宜大于</w:t>
      </w:r>
      <w:r>
        <w:rPr>
          <w:sz w:val="24"/>
        </w:rPr>
        <w:t>15%</w:t>
      </w:r>
      <w:r>
        <w:rPr>
          <w:rFonts w:hint="eastAsia"/>
          <w:sz w:val="24"/>
        </w:rPr>
        <w:t>。单相负荷较多的供电系统，应在变电所采用部分分相无功自动补偿装置。</w:t>
      </w:r>
    </w:p>
    <w:p>
      <w:pPr>
        <w:spacing w:line="360" w:lineRule="auto"/>
        <w:rPr>
          <w:sz w:val="24"/>
        </w:rPr>
      </w:pPr>
    </w:p>
    <w:p>
      <w:pPr>
        <w:spacing w:line="360" w:lineRule="auto"/>
        <w:rPr>
          <w:sz w:val="24"/>
        </w:rPr>
      </w:pPr>
      <w:r>
        <w:rPr>
          <w:b/>
          <w:sz w:val="24"/>
        </w:rPr>
        <w:t>6.2.6</w:t>
      </w:r>
      <w:r>
        <w:rPr>
          <w:rFonts w:hint="eastAsia"/>
          <w:sz w:val="24"/>
        </w:rPr>
        <w:t>供电系统功率因数应满足当地供电主管部门要求，容量较大的用电设备，当功率因数较低且远离变电所时，宜采用就地无功功率补偿。</w:t>
      </w:r>
    </w:p>
    <w:p>
      <w:pPr>
        <w:spacing w:line="360" w:lineRule="auto"/>
        <w:rPr>
          <w:sz w:val="24"/>
        </w:rPr>
      </w:pPr>
    </w:p>
    <w:p>
      <w:pPr>
        <w:spacing w:line="360" w:lineRule="auto"/>
        <w:rPr>
          <w:sz w:val="24"/>
        </w:rPr>
      </w:pPr>
      <w:r>
        <w:rPr>
          <w:b/>
          <w:sz w:val="24"/>
        </w:rPr>
        <w:t>6.2.7</w:t>
      </w:r>
      <w:r>
        <w:rPr>
          <w:rFonts w:hint="eastAsia"/>
          <w:sz w:val="24"/>
        </w:rPr>
        <w:t>大型用电设备、大型可控硅调光设备、电动机变频调速控制装置等谐波源较大的设备，宜就地设置谐波抑制装置。当建筑中非线性用电设备较多时，宜预留滤波装置的安装空间。</w:t>
      </w:r>
    </w:p>
    <w:p>
      <w:pPr>
        <w:spacing w:line="360" w:lineRule="auto"/>
        <w:rPr>
          <w:sz w:val="24"/>
        </w:rPr>
      </w:pPr>
    </w:p>
    <w:p>
      <w:pPr>
        <w:spacing w:line="360" w:lineRule="auto"/>
        <w:rPr>
          <w:sz w:val="24"/>
        </w:rPr>
      </w:pPr>
      <w:r>
        <w:rPr>
          <w:b/>
          <w:sz w:val="24"/>
        </w:rPr>
        <w:t>6.2.8</w:t>
      </w:r>
      <w:r>
        <w:rPr>
          <w:rFonts w:hint="eastAsia"/>
          <w:sz w:val="24"/>
        </w:rPr>
        <w:t>电梯应具有变频调速功能，空载时应具有延时关闭轿厢内照明和风扇的功能；两部及以上电梯集中设置时，应具有集中调度的群控功能，超高层建筑电梯宜采用能量回馈装置并符合现行国家标准《电梯能量回馈装置》GB/T32271的</w:t>
      </w:r>
      <w:r>
        <w:rPr>
          <w:sz w:val="24"/>
        </w:rPr>
        <w:t>规定</w:t>
      </w:r>
      <w:r>
        <w:rPr>
          <w:rFonts w:hint="eastAsia"/>
          <w:sz w:val="24"/>
        </w:rPr>
        <w:t>。</w:t>
      </w:r>
    </w:p>
    <w:p>
      <w:pPr>
        <w:spacing w:line="360" w:lineRule="auto"/>
        <w:rPr>
          <w:b/>
          <w:sz w:val="24"/>
        </w:rPr>
      </w:pPr>
    </w:p>
    <w:p>
      <w:pPr>
        <w:spacing w:line="360" w:lineRule="auto"/>
        <w:rPr>
          <w:sz w:val="24"/>
        </w:rPr>
      </w:pPr>
      <w:r>
        <w:rPr>
          <w:b/>
          <w:sz w:val="24"/>
        </w:rPr>
        <w:t>6.2.9</w:t>
      </w:r>
      <w:r>
        <w:rPr>
          <w:rFonts w:hint="eastAsia"/>
          <w:sz w:val="24"/>
        </w:rPr>
        <w:t>自动扶梯、自动人行步道应具有变频控制、感应启动功能，空载时，应能暂停或低速运行。</w:t>
      </w:r>
    </w:p>
    <w:p>
      <w:pPr>
        <w:spacing w:line="360" w:lineRule="auto"/>
        <w:rPr>
          <w:sz w:val="24"/>
        </w:rPr>
      </w:pPr>
    </w:p>
    <w:p>
      <w:pPr>
        <w:spacing w:line="360" w:lineRule="auto"/>
        <w:rPr>
          <w:sz w:val="24"/>
        </w:rPr>
      </w:pPr>
      <w:r>
        <w:rPr>
          <w:b/>
          <w:sz w:val="24"/>
        </w:rPr>
        <w:t>6.2.10</w:t>
      </w:r>
      <w:r>
        <w:rPr>
          <w:rFonts w:hint="eastAsia"/>
          <w:sz w:val="24"/>
        </w:rPr>
        <w:t>公共建筑中的电开水器等电热设备应采用定时等节能控制。</w:t>
      </w:r>
    </w:p>
    <w:p>
      <w:pPr>
        <w:spacing w:line="360" w:lineRule="auto"/>
        <w:rPr>
          <w:sz w:val="24"/>
        </w:rPr>
      </w:pPr>
    </w:p>
    <w:p>
      <w:pPr>
        <w:spacing w:line="360" w:lineRule="auto"/>
        <w:rPr>
          <w:sz w:val="24"/>
        </w:rPr>
      </w:pPr>
      <w:r>
        <w:rPr>
          <w:b/>
          <w:sz w:val="24"/>
        </w:rPr>
        <w:t>6.2.1</w:t>
      </w:r>
      <w:r>
        <w:rPr>
          <w:rFonts w:hint="eastAsia"/>
          <w:b/>
          <w:sz w:val="24"/>
        </w:rPr>
        <w:t>1</w:t>
      </w:r>
      <w:r>
        <w:rPr>
          <w:rFonts w:hint="eastAsia"/>
          <w:sz w:val="24"/>
        </w:rPr>
        <w:t>公共建筑厨房炊具在技术经济合理时宜采用电炊具。</w:t>
      </w:r>
    </w:p>
    <w:p>
      <w:pPr>
        <w:spacing w:line="360" w:lineRule="auto"/>
        <w:rPr>
          <w:sz w:val="24"/>
        </w:rPr>
      </w:pPr>
    </w:p>
    <w:p>
      <w:pPr>
        <w:spacing w:line="360" w:lineRule="auto"/>
        <w:rPr>
          <w:sz w:val="24"/>
        </w:rPr>
      </w:pPr>
      <w:r>
        <w:rPr>
          <w:b/>
          <w:sz w:val="24"/>
        </w:rPr>
        <w:t>6.2.12</w:t>
      </w:r>
      <w:r>
        <w:rPr>
          <w:rFonts w:hint="eastAsia"/>
          <w:sz w:val="24"/>
        </w:rPr>
        <w:t>电缆选择时，宜进行线缆损耗计算；利用率较高的设备且经济技术合理时可适当加大导体截面。</w:t>
      </w:r>
    </w:p>
    <w:p>
      <w:pPr>
        <w:spacing w:line="276" w:lineRule="auto"/>
        <w:rPr>
          <w:b/>
          <w:sz w:val="24"/>
        </w:rPr>
      </w:pPr>
    </w:p>
    <w:p>
      <w:pPr>
        <w:pStyle w:val="3"/>
        <w:spacing w:line="276" w:lineRule="auto"/>
        <w:jc w:val="center"/>
        <w:rPr>
          <w:rFonts w:ascii="Times New Roman" w:hAnsi="Times New Roman" w:eastAsia="宋体"/>
        </w:rPr>
      </w:pPr>
      <w:bookmarkStart w:id="85" w:name="_Toc377052147"/>
      <w:bookmarkStart w:id="86" w:name="_Toc146734729"/>
      <w:bookmarkStart w:id="87" w:name="_Toc376970892"/>
      <w:r>
        <w:rPr>
          <w:rFonts w:hint="eastAsia" w:ascii="Times New Roman" w:hAnsi="Times New Roman" w:eastAsia="宋体"/>
        </w:rPr>
        <w:t>6.3照明</w:t>
      </w:r>
      <w:bookmarkEnd w:id="85"/>
      <w:bookmarkEnd w:id="86"/>
      <w:bookmarkEnd w:id="87"/>
    </w:p>
    <w:p>
      <w:pPr>
        <w:spacing w:line="360" w:lineRule="auto"/>
        <w:rPr>
          <w:sz w:val="24"/>
        </w:rPr>
      </w:pPr>
      <w:r>
        <w:rPr>
          <w:rFonts w:eastAsia="黑体"/>
          <w:b/>
          <w:sz w:val="24"/>
        </w:rPr>
        <w:t>6.3.1</w:t>
      </w:r>
      <w:r>
        <w:rPr>
          <w:sz w:val="24"/>
        </w:rPr>
        <w:t>照明功率密度（LPD）</w:t>
      </w:r>
      <w:r>
        <w:rPr>
          <w:rFonts w:hint="eastAsia"/>
          <w:sz w:val="24"/>
        </w:rPr>
        <w:t>限</w:t>
      </w:r>
      <w:r>
        <w:rPr>
          <w:sz w:val="24"/>
        </w:rPr>
        <w:t>值</w:t>
      </w:r>
      <w:r>
        <w:rPr>
          <w:rFonts w:hint="eastAsia"/>
          <w:sz w:val="24"/>
        </w:rPr>
        <w:t>宜符合现行国家标准《建筑照明设计标准》</w:t>
      </w:r>
      <w:r>
        <w:rPr>
          <w:sz w:val="24"/>
        </w:rPr>
        <w:t>GB</w:t>
      </w:r>
      <w:r>
        <w:rPr>
          <w:rFonts w:hint="eastAsia"/>
          <w:sz w:val="24"/>
        </w:rPr>
        <w:t>/T</w:t>
      </w:r>
      <w:r>
        <w:rPr>
          <w:sz w:val="24"/>
        </w:rPr>
        <w:t>50034</w:t>
      </w:r>
      <w:r>
        <w:rPr>
          <w:rFonts w:hint="eastAsia"/>
          <w:sz w:val="24"/>
        </w:rPr>
        <w:t>目标值</w:t>
      </w:r>
      <w:r>
        <w:rPr>
          <w:sz w:val="24"/>
        </w:rPr>
        <w:t>的规定</w:t>
      </w:r>
      <w:r>
        <w:rPr>
          <w:rFonts w:hint="eastAsia"/>
          <w:sz w:val="24"/>
        </w:rPr>
        <w:t>。</w:t>
      </w:r>
      <w:r>
        <w:rPr>
          <w:sz w:val="24"/>
        </w:rPr>
        <w:t>。</w:t>
      </w:r>
    </w:p>
    <w:p>
      <w:pPr>
        <w:spacing w:line="360" w:lineRule="auto"/>
        <w:rPr>
          <w:rFonts w:ascii="黑体" w:eastAsia="黑体"/>
          <w:b/>
          <w:sz w:val="24"/>
        </w:rPr>
      </w:pPr>
    </w:p>
    <w:p>
      <w:pPr>
        <w:spacing w:line="360" w:lineRule="auto"/>
        <w:rPr>
          <w:sz w:val="24"/>
        </w:rPr>
      </w:pPr>
      <w:r>
        <w:rPr>
          <w:b/>
          <w:sz w:val="24"/>
        </w:rPr>
        <w:t xml:space="preserve">6.3.2  </w:t>
      </w:r>
      <w:r>
        <w:rPr>
          <w:rFonts w:hint="eastAsia"/>
          <w:sz w:val="24"/>
        </w:rPr>
        <w:t>夜景照明的照明功率密度（</w:t>
      </w:r>
      <w:r>
        <w:rPr>
          <w:sz w:val="24"/>
        </w:rPr>
        <w:t>LPD</w:t>
      </w:r>
      <w:r>
        <w:rPr>
          <w:rFonts w:hint="eastAsia"/>
          <w:sz w:val="24"/>
        </w:rPr>
        <w:t>）限值宜符合现行行业标准《城市夜景照明设计标准》</w:t>
      </w:r>
      <w:r>
        <w:rPr>
          <w:sz w:val="24"/>
        </w:rPr>
        <w:t>JGJ/T 163</w:t>
      </w:r>
      <w:r>
        <w:rPr>
          <w:rFonts w:hint="eastAsia"/>
          <w:sz w:val="24"/>
        </w:rPr>
        <w:t>目标值的规定。。</w:t>
      </w:r>
    </w:p>
    <w:p>
      <w:pPr>
        <w:spacing w:line="360" w:lineRule="auto"/>
        <w:rPr>
          <w:b/>
          <w:sz w:val="24"/>
        </w:rPr>
      </w:pPr>
    </w:p>
    <w:p>
      <w:pPr>
        <w:spacing w:line="360" w:lineRule="auto"/>
        <w:rPr>
          <w:sz w:val="24"/>
        </w:rPr>
      </w:pPr>
      <w:r>
        <w:rPr>
          <w:rFonts w:hint="eastAsia"/>
          <w:b/>
          <w:sz w:val="24"/>
        </w:rPr>
        <w:t>6.3.</w:t>
      </w:r>
      <w:r>
        <w:rPr>
          <w:b/>
          <w:sz w:val="24"/>
        </w:rPr>
        <w:t>3</w:t>
      </w:r>
      <w:r>
        <w:rPr>
          <w:rFonts w:hint="eastAsia"/>
          <w:sz w:val="24"/>
        </w:rPr>
        <w:t>光源的选择应符合下列规定：</w:t>
      </w:r>
    </w:p>
    <w:p>
      <w:pPr>
        <w:spacing w:line="360" w:lineRule="auto"/>
        <w:ind w:firstLine="420"/>
        <w:rPr>
          <w:sz w:val="24"/>
        </w:rPr>
      </w:pPr>
      <w:r>
        <w:rPr>
          <w:b/>
          <w:sz w:val="24"/>
        </w:rPr>
        <w:t>1</w:t>
      </w:r>
      <w:r>
        <w:rPr>
          <w:rFonts w:hint="eastAsia"/>
          <w:sz w:val="24"/>
        </w:rPr>
        <w:t>一般照明在满足照度均匀度前提下，宜选择单灯功率大、光效高的光源或L</w:t>
      </w:r>
      <w:r>
        <w:rPr>
          <w:sz w:val="24"/>
        </w:rPr>
        <w:t>ED</w:t>
      </w:r>
      <w:r>
        <w:rPr>
          <w:rFonts w:hint="eastAsia"/>
          <w:sz w:val="24"/>
        </w:rPr>
        <w:t>灯、细管径直管型三基色荧光灯，不应选用荧光高压汞灯或自镇流荧光高压汞灯；</w:t>
      </w:r>
    </w:p>
    <w:p>
      <w:pPr>
        <w:spacing w:line="360" w:lineRule="auto"/>
        <w:ind w:firstLine="420"/>
        <w:rPr>
          <w:sz w:val="24"/>
        </w:rPr>
      </w:pPr>
      <w:r>
        <w:rPr>
          <w:rFonts w:hint="eastAsia"/>
          <w:sz w:val="24"/>
        </w:rPr>
        <w:t>2 走道、楼梯间、卫生间、车库等场所，宜选用</w:t>
      </w:r>
      <w:r>
        <w:rPr>
          <w:sz w:val="24"/>
        </w:rPr>
        <w:t>LED</w:t>
      </w:r>
      <w:r>
        <w:rPr>
          <w:rFonts w:hint="eastAsia"/>
          <w:sz w:val="24"/>
        </w:rPr>
        <w:t>灯；</w:t>
      </w:r>
    </w:p>
    <w:p>
      <w:pPr>
        <w:spacing w:line="360" w:lineRule="auto"/>
        <w:ind w:firstLine="420"/>
        <w:rPr>
          <w:sz w:val="24"/>
        </w:rPr>
      </w:pPr>
      <w:r>
        <w:rPr>
          <w:b/>
          <w:sz w:val="24"/>
        </w:rPr>
        <w:t>3</w:t>
      </w:r>
      <w:r>
        <w:rPr>
          <w:rFonts w:hint="eastAsia"/>
          <w:sz w:val="24"/>
        </w:rPr>
        <w:t>疏散指示灯、出口标志灯、室内指向性装饰照明等宜选用</w:t>
      </w:r>
      <w:r>
        <w:rPr>
          <w:sz w:val="24"/>
        </w:rPr>
        <w:t>LED</w:t>
      </w:r>
      <w:r>
        <w:rPr>
          <w:rFonts w:hint="eastAsia"/>
          <w:sz w:val="24"/>
        </w:rPr>
        <w:t>灯；</w:t>
      </w:r>
    </w:p>
    <w:p>
      <w:pPr>
        <w:spacing w:line="360" w:lineRule="auto"/>
        <w:ind w:firstLine="420"/>
        <w:rPr>
          <w:sz w:val="24"/>
        </w:rPr>
      </w:pPr>
      <w:r>
        <w:rPr>
          <w:b/>
          <w:sz w:val="24"/>
        </w:rPr>
        <w:t>4</w:t>
      </w:r>
      <w:r>
        <w:rPr>
          <w:rFonts w:hint="eastAsia"/>
          <w:sz w:val="24"/>
        </w:rPr>
        <w:t>高大空间及室外作业场所宜选用</w:t>
      </w:r>
      <w:r>
        <w:rPr>
          <w:sz w:val="24"/>
        </w:rPr>
        <w:t>LED</w:t>
      </w:r>
      <w:r>
        <w:rPr>
          <w:rFonts w:hint="eastAsia"/>
          <w:sz w:val="24"/>
        </w:rPr>
        <w:t>灯、金属卤化物灯、高压钠灯；</w:t>
      </w:r>
    </w:p>
    <w:p>
      <w:pPr>
        <w:spacing w:line="360" w:lineRule="auto"/>
        <w:ind w:firstLine="420"/>
        <w:rPr>
          <w:sz w:val="24"/>
        </w:rPr>
      </w:pPr>
      <w:r>
        <w:rPr>
          <w:b/>
          <w:sz w:val="24"/>
        </w:rPr>
        <w:t>5</w:t>
      </w:r>
      <w:r>
        <w:rPr>
          <w:rFonts w:hint="eastAsia"/>
          <w:sz w:val="24"/>
        </w:rPr>
        <w:t>气体放电灯用镇流器应选用谐波含量低且节能型镇流器；</w:t>
      </w:r>
    </w:p>
    <w:p>
      <w:pPr>
        <w:spacing w:line="360" w:lineRule="auto"/>
        <w:ind w:firstLine="420"/>
        <w:rPr>
          <w:b/>
          <w:sz w:val="24"/>
        </w:rPr>
      </w:pPr>
      <w:r>
        <w:rPr>
          <w:b/>
          <w:sz w:val="24"/>
        </w:rPr>
        <w:t>6</w:t>
      </w:r>
      <w:r>
        <w:rPr>
          <w:rFonts w:hint="eastAsia"/>
          <w:b/>
          <w:sz w:val="24"/>
        </w:rPr>
        <w:t xml:space="preserve"> </w:t>
      </w:r>
      <w:r>
        <w:rPr>
          <w:rFonts w:hint="eastAsia"/>
          <w:sz w:val="24"/>
        </w:rPr>
        <w:t>当技术经济合理时，宜利用导光或反射光装置将天然光引入室内照明并可调节其亮度；</w:t>
      </w:r>
    </w:p>
    <w:p>
      <w:pPr>
        <w:spacing w:line="360" w:lineRule="auto"/>
        <w:ind w:firstLine="420"/>
        <w:rPr>
          <w:sz w:val="24"/>
        </w:rPr>
      </w:pPr>
      <w:r>
        <w:rPr>
          <w:b/>
          <w:sz w:val="24"/>
        </w:rPr>
        <w:t>7</w:t>
      </w:r>
      <w:r>
        <w:rPr>
          <w:rFonts w:hint="eastAsia"/>
          <w:sz w:val="24"/>
        </w:rPr>
        <w:t>除美术馆、博物馆等其他光源达不到显色性及光谱要求的重点照明外，不应选用卤钨灯；</w:t>
      </w:r>
    </w:p>
    <w:p>
      <w:pPr>
        <w:spacing w:line="360" w:lineRule="auto"/>
        <w:ind w:firstLine="480" w:firstLineChars="200"/>
        <w:rPr>
          <w:b/>
          <w:sz w:val="24"/>
        </w:rPr>
      </w:pPr>
      <w:r>
        <w:rPr>
          <w:rFonts w:hint="eastAsia"/>
          <w:sz w:val="24"/>
        </w:rPr>
        <w:t>8 除特殊医疗等场所工艺要求外，不应选用白炽灯；</w:t>
      </w:r>
    </w:p>
    <w:p>
      <w:pPr>
        <w:spacing w:line="360" w:lineRule="auto"/>
        <w:ind w:firstLine="420"/>
        <w:rPr>
          <w:sz w:val="24"/>
        </w:rPr>
      </w:pPr>
      <w:r>
        <w:rPr>
          <w:rFonts w:hint="eastAsia"/>
          <w:b/>
          <w:sz w:val="24"/>
        </w:rPr>
        <w:t xml:space="preserve">9 </w:t>
      </w:r>
      <w:r>
        <w:rPr>
          <w:rFonts w:hint="eastAsia"/>
          <w:sz w:val="24"/>
        </w:rPr>
        <w:t>室外景观、道路照明应选择安全、高效、寿命长、稳定的光源，避免光污染。</w:t>
      </w:r>
    </w:p>
    <w:p>
      <w:pPr>
        <w:spacing w:line="360" w:lineRule="auto"/>
        <w:rPr>
          <w:b/>
          <w:bCs/>
          <w:sz w:val="24"/>
        </w:rPr>
      </w:pPr>
    </w:p>
    <w:p>
      <w:pPr>
        <w:spacing w:line="360" w:lineRule="auto"/>
        <w:rPr>
          <w:b/>
          <w:sz w:val="24"/>
        </w:rPr>
      </w:pPr>
      <w:r>
        <w:rPr>
          <w:b/>
          <w:sz w:val="24"/>
        </w:rPr>
        <w:t>6.3.4</w:t>
      </w:r>
      <w:r>
        <w:rPr>
          <w:rFonts w:hint="eastAsia"/>
          <w:sz w:val="24"/>
        </w:rPr>
        <w:t>灯具的选择应符合下列规定：</w:t>
      </w:r>
    </w:p>
    <w:p>
      <w:pPr>
        <w:spacing w:line="360" w:lineRule="auto"/>
        <w:ind w:firstLine="420"/>
        <w:rPr>
          <w:b/>
          <w:sz w:val="24"/>
        </w:rPr>
      </w:pPr>
      <w:r>
        <w:rPr>
          <w:rFonts w:hint="eastAsia"/>
          <w:b/>
          <w:sz w:val="24"/>
        </w:rPr>
        <w:t>1</w:t>
      </w:r>
      <w:r>
        <w:rPr>
          <w:rFonts w:hint="eastAsia"/>
          <w:sz w:val="24"/>
        </w:rPr>
        <w:t>一般照明在满足眩光限制和配光的前提下，宜选择灯具效率或灯具效能值高的灯具，并符合现行国家标准《建筑照明设计标准》</w:t>
      </w:r>
      <w:r>
        <w:rPr>
          <w:sz w:val="24"/>
        </w:rPr>
        <w:t>GB</w:t>
      </w:r>
      <w:r>
        <w:rPr>
          <w:rFonts w:hint="eastAsia"/>
          <w:sz w:val="24"/>
        </w:rPr>
        <w:t xml:space="preserve">/T </w:t>
      </w:r>
      <w:r>
        <w:rPr>
          <w:sz w:val="24"/>
        </w:rPr>
        <w:t>50034</w:t>
      </w:r>
      <w:r>
        <w:rPr>
          <w:rFonts w:hint="eastAsia"/>
          <w:sz w:val="24"/>
        </w:rPr>
        <w:t>的有关规定；</w:t>
      </w:r>
    </w:p>
    <w:p>
      <w:pPr>
        <w:spacing w:line="360" w:lineRule="auto"/>
        <w:ind w:firstLine="420"/>
        <w:rPr>
          <w:sz w:val="24"/>
        </w:rPr>
      </w:pPr>
      <w:r>
        <w:rPr>
          <w:rFonts w:hint="eastAsia"/>
          <w:b/>
          <w:sz w:val="24"/>
        </w:rPr>
        <w:t>2</w:t>
      </w:r>
      <w:r>
        <w:rPr>
          <w:rFonts w:hint="eastAsia"/>
          <w:sz w:val="24"/>
        </w:rPr>
        <w:t>在满足眩光限制和配光要求条件下，应选用效率高的灯具，并符合现行国家标准《建筑照明设计标准》</w:t>
      </w:r>
      <w:r>
        <w:rPr>
          <w:sz w:val="24"/>
        </w:rPr>
        <w:t>GB50034</w:t>
      </w:r>
      <w:r>
        <w:rPr>
          <w:rFonts w:hint="eastAsia"/>
          <w:sz w:val="24"/>
        </w:rPr>
        <w:t>的有关规定；</w:t>
      </w:r>
    </w:p>
    <w:p>
      <w:pPr>
        <w:spacing w:line="360" w:lineRule="auto"/>
        <w:ind w:firstLine="420"/>
        <w:rPr>
          <w:sz w:val="24"/>
        </w:rPr>
      </w:pPr>
      <w:r>
        <w:rPr>
          <w:rFonts w:hint="eastAsia"/>
          <w:b/>
          <w:sz w:val="24"/>
        </w:rPr>
        <w:t>3</w:t>
      </w:r>
      <w:r>
        <w:rPr>
          <w:rFonts w:hint="eastAsia"/>
          <w:sz w:val="24"/>
        </w:rPr>
        <w:t>灯具自带的单灯控制装置时宜预留与智能照明控制系统的接口。</w:t>
      </w:r>
    </w:p>
    <w:p>
      <w:pPr>
        <w:spacing w:line="360" w:lineRule="auto"/>
      </w:pPr>
    </w:p>
    <w:p>
      <w:pPr>
        <w:spacing w:line="360" w:lineRule="auto"/>
        <w:rPr>
          <w:sz w:val="24"/>
        </w:rPr>
      </w:pPr>
      <w:r>
        <w:rPr>
          <w:b/>
          <w:sz w:val="24"/>
        </w:rPr>
        <w:t>6.3.5</w:t>
      </w:r>
      <w:r>
        <w:rPr>
          <w:rFonts w:hint="eastAsia"/>
          <w:sz w:val="24"/>
        </w:rPr>
        <w:t>一般照明无法满足作业面照度要求的场所，宜采用混合照明。</w:t>
      </w:r>
    </w:p>
    <w:p>
      <w:pPr>
        <w:spacing w:line="360" w:lineRule="auto"/>
      </w:pPr>
    </w:p>
    <w:p>
      <w:pPr>
        <w:spacing w:line="360" w:lineRule="auto"/>
        <w:rPr>
          <w:sz w:val="24"/>
        </w:rPr>
      </w:pPr>
      <w:r>
        <w:rPr>
          <w:b/>
          <w:sz w:val="24"/>
        </w:rPr>
        <w:t>6.3.6</w:t>
      </w:r>
      <w:r>
        <w:rPr>
          <w:rFonts w:hint="eastAsia"/>
          <w:sz w:val="24"/>
        </w:rPr>
        <w:t>除L</w:t>
      </w:r>
      <w:r>
        <w:rPr>
          <w:sz w:val="24"/>
        </w:rPr>
        <w:t>ED</w:t>
      </w:r>
      <w:r>
        <w:rPr>
          <w:rFonts w:hint="eastAsia"/>
          <w:sz w:val="24"/>
        </w:rPr>
        <w:t>灯外，照明设计不应采用漫射发光顶棚或灯槽。</w:t>
      </w:r>
    </w:p>
    <w:p>
      <w:pPr>
        <w:spacing w:line="360" w:lineRule="auto"/>
        <w:rPr>
          <w:sz w:val="24"/>
        </w:rPr>
      </w:pPr>
    </w:p>
    <w:p>
      <w:pPr>
        <w:spacing w:line="360" w:lineRule="auto"/>
        <w:rPr>
          <w:sz w:val="24"/>
        </w:rPr>
      </w:pPr>
      <w:r>
        <w:rPr>
          <w:rFonts w:hint="eastAsia"/>
          <w:b/>
          <w:sz w:val="24"/>
        </w:rPr>
        <w:t>6.3.</w:t>
      </w:r>
      <w:r>
        <w:rPr>
          <w:b/>
          <w:sz w:val="24"/>
        </w:rPr>
        <w:t>7</w:t>
      </w:r>
      <w:r>
        <w:rPr>
          <w:rFonts w:hint="eastAsia"/>
          <w:sz w:val="24"/>
        </w:rPr>
        <w:t>照明控制应符合下列规定：</w:t>
      </w:r>
    </w:p>
    <w:p>
      <w:pPr>
        <w:spacing w:line="360" w:lineRule="auto"/>
        <w:ind w:firstLine="472" w:firstLineChars="196"/>
        <w:rPr>
          <w:sz w:val="24"/>
        </w:rPr>
      </w:pPr>
      <w:r>
        <w:rPr>
          <w:rFonts w:hint="eastAsia"/>
          <w:b/>
          <w:sz w:val="24"/>
        </w:rPr>
        <w:t>1</w:t>
      </w:r>
      <w:r>
        <w:rPr>
          <w:rFonts w:hint="eastAsia"/>
          <w:sz w:val="24"/>
        </w:rPr>
        <w:t>照明控制应结合建筑使用情况及天然采光状况，进行分区、分组、按照度或按场景或按时间段调节的节能控制措施；</w:t>
      </w:r>
    </w:p>
    <w:p>
      <w:pPr>
        <w:spacing w:line="360" w:lineRule="auto"/>
        <w:ind w:firstLine="480"/>
        <w:rPr>
          <w:sz w:val="24"/>
        </w:rPr>
      </w:pPr>
      <w:r>
        <w:rPr>
          <w:rFonts w:hint="eastAsia"/>
          <w:b/>
          <w:sz w:val="24"/>
        </w:rPr>
        <w:t>2</w:t>
      </w:r>
      <w:r>
        <w:rPr>
          <w:rFonts w:hint="eastAsia"/>
          <w:sz w:val="24"/>
        </w:rPr>
        <w:t>旅馆建筑的每间（套）客房应设置总电源节电控制措施；</w:t>
      </w:r>
    </w:p>
    <w:p>
      <w:pPr>
        <w:spacing w:line="360" w:lineRule="auto"/>
        <w:ind w:firstLine="480"/>
        <w:rPr>
          <w:sz w:val="24"/>
        </w:rPr>
      </w:pPr>
      <w:r>
        <w:rPr>
          <w:rFonts w:hint="eastAsia"/>
          <w:b/>
          <w:sz w:val="24"/>
        </w:rPr>
        <w:t>3</w:t>
      </w:r>
      <w:r>
        <w:rPr>
          <w:rFonts w:hint="eastAsia"/>
          <w:sz w:val="24"/>
        </w:rPr>
        <w:t>除只有一盏灯具的房间外，每个房间的灯具控制开关不宜少于2个，且每个开关所控的灯具数不宜多于6盏；</w:t>
      </w:r>
    </w:p>
    <w:p>
      <w:pPr>
        <w:spacing w:line="360" w:lineRule="auto"/>
        <w:ind w:firstLine="520"/>
        <w:rPr>
          <w:sz w:val="24"/>
        </w:rPr>
      </w:pPr>
      <w:r>
        <w:rPr>
          <w:rFonts w:hint="eastAsia"/>
          <w:b/>
          <w:sz w:val="24"/>
        </w:rPr>
        <w:t>4</w:t>
      </w:r>
      <w:r>
        <w:rPr>
          <w:rFonts w:hint="eastAsia"/>
          <w:sz w:val="24"/>
        </w:rPr>
        <w:t>走廊、楼梯间、门厅、电梯厅、卫生间及停车库等公共场所的照明，宜采用集中、感应、调光或降低照度的节能控制措施；</w:t>
      </w:r>
    </w:p>
    <w:p>
      <w:pPr>
        <w:spacing w:line="360" w:lineRule="auto"/>
        <w:ind w:firstLine="520"/>
        <w:rPr>
          <w:sz w:val="24"/>
        </w:rPr>
      </w:pPr>
      <w:r>
        <w:rPr>
          <w:rFonts w:hint="eastAsia"/>
          <w:b/>
          <w:sz w:val="24"/>
        </w:rPr>
        <w:t>5</w:t>
      </w:r>
      <w:r>
        <w:rPr>
          <w:rFonts w:hint="eastAsia"/>
          <w:sz w:val="24"/>
        </w:rPr>
        <w:t>大空间、多功能及多场景场所的照明，宜采用智能照明控制系统，达到模式、时间等的统一节能管控；</w:t>
      </w:r>
    </w:p>
    <w:p>
      <w:pPr>
        <w:spacing w:line="360" w:lineRule="auto"/>
        <w:ind w:firstLine="520"/>
        <w:rPr>
          <w:sz w:val="24"/>
        </w:rPr>
      </w:pPr>
      <w:r>
        <w:rPr>
          <w:rFonts w:hint="eastAsia"/>
          <w:b/>
          <w:sz w:val="24"/>
        </w:rPr>
        <w:t>6</w:t>
      </w:r>
      <w:r>
        <w:rPr>
          <w:rFonts w:hint="eastAsia"/>
          <w:sz w:val="24"/>
        </w:rPr>
        <w:t>当设置电动遮阳装置时，照度控制宜与其联动；</w:t>
      </w:r>
    </w:p>
    <w:p>
      <w:pPr>
        <w:spacing w:line="360" w:lineRule="auto"/>
        <w:ind w:firstLine="520"/>
        <w:rPr>
          <w:sz w:val="24"/>
        </w:rPr>
      </w:pPr>
      <w:r>
        <w:rPr>
          <w:rFonts w:hint="eastAsia"/>
          <w:b/>
          <w:sz w:val="24"/>
        </w:rPr>
        <w:t xml:space="preserve">7 </w:t>
      </w:r>
      <w:r>
        <w:rPr>
          <w:rFonts w:hint="eastAsia"/>
          <w:sz w:val="24"/>
        </w:rPr>
        <w:t>景观照明应设置深夜、平日、一般节日、重大节日或重大活动等多种模式自动控制装置。</w:t>
      </w:r>
    </w:p>
    <w:p/>
    <w:p>
      <w:pPr>
        <w:pStyle w:val="3"/>
        <w:spacing w:line="276" w:lineRule="auto"/>
        <w:jc w:val="center"/>
        <w:rPr>
          <w:rFonts w:ascii="Times New Roman" w:hAnsi="Times New Roman" w:eastAsia="宋体"/>
        </w:rPr>
      </w:pPr>
      <w:bookmarkStart w:id="88" w:name="_Toc370674031"/>
      <w:bookmarkStart w:id="89" w:name="_Toc376970893"/>
      <w:bookmarkStart w:id="90" w:name="_Toc377052148"/>
      <w:bookmarkStart w:id="91" w:name="_Toc146734730"/>
      <w:r>
        <w:rPr>
          <w:rFonts w:hint="eastAsia" w:ascii="Times New Roman" w:hAnsi="Times New Roman" w:eastAsia="宋体"/>
        </w:rPr>
        <w:t>6.4</w:t>
      </w:r>
      <w:bookmarkEnd w:id="88"/>
      <w:r>
        <w:rPr>
          <w:rFonts w:ascii="Times New Roman" w:hAnsi="Times New Roman" w:eastAsia="宋体"/>
        </w:rPr>
        <w:t xml:space="preserve"> </w:t>
      </w:r>
      <w:r>
        <w:rPr>
          <w:rFonts w:hint="eastAsia" w:ascii="Times New Roman" w:hAnsi="Times New Roman" w:eastAsia="宋体"/>
        </w:rPr>
        <w:t>能耗监测与计量</w:t>
      </w:r>
      <w:bookmarkEnd w:id="89"/>
      <w:bookmarkEnd w:id="90"/>
      <w:bookmarkEnd w:id="91"/>
    </w:p>
    <w:p>
      <w:pPr>
        <w:spacing w:line="360" w:lineRule="auto"/>
        <w:rPr>
          <w:sz w:val="24"/>
        </w:rPr>
      </w:pPr>
      <w:r>
        <w:rPr>
          <w:sz w:val="24"/>
        </w:rPr>
        <w:t>6.4.1</w:t>
      </w:r>
      <w:r>
        <w:rPr>
          <w:rFonts w:hint="eastAsia"/>
          <w:sz w:val="24"/>
        </w:rPr>
        <w:t>公共建筑应设置能耗检测与计量系统并进行能效、碳排放分析和管理。</w:t>
      </w:r>
    </w:p>
    <w:p>
      <w:pPr>
        <w:spacing w:line="360" w:lineRule="auto"/>
      </w:pPr>
    </w:p>
    <w:p>
      <w:pPr>
        <w:spacing w:line="360" w:lineRule="auto"/>
        <w:rPr>
          <w:sz w:val="24"/>
        </w:rPr>
      </w:pPr>
      <w:r>
        <w:rPr>
          <w:b/>
          <w:sz w:val="24"/>
        </w:rPr>
        <w:t>6.</w:t>
      </w:r>
      <w:r>
        <w:rPr>
          <w:rFonts w:hint="eastAsia"/>
          <w:b/>
          <w:sz w:val="24"/>
        </w:rPr>
        <w:t>4</w:t>
      </w:r>
      <w:r>
        <w:rPr>
          <w:b/>
          <w:sz w:val="24"/>
        </w:rPr>
        <w:t>.2</w:t>
      </w:r>
      <w:r>
        <w:rPr>
          <w:rFonts w:hint="eastAsia"/>
          <w:sz w:val="24"/>
        </w:rPr>
        <w:t>独立计费的用户或单台设备额定功率大于或等于10kW时，应设置电能计量装置。</w:t>
      </w:r>
    </w:p>
    <w:p>
      <w:pPr>
        <w:spacing w:line="360" w:lineRule="auto"/>
        <w:rPr>
          <w:szCs w:val="21"/>
        </w:rPr>
      </w:pPr>
    </w:p>
    <w:p>
      <w:pPr>
        <w:spacing w:line="360" w:lineRule="auto"/>
        <w:rPr>
          <w:sz w:val="24"/>
        </w:rPr>
      </w:pPr>
      <w:r>
        <w:rPr>
          <w:b/>
          <w:sz w:val="24"/>
        </w:rPr>
        <w:t>6.</w:t>
      </w:r>
      <w:r>
        <w:rPr>
          <w:rFonts w:hint="eastAsia"/>
          <w:b/>
          <w:sz w:val="24"/>
        </w:rPr>
        <w:t>4</w:t>
      </w:r>
      <w:r>
        <w:rPr>
          <w:b/>
          <w:sz w:val="24"/>
        </w:rPr>
        <w:t>.3</w:t>
      </w:r>
      <w:r>
        <w:rPr>
          <w:rFonts w:hint="eastAsia"/>
          <w:sz w:val="24"/>
        </w:rPr>
        <w:t>公共建筑应按不同的功能区域设置能耗监测与计量系统，电耗计量系统应支持尖峰电价、调峰电价、实时电价、尖峰返利等基于时间的分时电价费率监测。</w:t>
      </w:r>
    </w:p>
    <w:p>
      <w:pPr>
        <w:spacing w:line="360" w:lineRule="auto"/>
        <w:rPr>
          <w:sz w:val="24"/>
        </w:rPr>
      </w:pPr>
    </w:p>
    <w:p>
      <w:pPr>
        <w:spacing w:line="360" w:lineRule="auto"/>
        <w:rPr>
          <w:sz w:val="24"/>
        </w:rPr>
      </w:pPr>
      <w:r>
        <w:rPr>
          <w:b/>
          <w:sz w:val="24"/>
        </w:rPr>
        <w:t>6.</w:t>
      </w:r>
      <w:r>
        <w:rPr>
          <w:rFonts w:hint="eastAsia"/>
          <w:b/>
          <w:sz w:val="24"/>
        </w:rPr>
        <w:t>4</w:t>
      </w:r>
      <w:r>
        <w:rPr>
          <w:b/>
          <w:sz w:val="24"/>
        </w:rPr>
        <w:t>.4</w:t>
      </w:r>
      <w:r>
        <w:rPr>
          <w:rFonts w:hint="eastAsia"/>
          <w:sz w:val="24"/>
        </w:rPr>
        <w:t>公共建筑应按照明插座、空调、电力、特殊用电、可再生能源等分项进行电能监测与计量。办公建筑宜将照明和插座分别进行电能监测与计量分析。</w:t>
      </w:r>
    </w:p>
    <w:p>
      <w:pPr>
        <w:spacing w:line="360" w:lineRule="auto"/>
        <w:rPr>
          <w:szCs w:val="21"/>
        </w:rPr>
      </w:pPr>
    </w:p>
    <w:p>
      <w:pPr>
        <w:spacing w:line="360" w:lineRule="auto"/>
        <w:rPr>
          <w:sz w:val="24"/>
        </w:rPr>
      </w:pPr>
      <w:r>
        <w:rPr>
          <w:rFonts w:hint="eastAsia"/>
          <w:b/>
          <w:sz w:val="24"/>
        </w:rPr>
        <w:t>6.4.</w:t>
      </w:r>
      <w:r>
        <w:rPr>
          <w:b/>
          <w:sz w:val="24"/>
        </w:rPr>
        <w:t>5</w:t>
      </w:r>
      <w:r>
        <w:rPr>
          <w:rFonts w:hint="eastAsia"/>
          <w:b/>
          <w:sz w:val="24"/>
        </w:rPr>
        <w:t>】</w:t>
      </w:r>
      <w:r>
        <w:rPr>
          <w:rFonts w:hint="eastAsia"/>
          <w:sz w:val="24"/>
        </w:rPr>
        <w:t>建筑能耗监测与计量系统，宜采用人员感应探测、出入口控制、视频监控等措施，建立人员数量与能源消耗的关系曲线。</w:t>
      </w:r>
    </w:p>
    <w:p>
      <w:pPr>
        <w:spacing w:line="360" w:lineRule="auto"/>
        <w:rPr>
          <w:b/>
          <w:bCs/>
          <w:sz w:val="24"/>
        </w:rPr>
      </w:pPr>
    </w:p>
    <w:p>
      <w:pPr>
        <w:spacing w:line="360" w:lineRule="auto"/>
        <w:rPr>
          <w:sz w:val="24"/>
        </w:rPr>
      </w:pPr>
      <w:r>
        <w:rPr>
          <w:b/>
          <w:sz w:val="24"/>
        </w:rPr>
        <w:t>6.4.6</w:t>
      </w:r>
      <w:r>
        <w:rPr>
          <w:rFonts w:hint="eastAsia"/>
          <w:sz w:val="24"/>
        </w:rPr>
        <w:t>建设项目宜建立建筑设备、能耗和可再生能源全生命周期的监测、判定、能效提升机制及运维管控平台。</w:t>
      </w:r>
    </w:p>
    <w:p>
      <w:pPr>
        <w:spacing w:line="360" w:lineRule="auto"/>
        <w:rPr>
          <w:sz w:val="24"/>
        </w:rPr>
      </w:pPr>
    </w:p>
    <w:p>
      <w:pPr>
        <w:pStyle w:val="3"/>
        <w:spacing w:line="276" w:lineRule="auto"/>
        <w:jc w:val="center"/>
        <w:rPr>
          <w:rFonts w:ascii="Times New Roman" w:hAnsi="Times New Roman" w:eastAsia="宋体"/>
        </w:rPr>
      </w:pPr>
      <w:bookmarkStart w:id="92" w:name="_Toc146734731"/>
      <w:bookmarkStart w:id="93" w:name="_Toc281479730"/>
      <w:bookmarkStart w:id="94" w:name="_Toc289950310"/>
      <w:r>
        <w:rPr>
          <w:rFonts w:ascii="Times New Roman" w:hAnsi="Times New Roman" w:eastAsia="宋体"/>
        </w:rPr>
        <w:t xml:space="preserve">6.5 </w:t>
      </w:r>
      <w:r>
        <w:rPr>
          <w:rFonts w:hint="eastAsia" w:ascii="Times New Roman" w:hAnsi="Times New Roman" w:eastAsia="宋体"/>
        </w:rPr>
        <w:t>建筑设备管理系统</w:t>
      </w:r>
      <w:bookmarkEnd w:id="92"/>
      <w:bookmarkEnd w:id="93"/>
      <w:bookmarkEnd w:id="94"/>
    </w:p>
    <w:p>
      <w:pPr>
        <w:spacing w:line="360" w:lineRule="auto"/>
        <w:rPr>
          <w:rFonts w:asciiTheme="minorEastAsia" w:hAnsiTheme="minorEastAsia" w:eastAsiaTheme="minorEastAsia"/>
          <w:sz w:val="24"/>
          <w:szCs w:val="32"/>
        </w:rPr>
      </w:pPr>
      <w:r>
        <w:rPr>
          <w:b/>
          <w:sz w:val="24"/>
          <w:szCs w:val="32"/>
        </w:rPr>
        <w:t>6.5.1</w:t>
      </w:r>
      <w:r>
        <w:rPr>
          <w:rFonts w:asciiTheme="minorEastAsia" w:hAnsiTheme="minorEastAsia" w:eastAsiaTheme="minorEastAsia"/>
          <w:sz w:val="24"/>
          <w:szCs w:val="32"/>
        </w:rPr>
        <w:t xml:space="preserve">  </w:t>
      </w:r>
      <w:r>
        <w:rPr>
          <w:rFonts w:hint="eastAsia" w:asciiTheme="minorEastAsia" w:hAnsiTheme="minorEastAsia" w:eastAsiaTheme="minorEastAsia"/>
          <w:sz w:val="24"/>
          <w:szCs w:val="32"/>
        </w:rPr>
        <w:t>公共建筑应根据建筑规模和等级设置建筑设备管理系统。建筑设备管理系统宜包括建筑设备监控系统和建筑能效监管系统，宜具有建筑能耗监测的功能。</w:t>
      </w:r>
    </w:p>
    <w:p>
      <w:pPr>
        <w:spacing w:line="360" w:lineRule="auto"/>
        <w:rPr>
          <w:rFonts w:ascii="楷体" w:hAnsi="楷体" w:eastAsia="楷体"/>
          <w:szCs w:val="21"/>
        </w:rPr>
      </w:pPr>
    </w:p>
    <w:p>
      <w:pPr>
        <w:spacing w:line="360" w:lineRule="auto"/>
        <w:rPr>
          <w:sz w:val="24"/>
          <w:szCs w:val="32"/>
        </w:rPr>
      </w:pPr>
      <w:r>
        <w:rPr>
          <w:b/>
          <w:sz w:val="24"/>
          <w:szCs w:val="32"/>
        </w:rPr>
        <w:t>6.5.2</w:t>
      </w:r>
      <w:r>
        <w:rPr>
          <w:sz w:val="24"/>
          <w:szCs w:val="32"/>
        </w:rPr>
        <w:t xml:space="preserve">  </w:t>
      </w:r>
      <w:r>
        <w:rPr>
          <w:rFonts w:hint="eastAsia"/>
          <w:sz w:val="24"/>
          <w:szCs w:val="32"/>
        </w:rPr>
        <w:t>建筑设备管理系统的设计应符合下列要求：</w:t>
      </w:r>
    </w:p>
    <w:p>
      <w:pPr>
        <w:spacing w:line="360" w:lineRule="auto"/>
        <w:ind w:firstLine="420"/>
        <w:rPr>
          <w:sz w:val="24"/>
          <w:szCs w:val="32"/>
        </w:rPr>
      </w:pPr>
      <w:r>
        <w:rPr>
          <w:rFonts w:hint="eastAsia"/>
          <w:sz w:val="24"/>
          <w:szCs w:val="32"/>
        </w:rPr>
        <w:t>1 应能实现建筑能耗监测、设备运行监控和建筑能效监管等功能；</w:t>
      </w:r>
    </w:p>
    <w:p>
      <w:pPr>
        <w:spacing w:line="360" w:lineRule="auto"/>
        <w:ind w:firstLine="420"/>
        <w:rPr>
          <w:sz w:val="24"/>
          <w:szCs w:val="32"/>
        </w:rPr>
      </w:pPr>
      <w:r>
        <w:rPr>
          <w:rFonts w:hint="eastAsia"/>
          <w:sz w:val="24"/>
          <w:szCs w:val="32"/>
        </w:rPr>
        <w:t>2</w:t>
      </w:r>
      <w:r>
        <w:rPr>
          <w:sz w:val="24"/>
          <w:szCs w:val="32"/>
        </w:rPr>
        <w:t xml:space="preserve"> </w:t>
      </w:r>
      <w:r>
        <w:rPr>
          <w:rFonts w:hint="eastAsia"/>
          <w:sz w:val="24"/>
          <w:szCs w:val="32"/>
        </w:rPr>
        <w:t>应根据项目确定管理范围，宜包括供暖通风与空气调节、给排水、照明、电气、电梯和自动扶梯等设备或装置，其他设备或装置可根据需要纳入；自带控制单元的机电设备纳入本系统时应能</w:t>
      </w:r>
      <w:r>
        <w:rPr>
          <w:rFonts w:hint="eastAsia"/>
          <w:sz w:val="24"/>
        </w:rPr>
        <w:t>建立通信连接；</w:t>
      </w:r>
    </w:p>
    <w:p>
      <w:pPr>
        <w:spacing w:line="360" w:lineRule="auto"/>
        <w:ind w:firstLine="420"/>
        <w:rPr>
          <w:sz w:val="24"/>
          <w:szCs w:val="32"/>
        </w:rPr>
      </w:pPr>
      <w:r>
        <w:rPr>
          <w:rFonts w:hint="eastAsia"/>
          <w:sz w:val="24"/>
          <w:szCs w:val="32"/>
        </w:rPr>
        <w:t>3</w:t>
      </w:r>
      <w:r>
        <w:rPr>
          <w:sz w:val="24"/>
          <w:szCs w:val="32"/>
        </w:rPr>
        <w:t xml:space="preserve"> </w:t>
      </w:r>
      <w:r>
        <w:rPr>
          <w:rFonts w:hint="eastAsia"/>
          <w:sz w:val="24"/>
          <w:szCs w:val="32"/>
        </w:rPr>
        <w:t>系统架构、硬件配置和软件设计应满足功能要求，并符合相关标准的规定。</w:t>
      </w:r>
    </w:p>
    <w:p>
      <w:pPr>
        <w:spacing w:line="276" w:lineRule="auto"/>
        <w:ind w:firstLine="420"/>
        <w:rPr>
          <w:rFonts w:ascii="楷体" w:hAnsi="楷体" w:eastAsia="楷体"/>
        </w:rPr>
      </w:pPr>
    </w:p>
    <w:p>
      <w:pPr>
        <w:spacing w:line="360" w:lineRule="auto"/>
        <w:rPr>
          <w:sz w:val="24"/>
          <w:szCs w:val="32"/>
        </w:rPr>
      </w:pPr>
      <w:r>
        <w:rPr>
          <w:b/>
          <w:sz w:val="24"/>
          <w:szCs w:val="32"/>
        </w:rPr>
        <w:t>6.5.3</w:t>
      </w:r>
      <w:r>
        <w:rPr>
          <w:sz w:val="24"/>
          <w:szCs w:val="32"/>
        </w:rPr>
        <w:t xml:space="preserve">  </w:t>
      </w:r>
      <w:r>
        <w:rPr>
          <w:rFonts w:hint="eastAsia"/>
          <w:sz w:val="24"/>
          <w:szCs w:val="32"/>
        </w:rPr>
        <w:t>能量表、水表和电表的设置应符合本标准第4、5、6章的要求，相应能耗数据应采集到建筑设备管理系统中，软件对建筑能耗数据的处理应符合下列要求：</w:t>
      </w:r>
    </w:p>
    <w:p>
      <w:pPr>
        <w:spacing w:line="360" w:lineRule="auto"/>
        <w:rPr>
          <w:sz w:val="24"/>
          <w:szCs w:val="32"/>
        </w:rPr>
      </w:pPr>
      <w:r>
        <w:rPr>
          <w:sz w:val="24"/>
          <w:szCs w:val="32"/>
        </w:rPr>
        <w:tab/>
      </w:r>
      <w:r>
        <w:rPr>
          <w:sz w:val="24"/>
          <w:szCs w:val="32"/>
        </w:rPr>
        <w:t xml:space="preserve">1  </w:t>
      </w:r>
      <w:r>
        <w:rPr>
          <w:rFonts w:hint="eastAsia"/>
          <w:sz w:val="24"/>
          <w:szCs w:val="32"/>
        </w:rPr>
        <w:t>应对能耗监测仪表原始数据进行长期存储，并可导出；</w:t>
      </w:r>
    </w:p>
    <w:p>
      <w:pPr>
        <w:spacing w:line="360" w:lineRule="auto"/>
        <w:rPr>
          <w:sz w:val="24"/>
          <w:szCs w:val="32"/>
        </w:rPr>
      </w:pPr>
      <w:r>
        <w:rPr>
          <w:sz w:val="24"/>
          <w:szCs w:val="32"/>
        </w:rPr>
        <w:tab/>
      </w:r>
      <w:r>
        <w:rPr>
          <w:sz w:val="24"/>
          <w:szCs w:val="32"/>
        </w:rPr>
        <w:t xml:space="preserve">2  </w:t>
      </w:r>
      <w:r>
        <w:rPr>
          <w:rFonts w:hint="eastAsia"/>
          <w:sz w:val="24"/>
          <w:szCs w:val="32"/>
        </w:rPr>
        <w:t>应实现建筑能耗数据的展示，时间粒度应包括但不限于年、月、日、时；</w:t>
      </w:r>
    </w:p>
    <w:p>
      <w:pPr>
        <w:spacing w:line="360" w:lineRule="auto"/>
        <w:ind w:firstLine="420"/>
        <w:rPr>
          <w:sz w:val="24"/>
          <w:szCs w:val="32"/>
        </w:rPr>
      </w:pPr>
      <w:r>
        <w:rPr>
          <w:sz w:val="24"/>
          <w:szCs w:val="32"/>
        </w:rPr>
        <w:t xml:space="preserve">3  </w:t>
      </w:r>
      <w:r>
        <w:rPr>
          <w:rFonts w:hint="eastAsia"/>
          <w:sz w:val="24"/>
          <w:szCs w:val="32"/>
        </w:rPr>
        <w:t>应对建筑能耗数据进行分类汇总计算，并统一折算为电力或/和标准煤；</w:t>
      </w:r>
    </w:p>
    <w:p>
      <w:pPr>
        <w:spacing w:line="360" w:lineRule="auto"/>
        <w:ind w:firstLine="420"/>
        <w:rPr>
          <w:sz w:val="24"/>
          <w:szCs w:val="32"/>
        </w:rPr>
      </w:pPr>
      <w:r>
        <w:rPr>
          <w:rFonts w:hint="eastAsia"/>
          <w:sz w:val="24"/>
          <w:szCs w:val="32"/>
        </w:rPr>
        <w:t>4</w:t>
      </w:r>
      <w:r>
        <w:rPr>
          <w:sz w:val="24"/>
          <w:szCs w:val="32"/>
        </w:rPr>
        <w:t xml:space="preserve">  </w:t>
      </w:r>
      <w:r>
        <w:rPr>
          <w:rFonts w:hint="eastAsia"/>
          <w:sz w:val="24"/>
          <w:szCs w:val="32"/>
        </w:rPr>
        <w:t>应对建筑水耗数据根据水源种类进行分类汇总计算；</w:t>
      </w:r>
    </w:p>
    <w:p>
      <w:pPr>
        <w:spacing w:line="360" w:lineRule="auto"/>
        <w:ind w:firstLine="420"/>
        <w:rPr>
          <w:sz w:val="24"/>
          <w:szCs w:val="32"/>
        </w:rPr>
      </w:pPr>
      <w:r>
        <w:rPr>
          <w:sz w:val="24"/>
          <w:szCs w:val="32"/>
        </w:rPr>
        <w:t xml:space="preserve">5  </w:t>
      </w:r>
      <w:r>
        <w:rPr>
          <w:rFonts w:hint="eastAsia"/>
          <w:sz w:val="24"/>
          <w:szCs w:val="32"/>
        </w:rPr>
        <w:t>应根据管理范围对建筑或建筑群的能耗数据进行分项汇总计算；</w:t>
      </w:r>
    </w:p>
    <w:p>
      <w:pPr>
        <w:spacing w:line="360" w:lineRule="auto"/>
        <w:ind w:firstLine="420"/>
        <w:rPr>
          <w:sz w:val="24"/>
          <w:szCs w:val="32"/>
        </w:rPr>
      </w:pPr>
      <w:r>
        <w:rPr>
          <w:sz w:val="24"/>
          <w:szCs w:val="32"/>
        </w:rPr>
        <w:t xml:space="preserve">6  </w:t>
      </w:r>
      <w:r>
        <w:rPr>
          <w:rFonts w:hint="eastAsia"/>
          <w:sz w:val="24"/>
          <w:szCs w:val="32"/>
        </w:rPr>
        <w:t>应根据物业管理要求对建筑能耗数据进行分区汇总计算。</w:t>
      </w:r>
    </w:p>
    <w:p>
      <w:pPr>
        <w:spacing w:line="360" w:lineRule="auto"/>
      </w:pPr>
    </w:p>
    <w:p>
      <w:pPr>
        <w:spacing w:line="360" w:lineRule="auto"/>
        <w:rPr>
          <w:sz w:val="24"/>
          <w:szCs w:val="32"/>
        </w:rPr>
      </w:pPr>
      <w:r>
        <w:rPr>
          <w:b/>
          <w:sz w:val="24"/>
          <w:szCs w:val="32"/>
        </w:rPr>
        <w:t>6.5.4</w:t>
      </w:r>
      <w:r>
        <w:rPr>
          <w:rFonts w:hint="eastAsia"/>
          <w:b/>
          <w:sz w:val="24"/>
          <w:szCs w:val="32"/>
        </w:rPr>
        <w:t xml:space="preserve"> </w:t>
      </w:r>
      <w:r>
        <w:rPr>
          <w:rFonts w:hint="eastAsia"/>
          <w:sz w:val="24"/>
          <w:szCs w:val="32"/>
        </w:rPr>
        <w:t>建筑设备监控系统的节能控制算法设计应满足下列要求：</w:t>
      </w:r>
    </w:p>
    <w:p>
      <w:pPr>
        <w:spacing w:line="360" w:lineRule="auto"/>
        <w:ind w:firstLine="420"/>
        <w:rPr>
          <w:sz w:val="24"/>
          <w:szCs w:val="32"/>
        </w:rPr>
      </w:pPr>
      <w:r>
        <w:rPr>
          <w:sz w:val="24"/>
          <w:szCs w:val="32"/>
        </w:rPr>
        <w:t>1</w:t>
      </w:r>
      <w:r>
        <w:rPr>
          <w:rFonts w:hint="eastAsia"/>
          <w:sz w:val="24"/>
          <w:szCs w:val="32"/>
        </w:rPr>
        <w:t xml:space="preserve"> 宜根据室内外温度控制可调节围护结构和暖通空调设备的运行；</w:t>
      </w:r>
    </w:p>
    <w:p>
      <w:pPr>
        <w:spacing w:line="360" w:lineRule="auto"/>
        <w:ind w:firstLine="420"/>
        <w:rPr>
          <w:sz w:val="24"/>
          <w:szCs w:val="32"/>
        </w:rPr>
      </w:pPr>
      <w:r>
        <w:rPr>
          <w:sz w:val="24"/>
          <w:szCs w:val="32"/>
        </w:rPr>
        <w:t>2</w:t>
      </w:r>
      <w:r>
        <w:rPr>
          <w:rFonts w:hint="eastAsia"/>
          <w:sz w:val="24"/>
          <w:szCs w:val="32"/>
        </w:rPr>
        <w:t xml:space="preserve"> 宜根据室内外照度控制太阳能设备、可调节围护结构和照明设备或支路的运行；</w:t>
      </w:r>
    </w:p>
    <w:p>
      <w:pPr>
        <w:spacing w:line="360" w:lineRule="auto"/>
        <w:ind w:firstLine="420"/>
        <w:rPr>
          <w:sz w:val="24"/>
          <w:szCs w:val="32"/>
        </w:rPr>
      </w:pPr>
      <w:r>
        <w:rPr>
          <w:sz w:val="24"/>
          <w:szCs w:val="32"/>
        </w:rPr>
        <w:t xml:space="preserve">3 </w:t>
      </w:r>
      <w:r>
        <w:rPr>
          <w:rFonts w:hint="eastAsia"/>
          <w:sz w:val="24"/>
          <w:szCs w:val="32"/>
        </w:rPr>
        <w:t>可根据室内外温度、照度和人员占用等信息，控制可调节围护结构、暖通空调末端设备、照明设备或支路的运行。</w:t>
      </w:r>
    </w:p>
    <w:p>
      <w:pPr>
        <w:spacing w:line="360" w:lineRule="auto"/>
        <w:rPr>
          <w:rFonts w:eastAsia="楷体_GB2312"/>
          <w:szCs w:val="21"/>
        </w:rPr>
      </w:pPr>
    </w:p>
    <w:p>
      <w:pPr>
        <w:spacing w:line="360" w:lineRule="auto"/>
        <w:rPr>
          <w:sz w:val="24"/>
          <w:szCs w:val="32"/>
        </w:rPr>
      </w:pPr>
      <w:r>
        <w:rPr>
          <w:b/>
          <w:sz w:val="24"/>
          <w:szCs w:val="32"/>
        </w:rPr>
        <w:t>6.5.5</w:t>
      </w:r>
      <w:r>
        <w:rPr>
          <w:sz w:val="24"/>
          <w:szCs w:val="32"/>
        </w:rPr>
        <w:t xml:space="preserve">  </w:t>
      </w:r>
      <w:r>
        <w:rPr>
          <w:rFonts w:hint="eastAsia"/>
          <w:sz w:val="24"/>
          <w:szCs w:val="32"/>
        </w:rPr>
        <w:t>建筑设备管理系统软件宜具有建筑能耗和能效的指标计算、对标与分析和节能诊断等功能。</w:t>
      </w:r>
    </w:p>
    <w:p>
      <w:pPr>
        <w:spacing w:line="360" w:lineRule="auto"/>
        <w:jc w:val="left"/>
        <w:rPr>
          <w:rFonts w:ascii="黑体" w:eastAsia="黑体"/>
        </w:rPr>
      </w:pPr>
    </w:p>
    <w:p>
      <w:pPr>
        <w:snapToGrid w:val="0"/>
        <w:spacing w:line="360" w:lineRule="auto"/>
        <w:jc w:val="left"/>
        <w:rPr>
          <w:rFonts w:eastAsia="黑体"/>
          <w:b/>
          <w:sz w:val="24"/>
          <w:szCs w:val="32"/>
        </w:rPr>
      </w:pPr>
      <w:r>
        <w:rPr>
          <w:rFonts w:eastAsia="黑体"/>
          <w:b/>
          <w:sz w:val="24"/>
          <w:szCs w:val="32"/>
        </w:rPr>
        <w:t>6</w:t>
      </w:r>
      <w:r>
        <w:rPr>
          <w:rFonts w:hint="eastAsia" w:eastAsia="黑体"/>
          <w:b/>
          <w:sz w:val="24"/>
          <w:szCs w:val="32"/>
        </w:rPr>
        <w:t>.</w:t>
      </w:r>
      <w:r>
        <w:rPr>
          <w:rFonts w:eastAsia="黑体"/>
          <w:b/>
          <w:sz w:val="24"/>
          <w:szCs w:val="32"/>
        </w:rPr>
        <w:t>5</w:t>
      </w:r>
      <w:r>
        <w:rPr>
          <w:rFonts w:hint="eastAsia" w:eastAsia="黑体"/>
          <w:b/>
          <w:sz w:val="24"/>
          <w:szCs w:val="32"/>
        </w:rPr>
        <w:t>.</w:t>
      </w:r>
      <w:r>
        <w:rPr>
          <w:rFonts w:eastAsia="黑体"/>
          <w:b/>
          <w:sz w:val="24"/>
          <w:szCs w:val="32"/>
        </w:rPr>
        <w:t>6</w:t>
      </w:r>
      <w:r>
        <w:rPr>
          <w:rFonts w:hint="eastAsia" w:eastAsia="黑体"/>
          <w:b/>
          <w:sz w:val="24"/>
          <w:szCs w:val="32"/>
        </w:rPr>
        <w:t xml:space="preserve"> </w:t>
      </w:r>
      <w:r>
        <w:rPr>
          <w:rFonts w:hint="eastAsia" w:asciiTheme="minorEastAsia" w:hAnsiTheme="minorEastAsia" w:eastAsiaTheme="minorEastAsia"/>
          <w:sz w:val="24"/>
          <w:szCs w:val="32"/>
        </w:rPr>
        <w:t>建筑设备管理系统与建筑智能化系统之间应进行信息交互，关联监控应满足下列要求：</w:t>
      </w:r>
    </w:p>
    <w:p>
      <w:pPr>
        <w:snapToGrid w:val="0"/>
        <w:spacing w:line="360" w:lineRule="auto"/>
        <w:ind w:firstLine="480" w:firstLineChars="200"/>
        <w:jc w:val="left"/>
        <w:rPr>
          <w:sz w:val="24"/>
          <w:szCs w:val="32"/>
        </w:rPr>
      </w:pPr>
      <w:r>
        <w:rPr>
          <w:rFonts w:hint="eastAsia" w:eastAsia="黑体"/>
          <w:sz w:val="24"/>
          <w:szCs w:val="32"/>
        </w:rPr>
        <w:t>1</w:t>
      </w:r>
      <w:r>
        <w:rPr>
          <w:rFonts w:hint="eastAsia"/>
          <w:sz w:val="24"/>
          <w:szCs w:val="32"/>
        </w:rPr>
        <w:t xml:space="preserve"> 与安全技术防范系统之间，宜遵守安全技术防范系统优先的原则：</w:t>
      </w:r>
    </w:p>
    <w:p>
      <w:pPr>
        <w:pStyle w:val="52"/>
        <w:numPr>
          <w:ilvl w:val="0"/>
          <w:numId w:val="12"/>
        </w:numPr>
        <w:snapToGrid w:val="0"/>
        <w:spacing w:line="360" w:lineRule="auto"/>
        <w:ind w:left="1094" w:hanging="357" w:firstLineChars="0"/>
        <w:jc w:val="left"/>
        <w:rPr>
          <w:sz w:val="24"/>
          <w:szCs w:val="28"/>
        </w:rPr>
      </w:pPr>
      <w:r>
        <w:rPr>
          <w:rFonts w:hint="eastAsia"/>
          <w:sz w:val="24"/>
          <w:szCs w:val="28"/>
        </w:rPr>
        <w:t>可根据安防报警信号联动照明和暖通空调控制；</w:t>
      </w:r>
    </w:p>
    <w:p>
      <w:pPr>
        <w:pStyle w:val="52"/>
        <w:numPr>
          <w:ilvl w:val="0"/>
          <w:numId w:val="12"/>
        </w:numPr>
        <w:snapToGrid w:val="0"/>
        <w:spacing w:line="360" w:lineRule="auto"/>
        <w:ind w:left="1094" w:hanging="357" w:firstLineChars="0"/>
        <w:jc w:val="left"/>
        <w:rPr>
          <w:sz w:val="24"/>
          <w:szCs w:val="28"/>
        </w:rPr>
      </w:pPr>
      <w:r>
        <w:rPr>
          <w:rFonts w:hint="eastAsia"/>
          <w:sz w:val="24"/>
          <w:szCs w:val="28"/>
        </w:rPr>
        <w:t>可根据人流统计信息联动照明和暖通空调控制。</w:t>
      </w:r>
    </w:p>
    <w:p>
      <w:pPr>
        <w:snapToGrid w:val="0"/>
        <w:spacing w:line="360" w:lineRule="auto"/>
        <w:ind w:firstLine="480" w:firstLineChars="200"/>
        <w:jc w:val="left"/>
        <w:rPr>
          <w:rFonts w:eastAsia="黑体"/>
          <w:sz w:val="24"/>
          <w:szCs w:val="32"/>
        </w:rPr>
      </w:pPr>
      <w:r>
        <w:rPr>
          <w:rFonts w:hint="eastAsia" w:eastAsia="黑体"/>
          <w:sz w:val="24"/>
          <w:szCs w:val="32"/>
        </w:rPr>
        <w:t xml:space="preserve">2 </w:t>
      </w:r>
      <w:r>
        <w:rPr>
          <w:rFonts w:hint="eastAsia" w:asciiTheme="minorEastAsia" w:hAnsiTheme="minorEastAsia" w:eastAsiaTheme="minorEastAsia"/>
          <w:sz w:val="24"/>
          <w:szCs w:val="32"/>
        </w:rPr>
        <w:t>应为集成系统提供设备监测参数、操作信息和能耗累计数据；</w:t>
      </w:r>
    </w:p>
    <w:p>
      <w:pPr>
        <w:snapToGrid w:val="0"/>
        <w:spacing w:line="360" w:lineRule="auto"/>
        <w:ind w:firstLine="480" w:firstLineChars="200"/>
        <w:jc w:val="left"/>
        <w:rPr>
          <w:sz w:val="24"/>
          <w:szCs w:val="32"/>
        </w:rPr>
      </w:pPr>
      <w:r>
        <w:rPr>
          <w:rFonts w:hint="eastAsia" w:eastAsia="黑体"/>
          <w:sz w:val="24"/>
          <w:szCs w:val="32"/>
        </w:rPr>
        <w:t>3</w:t>
      </w:r>
      <w:r>
        <w:rPr>
          <w:rFonts w:hint="eastAsia"/>
          <w:sz w:val="24"/>
          <w:szCs w:val="32"/>
        </w:rPr>
        <w:t xml:space="preserve"> 宜为信息导引及发布系统提供公共区域的环境参数和能耗数据等信息；</w:t>
      </w:r>
    </w:p>
    <w:p>
      <w:pPr>
        <w:snapToGrid w:val="0"/>
        <w:spacing w:line="360" w:lineRule="auto"/>
        <w:ind w:firstLine="480" w:firstLineChars="200"/>
        <w:jc w:val="left"/>
      </w:pPr>
      <w:r>
        <w:rPr>
          <w:rFonts w:hint="eastAsia" w:eastAsia="黑体"/>
          <w:sz w:val="24"/>
          <w:szCs w:val="32"/>
        </w:rPr>
        <w:t>4</w:t>
      </w:r>
      <w:r>
        <w:rPr>
          <w:rFonts w:hint="eastAsia"/>
          <w:sz w:val="24"/>
          <w:szCs w:val="32"/>
        </w:rPr>
        <w:t xml:space="preserve"> 宜根据使用需要，为其他系统提供本系统的监测参数、操作信息和能耗累计数据等信息。</w:t>
      </w:r>
    </w:p>
    <w:p>
      <w:pPr>
        <w:jc w:val="left"/>
        <w:rPr>
          <w:rFonts w:ascii="黑体" w:eastAsia="黑体"/>
        </w:rPr>
      </w:pPr>
    </w:p>
    <w:p>
      <w:pPr>
        <w:spacing w:line="360" w:lineRule="auto"/>
        <w:jc w:val="left"/>
        <w:rPr>
          <w:rFonts w:asciiTheme="minorEastAsia" w:hAnsiTheme="minorEastAsia" w:eastAsiaTheme="minorEastAsia"/>
          <w:sz w:val="24"/>
          <w:szCs w:val="32"/>
        </w:rPr>
      </w:pPr>
      <w:r>
        <w:rPr>
          <w:rFonts w:eastAsia="黑体"/>
          <w:b/>
          <w:sz w:val="24"/>
          <w:szCs w:val="32"/>
        </w:rPr>
        <w:t>6</w:t>
      </w:r>
      <w:r>
        <w:rPr>
          <w:rFonts w:hint="eastAsia" w:eastAsia="黑体"/>
          <w:b/>
          <w:sz w:val="24"/>
          <w:szCs w:val="32"/>
        </w:rPr>
        <w:t>.</w:t>
      </w:r>
      <w:r>
        <w:rPr>
          <w:rFonts w:eastAsia="黑体"/>
          <w:b/>
          <w:sz w:val="24"/>
          <w:szCs w:val="32"/>
        </w:rPr>
        <w:t>5</w:t>
      </w:r>
      <w:r>
        <w:rPr>
          <w:rFonts w:hint="eastAsia" w:eastAsia="黑体"/>
          <w:b/>
          <w:sz w:val="24"/>
          <w:szCs w:val="32"/>
        </w:rPr>
        <w:t>.</w:t>
      </w:r>
      <w:r>
        <w:rPr>
          <w:rFonts w:eastAsia="黑体"/>
          <w:b/>
          <w:sz w:val="24"/>
          <w:szCs w:val="32"/>
        </w:rPr>
        <w:t>7</w:t>
      </w:r>
      <w:r>
        <w:rPr>
          <w:rFonts w:hint="eastAsia" w:eastAsia="黑体"/>
          <w:b/>
          <w:sz w:val="24"/>
          <w:szCs w:val="32"/>
        </w:rPr>
        <w:t xml:space="preserve"> </w:t>
      </w:r>
      <w:r>
        <w:rPr>
          <w:rFonts w:hint="eastAsia" w:asciiTheme="minorEastAsia" w:hAnsiTheme="minorEastAsia" w:eastAsiaTheme="minorEastAsia"/>
          <w:sz w:val="24"/>
          <w:szCs w:val="32"/>
        </w:rPr>
        <w:t>公共机构和大型公共建筑的建筑设备管理系统宜为建筑能耗远程监测系统提供能耗累计数据的远传。</w:t>
      </w:r>
    </w:p>
    <w:p>
      <w:pPr>
        <w:widowControl/>
        <w:jc w:val="center"/>
        <w:rPr>
          <w:rFonts w:asciiTheme="minorEastAsia" w:hAnsiTheme="minorEastAsia" w:eastAsiaTheme="minorEastAsia"/>
          <w:sz w:val="24"/>
          <w:szCs w:val="32"/>
        </w:rPr>
      </w:pPr>
      <w:r>
        <w:rPr>
          <w:rFonts w:asciiTheme="minorEastAsia" w:hAnsiTheme="minorEastAsia" w:eastAsiaTheme="minorEastAsia"/>
          <w:sz w:val="24"/>
          <w:szCs w:val="32"/>
        </w:rPr>
        <w:br w:type="page"/>
      </w:r>
    </w:p>
    <w:p>
      <w:pPr>
        <w:pStyle w:val="2"/>
        <w:spacing w:after="240" w:line="276" w:lineRule="auto"/>
        <w:jc w:val="center"/>
      </w:pPr>
      <w:bookmarkStart w:id="95" w:name="_Toc373745799"/>
      <w:bookmarkStart w:id="96" w:name="_Toc146734732"/>
      <w:bookmarkStart w:id="97" w:name="_Toc377052149"/>
      <w:bookmarkStart w:id="98" w:name="_Toc376970894"/>
      <w:r>
        <w:rPr>
          <w:rFonts w:hint="eastAsia"/>
        </w:rPr>
        <w:t>7</w:t>
      </w:r>
      <w:r>
        <w:t>可再生能源</w:t>
      </w:r>
      <w:r>
        <w:rPr>
          <w:rFonts w:hint="eastAsia"/>
        </w:rPr>
        <w:t>应用</w:t>
      </w:r>
      <w:bookmarkEnd w:id="95"/>
      <w:bookmarkEnd w:id="96"/>
      <w:bookmarkEnd w:id="97"/>
      <w:bookmarkEnd w:id="98"/>
    </w:p>
    <w:p>
      <w:pPr>
        <w:pStyle w:val="3"/>
        <w:spacing w:line="276" w:lineRule="auto"/>
        <w:jc w:val="center"/>
        <w:rPr>
          <w:rFonts w:ascii="Times New Roman" w:hAnsi="Times New Roman" w:eastAsia="宋体"/>
        </w:rPr>
      </w:pPr>
      <w:bookmarkStart w:id="99" w:name="_Toc376970895"/>
      <w:bookmarkStart w:id="100" w:name="_Toc377052150"/>
      <w:bookmarkStart w:id="101" w:name="_Toc373745800"/>
      <w:bookmarkStart w:id="102" w:name="_Toc146734733"/>
      <w:r>
        <w:rPr>
          <w:rFonts w:ascii="Times New Roman" w:hAnsi="Times New Roman" w:eastAsia="宋体"/>
        </w:rPr>
        <w:t>7.1一般规定</w:t>
      </w:r>
      <w:bookmarkEnd w:id="99"/>
      <w:bookmarkEnd w:id="100"/>
      <w:bookmarkEnd w:id="101"/>
      <w:bookmarkEnd w:id="102"/>
    </w:p>
    <w:p>
      <w:pPr>
        <w:autoSpaceDE w:val="0"/>
        <w:autoSpaceDN w:val="0"/>
        <w:adjustRightInd w:val="0"/>
        <w:spacing w:before="60" w:line="360" w:lineRule="auto"/>
        <w:ind w:left="1"/>
        <w:jc w:val="left"/>
        <w:rPr>
          <w:kern w:val="0"/>
          <w:sz w:val="24"/>
        </w:rPr>
      </w:pPr>
      <w:r>
        <w:rPr>
          <w:rFonts w:cs="Arial"/>
          <w:b/>
          <w:kern w:val="0"/>
          <w:sz w:val="24"/>
        </w:rPr>
        <w:t xml:space="preserve">7.1.1 </w:t>
      </w:r>
      <w:r>
        <w:rPr>
          <w:kern w:val="0"/>
          <w:sz w:val="24"/>
        </w:rPr>
        <w:t>公共建筑</w:t>
      </w:r>
      <w:r>
        <w:rPr>
          <w:rFonts w:hint="eastAsia"/>
          <w:kern w:val="0"/>
          <w:sz w:val="24"/>
        </w:rPr>
        <w:t>的用能</w:t>
      </w:r>
      <w:r>
        <w:rPr>
          <w:kern w:val="0"/>
          <w:sz w:val="24"/>
        </w:rPr>
        <w:t>应通过对当地环境资源条件</w:t>
      </w:r>
      <w:r>
        <w:rPr>
          <w:rFonts w:hint="eastAsia"/>
          <w:kern w:val="0"/>
          <w:sz w:val="24"/>
        </w:rPr>
        <w:t>和</w:t>
      </w:r>
      <w:r>
        <w:rPr>
          <w:kern w:val="0"/>
          <w:sz w:val="24"/>
        </w:rPr>
        <w:t>技术经济的分析</w:t>
      </w:r>
      <w:r>
        <w:rPr>
          <w:rFonts w:hint="eastAsia"/>
          <w:kern w:val="0"/>
          <w:sz w:val="24"/>
        </w:rPr>
        <w:t>，</w:t>
      </w:r>
      <w:r>
        <w:rPr>
          <w:kern w:val="0"/>
          <w:sz w:val="24"/>
        </w:rPr>
        <w:t>结合国家相关政策</w:t>
      </w:r>
      <w:r>
        <w:rPr>
          <w:rFonts w:hint="eastAsia"/>
          <w:kern w:val="0"/>
          <w:sz w:val="24"/>
        </w:rPr>
        <w:t>，</w:t>
      </w:r>
      <w:r>
        <w:rPr>
          <w:kern w:val="0"/>
          <w:sz w:val="24"/>
        </w:rPr>
        <w:t>优先</w:t>
      </w:r>
      <w:r>
        <w:rPr>
          <w:rFonts w:hint="eastAsia"/>
          <w:kern w:val="0"/>
          <w:sz w:val="24"/>
        </w:rPr>
        <w:t>应用</w:t>
      </w:r>
      <w:r>
        <w:rPr>
          <w:kern w:val="0"/>
          <w:sz w:val="24"/>
        </w:rPr>
        <w:t>可再生能源。</w:t>
      </w:r>
    </w:p>
    <w:p>
      <w:pPr>
        <w:autoSpaceDE w:val="0"/>
        <w:autoSpaceDN w:val="0"/>
        <w:adjustRightInd w:val="0"/>
        <w:spacing w:before="60" w:line="360" w:lineRule="auto"/>
        <w:ind w:firstLine="420" w:firstLineChars="200"/>
        <w:jc w:val="left"/>
        <w:rPr>
          <w:kern w:val="0"/>
        </w:rPr>
      </w:pPr>
    </w:p>
    <w:p>
      <w:pPr>
        <w:autoSpaceDE w:val="0"/>
        <w:autoSpaceDN w:val="0"/>
        <w:adjustRightInd w:val="0"/>
        <w:spacing w:before="60" w:line="360" w:lineRule="auto"/>
        <w:ind w:left="482" w:hanging="482" w:hangingChars="200"/>
        <w:jc w:val="left"/>
        <w:rPr>
          <w:rFonts w:cs="Arial"/>
          <w:kern w:val="0"/>
          <w:sz w:val="24"/>
        </w:rPr>
      </w:pPr>
      <w:r>
        <w:rPr>
          <w:rFonts w:cs="Arial"/>
          <w:b/>
          <w:kern w:val="0"/>
          <w:sz w:val="24"/>
        </w:rPr>
        <w:t>7.1.2</w:t>
      </w:r>
      <w:r>
        <w:rPr>
          <w:rFonts w:cs="Arial"/>
          <w:kern w:val="0"/>
          <w:sz w:val="24"/>
        </w:rPr>
        <w:t>公共建筑可再生能源利用设施应与主体工程同步设计。</w:t>
      </w:r>
    </w:p>
    <w:p>
      <w:pPr>
        <w:autoSpaceDE w:val="0"/>
        <w:autoSpaceDN w:val="0"/>
        <w:adjustRightInd w:val="0"/>
        <w:spacing w:before="60" w:line="360" w:lineRule="auto"/>
        <w:ind w:firstLine="420" w:firstLineChars="200"/>
        <w:jc w:val="left"/>
        <w:rPr>
          <w:kern w:val="0"/>
        </w:rPr>
      </w:pPr>
    </w:p>
    <w:p>
      <w:pPr>
        <w:autoSpaceDE w:val="0"/>
        <w:autoSpaceDN w:val="0"/>
        <w:adjustRightInd w:val="0"/>
        <w:spacing w:before="60" w:line="360" w:lineRule="auto"/>
        <w:ind w:left="1"/>
        <w:jc w:val="left"/>
        <w:rPr>
          <w:rFonts w:cs="Arial"/>
          <w:kern w:val="0"/>
          <w:sz w:val="24"/>
        </w:rPr>
      </w:pPr>
      <w:r>
        <w:rPr>
          <w:rFonts w:cs="Arial"/>
          <w:b/>
          <w:kern w:val="0"/>
          <w:sz w:val="24"/>
        </w:rPr>
        <w:t>7.1.3</w:t>
      </w:r>
      <w:r>
        <w:rPr>
          <w:rFonts w:hint="eastAsia" w:cs="Arial"/>
          <w:kern w:val="0"/>
          <w:sz w:val="24"/>
        </w:rPr>
        <w:t>当环境条件允许且经济技术合理时，</w:t>
      </w:r>
      <w:r>
        <w:rPr>
          <w:rFonts w:cs="Arial"/>
          <w:kern w:val="0"/>
          <w:sz w:val="24"/>
        </w:rPr>
        <w:t>宜采用太阳能、风能等可再生能源直接并网供电</w:t>
      </w:r>
      <w:r>
        <w:rPr>
          <w:rFonts w:hint="eastAsia" w:cs="Arial"/>
          <w:kern w:val="0"/>
          <w:sz w:val="24"/>
          <w:szCs w:val="21"/>
        </w:rPr>
        <w:t>。</w:t>
      </w:r>
    </w:p>
    <w:p>
      <w:pPr>
        <w:autoSpaceDE w:val="0"/>
        <w:autoSpaceDN w:val="0"/>
        <w:adjustRightInd w:val="0"/>
        <w:spacing w:before="60" w:line="360" w:lineRule="auto"/>
        <w:ind w:left="482" w:hanging="482" w:hangingChars="200"/>
        <w:jc w:val="left"/>
        <w:rPr>
          <w:b/>
          <w:kern w:val="0"/>
          <w:sz w:val="24"/>
        </w:rPr>
      </w:pPr>
    </w:p>
    <w:p>
      <w:pPr>
        <w:autoSpaceDE w:val="0"/>
        <w:autoSpaceDN w:val="0"/>
        <w:adjustRightInd w:val="0"/>
        <w:spacing w:before="60" w:line="360" w:lineRule="auto"/>
        <w:ind w:left="1"/>
        <w:jc w:val="left"/>
        <w:rPr>
          <w:rFonts w:cs="Arial"/>
          <w:kern w:val="0"/>
          <w:sz w:val="24"/>
        </w:rPr>
      </w:pPr>
      <w:r>
        <w:rPr>
          <w:rFonts w:cs="Arial"/>
          <w:b/>
          <w:kern w:val="0"/>
          <w:sz w:val="24"/>
        </w:rPr>
        <w:t>7.1.4</w:t>
      </w:r>
      <w:r>
        <w:rPr>
          <w:rFonts w:hint="eastAsia" w:cs="Arial"/>
          <w:kern w:val="0"/>
          <w:sz w:val="24"/>
        </w:rPr>
        <w:t>当公共电网</w:t>
      </w:r>
      <w:r>
        <w:rPr>
          <w:rFonts w:cs="Arial"/>
          <w:kern w:val="0"/>
          <w:sz w:val="24"/>
        </w:rPr>
        <w:t>无法提供照明电源时，</w:t>
      </w:r>
      <w:r>
        <w:rPr>
          <w:rFonts w:hint="eastAsia" w:cs="Arial"/>
          <w:kern w:val="0"/>
          <w:sz w:val="24"/>
        </w:rPr>
        <w:t>应</w:t>
      </w:r>
      <w:r>
        <w:rPr>
          <w:rFonts w:cs="Arial"/>
          <w:kern w:val="0"/>
          <w:sz w:val="24"/>
        </w:rPr>
        <w:t>采用太阳能</w:t>
      </w:r>
      <w:r>
        <w:rPr>
          <w:rFonts w:hint="eastAsia" w:cs="Arial"/>
          <w:kern w:val="0"/>
          <w:sz w:val="24"/>
        </w:rPr>
        <w:t>、</w:t>
      </w:r>
      <w:r>
        <w:rPr>
          <w:rFonts w:cs="Arial"/>
          <w:kern w:val="0"/>
          <w:sz w:val="24"/>
        </w:rPr>
        <w:t>风能等</w:t>
      </w:r>
      <w:r>
        <w:rPr>
          <w:rFonts w:hint="eastAsia" w:cs="Arial"/>
          <w:kern w:val="0"/>
          <w:sz w:val="24"/>
        </w:rPr>
        <w:t>发电</w:t>
      </w:r>
      <w:r>
        <w:rPr>
          <w:rFonts w:cs="Arial"/>
          <w:kern w:val="0"/>
          <w:sz w:val="24"/>
        </w:rPr>
        <w:t>并配置蓄电池</w:t>
      </w:r>
      <w:r>
        <w:rPr>
          <w:rFonts w:hint="eastAsia" w:cs="Arial"/>
          <w:kern w:val="0"/>
          <w:sz w:val="24"/>
        </w:rPr>
        <w:t>的方式作为照明电源</w:t>
      </w:r>
      <w:r>
        <w:rPr>
          <w:rFonts w:cs="Arial"/>
          <w:kern w:val="0"/>
          <w:sz w:val="24"/>
        </w:rPr>
        <w:t>。</w:t>
      </w:r>
    </w:p>
    <w:p>
      <w:pPr>
        <w:autoSpaceDE w:val="0"/>
        <w:autoSpaceDN w:val="0"/>
        <w:adjustRightInd w:val="0"/>
        <w:spacing w:before="60" w:line="360" w:lineRule="auto"/>
        <w:ind w:left="482" w:hanging="482" w:hangingChars="200"/>
        <w:jc w:val="left"/>
        <w:rPr>
          <w:b/>
          <w:kern w:val="0"/>
          <w:sz w:val="24"/>
        </w:rPr>
      </w:pPr>
    </w:p>
    <w:p>
      <w:pPr>
        <w:autoSpaceDE w:val="0"/>
        <w:autoSpaceDN w:val="0"/>
        <w:adjustRightInd w:val="0"/>
        <w:spacing w:before="60" w:line="360" w:lineRule="auto"/>
        <w:ind w:left="1"/>
        <w:jc w:val="left"/>
        <w:rPr>
          <w:rFonts w:cs="Arial"/>
          <w:kern w:val="0"/>
          <w:sz w:val="24"/>
        </w:rPr>
      </w:pPr>
      <w:r>
        <w:rPr>
          <w:rFonts w:cs="Arial"/>
          <w:b/>
          <w:kern w:val="0"/>
          <w:sz w:val="24"/>
        </w:rPr>
        <w:t>7.1.5</w:t>
      </w:r>
      <w:r>
        <w:rPr>
          <w:rFonts w:cs="Arial"/>
          <w:kern w:val="0"/>
          <w:sz w:val="24"/>
        </w:rPr>
        <w:t>可再生能源</w:t>
      </w:r>
      <w:r>
        <w:rPr>
          <w:rFonts w:hint="eastAsia" w:cs="Arial"/>
          <w:kern w:val="0"/>
          <w:sz w:val="24"/>
        </w:rPr>
        <w:t>应用</w:t>
      </w:r>
      <w:r>
        <w:rPr>
          <w:rFonts w:cs="Arial"/>
          <w:kern w:val="0"/>
          <w:sz w:val="24"/>
        </w:rPr>
        <w:t>系统</w:t>
      </w:r>
      <w:r>
        <w:rPr>
          <w:rFonts w:hint="eastAsia" w:cs="Arial"/>
          <w:kern w:val="0"/>
          <w:sz w:val="24"/>
        </w:rPr>
        <w:t>的</w:t>
      </w:r>
      <w:r>
        <w:rPr>
          <w:rFonts w:cs="Arial"/>
          <w:kern w:val="0"/>
          <w:sz w:val="24"/>
        </w:rPr>
        <w:t>监测</w:t>
      </w:r>
      <w:r>
        <w:rPr>
          <w:rFonts w:hint="eastAsia" w:cs="Arial"/>
          <w:kern w:val="0"/>
          <w:sz w:val="24"/>
        </w:rPr>
        <w:t>和</w:t>
      </w:r>
      <w:r>
        <w:rPr>
          <w:rFonts w:cs="Arial"/>
          <w:kern w:val="0"/>
          <w:sz w:val="24"/>
        </w:rPr>
        <w:t>计量</w:t>
      </w:r>
      <w:r>
        <w:rPr>
          <w:rFonts w:hint="eastAsia" w:cs="Arial"/>
          <w:kern w:val="0"/>
          <w:sz w:val="24"/>
        </w:rPr>
        <w:t>要求，应符合现行</w:t>
      </w:r>
      <w:r>
        <w:rPr>
          <w:rFonts w:hint="eastAsia" w:cs="Arial"/>
          <w:kern w:val="0"/>
          <w:sz w:val="24"/>
          <w:lang w:val="en-US" w:eastAsia="zh-CN"/>
        </w:rPr>
        <w:t>强制性工程建设规范</w:t>
      </w:r>
      <w:r>
        <w:rPr>
          <w:rFonts w:hint="eastAsia" w:cs="Arial"/>
          <w:kern w:val="0"/>
          <w:sz w:val="24"/>
        </w:rPr>
        <w:t>《建筑节能与可再生能源利用通用规范》G</w:t>
      </w:r>
      <w:r>
        <w:rPr>
          <w:rFonts w:cs="Arial"/>
          <w:kern w:val="0"/>
          <w:sz w:val="24"/>
        </w:rPr>
        <w:t>B55015</w:t>
      </w:r>
      <w:r>
        <w:rPr>
          <w:rFonts w:hint="eastAsia" w:cs="Arial"/>
          <w:kern w:val="0"/>
          <w:sz w:val="24"/>
        </w:rPr>
        <w:t>的规定</w:t>
      </w:r>
      <w:r>
        <w:rPr>
          <w:rFonts w:cs="Arial"/>
          <w:kern w:val="0"/>
          <w:sz w:val="24"/>
        </w:rPr>
        <w:t>。</w:t>
      </w:r>
    </w:p>
    <w:p>
      <w:pPr>
        <w:autoSpaceDE w:val="0"/>
        <w:autoSpaceDN w:val="0"/>
        <w:adjustRightInd w:val="0"/>
        <w:spacing w:before="60" w:line="276" w:lineRule="auto"/>
        <w:ind w:left="1"/>
        <w:jc w:val="left"/>
        <w:rPr>
          <w:rFonts w:cs="Arial"/>
          <w:kern w:val="0"/>
          <w:sz w:val="24"/>
        </w:rPr>
      </w:pPr>
    </w:p>
    <w:p>
      <w:pPr>
        <w:pStyle w:val="3"/>
        <w:spacing w:line="276" w:lineRule="auto"/>
        <w:jc w:val="center"/>
        <w:rPr>
          <w:rFonts w:ascii="Times New Roman" w:hAnsi="Times New Roman" w:eastAsia="宋体"/>
        </w:rPr>
      </w:pPr>
      <w:bookmarkStart w:id="103" w:name="_Toc373745801"/>
      <w:bookmarkStart w:id="104" w:name="_Toc377052151"/>
      <w:bookmarkStart w:id="105" w:name="_Toc376970896"/>
      <w:bookmarkStart w:id="106" w:name="_Toc146734734"/>
      <w:r>
        <w:rPr>
          <w:rFonts w:ascii="Times New Roman" w:hAnsi="Times New Roman" w:eastAsia="宋体"/>
        </w:rPr>
        <w:t>7.2太阳能利用</w:t>
      </w:r>
      <w:bookmarkEnd w:id="103"/>
      <w:bookmarkEnd w:id="104"/>
      <w:bookmarkEnd w:id="105"/>
      <w:bookmarkEnd w:id="106"/>
    </w:p>
    <w:p>
      <w:pPr>
        <w:autoSpaceDE w:val="0"/>
        <w:autoSpaceDN w:val="0"/>
        <w:adjustRightInd w:val="0"/>
        <w:spacing w:line="360" w:lineRule="auto"/>
        <w:ind w:left="1"/>
        <w:jc w:val="left"/>
        <w:rPr>
          <w:rFonts w:cs="Arial"/>
          <w:sz w:val="24"/>
        </w:rPr>
      </w:pPr>
      <w:r>
        <w:rPr>
          <w:rFonts w:cs="Arial"/>
          <w:b/>
          <w:kern w:val="0"/>
          <w:sz w:val="24"/>
        </w:rPr>
        <w:t>7.2.1</w:t>
      </w:r>
      <w:r>
        <w:rPr>
          <w:rFonts w:cs="Arial"/>
          <w:kern w:val="0"/>
          <w:sz w:val="24"/>
        </w:rPr>
        <w:t>太阳能利用应遵循被动优先的原则</w:t>
      </w:r>
      <w:r>
        <w:rPr>
          <w:rFonts w:hint="eastAsia" w:cs="Arial"/>
          <w:kern w:val="0"/>
          <w:sz w:val="24"/>
        </w:rPr>
        <w:t>。</w:t>
      </w:r>
      <w:r>
        <w:rPr>
          <w:rFonts w:cs="Arial"/>
          <w:kern w:val="0"/>
          <w:sz w:val="24"/>
        </w:rPr>
        <w:t>公共建筑设计</w:t>
      </w:r>
      <w:r>
        <w:rPr>
          <w:rFonts w:cs="Arial"/>
          <w:sz w:val="24"/>
        </w:rPr>
        <w:t>宜充分利用太阳能。</w:t>
      </w:r>
    </w:p>
    <w:p>
      <w:pPr>
        <w:spacing w:line="360" w:lineRule="auto"/>
        <w:rPr>
          <w:kern w:val="0"/>
          <w:szCs w:val="21"/>
        </w:rPr>
      </w:pPr>
    </w:p>
    <w:p>
      <w:pPr>
        <w:autoSpaceDE w:val="0"/>
        <w:autoSpaceDN w:val="0"/>
        <w:adjustRightInd w:val="0"/>
        <w:spacing w:line="360" w:lineRule="auto"/>
        <w:ind w:left="1"/>
        <w:jc w:val="left"/>
        <w:rPr>
          <w:rFonts w:cs="Arial"/>
          <w:kern w:val="0"/>
          <w:sz w:val="24"/>
        </w:rPr>
      </w:pPr>
      <w:r>
        <w:rPr>
          <w:rFonts w:cs="Arial"/>
          <w:b/>
          <w:kern w:val="0"/>
          <w:sz w:val="24"/>
        </w:rPr>
        <w:t>7.2.</w:t>
      </w:r>
      <w:r>
        <w:rPr>
          <w:rFonts w:hint="eastAsia" w:cs="Arial"/>
          <w:b/>
          <w:kern w:val="0"/>
          <w:sz w:val="24"/>
        </w:rPr>
        <w:t>2</w:t>
      </w:r>
      <w:r>
        <w:rPr>
          <w:rFonts w:cs="Arial"/>
          <w:kern w:val="0"/>
          <w:sz w:val="24"/>
        </w:rPr>
        <w:t>公共建筑宜采用光热或光伏与建筑一体化</w:t>
      </w:r>
      <w:r>
        <w:rPr>
          <w:rFonts w:hint="eastAsia" w:cs="Arial"/>
          <w:kern w:val="0"/>
          <w:sz w:val="24"/>
        </w:rPr>
        <w:t>系统；</w:t>
      </w:r>
      <w:r>
        <w:rPr>
          <w:rFonts w:cs="Arial"/>
          <w:kern w:val="0"/>
          <w:sz w:val="24"/>
        </w:rPr>
        <w:t>光热或光伏与建筑一体化</w:t>
      </w:r>
      <w:r>
        <w:rPr>
          <w:rFonts w:hint="eastAsia" w:cs="Arial"/>
          <w:kern w:val="0"/>
          <w:sz w:val="24"/>
        </w:rPr>
        <w:t>系统不应</w:t>
      </w:r>
      <w:r>
        <w:rPr>
          <w:rFonts w:cs="Arial"/>
          <w:kern w:val="0"/>
          <w:sz w:val="24"/>
        </w:rPr>
        <w:t>影响建筑外围护结构的建筑功能</w:t>
      </w:r>
      <w:r>
        <w:rPr>
          <w:rFonts w:hint="eastAsia" w:cs="Arial"/>
          <w:kern w:val="0"/>
          <w:sz w:val="24"/>
        </w:rPr>
        <w:t>，并应符合国家现行标准的有关规定</w:t>
      </w:r>
      <w:r>
        <w:rPr>
          <w:rFonts w:cs="Arial"/>
          <w:kern w:val="0"/>
          <w:sz w:val="24"/>
        </w:rPr>
        <w:t>。</w:t>
      </w:r>
    </w:p>
    <w:p>
      <w:pPr>
        <w:autoSpaceDE w:val="0"/>
        <w:autoSpaceDN w:val="0"/>
        <w:adjustRightInd w:val="0"/>
        <w:spacing w:line="360" w:lineRule="auto"/>
        <w:ind w:left="1"/>
        <w:jc w:val="left"/>
        <w:rPr>
          <w:rFonts w:cs="Arial"/>
          <w:kern w:val="0"/>
          <w:sz w:val="24"/>
        </w:rPr>
      </w:pPr>
    </w:p>
    <w:p>
      <w:pPr>
        <w:autoSpaceDE w:val="0"/>
        <w:autoSpaceDN w:val="0"/>
        <w:adjustRightInd w:val="0"/>
        <w:spacing w:line="360" w:lineRule="auto"/>
        <w:rPr>
          <w:rFonts w:cs="Arial"/>
          <w:bCs/>
          <w:kern w:val="0"/>
          <w:sz w:val="24"/>
        </w:rPr>
      </w:pPr>
      <w:r>
        <w:rPr>
          <w:rFonts w:cs="Arial"/>
          <w:b/>
          <w:kern w:val="0"/>
          <w:sz w:val="24"/>
        </w:rPr>
        <w:t>7.2.3</w:t>
      </w:r>
      <w:r>
        <w:rPr>
          <w:rFonts w:hint="eastAsia" w:cs="Arial"/>
          <w:bCs/>
          <w:kern w:val="0"/>
          <w:sz w:val="24"/>
        </w:rPr>
        <w:t>新建建筑应用太阳能系统时应满足以下要求：</w:t>
      </w:r>
    </w:p>
    <w:p>
      <w:pPr>
        <w:autoSpaceDE w:val="0"/>
        <w:autoSpaceDN w:val="0"/>
        <w:adjustRightInd w:val="0"/>
        <w:spacing w:line="360" w:lineRule="auto"/>
        <w:ind w:left="993" w:leftChars="340" w:hanging="279" w:hangingChars="116"/>
        <w:jc w:val="left"/>
        <w:rPr>
          <w:rFonts w:cs="Arial"/>
          <w:bCs/>
          <w:kern w:val="0"/>
          <w:sz w:val="24"/>
        </w:rPr>
      </w:pPr>
      <w:r>
        <w:rPr>
          <w:rFonts w:cs="Arial"/>
          <w:b/>
          <w:kern w:val="0"/>
          <w:sz w:val="24"/>
        </w:rPr>
        <w:t>1</w:t>
      </w:r>
      <w:r>
        <w:rPr>
          <w:rFonts w:cs="Arial"/>
          <w:b/>
          <w:kern w:val="0"/>
          <w:sz w:val="24"/>
        </w:rPr>
        <w:tab/>
      </w:r>
      <w:r>
        <w:rPr>
          <w:rFonts w:hint="eastAsia" w:cs="Arial"/>
          <w:bCs/>
          <w:kern w:val="0"/>
          <w:sz w:val="24"/>
        </w:rPr>
        <w:t>6层及以下甲类公共建筑的太阳能集热面积或光伏组件总安装面积不应少于全部屋面水平投影面积的</w:t>
      </w:r>
      <w:r>
        <w:rPr>
          <w:rFonts w:cs="Arial"/>
          <w:bCs/>
          <w:kern w:val="0"/>
          <w:sz w:val="24"/>
        </w:rPr>
        <w:t>2</w:t>
      </w:r>
      <w:r>
        <w:rPr>
          <w:rFonts w:hint="eastAsia" w:cs="Arial"/>
          <w:bCs/>
          <w:kern w:val="0"/>
          <w:sz w:val="24"/>
        </w:rPr>
        <w:t>0%；</w:t>
      </w:r>
    </w:p>
    <w:p>
      <w:pPr>
        <w:autoSpaceDE w:val="0"/>
        <w:autoSpaceDN w:val="0"/>
        <w:adjustRightInd w:val="0"/>
        <w:spacing w:line="360" w:lineRule="auto"/>
        <w:ind w:left="993" w:leftChars="340" w:hanging="279" w:hangingChars="116"/>
        <w:jc w:val="left"/>
        <w:rPr>
          <w:rFonts w:cs="Arial"/>
          <w:bCs/>
          <w:kern w:val="0"/>
          <w:sz w:val="24"/>
        </w:rPr>
      </w:pPr>
      <w:r>
        <w:rPr>
          <w:rFonts w:cs="Arial"/>
          <w:b/>
          <w:kern w:val="0"/>
          <w:sz w:val="24"/>
        </w:rPr>
        <w:t>2</w:t>
      </w:r>
      <w:r>
        <w:rPr>
          <w:rFonts w:cs="Arial"/>
          <w:bCs/>
          <w:kern w:val="0"/>
          <w:sz w:val="24"/>
        </w:rPr>
        <w:tab/>
      </w:r>
      <w:r>
        <w:rPr>
          <w:rFonts w:hint="eastAsia" w:cs="Arial"/>
          <w:bCs/>
          <w:kern w:val="0"/>
          <w:sz w:val="24"/>
        </w:rPr>
        <w:t>6层以上公共建筑的太阳能集热面积或光伏组件总安装面积不应少于全部屋面水平投影面积的</w:t>
      </w:r>
      <w:r>
        <w:rPr>
          <w:rFonts w:cs="Arial"/>
          <w:bCs/>
          <w:kern w:val="0"/>
          <w:sz w:val="24"/>
        </w:rPr>
        <w:t>15</w:t>
      </w:r>
      <w:r>
        <w:rPr>
          <w:rFonts w:hint="eastAsia" w:cs="Arial"/>
          <w:bCs/>
          <w:kern w:val="0"/>
          <w:sz w:val="24"/>
        </w:rPr>
        <w:t>%。</w:t>
      </w:r>
    </w:p>
    <w:p>
      <w:pPr>
        <w:spacing w:line="360" w:lineRule="auto"/>
        <w:rPr>
          <w:kern w:val="0"/>
          <w:szCs w:val="21"/>
        </w:rPr>
      </w:pPr>
    </w:p>
    <w:p>
      <w:pPr>
        <w:spacing w:line="360" w:lineRule="auto"/>
        <w:rPr>
          <w:sz w:val="24"/>
        </w:rPr>
      </w:pPr>
      <w:r>
        <w:rPr>
          <w:b/>
          <w:bCs/>
          <w:sz w:val="24"/>
        </w:rPr>
        <w:t>7.2.4</w:t>
      </w:r>
      <w:r>
        <w:rPr>
          <w:rFonts w:hint="eastAsia"/>
          <w:sz w:val="24"/>
        </w:rPr>
        <w:t>太阳能系统设计阶段应逐时计算光伏系统发电量、太阳能集热系统集热量，得出全年太阳能光伏发电自消纳比例、太阳能热利用系统保证率，并考虑入射角、阴影遮挡等环境因素影响。</w:t>
      </w:r>
    </w:p>
    <w:p>
      <w:pPr>
        <w:autoSpaceDE w:val="0"/>
        <w:autoSpaceDN w:val="0"/>
        <w:adjustRightInd w:val="0"/>
        <w:spacing w:line="360" w:lineRule="auto"/>
        <w:ind w:firstLine="480" w:firstLineChars="200"/>
        <w:jc w:val="left"/>
        <w:rPr>
          <w:rFonts w:cs="Arial"/>
          <w:sz w:val="24"/>
        </w:rPr>
      </w:pPr>
    </w:p>
    <w:p>
      <w:pPr>
        <w:autoSpaceDE w:val="0"/>
        <w:autoSpaceDN w:val="0"/>
        <w:adjustRightInd w:val="0"/>
        <w:spacing w:line="360" w:lineRule="auto"/>
        <w:ind w:left="1"/>
        <w:jc w:val="left"/>
        <w:rPr>
          <w:rFonts w:cs="Arial"/>
          <w:kern w:val="0"/>
          <w:sz w:val="24"/>
        </w:rPr>
      </w:pPr>
      <w:r>
        <w:rPr>
          <w:rFonts w:cs="Arial"/>
          <w:b/>
          <w:kern w:val="0"/>
          <w:sz w:val="24"/>
        </w:rPr>
        <w:t>7.2.5</w:t>
      </w:r>
      <w:r>
        <w:rPr>
          <w:rFonts w:cs="Arial"/>
          <w:kern w:val="0"/>
          <w:sz w:val="24"/>
        </w:rPr>
        <w:t>公共建筑</w:t>
      </w:r>
      <w:r>
        <w:rPr>
          <w:rFonts w:hint="eastAsia" w:cs="Arial"/>
          <w:kern w:val="0"/>
          <w:sz w:val="24"/>
        </w:rPr>
        <w:t>设置太阳能热利用系统时，</w:t>
      </w:r>
      <w:r>
        <w:rPr>
          <w:rFonts w:cs="Arial"/>
          <w:kern w:val="0"/>
          <w:sz w:val="24"/>
        </w:rPr>
        <w:t>太阳能保证率</w:t>
      </w:r>
      <w:r>
        <w:rPr>
          <w:rFonts w:hint="eastAsia" w:cs="Arial"/>
          <w:kern w:val="0"/>
          <w:sz w:val="24"/>
        </w:rPr>
        <w:t>应符合</w:t>
      </w:r>
      <w:r>
        <w:rPr>
          <w:rFonts w:cs="Arial"/>
          <w:kern w:val="0"/>
          <w:sz w:val="24"/>
        </w:rPr>
        <w:t>表7.2.5的</w:t>
      </w:r>
      <w:r>
        <w:rPr>
          <w:rFonts w:hint="eastAsia" w:cs="Arial"/>
          <w:kern w:val="0"/>
          <w:sz w:val="24"/>
        </w:rPr>
        <w:t>规定</w:t>
      </w:r>
      <w:r>
        <w:rPr>
          <w:rFonts w:cs="Arial"/>
          <w:kern w:val="0"/>
          <w:sz w:val="24"/>
        </w:rPr>
        <w:t>。</w:t>
      </w:r>
    </w:p>
    <w:p>
      <w:pPr>
        <w:autoSpaceDE w:val="0"/>
        <w:autoSpaceDN w:val="0"/>
        <w:adjustRightInd w:val="0"/>
        <w:spacing w:before="60" w:line="276" w:lineRule="auto"/>
        <w:ind w:left="420" w:hanging="420" w:hangingChars="200"/>
        <w:jc w:val="center"/>
        <w:rPr>
          <w:kern w:val="0"/>
          <w:szCs w:val="21"/>
        </w:rPr>
      </w:pPr>
      <w:r>
        <w:rPr>
          <w:kern w:val="0"/>
          <w:szCs w:val="21"/>
        </w:rPr>
        <w:t>表7.2.5</w:t>
      </w:r>
      <w:r>
        <w:rPr>
          <w:rFonts w:hint="eastAsia"/>
          <w:kern w:val="0"/>
          <w:szCs w:val="21"/>
        </w:rPr>
        <w:t xml:space="preserve">  </w:t>
      </w:r>
      <w:r>
        <w:rPr>
          <w:kern w:val="0"/>
          <w:szCs w:val="21"/>
        </w:rPr>
        <w:t>太阳能保证率f（%）</w:t>
      </w: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49"/>
        <w:gridCol w:w="2052"/>
        <w:gridCol w:w="2056"/>
        <w:gridCol w:w="2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9" w:type="dxa"/>
            <w:vAlign w:val="center"/>
          </w:tcPr>
          <w:p>
            <w:pPr>
              <w:autoSpaceDE w:val="0"/>
              <w:autoSpaceDN w:val="0"/>
              <w:adjustRightInd w:val="0"/>
              <w:spacing w:line="276" w:lineRule="auto"/>
              <w:rPr>
                <w:kern w:val="0"/>
                <w:szCs w:val="21"/>
              </w:rPr>
            </w:pPr>
            <w:r>
              <w:rPr>
                <w:kern w:val="0"/>
                <w:szCs w:val="21"/>
              </w:rPr>
              <w:t>太阳能资源区划</w:t>
            </w:r>
          </w:p>
        </w:tc>
        <w:tc>
          <w:tcPr>
            <w:tcW w:w="2052" w:type="dxa"/>
            <w:vAlign w:val="center"/>
          </w:tcPr>
          <w:p>
            <w:pPr>
              <w:autoSpaceDE w:val="0"/>
              <w:autoSpaceDN w:val="0"/>
              <w:adjustRightInd w:val="0"/>
              <w:spacing w:line="276" w:lineRule="auto"/>
              <w:rPr>
                <w:kern w:val="0"/>
                <w:szCs w:val="21"/>
              </w:rPr>
            </w:pPr>
            <w:r>
              <w:rPr>
                <w:kern w:val="0"/>
                <w:szCs w:val="21"/>
              </w:rPr>
              <w:t>太阳能热水系统</w:t>
            </w:r>
          </w:p>
        </w:tc>
        <w:tc>
          <w:tcPr>
            <w:tcW w:w="2056" w:type="dxa"/>
            <w:vAlign w:val="center"/>
          </w:tcPr>
          <w:p>
            <w:pPr>
              <w:autoSpaceDE w:val="0"/>
              <w:autoSpaceDN w:val="0"/>
              <w:adjustRightInd w:val="0"/>
              <w:spacing w:line="276" w:lineRule="auto"/>
              <w:rPr>
                <w:kern w:val="0"/>
                <w:szCs w:val="21"/>
              </w:rPr>
            </w:pPr>
            <w:r>
              <w:rPr>
                <w:kern w:val="0"/>
                <w:szCs w:val="21"/>
              </w:rPr>
              <w:t>太阳能供暖系统</w:t>
            </w:r>
          </w:p>
        </w:tc>
        <w:tc>
          <w:tcPr>
            <w:tcW w:w="2524" w:type="dxa"/>
            <w:vAlign w:val="center"/>
          </w:tcPr>
          <w:p>
            <w:pPr>
              <w:autoSpaceDE w:val="0"/>
              <w:autoSpaceDN w:val="0"/>
              <w:adjustRightInd w:val="0"/>
              <w:spacing w:line="276" w:lineRule="auto"/>
              <w:rPr>
                <w:kern w:val="0"/>
                <w:szCs w:val="21"/>
              </w:rPr>
            </w:pPr>
            <w:r>
              <w:rPr>
                <w:kern w:val="0"/>
                <w:szCs w:val="21"/>
              </w:rPr>
              <w:t>太阳能空气调节系统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9" w:type="dxa"/>
            <w:vAlign w:val="center"/>
          </w:tcPr>
          <w:p>
            <w:pPr>
              <w:autoSpaceDE w:val="0"/>
              <w:autoSpaceDN w:val="0"/>
              <w:adjustRightInd w:val="0"/>
              <w:spacing w:line="276" w:lineRule="auto"/>
              <w:rPr>
                <w:kern w:val="0"/>
                <w:szCs w:val="21"/>
              </w:rPr>
            </w:pPr>
            <w:r>
              <w:rPr>
                <w:kern w:val="0"/>
                <w:szCs w:val="21"/>
              </w:rPr>
              <w:t>I资源丰富区</w:t>
            </w:r>
          </w:p>
        </w:tc>
        <w:tc>
          <w:tcPr>
            <w:tcW w:w="2052" w:type="dxa"/>
            <w:vAlign w:val="center"/>
          </w:tcPr>
          <w:p>
            <w:pPr>
              <w:autoSpaceDE w:val="0"/>
              <w:autoSpaceDN w:val="0"/>
              <w:adjustRightInd w:val="0"/>
              <w:spacing w:line="276" w:lineRule="auto"/>
              <w:rPr>
                <w:kern w:val="0"/>
                <w:szCs w:val="21"/>
              </w:rPr>
            </w:pPr>
            <w:r>
              <w:rPr>
                <w:kern w:val="0"/>
                <w:szCs w:val="21"/>
              </w:rPr>
              <w:t>≥60</w:t>
            </w:r>
          </w:p>
        </w:tc>
        <w:tc>
          <w:tcPr>
            <w:tcW w:w="2056" w:type="dxa"/>
            <w:vAlign w:val="center"/>
          </w:tcPr>
          <w:p>
            <w:pPr>
              <w:autoSpaceDE w:val="0"/>
              <w:autoSpaceDN w:val="0"/>
              <w:adjustRightInd w:val="0"/>
              <w:spacing w:line="276" w:lineRule="auto"/>
              <w:rPr>
                <w:kern w:val="0"/>
                <w:szCs w:val="21"/>
              </w:rPr>
            </w:pPr>
            <w:r>
              <w:rPr>
                <w:kern w:val="0"/>
                <w:szCs w:val="21"/>
              </w:rPr>
              <w:t>≥55</w:t>
            </w:r>
          </w:p>
        </w:tc>
        <w:tc>
          <w:tcPr>
            <w:tcW w:w="2524" w:type="dxa"/>
            <w:vAlign w:val="center"/>
          </w:tcPr>
          <w:p>
            <w:pPr>
              <w:autoSpaceDE w:val="0"/>
              <w:autoSpaceDN w:val="0"/>
              <w:adjustRightInd w:val="0"/>
              <w:spacing w:line="276" w:lineRule="auto"/>
              <w:rPr>
                <w:kern w:val="0"/>
                <w:szCs w:val="21"/>
              </w:rPr>
            </w:pPr>
            <w:r>
              <w:rPr>
                <w:kern w:val="0"/>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9" w:type="dxa"/>
            <w:vAlign w:val="center"/>
          </w:tcPr>
          <w:p>
            <w:pPr>
              <w:autoSpaceDE w:val="0"/>
              <w:autoSpaceDN w:val="0"/>
              <w:adjustRightInd w:val="0"/>
              <w:spacing w:line="276" w:lineRule="auto"/>
              <w:rPr>
                <w:kern w:val="0"/>
                <w:szCs w:val="21"/>
              </w:rPr>
            </w:pPr>
            <w:r>
              <w:rPr>
                <w:kern w:val="0"/>
                <w:szCs w:val="21"/>
              </w:rPr>
              <w:t>II资源较富区</w:t>
            </w:r>
          </w:p>
        </w:tc>
        <w:tc>
          <w:tcPr>
            <w:tcW w:w="2052" w:type="dxa"/>
            <w:vAlign w:val="center"/>
          </w:tcPr>
          <w:p>
            <w:pPr>
              <w:autoSpaceDE w:val="0"/>
              <w:autoSpaceDN w:val="0"/>
              <w:adjustRightInd w:val="0"/>
              <w:spacing w:line="276" w:lineRule="auto"/>
              <w:rPr>
                <w:kern w:val="0"/>
                <w:szCs w:val="21"/>
              </w:rPr>
            </w:pPr>
            <w:r>
              <w:rPr>
                <w:kern w:val="0"/>
                <w:szCs w:val="21"/>
              </w:rPr>
              <w:t>≥50</w:t>
            </w:r>
          </w:p>
        </w:tc>
        <w:tc>
          <w:tcPr>
            <w:tcW w:w="2056" w:type="dxa"/>
            <w:vAlign w:val="center"/>
          </w:tcPr>
          <w:p>
            <w:pPr>
              <w:autoSpaceDE w:val="0"/>
              <w:autoSpaceDN w:val="0"/>
              <w:adjustRightInd w:val="0"/>
              <w:spacing w:line="276" w:lineRule="auto"/>
              <w:rPr>
                <w:kern w:val="0"/>
                <w:szCs w:val="21"/>
              </w:rPr>
            </w:pPr>
            <w:r>
              <w:rPr>
                <w:kern w:val="0"/>
                <w:szCs w:val="21"/>
              </w:rPr>
              <w:t>≥45</w:t>
            </w:r>
          </w:p>
        </w:tc>
        <w:tc>
          <w:tcPr>
            <w:tcW w:w="2524" w:type="dxa"/>
            <w:vAlign w:val="center"/>
          </w:tcPr>
          <w:p>
            <w:pPr>
              <w:autoSpaceDE w:val="0"/>
              <w:autoSpaceDN w:val="0"/>
              <w:adjustRightInd w:val="0"/>
              <w:spacing w:line="276" w:lineRule="auto"/>
              <w:rPr>
                <w:kern w:val="0"/>
                <w:szCs w:val="21"/>
              </w:rPr>
            </w:pPr>
            <w:r>
              <w:rPr>
                <w:kern w:val="0"/>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9" w:type="dxa"/>
            <w:vAlign w:val="center"/>
          </w:tcPr>
          <w:p>
            <w:pPr>
              <w:autoSpaceDE w:val="0"/>
              <w:autoSpaceDN w:val="0"/>
              <w:adjustRightInd w:val="0"/>
              <w:spacing w:line="276" w:lineRule="auto"/>
              <w:rPr>
                <w:kern w:val="0"/>
                <w:szCs w:val="21"/>
              </w:rPr>
            </w:pPr>
            <w:r>
              <w:rPr>
                <w:kern w:val="0"/>
                <w:szCs w:val="21"/>
              </w:rPr>
              <w:t>III资源一般区</w:t>
            </w:r>
          </w:p>
        </w:tc>
        <w:tc>
          <w:tcPr>
            <w:tcW w:w="2052" w:type="dxa"/>
            <w:vAlign w:val="center"/>
          </w:tcPr>
          <w:p>
            <w:pPr>
              <w:autoSpaceDE w:val="0"/>
              <w:autoSpaceDN w:val="0"/>
              <w:adjustRightInd w:val="0"/>
              <w:spacing w:line="276" w:lineRule="auto"/>
              <w:rPr>
                <w:kern w:val="0"/>
                <w:szCs w:val="21"/>
              </w:rPr>
            </w:pPr>
            <w:r>
              <w:rPr>
                <w:kern w:val="0"/>
                <w:szCs w:val="21"/>
              </w:rPr>
              <w:t>≥40</w:t>
            </w:r>
          </w:p>
        </w:tc>
        <w:tc>
          <w:tcPr>
            <w:tcW w:w="2056" w:type="dxa"/>
            <w:vAlign w:val="center"/>
          </w:tcPr>
          <w:p>
            <w:pPr>
              <w:autoSpaceDE w:val="0"/>
              <w:autoSpaceDN w:val="0"/>
              <w:adjustRightInd w:val="0"/>
              <w:spacing w:line="276" w:lineRule="auto"/>
              <w:rPr>
                <w:kern w:val="0"/>
                <w:szCs w:val="21"/>
              </w:rPr>
            </w:pPr>
            <w:r>
              <w:rPr>
                <w:kern w:val="0"/>
                <w:szCs w:val="21"/>
              </w:rPr>
              <w:t>≥35</w:t>
            </w:r>
          </w:p>
        </w:tc>
        <w:tc>
          <w:tcPr>
            <w:tcW w:w="2524" w:type="dxa"/>
            <w:vAlign w:val="center"/>
          </w:tcPr>
          <w:p>
            <w:pPr>
              <w:autoSpaceDE w:val="0"/>
              <w:autoSpaceDN w:val="0"/>
              <w:adjustRightInd w:val="0"/>
              <w:spacing w:line="276" w:lineRule="auto"/>
              <w:rPr>
                <w:kern w:val="0"/>
                <w:szCs w:val="21"/>
              </w:rPr>
            </w:pPr>
            <w:r>
              <w:rPr>
                <w:kern w:val="0"/>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9" w:type="dxa"/>
            <w:vAlign w:val="center"/>
          </w:tcPr>
          <w:p>
            <w:pPr>
              <w:autoSpaceDE w:val="0"/>
              <w:autoSpaceDN w:val="0"/>
              <w:adjustRightInd w:val="0"/>
              <w:spacing w:line="276" w:lineRule="auto"/>
              <w:rPr>
                <w:kern w:val="0"/>
                <w:szCs w:val="21"/>
              </w:rPr>
            </w:pPr>
            <w:r>
              <w:rPr>
                <w:kern w:val="0"/>
                <w:szCs w:val="21"/>
              </w:rPr>
              <w:t>IV资源贫乏区</w:t>
            </w:r>
          </w:p>
        </w:tc>
        <w:tc>
          <w:tcPr>
            <w:tcW w:w="2052" w:type="dxa"/>
            <w:vAlign w:val="center"/>
          </w:tcPr>
          <w:p>
            <w:pPr>
              <w:autoSpaceDE w:val="0"/>
              <w:autoSpaceDN w:val="0"/>
              <w:adjustRightInd w:val="0"/>
              <w:spacing w:line="276" w:lineRule="auto"/>
              <w:rPr>
                <w:kern w:val="0"/>
                <w:szCs w:val="21"/>
              </w:rPr>
            </w:pPr>
            <w:r>
              <w:rPr>
                <w:kern w:val="0"/>
                <w:szCs w:val="21"/>
              </w:rPr>
              <w:t>≥30</w:t>
            </w:r>
          </w:p>
        </w:tc>
        <w:tc>
          <w:tcPr>
            <w:tcW w:w="2056" w:type="dxa"/>
            <w:vAlign w:val="center"/>
          </w:tcPr>
          <w:p>
            <w:pPr>
              <w:autoSpaceDE w:val="0"/>
              <w:autoSpaceDN w:val="0"/>
              <w:adjustRightInd w:val="0"/>
              <w:spacing w:line="276" w:lineRule="auto"/>
              <w:rPr>
                <w:kern w:val="0"/>
                <w:szCs w:val="21"/>
              </w:rPr>
            </w:pPr>
            <w:r>
              <w:rPr>
                <w:kern w:val="0"/>
                <w:szCs w:val="21"/>
              </w:rPr>
              <w:t>≥25</w:t>
            </w:r>
          </w:p>
        </w:tc>
        <w:tc>
          <w:tcPr>
            <w:tcW w:w="2524" w:type="dxa"/>
            <w:vAlign w:val="center"/>
          </w:tcPr>
          <w:p>
            <w:pPr>
              <w:autoSpaceDE w:val="0"/>
              <w:autoSpaceDN w:val="0"/>
              <w:adjustRightInd w:val="0"/>
              <w:spacing w:line="276" w:lineRule="auto"/>
              <w:rPr>
                <w:kern w:val="0"/>
                <w:szCs w:val="21"/>
              </w:rPr>
            </w:pPr>
            <w:r>
              <w:rPr>
                <w:kern w:val="0"/>
                <w:szCs w:val="21"/>
              </w:rPr>
              <w:t>≥20</w:t>
            </w:r>
          </w:p>
        </w:tc>
      </w:tr>
    </w:tbl>
    <w:p>
      <w:pPr>
        <w:spacing w:line="276" w:lineRule="auto"/>
        <w:rPr>
          <w:sz w:val="24"/>
        </w:rPr>
      </w:pPr>
    </w:p>
    <w:p>
      <w:pPr>
        <w:autoSpaceDE w:val="0"/>
        <w:autoSpaceDN w:val="0"/>
        <w:adjustRightInd w:val="0"/>
        <w:spacing w:before="60" w:line="276" w:lineRule="auto"/>
        <w:jc w:val="left"/>
        <w:rPr>
          <w:b/>
          <w:kern w:val="0"/>
          <w:szCs w:val="21"/>
        </w:rPr>
      </w:pPr>
    </w:p>
    <w:p>
      <w:pPr>
        <w:autoSpaceDE w:val="0"/>
        <w:autoSpaceDN w:val="0"/>
        <w:adjustRightInd w:val="0"/>
        <w:spacing w:line="360" w:lineRule="auto"/>
        <w:ind w:left="1"/>
        <w:jc w:val="left"/>
        <w:rPr>
          <w:kern w:val="0"/>
          <w:sz w:val="24"/>
        </w:rPr>
      </w:pPr>
      <w:r>
        <w:rPr>
          <w:b/>
          <w:kern w:val="0"/>
          <w:sz w:val="24"/>
        </w:rPr>
        <w:t>7.2.6</w:t>
      </w:r>
      <w:r>
        <w:rPr>
          <w:rFonts w:hint="eastAsia"/>
          <w:kern w:val="0"/>
          <w:sz w:val="24"/>
        </w:rPr>
        <w:t>太阳能热利用系统的辅助热源应根据建筑使用特点、用热量、能源供应、维护管理及卫生防菌等因素选择，并宜利用废热、余热等低品位能源和生物质、地热等其他可再生能源。</w:t>
      </w:r>
    </w:p>
    <w:p>
      <w:pPr>
        <w:spacing w:line="360" w:lineRule="auto"/>
        <w:ind w:left="-479"/>
        <w:rPr>
          <w:kern w:val="0"/>
          <w:szCs w:val="21"/>
        </w:rPr>
      </w:pPr>
    </w:p>
    <w:p>
      <w:pPr>
        <w:autoSpaceDE w:val="0"/>
        <w:autoSpaceDN w:val="0"/>
        <w:adjustRightInd w:val="0"/>
        <w:spacing w:line="360" w:lineRule="auto"/>
        <w:ind w:left="1"/>
        <w:jc w:val="left"/>
        <w:rPr>
          <w:kern w:val="0"/>
          <w:sz w:val="24"/>
        </w:rPr>
      </w:pPr>
      <w:r>
        <w:rPr>
          <w:rFonts w:cs="Arial"/>
          <w:b/>
          <w:kern w:val="0"/>
          <w:sz w:val="24"/>
        </w:rPr>
        <w:t>7.2.7</w:t>
      </w:r>
      <w:r>
        <w:rPr>
          <w:rFonts w:hint="eastAsia" w:cs="Arial"/>
          <w:b/>
          <w:kern w:val="0"/>
          <w:sz w:val="24"/>
        </w:rPr>
        <w:t xml:space="preserve"> </w:t>
      </w:r>
      <w:r>
        <w:rPr>
          <w:rFonts w:hint="eastAsia"/>
          <w:kern w:val="0"/>
          <w:sz w:val="24"/>
        </w:rPr>
        <w:t>太阳能集热器和光伏组件的设置应避免受自身或建筑本体的遮挡。在冬至日采光面上的日照时数，太阳能集热器不应少于</w:t>
      </w:r>
      <w:r>
        <w:rPr>
          <w:kern w:val="0"/>
          <w:sz w:val="24"/>
        </w:rPr>
        <w:t>4h</w:t>
      </w:r>
      <w:r>
        <w:rPr>
          <w:rFonts w:hint="eastAsia"/>
          <w:kern w:val="0"/>
          <w:sz w:val="24"/>
        </w:rPr>
        <w:t>，光伏组件不宜少于3</w:t>
      </w:r>
      <w:r>
        <w:rPr>
          <w:kern w:val="0"/>
          <w:sz w:val="24"/>
        </w:rPr>
        <w:t>h</w:t>
      </w:r>
      <w:r>
        <w:rPr>
          <w:rFonts w:hint="eastAsia"/>
          <w:kern w:val="0"/>
          <w:sz w:val="24"/>
        </w:rPr>
        <w:t>。</w:t>
      </w:r>
    </w:p>
    <w:p>
      <w:pPr>
        <w:autoSpaceDE w:val="0"/>
        <w:autoSpaceDN w:val="0"/>
        <w:adjustRightInd w:val="0"/>
        <w:spacing w:line="360" w:lineRule="auto"/>
        <w:ind w:left="1"/>
        <w:jc w:val="left"/>
        <w:rPr>
          <w:kern w:val="0"/>
          <w:sz w:val="24"/>
        </w:rPr>
      </w:pPr>
    </w:p>
    <w:p>
      <w:pPr>
        <w:autoSpaceDE w:val="0"/>
        <w:autoSpaceDN w:val="0"/>
        <w:adjustRightInd w:val="0"/>
        <w:spacing w:line="360" w:lineRule="auto"/>
        <w:ind w:left="1"/>
        <w:rPr>
          <w:kern w:val="0"/>
          <w:sz w:val="24"/>
        </w:rPr>
      </w:pPr>
      <w:r>
        <w:rPr>
          <w:b/>
          <w:bCs/>
          <w:kern w:val="0"/>
          <w:sz w:val="24"/>
        </w:rPr>
        <w:t>7.2.8</w:t>
      </w:r>
      <w:r>
        <w:rPr>
          <w:rFonts w:hint="eastAsia"/>
          <w:kern w:val="0"/>
          <w:sz w:val="24"/>
        </w:rPr>
        <w:t>建筑光伏宜自发自用。当光伏供电比例超过</w:t>
      </w:r>
      <w:r>
        <w:rPr>
          <w:kern w:val="0"/>
          <w:sz w:val="24"/>
        </w:rPr>
        <w:t>20%</w:t>
      </w:r>
      <w:r>
        <w:rPr>
          <w:rFonts w:hint="eastAsia"/>
          <w:kern w:val="0"/>
          <w:sz w:val="24"/>
        </w:rPr>
        <w:t>的单体建筑用电时，宜采用直流配电系统实现其就地高效利用。直流配电系统宜接入照明、充电桩、空调等负载，且具备与电网友好互动的接口。</w:t>
      </w:r>
    </w:p>
    <w:p>
      <w:pPr>
        <w:autoSpaceDE w:val="0"/>
        <w:autoSpaceDN w:val="0"/>
        <w:adjustRightInd w:val="0"/>
        <w:spacing w:line="360" w:lineRule="auto"/>
        <w:ind w:left="1"/>
        <w:jc w:val="left"/>
        <w:rPr>
          <w:kern w:val="0"/>
          <w:sz w:val="24"/>
        </w:rPr>
      </w:pPr>
    </w:p>
    <w:p>
      <w:pPr>
        <w:autoSpaceDE w:val="0"/>
        <w:autoSpaceDN w:val="0"/>
        <w:adjustRightInd w:val="0"/>
        <w:spacing w:line="360" w:lineRule="auto"/>
        <w:ind w:left="1"/>
        <w:jc w:val="left"/>
        <w:rPr>
          <w:kern w:val="0"/>
          <w:sz w:val="24"/>
        </w:rPr>
      </w:pPr>
      <w:r>
        <w:rPr>
          <w:b/>
          <w:bCs/>
          <w:kern w:val="0"/>
          <w:sz w:val="24"/>
        </w:rPr>
        <w:t>7.2.9</w:t>
      </w:r>
      <w:r>
        <w:rPr>
          <w:rFonts w:hint="eastAsia"/>
          <w:kern w:val="0"/>
          <w:sz w:val="24"/>
        </w:rPr>
        <w:t>公共建筑配套车位宜按</w:t>
      </w:r>
      <w:r>
        <w:rPr>
          <w:kern w:val="0"/>
          <w:sz w:val="24"/>
        </w:rPr>
        <w:t>1</w:t>
      </w:r>
      <w:r>
        <w:rPr>
          <w:rFonts w:hint="eastAsia"/>
          <w:kern w:val="0"/>
          <w:sz w:val="24"/>
        </w:rPr>
        <w:t>：</w:t>
      </w:r>
      <w:r>
        <w:rPr>
          <w:kern w:val="0"/>
          <w:sz w:val="24"/>
        </w:rPr>
        <w:t>1</w:t>
      </w:r>
      <w:r>
        <w:rPr>
          <w:rFonts w:hint="eastAsia"/>
          <w:kern w:val="0"/>
          <w:sz w:val="24"/>
        </w:rPr>
        <w:t>比例配建可调功率的充电桩。</w:t>
      </w:r>
    </w:p>
    <w:p>
      <w:pPr>
        <w:autoSpaceDE w:val="0"/>
        <w:autoSpaceDN w:val="0"/>
        <w:adjustRightInd w:val="0"/>
        <w:spacing w:line="276" w:lineRule="auto"/>
        <w:ind w:left="1"/>
        <w:jc w:val="left"/>
        <w:rPr>
          <w:kern w:val="0"/>
          <w:sz w:val="24"/>
        </w:rPr>
      </w:pPr>
    </w:p>
    <w:p>
      <w:pPr>
        <w:pStyle w:val="3"/>
        <w:spacing w:line="276" w:lineRule="auto"/>
        <w:jc w:val="center"/>
        <w:rPr>
          <w:rFonts w:ascii="Times New Roman" w:hAnsi="Times New Roman" w:eastAsia="宋体"/>
        </w:rPr>
      </w:pPr>
      <w:bookmarkStart w:id="107" w:name="_Toc376970897"/>
      <w:bookmarkStart w:id="108" w:name="_Toc146734735"/>
      <w:bookmarkStart w:id="109" w:name="_Toc377052152"/>
      <w:bookmarkStart w:id="110" w:name="_Toc373745802"/>
      <w:r>
        <w:rPr>
          <w:rFonts w:ascii="Times New Roman" w:hAnsi="Times New Roman" w:eastAsia="宋体"/>
        </w:rPr>
        <w:t>7.3地源热泵系统</w:t>
      </w:r>
      <w:bookmarkEnd w:id="107"/>
      <w:bookmarkEnd w:id="108"/>
      <w:bookmarkEnd w:id="109"/>
      <w:bookmarkEnd w:id="110"/>
    </w:p>
    <w:p>
      <w:pPr>
        <w:autoSpaceDE w:val="0"/>
        <w:autoSpaceDN w:val="0"/>
        <w:adjustRightInd w:val="0"/>
        <w:spacing w:before="60" w:line="360" w:lineRule="auto"/>
        <w:ind w:left="1"/>
        <w:jc w:val="left"/>
        <w:rPr>
          <w:rFonts w:cs="Arial"/>
          <w:kern w:val="0"/>
          <w:sz w:val="24"/>
        </w:rPr>
      </w:pPr>
      <w:r>
        <w:rPr>
          <w:rFonts w:cs="Arial"/>
          <w:b/>
          <w:kern w:val="0"/>
          <w:sz w:val="24"/>
        </w:rPr>
        <w:t>7.3.</w:t>
      </w:r>
      <w:r>
        <w:rPr>
          <w:rFonts w:hint="eastAsia" w:cs="Arial"/>
          <w:b/>
          <w:kern w:val="0"/>
          <w:sz w:val="24"/>
        </w:rPr>
        <w:t>1</w:t>
      </w:r>
      <w:r>
        <w:rPr>
          <w:rFonts w:hint="eastAsia" w:cs="Arial"/>
          <w:kern w:val="0"/>
          <w:sz w:val="24"/>
        </w:rPr>
        <w:t>公共建筑地源热泵系统设计时，应进行全年动态负荷与系统取热量、释热量计算分析，确定地热能交换系统，并宜</w:t>
      </w:r>
      <w:r>
        <w:rPr>
          <w:rFonts w:cs="Arial"/>
          <w:kern w:val="0"/>
          <w:sz w:val="24"/>
        </w:rPr>
        <w:t>采用复合热交换系统</w:t>
      </w:r>
      <w:r>
        <w:rPr>
          <w:rFonts w:hint="eastAsia" w:cs="Arial"/>
          <w:kern w:val="0"/>
          <w:sz w:val="24"/>
        </w:rPr>
        <w:t>。</w:t>
      </w:r>
    </w:p>
    <w:p>
      <w:pPr>
        <w:spacing w:line="360" w:lineRule="auto"/>
      </w:pPr>
    </w:p>
    <w:p>
      <w:pPr>
        <w:autoSpaceDE w:val="0"/>
        <w:autoSpaceDN w:val="0"/>
        <w:adjustRightInd w:val="0"/>
        <w:spacing w:before="60" w:line="360" w:lineRule="auto"/>
        <w:ind w:left="1"/>
        <w:jc w:val="left"/>
        <w:rPr>
          <w:rFonts w:cs="Arial"/>
          <w:kern w:val="0"/>
          <w:sz w:val="24"/>
        </w:rPr>
      </w:pPr>
      <w:r>
        <w:rPr>
          <w:rFonts w:cs="Arial"/>
          <w:b/>
          <w:kern w:val="0"/>
          <w:sz w:val="24"/>
        </w:rPr>
        <w:t>7.3.</w:t>
      </w:r>
      <w:r>
        <w:rPr>
          <w:rFonts w:hint="eastAsia" w:cs="Arial"/>
          <w:b/>
          <w:kern w:val="0"/>
          <w:sz w:val="24"/>
        </w:rPr>
        <w:t>2</w:t>
      </w:r>
      <w:r>
        <w:rPr>
          <w:rFonts w:cs="Arial"/>
          <w:bCs/>
          <w:sz w:val="24"/>
        </w:rPr>
        <w:t>地源热泵系统设计应选用高能效水源热泵机组</w:t>
      </w:r>
      <w:r>
        <w:rPr>
          <w:rFonts w:hint="eastAsia" w:cs="Arial"/>
          <w:bCs/>
          <w:sz w:val="24"/>
        </w:rPr>
        <w:t>，并宜采取降低循环水泵输送能耗等节能措施，提高</w:t>
      </w:r>
      <w:r>
        <w:rPr>
          <w:rFonts w:cs="Arial"/>
          <w:bCs/>
          <w:sz w:val="24"/>
        </w:rPr>
        <w:t>地源热泵系统</w:t>
      </w:r>
      <w:r>
        <w:rPr>
          <w:rFonts w:hint="eastAsia" w:cs="Arial"/>
          <w:bCs/>
          <w:sz w:val="24"/>
        </w:rPr>
        <w:t>的能效。</w:t>
      </w:r>
    </w:p>
    <w:p>
      <w:pPr>
        <w:autoSpaceDE w:val="0"/>
        <w:autoSpaceDN w:val="0"/>
        <w:adjustRightInd w:val="0"/>
        <w:spacing w:before="60" w:line="360" w:lineRule="auto"/>
        <w:jc w:val="left"/>
      </w:pPr>
    </w:p>
    <w:p>
      <w:pPr>
        <w:autoSpaceDE w:val="0"/>
        <w:autoSpaceDN w:val="0"/>
        <w:adjustRightInd w:val="0"/>
        <w:spacing w:before="60" w:line="360" w:lineRule="auto"/>
        <w:ind w:left="1"/>
        <w:jc w:val="left"/>
        <w:rPr>
          <w:rFonts w:cs="Arial"/>
          <w:bCs/>
          <w:sz w:val="24"/>
        </w:rPr>
      </w:pPr>
      <w:r>
        <w:rPr>
          <w:rFonts w:cs="Arial"/>
          <w:b/>
          <w:kern w:val="0"/>
          <w:sz w:val="24"/>
        </w:rPr>
        <w:t>7.3.3</w:t>
      </w:r>
      <w:r>
        <w:rPr>
          <w:rFonts w:cs="Arial"/>
          <w:bCs/>
          <w:sz w:val="24"/>
        </w:rPr>
        <w:t>水源热泵机组性能应满足</w:t>
      </w:r>
      <w:r>
        <w:rPr>
          <w:rFonts w:hint="eastAsia" w:cs="Arial"/>
          <w:bCs/>
          <w:sz w:val="24"/>
        </w:rPr>
        <w:t>地热能交换系统</w:t>
      </w:r>
      <w:r>
        <w:rPr>
          <w:rFonts w:cs="Arial"/>
          <w:bCs/>
          <w:sz w:val="24"/>
        </w:rPr>
        <w:t>运行参数的要求</w:t>
      </w:r>
      <w:r>
        <w:rPr>
          <w:rFonts w:hint="eastAsia" w:cs="Arial"/>
          <w:bCs/>
          <w:sz w:val="24"/>
        </w:rPr>
        <w:t>，末端供暖供冷设备选择应与</w:t>
      </w:r>
      <w:r>
        <w:rPr>
          <w:rFonts w:cs="Arial"/>
          <w:bCs/>
          <w:sz w:val="24"/>
        </w:rPr>
        <w:t>水源热泵机组</w:t>
      </w:r>
      <w:r>
        <w:rPr>
          <w:rFonts w:hint="eastAsia" w:cs="Arial"/>
          <w:bCs/>
          <w:sz w:val="24"/>
        </w:rPr>
        <w:t>运行</w:t>
      </w:r>
      <w:r>
        <w:rPr>
          <w:rFonts w:cs="Arial"/>
          <w:bCs/>
          <w:sz w:val="24"/>
        </w:rPr>
        <w:t>参数</w:t>
      </w:r>
      <w:r>
        <w:rPr>
          <w:rFonts w:hint="eastAsia" w:cs="Arial"/>
          <w:bCs/>
          <w:sz w:val="24"/>
        </w:rPr>
        <w:t>相匹配</w:t>
      </w:r>
      <w:r>
        <w:rPr>
          <w:rFonts w:cs="Arial"/>
          <w:bCs/>
          <w:sz w:val="24"/>
        </w:rPr>
        <w:t>。</w:t>
      </w:r>
    </w:p>
    <w:p>
      <w:pPr>
        <w:autoSpaceDE w:val="0"/>
        <w:autoSpaceDN w:val="0"/>
        <w:adjustRightInd w:val="0"/>
        <w:spacing w:before="60" w:line="360" w:lineRule="auto"/>
        <w:ind w:left="1"/>
        <w:jc w:val="left"/>
        <w:rPr>
          <w:kern w:val="0"/>
        </w:rPr>
      </w:pPr>
    </w:p>
    <w:p>
      <w:pPr>
        <w:autoSpaceDE w:val="0"/>
        <w:autoSpaceDN w:val="0"/>
        <w:adjustRightInd w:val="0"/>
        <w:spacing w:before="60" w:line="360" w:lineRule="auto"/>
        <w:ind w:left="1"/>
        <w:jc w:val="left"/>
        <w:rPr>
          <w:rFonts w:cs="Arial"/>
          <w:kern w:val="0"/>
          <w:sz w:val="24"/>
        </w:rPr>
      </w:pPr>
      <w:r>
        <w:rPr>
          <w:rFonts w:cs="Arial"/>
          <w:b/>
          <w:kern w:val="0"/>
          <w:sz w:val="24"/>
        </w:rPr>
        <w:t>7.3.</w:t>
      </w:r>
      <w:r>
        <w:rPr>
          <w:rFonts w:hint="eastAsia" w:cs="Arial"/>
          <w:b/>
          <w:kern w:val="0"/>
          <w:sz w:val="24"/>
        </w:rPr>
        <w:t>4</w:t>
      </w:r>
      <w:r>
        <w:rPr>
          <w:rFonts w:cs="Arial"/>
          <w:kern w:val="0"/>
          <w:sz w:val="24"/>
        </w:rPr>
        <w:t>有稳定热水需求的公共建筑，</w:t>
      </w:r>
      <w:r>
        <w:rPr>
          <w:rFonts w:hint="eastAsia" w:cs="Arial"/>
          <w:kern w:val="0"/>
          <w:sz w:val="24"/>
        </w:rPr>
        <w:t>应</w:t>
      </w:r>
      <w:r>
        <w:rPr>
          <w:rFonts w:cs="Arial"/>
          <w:kern w:val="0"/>
          <w:sz w:val="24"/>
        </w:rPr>
        <w:t>根据负荷特点，采用部分或全部热回收型水源热泵机组。全年供热水时，应选用水源热水机组。</w:t>
      </w:r>
    </w:p>
    <w:p>
      <w:pPr>
        <w:autoSpaceDE w:val="0"/>
        <w:autoSpaceDN w:val="0"/>
        <w:adjustRightInd w:val="0"/>
        <w:spacing w:before="60" w:line="360" w:lineRule="auto"/>
        <w:ind w:left="1"/>
        <w:jc w:val="left"/>
        <w:rPr>
          <w:rFonts w:ascii="楷体" w:hAnsi="楷体" w:eastAsia="楷体" w:cs="Arial"/>
          <w:kern w:val="0"/>
          <w:szCs w:val="21"/>
        </w:rPr>
      </w:pPr>
    </w:p>
    <w:p>
      <w:pPr>
        <w:widowControl/>
        <w:jc w:val="center"/>
        <w:rPr>
          <w:rFonts w:cs="Arial"/>
          <w:kern w:val="0"/>
          <w:sz w:val="24"/>
        </w:rPr>
      </w:pPr>
      <w:r>
        <w:rPr>
          <w:rFonts w:cs="Arial"/>
          <w:kern w:val="0"/>
          <w:sz w:val="24"/>
        </w:rPr>
        <w:br w:type="page"/>
      </w:r>
    </w:p>
    <w:p>
      <w:pPr>
        <w:pStyle w:val="2"/>
        <w:spacing w:line="276" w:lineRule="auto"/>
        <w:jc w:val="center"/>
        <w:rPr>
          <w:kern w:val="0"/>
        </w:rPr>
      </w:pPr>
      <w:bookmarkStart w:id="111" w:name="_Toc146734736"/>
      <w:r>
        <w:rPr>
          <w:kern w:val="0"/>
        </w:rPr>
        <w:t>8</w:t>
      </w:r>
      <w:r>
        <w:rPr>
          <w:rFonts w:hint="eastAsia"/>
          <w:kern w:val="0"/>
        </w:rPr>
        <w:t>建筑能耗和碳排放计算</w:t>
      </w:r>
      <w:bookmarkEnd w:id="111"/>
    </w:p>
    <w:p>
      <w:pPr>
        <w:pStyle w:val="3"/>
        <w:spacing w:after="156" w:line="276" w:lineRule="auto"/>
        <w:jc w:val="center"/>
        <w:rPr>
          <w:rFonts w:ascii="Times New Roman" w:hAnsi="Times New Roman" w:eastAsia="宋体"/>
        </w:rPr>
      </w:pPr>
      <w:bookmarkStart w:id="112" w:name="_Toc146734737"/>
      <w:r>
        <w:rPr>
          <w:rFonts w:ascii="Times New Roman" w:hAnsi="Times New Roman" w:eastAsia="宋体"/>
        </w:rPr>
        <w:t xml:space="preserve">8.1 </w:t>
      </w:r>
      <w:r>
        <w:rPr>
          <w:rFonts w:ascii="Times New Roman" w:eastAsia="宋体"/>
        </w:rPr>
        <w:t>一般规定</w:t>
      </w:r>
      <w:bookmarkEnd w:id="112"/>
    </w:p>
    <w:p>
      <w:pPr>
        <w:spacing w:line="360" w:lineRule="auto"/>
        <w:rPr>
          <w:b/>
          <w:sz w:val="24"/>
        </w:rPr>
      </w:pPr>
      <w:r>
        <w:rPr>
          <w:rFonts w:hint="eastAsia"/>
          <w:b/>
          <w:sz w:val="24"/>
        </w:rPr>
        <w:t>8</w:t>
      </w:r>
      <w:r>
        <w:rPr>
          <w:b/>
          <w:sz w:val="24"/>
        </w:rPr>
        <w:t xml:space="preserve">.1.1 </w:t>
      </w:r>
      <w:r>
        <w:rPr>
          <w:bCs/>
          <w:sz w:val="24"/>
        </w:rPr>
        <w:t>甲类</w:t>
      </w:r>
      <w:r>
        <w:rPr>
          <w:rFonts w:hint="eastAsia"/>
          <w:bCs/>
          <w:sz w:val="24"/>
        </w:rPr>
        <w:t>公共建筑设计文件应包含建筑全年能耗、建筑用电逐时负荷和碳排放计算书。</w:t>
      </w:r>
    </w:p>
    <w:p>
      <w:pPr>
        <w:spacing w:line="360" w:lineRule="auto"/>
        <w:rPr>
          <w:b/>
          <w:sz w:val="24"/>
        </w:rPr>
      </w:pPr>
    </w:p>
    <w:p>
      <w:pPr>
        <w:spacing w:line="360" w:lineRule="auto"/>
        <w:rPr>
          <w:sz w:val="24"/>
        </w:rPr>
      </w:pPr>
      <w:r>
        <w:rPr>
          <w:b/>
          <w:sz w:val="24"/>
        </w:rPr>
        <w:t>8.1.2</w:t>
      </w:r>
      <w:r>
        <w:rPr>
          <w:rFonts w:hint="eastAsia"/>
          <w:sz w:val="24"/>
        </w:rPr>
        <w:t>建筑能耗和碳排放</w:t>
      </w:r>
      <w:r>
        <w:rPr>
          <w:sz w:val="24"/>
        </w:rPr>
        <w:t>计算所采用的软件应</w:t>
      </w:r>
      <w:r>
        <w:rPr>
          <w:rFonts w:hint="eastAsia"/>
          <w:sz w:val="24"/>
        </w:rPr>
        <w:t>具备下列功能</w:t>
      </w:r>
      <w:r>
        <w:rPr>
          <w:sz w:val="24"/>
        </w:rPr>
        <w:t>：</w:t>
      </w:r>
    </w:p>
    <w:p>
      <w:pPr>
        <w:spacing w:line="360" w:lineRule="auto"/>
        <w:ind w:firstLine="482" w:firstLineChars="200"/>
        <w:rPr>
          <w:sz w:val="24"/>
        </w:rPr>
      </w:pPr>
      <w:r>
        <w:rPr>
          <w:b/>
          <w:sz w:val="24"/>
        </w:rPr>
        <w:t xml:space="preserve">1 </w:t>
      </w:r>
      <w:r>
        <w:rPr>
          <w:sz w:val="24"/>
        </w:rPr>
        <w:t>能计算围护结构（包括热桥部位）传热、太阳辐射得热、建筑内部得热、通风热损失四部分形成的负荷，计算中应能考虑建筑热惰性对负荷的影响；</w:t>
      </w:r>
    </w:p>
    <w:p>
      <w:pPr>
        <w:spacing w:line="360" w:lineRule="auto"/>
        <w:ind w:firstLine="482" w:firstLineChars="200"/>
        <w:rPr>
          <w:sz w:val="24"/>
        </w:rPr>
      </w:pPr>
      <w:r>
        <w:rPr>
          <w:b/>
          <w:sz w:val="24"/>
        </w:rPr>
        <w:t xml:space="preserve">2 </w:t>
      </w:r>
      <w:r>
        <w:rPr>
          <w:sz w:val="24"/>
        </w:rPr>
        <w:t>能计算10个以上的建筑分区；</w:t>
      </w:r>
    </w:p>
    <w:p>
      <w:pPr>
        <w:spacing w:line="360" w:lineRule="auto"/>
        <w:ind w:firstLine="482" w:firstLineChars="200"/>
        <w:rPr>
          <w:sz w:val="24"/>
        </w:rPr>
      </w:pPr>
      <w:r>
        <w:rPr>
          <w:b/>
          <w:sz w:val="24"/>
        </w:rPr>
        <w:t>3</w:t>
      </w:r>
      <w:r>
        <w:rPr>
          <w:sz w:val="24"/>
        </w:rPr>
        <w:t xml:space="preserve"> 能计算建筑供暖、</w:t>
      </w:r>
      <w:r>
        <w:rPr>
          <w:rFonts w:hint="eastAsia"/>
          <w:sz w:val="24"/>
        </w:rPr>
        <w:t>通风、</w:t>
      </w:r>
      <w:r>
        <w:rPr>
          <w:sz w:val="24"/>
        </w:rPr>
        <w:t>空调、照明、生活热水、电梯系统的能耗</w:t>
      </w:r>
      <w:r>
        <w:rPr>
          <w:rFonts w:hint="eastAsia"/>
          <w:sz w:val="24"/>
        </w:rPr>
        <w:t>和插座、动力、炊事的相关能耗量；</w:t>
      </w:r>
    </w:p>
    <w:p>
      <w:pPr>
        <w:spacing w:line="360" w:lineRule="auto"/>
        <w:ind w:firstLine="482" w:firstLineChars="200"/>
        <w:rPr>
          <w:sz w:val="24"/>
        </w:rPr>
      </w:pPr>
      <w:r>
        <w:rPr>
          <w:rFonts w:hint="eastAsia"/>
          <w:b/>
          <w:bCs/>
          <w:sz w:val="24"/>
        </w:rPr>
        <w:t>4</w:t>
      </w:r>
      <w:r>
        <w:rPr>
          <w:sz w:val="24"/>
        </w:rPr>
        <w:t xml:space="preserve"> </w:t>
      </w:r>
      <w:r>
        <w:rPr>
          <w:rFonts w:hint="eastAsia"/>
          <w:sz w:val="24"/>
        </w:rPr>
        <w:t>能计算</w:t>
      </w:r>
      <w:r>
        <w:rPr>
          <w:sz w:val="24"/>
        </w:rPr>
        <w:t>可再生能源系统的</w:t>
      </w:r>
      <w:r>
        <w:rPr>
          <w:rFonts w:hint="eastAsia"/>
          <w:sz w:val="24"/>
        </w:rPr>
        <w:t>利用量及发电量</w:t>
      </w:r>
      <w:r>
        <w:rPr>
          <w:sz w:val="24"/>
        </w:rPr>
        <w:t>；</w:t>
      </w:r>
    </w:p>
    <w:p>
      <w:pPr>
        <w:spacing w:line="360" w:lineRule="auto"/>
        <w:ind w:firstLine="482" w:firstLineChars="200"/>
        <w:rPr>
          <w:sz w:val="24"/>
        </w:rPr>
      </w:pPr>
      <w:r>
        <w:rPr>
          <w:b/>
          <w:sz w:val="24"/>
        </w:rPr>
        <w:t xml:space="preserve">5 </w:t>
      </w:r>
      <w:r>
        <w:rPr>
          <w:sz w:val="24"/>
        </w:rPr>
        <w:t>采用月平均动态计算方法；</w:t>
      </w:r>
    </w:p>
    <w:p>
      <w:pPr>
        <w:spacing w:line="360" w:lineRule="auto"/>
        <w:ind w:firstLine="482" w:firstLineChars="200"/>
        <w:rPr>
          <w:sz w:val="24"/>
        </w:rPr>
      </w:pPr>
      <w:r>
        <w:rPr>
          <w:b/>
          <w:sz w:val="24"/>
        </w:rPr>
        <w:t xml:space="preserve">6 </w:t>
      </w:r>
      <w:r>
        <w:rPr>
          <w:sz w:val="24"/>
        </w:rPr>
        <w:t>能计算</w:t>
      </w:r>
      <w:r>
        <w:rPr>
          <w:rFonts w:hint="eastAsia"/>
          <w:sz w:val="24"/>
        </w:rPr>
        <w:t>新风</w:t>
      </w:r>
      <w:r>
        <w:rPr>
          <w:sz w:val="24"/>
        </w:rPr>
        <w:t>热回收和气密性对建筑能耗的影响。</w:t>
      </w:r>
    </w:p>
    <w:p>
      <w:pPr>
        <w:spacing w:line="360" w:lineRule="auto"/>
        <w:ind w:firstLine="480" w:firstLineChars="200"/>
        <w:rPr>
          <w:sz w:val="24"/>
        </w:rPr>
      </w:pPr>
    </w:p>
    <w:p>
      <w:pPr>
        <w:widowControl/>
        <w:spacing w:line="360" w:lineRule="auto"/>
        <w:jc w:val="left"/>
        <w:rPr>
          <w:sz w:val="24"/>
          <w:szCs w:val="21"/>
        </w:rPr>
      </w:pPr>
      <w:r>
        <w:rPr>
          <w:b/>
          <w:sz w:val="24"/>
          <w:szCs w:val="21"/>
        </w:rPr>
        <w:t>8.1.3</w:t>
      </w:r>
      <w:r>
        <w:rPr>
          <w:rFonts w:hint="eastAsia"/>
          <w:sz w:val="24"/>
          <w:szCs w:val="21"/>
        </w:rPr>
        <w:t>建筑能耗</w:t>
      </w:r>
      <w:r>
        <w:rPr>
          <w:sz w:val="24"/>
          <w:szCs w:val="21"/>
        </w:rPr>
        <w:t>的计算应</w:t>
      </w:r>
      <w:r>
        <w:rPr>
          <w:rFonts w:hint="eastAsia"/>
          <w:sz w:val="24"/>
          <w:szCs w:val="21"/>
        </w:rPr>
        <w:t>符合</w:t>
      </w:r>
      <w:r>
        <w:rPr>
          <w:sz w:val="24"/>
          <w:szCs w:val="21"/>
        </w:rPr>
        <w:t>下列规定：</w:t>
      </w:r>
    </w:p>
    <w:p>
      <w:pPr>
        <w:adjustRightInd w:val="0"/>
        <w:snapToGrid w:val="0"/>
        <w:spacing w:before="78" w:after="78" w:line="360" w:lineRule="auto"/>
        <w:ind w:firstLine="482" w:firstLineChars="200"/>
        <w:rPr>
          <w:sz w:val="24"/>
        </w:rPr>
      </w:pPr>
      <w:r>
        <w:rPr>
          <w:b/>
          <w:sz w:val="24"/>
        </w:rPr>
        <w:t>1</w:t>
      </w:r>
      <w:r>
        <w:rPr>
          <w:sz w:val="24"/>
        </w:rPr>
        <w:t>气象参数</w:t>
      </w:r>
      <w:r>
        <w:rPr>
          <w:rFonts w:hint="eastAsia"/>
          <w:sz w:val="24"/>
        </w:rPr>
        <w:t>应</w:t>
      </w:r>
      <w:r>
        <w:rPr>
          <w:sz w:val="24"/>
        </w:rPr>
        <w:t>按</w:t>
      </w:r>
      <w:r>
        <w:rPr>
          <w:rFonts w:hint="eastAsia"/>
          <w:sz w:val="24"/>
        </w:rPr>
        <w:t>现行</w:t>
      </w:r>
      <w:r>
        <w:rPr>
          <w:sz w:val="24"/>
        </w:rPr>
        <w:t>行业标准《建筑节能气象参数标准》JGJ/T 346</w:t>
      </w:r>
      <w:r>
        <w:rPr>
          <w:rFonts w:hint="eastAsia"/>
          <w:sz w:val="24"/>
        </w:rPr>
        <w:t>的</w:t>
      </w:r>
      <w:r>
        <w:rPr>
          <w:sz w:val="24"/>
        </w:rPr>
        <w:t>规定</w:t>
      </w:r>
      <w:r>
        <w:rPr>
          <w:rFonts w:hint="eastAsia"/>
          <w:sz w:val="24"/>
        </w:rPr>
        <w:t>选取。</w:t>
      </w:r>
    </w:p>
    <w:p>
      <w:pPr>
        <w:adjustRightInd w:val="0"/>
        <w:snapToGrid w:val="0"/>
        <w:spacing w:before="78" w:after="78" w:line="360" w:lineRule="auto"/>
        <w:ind w:firstLine="482" w:firstLineChars="200"/>
        <w:rPr>
          <w:sz w:val="24"/>
        </w:rPr>
      </w:pPr>
      <w:r>
        <w:rPr>
          <w:b/>
          <w:bCs/>
          <w:sz w:val="24"/>
        </w:rPr>
        <w:t>2</w:t>
      </w:r>
      <w:r>
        <w:rPr>
          <w:sz w:val="24"/>
        </w:rPr>
        <w:t>供暖年耗热量和供冷年耗冷量应包括围护结构的热损失和处理新风的热（或冷）需求；处理新风的热（冷）需求应扣除从排风中回收的热量（或冷量）</w:t>
      </w:r>
      <w:r>
        <w:rPr>
          <w:rFonts w:hint="eastAsia"/>
          <w:sz w:val="24"/>
        </w:rPr>
        <w:t>。</w:t>
      </w:r>
    </w:p>
    <w:p>
      <w:pPr>
        <w:adjustRightInd w:val="0"/>
        <w:snapToGrid w:val="0"/>
        <w:spacing w:before="78" w:after="78" w:line="360" w:lineRule="auto"/>
        <w:ind w:firstLine="482" w:firstLineChars="200"/>
        <w:rPr>
          <w:sz w:val="24"/>
        </w:rPr>
      </w:pPr>
      <w:r>
        <w:rPr>
          <w:b/>
          <w:bCs/>
          <w:sz w:val="24"/>
        </w:rPr>
        <w:t>3</w:t>
      </w:r>
      <w:r>
        <w:rPr>
          <w:sz w:val="24"/>
        </w:rPr>
        <w:t>当室外温度≤28℃且相对湿度≤70%时，应利用自然通风，不计算建筑的供冷需求</w:t>
      </w:r>
      <w:r>
        <w:rPr>
          <w:rFonts w:hint="eastAsia"/>
          <w:sz w:val="24"/>
        </w:rPr>
        <w:t>。</w:t>
      </w:r>
    </w:p>
    <w:p>
      <w:pPr>
        <w:adjustRightInd w:val="0"/>
        <w:snapToGrid w:val="0"/>
        <w:spacing w:before="78" w:after="78" w:line="360" w:lineRule="auto"/>
        <w:ind w:firstLine="482" w:firstLineChars="200"/>
        <w:rPr>
          <w:sz w:val="24"/>
        </w:rPr>
      </w:pPr>
      <w:r>
        <w:rPr>
          <w:b/>
          <w:bCs/>
          <w:sz w:val="24"/>
        </w:rPr>
        <w:t>4</w:t>
      </w:r>
      <w:r>
        <w:rPr>
          <w:sz w:val="24"/>
        </w:rPr>
        <w:t>供暖</w:t>
      </w:r>
      <w:r>
        <w:rPr>
          <w:rFonts w:hint="eastAsia"/>
          <w:sz w:val="24"/>
        </w:rPr>
        <w:t>通风</w:t>
      </w:r>
      <w:r>
        <w:rPr>
          <w:sz w:val="24"/>
        </w:rPr>
        <w:t>空调系统能耗计算时应能考虑部分负荷及间歇使用的影响</w:t>
      </w:r>
      <w:r>
        <w:rPr>
          <w:rFonts w:hint="eastAsia"/>
          <w:sz w:val="24"/>
        </w:rPr>
        <w:t>。</w:t>
      </w:r>
    </w:p>
    <w:p>
      <w:pPr>
        <w:adjustRightInd w:val="0"/>
        <w:snapToGrid w:val="0"/>
        <w:spacing w:before="78" w:after="78" w:line="360" w:lineRule="auto"/>
        <w:ind w:firstLine="482" w:firstLineChars="200"/>
        <w:rPr>
          <w:sz w:val="24"/>
        </w:rPr>
      </w:pPr>
      <w:r>
        <w:rPr>
          <w:b/>
          <w:bCs/>
          <w:sz w:val="24"/>
        </w:rPr>
        <w:t>5</w:t>
      </w:r>
      <w:r>
        <w:rPr>
          <w:sz w:val="24"/>
        </w:rPr>
        <w:t>照明能耗的计算应考虑自然采光和自动控制的影响</w:t>
      </w:r>
      <w:r>
        <w:rPr>
          <w:rFonts w:hint="eastAsia"/>
          <w:sz w:val="24"/>
        </w:rPr>
        <w:t>。</w:t>
      </w:r>
    </w:p>
    <w:p>
      <w:pPr>
        <w:adjustRightInd w:val="0"/>
        <w:snapToGrid w:val="0"/>
        <w:spacing w:before="78" w:after="78" w:line="360" w:lineRule="auto"/>
        <w:ind w:firstLine="482" w:firstLineChars="200"/>
        <w:rPr>
          <w:sz w:val="24"/>
        </w:rPr>
      </w:pPr>
      <w:r>
        <w:rPr>
          <w:b/>
          <w:bCs/>
          <w:sz w:val="24"/>
        </w:rPr>
        <w:t>6</w:t>
      </w:r>
      <w:r>
        <w:rPr>
          <w:sz w:val="24"/>
        </w:rPr>
        <w:t>应</w:t>
      </w:r>
      <w:r>
        <w:rPr>
          <w:rFonts w:hint="eastAsia"/>
          <w:sz w:val="24"/>
        </w:rPr>
        <w:t>计算</w:t>
      </w:r>
      <w:r>
        <w:rPr>
          <w:sz w:val="24"/>
        </w:rPr>
        <w:t>可再生能源</w:t>
      </w:r>
      <w:r>
        <w:rPr>
          <w:rFonts w:hint="eastAsia"/>
          <w:sz w:val="24"/>
        </w:rPr>
        <w:t>利用</w:t>
      </w:r>
      <w:r>
        <w:rPr>
          <w:sz w:val="24"/>
        </w:rPr>
        <w:t>量。</w:t>
      </w:r>
    </w:p>
    <w:p>
      <w:pPr>
        <w:autoSpaceDE w:val="0"/>
        <w:autoSpaceDN w:val="0"/>
        <w:adjustRightInd w:val="0"/>
        <w:spacing w:before="240" w:line="360" w:lineRule="auto"/>
        <w:rPr>
          <w:kern w:val="0"/>
          <w:sz w:val="24"/>
          <w:szCs w:val="21"/>
        </w:rPr>
      </w:pPr>
      <w:r>
        <w:rPr>
          <w:b/>
          <w:sz w:val="24"/>
          <w:szCs w:val="21"/>
        </w:rPr>
        <w:t xml:space="preserve">8.1.4 </w:t>
      </w:r>
      <w:r>
        <w:rPr>
          <w:kern w:val="0"/>
          <w:sz w:val="24"/>
          <w:szCs w:val="21"/>
        </w:rPr>
        <w:t>建筑</w:t>
      </w:r>
      <w:r>
        <w:rPr>
          <w:rFonts w:hint="eastAsia"/>
          <w:sz w:val="24"/>
          <w:szCs w:val="21"/>
        </w:rPr>
        <w:t>能耗</w:t>
      </w:r>
      <w:r>
        <w:rPr>
          <w:sz w:val="24"/>
          <w:szCs w:val="21"/>
        </w:rPr>
        <w:t>计算</w:t>
      </w:r>
      <w:r>
        <w:rPr>
          <w:rFonts w:hint="eastAsia"/>
          <w:sz w:val="24"/>
          <w:szCs w:val="21"/>
        </w:rPr>
        <w:t>的</w:t>
      </w:r>
      <w:r>
        <w:rPr>
          <w:sz w:val="24"/>
          <w:szCs w:val="21"/>
        </w:rPr>
        <w:t>参数设置</w:t>
      </w:r>
      <w:r>
        <w:rPr>
          <w:kern w:val="0"/>
          <w:sz w:val="24"/>
          <w:szCs w:val="21"/>
        </w:rPr>
        <w:t>应符合下列规定：</w:t>
      </w:r>
    </w:p>
    <w:p>
      <w:pPr>
        <w:autoSpaceDE w:val="0"/>
        <w:autoSpaceDN w:val="0"/>
        <w:adjustRightInd w:val="0"/>
        <w:spacing w:line="360" w:lineRule="auto"/>
        <w:ind w:firstLine="482" w:firstLineChars="200"/>
        <w:rPr>
          <w:kern w:val="0"/>
          <w:sz w:val="24"/>
          <w:szCs w:val="21"/>
        </w:rPr>
      </w:pPr>
      <w:r>
        <w:rPr>
          <w:b/>
          <w:kern w:val="0"/>
          <w:sz w:val="24"/>
          <w:szCs w:val="21"/>
        </w:rPr>
        <w:t>1</w:t>
      </w:r>
      <w:r>
        <w:rPr>
          <w:kern w:val="0"/>
          <w:sz w:val="24"/>
          <w:szCs w:val="21"/>
        </w:rPr>
        <w:t xml:space="preserve"> 建筑的形状、大小、朝向、内部的空间划分和使用功能、建筑构造尺寸、建筑围护结构传热系数、做法、外窗（包括透光幕墙）太阳得热系数、窗墙面积比、屋面开窗面积应与建筑设计文件一致</w:t>
      </w:r>
      <w:r>
        <w:rPr>
          <w:rFonts w:hint="eastAsia"/>
          <w:kern w:val="0"/>
          <w:sz w:val="24"/>
          <w:szCs w:val="21"/>
        </w:rPr>
        <w:t>。</w:t>
      </w:r>
    </w:p>
    <w:p>
      <w:pPr>
        <w:autoSpaceDE w:val="0"/>
        <w:autoSpaceDN w:val="0"/>
        <w:adjustRightInd w:val="0"/>
        <w:spacing w:line="360" w:lineRule="auto"/>
        <w:ind w:firstLine="479" w:firstLineChars="199"/>
        <w:rPr>
          <w:sz w:val="24"/>
          <w:szCs w:val="21"/>
        </w:rPr>
      </w:pPr>
      <w:r>
        <w:rPr>
          <w:b/>
          <w:sz w:val="24"/>
        </w:rPr>
        <w:t xml:space="preserve">2 </w:t>
      </w:r>
      <w:r>
        <w:rPr>
          <w:rFonts w:hint="eastAsia"/>
          <w:kern w:val="0"/>
          <w:sz w:val="24"/>
          <w:szCs w:val="21"/>
        </w:rPr>
        <w:t>建筑功能区除设计文件中已明确的非</w:t>
      </w:r>
      <w:r>
        <w:rPr>
          <w:kern w:val="0"/>
          <w:sz w:val="24"/>
          <w:szCs w:val="21"/>
        </w:rPr>
        <w:t>供暖</w:t>
      </w:r>
      <w:r>
        <w:rPr>
          <w:rFonts w:hint="eastAsia"/>
          <w:kern w:val="0"/>
          <w:sz w:val="24"/>
          <w:szCs w:val="21"/>
        </w:rPr>
        <w:t>和供冷区外，均应按设置供暖和供冷的区域计算；</w:t>
      </w:r>
      <w:r>
        <w:rPr>
          <w:sz w:val="24"/>
          <w:szCs w:val="21"/>
        </w:rPr>
        <w:t>供暖和</w:t>
      </w:r>
      <w:r>
        <w:rPr>
          <w:rFonts w:hint="eastAsia"/>
          <w:sz w:val="24"/>
          <w:szCs w:val="21"/>
        </w:rPr>
        <w:t>供冷</w:t>
      </w:r>
      <w:r>
        <w:rPr>
          <w:sz w:val="24"/>
          <w:szCs w:val="21"/>
        </w:rPr>
        <w:t>系统运行时间</w:t>
      </w:r>
      <w:r>
        <w:rPr>
          <w:rFonts w:hint="eastAsia"/>
          <w:sz w:val="24"/>
          <w:szCs w:val="21"/>
        </w:rPr>
        <w:t>应</w:t>
      </w:r>
      <w:r>
        <w:rPr>
          <w:sz w:val="24"/>
          <w:szCs w:val="21"/>
        </w:rPr>
        <w:t>按表8.1.</w:t>
      </w:r>
      <w:r>
        <w:rPr>
          <w:rFonts w:hint="eastAsia"/>
          <w:sz w:val="24"/>
          <w:szCs w:val="21"/>
          <w:lang w:val="en-US" w:eastAsia="zh-CN"/>
        </w:rPr>
        <w:t>4</w:t>
      </w:r>
      <w:r>
        <w:rPr>
          <w:sz w:val="24"/>
          <w:szCs w:val="21"/>
        </w:rPr>
        <w:t>-1设置</w:t>
      </w:r>
      <w:r>
        <w:rPr>
          <w:rFonts w:hint="eastAsia"/>
          <w:sz w:val="24"/>
          <w:szCs w:val="21"/>
        </w:rPr>
        <w:t>。</w:t>
      </w:r>
    </w:p>
    <w:p>
      <w:pPr>
        <w:autoSpaceDE w:val="0"/>
        <w:autoSpaceDN w:val="0"/>
        <w:adjustRightInd w:val="0"/>
        <w:spacing w:line="360" w:lineRule="auto"/>
        <w:ind w:firstLine="482" w:firstLineChars="200"/>
        <w:rPr>
          <w:sz w:val="24"/>
          <w:szCs w:val="21"/>
        </w:rPr>
      </w:pPr>
      <w:r>
        <w:rPr>
          <w:rFonts w:hint="eastAsia"/>
          <w:b/>
          <w:sz w:val="24"/>
          <w:szCs w:val="21"/>
        </w:rPr>
        <w:t>3</w:t>
      </w:r>
      <w:r>
        <w:rPr>
          <w:rFonts w:hint="eastAsia"/>
          <w:sz w:val="24"/>
          <w:szCs w:val="21"/>
        </w:rPr>
        <w:t xml:space="preserve"> 当</w:t>
      </w:r>
      <w:r>
        <w:rPr>
          <w:sz w:val="24"/>
          <w:szCs w:val="21"/>
        </w:rPr>
        <w:t>设计建筑</w:t>
      </w:r>
      <w:r>
        <w:rPr>
          <w:rFonts w:hint="eastAsia"/>
          <w:sz w:val="24"/>
          <w:szCs w:val="21"/>
        </w:rPr>
        <w:t>采用活动遮阳装置</w:t>
      </w:r>
      <w:r>
        <w:rPr>
          <w:sz w:val="24"/>
          <w:szCs w:val="21"/>
        </w:rPr>
        <w:t>时，</w:t>
      </w:r>
      <w:r>
        <w:rPr>
          <w:rFonts w:hint="eastAsia"/>
          <w:sz w:val="24"/>
          <w:szCs w:val="21"/>
        </w:rPr>
        <w:t>供暖季</w:t>
      </w:r>
      <w:r>
        <w:rPr>
          <w:sz w:val="24"/>
          <w:szCs w:val="21"/>
        </w:rPr>
        <w:t>和</w:t>
      </w:r>
      <w:r>
        <w:rPr>
          <w:rFonts w:hint="eastAsia"/>
          <w:sz w:val="24"/>
          <w:szCs w:val="21"/>
        </w:rPr>
        <w:t>供冷</w:t>
      </w:r>
      <w:r>
        <w:rPr>
          <w:sz w:val="24"/>
          <w:szCs w:val="21"/>
        </w:rPr>
        <w:t>季的</w:t>
      </w:r>
      <w:r>
        <w:rPr>
          <w:rFonts w:hint="eastAsia"/>
          <w:sz w:val="24"/>
          <w:szCs w:val="21"/>
        </w:rPr>
        <w:t>遮阳系数</w:t>
      </w:r>
      <w:r>
        <w:rPr>
          <w:sz w:val="24"/>
          <w:szCs w:val="21"/>
        </w:rPr>
        <w:t>按</w:t>
      </w:r>
      <w:r>
        <w:rPr>
          <w:rFonts w:hint="eastAsia"/>
          <w:sz w:val="24"/>
          <w:szCs w:val="21"/>
        </w:rPr>
        <w:t>表</w:t>
      </w:r>
      <w:r>
        <w:rPr>
          <w:sz w:val="24"/>
          <w:szCs w:val="21"/>
        </w:rPr>
        <w:t>8.1.</w:t>
      </w:r>
      <w:r>
        <w:rPr>
          <w:rFonts w:hint="eastAsia"/>
          <w:sz w:val="24"/>
          <w:szCs w:val="21"/>
          <w:lang w:val="en-US" w:eastAsia="zh-CN"/>
        </w:rPr>
        <w:t>4</w:t>
      </w:r>
      <w:r>
        <w:rPr>
          <w:sz w:val="24"/>
          <w:szCs w:val="21"/>
        </w:rPr>
        <w:t>-2</w:t>
      </w:r>
      <w:r>
        <w:rPr>
          <w:rFonts w:hint="eastAsia"/>
          <w:sz w:val="24"/>
          <w:szCs w:val="21"/>
        </w:rPr>
        <w:t>确定。</w:t>
      </w:r>
    </w:p>
    <w:p>
      <w:pPr>
        <w:autoSpaceDE w:val="0"/>
        <w:autoSpaceDN w:val="0"/>
        <w:adjustRightInd w:val="0"/>
        <w:spacing w:line="360" w:lineRule="auto"/>
        <w:ind w:firstLine="482" w:firstLineChars="200"/>
        <w:rPr>
          <w:kern w:val="0"/>
          <w:sz w:val="24"/>
          <w:szCs w:val="21"/>
        </w:rPr>
      </w:pPr>
      <w:r>
        <w:rPr>
          <w:b/>
          <w:sz w:val="24"/>
          <w:szCs w:val="21"/>
        </w:rPr>
        <w:t>4</w:t>
      </w:r>
      <w:r>
        <w:rPr>
          <w:sz w:val="24"/>
          <w:szCs w:val="21"/>
        </w:rPr>
        <w:t xml:space="preserve"> 房间人员密度及在室率、电器设备功率密度及使用率、照明开启时间</w:t>
      </w:r>
      <w:r>
        <w:rPr>
          <w:rFonts w:hint="eastAsia"/>
          <w:sz w:val="24"/>
          <w:szCs w:val="21"/>
        </w:rPr>
        <w:t>等参数应按表8</w:t>
      </w:r>
      <w:r>
        <w:rPr>
          <w:sz w:val="24"/>
          <w:szCs w:val="21"/>
        </w:rPr>
        <w:t>.1.</w:t>
      </w:r>
      <w:r>
        <w:rPr>
          <w:rFonts w:hint="eastAsia"/>
          <w:sz w:val="24"/>
          <w:szCs w:val="21"/>
          <w:lang w:val="en-US" w:eastAsia="zh-CN"/>
        </w:rPr>
        <w:t>4</w:t>
      </w:r>
      <w:r>
        <w:rPr>
          <w:sz w:val="24"/>
          <w:szCs w:val="21"/>
        </w:rPr>
        <w:t>-</w:t>
      </w:r>
      <w:r>
        <w:rPr>
          <w:rFonts w:hint="eastAsia"/>
          <w:sz w:val="24"/>
          <w:szCs w:val="21"/>
          <w:lang w:val="en-US" w:eastAsia="zh-CN"/>
        </w:rPr>
        <w:t>3</w:t>
      </w:r>
      <w:r>
        <w:rPr>
          <w:rFonts w:hint="eastAsia"/>
          <w:sz w:val="24"/>
          <w:szCs w:val="21"/>
        </w:rPr>
        <w:t>设置，新风开启率按人员在室率计算。</w:t>
      </w:r>
    </w:p>
    <w:p>
      <w:pPr>
        <w:autoSpaceDE w:val="0"/>
        <w:autoSpaceDN w:val="0"/>
        <w:adjustRightInd w:val="0"/>
        <w:spacing w:line="360" w:lineRule="auto"/>
        <w:ind w:firstLine="482" w:firstLineChars="200"/>
        <w:rPr>
          <w:kern w:val="0"/>
          <w:sz w:val="24"/>
          <w:szCs w:val="21"/>
        </w:rPr>
      </w:pPr>
      <w:r>
        <w:rPr>
          <w:b/>
          <w:kern w:val="0"/>
          <w:sz w:val="24"/>
          <w:szCs w:val="21"/>
        </w:rPr>
        <w:t xml:space="preserve">5 </w:t>
      </w:r>
      <w:r>
        <w:rPr>
          <w:kern w:val="0"/>
          <w:sz w:val="24"/>
          <w:szCs w:val="21"/>
        </w:rPr>
        <w:t>照明系统的照明功率密度值应与建筑设计文件一致</w:t>
      </w:r>
      <w:r>
        <w:rPr>
          <w:rFonts w:hint="eastAsia"/>
          <w:kern w:val="0"/>
          <w:sz w:val="24"/>
          <w:szCs w:val="21"/>
        </w:rPr>
        <w:t>。</w:t>
      </w:r>
    </w:p>
    <w:p>
      <w:pPr>
        <w:autoSpaceDE w:val="0"/>
        <w:autoSpaceDN w:val="0"/>
        <w:adjustRightInd w:val="0"/>
        <w:spacing w:line="360" w:lineRule="auto"/>
        <w:ind w:firstLine="482" w:firstLineChars="200"/>
        <w:rPr>
          <w:kern w:val="0"/>
          <w:sz w:val="24"/>
          <w:szCs w:val="21"/>
        </w:rPr>
      </w:pPr>
      <w:r>
        <w:rPr>
          <w:b/>
          <w:kern w:val="0"/>
          <w:sz w:val="24"/>
          <w:szCs w:val="21"/>
        </w:rPr>
        <w:t xml:space="preserve">6 </w:t>
      </w:r>
      <w:r>
        <w:rPr>
          <w:kern w:val="0"/>
          <w:sz w:val="24"/>
          <w:szCs w:val="21"/>
        </w:rPr>
        <w:t>供暖、</w:t>
      </w:r>
      <w:r>
        <w:rPr>
          <w:rFonts w:hint="eastAsia"/>
          <w:kern w:val="0"/>
          <w:sz w:val="24"/>
          <w:szCs w:val="21"/>
        </w:rPr>
        <w:t>通风</w:t>
      </w:r>
      <w:r>
        <w:rPr>
          <w:kern w:val="0"/>
          <w:sz w:val="24"/>
          <w:szCs w:val="21"/>
        </w:rPr>
        <w:t>、空调、生活热水、电梯系统的系统形式和能效应与设计文件一致；生活热水系统的用水量应与设计文件一致，并</w:t>
      </w:r>
      <w:r>
        <w:rPr>
          <w:rFonts w:hint="eastAsia"/>
          <w:kern w:val="0"/>
          <w:sz w:val="24"/>
          <w:szCs w:val="21"/>
        </w:rPr>
        <w:t>应符合现行</w:t>
      </w:r>
      <w:r>
        <w:rPr>
          <w:kern w:val="0"/>
          <w:sz w:val="24"/>
          <w:szCs w:val="21"/>
        </w:rPr>
        <w:t>国家标准《民用建筑节水设计标准》GB</w:t>
      </w:r>
      <w:r>
        <w:rPr>
          <w:rFonts w:hint="eastAsia"/>
          <w:kern w:val="0"/>
          <w:sz w:val="24"/>
          <w:szCs w:val="21"/>
          <w:lang w:val="en-US" w:eastAsia="zh-CN"/>
        </w:rPr>
        <w:t xml:space="preserve"> </w:t>
      </w:r>
      <w:r>
        <w:rPr>
          <w:kern w:val="0"/>
          <w:sz w:val="24"/>
          <w:szCs w:val="21"/>
        </w:rPr>
        <w:t>50555的规定</w:t>
      </w:r>
      <w:r>
        <w:rPr>
          <w:rFonts w:hint="eastAsia"/>
          <w:kern w:val="0"/>
          <w:sz w:val="24"/>
          <w:szCs w:val="21"/>
        </w:rPr>
        <w:t>；插座、动力、炊事的相关能耗量的计算参数应与设计文件一致。</w:t>
      </w:r>
    </w:p>
    <w:p>
      <w:pPr>
        <w:autoSpaceDE w:val="0"/>
        <w:autoSpaceDN w:val="0"/>
        <w:adjustRightInd w:val="0"/>
        <w:spacing w:line="360" w:lineRule="auto"/>
        <w:ind w:firstLine="482" w:firstLineChars="200"/>
        <w:rPr>
          <w:kern w:val="0"/>
          <w:sz w:val="24"/>
          <w:szCs w:val="21"/>
        </w:rPr>
      </w:pPr>
      <w:r>
        <w:rPr>
          <w:b/>
          <w:kern w:val="0"/>
          <w:sz w:val="24"/>
          <w:szCs w:val="21"/>
        </w:rPr>
        <w:t xml:space="preserve">7 </w:t>
      </w:r>
      <w:r>
        <w:rPr>
          <w:kern w:val="0"/>
          <w:sz w:val="24"/>
          <w:szCs w:val="21"/>
        </w:rPr>
        <w:t>可再生能源系统形式及效率应与设计文件一致。</w:t>
      </w:r>
    </w:p>
    <w:p/>
    <w:p>
      <w:pPr>
        <w:autoSpaceDE w:val="0"/>
        <w:autoSpaceDN w:val="0"/>
        <w:adjustRightInd w:val="0"/>
        <w:spacing w:line="276" w:lineRule="auto"/>
        <w:ind w:firstLine="420" w:firstLineChars="200"/>
        <w:jc w:val="center"/>
        <w:rPr>
          <w:rFonts w:eastAsia="黑体"/>
          <w:szCs w:val="21"/>
        </w:rPr>
      </w:pPr>
      <w:r>
        <w:rPr>
          <w:rFonts w:eastAsia="黑体"/>
          <w:szCs w:val="21"/>
        </w:rPr>
        <w:t>表8.1.4-1 建筑的日运行时间</w:t>
      </w:r>
    </w:p>
    <w:tbl>
      <w:tblPr>
        <w:tblStyle w:val="30"/>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28"/>
        <w:gridCol w:w="1908"/>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2784" w:type="pct"/>
            <w:gridSpan w:val="2"/>
            <w:vAlign w:val="center"/>
          </w:tcPr>
          <w:p>
            <w:pPr>
              <w:spacing w:line="276" w:lineRule="auto"/>
              <w:jc w:val="center"/>
              <w:rPr>
                <w:szCs w:val="21"/>
              </w:rPr>
            </w:pPr>
            <w:r>
              <w:rPr>
                <w:kern w:val="0"/>
                <w:szCs w:val="21"/>
              </w:rPr>
              <w:t>类别</w:t>
            </w:r>
          </w:p>
        </w:tc>
        <w:tc>
          <w:tcPr>
            <w:tcW w:w="2216" w:type="pct"/>
            <w:vAlign w:val="center"/>
          </w:tcPr>
          <w:p>
            <w:pPr>
              <w:spacing w:line="276" w:lineRule="auto"/>
              <w:jc w:val="center"/>
              <w:rPr>
                <w:szCs w:val="21"/>
              </w:rPr>
            </w:pPr>
            <w:r>
              <w:rPr>
                <w:kern w:val="0"/>
                <w:szCs w:val="21"/>
              </w:rPr>
              <w:t>系统工作时间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638" w:type="pct"/>
            <w:vMerge w:val="restart"/>
            <w:vAlign w:val="center"/>
          </w:tcPr>
          <w:p>
            <w:pPr>
              <w:spacing w:line="276" w:lineRule="auto"/>
              <w:jc w:val="center"/>
              <w:rPr>
                <w:szCs w:val="21"/>
              </w:rPr>
            </w:pPr>
            <w:r>
              <w:rPr>
                <w:kern w:val="0"/>
                <w:szCs w:val="21"/>
              </w:rPr>
              <w:t>办公建筑</w:t>
            </w:r>
          </w:p>
        </w:tc>
        <w:tc>
          <w:tcPr>
            <w:tcW w:w="1146" w:type="pct"/>
            <w:vAlign w:val="center"/>
          </w:tcPr>
          <w:p>
            <w:pPr>
              <w:spacing w:line="276" w:lineRule="auto"/>
              <w:jc w:val="center"/>
              <w:rPr>
                <w:szCs w:val="21"/>
              </w:rPr>
            </w:pPr>
            <w:r>
              <w:rPr>
                <w:kern w:val="0"/>
                <w:szCs w:val="21"/>
              </w:rPr>
              <w:t>工作日</w:t>
            </w:r>
          </w:p>
        </w:tc>
        <w:tc>
          <w:tcPr>
            <w:tcW w:w="2216" w:type="pct"/>
            <w:vAlign w:val="center"/>
          </w:tcPr>
          <w:p>
            <w:pPr>
              <w:spacing w:line="276" w:lineRule="auto"/>
              <w:jc w:val="center"/>
              <w:rPr>
                <w:szCs w:val="21"/>
              </w:rPr>
            </w:pPr>
            <w:r>
              <w:rPr>
                <w:kern w:val="0"/>
                <w:szCs w:val="21"/>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638" w:type="pct"/>
            <w:vMerge w:val="continue"/>
            <w:vAlign w:val="center"/>
          </w:tcPr>
          <w:p>
            <w:pPr>
              <w:spacing w:line="276" w:lineRule="auto"/>
              <w:jc w:val="center"/>
              <w:rPr>
                <w:kern w:val="0"/>
                <w:szCs w:val="21"/>
              </w:rPr>
            </w:pPr>
          </w:p>
        </w:tc>
        <w:tc>
          <w:tcPr>
            <w:tcW w:w="1146" w:type="pct"/>
            <w:vAlign w:val="center"/>
          </w:tcPr>
          <w:p>
            <w:pPr>
              <w:spacing w:line="276" w:lineRule="auto"/>
              <w:jc w:val="center"/>
              <w:rPr>
                <w:szCs w:val="21"/>
              </w:rPr>
            </w:pPr>
            <w:r>
              <w:rPr>
                <w:kern w:val="0"/>
                <w:szCs w:val="21"/>
              </w:rPr>
              <w:t>节假日</w:t>
            </w:r>
          </w:p>
        </w:tc>
        <w:tc>
          <w:tcPr>
            <w:tcW w:w="2216" w:type="pct"/>
            <w:vAlign w:val="center"/>
          </w:tcPr>
          <w:p>
            <w:pPr>
              <w:spacing w:line="276" w:lineRule="auto"/>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638" w:type="pct"/>
            <w:vAlign w:val="center"/>
          </w:tcPr>
          <w:p>
            <w:pPr>
              <w:spacing w:line="276" w:lineRule="auto"/>
              <w:jc w:val="center"/>
              <w:rPr>
                <w:szCs w:val="21"/>
              </w:rPr>
            </w:pPr>
            <w:r>
              <w:rPr>
                <w:kern w:val="0"/>
                <w:szCs w:val="21"/>
              </w:rPr>
              <w:t>酒店建筑</w:t>
            </w:r>
          </w:p>
        </w:tc>
        <w:tc>
          <w:tcPr>
            <w:tcW w:w="1146" w:type="pct"/>
            <w:vAlign w:val="center"/>
          </w:tcPr>
          <w:p>
            <w:pPr>
              <w:spacing w:line="276" w:lineRule="auto"/>
              <w:jc w:val="center"/>
              <w:rPr>
                <w:szCs w:val="21"/>
              </w:rPr>
            </w:pPr>
            <w:r>
              <w:rPr>
                <w:kern w:val="0"/>
                <w:szCs w:val="21"/>
              </w:rPr>
              <w:t>全年</w:t>
            </w:r>
          </w:p>
        </w:tc>
        <w:tc>
          <w:tcPr>
            <w:tcW w:w="2216" w:type="pct"/>
            <w:vAlign w:val="center"/>
          </w:tcPr>
          <w:p>
            <w:pPr>
              <w:spacing w:line="276" w:lineRule="auto"/>
              <w:jc w:val="center"/>
              <w:rPr>
                <w:szCs w:val="21"/>
              </w:rPr>
            </w:pPr>
            <w:r>
              <w:rPr>
                <w:kern w:val="0"/>
                <w:szCs w:val="21"/>
              </w:rPr>
              <w:t>0：00～24：00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638" w:type="pct"/>
            <w:vMerge w:val="restart"/>
            <w:vAlign w:val="center"/>
          </w:tcPr>
          <w:p>
            <w:pPr>
              <w:spacing w:line="276" w:lineRule="auto"/>
              <w:jc w:val="center"/>
              <w:rPr>
                <w:kern w:val="0"/>
                <w:szCs w:val="21"/>
              </w:rPr>
            </w:pPr>
            <w:r>
              <w:rPr>
                <w:kern w:val="0"/>
                <w:szCs w:val="21"/>
              </w:rPr>
              <w:t>学校建筑</w:t>
            </w:r>
          </w:p>
        </w:tc>
        <w:tc>
          <w:tcPr>
            <w:tcW w:w="1146" w:type="pct"/>
            <w:vAlign w:val="center"/>
          </w:tcPr>
          <w:p>
            <w:pPr>
              <w:spacing w:line="276" w:lineRule="auto"/>
              <w:jc w:val="center"/>
              <w:rPr>
                <w:kern w:val="0"/>
                <w:szCs w:val="21"/>
              </w:rPr>
            </w:pPr>
            <w:r>
              <w:rPr>
                <w:kern w:val="0"/>
                <w:szCs w:val="21"/>
              </w:rPr>
              <w:t>工作日</w:t>
            </w:r>
          </w:p>
        </w:tc>
        <w:tc>
          <w:tcPr>
            <w:tcW w:w="2216" w:type="pct"/>
            <w:vAlign w:val="center"/>
          </w:tcPr>
          <w:p>
            <w:pPr>
              <w:spacing w:line="276" w:lineRule="auto"/>
              <w:jc w:val="center"/>
              <w:rPr>
                <w:kern w:val="0"/>
                <w:szCs w:val="21"/>
              </w:rPr>
            </w:pPr>
            <w:r>
              <w:rPr>
                <w:kern w:val="0"/>
                <w:szCs w:val="21"/>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638" w:type="pct"/>
            <w:vMerge w:val="continue"/>
            <w:vAlign w:val="center"/>
          </w:tcPr>
          <w:p>
            <w:pPr>
              <w:spacing w:line="276" w:lineRule="auto"/>
              <w:jc w:val="center"/>
              <w:rPr>
                <w:kern w:val="0"/>
                <w:szCs w:val="21"/>
              </w:rPr>
            </w:pPr>
          </w:p>
        </w:tc>
        <w:tc>
          <w:tcPr>
            <w:tcW w:w="1146" w:type="pct"/>
            <w:vAlign w:val="center"/>
          </w:tcPr>
          <w:p>
            <w:pPr>
              <w:spacing w:line="276" w:lineRule="auto"/>
              <w:jc w:val="center"/>
              <w:rPr>
                <w:kern w:val="0"/>
                <w:szCs w:val="21"/>
              </w:rPr>
            </w:pPr>
            <w:r>
              <w:rPr>
                <w:kern w:val="0"/>
                <w:szCs w:val="21"/>
              </w:rPr>
              <w:t>节假日</w:t>
            </w:r>
          </w:p>
        </w:tc>
        <w:tc>
          <w:tcPr>
            <w:tcW w:w="2216" w:type="pct"/>
            <w:vAlign w:val="center"/>
          </w:tcPr>
          <w:p>
            <w:pPr>
              <w:spacing w:line="276" w:lineRule="auto"/>
              <w:jc w:val="center"/>
              <w:rPr>
                <w:kern w:val="0"/>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638" w:type="pct"/>
            <w:vAlign w:val="center"/>
          </w:tcPr>
          <w:p>
            <w:pPr>
              <w:spacing w:line="276" w:lineRule="auto"/>
              <w:jc w:val="center"/>
              <w:rPr>
                <w:szCs w:val="21"/>
              </w:rPr>
            </w:pPr>
            <w:r>
              <w:rPr>
                <w:kern w:val="0"/>
                <w:szCs w:val="21"/>
              </w:rPr>
              <w:t>商场建筑</w:t>
            </w:r>
          </w:p>
        </w:tc>
        <w:tc>
          <w:tcPr>
            <w:tcW w:w="1146" w:type="pct"/>
            <w:vAlign w:val="center"/>
          </w:tcPr>
          <w:p>
            <w:pPr>
              <w:spacing w:line="276" w:lineRule="auto"/>
              <w:jc w:val="center"/>
              <w:rPr>
                <w:szCs w:val="21"/>
              </w:rPr>
            </w:pPr>
            <w:r>
              <w:rPr>
                <w:kern w:val="0"/>
                <w:szCs w:val="21"/>
              </w:rPr>
              <w:t>全年</w:t>
            </w:r>
          </w:p>
        </w:tc>
        <w:tc>
          <w:tcPr>
            <w:tcW w:w="2216" w:type="pct"/>
            <w:vAlign w:val="center"/>
          </w:tcPr>
          <w:p>
            <w:pPr>
              <w:spacing w:line="276" w:lineRule="auto"/>
              <w:jc w:val="center"/>
              <w:rPr>
                <w:szCs w:val="21"/>
              </w:rPr>
            </w:pPr>
            <w:r>
              <w:rPr>
                <w:kern w:val="0"/>
                <w:szCs w:val="21"/>
              </w:rPr>
              <w:t>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638" w:type="pct"/>
            <w:vAlign w:val="center"/>
          </w:tcPr>
          <w:p>
            <w:pPr>
              <w:spacing w:line="276" w:lineRule="auto"/>
              <w:jc w:val="center"/>
              <w:rPr>
                <w:kern w:val="0"/>
                <w:szCs w:val="21"/>
              </w:rPr>
            </w:pPr>
            <w:r>
              <w:rPr>
                <w:kern w:val="0"/>
                <w:szCs w:val="21"/>
              </w:rPr>
              <w:t>影剧院</w:t>
            </w:r>
          </w:p>
        </w:tc>
        <w:tc>
          <w:tcPr>
            <w:tcW w:w="1146" w:type="pct"/>
            <w:vAlign w:val="center"/>
          </w:tcPr>
          <w:p>
            <w:pPr>
              <w:spacing w:line="276" w:lineRule="auto"/>
              <w:jc w:val="center"/>
              <w:rPr>
                <w:kern w:val="0"/>
                <w:szCs w:val="21"/>
              </w:rPr>
            </w:pPr>
            <w:r>
              <w:rPr>
                <w:kern w:val="0"/>
                <w:szCs w:val="21"/>
              </w:rPr>
              <w:t>全年</w:t>
            </w:r>
          </w:p>
        </w:tc>
        <w:tc>
          <w:tcPr>
            <w:tcW w:w="2216" w:type="pct"/>
            <w:vAlign w:val="center"/>
          </w:tcPr>
          <w:p>
            <w:pPr>
              <w:spacing w:line="276" w:lineRule="auto"/>
              <w:jc w:val="center"/>
              <w:rPr>
                <w:kern w:val="0"/>
                <w:szCs w:val="21"/>
              </w:rPr>
            </w:pPr>
            <w:r>
              <w:rPr>
                <w:kern w:val="0"/>
                <w:szCs w:val="21"/>
              </w:rPr>
              <w:t>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638" w:type="pct"/>
            <w:vAlign w:val="center"/>
          </w:tcPr>
          <w:p>
            <w:pPr>
              <w:spacing w:line="276" w:lineRule="auto"/>
              <w:jc w:val="center"/>
              <w:rPr>
                <w:szCs w:val="21"/>
              </w:rPr>
            </w:pPr>
            <w:r>
              <w:rPr>
                <w:kern w:val="0"/>
                <w:szCs w:val="21"/>
              </w:rPr>
              <w:t>医院建筑</w:t>
            </w:r>
          </w:p>
        </w:tc>
        <w:tc>
          <w:tcPr>
            <w:tcW w:w="1146" w:type="pct"/>
            <w:vAlign w:val="center"/>
          </w:tcPr>
          <w:p>
            <w:pPr>
              <w:spacing w:line="276" w:lineRule="auto"/>
              <w:jc w:val="center"/>
              <w:rPr>
                <w:szCs w:val="21"/>
              </w:rPr>
            </w:pPr>
            <w:r>
              <w:rPr>
                <w:kern w:val="0"/>
                <w:szCs w:val="21"/>
              </w:rPr>
              <w:t>全年</w:t>
            </w:r>
          </w:p>
        </w:tc>
        <w:tc>
          <w:tcPr>
            <w:tcW w:w="2216" w:type="pct"/>
            <w:vAlign w:val="center"/>
          </w:tcPr>
          <w:p>
            <w:pPr>
              <w:spacing w:line="276" w:lineRule="auto"/>
              <w:jc w:val="center"/>
              <w:rPr>
                <w:szCs w:val="21"/>
              </w:rPr>
            </w:pPr>
            <w:r>
              <w:rPr>
                <w:kern w:val="0"/>
                <w:szCs w:val="21"/>
              </w:rPr>
              <w:t>8：00～18：00</w:t>
            </w:r>
          </w:p>
        </w:tc>
      </w:tr>
    </w:tbl>
    <w:p>
      <w:pPr>
        <w:autoSpaceDE w:val="0"/>
        <w:autoSpaceDN w:val="0"/>
        <w:adjustRightInd w:val="0"/>
        <w:spacing w:line="276" w:lineRule="auto"/>
        <w:ind w:firstLine="420" w:firstLineChars="200"/>
        <w:jc w:val="center"/>
        <w:rPr>
          <w:rFonts w:eastAsia="黑体"/>
          <w:szCs w:val="21"/>
        </w:rPr>
      </w:pPr>
    </w:p>
    <w:p>
      <w:pPr>
        <w:autoSpaceDE w:val="0"/>
        <w:autoSpaceDN w:val="0"/>
        <w:adjustRightInd w:val="0"/>
        <w:spacing w:line="276" w:lineRule="auto"/>
        <w:ind w:firstLine="420" w:firstLineChars="200"/>
        <w:jc w:val="center"/>
        <w:rPr>
          <w:rFonts w:eastAsia="黑体"/>
          <w:szCs w:val="21"/>
        </w:rPr>
      </w:pPr>
      <w:r>
        <w:rPr>
          <w:rFonts w:eastAsia="黑体"/>
          <w:szCs w:val="21"/>
        </w:rPr>
        <w:t xml:space="preserve">表8.1.4-2 </w:t>
      </w:r>
      <w:r>
        <w:rPr>
          <w:rFonts w:hint="eastAsia" w:eastAsia="黑体"/>
          <w:szCs w:val="21"/>
        </w:rPr>
        <w:t>活动遮阳</w:t>
      </w:r>
      <w:r>
        <w:rPr>
          <w:rFonts w:eastAsia="黑体"/>
          <w:szCs w:val="21"/>
        </w:rPr>
        <w:t>装置</w:t>
      </w:r>
      <w:r>
        <w:rPr>
          <w:rFonts w:hint="eastAsia" w:eastAsia="黑体"/>
          <w:szCs w:val="21"/>
        </w:rPr>
        <w:t>遮阳系数SC</w:t>
      </w:r>
      <w:r>
        <w:rPr>
          <w:rFonts w:eastAsia="黑体"/>
          <w:szCs w:val="21"/>
        </w:rPr>
        <w:t>的取值</w:t>
      </w:r>
    </w:p>
    <w:tbl>
      <w:tblPr>
        <w:tblStyle w:val="3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762"/>
        <w:gridCol w:w="2767"/>
        <w:gridCol w:w="27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62" w:type="dxa"/>
          </w:tcPr>
          <w:p>
            <w:pPr>
              <w:autoSpaceDE w:val="0"/>
              <w:autoSpaceDN w:val="0"/>
              <w:adjustRightInd w:val="0"/>
              <w:spacing w:line="276" w:lineRule="auto"/>
              <w:jc w:val="center"/>
              <w:rPr>
                <w:rFonts w:eastAsia="黑体"/>
                <w:szCs w:val="21"/>
              </w:rPr>
            </w:pPr>
            <w:r>
              <w:rPr>
                <w:rFonts w:hint="eastAsia" w:eastAsia="黑体"/>
                <w:szCs w:val="21"/>
              </w:rPr>
              <w:t>控制方式</w:t>
            </w:r>
          </w:p>
        </w:tc>
        <w:tc>
          <w:tcPr>
            <w:tcW w:w="2767" w:type="dxa"/>
          </w:tcPr>
          <w:p>
            <w:pPr>
              <w:autoSpaceDE w:val="0"/>
              <w:autoSpaceDN w:val="0"/>
              <w:adjustRightInd w:val="0"/>
              <w:spacing w:line="276" w:lineRule="auto"/>
              <w:jc w:val="center"/>
              <w:rPr>
                <w:rFonts w:eastAsia="黑体"/>
                <w:szCs w:val="21"/>
              </w:rPr>
            </w:pPr>
            <w:r>
              <w:rPr>
                <w:rFonts w:hint="eastAsia" w:eastAsia="黑体"/>
                <w:szCs w:val="21"/>
              </w:rPr>
              <w:t>供暖季</w:t>
            </w:r>
          </w:p>
        </w:tc>
        <w:tc>
          <w:tcPr>
            <w:tcW w:w="2767" w:type="dxa"/>
          </w:tcPr>
          <w:p>
            <w:pPr>
              <w:autoSpaceDE w:val="0"/>
              <w:autoSpaceDN w:val="0"/>
              <w:adjustRightInd w:val="0"/>
              <w:spacing w:line="276" w:lineRule="auto"/>
              <w:jc w:val="center"/>
              <w:rPr>
                <w:rFonts w:eastAsia="黑体"/>
                <w:szCs w:val="21"/>
              </w:rPr>
            </w:pPr>
            <w:r>
              <w:rPr>
                <w:rFonts w:hint="eastAsia" w:eastAsia="黑体"/>
                <w:szCs w:val="21"/>
              </w:rPr>
              <w:t>供冷季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62" w:type="dxa"/>
          </w:tcPr>
          <w:p>
            <w:pPr>
              <w:autoSpaceDE w:val="0"/>
              <w:autoSpaceDN w:val="0"/>
              <w:adjustRightInd w:val="0"/>
              <w:spacing w:line="276" w:lineRule="auto"/>
              <w:jc w:val="center"/>
              <w:rPr>
                <w:rFonts w:eastAsia="黑体"/>
                <w:szCs w:val="21"/>
              </w:rPr>
            </w:pPr>
            <w:r>
              <w:rPr>
                <w:rFonts w:hint="eastAsia" w:eastAsia="黑体"/>
                <w:szCs w:val="21"/>
              </w:rPr>
              <w:t>手动控制</w:t>
            </w:r>
          </w:p>
        </w:tc>
        <w:tc>
          <w:tcPr>
            <w:tcW w:w="2767" w:type="dxa"/>
          </w:tcPr>
          <w:p>
            <w:pPr>
              <w:autoSpaceDE w:val="0"/>
              <w:autoSpaceDN w:val="0"/>
              <w:adjustRightInd w:val="0"/>
              <w:spacing w:line="276" w:lineRule="auto"/>
              <w:jc w:val="center"/>
              <w:rPr>
                <w:rFonts w:eastAsia="黑体"/>
                <w:szCs w:val="21"/>
              </w:rPr>
            </w:pPr>
            <w:r>
              <w:rPr>
                <w:rFonts w:hint="eastAsia" w:eastAsia="黑体"/>
                <w:szCs w:val="21"/>
              </w:rPr>
              <w:t>0.</w:t>
            </w:r>
            <w:r>
              <w:rPr>
                <w:rFonts w:eastAsia="黑体"/>
                <w:szCs w:val="21"/>
              </w:rPr>
              <w:t>80</w:t>
            </w:r>
          </w:p>
        </w:tc>
        <w:tc>
          <w:tcPr>
            <w:tcW w:w="2767" w:type="dxa"/>
          </w:tcPr>
          <w:p>
            <w:pPr>
              <w:autoSpaceDE w:val="0"/>
              <w:autoSpaceDN w:val="0"/>
              <w:adjustRightInd w:val="0"/>
              <w:spacing w:line="276" w:lineRule="auto"/>
              <w:jc w:val="center"/>
              <w:rPr>
                <w:rFonts w:eastAsia="黑体"/>
                <w:szCs w:val="21"/>
              </w:rPr>
            </w:pPr>
            <w:r>
              <w:rPr>
                <w:rFonts w:hint="eastAsia" w:eastAsia="黑体"/>
                <w:szCs w:val="21"/>
              </w:rPr>
              <w:t>0.</w:t>
            </w:r>
            <w:r>
              <w:rPr>
                <w:rFonts w:eastAsia="黑体"/>
                <w:szCs w:val="21"/>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62" w:type="dxa"/>
          </w:tcPr>
          <w:p>
            <w:pPr>
              <w:autoSpaceDE w:val="0"/>
              <w:autoSpaceDN w:val="0"/>
              <w:adjustRightInd w:val="0"/>
              <w:spacing w:line="276" w:lineRule="auto"/>
              <w:jc w:val="center"/>
              <w:rPr>
                <w:rFonts w:eastAsia="黑体"/>
                <w:szCs w:val="21"/>
              </w:rPr>
            </w:pPr>
            <w:r>
              <w:rPr>
                <w:rFonts w:hint="eastAsia" w:eastAsia="黑体"/>
                <w:szCs w:val="21"/>
              </w:rPr>
              <w:t>自动控制</w:t>
            </w:r>
          </w:p>
        </w:tc>
        <w:tc>
          <w:tcPr>
            <w:tcW w:w="2767" w:type="dxa"/>
          </w:tcPr>
          <w:p>
            <w:pPr>
              <w:autoSpaceDE w:val="0"/>
              <w:autoSpaceDN w:val="0"/>
              <w:adjustRightInd w:val="0"/>
              <w:spacing w:line="276" w:lineRule="auto"/>
              <w:jc w:val="center"/>
              <w:rPr>
                <w:rFonts w:eastAsia="黑体"/>
                <w:szCs w:val="21"/>
              </w:rPr>
            </w:pPr>
            <w:r>
              <w:rPr>
                <w:rFonts w:hint="eastAsia" w:eastAsia="黑体"/>
                <w:szCs w:val="21"/>
              </w:rPr>
              <w:t>0.</w:t>
            </w:r>
            <w:r>
              <w:rPr>
                <w:rFonts w:eastAsia="黑体"/>
                <w:szCs w:val="21"/>
              </w:rPr>
              <w:t>80</w:t>
            </w:r>
          </w:p>
        </w:tc>
        <w:tc>
          <w:tcPr>
            <w:tcW w:w="2767" w:type="dxa"/>
          </w:tcPr>
          <w:p>
            <w:pPr>
              <w:autoSpaceDE w:val="0"/>
              <w:autoSpaceDN w:val="0"/>
              <w:adjustRightInd w:val="0"/>
              <w:spacing w:line="276" w:lineRule="auto"/>
              <w:jc w:val="center"/>
              <w:rPr>
                <w:rFonts w:eastAsia="黑体"/>
                <w:szCs w:val="21"/>
              </w:rPr>
            </w:pPr>
            <w:r>
              <w:rPr>
                <w:rFonts w:hint="eastAsia" w:eastAsia="黑体"/>
                <w:szCs w:val="21"/>
              </w:rPr>
              <w:t>0.</w:t>
            </w:r>
            <w:r>
              <w:rPr>
                <w:rFonts w:eastAsia="黑体"/>
                <w:szCs w:val="21"/>
              </w:rPr>
              <w:t>35</w:t>
            </w:r>
          </w:p>
        </w:tc>
      </w:tr>
    </w:tbl>
    <w:p>
      <w:pPr>
        <w:autoSpaceDE w:val="0"/>
        <w:autoSpaceDN w:val="0"/>
        <w:adjustRightInd w:val="0"/>
        <w:spacing w:line="276" w:lineRule="auto"/>
        <w:ind w:firstLine="420" w:firstLineChars="200"/>
        <w:jc w:val="center"/>
        <w:rPr>
          <w:rFonts w:eastAsia="黑体"/>
          <w:szCs w:val="21"/>
        </w:rPr>
      </w:pPr>
    </w:p>
    <w:p>
      <w:pPr>
        <w:autoSpaceDE w:val="0"/>
        <w:autoSpaceDN w:val="0"/>
        <w:adjustRightInd w:val="0"/>
        <w:spacing w:line="276" w:lineRule="auto"/>
        <w:ind w:firstLine="420" w:firstLineChars="200"/>
        <w:jc w:val="center"/>
        <w:rPr>
          <w:rFonts w:eastAsia="黑体"/>
          <w:szCs w:val="21"/>
        </w:rPr>
      </w:pPr>
      <w:r>
        <w:rPr>
          <w:rFonts w:eastAsia="黑体"/>
          <w:szCs w:val="21"/>
        </w:rPr>
        <w:t>表8.1.4-3 不同类型房间人员、设备、照明内热设置</w:t>
      </w:r>
    </w:p>
    <w:tbl>
      <w:tblPr>
        <w:tblStyle w:val="3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372"/>
        <w:gridCol w:w="1026"/>
        <w:gridCol w:w="1028"/>
        <w:gridCol w:w="1026"/>
        <w:gridCol w:w="1028"/>
        <w:gridCol w:w="1026"/>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shd w:val="clear" w:color="auto" w:fill="auto"/>
            <w:noWrap/>
            <w:vAlign w:val="center"/>
          </w:tcPr>
          <w:p>
            <w:pPr>
              <w:widowControl/>
              <w:spacing w:line="276" w:lineRule="auto"/>
              <w:jc w:val="center"/>
              <w:rPr>
                <w:kern w:val="0"/>
                <w:szCs w:val="21"/>
              </w:rPr>
            </w:pPr>
            <w:r>
              <w:rPr>
                <w:kern w:val="0"/>
                <w:szCs w:val="21"/>
              </w:rPr>
              <w:t>建筑类型</w:t>
            </w:r>
          </w:p>
        </w:tc>
        <w:tc>
          <w:tcPr>
            <w:tcW w:w="790" w:type="pct"/>
            <w:shd w:val="clear" w:color="auto" w:fill="auto"/>
            <w:noWrap/>
            <w:vAlign w:val="center"/>
          </w:tcPr>
          <w:p>
            <w:pPr>
              <w:widowControl/>
              <w:spacing w:line="276" w:lineRule="auto"/>
              <w:jc w:val="center"/>
              <w:rPr>
                <w:kern w:val="0"/>
                <w:szCs w:val="21"/>
              </w:rPr>
            </w:pPr>
            <w:r>
              <w:rPr>
                <w:kern w:val="0"/>
                <w:szCs w:val="21"/>
              </w:rPr>
              <w:t>房间类型</w:t>
            </w:r>
          </w:p>
        </w:tc>
        <w:tc>
          <w:tcPr>
            <w:tcW w:w="591" w:type="pct"/>
            <w:shd w:val="clear" w:color="auto" w:fill="auto"/>
            <w:vAlign w:val="center"/>
          </w:tcPr>
          <w:p>
            <w:pPr>
              <w:widowControl/>
              <w:spacing w:line="276" w:lineRule="auto"/>
              <w:jc w:val="center"/>
              <w:rPr>
                <w:szCs w:val="21"/>
              </w:rPr>
            </w:pPr>
            <w:r>
              <w:rPr>
                <w:szCs w:val="21"/>
              </w:rPr>
              <w:t>人均占地面积m</w:t>
            </w:r>
            <w:r>
              <w:rPr>
                <w:szCs w:val="21"/>
                <w:vertAlign w:val="superscript"/>
              </w:rPr>
              <w:t>2</w:t>
            </w:r>
          </w:p>
        </w:tc>
        <w:tc>
          <w:tcPr>
            <w:tcW w:w="592" w:type="pct"/>
            <w:shd w:val="clear" w:color="auto" w:fill="auto"/>
            <w:vAlign w:val="center"/>
          </w:tcPr>
          <w:p>
            <w:pPr>
              <w:widowControl/>
              <w:spacing w:line="276" w:lineRule="auto"/>
              <w:jc w:val="center"/>
              <w:rPr>
                <w:kern w:val="0"/>
                <w:szCs w:val="21"/>
              </w:rPr>
            </w:pPr>
            <w:r>
              <w:rPr>
                <w:szCs w:val="21"/>
              </w:rPr>
              <w:t>人员在室率</w:t>
            </w:r>
          </w:p>
        </w:tc>
        <w:tc>
          <w:tcPr>
            <w:tcW w:w="591" w:type="pct"/>
            <w:shd w:val="clear" w:color="auto" w:fill="auto"/>
            <w:vAlign w:val="center"/>
          </w:tcPr>
          <w:p>
            <w:pPr>
              <w:widowControl/>
              <w:spacing w:line="276" w:lineRule="auto"/>
              <w:jc w:val="center"/>
              <w:rPr>
                <w:szCs w:val="21"/>
              </w:rPr>
            </w:pPr>
            <w:r>
              <w:rPr>
                <w:szCs w:val="21"/>
              </w:rPr>
              <w:t>设备功率密度W/m</w:t>
            </w:r>
            <w:r>
              <w:rPr>
                <w:szCs w:val="21"/>
                <w:vertAlign w:val="superscript"/>
              </w:rPr>
              <w:t>2</w:t>
            </w:r>
          </w:p>
        </w:tc>
        <w:tc>
          <w:tcPr>
            <w:tcW w:w="592" w:type="pct"/>
            <w:shd w:val="clear" w:color="auto" w:fill="auto"/>
            <w:vAlign w:val="center"/>
          </w:tcPr>
          <w:p>
            <w:pPr>
              <w:widowControl/>
              <w:spacing w:line="276" w:lineRule="auto"/>
              <w:jc w:val="center"/>
              <w:rPr>
                <w:szCs w:val="21"/>
              </w:rPr>
            </w:pPr>
            <w:r>
              <w:rPr>
                <w:szCs w:val="21"/>
              </w:rPr>
              <w:t>设备使用率</w:t>
            </w:r>
          </w:p>
        </w:tc>
        <w:tc>
          <w:tcPr>
            <w:tcW w:w="591" w:type="pct"/>
            <w:shd w:val="clear" w:color="auto" w:fill="auto"/>
            <w:vAlign w:val="center"/>
          </w:tcPr>
          <w:p>
            <w:pPr>
              <w:widowControl/>
              <w:spacing w:line="276" w:lineRule="auto"/>
              <w:jc w:val="center"/>
              <w:rPr>
                <w:szCs w:val="21"/>
              </w:rPr>
            </w:pPr>
            <w:r>
              <w:rPr>
                <w:szCs w:val="21"/>
              </w:rPr>
              <w:t>照明功率密度</w:t>
            </w:r>
          </w:p>
          <w:p>
            <w:pPr>
              <w:widowControl/>
              <w:spacing w:line="276" w:lineRule="auto"/>
              <w:jc w:val="center"/>
              <w:rPr>
                <w:szCs w:val="21"/>
              </w:rPr>
            </w:pPr>
            <w:r>
              <w:rPr>
                <w:szCs w:val="21"/>
              </w:rPr>
              <w:t>W/m</w:t>
            </w:r>
            <w:r>
              <w:rPr>
                <w:szCs w:val="21"/>
                <w:vertAlign w:val="superscript"/>
              </w:rPr>
              <w:t>2</w:t>
            </w:r>
          </w:p>
        </w:tc>
        <w:tc>
          <w:tcPr>
            <w:tcW w:w="592" w:type="pct"/>
            <w:shd w:val="clear" w:color="auto" w:fill="auto"/>
            <w:vAlign w:val="center"/>
          </w:tcPr>
          <w:p>
            <w:pPr>
              <w:widowControl/>
              <w:spacing w:line="276" w:lineRule="auto"/>
              <w:jc w:val="center"/>
              <w:rPr>
                <w:szCs w:val="21"/>
              </w:rPr>
            </w:pPr>
            <w:r>
              <w:rPr>
                <w:szCs w:val="21"/>
              </w:rPr>
              <w:t>照明开启时长</w:t>
            </w:r>
          </w:p>
          <w:p>
            <w:pPr>
              <w:widowControl/>
              <w:spacing w:line="276" w:lineRule="auto"/>
              <w:jc w:val="center"/>
              <w:rPr>
                <w:szCs w:val="21"/>
              </w:rPr>
            </w:pPr>
            <w:r>
              <w:rPr>
                <w:szCs w:val="21"/>
              </w:rPr>
              <w:t>h/月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kern w:val="0"/>
                <w:szCs w:val="21"/>
              </w:rPr>
            </w:pPr>
            <w:r>
              <w:rPr>
                <w:kern w:val="0"/>
                <w:szCs w:val="21"/>
              </w:rPr>
              <w:t>办公建筑</w:t>
            </w:r>
          </w:p>
        </w:tc>
        <w:tc>
          <w:tcPr>
            <w:tcW w:w="790" w:type="pct"/>
            <w:shd w:val="clear" w:color="auto" w:fill="auto"/>
            <w:noWrap/>
            <w:vAlign w:val="center"/>
          </w:tcPr>
          <w:p>
            <w:pPr>
              <w:widowControl/>
              <w:spacing w:line="276" w:lineRule="auto"/>
              <w:jc w:val="center"/>
              <w:rPr>
                <w:kern w:val="0"/>
                <w:szCs w:val="21"/>
              </w:rPr>
            </w:pPr>
            <w:r>
              <w:rPr>
                <w:kern w:val="0"/>
                <w:szCs w:val="21"/>
              </w:rPr>
              <w:t>办公室</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密集办公室</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15</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会议室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61.8%</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大堂门厅</w:t>
            </w:r>
          </w:p>
        </w:tc>
        <w:tc>
          <w:tcPr>
            <w:tcW w:w="591" w:type="pct"/>
            <w:shd w:val="clear" w:color="auto" w:fill="auto"/>
            <w:vAlign w:val="center"/>
          </w:tcPr>
          <w:p>
            <w:pPr>
              <w:widowControl/>
              <w:spacing w:line="276" w:lineRule="auto"/>
              <w:jc w:val="center"/>
              <w:rPr>
                <w:kern w:val="0"/>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33.3%</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休息室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设备用房</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库房、管道井</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车库</w:t>
            </w:r>
          </w:p>
        </w:tc>
        <w:tc>
          <w:tcPr>
            <w:tcW w:w="591" w:type="pct"/>
            <w:shd w:val="clear" w:color="auto" w:fill="auto"/>
            <w:vAlign w:val="center"/>
          </w:tcPr>
          <w:p>
            <w:pPr>
              <w:widowControl/>
              <w:spacing w:line="276" w:lineRule="auto"/>
              <w:jc w:val="center"/>
              <w:rPr>
                <w:kern w:val="0"/>
                <w:szCs w:val="21"/>
              </w:rPr>
            </w:pPr>
            <w:r>
              <w:rPr>
                <w:szCs w:val="21"/>
              </w:rPr>
              <w:t>100</w:t>
            </w:r>
          </w:p>
        </w:tc>
        <w:tc>
          <w:tcPr>
            <w:tcW w:w="592" w:type="pct"/>
            <w:shd w:val="clear" w:color="auto" w:fill="auto"/>
            <w:vAlign w:val="center"/>
          </w:tcPr>
          <w:p>
            <w:pPr>
              <w:widowControl/>
              <w:spacing w:line="276" w:lineRule="auto"/>
              <w:jc w:val="center"/>
              <w:rPr>
                <w:kern w:val="0"/>
                <w:szCs w:val="21"/>
              </w:rPr>
            </w:pPr>
            <w:r>
              <w:rPr>
                <w:szCs w:val="21"/>
              </w:rPr>
              <w:t>25.0%</w:t>
            </w:r>
          </w:p>
        </w:tc>
        <w:tc>
          <w:tcPr>
            <w:tcW w:w="591" w:type="pct"/>
            <w:shd w:val="clear" w:color="auto" w:fill="auto"/>
            <w:vAlign w:val="center"/>
          </w:tcPr>
          <w:p>
            <w:pPr>
              <w:widowControl/>
              <w:spacing w:line="276" w:lineRule="auto"/>
              <w:jc w:val="center"/>
              <w:rPr>
                <w:szCs w:val="21"/>
              </w:rPr>
            </w:pPr>
            <w:r>
              <w:rPr>
                <w:szCs w:val="21"/>
              </w:rPr>
              <w:t>15</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2</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kern w:val="0"/>
                <w:szCs w:val="21"/>
              </w:rPr>
            </w:pPr>
            <w:r>
              <w:rPr>
                <w:kern w:val="0"/>
                <w:szCs w:val="21"/>
              </w:rPr>
              <w:t>酒店建筑</w:t>
            </w:r>
          </w:p>
        </w:tc>
        <w:tc>
          <w:tcPr>
            <w:tcW w:w="790" w:type="pct"/>
            <w:shd w:val="clear" w:color="auto" w:fill="auto"/>
            <w:noWrap/>
            <w:vAlign w:val="center"/>
          </w:tcPr>
          <w:p>
            <w:pPr>
              <w:widowControl/>
              <w:spacing w:line="276" w:lineRule="auto"/>
              <w:jc w:val="center"/>
              <w:rPr>
                <w:kern w:val="0"/>
                <w:szCs w:val="21"/>
              </w:rPr>
            </w:pPr>
            <w:r>
              <w:rPr>
                <w:kern w:val="0"/>
                <w:szCs w:val="21"/>
              </w:rPr>
              <w:t>酒店客房</w:t>
            </w:r>
          </w:p>
          <w:p>
            <w:pPr>
              <w:widowControl/>
              <w:spacing w:line="276" w:lineRule="auto"/>
              <w:jc w:val="center"/>
              <w:rPr>
                <w:kern w:val="0"/>
                <w:szCs w:val="21"/>
              </w:rPr>
            </w:pPr>
            <w:r>
              <w:rPr>
                <w:kern w:val="0"/>
                <w:szCs w:val="21"/>
              </w:rPr>
              <w:t>（三星以下）</w:t>
            </w:r>
          </w:p>
        </w:tc>
        <w:tc>
          <w:tcPr>
            <w:tcW w:w="591" w:type="pct"/>
            <w:shd w:val="clear" w:color="auto" w:fill="auto"/>
            <w:vAlign w:val="center"/>
          </w:tcPr>
          <w:p>
            <w:pPr>
              <w:widowControl/>
              <w:spacing w:line="276" w:lineRule="auto"/>
              <w:jc w:val="center"/>
              <w:rPr>
                <w:kern w:val="0"/>
                <w:szCs w:val="21"/>
              </w:rPr>
            </w:pPr>
            <w:r>
              <w:rPr>
                <w:szCs w:val="21"/>
              </w:rPr>
              <w:t>14.29</w:t>
            </w:r>
          </w:p>
        </w:tc>
        <w:tc>
          <w:tcPr>
            <w:tcW w:w="592" w:type="pct"/>
            <w:shd w:val="clear" w:color="auto" w:fill="auto"/>
            <w:vAlign w:val="center"/>
          </w:tcPr>
          <w:p>
            <w:pPr>
              <w:widowControl/>
              <w:spacing w:line="276" w:lineRule="auto"/>
              <w:jc w:val="center"/>
              <w:rPr>
                <w:kern w:val="0"/>
                <w:szCs w:val="21"/>
              </w:rPr>
            </w:pPr>
            <w:r>
              <w:rPr>
                <w:szCs w:val="21"/>
              </w:rPr>
              <w:t>41.7%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28.8%</w:t>
            </w:r>
          </w:p>
        </w:tc>
        <w:tc>
          <w:tcPr>
            <w:tcW w:w="591" w:type="pct"/>
            <w:shd w:val="clear" w:color="auto" w:fill="auto"/>
            <w:vAlign w:val="center"/>
          </w:tcPr>
          <w:p>
            <w:pPr>
              <w:widowControl/>
              <w:spacing w:line="276" w:lineRule="auto"/>
              <w:jc w:val="center"/>
              <w:rPr>
                <w:szCs w:val="21"/>
              </w:rPr>
            </w:pPr>
            <w:r>
              <w:rPr>
                <w:szCs w:val="21"/>
              </w:rPr>
              <w:t>7</w:t>
            </w:r>
          </w:p>
        </w:tc>
        <w:tc>
          <w:tcPr>
            <w:tcW w:w="592" w:type="pct"/>
            <w:shd w:val="clear" w:color="auto" w:fill="auto"/>
            <w:vAlign w:val="center"/>
          </w:tcPr>
          <w:p>
            <w:pPr>
              <w:widowControl/>
              <w:spacing w:line="276" w:lineRule="auto"/>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酒店客房（三星）</w:t>
            </w:r>
          </w:p>
        </w:tc>
        <w:tc>
          <w:tcPr>
            <w:tcW w:w="591" w:type="pct"/>
            <w:shd w:val="clear" w:color="auto" w:fill="auto"/>
            <w:vAlign w:val="center"/>
          </w:tcPr>
          <w:p>
            <w:pPr>
              <w:widowControl/>
              <w:spacing w:line="276" w:lineRule="auto"/>
              <w:jc w:val="center"/>
              <w:rPr>
                <w:kern w:val="0"/>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41.7%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28.8%</w:t>
            </w:r>
          </w:p>
        </w:tc>
        <w:tc>
          <w:tcPr>
            <w:tcW w:w="591" w:type="pct"/>
            <w:shd w:val="clear" w:color="auto" w:fill="auto"/>
            <w:vAlign w:val="center"/>
          </w:tcPr>
          <w:p>
            <w:pPr>
              <w:widowControl/>
              <w:spacing w:line="276" w:lineRule="auto"/>
              <w:jc w:val="center"/>
              <w:rPr>
                <w:szCs w:val="21"/>
              </w:rPr>
            </w:pPr>
            <w:r>
              <w:rPr>
                <w:szCs w:val="21"/>
              </w:rPr>
              <w:t>7</w:t>
            </w:r>
          </w:p>
        </w:tc>
        <w:tc>
          <w:tcPr>
            <w:tcW w:w="592" w:type="pct"/>
            <w:shd w:val="clear" w:color="auto" w:fill="auto"/>
            <w:vAlign w:val="center"/>
          </w:tcPr>
          <w:p>
            <w:pPr>
              <w:widowControl/>
              <w:spacing w:line="276" w:lineRule="auto"/>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酒店客房（四星）</w:t>
            </w:r>
          </w:p>
        </w:tc>
        <w:tc>
          <w:tcPr>
            <w:tcW w:w="591" w:type="pct"/>
            <w:shd w:val="clear" w:color="auto" w:fill="auto"/>
            <w:vAlign w:val="center"/>
          </w:tcPr>
          <w:p>
            <w:pPr>
              <w:widowControl/>
              <w:spacing w:line="276" w:lineRule="auto"/>
              <w:jc w:val="center"/>
              <w:rPr>
                <w:kern w:val="0"/>
                <w:szCs w:val="21"/>
              </w:rPr>
            </w:pPr>
            <w:r>
              <w:rPr>
                <w:szCs w:val="21"/>
              </w:rPr>
              <w:t>25</w:t>
            </w:r>
          </w:p>
        </w:tc>
        <w:tc>
          <w:tcPr>
            <w:tcW w:w="592" w:type="pct"/>
            <w:shd w:val="clear" w:color="auto" w:fill="auto"/>
            <w:vAlign w:val="center"/>
          </w:tcPr>
          <w:p>
            <w:pPr>
              <w:widowControl/>
              <w:spacing w:line="276" w:lineRule="auto"/>
              <w:jc w:val="center"/>
              <w:rPr>
                <w:kern w:val="0"/>
                <w:szCs w:val="21"/>
              </w:rPr>
            </w:pPr>
            <w:r>
              <w:rPr>
                <w:szCs w:val="21"/>
              </w:rPr>
              <w:t>41.7%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28.8%</w:t>
            </w:r>
          </w:p>
        </w:tc>
        <w:tc>
          <w:tcPr>
            <w:tcW w:w="591" w:type="pct"/>
            <w:shd w:val="clear" w:color="auto" w:fill="auto"/>
            <w:vAlign w:val="center"/>
          </w:tcPr>
          <w:p>
            <w:pPr>
              <w:widowControl/>
              <w:spacing w:line="276" w:lineRule="auto"/>
              <w:jc w:val="center"/>
              <w:rPr>
                <w:szCs w:val="21"/>
              </w:rPr>
            </w:pPr>
            <w:r>
              <w:rPr>
                <w:szCs w:val="21"/>
              </w:rPr>
              <w:t>7</w:t>
            </w:r>
          </w:p>
        </w:tc>
        <w:tc>
          <w:tcPr>
            <w:tcW w:w="592" w:type="pct"/>
            <w:shd w:val="clear" w:color="auto" w:fill="auto"/>
            <w:vAlign w:val="center"/>
          </w:tcPr>
          <w:p>
            <w:pPr>
              <w:widowControl/>
              <w:spacing w:line="276" w:lineRule="auto"/>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酒店客房（五星）</w:t>
            </w:r>
          </w:p>
        </w:tc>
        <w:tc>
          <w:tcPr>
            <w:tcW w:w="591" w:type="pct"/>
            <w:shd w:val="clear" w:color="auto" w:fill="auto"/>
            <w:vAlign w:val="center"/>
          </w:tcPr>
          <w:p>
            <w:pPr>
              <w:widowControl/>
              <w:spacing w:line="276" w:lineRule="auto"/>
              <w:jc w:val="center"/>
              <w:rPr>
                <w:kern w:val="0"/>
                <w:szCs w:val="21"/>
              </w:rPr>
            </w:pPr>
            <w:r>
              <w:rPr>
                <w:szCs w:val="21"/>
              </w:rPr>
              <w:t>33.33</w:t>
            </w:r>
          </w:p>
        </w:tc>
        <w:tc>
          <w:tcPr>
            <w:tcW w:w="592" w:type="pct"/>
            <w:shd w:val="clear" w:color="auto" w:fill="auto"/>
            <w:vAlign w:val="center"/>
          </w:tcPr>
          <w:p>
            <w:pPr>
              <w:widowControl/>
              <w:spacing w:line="276" w:lineRule="auto"/>
              <w:jc w:val="center"/>
              <w:rPr>
                <w:kern w:val="0"/>
                <w:szCs w:val="21"/>
              </w:rPr>
            </w:pPr>
            <w:r>
              <w:rPr>
                <w:szCs w:val="21"/>
              </w:rPr>
              <w:t>41.7%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28.8%</w:t>
            </w:r>
          </w:p>
        </w:tc>
        <w:tc>
          <w:tcPr>
            <w:tcW w:w="591" w:type="pct"/>
            <w:shd w:val="clear" w:color="auto" w:fill="auto"/>
            <w:vAlign w:val="center"/>
          </w:tcPr>
          <w:p>
            <w:pPr>
              <w:widowControl/>
              <w:spacing w:line="276" w:lineRule="auto"/>
              <w:jc w:val="center"/>
              <w:rPr>
                <w:szCs w:val="21"/>
              </w:rPr>
            </w:pPr>
            <w:r>
              <w:rPr>
                <w:szCs w:val="21"/>
              </w:rPr>
              <w:t>7</w:t>
            </w:r>
          </w:p>
        </w:tc>
        <w:tc>
          <w:tcPr>
            <w:tcW w:w="592" w:type="pct"/>
            <w:shd w:val="clear" w:color="auto" w:fill="auto"/>
            <w:vAlign w:val="center"/>
          </w:tcPr>
          <w:p>
            <w:pPr>
              <w:widowControl/>
              <w:spacing w:line="276" w:lineRule="auto"/>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多功能厅</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61.8%</w:t>
            </w:r>
          </w:p>
        </w:tc>
        <w:tc>
          <w:tcPr>
            <w:tcW w:w="591" w:type="pct"/>
            <w:shd w:val="clear" w:color="auto" w:fill="auto"/>
            <w:vAlign w:val="center"/>
          </w:tcPr>
          <w:p>
            <w:pPr>
              <w:widowControl/>
              <w:spacing w:line="276" w:lineRule="auto"/>
              <w:jc w:val="center"/>
              <w:rPr>
                <w:szCs w:val="21"/>
              </w:rPr>
            </w:pPr>
            <w:r>
              <w:rPr>
                <w:szCs w:val="21"/>
              </w:rPr>
              <w:t>13.5</w:t>
            </w:r>
          </w:p>
        </w:tc>
        <w:tc>
          <w:tcPr>
            <w:tcW w:w="592" w:type="pct"/>
            <w:shd w:val="clear" w:color="auto" w:fill="auto"/>
            <w:vAlign w:val="center"/>
          </w:tcPr>
          <w:p>
            <w:pPr>
              <w:widowControl/>
              <w:spacing w:line="276" w:lineRule="auto"/>
              <w:jc w:val="center"/>
              <w:rPr>
                <w:szCs w:val="21"/>
              </w:rPr>
            </w:pPr>
            <w:r>
              <w:rPr>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一般商店、超市</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54.2%</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高档商店</w:t>
            </w:r>
          </w:p>
        </w:tc>
        <w:tc>
          <w:tcPr>
            <w:tcW w:w="591" w:type="pct"/>
            <w:shd w:val="clear" w:color="auto" w:fill="auto"/>
            <w:vAlign w:val="center"/>
          </w:tcPr>
          <w:p>
            <w:pPr>
              <w:widowControl/>
              <w:spacing w:line="276" w:lineRule="auto"/>
              <w:jc w:val="center"/>
              <w:rPr>
                <w:kern w:val="0"/>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54.2%</w:t>
            </w:r>
          </w:p>
        </w:tc>
        <w:tc>
          <w:tcPr>
            <w:tcW w:w="591" w:type="pct"/>
            <w:shd w:val="clear" w:color="auto" w:fill="auto"/>
            <w:vAlign w:val="center"/>
          </w:tcPr>
          <w:p>
            <w:pPr>
              <w:widowControl/>
              <w:spacing w:line="276" w:lineRule="auto"/>
              <w:jc w:val="center"/>
              <w:rPr>
                <w:szCs w:val="21"/>
              </w:rPr>
            </w:pPr>
            <w:r>
              <w:rPr>
                <w:szCs w:val="21"/>
              </w:rPr>
              <w:t>14.5</w:t>
            </w:r>
          </w:p>
        </w:tc>
        <w:tc>
          <w:tcPr>
            <w:tcW w:w="592" w:type="pct"/>
            <w:shd w:val="clear" w:color="auto" w:fill="auto"/>
            <w:vAlign w:val="center"/>
          </w:tcPr>
          <w:p>
            <w:pPr>
              <w:widowControl/>
              <w:spacing w:line="276" w:lineRule="auto"/>
              <w:jc w:val="center"/>
              <w:rPr>
                <w:szCs w:val="21"/>
              </w:rPr>
            </w:pPr>
            <w:r>
              <w:rPr>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中餐厅</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西餐厅</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6.5</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火锅店</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快餐店</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16.7%</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酒吧、茶座</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36.6%</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厨房</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27.9%</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6</w:t>
            </w:r>
          </w:p>
        </w:tc>
        <w:tc>
          <w:tcPr>
            <w:tcW w:w="592" w:type="pct"/>
            <w:shd w:val="clear" w:color="auto" w:fill="auto"/>
            <w:vAlign w:val="center"/>
          </w:tcPr>
          <w:p>
            <w:pPr>
              <w:widowControl/>
              <w:spacing w:line="276" w:lineRule="auto"/>
              <w:jc w:val="center"/>
              <w:rPr>
                <w:szCs w:val="21"/>
              </w:rPr>
            </w:pPr>
            <w:r>
              <w:rPr>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游泳池</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26.3%</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14.5</w:t>
            </w:r>
          </w:p>
        </w:tc>
        <w:tc>
          <w:tcPr>
            <w:tcW w:w="592" w:type="pct"/>
            <w:shd w:val="clear" w:color="auto" w:fill="auto"/>
            <w:vAlign w:val="center"/>
          </w:tcPr>
          <w:p>
            <w:pPr>
              <w:widowControl/>
              <w:spacing w:line="276" w:lineRule="auto"/>
              <w:jc w:val="center"/>
              <w:rPr>
                <w:szCs w:val="21"/>
              </w:rPr>
            </w:pPr>
            <w:r>
              <w:rPr>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车库</w:t>
            </w:r>
          </w:p>
        </w:tc>
        <w:tc>
          <w:tcPr>
            <w:tcW w:w="591" w:type="pct"/>
            <w:shd w:val="clear" w:color="auto" w:fill="auto"/>
            <w:vAlign w:val="center"/>
          </w:tcPr>
          <w:p>
            <w:pPr>
              <w:widowControl/>
              <w:spacing w:line="276" w:lineRule="auto"/>
              <w:jc w:val="center"/>
              <w:rPr>
                <w:kern w:val="0"/>
                <w:szCs w:val="21"/>
              </w:rPr>
            </w:pPr>
            <w:r>
              <w:rPr>
                <w:szCs w:val="21"/>
              </w:rPr>
              <w:t>100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15</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2</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办公室</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密集办公室</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13.5</w:t>
            </w:r>
          </w:p>
        </w:tc>
        <w:tc>
          <w:tcPr>
            <w:tcW w:w="592" w:type="pct"/>
            <w:shd w:val="clear" w:color="auto" w:fill="auto"/>
            <w:vAlign w:val="center"/>
          </w:tcPr>
          <w:p>
            <w:pPr>
              <w:widowControl/>
              <w:spacing w:line="276" w:lineRule="auto"/>
              <w:jc w:val="center"/>
              <w:rPr>
                <w:szCs w:val="21"/>
              </w:rPr>
            </w:pPr>
            <w:r>
              <w:rPr>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会议室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36.5%</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61.8%</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大堂门厅</w:t>
            </w:r>
          </w:p>
        </w:tc>
        <w:tc>
          <w:tcPr>
            <w:tcW w:w="591" w:type="pct"/>
            <w:shd w:val="clear" w:color="auto" w:fill="auto"/>
            <w:vAlign w:val="center"/>
          </w:tcPr>
          <w:p>
            <w:pPr>
              <w:widowControl/>
              <w:spacing w:line="276" w:lineRule="auto"/>
              <w:jc w:val="center"/>
              <w:rPr>
                <w:kern w:val="0"/>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54.6%</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休息室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36.5%</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设备用房</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库房、管道井</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健身房</w:t>
            </w:r>
          </w:p>
        </w:tc>
        <w:tc>
          <w:tcPr>
            <w:tcW w:w="591" w:type="pct"/>
            <w:shd w:val="clear" w:color="auto" w:fill="auto"/>
            <w:vAlign w:val="center"/>
          </w:tcPr>
          <w:p>
            <w:pPr>
              <w:widowControl/>
              <w:spacing w:line="276" w:lineRule="auto"/>
              <w:jc w:val="center"/>
              <w:rPr>
                <w:kern w:val="0"/>
                <w:szCs w:val="21"/>
              </w:rPr>
            </w:pPr>
            <w:r>
              <w:rPr>
                <w:szCs w:val="21"/>
              </w:rPr>
              <w:t>8</w:t>
            </w:r>
          </w:p>
        </w:tc>
        <w:tc>
          <w:tcPr>
            <w:tcW w:w="592" w:type="pct"/>
            <w:shd w:val="clear" w:color="auto" w:fill="auto"/>
            <w:vAlign w:val="center"/>
          </w:tcPr>
          <w:p>
            <w:pPr>
              <w:widowControl/>
              <w:spacing w:line="276" w:lineRule="auto"/>
              <w:jc w:val="center"/>
              <w:rPr>
                <w:kern w:val="0"/>
                <w:szCs w:val="21"/>
              </w:rPr>
            </w:pPr>
            <w:r>
              <w:rPr>
                <w:szCs w:val="21"/>
              </w:rPr>
              <w:t>26.3%</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11</w:t>
            </w:r>
          </w:p>
        </w:tc>
        <w:tc>
          <w:tcPr>
            <w:tcW w:w="592" w:type="pct"/>
            <w:shd w:val="clear" w:color="auto" w:fill="auto"/>
            <w:vAlign w:val="center"/>
          </w:tcPr>
          <w:p>
            <w:pPr>
              <w:widowControl/>
              <w:spacing w:line="276" w:lineRule="auto"/>
              <w:jc w:val="center"/>
              <w:rPr>
                <w:szCs w:val="21"/>
              </w:rPr>
            </w:pPr>
            <w:r>
              <w:rPr>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保龄球房</w:t>
            </w:r>
          </w:p>
        </w:tc>
        <w:tc>
          <w:tcPr>
            <w:tcW w:w="591" w:type="pct"/>
            <w:shd w:val="clear" w:color="auto" w:fill="auto"/>
            <w:vAlign w:val="center"/>
          </w:tcPr>
          <w:p>
            <w:pPr>
              <w:widowControl/>
              <w:spacing w:line="276" w:lineRule="auto"/>
              <w:jc w:val="center"/>
              <w:rPr>
                <w:kern w:val="0"/>
                <w:szCs w:val="21"/>
              </w:rPr>
            </w:pPr>
            <w:r>
              <w:rPr>
                <w:szCs w:val="21"/>
              </w:rPr>
              <w:t>8</w:t>
            </w:r>
          </w:p>
        </w:tc>
        <w:tc>
          <w:tcPr>
            <w:tcW w:w="592" w:type="pct"/>
            <w:shd w:val="clear" w:color="auto" w:fill="auto"/>
            <w:vAlign w:val="center"/>
          </w:tcPr>
          <w:p>
            <w:pPr>
              <w:widowControl/>
              <w:spacing w:line="276" w:lineRule="auto"/>
              <w:jc w:val="center"/>
              <w:rPr>
                <w:kern w:val="0"/>
                <w:szCs w:val="21"/>
              </w:rPr>
            </w:pPr>
            <w:r>
              <w:rPr>
                <w:szCs w:val="21"/>
              </w:rPr>
              <w:t>40.4%</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14.5</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台球房</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40.4%</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14.5</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kern w:val="0"/>
                <w:szCs w:val="21"/>
              </w:rPr>
            </w:pPr>
            <w:r>
              <w:rPr>
                <w:kern w:val="0"/>
                <w:szCs w:val="21"/>
              </w:rPr>
              <w:t>学校建筑</w:t>
            </w:r>
          </w:p>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教室</w:t>
            </w:r>
          </w:p>
        </w:tc>
        <w:tc>
          <w:tcPr>
            <w:tcW w:w="591" w:type="pct"/>
            <w:shd w:val="clear" w:color="auto" w:fill="auto"/>
            <w:vAlign w:val="center"/>
          </w:tcPr>
          <w:p>
            <w:pPr>
              <w:widowControl/>
              <w:spacing w:line="276" w:lineRule="auto"/>
              <w:jc w:val="center"/>
              <w:rPr>
                <w:kern w:val="0"/>
                <w:szCs w:val="21"/>
              </w:rPr>
            </w:pPr>
            <w:r>
              <w:rPr>
                <w:szCs w:val="21"/>
              </w:rPr>
              <w:t>1.12</w:t>
            </w:r>
          </w:p>
        </w:tc>
        <w:tc>
          <w:tcPr>
            <w:tcW w:w="592" w:type="pct"/>
            <w:shd w:val="clear" w:color="auto" w:fill="auto"/>
            <w:vAlign w:val="center"/>
          </w:tcPr>
          <w:p>
            <w:pPr>
              <w:widowControl/>
              <w:spacing w:line="276" w:lineRule="auto"/>
              <w:jc w:val="center"/>
              <w:rPr>
                <w:kern w:val="0"/>
                <w:szCs w:val="21"/>
              </w:rPr>
            </w:pPr>
            <w:r>
              <w:rPr>
                <w:szCs w:val="21"/>
              </w:rPr>
              <w:t>26.8%</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14.9%</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阅览室</w:t>
            </w:r>
          </w:p>
        </w:tc>
        <w:tc>
          <w:tcPr>
            <w:tcW w:w="591" w:type="pct"/>
            <w:shd w:val="clear" w:color="auto" w:fill="auto"/>
            <w:vAlign w:val="center"/>
          </w:tcPr>
          <w:p>
            <w:pPr>
              <w:widowControl/>
              <w:spacing w:line="276" w:lineRule="auto"/>
              <w:jc w:val="center"/>
              <w:rPr>
                <w:kern w:val="0"/>
                <w:szCs w:val="21"/>
              </w:rPr>
            </w:pPr>
            <w:r>
              <w:rPr>
                <w:szCs w:val="21"/>
              </w:rPr>
              <w:t>2.5</w:t>
            </w:r>
          </w:p>
        </w:tc>
        <w:tc>
          <w:tcPr>
            <w:tcW w:w="592" w:type="pct"/>
            <w:shd w:val="clear" w:color="auto" w:fill="auto"/>
            <w:vAlign w:val="center"/>
          </w:tcPr>
          <w:p>
            <w:pPr>
              <w:widowControl/>
              <w:spacing w:line="276" w:lineRule="auto"/>
              <w:jc w:val="center"/>
              <w:rPr>
                <w:kern w:val="0"/>
                <w:szCs w:val="21"/>
              </w:rPr>
            </w:pPr>
            <w:r>
              <w:rPr>
                <w:szCs w:val="21"/>
              </w:rPr>
              <w:t>26.8%</w:t>
            </w:r>
          </w:p>
        </w:tc>
        <w:tc>
          <w:tcPr>
            <w:tcW w:w="591" w:type="pct"/>
            <w:shd w:val="clear" w:color="auto" w:fill="auto"/>
            <w:vAlign w:val="center"/>
          </w:tcPr>
          <w:p>
            <w:pPr>
              <w:widowControl/>
              <w:spacing w:line="276" w:lineRule="auto"/>
              <w:jc w:val="center"/>
              <w:rPr>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14.9%</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电脑机房</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50.4%</w:t>
            </w:r>
          </w:p>
        </w:tc>
        <w:tc>
          <w:tcPr>
            <w:tcW w:w="591" w:type="pct"/>
            <w:shd w:val="clear" w:color="auto" w:fill="auto"/>
            <w:vAlign w:val="center"/>
          </w:tcPr>
          <w:p>
            <w:pPr>
              <w:widowControl/>
              <w:spacing w:line="276" w:lineRule="auto"/>
              <w:jc w:val="center"/>
              <w:rPr>
                <w:szCs w:val="21"/>
              </w:rPr>
            </w:pPr>
            <w:r>
              <w:rPr>
                <w:szCs w:val="21"/>
              </w:rPr>
              <w:t>40</w:t>
            </w:r>
          </w:p>
        </w:tc>
        <w:tc>
          <w:tcPr>
            <w:tcW w:w="592" w:type="pct"/>
            <w:shd w:val="clear" w:color="auto" w:fill="auto"/>
            <w:vAlign w:val="center"/>
          </w:tcPr>
          <w:p>
            <w:pPr>
              <w:widowControl/>
              <w:spacing w:line="276" w:lineRule="auto"/>
              <w:jc w:val="center"/>
              <w:rPr>
                <w:kern w:val="0"/>
                <w:szCs w:val="21"/>
              </w:rPr>
            </w:pPr>
            <w:r>
              <w:rPr>
                <w:szCs w:val="21"/>
              </w:rPr>
              <w:t>100.0%</w:t>
            </w:r>
          </w:p>
        </w:tc>
        <w:tc>
          <w:tcPr>
            <w:tcW w:w="591" w:type="pct"/>
            <w:shd w:val="clear" w:color="auto" w:fill="auto"/>
            <w:vAlign w:val="center"/>
          </w:tcPr>
          <w:p>
            <w:pPr>
              <w:widowControl/>
              <w:spacing w:line="276" w:lineRule="auto"/>
              <w:jc w:val="center"/>
              <w:rPr>
                <w:szCs w:val="21"/>
              </w:rPr>
            </w:pPr>
            <w:r>
              <w:rPr>
                <w:szCs w:val="21"/>
              </w:rPr>
              <w:t>15</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办公室</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密集办公室</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13.5</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会议室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36.5%</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61.8%</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大堂门厅</w:t>
            </w:r>
          </w:p>
        </w:tc>
        <w:tc>
          <w:tcPr>
            <w:tcW w:w="591" w:type="pct"/>
            <w:shd w:val="clear" w:color="auto" w:fill="auto"/>
            <w:vAlign w:val="center"/>
          </w:tcPr>
          <w:p>
            <w:pPr>
              <w:widowControl/>
              <w:spacing w:line="276" w:lineRule="auto"/>
              <w:jc w:val="center"/>
              <w:rPr>
                <w:kern w:val="0"/>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54.6%</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10</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休息室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36.5%</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设备用房</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库房、管道井</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车库</w:t>
            </w:r>
          </w:p>
        </w:tc>
        <w:tc>
          <w:tcPr>
            <w:tcW w:w="591" w:type="pct"/>
            <w:shd w:val="clear" w:color="auto" w:fill="auto"/>
            <w:vAlign w:val="center"/>
          </w:tcPr>
          <w:p>
            <w:pPr>
              <w:widowControl/>
              <w:spacing w:line="276" w:lineRule="auto"/>
              <w:jc w:val="center"/>
              <w:rPr>
                <w:kern w:val="0"/>
                <w:szCs w:val="21"/>
              </w:rPr>
            </w:pPr>
            <w:r>
              <w:rPr>
                <w:szCs w:val="21"/>
              </w:rPr>
              <w:t>100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15</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2</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kern w:val="0"/>
                <w:szCs w:val="21"/>
              </w:rPr>
            </w:pPr>
            <w:r>
              <w:rPr>
                <w:kern w:val="0"/>
                <w:szCs w:val="21"/>
              </w:rPr>
              <w:t>商场建筑</w:t>
            </w:r>
          </w:p>
        </w:tc>
        <w:tc>
          <w:tcPr>
            <w:tcW w:w="790" w:type="pct"/>
            <w:shd w:val="clear" w:color="auto" w:fill="auto"/>
            <w:noWrap/>
            <w:vAlign w:val="center"/>
          </w:tcPr>
          <w:p>
            <w:pPr>
              <w:widowControl/>
              <w:spacing w:line="276" w:lineRule="auto"/>
              <w:jc w:val="center"/>
              <w:rPr>
                <w:kern w:val="0"/>
                <w:szCs w:val="21"/>
              </w:rPr>
            </w:pPr>
            <w:r>
              <w:rPr>
                <w:kern w:val="0"/>
                <w:szCs w:val="21"/>
              </w:rPr>
              <w:t>一般商店、超市</w:t>
            </w:r>
          </w:p>
        </w:tc>
        <w:tc>
          <w:tcPr>
            <w:tcW w:w="591" w:type="pct"/>
            <w:shd w:val="clear" w:color="auto" w:fill="auto"/>
            <w:vAlign w:val="center"/>
          </w:tcPr>
          <w:p>
            <w:pPr>
              <w:widowControl/>
              <w:spacing w:line="276" w:lineRule="auto"/>
              <w:jc w:val="center"/>
              <w:rPr>
                <w:kern w:val="0"/>
                <w:szCs w:val="21"/>
              </w:rPr>
            </w:pPr>
            <w:r>
              <w:rPr>
                <w:szCs w:val="21"/>
              </w:rPr>
              <w:t>2.5</w:t>
            </w:r>
          </w:p>
        </w:tc>
        <w:tc>
          <w:tcPr>
            <w:tcW w:w="592" w:type="pct"/>
            <w:shd w:val="clear" w:color="auto" w:fill="auto"/>
            <w:vAlign w:val="center"/>
          </w:tcPr>
          <w:p>
            <w:pPr>
              <w:widowControl/>
              <w:spacing w:line="276" w:lineRule="auto"/>
              <w:jc w:val="center"/>
              <w:rPr>
                <w:kern w:val="0"/>
                <w:szCs w:val="21"/>
              </w:rPr>
            </w:pPr>
            <w:r>
              <w:rPr>
                <w:szCs w:val="21"/>
              </w:rPr>
              <w:t>32.6%</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54.2%</w:t>
            </w:r>
          </w:p>
        </w:tc>
        <w:tc>
          <w:tcPr>
            <w:tcW w:w="591" w:type="pct"/>
            <w:shd w:val="clear" w:color="auto" w:fill="auto"/>
            <w:vAlign w:val="center"/>
          </w:tcPr>
          <w:p>
            <w:pPr>
              <w:widowControl/>
              <w:spacing w:line="276" w:lineRule="auto"/>
              <w:jc w:val="center"/>
              <w:rPr>
                <w:szCs w:val="21"/>
              </w:rPr>
            </w:pPr>
            <w:r>
              <w:rPr>
                <w:szCs w:val="21"/>
              </w:rPr>
              <w:t>10</w:t>
            </w:r>
          </w:p>
        </w:tc>
        <w:tc>
          <w:tcPr>
            <w:tcW w:w="592" w:type="pct"/>
            <w:shd w:val="clear" w:color="auto" w:fill="auto"/>
            <w:vAlign w:val="center"/>
          </w:tcPr>
          <w:p>
            <w:pPr>
              <w:widowControl/>
              <w:spacing w:line="276" w:lineRule="auto"/>
              <w:jc w:val="center"/>
              <w:rPr>
                <w:szCs w:val="21"/>
              </w:rPr>
            </w:pPr>
            <w:r>
              <w:rPr>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高档商店</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32.6%</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54.2%</w:t>
            </w:r>
          </w:p>
        </w:tc>
        <w:tc>
          <w:tcPr>
            <w:tcW w:w="591" w:type="pct"/>
            <w:shd w:val="clear" w:color="auto" w:fill="auto"/>
            <w:vAlign w:val="center"/>
          </w:tcPr>
          <w:p>
            <w:pPr>
              <w:widowControl/>
              <w:spacing w:line="276" w:lineRule="auto"/>
              <w:jc w:val="center"/>
              <w:rPr>
                <w:szCs w:val="21"/>
              </w:rPr>
            </w:pPr>
            <w:r>
              <w:rPr>
                <w:szCs w:val="21"/>
              </w:rPr>
              <w:t>16</w:t>
            </w:r>
          </w:p>
        </w:tc>
        <w:tc>
          <w:tcPr>
            <w:tcW w:w="592" w:type="pct"/>
            <w:shd w:val="clear" w:color="auto" w:fill="auto"/>
            <w:vAlign w:val="center"/>
          </w:tcPr>
          <w:p>
            <w:pPr>
              <w:widowControl/>
              <w:spacing w:line="276" w:lineRule="auto"/>
              <w:jc w:val="center"/>
              <w:rPr>
                <w:szCs w:val="21"/>
              </w:rPr>
            </w:pPr>
            <w:r>
              <w:rPr>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中餐厅</w:t>
            </w:r>
          </w:p>
        </w:tc>
        <w:tc>
          <w:tcPr>
            <w:tcW w:w="591" w:type="pct"/>
            <w:shd w:val="clear" w:color="auto" w:fill="auto"/>
            <w:vAlign w:val="center"/>
          </w:tcPr>
          <w:p>
            <w:pPr>
              <w:widowControl/>
              <w:spacing w:line="276" w:lineRule="auto"/>
              <w:jc w:val="center"/>
              <w:rPr>
                <w:kern w:val="0"/>
                <w:szCs w:val="21"/>
              </w:rPr>
            </w:pPr>
            <w:r>
              <w:rPr>
                <w:szCs w:val="21"/>
              </w:rPr>
              <w:t>2</w:t>
            </w:r>
          </w:p>
        </w:tc>
        <w:tc>
          <w:tcPr>
            <w:tcW w:w="592" w:type="pct"/>
            <w:shd w:val="clear" w:color="auto" w:fill="auto"/>
            <w:vAlign w:val="center"/>
          </w:tcPr>
          <w:p>
            <w:pPr>
              <w:widowControl/>
              <w:spacing w:line="276" w:lineRule="auto"/>
              <w:jc w:val="center"/>
              <w:rPr>
                <w:kern w:val="0"/>
                <w:szCs w:val="21"/>
              </w:rPr>
            </w:pPr>
            <w:r>
              <w:rPr>
                <w:szCs w:val="21"/>
              </w:rPr>
              <w:t>27.9%</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西餐厅</w:t>
            </w:r>
          </w:p>
        </w:tc>
        <w:tc>
          <w:tcPr>
            <w:tcW w:w="591" w:type="pct"/>
            <w:shd w:val="clear" w:color="auto" w:fill="auto"/>
            <w:vAlign w:val="center"/>
          </w:tcPr>
          <w:p>
            <w:pPr>
              <w:widowControl/>
              <w:spacing w:line="276" w:lineRule="auto"/>
              <w:jc w:val="center"/>
              <w:rPr>
                <w:kern w:val="0"/>
                <w:szCs w:val="21"/>
              </w:rPr>
            </w:pPr>
            <w:r>
              <w:rPr>
                <w:szCs w:val="21"/>
              </w:rPr>
              <w:t>2</w:t>
            </w:r>
          </w:p>
        </w:tc>
        <w:tc>
          <w:tcPr>
            <w:tcW w:w="592" w:type="pct"/>
            <w:shd w:val="clear" w:color="auto" w:fill="auto"/>
            <w:vAlign w:val="center"/>
          </w:tcPr>
          <w:p>
            <w:pPr>
              <w:widowControl/>
              <w:spacing w:line="276" w:lineRule="auto"/>
              <w:jc w:val="center"/>
              <w:rPr>
                <w:kern w:val="0"/>
                <w:szCs w:val="21"/>
              </w:rPr>
            </w:pPr>
            <w:r>
              <w:rPr>
                <w:szCs w:val="21"/>
              </w:rPr>
              <w:t>36.6%</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6.5</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火锅店</w:t>
            </w:r>
          </w:p>
        </w:tc>
        <w:tc>
          <w:tcPr>
            <w:tcW w:w="591" w:type="pct"/>
            <w:shd w:val="clear" w:color="auto" w:fill="auto"/>
            <w:vAlign w:val="center"/>
          </w:tcPr>
          <w:p>
            <w:pPr>
              <w:widowControl/>
              <w:spacing w:line="276" w:lineRule="auto"/>
              <w:jc w:val="center"/>
              <w:rPr>
                <w:kern w:val="0"/>
                <w:szCs w:val="21"/>
              </w:rPr>
            </w:pPr>
            <w:r>
              <w:rPr>
                <w:szCs w:val="21"/>
              </w:rPr>
              <w:t>2</w:t>
            </w:r>
          </w:p>
        </w:tc>
        <w:tc>
          <w:tcPr>
            <w:tcW w:w="592" w:type="pct"/>
            <w:shd w:val="clear" w:color="auto" w:fill="auto"/>
            <w:vAlign w:val="center"/>
          </w:tcPr>
          <w:p>
            <w:pPr>
              <w:widowControl/>
              <w:spacing w:line="276" w:lineRule="auto"/>
              <w:jc w:val="center"/>
              <w:rPr>
                <w:kern w:val="0"/>
                <w:szCs w:val="21"/>
              </w:rPr>
            </w:pPr>
            <w:r>
              <w:rPr>
                <w:szCs w:val="21"/>
              </w:rPr>
              <w:t>17.7%</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快餐店</w:t>
            </w:r>
          </w:p>
        </w:tc>
        <w:tc>
          <w:tcPr>
            <w:tcW w:w="591" w:type="pct"/>
            <w:shd w:val="clear" w:color="auto" w:fill="auto"/>
            <w:vAlign w:val="center"/>
          </w:tcPr>
          <w:p>
            <w:pPr>
              <w:widowControl/>
              <w:spacing w:line="276" w:lineRule="auto"/>
              <w:jc w:val="center"/>
              <w:rPr>
                <w:kern w:val="0"/>
                <w:szCs w:val="21"/>
              </w:rPr>
            </w:pPr>
            <w:r>
              <w:rPr>
                <w:szCs w:val="21"/>
              </w:rPr>
              <w:t>2</w:t>
            </w:r>
          </w:p>
        </w:tc>
        <w:tc>
          <w:tcPr>
            <w:tcW w:w="592" w:type="pct"/>
            <w:shd w:val="clear" w:color="auto" w:fill="auto"/>
            <w:vAlign w:val="center"/>
          </w:tcPr>
          <w:p>
            <w:pPr>
              <w:widowControl/>
              <w:spacing w:line="276" w:lineRule="auto"/>
              <w:jc w:val="center"/>
              <w:rPr>
                <w:kern w:val="0"/>
                <w:szCs w:val="21"/>
              </w:rPr>
            </w:pPr>
            <w:r>
              <w:rPr>
                <w:szCs w:val="21"/>
              </w:rPr>
              <w:t>27.9%</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酒吧、茶座</w:t>
            </w:r>
          </w:p>
        </w:tc>
        <w:tc>
          <w:tcPr>
            <w:tcW w:w="591" w:type="pct"/>
            <w:shd w:val="clear" w:color="auto" w:fill="auto"/>
            <w:vAlign w:val="center"/>
          </w:tcPr>
          <w:p>
            <w:pPr>
              <w:widowControl/>
              <w:spacing w:line="276" w:lineRule="auto"/>
              <w:jc w:val="center"/>
              <w:rPr>
                <w:kern w:val="0"/>
                <w:szCs w:val="21"/>
              </w:rPr>
            </w:pPr>
            <w:r>
              <w:rPr>
                <w:szCs w:val="21"/>
              </w:rPr>
              <w:t>2</w:t>
            </w:r>
          </w:p>
        </w:tc>
        <w:tc>
          <w:tcPr>
            <w:tcW w:w="592" w:type="pct"/>
            <w:shd w:val="clear" w:color="auto" w:fill="auto"/>
            <w:vAlign w:val="center"/>
          </w:tcPr>
          <w:p>
            <w:pPr>
              <w:widowControl/>
              <w:spacing w:line="276" w:lineRule="auto"/>
              <w:jc w:val="center"/>
              <w:rPr>
                <w:kern w:val="0"/>
                <w:szCs w:val="21"/>
              </w:rPr>
            </w:pPr>
            <w:r>
              <w:rPr>
                <w:szCs w:val="21"/>
              </w:rPr>
              <w:t>36.6%</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厨房</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27.9%</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6</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办公室</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密集办公室</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13.5</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会议室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36.5%</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61.8%</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大堂门厅</w:t>
            </w:r>
          </w:p>
        </w:tc>
        <w:tc>
          <w:tcPr>
            <w:tcW w:w="591" w:type="pct"/>
            <w:shd w:val="clear" w:color="auto" w:fill="auto"/>
            <w:vAlign w:val="center"/>
          </w:tcPr>
          <w:p>
            <w:pPr>
              <w:widowControl/>
              <w:spacing w:line="276" w:lineRule="auto"/>
              <w:jc w:val="center"/>
              <w:rPr>
                <w:kern w:val="0"/>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54.6%</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10</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休息室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36.5%</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设备用房</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库房、管道井</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kern w:val="0"/>
                <w:szCs w:val="21"/>
              </w:rPr>
            </w:pPr>
            <w:r>
              <w:rPr>
                <w:kern w:val="0"/>
                <w:szCs w:val="21"/>
              </w:rPr>
              <w:t>影剧院</w:t>
            </w:r>
          </w:p>
        </w:tc>
        <w:tc>
          <w:tcPr>
            <w:tcW w:w="790" w:type="pct"/>
            <w:shd w:val="clear" w:color="auto" w:fill="auto"/>
            <w:noWrap/>
            <w:vAlign w:val="center"/>
          </w:tcPr>
          <w:p>
            <w:pPr>
              <w:widowControl/>
              <w:spacing w:line="276" w:lineRule="auto"/>
              <w:jc w:val="center"/>
              <w:rPr>
                <w:kern w:val="0"/>
                <w:szCs w:val="21"/>
              </w:rPr>
            </w:pPr>
            <w:r>
              <w:rPr>
                <w:kern w:val="0"/>
                <w:szCs w:val="21"/>
              </w:rPr>
              <w:t>影剧院</w:t>
            </w:r>
          </w:p>
        </w:tc>
        <w:tc>
          <w:tcPr>
            <w:tcW w:w="591" w:type="pct"/>
            <w:shd w:val="clear" w:color="auto" w:fill="auto"/>
            <w:vAlign w:val="center"/>
          </w:tcPr>
          <w:p>
            <w:pPr>
              <w:widowControl/>
              <w:spacing w:line="276" w:lineRule="auto"/>
              <w:jc w:val="center"/>
              <w:rPr>
                <w:kern w:val="0"/>
                <w:szCs w:val="21"/>
              </w:rPr>
            </w:pPr>
            <w:r>
              <w:rPr>
                <w:szCs w:val="21"/>
              </w:rPr>
              <w:t>1</w:t>
            </w:r>
          </w:p>
        </w:tc>
        <w:tc>
          <w:tcPr>
            <w:tcW w:w="592" w:type="pct"/>
            <w:shd w:val="clear" w:color="auto" w:fill="auto"/>
            <w:vAlign w:val="center"/>
          </w:tcPr>
          <w:p>
            <w:pPr>
              <w:widowControl/>
              <w:spacing w:line="276" w:lineRule="auto"/>
              <w:jc w:val="center"/>
              <w:rPr>
                <w:kern w:val="0"/>
                <w:szCs w:val="21"/>
              </w:rPr>
            </w:pPr>
            <w:r>
              <w:rPr>
                <w:szCs w:val="21"/>
              </w:rPr>
              <w:t>34.6%</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11</w:t>
            </w:r>
          </w:p>
        </w:tc>
        <w:tc>
          <w:tcPr>
            <w:tcW w:w="592" w:type="pct"/>
            <w:shd w:val="clear" w:color="auto" w:fill="auto"/>
            <w:vAlign w:val="center"/>
          </w:tcPr>
          <w:p>
            <w:pPr>
              <w:widowControl/>
              <w:spacing w:line="276" w:lineRule="auto"/>
              <w:jc w:val="center"/>
              <w:rPr>
                <w:szCs w:val="21"/>
              </w:rPr>
            </w:pPr>
            <w:r>
              <w:rPr>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舞台</w:t>
            </w:r>
          </w:p>
        </w:tc>
        <w:tc>
          <w:tcPr>
            <w:tcW w:w="591" w:type="pct"/>
            <w:shd w:val="clear" w:color="auto" w:fill="auto"/>
            <w:vAlign w:val="center"/>
          </w:tcPr>
          <w:p>
            <w:pPr>
              <w:widowControl/>
              <w:spacing w:line="276" w:lineRule="auto"/>
              <w:jc w:val="center"/>
              <w:rPr>
                <w:kern w:val="0"/>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34.6%</w:t>
            </w:r>
          </w:p>
        </w:tc>
        <w:tc>
          <w:tcPr>
            <w:tcW w:w="591" w:type="pct"/>
            <w:shd w:val="clear" w:color="auto" w:fill="auto"/>
            <w:vAlign w:val="center"/>
          </w:tcPr>
          <w:p>
            <w:pPr>
              <w:widowControl/>
              <w:spacing w:line="276" w:lineRule="auto"/>
              <w:jc w:val="center"/>
              <w:rPr>
                <w:szCs w:val="21"/>
              </w:rPr>
            </w:pPr>
            <w:r>
              <w:rPr>
                <w:szCs w:val="21"/>
              </w:rPr>
              <w:t>40</w:t>
            </w:r>
          </w:p>
        </w:tc>
        <w:tc>
          <w:tcPr>
            <w:tcW w:w="592" w:type="pct"/>
            <w:shd w:val="clear" w:color="auto" w:fill="auto"/>
            <w:vAlign w:val="center"/>
          </w:tcPr>
          <w:p>
            <w:pPr>
              <w:widowControl/>
              <w:spacing w:line="276" w:lineRule="auto"/>
              <w:jc w:val="center"/>
              <w:rPr>
                <w:kern w:val="0"/>
                <w:szCs w:val="21"/>
              </w:rPr>
            </w:pPr>
            <w:r>
              <w:rPr>
                <w:szCs w:val="21"/>
              </w:rPr>
              <w:t>66.7%</w:t>
            </w:r>
          </w:p>
        </w:tc>
        <w:tc>
          <w:tcPr>
            <w:tcW w:w="591" w:type="pct"/>
            <w:shd w:val="clear" w:color="auto" w:fill="auto"/>
            <w:vAlign w:val="center"/>
          </w:tcPr>
          <w:p>
            <w:pPr>
              <w:widowControl/>
              <w:spacing w:line="276" w:lineRule="auto"/>
              <w:jc w:val="center"/>
              <w:rPr>
                <w:szCs w:val="21"/>
              </w:rPr>
            </w:pPr>
            <w:r>
              <w:rPr>
                <w:szCs w:val="21"/>
              </w:rPr>
              <w:t>11</w:t>
            </w:r>
          </w:p>
        </w:tc>
        <w:tc>
          <w:tcPr>
            <w:tcW w:w="592" w:type="pct"/>
            <w:shd w:val="clear" w:color="auto" w:fill="auto"/>
            <w:vAlign w:val="center"/>
          </w:tcPr>
          <w:p>
            <w:pPr>
              <w:widowControl/>
              <w:spacing w:line="276" w:lineRule="auto"/>
              <w:jc w:val="center"/>
              <w:rPr>
                <w:szCs w:val="21"/>
              </w:rPr>
            </w:pPr>
            <w:r>
              <w:rPr>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舞厅</w:t>
            </w:r>
          </w:p>
        </w:tc>
        <w:tc>
          <w:tcPr>
            <w:tcW w:w="591" w:type="pct"/>
            <w:shd w:val="clear" w:color="auto" w:fill="auto"/>
            <w:vAlign w:val="center"/>
          </w:tcPr>
          <w:p>
            <w:pPr>
              <w:widowControl/>
              <w:spacing w:line="276" w:lineRule="auto"/>
              <w:jc w:val="center"/>
              <w:rPr>
                <w:kern w:val="0"/>
                <w:szCs w:val="21"/>
              </w:rPr>
            </w:pPr>
            <w:r>
              <w:rPr>
                <w:szCs w:val="21"/>
              </w:rPr>
              <w:t>2.5</w:t>
            </w:r>
          </w:p>
        </w:tc>
        <w:tc>
          <w:tcPr>
            <w:tcW w:w="592" w:type="pct"/>
            <w:shd w:val="clear" w:color="auto" w:fill="auto"/>
            <w:vAlign w:val="center"/>
          </w:tcPr>
          <w:p>
            <w:pPr>
              <w:widowControl/>
              <w:spacing w:line="276" w:lineRule="auto"/>
              <w:jc w:val="center"/>
              <w:rPr>
                <w:kern w:val="0"/>
                <w:szCs w:val="21"/>
              </w:rPr>
            </w:pPr>
            <w:r>
              <w:rPr>
                <w:szCs w:val="21"/>
              </w:rPr>
              <w:t>35.8%</w:t>
            </w:r>
          </w:p>
        </w:tc>
        <w:tc>
          <w:tcPr>
            <w:tcW w:w="591" w:type="pct"/>
            <w:shd w:val="clear" w:color="auto" w:fill="auto"/>
            <w:vAlign w:val="center"/>
          </w:tcPr>
          <w:p>
            <w:pPr>
              <w:widowControl/>
              <w:spacing w:line="276" w:lineRule="auto"/>
              <w:jc w:val="center"/>
              <w:rPr>
                <w:szCs w:val="21"/>
              </w:rPr>
            </w:pPr>
            <w:r>
              <w:rPr>
                <w:szCs w:val="21"/>
              </w:rPr>
              <w:t>30</w:t>
            </w:r>
          </w:p>
        </w:tc>
        <w:tc>
          <w:tcPr>
            <w:tcW w:w="592" w:type="pct"/>
            <w:shd w:val="clear" w:color="auto" w:fill="auto"/>
            <w:vAlign w:val="center"/>
          </w:tcPr>
          <w:p>
            <w:pPr>
              <w:widowControl/>
              <w:spacing w:line="276" w:lineRule="auto"/>
              <w:jc w:val="center"/>
              <w:rPr>
                <w:kern w:val="0"/>
                <w:szCs w:val="21"/>
              </w:rPr>
            </w:pPr>
            <w:r>
              <w:rPr>
                <w:szCs w:val="21"/>
              </w:rPr>
              <w:t>35.8%</w:t>
            </w:r>
          </w:p>
        </w:tc>
        <w:tc>
          <w:tcPr>
            <w:tcW w:w="591" w:type="pct"/>
            <w:shd w:val="clear" w:color="auto" w:fill="auto"/>
            <w:vAlign w:val="center"/>
          </w:tcPr>
          <w:p>
            <w:pPr>
              <w:widowControl/>
              <w:spacing w:line="276" w:lineRule="auto"/>
              <w:jc w:val="center"/>
              <w:rPr>
                <w:szCs w:val="21"/>
              </w:rPr>
            </w:pPr>
            <w:r>
              <w:rPr>
                <w:szCs w:val="21"/>
              </w:rPr>
              <w:t>11</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棋牌室</w:t>
            </w:r>
          </w:p>
        </w:tc>
        <w:tc>
          <w:tcPr>
            <w:tcW w:w="591" w:type="pct"/>
            <w:shd w:val="clear" w:color="auto" w:fill="auto"/>
            <w:vAlign w:val="center"/>
          </w:tcPr>
          <w:p>
            <w:pPr>
              <w:widowControl/>
              <w:spacing w:line="276" w:lineRule="auto"/>
              <w:jc w:val="center"/>
              <w:rPr>
                <w:kern w:val="0"/>
                <w:szCs w:val="21"/>
              </w:rPr>
            </w:pPr>
            <w:r>
              <w:rPr>
                <w:szCs w:val="21"/>
              </w:rPr>
              <w:t>2.5</w:t>
            </w:r>
          </w:p>
        </w:tc>
        <w:tc>
          <w:tcPr>
            <w:tcW w:w="592" w:type="pct"/>
            <w:shd w:val="clear" w:color="auto" w:fill="auto"/>
            <w:vAlign w:val="center"/>
          </w:tcPr>
          <w:p>
            <w:pPr>
              <w:widowControl/>
              <w:spacing w:line="276" w:lineRule="auto"/>
              <w:jc w:val="center"/>
              <w:rPr>
                <w:kern w:val="0"/>
                <w:szCs w:val="21"/>
              </w:rPr>
            </w:pPr>
            <w:r>
              <w:rPr>
                <w:szCs w:val="21"/>
              </w:rPr>
              <w:t>20.8%</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11</w:t>
            </w:r>
          </w:p>
        </w:tc>
        <w:tc>
          <w:tcPr>
            <w:tcW w:w="592" w:type="pct"/>
            <w:shd w:val="clear" w:color="auto" w:fill="auto"/>
            <w:vAlign w:val="center"/>
          </w:tcPr>
          <w:p>
            <w:pPr>
              <w:widowControl/>
              <w:spacing w:line="276" w:lineRule="auto"/>
              <w:jc w:val="center"/>
              <w:rPr>
                <w:szCs w:val="21"/>
              </w:rPr>
            </w:pPr>
            <w:r>
              <w:rPr>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展览厅</w:t>
            </w:r>
          </w:p>
        </w:tc>
        <w:tc>
          <w:tcPr>
            <w:tcW w:w="591" w:type="pct"/>
            <w:shd w:val="clear" w:color="auto" w:fill="auto"/>
            <w:vAlign w:val="center"/>
          </w:tcPr>
          <w:p>
            <w:pPr>
              <w:widowControl/>
              <w:spacing w:line="276" w:lineRule="auto"/>
              <w:jc w:val="center"/>
              <w:rPr>
                <w:kern w:val="0"/>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23.8%</w:t>
            </w:r>
          </w:p>
        </w:tc>
        <w:tc>
          <w:tcPr>
            <w:tcW w:w="591" w:type="pct"/>
            <w:shd w:val="clear" w:color="auto" w:fill="auto"/>
            <w:vAlign w:val="center"/>
          </w:tcPr>
          <w:p>
            <w:pPr>
              <w:widowControl/>
              <w:spacing w:line="276" w:lineRule="auto"/>
              <w:jc w:val="center"/>
              <w:rPr>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41.7%</w:t>
            </w:r>
          </w:p>
        </w:tc>
        <w:tc>
          <w:tcPr>
            <w:tcW w:w="591" w:type="pct"/>
            <w:shd w:val="clear" w:color="auto" w:fill="auto"/>
            <w:vAlign w:val="center"/>
          </w:tcPr>
          <w:p>
            <w:pPr>
              <w:widowControl/>
              <w:spacing w:line="276" w:lineRule="auto"/>
              <w:jc w:val="center"/>
              <w:rPr>
                <w:szCs w:val="21"/>
              </w:rPr>
            </w:pPr>
            <w:r>
              <w:rPr>
                <w:szCs w:val="21"/>
              </w:rPr>
              <w:t>9</w:t>
            </w:r>
          </w:p>
        </w:tc>
        <w:tc>
          <w:tcPr>
            <w:tcW w:w="592" w:type="pct"/>
            <w:shd w:val="clear" w:color="auto" w:fill="auto"/>
            <w:vAlign w:val="center"/>
          </w:tcPr>
          <w:p>
            <w:pPr>
              <w:widowControl/>
              <w:spacing w:line="276" w:lineRule="auto"/>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restart"/>
            <w:shd w:val="clear" w:color="auto" w:fill="auto"/>
            <w:noWrap/>
            <w:vAlign w:val="center"/>
          </w:tcPr>
          <w:p>
            <w:pPr>
              <w:widowControl/>
              <w:spacing w:line="276" w:lineRule="auto"/>
              <w:jc w:val="center"/>
              <w:rPr>
                <w:kern w:val="0"/>
                <w:szCs w:val="21"/>
              </w:rPr>
            </w:pPr>
            <w:r>
              <w:rPr>
                <w:kern w:val="0"/>
                <w:szCs w:val="21"/>
              </w:rPr>
              <w:t>医院建筑</w:t>
            </w:r>
          </w:p>
        </w:tc>
        <w:tc>
          <w:tcPr>
            <w:tcW w:w="790" w:type="pct"/>
            <w:shd w:val="clear" w:color="auto" w:fill="auto"/>
            <w:noWrap/>
            <w:vAlign w:val="center"/>
          </w:tcPr>
          <w:p>
            <w:pPr>
              <w:widowControl/>
              <w:spacing w:line="276" w:lineRule="auto"/>
              <w:jc w:val="center"/>
              <w:rPr>
                <w:kern w:val="0"/>
                <w:szCs w:val="21"/>
              </w:rPr>
            </w:pPr>
            <w:r>
              <w:rPr>
                <w:kern w:val="0"/>
                <w:szCs w:val="21"/>
              </w:rPr>
              <w:t>病房</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100.0%</w:t>
            </w:r>
          </w:p>
        </w:tc>
        <w:tc>
          <w:tcPr>
            <w:tcW w:w="591" w:type="pct"/>
            <w:shd w:val="clear" w:color="auto" w:fill="auto"/>
            <w:vAlign w:val="center"/>
          </w:tcPr>
          <w:p>
            <w:pPr>
              <w:widowControl/>
              <w:spacing w:line="276" w:lineRule="auto"/>
              <w:jc w:val="center"/>
              <w:rPr>
                <w:szCs w:val="21"/>
              </w:rPr>
            </w:pPr>
            <w:r>
              <w:rPr>
                <w:szCs w:val="21"/>
              </w:rPr>
              <w:t>7</w:t>
            </w:r>
          </w:p>
        </w:tc>
        <w:tc>
          <w:tcPr>
            <w:tcW w:w="592" w:type="pct"/>
            <w:shd w:val="clear" w:color="auto" w:fill="auto"/>
            <w:vAlign w:val="center"/>
          </w:tcPr>
          <w:p>
            <w:pPr>
              <w:widowControl/>
              <w:spacing w:line="276" w:lineRule="auto"/>
              <w:jc w:val="center"/>
              <w:rPr>
                <w:kern w:val="0"/>
                <w:szCs w:val="21"/>
              </w:rPr>
            </w:pPr>
            <w:r>
              <w:rPr>
                <w:szCs w:val="21"/>
              </w:rPr>
              <w:t>50%</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手术室</w:t>
            </w:r>
          </w:p>
        </w:tc>
        <w:tc>
          <w:tcPr>
            <w:tcW w:w="591" w:type="pct"/>
            <w:shd w:val="clear" w:color="auto" w:fill="auto"/>
            <w:vAlign w:val="center"/>
          </w:tcPr>
          <w:p>
            <w:pPr>
              <w:widowControl/>
              <w:spacing w:line="276" w:lineRule="auto"/>
              <w:jc w:val="center"/>
              <w:rPr>
                <w:kern w:val="0"/>
                <w:szCs w:val="21"/>
              </w:rPr>
            </w:pPr>
            <w:r>
              <w:rPr>
                <w:szCs w:val="21"/>
              </w:rPr>
              <w:t>10</w:t>
            </w:r>
          </w:p>
        </w:tc>
        <w:tc>
          <w:tcPr>
            <w:tcW w:w="592" w:type="pct"/>
            <w:shd w:val="clear" w:color="auto" w:fill="auto"/>
            <w:vAlign w:val="center"/>
          </w:tcPr>
          <w:p>
            <w:pPr>
              <w:widowControl/>
              <w:spacing w:line="276" w:lineRule="auto"/>
              <w:jc w:val="center"/>
              <w:rPr>
                <w:kern w:val="0"/>
                <w:szCs w:val="21"/>
              </w:rPr>
            </w:pPr>
            <w:r>
              <w:rPr>
                <w:szCs w:val="21"/>
              </w:rPr>
              <w:t>52.9%</w:t>
            </w:r>
          </w:p>
        </w:tc>
        <w:tc>
          <w:tcPr>
            <w:tcW w:w="591" w:type="pct"/>
            <w:shd w:val="clear" w:color="auto" w:fill="auto"/>
            <w:vAlign w:val="center"/>
          </w:tcPr>
          <w:p>
            <w:pPr>
              <w:widowControl/>
              <w:spacing w:line="276" w:lineRule="auto"/>
              <w:jc w:val="center"/>
              <w:rPr>
                <w:szCs w:val="21"/>
              </w:rPr>
            </w:pPr>
            <w:r>
              <w:rPr>
                <w:szCs w:val="21"/>
              </w:rPr>
              <w:t>20</w:t>
            </w:r>
          </w:p>
        </w:tc>
        <w:tc>
          <w:tcPr>
            <w:tcW w:w="592" w:type="pct"/>
            <w:shd w:val="clear" w:color="auto" w:fill="auto"/>
            <w:vAlign w:val="center"/>
          </w:tcPr>
          <w:p>
            <w:pPr>
              <w:widowControl/>
              <w:spacing w:line="276" w:lineRule="auto"/>
              <w:jc w:val="center"/>
              <w:rPr>
                <w:kern w:val="0"/>
                <w:szCs w:val="21"/>
              </w:rPr>
            </w:pPr>
            <w:r>
              <w:rPr>
                <w:szCs w:val="21"/>
              </w:rPr>
              <w:t>33%</w:t>
            </w:r>
          </w:p>
        </w:tc>
        <w:tc>
          <w:tcPr>
            <w:tcW w:w="591" w:type="pct"/>
            <w:shd w:val="clear" w:color="auto" w:fill="auto"/>
            <w:vAlign w:val="center"/>
          </w:tcPr>
          <w:p>
            <w:pPr>
              <w:widowControl/>
              <w:spacing w:line="276" w:lineRule="auto"/>
              <w:jc w:val="center"/>
              <w:rPr>
                <w:szCs w:val="21"/>
              </w:rPr>
            </w:pPr>
            <w:r>
              <w:rPr>
                <w:szCs w:val="21"/>
              </w:rPr>
              <w:t>20</w:t>
            </w:r>
          </w:p>
        </w:tc>
        <w:tc>
          <w:tcPr>
            <w:tcW w:w="592" w:type="pct"/>
            <w:shd w:val="clear" w:color="auto" w:fill="auto"/>
            <w:vAlign w:val="center"/>
          </w:tcPr>
          <w:p>
            <w:pPr>
              <w:widowControl/>
              <w:spacing w:line="276" w:lineRule="auto"/>
              <w:jc w:val="center"/>
              <w:rPr>
                <w:szCs w:val="21"/>
              </w:rPr>
            </w:pPr>
            <w:r>
              <w:rPr>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候诊室</w:t>
            </w:r>
          </w:p>
        </w:tc>
        <w:tc>
          <w:tcPr>
            <w:tcW w:w="591" w:type="pct"/>
            <w:shd w:val="clear" w:color="auto" w:fill="auto"/>
            <w:vAlign w:val="center"/>
          </w:tcPr>
          <w:p>
            <w:pPr>
              <w:widowControl/>
              <w:spacing w:line="276" w:lineRule="auto"/>
              <w:jc w:val="center"/>
              <w:rPr>
                <w:kern w:val="0"/>
                <w:szCs w:val="21"/>
              </w:rPr>
            </w:pPr>
            <w:r>
              <w:rPr>
                <w:szCs w:val="21"/>
              </w:rPr>
              <w:t>2</w:t>
            </w:r>
          </w:p>
        </w:tc>
        <w:tc>
          <w:tcPr>
            <w:tcW w:w="592" w:type="pct"/>
            <w:shd w:val="clear" w:color="auto" w:fill="auto"/>
            <w:vAlign w:val="center"/>
          </w:tcPr>
          <w:p>
            <w:pPr>
              <w:widowControl/>
              <w:spacing w:line="276" w:lineRule="auto"/>
              <w:jc w:val="center"/>
              <w:rPr>
                <w:kern w:val="0"/>
                <w:szCs w:val="21"/>
              </w:rPr>
            </w:pPr>
            <w:r>
              <w:rPr>
                <w:szCs w:val="21"/>
              </w:rPr>
              <w:t>47.9%</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w:t>
            </w:r>
          </w:p>
        </w:tc>
        <w:tc>
          <w:tcPr>
            <w:tcW w:w="591" w:type="pct"/>
            <w:shd w:val="clear" w:color="auto" w:fill="auto"/>
            <w:vAlign w:val="center"/>
          </w:tcPr>
          <w:p>
            <w:pPr>
              <w:widowControl/>
              <w:spacing w:line="276" w:lineRule="auto"/>
              <w:jc w:val="center"/>
              <w:rPr>
                <w:szCs w:val="21"/>
              </w:rPr>
            </w:pPr>
            <w:r>
              <w:rPr>
                <w:szCs w:val="21"/>
              </w:rPr>
              <w:t>6.5</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门诊办公室</w:t>
            </w:r>
          </w:p>
        </w:tc>
        <w:tc>
          <w:tcPr>
            <w:tcW w:w="591" w:type="pct"/>
            <w:shd w:val="clear" w:color="auto" w:fill="auto"/>
            <w:vAlign w:val="center"/>
          </w:tcPr>
          <w:p>
            <w:pPr>
              <w:widowControl/>
              <w:spacing w:line="276" w:lineRule="auto"/>
              <w:jc w:val="center"/>
              <w:rPr>
                <w:kern w:val="0"/>
                <w:szCs w:val="21"/>
              </w:rPr>
            </w:pPr>
            <w:r>
              <w:rPr>
                <w:szCs w:val="21"/>
              </w:rPr>
              <w:t>6.67</w:t>
            </w:r>
          </w:p>
        </w:tc>
        <w:tc>
          <w:tcPr>
            <w:tcW w:w="592" w:type="pct"/>
            <w:shd w:val="clear" w:color="auto" w:fill="auto"/>
            <w:vAlign w:val="center"/>
          </w:tcPr>
          <w:p>
            <w:pPr>
              <w:widowControl/>
              <w:spacing w:line="276" w:lineRule="auto"/>
              <w:jc w:val="center"/>
              <w:rPr>
                <w:kern w:val="0"/>
                <w:szCs w:val="21"/>
              </w:rPr>
            </w:pPr>
            <w:r>
              <w:rPr>
                <w:szCs w:val="21"/>
              </w:rPr>
              <w:t>47.9%</w:t>
            </w:r>
          </w:p>
        </w:tc>
        <w:tc>
          <w:tcPr>
            <w:tcW w:w="591" w:type="pct"/>
            <w:shd w:val="clear" w:color="auto" w:fill="auto"/>
            <w:vAlign w:val="center"/>
          </w:tcPr>
          <w:p>
            <w:pPr>
              <w:widowControl/>
              <w:spacing w:line="276" w:lineRule="auto"/>
              <w:jc w:val="center"/>
              <w:rPr>
                <w:szCs w:val="21"/>
              </w:rPr>
            </w:pPr>
            <w:r>
              <w:rPr>
                <w:szCs w:val="21"/>
              </w:rPr>
              <w:t>13</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6.5</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婴儿室</w:t>
            </w:r>
          </w:p>
        </w:tc>
        <w:tc>
          <w:tcPr>
            <w:tcW w:w="591" w:type="pct"/>
            <w:shd w:val="clear" w:color="auto" w:fill="auto"/>
            <w:vAlign w:val="center"/>
          </w:tcPr>
          <w:p>
            <w:pPr>
              <w:widowControl/>
              <w:spacing w:line="276" w:lineRule="auto"/>
              <w:jc w:val="center"/>
              <w:rPr>
                <w:kern w:val="0"/>
                <w:szCs w:val="21"/>
              </w:rPr>
            </w:pPr>
            <w:r>
              <w:rPr>
                <w:szCs w:val="21"/>
              </w:rPr>
              <w:t>3.33</w:t>
            </w:r>
          </w:p>
        </w:tc>
        <w:tc>
          <w:tcPr>
            <w:tcW w:w="592" w:type="pct"/>
            <w:shd w:val="clear" w:color="auto" w:fill="auto"/>
            <w:vAlign w:val="center"/>
          </w:tcPr>
          <w:p>
            <w:pPr>
              <w:widowControl/>
              <w:spacing w:line="276" w:lineRule="auto"/>
              <w:jc w:val="center"/>
              <w:rPr>
                <w:kern w:val="0"/>
                <w:szCs w:val="21"/>
              </w:rPr>
            </w:pPr>
            <w:r>
              <w:rPr>
                <w:szCs w:val="21"/>
              </w:rPr>
              <w:t>100.0%</w:t>
            </w:r>
          </w:p>
        </w:tc>
        <w:tc>
          <w:tcPr>
            <w:tcW w:w="591" w:type="pct"/>
            <w:shd w:val="clear" w:color="auto" w:fill="auto"/>
            <w:vAlign w:val="center"/>
          </w:tcPr>
          <w:p>
            <w:pPr>
              <w:widowControl/>
              <w:spacing w:line="276" w:lineRule="auto"/>
              <w:jc w:val="center"/>
              <w:rPr>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6.5</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药品储存库</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3</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档案库房</w:t>
            </w:r>
          </w:p>
        </w:tc>
        <w:tc>
          <w:tcPr>
            <w:tcW w:w="591" w:type="pct"/>
            <w:shd w:val="clear" w:color="auto" w:fill="auto"/>
            <w:vAlign w:val="center"/>
          </w:tcPr>
          <w:p>
            <w:pPr>
              <w:widowControl/>
              <w:spacing w:line="276" w:lineRule="auto"/>
              <w:jc w:val="center"/>
              <w:rPr>
                <w:kern w:val="0"/>
                <w:szCs w:val="21"/>
              </w:rPr>
            </w:pPr>
            <w:r>
              <w:rPr>
                <w:szCs w:val="21"/>
              </w:rPr>
              <w:t>0</w:t>
            </w:r>
          </w:p>
        </w:tc>
        <w:tc>
          <w:tcPr>
            <w:tcW w:w="592" w:type="pct"/>
            <w:shd w:val="clear" w:color="auto" w:fill="auto"/>
            <w:vAlign w:val="center"/>
          </w:tcPr>
          <w:p>
            <w:pPr>
              <w:widowControl/>
              <w:spacing w:line="276" w:lineRule="auto"/>
              <w:jc w:val="center"/>
              <w:rPr>
                <w:kern w:val="0"/>
                <w:szCs w:val="21"/>
              </w:rPr>
            </w:pPr>
            <w:r>
              <w:rPr>
                <w:szCs w:val="21"/>
              </w:rPr>
              <w:t>0.0%</w:t>
            </w:r>
          </w:p>
        </w:tc>
        <w:tc>
          <w:tcPr>
            <w:tcW w:w="591" w:type="pct"/>
            <w:shd w:val="clear" w:color="auto" w:fill="auto"/>
            <w:vAlign w:val="center"/>
          </w:tcPr>
          <w:p>
            <w:pPr>
              <w:widowControl/>
              <w:spacing w:line="276" w:lineRule="auto"/>
              <w:jc w:val="center"/>
              <w:rPr>
                <w:szCs w:val="21"/>
              </w:rPr>
            </w:pPr>
            <w:r>
              <w:rPr>
                <w:szCs w:val="21"/>
              </w:rPr>
              <w:t>3</w:t>
            </w:r>
          </w:p>
        </w:tc>
        <w:tc>
          <w:tcPr>
            <w:tcW w:w="592" w:type="pct"/>
            <w:shd w:val="clear" w:color="auto" w:fill="auto"/>
            <w:vAlign w:val="center"/>
          </w:tcPr>
          <w:p>
            <w:pPr>
              <w:widowControl/>
              <w:spacing w:line="276" w:lineRule="auto"/>
              <w:jc w:val="center"/>
              <w:rPr>
                <w:kern w:val="0"/>
                <w:szCs w:val="21"/>
              </w:rPr>
            </w:pPr>
            <w:r>
              <w:rPr>
                <w:szCs w:val="21"/>
              </w:rPr>
              <w:t>32.7%</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szCs w:val="21"/>
              </w:rPr>
            </w:pPr>
            <w:r>
              <w:rPr>
                <w:szCs w:val="21"/>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61" w:type="pct"/>
            <w:vMerge w:val="continue"/>
            <w:shd w:val="clear" w:color="auto" w:fill="auto"/>
            <w:noWrap/>
            <w:vAlign w:val="center"/>
          </w:tcPr>
          <w:p>
            <w:pPr>
              <w:widowControl/>
              <w:spacing w:line="276" w:lineRule="auto"/>
              <w:jc w:val="center"/>
              <w:rPr>
                <w:kern w:val="0"/>
                <w:szCs w:val="21"/>
              </w:rPr>
            </w:pPr>
          </w:p>
        </w:tc>
        <w:tc>
          <w:tcPr>
            <w:tcW w:w="790" w:type="pct"/>
            <w:shd w:val="clear" w:color="auto" w:fill="auto"/>
            <w:noWrap/>
            <w:vAlign w:val="center"/>
          </w:tcPr>
          <w:p>
            <w:pPr>
              <w:widowControl/>
              <w:spacing w:line="276" w:lineRule="auto"/>
              <w:jc w:val="center"/>
              <w:rPr>
                <w:kern w:val="0"/>
                <w:szCs w:val="21"/>
              </w:rPr>
            </w:pPr>
            <w:r>
              <w:rPr>
                <w:kern w:val="0"/>
                <w:szCs w:val="21"/>
              </w:rPr>
              <w:t>美容院</w:t>
            </w:r>
          </w:p>
        </w:tc>
        <w:tc>
          <w:tcPr>
            <w:tcW w:w="591" w:type="pct"/>
            <w:shd w:val="clear" w:color="auto" w:fill="auto"/>
            <w:vAlign w:val="center"/>
          </w:tcPr>
          <w:p>
            <w:pPr>
              <w:widowControl/>
              <w:spacing w:line="276" w:lineRule="auto"/>
              <w:jc w:val="center"/>
              <w:rPr>
                <w:kern w:val="0"/>
                <w:szCs w:val="21"/>
              </w:rPr>
            </w:pPr>
            <w:r>
              <w:rPr>
                <w:szCs w:val="21"/>
              </w:rPr>
              <w:t>4</w:t>
            </w:r>
          </w:p>
        </w:tc>
        <w:tc>
          <w:tcPr>
            <w:tcW w:w="592" w:type="pct"/>
            <w:shd w:val="clear" w:color="auto" w:fill="auto"/>
            <w:vAlign w:val="center"/>
          </w:tcPr>
          <w:p>
            <w:pPr>
              <w:widowControl/>
              <w:spacing w:line="276" w:lineRule="auto"/>
              <w:jc w:val="center"/>
              <w:rPr>
                <w:kern w:val="0"/>
                <w:szCs w:val="21"/>
              </w:rPr>
            </w:pPr>
            <w:r>
              <w:rPr>
                <w:szCs w:val="21"/>
              </w:rPr>
              <w:t>51.7%</w:t>
            </w:r>
          </w:p>
        </w:tc>
        <w:tc>
          <w:tcPr>
            <w:tcW w:w="591" w:type="pct"/>
            <w:shd w:val="clear" w:color="auto" w:fill="auto"/>
            <w:vAlign w:val="center"/>
          </w:tcPr>
          <w:p>
            <w:pPr>
              <w:widowControl/>
              <w:spacing w:line="276" w:lineRule="auto"/>
              <w:jc w:val="center"/>
              <w:rPr>
                <w:szCs w:val="21"/>
              </w:rPr>
            </w:pPr>
            <w:r>
              <w:rPr>
                <w:szCs w:val="21"/>
              </w:rPr>
              <w:t>5</w:t>
            </w:r>
          </w:p>
        </w:tc>
        <w:tc>
          <w:tcPr>
            <w:tcW w:w="592" w:type="pct"/>
            <w:shd w:val="clear" w:color="auto" w:fill="auto"/>
            <w:vAlign w:val="center"/>
          </w:tcPr>
          <w:p>
            <w:pPr>
              <w:widowControl/>
              <w:spacing w:line="276" w:lineRule="auto"/>
              <w:jc w:val="center"/>
              <w:rPr>
                <w:kern w:val="0"/>
                <w:szCs w:val="21"/>
              </w:rPr>
            </w:pPr>
            <w:r>
              <w:rPr>
                <w:szCs w:val="21"/>
              </w:rPr>
              <w:t>51.7%</w:t>
            </w:r>
          </w:p>
        </w:tc>
        <w:tc>
          <w:tcPr>
            <w:tcW w:w="591" w:type="pct"/>
            <w:shd w:val="clear" w:color="auto" w:fill="auto"/>
            <w:vAlign w:val="center"/>
          </w:tcPr>
          <w:p>
            <w:pPr>
              <w:widowControl/>
              <w:spacing w:line="276" w:lineRule="auto"/>
              <w:jc w:val="center"/>
              <w:rPr>
                <w:szCs w:val="21"/>
              </w:rPr>
            </w:pPr>
            <w:r>
              <w:rPr>
                <w:szCs w:val="21"/>
              </w:rPr>
              <w:t>8</w:t>
            </w:r>
          </w:p>
        </w:tc>
        <w:tc>
          <w:tcPr>
            <w:tcW w:w="592" w:type="pct"/>
            <w:shd w:val="clear" w:color="auto" w:fill="auto"/>
            <w:vAlign w:val="center"/>
          </w:tcPr>
          <w:p>
            <w:pPr>
              <w:widowControl/>
              <w:spacing w:line="276" w:lineRule="auto"/>
              <w:jc w:val="center"/>
              <w:rPr>
                <w:szCs w:val="21"/>
              </w:rPr>
            </w:pPr>
            <w:r>
              <w:rPr>
                <w:szCs w:val="21"/>
              </w:rPr>
              <w:t>270</w:t>
            </w:r>
          </w:p>
        </w:tc>
      </w:tr>
    </w:tbl>
    <w:p/>
    <w:p>
      <w:pPr>
        <w:pStyle w:val="3"/>
        <w:spacing w:after="156" w:line="276" w:lineRule="auto"/>
        <w:jc w:val="center"/>
        <w:rPr>
          <w:rFonts w:ascii="Times New Roman" w:eastAsia="宋体"/>
        </w:rPr>
      </w:pPr>
      <w:bookmarkStart w:id="113" w:name="_Toc146734738"/>
      <w:r>
        <w:rPr>
          <w:rFonts w:ascii="Times New Roman" w:hAnsi="Times New Roman" w:eastAsia="宋体"/>
        </w:rPr>
        <w:t xml:space="preserve">8.2 </w:t>
      </w:r>
      <w:r>
        <w:rPr>
          <w:rFonts w:hint="eastAsia" w:ascii="Times New Roman" w:eastAsia="宋体"/>
        </w:rPr>
        <w:t>建筑全年能耗强度计算</w:t>
      </w:r>
      <w:bookmarkEnd w:id="113"/>
    </w:p>
    <w:p>
      <w:pPr>
        <w:rPr>
          <w:kern w:val="0"/>
          <w:sz w:val="24"/>
          <w:szCs w:val="21"/>
        </w:rPr>
      </w:pPr>
      <w:r>
        <w:rPr>
          <w:b/>
          <w:sz w:val="24"/>
          <w:szCs w:val="21"/>
        </w:rPr>
        <w:t xml:space="preserve">8.2.1 </w:t>
      </w:r>
      <w:r>
        <w:rPr>
          <w:rFonts w:hint="eastAsia"/>
          <w:kern w:val="0"/>
          <w:sz w:val="24"/>
          <w:szCs w:val="21"/>
        </w:rPr>
        <w:t>建筑全年能耗强度应按下式计算：</w:t>
      </w:r>
    </w:p>
    <w:p>
      <w:pPr>
        <w:spacing w:line="312" w:lineRule="auto"/>
        <w:ind w:firstLine="480" w:firstLineChars="200"/>
        <w:rPr>
          <w:i/>
          <w:sz w:val="24"/>
        </w:rPr>
      </w:pPr>
      <m:oMathPara>
        <m:oMath>
          <m:r>
            <m:rPr/>
            <w:rPr>
              <w:rFonts w:ascii="Cambria Math" w:hAnsi="Cambria Math"/>
              <w:sz w:val="24"/>
            </w:rPr>
            <m:t>E</m:t>
          </m:r>
          <m:r>
            <m:rPr/>
            <w:rPr>
              <w:rFonts w:ascii="Cambria Math" w:hAnsi="Cambria Math"/>
              <w:sz w:val="24"/>
              <w:vertAlign w:val="subscript"/>
            </w:rPr>
            <m:t xml:space="preserve"> </m:t>
          </m:r>
          <m:r>
            <m:rP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ℎ</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c</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l</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w</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e</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p</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f</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f</m:t>
                  </m:r>
                  <m:ctrlPr>
                    <w:rPr>
                      <w:rFonts w:ascii="Cambria Math" w:hAnsi="Cambria Math"/>
                      <w:i/>
                      <w:sz w:val="24"/>
                    </w:rPr>
                  </m:ctrlPr>
                </m:e>
                <m:sub>
                  <m:r>
                    <m:rPr/>
                    <w:rPr>
                      <w:rFonts w:ascii="Cambria Math" w:hAnsi="Cambria Math"/>
                      <w:sz w:val="24"/>
                    </w:rPr>
                    <m:t>i</m:t>
                  </m:r>
                  <m:ctrlPr>
                    <w:rPr>
                      <w:rFonts w:ascii="Cambria Math" w:hAnsi="Cambria Math"/>
                      <w:i/>
                      <w:sz w:val="24"/>
                    </w:rPr>
                  </m:ctrlPr>
                </m:sub>
              </m:sSub>
              <m:ctrlPr>
                <w:rPr>
                  <w:rFonts w:ascii="Cambria Math" w:hAnsi="Cambria Math"/>
                  <w:i/>
                  <w:sz w:val="24"/>
                </w:rPr>
              </m:ctrlPr>
            </m:num>
            <m:den>
              <m:r>
                <m:rPr/>
                <w:rPr>
                  <w:rFonts w:ascii="Cambria Math" w:hAnsi="Cambria Math"/>
                  <w:sz w:val="24"/>
                </w:rPr>
                <m:t>A</m:t>
              </m:r>
              <m:ctrlPr>
                <w:rPr>
                  <w:rFonts w:ascii="Cambria Math" w:hAnsi="Cambria Math"/>
                  <w:i/>
                  <w:sz w:val="24"/>
                </w:rPr>
              </m:ctrlPr>
            </m:den>
          </m:f>
        </m:oMath>
      </m:oMathPara>
    </w:p>
    <w:p>
      <w:pPr>
        <w:spacing w:line="276" w:lineRule="auto"/>
        <w:ind w:firstLine="480" w:firstLineChars="200"/>
        <w:jc w:val="right"/>
        <w:rPr>
          <w:sz w:val="24"/>
        </w:rPr>
      </w:pPr>
      <w:r>
        <w:rPr>
          <w:sz w:val="24"/>
        </w:rPr>
        <w:t xml:space="preserve">      （8.2.1）</w:t>
      </w:r>
    </w:p>
    <w:p>
      <w:pPr>
        <w:snapToGrid w:val="0"/>
        <w:spacing w:line="276" w:lineRule="auto"/>
        <w:ind w:firstLine="480" w:firstLineChars="200"/>
        <w:rPr>
          <w:sz w:val="24"/>
        </w:rPr>
      </w:pPr>
      <w:bookmarkStart w:id="114" w:name="_Hlk144473481"/>
      <w:r>
        <w:rPr>
          <w:sz w:val="24"/>
          <w:szCs w:val="21"/>
        </w:rPr>
        <w:t>式中：</w:t>
      </w:r>
      <m:oMath>
        <m:r>
          <m:rPr/>
          <w:rPr>
            <w:rFonts w:ascii="Cambria Math" w:hAnsi="Cambria Math"/>
            <w:sz w:val="24"/>
          </w:rPr>
          <m:t>E</m:t>
        </m:r>
      </m:oMath>
      <w:r>
        <w:rPr>
          <w:sz w:val="24"/>
          <w:szCs w:val="21"/>
        </w:rPr>
        <w:t>——</w:t>
      </w:r>
      <w:r>
        <w:rPr>
          <w:rFonts w:hint="eastAsia"/>
          <w:sz w:val="24"/>
        </w:rPr>
        <w:t>建筑全年能耗强度，</w:t>
      </w:r>
      <w:r>
        <w:rPr>
          <w:sz w:val="24"/>
          <w:szCs w:val="21"/>
        </w:rPr>
        <w:t>kWh</w:t>
      </w:r>
      <w:r>
        <w:rPr>
          <w:rFonts w:hint="eastAsia"/>
          <w:sz w:val="24"/>
        </w:rPr>
        <w:t>/m</w:t>
      </w:r>
      <w:r>
        <w:rPr>
          <w:rFonts w:hint="eastAsia"/>
          <w:sz w:val="24"/>
          <w:vertAlign w:val="superscript"/>
        </w:rPr>
        <w:t>2</w:t>
      </w:r>
      <w:r>
        <w:rPr>
          <w:rFonts w:hint="eastAsia"/>
          <w:sz w:val="24"/>
        </w:rPr>
        <w:t>；</w:t>
      </w:r>
    </w:p>
    <w:bookmarkEnd w:id="114"/>
    <w:p>
      <w:pPr>
        <w:snapToGrid w:val="0"/>
        <w:spacing w:line="276" w:lineRule="auto"/>
        <w:ind w:left="734" w:firstLine="420"/>
        <w:rPr>
          <w:sz w:val="24"/>
          <w:szCs w:val="21"/>
        </w:rPr>
      </w:pPr>
      <m:oMath>
        <m:r>
          <m:rPr/>
          <w:rPr>
            <w:rFonts w:ascii="Cambria Math" w:hAnsi="Cambria Math"/>
            <w:sz w:val="24"/>
          </w:rPr>
          <m:t>A</m:t>
        </m:r>
      </m:oMath>
      <w:r>
        <w:rPr>
          <w:sz w:val="24"/>
          <w:szCs w:val="21"/>
        </w:rPr>
        <w:t>——</w:t>
      </w:r>
      <w:r>
        <w:rPr>
          <w:rFonts w:hint="eastAsia"/>
          <w:sz w:val="24"/>
          <w:szCs w:val="21"/>
        </w:rPr>
        <w:t>建筑面积，m</w:t>
      </w:r>
      <w:r>
        <w:rPr>
          <w:sz w:val="24"/>
          <w:szCs w:val="21"/>
          <w:vertAlign w:val="superscript"/>
        </w:rPr>
        <w:t>2</w:t>
      </w:r>
      <w:r>
        <w:rPr>
          <w:rFonts w:hint="eastAsia"/>
          <w:sz w:val="24"/>
          <w:szCs w:val="21"/>
        </w:rPr>
        <w:t>；</w:t>
      </w:r>
    </w:p>
    <w:p>
      <w:pPr>
        <w:snapToGrid w:val="0"/>
        <w:spacing w:line="276" w:lineRule="auto"/>
        <w:ind w:left="734" w:firstLine="420"/>
        <w:rPr>
          <w:sz w:val="24"/>
        </w:rPr>
      </w:pPr>
      <m:oMath>
        <m:sSub>
          <m:sSubPr>
            <m:ctrlPr>
              <w:rPr>
                <w:rFonts w:ascii="Cambria Math" w:hAnsi="Cambria Math"/>
                <w:i/>
                <w:sz w:val="24"/>
                <w:szCs w:val="21"/>
              </w:rPr>
            </m:ctrlPr>
          </m:sSubPr>
          <m:e>
            <m:r>
              <m:rPr/>
              <w:rPr>
                <w:rFonts w:ascii="Cambria Math" w:hAnsi="Cambria Math"/>
                <w:sz w:val="24"/>
                <w:szCs w:val="21"/>
              </w:rPr>
              <m:t>f</m:t>
            </m:r>
            <m:ctrlPr>
              <w:rPr>
                <w:rFonts w:ascii="Cambria Math" w:hAnsi="Cambria Math"/>
                <w:i/>
                <w:sz w:val="24"/>
                <w:szCs w:val="21"/>
              </w:rPr>
            </m:ctrlPr>
          </m:e>
          <m:sub>
            <m:r>
              <m:rPr/>
              <w:rPr>
                <w:rFonts w:ascii="Cambria Math" w:hAnsi="Cambria Math"/>
                <w:sz w:val="24"/>
                <w:szCs w:val="21"/>
              </w:rPr>
              <m:t>i</m:t>
            </m:r>
            <m:ctrlPr>
              <w:rPr>
                <w:rFonts w:ascii="Cambria Math" w:hAnsi="Cambria Math"/>
                <w:i/>
                <w:sz w:val="24"/>
                <w:szCs w:val="21"/>
              </w:rPr>
            </m:ctrlPr>
          </m:sub>
        </m:sSub>
      </m:oMath>
      <w:r>
        <w:rPr>
          <w:sz w:val="24"/>
          <w:szCs w:val="21"/>
        </w:rPr>
        <w:t xml:space="preserve"> ——</w:t>
      </w:r>
      <m:oMath>
        <m:r>
          <m:rPr/>
          <w:rPr>
            <w:rFonts w:ascii="Cambria Math" w:hAnsi="Cambria Math"/>
            <w:sz w:val="24"/>
            <w:szCs w:val="21"/>
          </w:rPr>
          <m:t>i</m:t>
        </m:r>
      </m:oMath>
      <w:r>
        <w:rPr>
          <w:sz w:val="24"/>
          <w:szCs w:val="21"/>
        </w:rPr>
        <w:t>类型能源的能源换算系数，按</w:t>
      </w:r>
      <w:r>
        <w:rPr>
          <w:rFonts w:hint="eastAsia"/>
          <w:sz w:val="24"/>
          <w:szCs w:val="21"/>
        </w:rPr>
        <w:t>本标准表</w:t>
      </w:r>
      <w:r>
        <w:rPr>
          <w:sz w:val="24"/>
          <w:szCs w:val="21"/>
        </w:rPr>
        <w:t>8.2.6</w:t>
      </w:r>
      <w:r>
        <w:rPr>
          <w:rFonts w:hint="eastAsia"/>
          <w:sz w:val="24"/>
          <w:szCs w:val="21"/>
        </w:rPr>
        <w:t>选取；</w:t>
      </w:r>
    </w:p>
    <w:p>
      <w:pPr>
        <w:snapToGrid w:val="0"/>
        <w:spacing w:line="276" w:lineRule="auto"/>
        <w:ind w:left="674" w:firstLine="480" w:firstLineChars="200"/>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ℎ</m:t>
            </m:r>
            <m:ctrlPr>
              <w:rPr>
                <w:rFonts w:ascii="Cambria Math" w:hAnsi="Cambria Math"/>
                <w:i/>
                <w:sz w:val="24"/>
                <w:szCs w:val="21"/>
              </w:rPr>
            </m:ctrlPr>
          </m:sub>
        </m:sSub>
      </m:oMath>
      <w:r>
        <w:rPr>
          <w:sz w:val="24"/>
          <w:szCs w:val="21"/>
        </w:rPr>
        <w:t>——年供暖系统能源消耗，kWh；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c</m:t>
            </m:r>
            <m:ctrlPr>
              <w:rPr>
                <w:rFonts w:ascii="Cambria Math" w:hAnsi="Cambria Math"/>
                <w:i/>
                <w:sz w:val="24"/>
                <w:szCs w:val="21"/>
              </w:rPr>
            </m:ctrlPr>
          </m:sub>
        </m:sSub>
      </m:oMath>
      <w:r>
        <w:rPr>
          <w:sz w:val="24"/>
          <w:szCs w:val="21"/>
        </w:rPr>
        <w:t>——年供冷系统能源消耗，kWh；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l</m:t>
            </m:r>
            <m:ctrlPr>
              <w:rPr>
                <w:rFonts w:ascii="Cambria Math" w:hAnsi="Cambria Math"/>
                <w:i/>
                <w:sz w:val="24"/>
                <w:szCs w:val="21"/>
              </w:rPr>
            </m:ctrlPr>
          </m:sub>
        </m:sSub>
      </m:oMath>
      <w:r>
        <w:rPr>
          <w:sz w:val="24"/>
          <w:szCs w:val="21"/>
        </w:rPr>
        <w:t>——年照明系统能源消耗，kWh；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w</m:t>
            </m:r>
            <m:ctrlPr>
              <w:rPr>
                <w:rFonts w:ascii="Cambria Math" w:hAnsi="Cambria Math"/>
                <w:i/>
                <w:sz w:val="24"/>
                <w:szCs w:val="21"/>
              </w:rPr>
            </m:ctrlPr>
          </m:sub>
        </m:sSub>
      </m:oMath>
      <w:r>
        <w:rPr>
          <w:sz w:val="24"/>
          <w:szCs w:val="21"/>
        </w:rPr>
        <w:t>——年生活热水系统能源消耗，kWh；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e</m:t>
            </m:r>
            <m:ctrlPr>
              <w:rPr>
                <w:rFonts w:ascii="Cambria Math" w:hAnsi="Cambria Math"/>
                <w:i/>
                <w:sz w:val="24"/>
                <w:szCs w:val="21"/>
              </w:rPr>
            </m:ctrlPr>
          </m:sub>
        </m:sSub>
      </m:oMath>
      <w:r>
        <w:rPr>
          <w:sz w:val="24"/>
          <w:szCs w:val="21"/>
        </w:rPr>
        <w:t>——年电梯系统能源消耗，kWh</w:t>
      </w:r>
      <w:r>
        <w:rPr>
          <w:rFonts w:hint="eastAsia"/>
          <w:sz w:val="24"/>
          <w:szCs w:val="21"/>
        </w:rPr>
        <w:t>；</w:t>
      </w:r>
    </w:p>
    <w:p>
      <w:pPr>
        <w:snapToGrid w:val="0"/>
        <w:spacing w:line="276" w:lineRule="auto"/>
        <w:ind w:firstLine="1154" w:firstLineChars="481"/>
        <w:rPr>
          <w:sz w:val="24"/>
        </w:rPr>
      </w:pPr>
      <m:oMath>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p</m:t>
            </m:r>
            <m:ctrlPr>
              <w:rPr>
                <w:rFonts w:ascii="Cambria Math" w:hAnsi="Cambria Math"/>
                <w:i/>
                <w:sz w:val="24"/>
              </w:rPr>
            </m:ctrlPr>
          </m:sub>
        </m:sSub>
      </m:oMath>
      <w:r>
        <w:rPr>
          <w:sz w:val="24"/>
          <w:szCs w:val="21"/>
        </w:rPr>
        <w:t>——</w:t>
      </w:r>
      <w:r>
        <w:rPr>
          <w:rFonts w:hint="eastAsia"/>
          <w:sz w:val="24"/>
        </w:rPr>
        <w:t>年插座能源消耗，kWh；</w:t>
      </w:r>
    </w:p>
    <w:p>
      <w:pPr>
        <w:snapToGrid w:val="0"/>
        <w:spacing w:line="276" w:lineRule="auto"/>
        <w:ind w:firstLine="1154" w:firstLineChars="481"/>
        <w:rPr>
          <w:sz w:val="24"/>
        </w:rPr>
      </w:pPr>
      <m:oMath>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f</m:t>
            </m:r>
            <m:ctrlPr>
              <w:rPr>
                <w:rFonts w:ascii="Cambria Math" w:hAnsi="Cambria Math"/>
                <w:i/>
                <w:sz w:val="24"/>
              </w:rPr>
            </m:ctrlPr>
          </m:sub>
        </m:sSub>
      </m:oMath>
      <w:r>
        <w:rPr>
          <w:sz w:val="24"/>
          <w:szCs w:val="21"/>
        </w:rPr>
        <w:t>——</w:t>
      </w:r>
      <w:r>
        <w:rPr>
          <w:rFonts w:hint="eastAsia"/>
          <w:sz w:val="24"/>
        </w:rPr>
        <w:t>年炊事能源消耗，kWh。</w:t>
      </w:r>
    </w:p>
    <w:p>
      <w:pPr>
        <w:snapToGrid w:val="0"/>
        <w:spacing w:line="276" w:lineRule="auto"/>
        <w:ind w:firstLine="1154" w:firstLineChars="481"/>
        <w:rPr>
          <w:sz w:val="24"/>
        </w:rPr>
      </w:pPr>
    </w:p>
    <w:p>
      <w:pPr>
        <w:rPr>
          <w:kern w:val="0"/>
          <w:sz w:val="24"/>
          <w:szCs w:val="21"/>
        </w:rPr>
      </w:pPr>
      <w:r>
        <w:rPr>
          <w:b/>
          <w:sz w:val="24"/>
          <w:szCs w:val="21"/>
        </w:rPr>
        <w:t xml:space="preserve">8.2.2 </w:t>
      </w:r>
      <w:r>
        <w:rPr>
          <w:rFonts w:hint="eastAsia"/>
          <w:kern w:val="0"/>
          <w:sz w:val="24"/>
          <w:szCs w:val="21"/>
        </w:rPr>
        <w:t>建筑全年可再生能源利用量应按下式计算：</w:t>
      </w:r>
    </w:p>
    <w:p>
      <w:pPr>
        <w:jc w:val="right"/>
        <w:rPr>
          <w:sz w:val="24"/>
        </w:rPr>
      </w:pPr>
      <m:oMath>
        <m:sSub>
          <m:sSubPr>
            <m:ctrlPr>
              <w:rPr>
                <w:rFonts w:ascii="Cambria Math" w:hAnsi="Cambria Math"/>
                <w:i/>
                <w:sz w:val="24"/>
                <w:szCs w:val="28"/>
              </w:rPr>
            </m:ctrlPr>
          </m:sSubPr>
          <m:e>
            <m:r>
              <m:rPr/>
              <w:rPr>
                <w:rFonts w:ascii="Cambria Math" w:hAnsi="Cambria Math"/>
                <w:sz w:val="24"/>
                <w:szCs w:val="28"/>
              </w:rPr>
              <m:t>E</m:t>
            </m:r>
            <m:ctrlPr>
              <w:rPr>
                <w:rFonts w:ascii="Cambria Math" w:hAnsi="Cambria Math"/>
                <w:i/>
                <w:sz w:val="24"/>
                <w:szCs w:val="28"/>
              </w:rPr>
            </m:ctrlPr>
          </m:e>
          <m:sub>
            <m:r>
              <m:rPr/>
              <w:rPr>
                <w:rFonts w:ascii="Cambria Math" w:hAnsi="Cambria Math"/>
                <w:sz w:val="24"/>
                <w:szCs w:val="28"/>
              </w:rPr>
              <m:t>R</m:t>
            </m:r>
            <m:ctrlPr>
              <w:rPr>
                <w:rFonts w:ascii="Cambria Math" w:hAnsi="Cambria Math"/>
                <w:i/>
                <w:sz w:val="24"/>
                <w:szCs w:val="28"/>
              </w:rPr>
            </m:ctrlPr>
          </m:sub>
        </m:sSub>
        <m:r>
          <m:rPr/>
          <w:rPr>
            <w:rFonts w:ascii="Cambria Math" w:hAnsi="Cambria Math"/>
            <w:sz w:val="24"/>
            <w:szCs w:val="28"/>
            <w:vertAlign w:val="subscript"/>
          </w:rPr>
          <m:t xml:space="preserve"> </m:t>
        </m:r>
        <m:r>
          <m:rPr/>
          <w:rPr>
            <w:rFonts w:ascii="Cambria Math" w:hAnsi="Cambria Math"/>
            <w:sz w:val="24"/>
            <w:szCs w:val="28"/>
          </w:rPr>
          <m:t>=</m:t>
        </m:r>
        <m:sSub>
          <m:sSubPr>
            <m:ctrlPr>
              <w:rPr>
                <w:rFonts w:ascii="Cambria Math" w:hAnsi="Cambria Math"/>
                <w:i/>
                <w:sz w:val="24"/>
                <w:szCs w:val="28"/>
              </w:rPr>
            </m:ctrlPr>
          </m:sSubPr>
          <m:e>
            <m:sSub>
              <m:sSubPr>
                <m:ctrlPr>
                  <w:rPr>
                    <w:rFonts w:ascii="Cambria Math" w:hAnsi="Cambria Math"/>
                    <w:i/>
                    <w:sz w:val="24"/>
                    <w:szCs w:val="28"/>
                  </w:rPr>
                </m:ctrlPr>
              </m:sSubPr>
              <m:e>
                <m:r>
                  <m:rPr/>
                  <w:rPr>
                    <w:rFonts w:ascii="Cambria Math" w:hAnsi="Cambria Math"/>
                    <w:sz w:val="24"/>
                    <w:szCs w:val="28"/>
                  </w:rPr>
                  <m:t>EP</m:t>
                </m:r>
                <m:ctrlPr>
                  <w:rPr>
                    <w:rFonts w:ascii="Cambria Math" w:hAnsi="Cambria Math"/>
                    <w:i/>
                    <w:sz w:val="24"/>
                    <w:szCs w:val="28"/>
                  </w:rPr>
                </m:ctrlPr>
              </m:e>
              <m:sub>
                <m:r>
                  <m:rPr/>
                  <w:rPr>
                    <w:rFonts w:ascii="Cambria Math" w:hAnsi="Cambria Math"/>
                    <w:sz w:val="24"/>
                    <w:szCs w:val="28"/>
                  </w:rPr>
                  <m:t>ℎ</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EP</m:t>
                </m:r>
                <m:ctrlPr>
                  <w:rPr>
                    <w:rFonts w:ascii="Cambria Math" w:hAnsi="Cambria Math"/>
                    <w:i/>
                    <w:sz w:val="24"/>
                    <w:szCs w:val="28"/>
                  </w:rPr>
                </m:ctrlPr>
              </m:e>
              <m:sub>
                <m:r>
                  <m:rPr/>
                  <w:rPr>
                    <w:rFonts w:ascii="Cambria Math" w:hAnsi="Cambria Math"/>
                    <w:sz w:val="24"/>
                    <w:szCs w:val="28"/>
                  </w:rPr>
                  <m:t>c</m:t>
                </m:r>
                <m:ctrlPr>
                  <w:rPr>
                    <w:rFonts w:ascii="Cambria Math" w:hAnsi="Cambria Math"/>
                    <w:i/>
                    <w:sz w:val="24"/>
                    <w:szCs w:val="28"/>
                  </w:rPr>
                </m:ctrlPr>
              </m:sub>
            </m:sSub>
            <m:r>
              <m:rPr/>
              <w:rPr>
                <w:rFonts w:ascii="Cambria Math" w:hAnsi="Cambria Math"/>
                <w:sz w:val="24"/>
                <w:szCs w:val="28"/>
              </w:rPr>
              <m:t>+EP</m:t>
            </m:r>
            <m:ctrlPr>
              <w:rPr>
                <w:rFonts w:ascii="Cambria Math" w:hAnsi="Cambria Math"/>
                <w:i/>
                <w:sz w:val="24"/>
                <w:szCs w:val="28"/>
              </w:rPr>
            </m:ctrlPr>
          </m:e>
          <m:sub>
            <m:r>
              <m:rPr/>
              <w:rPr>
                <w:rFonts w:ascii="Cambria Math" w:hAnsi="Cambria Math"/>
                <w:sz w:val="24"/>
                <w:szCs w:val="28"/>
              </w:rPr>
              <m:t>w</m:t>
            </m:r>
            <m:ctrlPr>
              <w:rPr>
                <w:rFonts w:ascii="Cambria Math" w:hAnsi="Cambria Math"/>
                <w:i/>
                <w:sz w:val="24"/>
                <w:szCs w:val="28"/>
              </w:rPr>
            </m:ctrlPr>
          </m:sub>
        </m:sSub>
        <m:r>
          <m:rPr/>
          <w:rPr>
            <w:rFonts w:ascii="Cambria Math" w:hAnsi="Cambria Math"/>
            <w:sz w:val="24"/>
            <w:szCs w:val="28"/>
          </w:rPr>
          <m:t>+</m:t>
        </m:r>
        <m:r>
          <m:rPr>
            <m:sty m:val="p"/>
          </m:rPr>
          <w:rPr>
            <w:rFonts w:ascii="Cambria Math" w:hAnsi="Cambria Math"/>
            <w:sz w:val="24"/>
            <w:szCs w:val="28"/>
          </w:rPr>
          <m:t>Σ</m:t>
        </m:r>
        <m:sSub>
          <m:sSubPr>
            <m:ctrlPr>
              <w:rPr>
                <w:rFonts w:ascii="Cambria Math" w:hAnsi="Cambria Math"/>
                <w:i/>
                <w:sz w:val="24"/>
                <w:szCs w:val="28"/>
              </w:rPr>
            </m:ctrlPr>
          </m:sSubPr>
          <m:e>
            <m:r>
              <m:rPr/>
              <w:rPr>
                <w:rFonts w:ascii="Cambria Math" w:hAnsi="Cambria Math"/>
                <w:sz w:val="24"/>
                <w:szCs w:val="28"/>
              </w:rPr>
              <m:t>E</m:t>
            </m:r>
            <m:ctrlPr>
              <w:rPr>
                <w:rFonts w:ascii="Cambria Math" w:hAnsi="Cambria Math"/>
                <w:i/>
                <w:sz w:val="24"/>
                <w:szCs w:val="28"/>
              </w:rPr>
            </m:ctrlPr>
          </m:e>
          <m:sub>
            <m:r>
              <m:rPr/>
              <w:rPr>
                <w:rFonts w:ascii="Cambria Math" w:hAnsi="Cambria Math"/>
                <w:sz w:val="24"/>
                <w:szCs w:val="28"/>
              </w:rPr>
              <m:t>r,i</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f</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r>
          <m:rPr/>
          <w:rPr>
            <w:rFonts w:ascii="Cambria Math" w:hAnsi="Cambria Math"/>
            <w:sz w:val="24"/>
            <w:szCs w:val="28"/>
          </w:rPr>
          <m:t>+</m:t>
        </m:r>
        <m:r>
          <m:rPr>
            <m:sty m:val="p"/>
          </m:rPr>
          <w:rPr>
            <w:rFonts w:ascii="Cambria Math" w:hAnsi="Cambria Math"/>
            <w:sz w:val="24"/>
            <w:szCs w:val="28"/>
          </w:rPr>
          <m:t>Σ</m:t>
        </m:r>
        <m:sSub>
          <m:sSubPr>
            <m:ctrlPr>
              <w:rPr>
                <w:rFonts w:ascii="Cambria Math" w:hAnsi="Cambria Math"/>
                <w:i/>
                <w:sz w:val="24"/>
                <w:szCs w:val="28"/>
              </w:rPr>
            </m:ctrlPr>
          </m:sSubPr>
          <m:e>
            <m:r>
              <m:rPr/>
              <w:rPr>
                <w:rFonts w:ascii="Cambria Math" w:hAnsi="Cambria Math"/>
                <w:sz w:val="24"/>
                <w:szCs w:val="28"/>
              </w:rPr>
              <m:t>E</m:t>
            </m:r>
            <m:ctrlPr>
              <w:rPr>
                <w:rFonts w:ascii="Cambria Math" w:hAnsi="Cambria Math"/>
                <w:i/>
                <w:sz w:val="24"/>
                <w:szCs w:val="28"/>
              </w:rPr>
            </m:ctrlPr>
          </m:e>
          <m:sub>
            <m:r>
              <m:rPr/>
              <w:rPr>
                <w:rFonts w:ascii="Cambria Math" w:hAnsi="Cambria Math"/>
                <w:sz w:val="24"/>
                <w:szCs w:val="28"/>
              </w:rPr>
              <m:t>rd,i</m:t>
            </m:r>
            <m:ctrlPr>
              <w:rPr>
                <w:rFonts w:ascii="Cambria Math" w:hAnsi="Cambria Math"/>
                <w:i/>
                <w:sz w:val="24"/>
                <w:szCs w:val="28"/>
              </w:rPr>
            </m:ctrlPr>
          </m:sub>
        </m:sSub>
        <m:r>
          <m:rPr/>
          <w:rPr>
            <w:rFonts w:ascii="Cambria Math" w:hAnsi="Cambria Math"/>
            <w:sz w:val="24"/>
            <w:szCs w:val="28"/>
          </w:rPr>
          <m:t>×</m:t>
        </m:r>
        <m:sSub>
          <m:sSubPr>
            <m:ctrlPr>
              <w:rPr>
                <w:rFonts w:ascii="Cambria Math" w:hAnsi="Cambria Math"/>
                <w:i/>
                <w:sz w:val="24"/>
                <w:szCs w:val="28"/>
              </w:rPr>
            </m:ctrlPr>
          </m:sSubPr>
          <m:e>
            <m:r>
              <m:rPr/>
              <w:rPr>
                <w:rFonts w:ascii="Cambria Math" w:hAnsi="Cambria Math"/>
                <w:sz w:val="24"/>
                <w:szCs w:val="28"/>
              </w:rPr>
              <m:t>f</m:t>
            </m:r>
            <m:ctrlPr>
              <w:rPr>
                <w:rFonts w:ascii="Cambria Math" w:hAnsi="Cambria Math"/>
                <w:i/>
                <w:sz w:val="24"/>
                <w:szCs w:val="28"/>
              </w:rPr>
            </m:ctrlPr>
          </m:e>
          <m:sub>
            <m:r>
              <m:rPr/>
              <w:rPr>
                <w:rFonts w:ascii="Cambria Math" w:hAnsi="Cambria Math"/>
                <w:sz w:val="24"/>
                <w:szCs w:val="28"/>
              </w:rPr>
              <m:t>i</m:t>
            </m:r>
            <m:ctrlPr>
              <w:rPr>
                <w:rFonts w:ascii="Cambria Math" w:hAnsi="Cambria Math"/>
                <w:i/>
                <w:sz w:val="24"/>
                <w:szCs w:val="28"/>
              </w:rPr>
            </m:ctrlPr>
          </m:sub>
        </m:sSub>
      </m:oMath>
      <w:r>
        <w:rPr>
          <w:rFonts w:hint="eastAsia"/>
          <w:sz w:val="40"/>
          <w:szCs w:val="40"/>
        </w:rPr>
        <w:t xml:space="preserve"> </w:t>
      </w:r>
      <w:r>
        <w:rPr>
          <w:rFonts w:hint="eastAsia"/>
          <w:sz w:val="40"/>
          <w:szCs w:val="40"/>
          <w:lang w:val="en-US" w:eastAsia="zh-CN"/>
        </w:rPr>
        <w:t xml:space="preserve">  </w:t>
      </w:r>
      <w:r>
        <w:rPr>
          <w:sz w:val="24"/>
        </w:rPr>
        <w:t>（8.2.2）</w:t>
      </w:r>
    </w:p>
    <w:p>
      <w:pPr>
        <w:snapToGrid w:val="0"/>
        <w:spacing w:line="276" w:lineRule="auto"/>
        <w:ind w:firstLine="480" w:firstLineChars="200"/>
        <w:rPr>
          <w:sz w:val="24"/>
        </w:rPr>
      </w:pPr>
      <w:r>
        <w:rPr>
          <w:sz w:val="24"/>
          <w:szCs w:val="21"/>
        </w:rPr>
        <w:t>式中：</w:t>
      </w:r>
      <w:bookmarkStart w:id="115" w:name="_Hlk144474450"/>
      <w:r>
        <w:rPr>
          <w:rFonts w:hint="eastAsia"/>
          <w:sz w:val="15"/>
          <w:szCs w:val="11"/>
        </w:rPr>
        <w:t xml:space="preserve"> </w:t>
      </w:r>
      <w:bookmarkEnd w:id="115"/>
      <m:oMath>
        <m:sSub>
          <m:sSubPr>
            <m:ctrlPr>
              <w:rPr>
                <w:rFonts w:ascii="Cambria Math" w:hAnsi="Cambria Math"/>
                <w:i/>
                <w:sz w:val="24"/>
              </w:rPr>
            </m:ctrlPr>
          </m:sSubPr>
          <m:e>
            <m:r>
              <m:rPr/>
              <w:rPr>
                <w:rFonts w:ascii="Cambria Math" w:hAnsi="Cambria Math"/>
                <w:sz w:val="24"/>
              </w:rPr>
              <m:t>E</m:t>
            </m:r>
            <m:ctrlPr>
              <w:rPr>
                <w:rFonts w:ascii="Cambria Math" w:hAnsi="Cambria Math"/>
                <w:i/>
                <w:sz w:val="24"/>
              </w:rPr>
            </m:ctrlPr>
          </m:e>
          <m:sub>
            <m:r>
              <m:rPr/>
              <w:rPr>
                <w:rFonts w:ascii="Cambria Math" w:hAnsi="Cambria Math"/>
                <w:sz w:val="24"/>
              </w:rPr>
              <m:t>R</m:t>
            </m:r>
            <m:ctrlPr>
              <w:rPr>
                <w:rFonts w:ascii="Cambria Math" w:hAnsi="Cambria Math"/>
                <w:i/>
                <w:sz w:val="24"/>
              </w:rPr>
            </m:ctrlPr>
          </m:sub>
        </m:sSub>
      </m:oMath>
      <w:r>
        <w:rPr>
          <w:sz w:val="24"/>
          <w:szCs w:val="21"/>
        </w:rPr>
        <w:t>——</w:t>
      </w:r>
      <w:r>
        <w:rPr>
          <w:rFonts w:hint="eastAsia"/>
          <w:sz w:val="24"/>
        </w:rPr>
        <w:t>建筑全年可再生能源利用量，</w:t>
      </w:r>
      <w:r>
        <w:rPr>
          <w:sz w:val="24"/>
          <w:szCs w:val="21"/>
        </w:rPr>
        <w:t>kWh</w:t>
      </w:r>
      <w:r>
        <w:rPr>
          <w:rFonts w:hint="eastAsia"/>
          <w:sz w:val="24"/>
        </w:rPr>
        <w:t>；</w:t>
      </w:r>
    </w:p>
    <w:p>
      <w:pPr>
        <w:snapToGrid w:val="0"/>
        <w:spacing w:line="276" w:lineRule="auto"/>
        <w:ind w:left="780" w:firstLine="480" w:firstLineChars="200"/>
        <w:rPr>
          <w:sz w:val="24"/>
        </w:rPr>
      </w:pPr>
      <m:oMath>
        <m:sSub>
          <m:sSubPr>
            <m:ctrlPr>
              <w:rPr>
                <w:rFonts w:ascii="Cambria Math" w:hAnsi="Cambria Math"/>
                <w:sz w:val="24"/>
              </w:rPr>
            </m:ctrlPr>
          </m:sSubPr>
          <m:e>
            <m:r>
              <m:rPr/>
              <w:rPr>
                <w:rFonts w:ascii="Cambria Math" w:hAnsi="Cambria Math"/>
                <w:sz w:val="24"/>
              </w:rPr>
              <m:t>EP</m:t>
            </m:r>
            <m:ctrlPr>
              <w:rPr>
                <w:rFonts w:ascii="Cambria Math" w:hAnsi="Cambria Math"/>
                <w:sz w:val="24"/>
              </w:rPr>
            </m:ctrlPr>
          </m:e>
          <m:sub>
            <m:r>
              <m:rPr/>
              <w:rPr>
                <w:rFonts w:ascii="Cambria Math" w:hAnsi="Cambria Math"/>
                <w:sz w:val="24"/>
              </w:rPr>
              <m:t>ℎ</m:t>
            </m:r>
            <m:ctrlPr>
              <w:rPr>
                <w:rFonts w:ascii="Cambria Math" w:hAnsi="Cambria Math"/>
                <w:sz w:val="24"/>
              </w:rPr>
            </m:ctrlPr>
          </m:sub>
        </m:sSub>
      </m:oMath>
      <w:r>
        <w:rPr>
          <w:sz w:val="24"/>
        </w:rPr>
        <w:t>——供暖系统中可再生能源利用量，kWh；</w:t>
      </w:r>
    </w:p>
    <w:p>
      <w:pPr>
        <w:snapToGrid w:val="0"/>
        <w:spacing w:line="276" w:lineRule="auto"/>
        <w:ind w:left="780" w:firstLine="480" w:firstLineChars="200"/>
        <w:rPr>
          <w:sz w:val="24"/>
        </w:rPr>
      </w:pPr>
      <m:oMath>
        <m:sSub>
          <m:sSubPr>
            <m:ctrlPr>
              <w:rPr>
                <w:rFonts w:ascii="Cambria Math" w:hAnsi="Cambria Math"/>
                <w:sz w:val="24"/>
              </w:rPr>
            </m:ctrlPr>
          </m:sSubPr>
          <m:e>
            <m:r>
              <m:rPr/>
              <w:rPr>
                <w:rFonts w:ascii="Cambria Math" w:hAnsi="Cambria Math"/>
                <w:sz w:val="24"/>
              </w:rPr>
              <m:t>EP</m:t>
            </m:r>
            <m:ctrlPr>
              <w:rPr>
                <w:rFonts w:ascii="Cambria Math" w:hAnsi="Cambria Math"/>
                <w:sz w:val="24"/>
              </w:rPr>
            </m:ctrlPr>
          </m:e>
          <m:sub>
            <m:r>
              <m:rPr/>
              <w:rPr>
                <w:rFonts w:ascii="Cambria Math" w:hAnsi="Cambria Math"/>
                <w:sz w:val="24"/>
              </w:rPr>
              <m:t>c</m:t>
            </m:r>
            <m:ctrlPr>
              <w:rPr>
                <w:rFonts w:ascii="Cambria Math" w:hAnsi="Cambria Math"/>
                <w:sz w:val="24"/>
              </w:rPr>
            </m:ctrlPr>
          </m:sub>
        </m:sSub>
      </m:oMath>
      <w:r>
        <w:rPr>
          <w:sz w:val="24"/>
        </w:rPr>
        <w:t>——</w:t>
      </w:r>
      <w:r>
        <w:rPr>
          <w:rFonts w:hint="eastAsia"/>
          <w:sz w:val="24"/>
        </w:rPr>
        <w:t>空调</w:t>
      </w:r>
      <w:r>
        <w:rPr>
          <w:sz w:val="24"/>
        </w:rPr>
        <w:t>系统中可再生能源利用量，kWh；</w:t>
      </w:r>
    </w:p>
    <w:p>
      <w:pPr>
        <w:snapToGrid w:val="0"/>
        <w:spacing w:line="276" w:lineRule="auto"/>
        <w:ind w:left="734" w:firstLine="480" w:firstLineChars="200"/>
        <w:rPr>
          <w:sz w:val="24"/>
        </w:rPr>
      </w:pPr>
      <m:oMath>
        <m:sSub>
          <m:sSubPr>
            <m:ctrlPr>
              <w:rPr>
                <w:rFonts w:ascii="Cambria Math" w:hAnsi="Cambria Math"/>
                <w:sz w:val="24"/>
              </w:rPr>
            </m:ctrlPr>
          </m:sSubPr>
          <m:e>
            <m:r>
              <m:rPr/>
              <w:rPr>
                <w:rFonts w:ascii="Cambria Math" w:hAnsi="Cambria Math"/>
                <w:sz w:val="24"/>
              </w:rPr>
              <m:t>EP</m:t>
            </m:r>
            <m:ctrlPr>
              <w:rPr>
                <w:rFonts w:ascii="Cambria Math" w:hAnsi="Cambria Math"/>
                <w:sz w:val="24"/>
              </w:rPr>
            </m:ctrlPr>
          </m:e>
          <m:sub>
            <m:r>
              <m:rPr/>
              <w:rPr>
                <w:rFonts w:ascii="Cambria Math" w:hAnsi="Cambria Math"/>
                <w:sz w:val="24"/>
              </w:rPr>
              <m:t>w</m:t>
            </m:r>
            <m:ctrlPr>
              <w:rPr>
                <w:rFonts w:ascii="Cambria Math" w:hAnsi="Cambria Math"/>
                <w:sz w:val="24"/>
              </w:rPr>
            </m:ctrlPr>
          </m:sub>
        </m:sSub>
      </m:oMath>
      <w:r>
        <w:rPr>
          <w:sz w:val="24"/>
        </w:rPr>
        <w:t>——生活热水系统中可再生能源利用量，kWh；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r,i</m:t>
            </m:r>
            <m:ctrlPr>
              <w:rPr>
                <w:rFonts w:ascii="Cambria Math" w:hAnsi="Cambria Math"/>
                <w:i/>
                <w:sz w:val="24"/>
                <w:szCs w:val="21"/>
              </w:rPr>
            </m:ctrlPr>
          </m:sub>
        </m:sSub>
      </m:oMath>
      <w:r>
        <w:rPr>
          <w:sz w:val="24"/>
          <w:szCs w:val="21"/>
        </w:rPr>
        <w:t xml:space="preserve"> ——年</w:t>
      </w:r>
      <w:r>
        <w:rPr>
          <w:rFonts w:hint="eastAsia"/>
          <w:sz w:val="24"/>
          <w:szCs w:val="21"/>
        </w:rPr>
        <w:t>本体</w:t>
      </w:r>
      <w:r>
        <w:rPr>
          <w:sz w:val="24"/>
          <w:szCs w:val="21"/>
        </w:rPr>
        <w:t>产生的</w:t>
      </w:r>
      <m:oMath>
        <m:r>
          <m:rPr/>
          <w:rPr>
            <w:rFonts w:ascii="Cambria Math" w:hAnsi="Cambria Math"/>
            <w:sz w:val="24"/>
            <w:szCs w:val="21"/>
          </w:rPr>
          <m:t>i</m:t>
        </m:r>
      </m:oMath>
      <w:r>
        <w:rPr>
          <w:sz w:val="24"/>
          <w:szCs w:val="21"/>
        </w:rPr>
        <w:t>类型可再生能源</w:t>
      </w:r>
      <w:r>
        <w:rPr>
          <w:rFonts w:hint="eastAsia"/>
          <w:sz w:val="24"/>
          <w:szCs w:val="21"/>
        </w:rPr>
        <w:t>发电</w:t>
      </w:r>
      <w:r>
        <w:rPr>
          <w:sz w:val="24"/>
          <w:szCs w:val="21"/>
        </w:rPr>
        <w:t>量</w:t>
      </w:r>
      <w:r>
        <w:rPr>
          <w:rFonts w:hint="eastAsia"/>
          <w:sz w:val="24"/>
          <w:szCs w:val="21"/>
        </w:rPr>
        <w:t>，</w:t>
      </w:r>
      <w:r>
        <w:rPr>
          <w:sz w:val="24"/>
          <w:szCs w:val="21"/>
        </w:rPr>
        <w:t>kWh；</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w:rPr>
                <w:rFonts w:ascii="Cambria Math" w:hAnsi="Cambria Math"/>
                <w:sz w:val="24"/>
                <w:szCs w:val="21"/>
              </w:rPr>
              <m:t>E</m:t>
            </m:r>
            <m:ctrlPr>
              <w:rPr>
                <w:rFonts w:ascii="Cambria Math" w:hAnsi="Cambria Math"/>
                <w:sz w:val="24"/>
                <w:szCs w:val="21"/>
              </w:rPr>
            </m:ctrlPr>
          </m:e>
          <m:sub>
            <m:r>
              <m:rPr/>
              <w:rPr>
                <w:rFonts w:ascii="Cambria Math" w:hAnsi="Cambria Math"/>
                <w:sz w:val="24"/>
                <w:szCs w:val="21"/>
              </w:rPr>
              <m:t>rd</m:t>
            </m:r>
            <m:r>
              <m:rPr>
                <m:sty m:val="p"/>
              </m:rPr>
              <w:rPr>
                <w:rFonts w:ascii="Cambria Math" w:hAnsi="Cambria Math"/>
                <w:sz w:val="24"/>
                <w:szCs w:val="21"/>
              </w:rPr>
              <m:t>,</m:t>
            </m:r>
            <m:r>
              <m:rPr/>
              <w:rPr>
                <w:rFonts w:ascii="Cambria Math" w:hAnsi="Cambria Math"/>
                <w:sz w:val="24"/>
                <w:szCs w:val="21"/>
              </w:rPr>
              <m:t>i</m:t>
            </m:r>
            <m:ctrlPr>
              <w:rPr>
                <w:rFonts w:ascii="Cambria Math" w:hAnsi="Cambria Math"/>
                <w:sz w:val="24"/>
                <w:szCs w:val="21"/>
              </w:rPr>
            </m:ctrlPr>
          </m:sub>
        </m:sSub>
      </m:oMath>
      <w:r>
        <w:rPr>
          <w:sz w:val="24"/>
          <w:szCs w:val="21"/>
        </w:rPr>
        <w:t xml:space="preserve"> ——</w:t>
      </w:r>
      <w:r>
        <w:rPr>
          <w:rFonts w:hint="eastAsia"/>
          <w:sz w:val="24"/>
          <w:szCs w:val="21"/>
        </w:rPr>
        <w:t>年周边</w:t>
      </w:r>
      <w:r>
        <w:rPr>
          <w:sz w:val="24"/>
          <w:szCs w:val="21"/>
        </w:rPr>
        <w:t>产生的的</w:t>
      </w:r>
      <m:oMath>
        <m:r>
          <m:rPr/>
          <w:rPr>
            <w:rFonts w:ascii="Cambria Math" w:hAnsi="Cambria Math"/>
            <w:sz w:val="24"/>
            <w:szCs w:val="21"/>
          </w:rPr>
          <m:t>i</m:t>
        </m:r>
      </m:oMath>
      <w:r>
        <w:rPr>
          <w:sz w:val="24"/>
          <w:szCs w:val="21"/>
        </w:rPr>
        <w:t>类型可再生能源发电量</w:t>
      </w:r>
      <w:r>
        <w:rPr>
          <w:rFonts w:hint="eastAsia"/>
          <w:sz w:val="24"/>
          <w:szCs w:val="21"/>
        </w:rPr>
        <w:t>，</w:t>
      </w:r>
      <w:r>
        <w:rPr>
          <w:sz w:val="24"/>
          <w:szCs w:val="21"/>
        </w:rPr>
        <w:t>kWh。</w:t>
      </w:r>
    </w:p>
    <w:p>
      <w:pPr>
        <w:snapToGrid w:val="0"/>
        <w:spacing w:line="276" w:lineRule="auto"/>
        <w:ind w:firstLine="1154" w:firstLineChars="481"/>
        <w:rPr>
          <w:sz w:val="24"/>
          <w:szCs w:val="21"/>
        </w:rPr>
      </w:pPr>
    </w:p>
    <w:p>
      <w:pPr>
        <w:rPr>
          <w:kern w:val="0"/>
          <w:sz w:val="24"/>
          <w:szCs w:val="21"/>
        </w:rPr>
      </w:pPr>
      <w:r>
        <w:rPr>
          <w:b/>
          <w:sz w:val="24"/>
          <w:szCs w:val="21"/>
        </w:rPr>
        <w:t xml:space="preserve">8.2.3 </w:t>
      </w:r>
      <w:r>
        <w:rPr>
          <w:sz w:val="24"/>
          <w:szCs w:val="21"/>
        </w:rPr>
        <w:t>供暖系统中可再生能源利用量应</w:t>
      </w:r>
      <w:r>
        <w:rPr>
          <w:sz w:val="24"/>
        </w:rPr>
        <w:t>按下列公式</w:t>
      </w:r>
      <w:r>
        <w:rPr>
          <w:sz w:val="24"/>
          <w:szCs w:val="21"/>
        </w:rPr>
        <w:t>计算</w:t>
      </w:r>
      <w:r>
        <w:rPr>
          <w:rFonts w:hint="eastAsia"/>
          <w:kern w:val="0"/>
          <w:sz w:val="24"/>
          <w:szCs w:val="21"/>
        </w:rPr>
        <w:t>：</w:t>
      </w:r>
    </w:p>
    <w:p>
      <w:pPr>
        <w:snapToGrid w:val="0"/>
        <w:spacing w:line="276" w:lineRule="auto"/>
        <w:ind w:firstLine="1154" w:firstLineChars="481"/>
        <w:jc w:val="right"/>
        <w:rPr>
          <w:b/>
          <w:i/>
          <w:sz w:val="24"/>
          <w:szCs w:val="21"/>
        </w:rPr>
      </w:pPr>
      <m:oMath>
        <m:sSub>
          <m:sSubPr>
            <m:ctrlPr>
              <w:rPr>
                <w:rFonts w:ascii="Cambria Math" w:hAnsi="Cambria Math"/>
                <w:i/>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m:t>
            </m:r>
            <m:ctrlPr>
              <w:rPr>
                <w:rFonts w:ascii="Cambria Math" w:hAnsi="Cambria Math"/>
                <w:i/>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ℎ，geo</m:t>
            </m:r>
            <m:ctrlPr>
              <w:rPr>
                <w:rFonts w:ascii="Cambria Math" w:hAnsi="Cambria Math"/>
                <w:i/>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ℎ，air</m:t>
            </m:r>
            <m:ctrlPr>
              <w:rPr>
                <w:rFonts w:ascii="Cambria Math" w:hAnsi="Cambria Math"/>
                <w:i/>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ℎ，sol</m:t>
            </m:r>
            <m:ctrlPr>
              <w:rPr>
                <w:rFonts w:ascii="Cambria Math" w:hAnsi="Cambria Math"/>
                <w:i/>
                <w:sz w:val="24"/>
                <w:szCs w:val="21"/>
              </w:rPr>
            </m:ctrlPr>
          </m:sub>
        </m:sSub>
        <m:sSub>
          <m:sSubPr>
            <m:ctrlPr>
              <w:rPr>
                <w:rFonts w:ascii="Cambria Math" w:hAnsi="Cambria Math"/>
                <w:i/>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ℎ，bio</m:t>
            </m:r>
            <m:ctrlPr>
              <w:rPr>
                <w:rFonts w:ascii="Cambria Math" w:hAnsi="Cambria Math"/>
                <w:i/>
                <w:sz w:val="24"/>
                <w:szCs w:val="21"/>
              </w:rPr>
            </m:ctrlPr>
          </m:sub>
        </m:sSub>
      </m:oMath>
      <w:r>
        <w:rPr>
          <w:i/>
          <w:sz w:val="24"/>
          <w:szCs w:val="21"/>
        </w:rPr>
        <w:t xml:space="preserve">   </w:t>
      </w:r>
      <w:r>
        <w:rPr>
          <w:sz w:val="24"/>
          <w:szCs w:val="21"/>
        </w:rPr>
        <w:t xml:space="preserve"> </w:t>
      </w:r>
      <w:r>
        <w:rPr>
          <w:rFonts w:hint="eastAsia"/>
          <w:sz w:val="24"/>
          <w:szCs w:val="21"/>
          <w:lang w:val="en-US" w:eastAsia="zh-CN"/>
        </w:rPr>
        <w:t xml:space="preserve">   </w:t>
      </w:r>
      <w:r>
        <w:rPr>
          <w:sz w:val="24"/>
          <w:szCs w:val="21"/>
        </w:rPr>
        <w:t xml:space="preserve">   （8.2.3-1）                  </w:t>
      </w:r>
    </w:p>
    <w:p>
      <w:pPr>
        <w:snapToGrid w:val="0"/>
        <w:spacing w:line="276" w:lineRule="auto"/>
        <w:ind w:firstLine="1154" w:firstLineChars="481"/>
        <w:jc w:val="right"/>
        <w:rPr>
          <w:i/>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ℎ，geo</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ℎ，geo</m:t>
            </m:r>
            <m:ctrlPr>
              <w:rPr>
                <w:rFonts w:ascii="Cambria Math" w:hAnsi="Cambria Math"/>
                <w:i/>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ℎ，geo</m:t>
            </m:r>
            <m:ctrlPr>
              <w:rPr>
                <w:rFonts w:ascii="Cambria Math" w:hAnsi="Cambria Math"/>
                <w:i/>
                <w:sz w:val="24"/>
                <w:szCs w:val="21"/>
              </w:rPr>
            </m:ctrlPr>
          </m:sub>
        </m:sSub>
      </m:oMath>
      <w:r>
        <w:rPr>
          <w:sz w:val="24"/>
          <w:szCs w:val="21"/>
        </w:rPr>
        <w:t xml:space="preserve">                （8.2.3-2）</w:t>
      </w:r>
    </w:p>
    <w:p>
      <w:pPr>
        <w:snapToGrid w:val="0"/>
        <w:spacing w:line="276" w:lineRule="auto"/>
        <w:ind w:firstLine="1154" w:firstLineChars="481"/>
        <w:jc w:val="right"/>
        <w:rPr>
          <w:i/>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ℎ，air</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ℎ，air</m:t>
            </m:r>
            <m:ctrlPr>
              <w:rPr>
                <w:rFonts w:ascii="Cambria Math" w:hAnsi="Cambria Math"/>
                <w:i/>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ℎ，air</m:t>
            </m:r>
            <m:ctrlPr>
              <w:rPr>
                <w:rFonts w:ascii="Cambria Math" w:hAnsi="Cambria Math"/>
                <w:i/>
                <w:sz w:val="24"/>
                <w:szCs w:val="21"/>
              </w:rPr>
            </m:ctrlPr>
          </m:sub>
        </m:sSub>
      </m:oMath>
      <w:r>
        <w:rPr>
          <w:sz w:val="24"/>
          <w:szCs w:val="21"/>
        </w:rPr>
        <w:t xml:space="preserve">                 （8.2.3-3）</w:t>
      </w:r>
    </w:p>
    <w:p>
      <w:pPr>
        <w:snapToGrid w:val="0"/>
        <w:spacing w:line="276" w:lineRule="auto"/>
        <w:ind w:firstLine="1154" w:firstLineChars="481"/>
        <w:jc w:val="right"/>
        <w:rPr>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ℎ，sol</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ℎ，sol</m:t>
            </m:r>
            <m:ctrlPr>
              <w:rPr>
                <w:rFonts w:ascii="Cambria Math" w:hAnsi="Cambria Math"/>
                <w:i/>
                <w:sz w:val="24"/>
                <w:szCs w:val="21"/>
              </w:rPr>
            </m:ctrlPr>
          </m:sub>
        </m:sSub>
      </m:oMath>
      <w:r>
        <w:rPr>
          <w:sz w:val="24"/>
          <w:szCs w:val="21"/>
        </w:rPr>
        <w:t xml:space="preserve">                     （8.2.3-4）</w:t>
      </w:r>
    </w:p>
    <w:p>
      <w:pPr>
        <w:snapToGrid w:val="0"/>
        <w:spacing w:line="276" w:lineRule="auto"/>
        <w:ind w:firstLine="1154" w:firstLineChars="481"/>
        <w:jc w:val="right"/>
        <w:rPr>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ℎ，bio</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ℎ，bio</m:t>
            </m:r>
            <m:ctrlPr>
              <w:rPr>
                <w:rFonts w:ascii="Cambria Math" w:hAnsi="Cambria Math"/>
                <w:i/>
                <w:sz w:val="24"/>
                <w:szCs w:val="21"/>
              </w:rPr>
            </m:ctrlPr>
          </m:sub>
        </m:sSub>
      </m:oMath>
      <w:r>
        <w:rPr>
          <w:sz w:val="24"/>
          <w:szCs w:val="21"/>
        </w:rPr>
        <w:t xml:space="preserve">                     （8.2.3-5）</w:t>
      </w:r>
    </w:p>
    <w:p>
      <w:pPr>
        <w:snapToGrid w:val="0"/>
        <w:spacing w:line="276" w:lineRule="auto"/>
        <w:ind w:firstLine="1154" w:firstLineChars="481"/>
        <w:rPr>
          <w:sz w:val="24"/>
          <w:szCs w:val="21"/>
        </w:rPr>
      </w:pPr>
    </w:p>
    <w:p>
      <w:pPr>
        <w:snapToGrid w:val="0"/>
        <w:spacing w:line="276" w:lineRule="auto"/>
        <w:ind w:left="420" w:firstLine="420"/>
        <w:rPr>
          <w:sz w:val="24"/>
          <w:szCs w:val="21"/>
        </w:rPr>
      </w:pPr>
      <w:r>
        <w:rPr>
          <w:sz w:val="24"/>
          <w:szCs w:val="21"/>
        </w:rPr>
        <w:t>式中：</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ℎ，geo</m:t>
            </m:r>
            <m:ctrlPr>
              <w:rPr>
                <w:rFonts w:ascii="Cambria Math" w:hAnsi="Cambria Math"/>
                <w:sz w:val="24"/>
                <w:szCs w:val="21"/>
              </w:rPr>
            </m:ctrlPr>
          </m:sub>
        </m:sSub>
      </m:oMath>
      <w:r>
        <w:rPr>
          <w:sz w:val="24"/>
          <w:szCs w:val="21"/>
        </w:rPr>
        <w:t>——地源热泵供暖系统的年可再生能源利用量，kWh；</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m:sty m:val="p"/>
              </m:rPr>
              <w:rPr>
                <w:rFonts w:ascii="Cambria Math" w:hAnsi="Cambria Math"/>
                <w:sz w:val="24"/>
                <w:szCs w:val="21"/>
              </w:rPr>
              <m:t>EP</m:t>
            </m:r>
            <m:ctrlPr>
              <w:rPr>
                <w:rFonts w:ascii="Cambria Math" w:hAnsi="Cambria Math"/>
                <w:sz w:val="24"/>
                <w:szCs w:val="21"/>
              </w:rPr>
            </m:ctrlPr>
          </m:e>
          <m:sub>
            <m:r>
              <m:rPr>
                <m:sty m:val="p"/>
              </m:rPr>
              <w:rPr>
                <w:rFonts w:ascii="Cambria Math" w:hAnsi="Cambria Math"/>
                <w:sz w:val="24"/>
                <w:szCs w:val="21"/>
              </w:rPr>
              <m:t>h，air</m:t>
            </m:r>
            <m:ctrlPr>
              <w:rPr>
                <w:rFonts w:ascii="Cambria Math" w:hAnsi="Cambria Math"/>
                <w:sz w:val="24"/>
                <w:szCs w:val="21"/>
              </w:rPr>
            </m:ctrlPr>
          </m:sub>
        </m:sSub>
      </m:oMath>
      <w:r>
        <w:rPr>
          <w:sz w:val="24"/>
          <w:szCs w:val="21"/>
        </w:rPr>
        <w:t>——空气源热泵供暖系统的年可再生能源利用量，kWh；</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m:sty m:val="p"/>
              </m:rPr>
              <w:rPr>
                <w:rFonts w:ascii="Cambria Math" w:hAnsi="Cambria Math"/>
                <w:sz w:val="24"/>
                <w:szCs w:val="21"/>
              </w:rPr>
              <m:t>EP</m:t>
            </m:r>
            <m:ctrlPr>
              <w:rPr>
                <w:rFonts w:ascii="Cambria Math" w:hAnsi="Cambria Math"/>
                <w:sz w:val="24"/>
                <w:szCs w:val="21"/>
              </w:rPr>
            </m:ctrlPr>
          </m:e>
          <m:sub>
            <m:r>
              <m:rPr>
                <m:sty m:val="p"/>
              </m:rPr>
              <w:rPr>
                <w:rFonts w:ascii="Cambria Math" w:hAnsi="Cambria Math"/>
                <w:sz w:val="24"/>
                <w:szCs w:val="21"/>
              </w:rPr>
              <m:t>h，sol</m:t>
            </m:r>
            <m:ctrlPr>
              <w:rPr>
                <w:rFonts w:ascii="Cambria Math" w:hAnsi="Cambria Math"/>
                <w:sz w:val="24"/>
                <w:szCs w:val="21"/>
              </w:rPr>
            </m:ctrlPr>
          </m:sub>
        </m:sSub>
      </m:oMath>
      <w:r>
        <w:rPr>
          <w:sz w:val="24"/>
          <w:szCs w:val="21"/>
        </w:rPr>
        <w:t>——太阳能热水供暖系统的年可再生能源利用量，kWh；</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m:sty m:val="p"/>
              </m:rPr>
              <w:rPr>
                <w:rFonts w:ascii="Cambria Math" w:hAnsi="Cambria Math"/>
                <w:sz w:val="24"/>
                <w:szCs w:val="21"/>
              </w:rPr>
              <m:t>EP</m:t>
            </m:r>
            <m:ctrlPr>
              <w:rPr>
                <w:rFonts w:ascii="Cambria Math" w:hAnsi="Cambria Math"/>
                <w:sz w:val="24"/>
                <w:szCs w:val="21"/>
              </w:rPr>
            </m:ctrlPr>
          </m:e>
          <m:sub>
            <m:r>
              <m:rPr>
                <m:sty m:val="p"/>
              </m:rPr>
              <w:rPr>
                <w:rFonts w:ascii="Cambria Math" w:hAnsi="Cambria Math"/>
                <w:sz w:val="24"/>
                <w:szCs w:val="21"/>
              </w:rPr>
              <m:t>h，bio</m:t>
            </m:r>
            <m:ctrlPr>
              <w:rPr>
                <w:rFonts w:ascii="Cambria Math" w:hAnsi="Cambria Math"/>
                <w:sz w:val="24"/>
                <w:szCs w:val="21"/>
              </w:rPr>
            </m:ctrlPr>
          </m:sub>
        </m:sSub>
      </m:oMath>
      <w:r>
        <w:rPr>
          <w:sz w:val="24"/>
          <w:szCs w:val="21"/>
        </w:rPr>
        <w:t>——</w:t>
      </w:r>
      <w:r>
        <w:rPr>
          <w:rFonts w:hint="eastAsia"/>
          <w:sz w:val="24"/>
          <w:szCs w:val="21"/>
        </w:rPr>
        <w:t>生物质</w:t>
      </w:r>
      <w:r>
        <w:rPr>
          <w:sz w:val="24"/>
          <w:szCs w:val="21"/>
        </w:rPr>
        <w:t>供暖系统的年可再生能源利用量，kWh；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ℎ</m:t>
            </m:r>
            <m:r>
              <m:rPr>
                <m:sty m:val="p"/>
              </m:rPr>
              <w:rPr>
                <w:rFonts w:ascii="Cambria Math" w:hAnsi="Cambria Math"/>
                <w:sz w:val="24"/>
                <w:szCs w:val="21"/>
              </w:rPr>
              <m:t>，geo</m:t>
            </m:r>
            <m:ctrlPr>
              <w:rPr>
                <w:rFonts w:ascii="Cambria Math" w:hAnsi="Cambria Math"/>
                <w:i/>
                <w:sz w:val="24"/>
                <w:szCs w:val="21"/>
              </w:rPr>
            </m:ctrlPr>
          </m:sub>
        </m:sSub>
      </m:oMath>
      <w:r>
        <w:rPr>
          <w:sz w:val="24"/>
          <w:szCs w:val="21"/>
        </w:rPr>
        <w:t>——地源热泵系统的年供暖供热量，kWh；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ℎ</m:t>
            </m:r>
            <m:r>
              <m:rPr>
                <m:sty m:val="p"/>
              </m:rPr>
              <w:rPr>
                <w:rFonts w:ascii="Cambria Math" w:hAnsi="Cambria Math"/>
                <w:sz w:val="24"/>
                <w:szCs w:val="21"/>
              </w:rPr>
              <m:t>，air</m:t>
            </m:r>
            <m:ctrlPr>
              <w:rPr>
                <w:rFonts w:ascii="Cambria Math" w:hAnsi="Cambria Math"/>
                <w:i/>
                <w:sz w:val="24"/>
                <w:szCs w:val="21"/>
              </w:rPr>
            </m:ctrlPr>
          </m:sub>
        </m:sSub>
      </m:oMath>
      <w:r>
        <w:rPr>
          <w:sz w:val="24"/>
          <w:szCs w:val="21"/>
        </w:rPr>
        <w:t>——空气源热泵系统的年供暖供热量，kWh；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ℎ</m:t>
            </m:r>
            <m:r>
              <m:rPr>
                <m:sty m:val="p"/>
              </m:rPr>
              <w:rPr>
                <w:rFonts w:ascii="Cambria Math" w:hAnsi="Cambria Math"/>
                <w:sz w:val="24"/>
                <w:szCs w:val="21"/>
              </w:rPr>
              <m:t>，sol</m:t>
            </m:r>
            <m:ctrlPr>
              <w:rPr>
                <w:rFonts w:ascii="Cambria Math" w:hAnsi="Cambria Math"/>
                <w:i/>
                <w:sz w:val="24"/>
                <w:szCs w:val="21"/>
              </w:rPr>
            </m:ctrlPr>
          </m:sub>
        </m:sSub>
      </m:oMath>
      <w:r>
        <w:rPr>
          <w:sz w:val="24"/>
          <w:szCs w:val="21"/>
        </w:rPr>
        <w:t>——太阳能系统的年供暖供热量，kWh；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ℎ</m:t>
            </m:r>
            <m:r>
              <m:rPr>
                <m:sty m:val="p"/>
              </m:rPr>
              <w:rPr>
                <w:rFonts w:ascii="Cambria Math" w:hAnsi="Cambria Math"/>
                <w:sz w:val="24"/>
                <w:szCs w:val="21"/>
              </w:rPr>
              <m:t>，bio</m:t>
            </m:r>
            <m:ctrlPr>
              <w:rPr>
                <w:rFonts w:ascii="Cambria Math" w:hAnsi="Cambria Math"/>
                <w:i/>
                <w:sz w:val="24"/>
                <w:szCs w:val="21"/>
              </w:rPr>
            </m:ctrlPr>
          </m:sub>
        </m:sSub>
      </m:oMath>
      <w:r>
        <w:rPr>
          <w:sz w:val="24"/>
          <w:szCs w:val="21"/>
        </w:rPr>
        <w:t>——</w:t>
      </w:r>
      <w:r>
        <w:rPr>
          <w:rFonts w:hint="eastAsia"/>
          <w:sz w:val="24"/>
          <w:szCs w:val="21"/>
        </w:rPr>
        <w:t>生物质供暖</w:t>
      </w:r>
      <w:r>
        <w:rPr>
          <w:sz w:val="24"/>
          <w:szCs w:val="21"/>
        </w:rPr>
        <w:t>系统的年供暖供热量，kWh；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ℎ</m:t>
            </m:r>
            <m:r>
              <m:rPr>
                <m:sty m:val="p"/>
              </m:rPr>
              <w:rPr>
                <w:rFonts w:ascii="Cambria Math" w:hAnsi="Cambria Math"/>
                <w:sz w:val="24"/>
                <w:szCs w:val="21"/>
              </w:rPr>
              <m:t>，geo</m:t>
            </m:r>
            <m:ctrlPr>
              <w:rPr>
                <w:rFonts w:ascii="Cambria Math" w:hAnsi="Cambria Math"/>
                <w:i/>
                <w:sz w:val="24"/>
                <w:szCs w:val="21"/>
              </w:rPr>
            </m:ctrlPr>
          </m:sub>
        </m:sSub>
      </m:oMath>
      <w:r>
        <w:rPr>
          <w:sz w:val="24"/>
          <w:szCs w:val="21"/>
        </w:rPr>
        <w:t>——地源热泵</w:t>
      </w:r>
      <w:r>
        <w:rPr>
          <w:rFonts w:hint="eastAsia"/>
          <w:sz w:val="24"/>
          <w:szCs w:val="21"/>
        </w:rPr>
        <w:t>机组暖</w:t>
      </w:r>
      <w:r>
        <w:rPr>
          <w:sz w:val="24"/>
          <w:szCs w:val="21"/>
        </w:rPr>
        <w:t>年</w:t>
      </w:r>
      <w:r>
        <w:rPr>
          <w:rFonts w:hint="eastAsia"/>
          <w:sz w:val="24"/>
          <w:szCs w:val="21"/>
        </w:rPr>
        <w:t>耗电</w:t>
      </w:r>
      <w:r>
        <w:rPr>
          <w:sz w:val="24"/>
          <w:szCs w:val="21"/>
        </w:rPr>
        <w:t>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ℎ</m:t>
            </m:r>
            <m:r>
              <m:rPr>
                <m:sty m:val="p"/>
              </m:rPr>
              <w:rPr>
                <w:rFonts w:ascii="Cambria Math" w:hAnsi="Cambria Math"/>
                <w:sz w:val="24"/>
                <w:szCs w:val="21"/>
              </w:rPr>
              <m:t>，air</m:t>
            </m:r>
            <m:ctrlPr>
              <w:rPr>
                <w:rFonts w:ascii="Cambria Math" w:hAnsi="Cambria Math"/>
                <w:i/>
                <w:sz w:val="24"/>
                <w:szCs w:val="21"/>
              </w:rPr>
            </m:ctrlPr>
          </m:sub>
        </m:sSub>
      </m:oMath>
      <w:r>
        <w:rPr>
          <w:sz w:val="24"/>
          <w:szCs w:val="21"/>
        </w:rPr>
        <w:t>——空气源热泵</w:t>
      </w:r>
      <w:r>
        <w:rPr>
          <w:rFonts w:hint="eastAsia"/>
          <w:sz w:val="24"/>
          <w:szCs w:val="21"/>
        </w:rPr>
        <w:t>机组供暖</w:t>
      </w:r>
      <w:r>
        <w:rPr>
          <w:sz w:val="24"/>
          <w:szCs w:val="21"/>
        </w:rPr>
        <w:t>年</w:t>
      </w:r>
      <w:r>
        <w:rPr>
          <w:rFonts w:hint="eastAsia"/>
          <w:sz w:val="24"/>
          <w:szCs w:val="21"/>
        </w:rPr>
        <w:t>耗电</w:t>
      </w:r>
      <w:r>
        <w:rPr>
          <w:sz w:val="24"/>
          <w:szCs w:val="21"/>
        </w:rPr>
        <w:t>量，kWh。</w:t>
      </w:r>
    </w:p>
    <w:p>
      <w:pPr>
        <w:snapToGrid w:val="0"/>
        <w:spacing w:line="276" w:lineRule="auto"/>
        <w:ind w:firstLine="1154" w:firstLineChars="481"/>
        <w:rPr>
          <w:sz w:val="24"/>
          <w:szCs w:val="21"/>
        </w:rPr>
      </w:pPr>
    </w:p>
    <w:p>
      <w:pPr>
        <w:snapToGrid w:val="0"/>
        <w:spacing w:line="276" w:lineRule="auto"/>
        <w:rPr>
          <w:sz w:val="24"/>
          <w:szCs w:val="21"/>
        </w:rPr>
      </w:pPr>
      <w:r>
        <w:rPr>
          <w:b/>
          <w:sz w:val="24"/>
          <w:szCs w:val="21"/>
        </w:rPr>
        <w:t>8.2.4</w:t>
      </w:r>
      <w:r>
        <w:rPr>
          <w:sz w:val="24"/>
          <w:szCs w:val="21"/>
        </w:rPr>
        <w:t>生活热水系统中可再生能源利用量应按下列公式计算：</w:t>
      </w:r>
    </w:p>
    <w:p>
      <w:pPr>
        <w:snapToGrid w:val="0"/>
        <w:spacing w:line="276" w:lineRule="auto"/>
        <w:ind w:firstLine="1154" w:firstLineChars="481"/>
        <w:jc w:val="right"/>
        <w:rPr>
          <w:b/>
          <w:i/>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w，geo</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w，air</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w，sol</m:t>
            </m:r>
            <m:ctrlPr>
              <w:rPr>
                <w:rFonts w:ascii="Cambria Math" w:hAnsi="Cambria Math"/>
                <w:sz w:val="24"/>
                <w:szCs w:val="21"/>
              </w:rPr>
            </m:ctrlPr>
          </m:sub>
        </m:sSub>
        <m:sSub>
          <m:sSubPr>
            <m:ctrlPr>
              <w:rPr>
                <w:rFonts w:ascii="Cambria Math" w:hAnsi="Cambria Math"/>
                <w:i/>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w，bio</m:t>
            </m:r>
            <m:ctrlPr>
              <w:rPr>
                <w:rFonts w:ascii="Cambria Math" w:hAnsi="Cambria Math"/>
                <w:i/>
                <w:sz w:val="24"/>
                <w:szCs w:val="21"/>
              </w:rPr>
            </m:ctrlPr>
          </m:sub>
        </m:sSub>
      </m:oMath>
      <w:r>
        <w:rPr>
          <w:sz w:val="24"/>
          <w:szCs w:val="21"/>
        </w:rPr>
        <w:t xml:space="preserve">         （8.2.4-1）                  </w:t>
      </w:r>
    </w:p>
    <w:p>
      <w:pPr>
        <w:snapToGrid w:val="0"/>
        <w:spacing w:line="276" w:lineRule="auto"/>
        <w:ind w:firstLine="1154" w:firstLineChars="481"/>
        <w:jc w:val="right"/>
        <w:rPr>
          <w:b/>
          <w:i/>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w，geo</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w，geo</m:t>
            </m:r>
            <m:ctrlPr>
              <w:rPr>
                <w:rFonts w:ascii="Cambria Math" w:hAnsi="Cambria Math"/>
                <w:i/>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w，geo</m:t>
            </m:r>
            <m:ctrlPr>
              <w:rPr>
                <w:rFonts w:ascii="Cambria Math" w:hAnsi="Cambria Math"/>
                <w:i/>
                <w:sz w:val="24"/>
                <w:szCs w:val="21"/>
              </w:rPr>
            </m:ctrlPr>
          </m:sub>
        </m:sSub>
      </m:oMath>
      <w:r>
        <w:rPr>
          <w:sz w:val="24"/>
          <w:szCs w:val="21"/>
        </w:rPr>
        <w:t xml:space="preserve">                  （8.2.4-2）</w:t>
      </w:r>
    </w:p>
    <w:p>
      <w:pPr>
        <w:snapToGrid w:val="0"/>
        <w:spacing w:line="276" w:lineRule="auto"/>
        <w:ind w:firstLine="1154" w:firstLineChars="481"/>
        <w:jc w:val="right"/>
        <w:rPr>
          <w:b/>
          <w:i/>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w，air</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w，air</m:t>
            </m:r>
            <m:ctrlPr>
              <w:rPr>
                <w:rFonts w:ascii="Cambria Math" w:hAnsi="Cambria Math"/>
                <w:i/>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w，air</m:t>
            </m:r>
            <m:ctrlPr>
              <w:rPr>
                <w:rFonts w:ascii="Cambria Math" w:hAnsi="Cambria Math"/>
                <w:i/>
                <w:sz w:val="24"/>
                <w:szCs w:val="21"/>
              </w:rPr>
            </m:ctrlPr>
          </m:sub>
        </m:sSub>
      </m:oMath>
      <w:r>
        <w:rPr>
          <w:sz w:val="24"/>
          <w:szCs w:val="21"/>
        </w:rPr>
        <w:t xml:space="preserve">                  （8.2.4-3）</w:t>
      </w:r>
    </w:p>
    <w:p>
      <w:pPr>
        <w:snapToGrid w:val="0"/>
        <w:spacing w:line="276" w:lineRule="auto"/>
        <w:ind w:firstLine="1154" w:firstLineChars="481"/>
        <w:jc w:val="right"/>
        <w:rPr>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w，sol</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w，sol</m:t>
            </m:r>
            <m:ctrlPr>
              <w:rPr>
                <w:rFonts w:ascii="Cambria Math" w:hAnsi="Cambria Math"/>
                <w:i/>
                <w:sz w:val="24"/>
                <w:szCs w:val="21"/>
              </w:rPr>
            </m:ctrlPr>
          </m:sub>
        </m:sSub>
      </m:oMath>
      <w:r>
        <w:rPr>
          <w:sz w:val="24"/>
          <w:szCs w:val="21"/>
        </w:rPr>
        <w:t xml:space="preserve">                     （8.2.4-4）</w:t>
      </w:r>
    </w:p>
    <w:p>
      <w:pPr>
        <w:snapToGrid w:val="0"/>
        <w:spacing w:line="276" w:lineRule="auto"/>
        <w:ind w:firstLine="1154" w:firstLineChars="481"/>
        <w:jc w:val="right"/>
        <w:rPr>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w，bio</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w，bio</m:t>
            </m:r>
            <m:ctrlPr>
              <w:rPr>
                <w:rFonts w:ascii="Cambria Math" w:hAnsi="Cambria Math"/>
                <w:i/>
                <w:sz w:val="24"/>
                <w:szCs w:val="21"/>
              </w:rPr>
            </m:ctrlPr>
          </m:sub>
        </m:sSub>
      </m:oMath>
      <w:r>
        <w:rPr>
          <w:sz w:val="24"/>
          <w:szCs w:val="21"/>
        </w:rPr>
        <w:t xml:space="preserve">                     （8.2.4-5）</w:t>
      </w:r>
    </w:p>
    <w:p>
      <w:pPr>
        <w:snapToGrid w:val="0"/>
        <w:spacing w:line="276" w:lineRule="auto"/>
        <w:ind w:firstLine="1154" w:firstLineChars="481"/>
        <w:rPr>
          <w:sz w:val="24"/>
          <w:szCs w:val="21"/>
        </w:rPr>
      </w:pPr>
    </w:p>
    <w:p>
      <w:pPr>
        <w:snapToGrid w:val="0"/>
        <w:spacing w:line="276" w:lineRule="auto"/>
        <w:ind w:left="420" w:firstLine="420"/>
        <w:rPr>
          <w:sz w:val="24"/>
          <w:szCs w:val="21"/>
        </w:rPr>
      </w:pPr>
      <w:r>
        <w:rPr>
          <w:sz w:val="24"/>
          <w:szCs w:val="21"/>
        </w:rPr>
        <w:t>式中：</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m:sty m:val="p"/>
              </m:rPr>
              <w:rPr>
                <w:rFonts w:ascii="Cambria Math" w:hAnsi="Cambria Math"/>
                <w:sz w:val="24"/>
                <w:szCs w:val="21"/>
              </w:rPr>
              <m:t>EP</m:t>
            </m:r>
            <m:ctrlPr>
              <w:rPr>
                <w:rFonts w:ascii="Cambria Math" w:hAnsi="Cambria Math"/>
                <w:sz w:val="24"/>
                <w:szCs w:val="21"/>
              </w:rPr>
            </m:ctrlPr>
          </m:e>
          <m:sub>
            <m:r>
              <m:rPr>
                <m:sty m:val="p"/>
              </m:rPr>
              <w:rPr>
                <w:rFonts w:ascii="Cambria Math" w:hAnsi="Cambria Math"/>
                <w:sz w:val="24"/>
                <w:szCs w:val="21"/>
              </w:rPr>
              <m:t>w，geo</m:t>
            </m:r>
            <m:ctrlPr>
              <w:rPr>
                <w:rFonts w:ascii="Cambria Math" w:hAnsi="Cambria Math"/>
                <w:sz w:val="24"/>
                <w:szCs w:val="21"/>
              </w:rPr>
            </m:ctrlPr>
          </m:sub>
        </m:sSub>
      </m:oMath>
      <w:r>
        <w:rPr>
          <w:sz w:val="24"/>
          <w:szCs w:val="21"/>
        </w:rPr>
        <w:t>——地源热泵生活热水系统的年可再生能源利用量，kWh；</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m:sty m:val="p"/>
              </m:rPr>
              <w:rPr>
                <w:rFonts w:ascii="Cambria Math" w:hAnsi="Cambria Math"/>
                <w:sz w:val="24"/>
                <w:szCs w:val="21"/>
              </w:rPr>
              <m:t>EP</m:t>
            </m:r>
            <m:ctrlPr>
              <w:rPr>
                <w:rFonts w:ascii="Cambria Math" w:hAnsi="Cambria Math"/>
                <w:sz w:val="24"/>
                <w:szCs w:val="21"/>
              </w:rPr>
            </m:ctrlPr>
          </m:e>
          <m:sub>
            <m:r>
              <m:rPr>
                <m:sty m:val="p"/>
              </m:rPr>
              <w:rPr>
                <w:rFonts w:ascii="Cambria Math" w:hAnsi="Cambria Math"/>
                <w:sz w:val="24"/>
                <w:szCs w:val="21"/>
              </w:rPr>
              <m:t>w，air</m:t>
            </m:r>
            <m:ctrlPr>
              <w:rPr>
                <w:rFonts w:ascii="Cambria Math" w:hAnsi="Cambria Math"/>
                <w:sz w:val="24"/>
                <w:szCs w:val="21"/>
              </w:rPr>
            </m:ctrlPr>
          </m:sub>
        </m:sSub>
      </m:oMath>
      <w:r>
        <w:rPr>
          <w:sz w:val="24"/>
          <w:szCs w:val="21"/>
        </w:rPr>
        <w:t>——空气源热泵生活热水系统的年可再生能源利用量，kWh；</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m:sty m:val="p"/>
              </m:rPr>
              <w:rPr>
                <w:rFonts w:ascii="Cambria Math" w:hAnsi="Cambria Math"/>
                <w:sz w:val="24"/>
                <w:szCs w:val="21"/>
              </w:rPr>
              <m:t>EP</m:t>
            </m:r>
            <m:ctrlPr>
              <w:rPr>
                <w:rFonts w:ascii="Cambria Math" w:hAnsi="Cambria Math"/>
                <w:sz w:val="24"/>
                <w:szCs w:val="21"/>
              </w:rPr>
            </m:ctrlPr>
          </m:e>
          <m:sub>
            <m:r>
              <m:rPr>
                <m:sty m:val="p"/>
              </m:rPr>
              <w:rPr>
                <w:rFonts w:ascii="Cambria Math" w:hAnsi="Cambria Math"/>
                <w:sz w:val="24"/>
                <w:szCs w:val="21"/>
              </w:rPr>
              <m:t>w，sol</m:t>
            </m:r>
            <m:ctrlPr>
              <w:rPr>
                <w:rFonts w:ascii="Cambria Math" w:hAnsi="Cambria Math"/>
                <w:sz w:val="24"/>
                <w:szCs w:val="21"/>
              </w:rPr>
            </m:ctrlPr>
          </m:sub>
        </m:sSub>
      </m:oMath>
      <w:r>
        <w:rPr>
          <w:sz w:val="24"/>
          <w:szCs w:val="21"/>
        </w:rPr>
        <w:t>——太阳能生活热水系统的年可再生能源利用量，kWh；</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m:sty m:val="p"/>
              </m:rPr>
              <w:rPr>
                <w:rFonts w:ascii="Cambria Math" w:hAnsi="Cambria Math"/>
                <w:sz w:val="24"/>
                <w:szCs w:val="21"/>
              </w:rPr>
              <m:t>EP</m:t>
            </m:r>
            <m:ctrlPr>
              <w:rPr>
                <w:rFonts w:ascii="Cambria Math" w:hAnsi="Cambria Math"/>
                <w:sz w:val="24"/>
                <w:szCs w:val="21"/>
              </w:rPr>
            </m:ctrlPr>
          </m:e>
          <m:sub>
            <m:r>
              <m:rPr>
                <m:sty m:val="p"/>
              </m:rPr>
              <w:rPr>
                <w:rFonts w:ascii="Cambria Math" w:hAnsi="Cambria Math"/>
                <w:sz w:val="24"/>
                <w:szCs w:val="21"/>
              </w:rPr>
              <m:t>h，bio</m:t>
            </m:r>
            <m:ctrlPr>
              <w:rPr>
                <w:rFonts w:ascii="Cambria Math" w:hAnsi="Cambria Math"/>
                <w:sz w:val="24"/>
                <w:szCs w:val="21"/>
              </w:rPr>
            </m:ctrlPr>
          </m:sub>
        </m:sSub>
      </m:oMath>
      <w:r>
        <w:rPr>
          <w:sz w:val="24"/>
          <w:szCs w:val="21"/>
        </w:rPr>
        <w:t>——</w:t>
      </w:r>
      <w:r>
        <w:rPr>
          <w:rFonts w:hint="eastAsia"/>
          <w:sz w:val="24"/>
          <w:szCs w:val="21"/>
        </w:rPr>
        <w:t>生物质生活热水</w:t>
      </w:r>
      <w:r>
        <w:rPr>
          <w:sz w:val="24"/>
          <w:szCs w:val="21"/>
        </w:rPr>
        <w:t>系统的年可再生能源利用量，kWh；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w</m:t>
            </m:r>
            <m:r>
              <m:rPr>
                <m:sty m:val="p"/>
              </m:rPr>
              <w:rPr>
                <w:rFonts w:ascii="Cambria Math" w:hAnsi="Cambria Math"/>
                <w:sz w:val="24"/>
                <w:szCs w:val="21"/>
              </w:rPr>
              <m:t>，geo</m:t>
            </m:r>
            <m:ctrlPr>
              <w:rPr>
                <w:rFonts w:ascii="Cambria Math" w:hAnsi="Cambria Math"/>
                <w:i/>
                <w:sz w:val="24"/>
                <w:szCs w:val="21"/>
              </w:rPr>
            </m:ctrlPr>
          </m:sub>
        </m:sSub>
      </m:oMath>
      <w:r>
        <w:rPr>
          <w:sz w:val="24"/>
          <w:szCs w:val="21"/>
        </w:rPr>
        <w:t>——地源热泵系统的年生活热水供热量，kWh；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w</m:t>
            </m:r>
            <m:r>
              <m:rPr>
                <m:sty m:val="p"/>
              </m:rPr>
              <w:rPr>
                <w:rFonts w:ascii="Cambria Math" w:hAnsi="Cambria Math"/>
                <w:sz w:val="24"/>
                <w:szCs w:val="21"/>
              </w:rPr>
              <m:t>，air</m:t>
            </m:r>
            <m:ctrlPr>
              <w:rPr>
                <w:rFonts w:ascii="Cambria Math" w:hAnsi="Cambria Math"/>
                <w:i/>
                <w:sz w:val="24"/>
                <w:szCs w:val="21"/>
              </w:rPr>
            </m:ctrlPr>
          </m:sub>
        </m:sSub>
      </m:oMath>
      <w:r>
        <w:rPr>
          <w:sz w:val="24"/>
          <w:szCs w:val="21"/>
        </w:rPr>
        <w:t>——空气源热泵系统的年生活热水供热量，kWh；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w</m:t>
            </m:r>
            <m:r>
              <m:rPr>
                <m:sty m:val="p"/>
              </m:rPr>
              <w:rPr>
                <w:rFonts w:ascii="Cambria Math" w:hAnsi="Cambria Math"/>
                <w:sz w:val="24"/>
                <w:szCs w:val="21"/>
              </w:rPr>
              <m:t>，sol</m:t>
            </m:r>
            <m:ctrlPr>
              <w:rPr>
                <w:rFonts w:ascii="Cambria Math" w:hAnsi="Cambria Math"/>
                <w:i/>
                <w:sz w:val="24"/>
                <w:szCs w:val="21"/>
              </w:rPr>
            </m:ctrlPr>
          </m:sub>
        </m:sSub>
      </m:oMath>
      <w:r>
        <w:rPr>
          <w:sz w:val="24"/>
          <w:szCs w:val="21"/>
        </w:rPr>
        <w:t>——太阳能系统的年生活热水供热量，kWh；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w</m:t>
            </m:r>
            <m:r>
              <m:rPr>
                <m:sty m:val="p"/>
              </m:rPr>
              <w:rPr>
                <w:rFonts w:ascii="Cambria Math" w:hAnsi="Cambria Math"/>
                <w:sz w:val="24"/>
                <w:szCs w:val="21"/>
              </w:rPr>
              <m:t>，bio</m:t>
            </m:r>
            <m:ctrlPr>
              <w:rPr>
                <w:rFonts w:ascii="Cambria Math" w:hAnsi="Cambria Math"/>
                <w:i/>
                <w:sz w:val="24"/>
                <w:szCs w:val="21"/>
              </w:rPr>
            </m:ctrlPr>
          </m:sub>
        </m:sSub>
      </m:oMath>
      <w:r>
        <w:rPr>
          <w:sz w:val="24"/>
          <w:szCs w:val="21"/>
        </w:rPr>
        <w:t>——</w:t>
      </w:r>
      <w:r>
        <w:rPr>
          <w:rFonts w:hint="eastAsia"/>
          <w:sz w:val="24"/>
          <w:szCs w:val="21"/>
        </w:rPr>
        <w:t>生物质生活热水</w:t>
      </w:r>
      <w:r>
        <w:rPr>
          <w:sz w:val="24"/>
          <w:szCs w:val="21"/>
        </w:rPr>
        <w:t>系统的年</w:t>
      </w:r>
      <w:r>
        <w:rPr>
          <w:rFonts w:hint="eastAsia"/>
          <w:sz w:val="24"/>
          <w:szCs w:val="21"/>
        </w:rPr>
        <w:t>生活热水</w:t>
      </w:r>
      <w:r>
        <w:rPr>
          <w:sz w:val="24"/>
          <w:szCs w:val="21"/>
        </w:rPr>
        <w:t>供热量，kWh；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w</m:t>
            </m:r>
            <m:r>
              <m:rPr>
                <m:sty m:val="p"/>
              </m:rPr>
              <w:rPr>
                <w:rFonts w:ascii="Cambria Math" w:hAnsi="Cambria Math"/>
                <w:sz w:val="24"/>
                <w:szCs w:val="21"/>
              </w:rPr>
              <m:t>，geo</m:t>
            </m:r>
            <m:ctrlPr>
              <w:rPr>
                <w:rFonts w:ascii="Cambria Math" w:hAnsi="Cambria Math"/>
                <w:i/>
                <w:sz w:val="24"/>
                <w:szCs w:val="21"/>
              </w:rPr>
            </m:ctrlPr>
          </m:sub>
        </m:sSub>
      </m:oMath>
      <w:r>
        <w:rPr>
          <w:sz w:val="24"/>
          <w:szCs w:val="21"/>
        </w:rPr>
        <w:t>——地源热泵</w:t>
      </w:r>
      <w:r>
        <w:rPr>
          <w:rFonts w:hint="eastAsia"/>
          <w:sz w:val="24"/>
          <w:szCs w:val="21"/>
        </w:rPr>
        <w:t>机组供</w:t>
      </w:r>
      <w:r>
        <w:rPr>
          <w:sz w:val="24"/>
          <w:szCs w:val="21"/>
        </w:rPr>
        <w:t>生活热水年</w:t>
      </w:r>
      <w:r>
        <w:rPr>
          <w:rFonts w:hint="eastAsia"/>
          <w:sz w:val="24"/>
          <w:szCs w:val="21"/>
        </w:rPr>
        <w:t>耗电</w:t>
      </w:r>
      <w:r>
        <w:rPr>
          <w:sz w:val="24"/>
          <w:szCs w:val="21"/>
        </w:rPr>
        <w:t>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E</m:t>
            </m:r>
            <m:ctrlPr>
              <w:rPr>
                <w:rFonts w:ascii="Cambria Math" w:hAnsi="Cambria Math"/>
                <w:i/>
                <w:sz w:val="24"/>
                <w:szCs w:val="21"/>
              </w:rPr>
            </m:ctrlPr>
          </m:e>
          <m:sub>
            <m:r>
              <m:rPr/>
              <w:rPr>
                <w:rFonts w:ascii="Cambria Math" w:hAnsi="Cambria Math"/>
                <w:sz w:val="24"/>
                <w:szCs w:val="21"/>
              </w:rPr>
              <m:t>w</m:t>
            </m:r>
            <m:r>
              <m:rPr>
                <m:sty m:val="p"/>
              </m:rPr>
              <w:rPr>
                <w:rFonts w:ascii="Cambria Math" w:hAnsi="Cambria Math"/>
                <w:sz w:val="24"/>
                <w:szCs w:val="21"/>
              </w:rPr>
              <m:t>，air</m:t>
            </m:r>
            <m:ctrlPr>
              <w:rPr>
                <w:rFonts w:ascii="Cambria Math" w:hAnsi="Cambria Math"/>
                <w:i/>
                <w:sz w:val="24"/>
                <w:szCs w:val="21"/>
              </w:rPr>
            </m:ctrlPr>
          </m:sub>
        </m:sSub>
      </m:oMath>
      <w:r>
        <w:rPr>
          <w:sz w:val="24"/>
          <w:szCs w:val="21"/>
        </w:rPr>
        <w:t>——空气源热泵</w:t>
      </w:r>
      <w:r>
        <w:rPr>
          <w:rFonts w:hint="eastAsia"/>
          <w:sz w:val="24"/>
          <w:szCs w:val="21"/>
        </w:rPr>
        <w:t>机组供</w:t>
      </w:r>
      <w:r>
        <w:rPr>
          <w:sz w:val="24"/>
          <w:szCs w:val="21"/>
        </w:rPr>
        <w:t>生活热水年</w:t>
      </w:r>
      <w:r>
        <w:rPr>
          <w:rFonts w:hint="eastAsia"/>
          <w:sz w:val="24"/>
          <w:szCs w:val="21"/>
        </w:rPr>
        <w:t>耗电</w:t>
      </w:r>
      <w:r>
        <w:rPr>
          <w:sz w:val="24"/>
          <w:szCs w:val="21"/>
        </w:rPr>
        <w:t>量，kWh</w:t>
      </w:r>
      <w:r>
        <w:rPr>
          <w:rFonts w:hint="eastAsia"/>
          <w:sz w:val="24"/>
          <w:szCs w:val="21"/>
        </w:rPr>
        <w:t>。</w:t>
      </w:r>
    </w:p>
    <w:p>
      <w:pPr>
        <w:snapToGrid w:val="0"/>
        <w:spacing w:line="276" w:lineRule="auto"/>
        <w:ind w:firstLine="1154" w:firstLineChars="481"/>
        <w:rPr>
          <w:sz w:val="24"/>
          <w:szCs w:val="21"/>
        </w:rPr>
      </w:pPr>
    </w:p>
    <w:p>
      <w:pPr>
        <w:snapToGrid w:val="0"/>
        <w:spacing w:line="276" w:lineRule="auto"/>
        <w:rPr>
          <w:sz w:val="24"/>
          <w:szCs w:val="21"/>
        </w:rPr>
      </w:pPr>
      <w:r>
        <w:rPr>
          <w:b/>
          <w:sz w:val="24"/>
          <w:szCs w:val="21"/>
        </w:rPr>
        <w:t>8.2.5</w:t>
      </w:r>
      <w:r>
        <w:rPr>
          <w:rFonts w:hint="eastAsia"/>
          <w:sz w:val="24"/>
          <w:szCs w:val="21"/>
        </w:rPr>
        <w:t>供冷</w:t>
      </w:r>
      <w:r>
        <w:rPr>
          <w:sz w:val="24"/>
          <w:szCs w:val="21"/>
        </w:rPr>
        <w:t>系统中可再生能源利用量应按下列公式计算：</w:t>
      </w:r>
    </w:p>
    <w:p>
      <w:pPr>
        <w:snapToGrid w:val="0"/>
        <w:spacing w:line="276" w:lineRule="auto"/>
        <w:ind w:firstLine="1154" w:firstLineChars="481"/>
        <w:jc w:val="right"/>
        <w:rPr>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c</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c，sol</m:t>
            </m:r>
            <m:ctrlPr>
              <w:rPr>
                <w:rFonts w:ascii="Cambria Math" w:hAnsi="Cambria Math"/>
                <w:sz w:val="24"/>
                <w:szCs w:val="21"/>
              </w:rPr>
            </m:ctrlPr>
          </m:sub>
        </m:sSub>
      </m:oMath>
      <w:r>
        <w:rPr>
          <w:sz w:val="24"/>
          <w:szCs w:val="21"/>
        </w:rPr>
        <w:t xml:space="preserve">                        （8.2.5-1）</w:t>
      </w:r>
    </w:p>
    <w:p>
      <w:pPr>
        <w:snapToGrid w:val="0"/>
        <w:spacing w:line="276" w:lineRule="auto"/>
        <w:ind w:firstLine="1154" w:firstLineChars="481"/>
        <w:jc w:val="right"/>
        <w:rPr>
          <w:sz w:val="24"/>
          <w:szCs w:val="21"/>
        </w:rPr>
      </w:pPr>
      <m:oMath>
        <m:sSub>
          <m:sSubPr>
            <m:ctrlPr>
              <w:rPr>
                <w:rFonts w:ascii="Cambria Math" w:hAnsi="Cambria Math"/>
                <w:sz w:val="24"/>
                <w:szCs w:val="21"/>
              </w:rPr>
            </m:ctrlPr>
          </m:sSubPr>
          <m:e>
            <m:r>
              <m:rPr/>
              <w:rPr>
                <w:rFonts w:ascii="Cambria Math" w:hAnsi="Cambria Math"/>
                <w:sz w:val="24"/>
                <w:szCs w:val="21"/>
              </w:rPr>
              <m:t>EP</m:t>
            </m:r>
            <m:ctrlPr>
              <w:rPr>
                <w:rFonts w:ascii="Cambria Math" w:hAnsi="Cambria Math"/>
                <w:i/>
                <w:sz w:val="24"/>
                <w:szCs w:val="21"/>
              </w:rPr>
            </m:ctrlPr>
          </m:e>
          <m:sub>
            <m:r>
              <m:rPr/>
              <w:rPr>
                <w:rFonts w:ascii="Cambria Math" w:hAnsi="Cambria Math"/>
                <w:sz w:val="24"/>
                <w:szCs w:val="21"/>
              </w:rPr>
              <m:t>c，sol</m:t>
            </m:r>
            <m:ctrlPr>
              <w:rPr>
                <w:rFonts w:ascii="Cambria Math" w:hAnsi="Cambria Math"/>
                <w:sz w:val="24"/>
                <w:szCs w:val="21"/>
              </w:rPr>
            </m:ctrlPr>
          </m:sub>
        </m:sSub>
        <m:r>
          <m:rPr/>
          <w:rPr>
            <w:rFonts w:ascii="Cambria Math" w:hAnsi="Cambria Math"/>
            <w:sz w:val="24"/>
            <w:szCs w:val="21"/>
          </w:rPr>
          <m:t>=</m:t>
        </m:r>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c，sol</m:t>
            </m:r>
            <m:ctrlPr>
              <w:rPr>
                <w:rFonts w:ascii="Cambria Math" w:hAnsi="Cambria Math"/>
                <w:i/>
                <w:sz w:val="24"/>
                <w:szCs w:val="21"/>
              </w:rPr>
            </m:ctrlPr>
          </m:sub>
        </m:sSub>
      </m:oMath>
      <w:r>
        <w:rPr>
          <w:sz w:val="24"/>
          <w:szCs w:val="21"/>
        </w:rPr>
        <w:t xml:space="preserve">                     （8.2.5-2）</w:t>
      </w:r>
    </w:p>
    <w:p>
      <w:pPr>
        <w:snapToGrid w:val="0"/>
        <w:spacing w:line="276" w:lineRule="auto"/>
        <w:ind w:firstLine="1154" w:firstLineChars="481"/>
        <w:rPr>
          <w:sz w:val="24"/>
          <w:szCs w:val="21"/>
        </w:rPr>
      </w:pPr>
    </w:p>
    <w:p>
      <w:pPr>
        <w:snapToGrid w:val="0"/>
        <w:spacing w:line="276" w:lineRule="auto"/>
        <w:ind w:left="420" w:firstLine="420"/>
        <w:rPr>
          <w:sz w:val="24"/>
          <w:szCs w:val="21"/>
        </w:rPr>
      </w:pPr>
      <w:r>
        <w:rPr>
          <w:sz w:val="24"/>
          <w:szCs w:val="21"/>
        </w:rPr>
        <w:t>式中：</w:t>
      </w:r>
    </w:p>
    <w:p>
      <w:pPr>
        <w:snapToGrid w:val="0"/>
        <w:spacing w:line="276" w:lineRule="auto"/>
        <w:ind w:firstLine="1154" w:firstLineChars="481"/>
        <w:rPr>
          <w:sz w:val="24"/>
          <w:szCs w:val="21"/>
        </w:rPr>
      </w:pPr>
      <m:oMath>
        <m:sSub>
          <m:sSubPr>
            <m:ctrlPr>
              <w:rPr>
                <w:rFonts w:ascii="Cambria Math" w:hAnsi="Cambria Math"/>
                <w:sz w:val="24"/>
                <w:szCs w:val="21"/>
              </w:rPr>
            </m:ctrlPr>
          </m:sSubPr>
          <m:e>
            <m:r>
              <m:rPr>
                <m:sty m:val="p"/>
              </m:rPr>
              <w:rPr>
                <w:rFonts w:ascii="Cambria Math" w:hAnsi="Cambria Math"/>
                <w:sz w:val="24"/>
                <w:szCs w:val="21"/>
              </w:rPr>
              <m:t>EP</m:t>
            </m:r>
            <m:ctrlPr>
              <w:rPr>
                <w:rFonts w:ascii="Cambria Math" w:hAnsi="Cambria Math"/>
                <w:sz w:val="24"/>
                <w:szCs w:val="21"/>
              </w:rPr>
            </m:ctrlPr>
          </m:e>
          <m:sub>
            <m:r>
              <m:rPr>
                <m:sty m:val="p"/>
              </m:rPr>
              <w:rPr>
                <w:rFonts w:ascii="Cambria Math" w:hAnsi="Cambria Math"/>
                <w:sz w:val="24"/>
                <w:szCs w:val="21"/>
              </w:rPr>
              <m:t>c，sol</m:t>
            </m:r>
            <m:ctrlPr>
              <w:rPr>
                <w:rFonts w:ascii="Cambria Math" w:hAnsi="Cambria Math"/>
                <w:sz w:val="24"/>
                <w:szCs w:val="21"/>
              </w:rPr>
            </m:ctrlPr>
          </m:sub>
        </m:sSub>
      </m:oMath>
      <w:r>
        <w:rPr>
          <w:sz w:val="24"/>
          <w:szCs w:val="21"/>
        </w:rPr>
        <w:t>——太阳能</w:t>
      </w:r>
      <w:r>
        <w:rPr>
          <w:rFonts w:hint="eastAsia"/>
          <w:sz w:val="24"/>
          <w:szCs w:val="21"/>
        </w:rPr>
        <w:t>供冷</w:t>
      </w:r>
      <w:r>
        <w:rPr>
          <w:sz w:val="24"/>
          <w:szCs w:val="21"/>
        </w:rPr>
        <w:t>系统的年可再生能源利用量，kWh；</w:t>
      </w:r>
    </w:p>
    <w:p>
      <w:pPr>
        <w:snapToGrid w:val="0"/>
        <w:spacing w:line="276" w:lineRule="auto"/>
        <w:ind w:firstLine="1154" w:firstLineChars="481"/>
        <w:rPr>
          <w:sz w:val="24"/>
          <w:szCs w:val="21"/>
        </w:rPr>
      </w:pPr>
      <m:oMath>
        <m:sSub>
          <m:sSubPr>
            <m:ctrlPr>
              <w:rPr>
                <w:rFonts w:ascii="Cambria Math" w:hAnsi="Cambria Math"/>
                <w:i/>
                <w:sz w:val="24"/>
                <w:szCs w:val="21"/>
              </w:rPr>
            </m:ctrlPr>
          </m:sSubPr>
          <m:e>
            <m:r>
              <m:rPr/>
              <w:rPr>
                <w:rFonts w:ascii="Cambria Math" w:hAnsi="Cambria Math"/>
                <w:sz w:val="24"/>
                <w:szCs w:val="21"/>
              </w:rPr>
              <m:t>Q</m:t>
            </m:r>
            <m:ctrlPr>
              <w:rPr>
                <w:rFonts w:ascii="Cambria Math" w:hAnsi="Cambria Math"/>
                <w:i/>
                <w:sz w:val="24"/>
                <w:szCs w:val="21"/>
              </w:rPr>
            </m:ctrlPr>
          </m:e>
          <m:sub>
            <m:r>
              <m:rPr/>
              <w:rPr>
                <w:rFonts w:ascii="Cambria Math" w:hAnsi="Cambria Math"/>
                <w:sz w:val="24"/>
                <w:szCs w:val="21"/>
              </w:rPr>
              <m:t>c</m:t>
            </m:r>
            <m:r>
              <m:rPr>
                <m:sty m:val="p"/>
              </m:rPr>
              <w:rPr>
                <w:rFonts w:ascii="Cambria Math" w:hAnsi="Cambria Math"/>
                <w:sz w:val="24"/>
                <w:szCs w:val="21"/>
              </w:rPr>
              <m:t>，sol</m:t>
            </m:r>
            <m:ctrlPr>
              <w:rPr>
                <w:rFonts w:ascii="Cambria Math" w:hAnsi="Cambria Math"/>
                <w:i/>
                <w:sz w:val="24"/>
                <w:szCs w:val="21"/>
              </w:rPr>
            </m:ctrlPr>
          </m:sub>
        </m:sSub>
      </m:oMath>
      <w:r>
        <w:rPr>
          <w:sz w:val="24"/>
          <w:szCs w:val="21"/>
        </w:rPr>
        <w:t>——太阳能</w:t>
      </w:r>
      <w:r>
        <w:rPr>
          <w:rFonts w:hint="eastAsia"/>
          <w:sz w:val="24"/>
          <w:szCs w:val="21"/>
        </w:rPr>
        <w:t>供冷</w:t>
      </w:r>
      <w:r>
        <w:rPr>
          <w:sz w:val="24"/>
          <w:szCs w:val="21"/>
        </w:rPr>
        <w:t>系统的年</w:t>
      </w:r>
      <w:r>
        <w:rPr>
          <w:rFonts w:hint="eastAsia"/>
          <w:sz w:val="24"/>
          <w:szCs w:val="21"/>
        </w:rPr>
        <w:t>供冷</w:t>
      </w:r>
      <w:r>
        <w:rPr>
          <w:sz w:val="24"/>
          <w:szCs w:val="21"/>
        </w:rPr>
        <w:t>量，kWh</w:t>
      </w:r>
      <w:r>
        <w:rPr>
          <w:rFonts w:hint="eastAsia"/>
          <w:sz w:val="24"/>
          <w:szCs w:val="21"/>
        </w:rPr>
        <w:t>。</w:t>
      </w:r>
    </w:p>
    <w:p>
      <w:pPr>
        <w:snapToGrid w:val="0"/>
        <w:spacing w:line="276" w:lineRule="auto"/>
        <w:ind w:firstLine="1154" w:firstLineChars="481"/>
        <w:rPr>
          <w:sz w:val="24"/>
          <w:szCs w:val="21"/>
        </w:rPr>
      </w:pPr>
    </w:p>
    <w:p>
      <w:pPr>
        <w:snapToGrid w:val="0"/>
        <w:spacing w:line="276" w:lineRule="auto"/>
        <w:rPr>
          <w:sz w:val="24"/>
          <w:szCs w:val="21"/>
        </w:rPr>
      </w:pPr>
      <w:r>
        <w:rPr>
          <w:b/>
          <w:sz w:val="24"/>
          <w:szCs w:val="21"/>
        </w:rPr>
        <w:t>8.2.6</w:t>
      </w:r>
      <w:r>
        <w:rPr>
          <w:sz w:val="24"/>
          <w:szCs w:val="21"/>
        </w:rPr>
        <w:t>能源换算系数应</w:t>
      </w:r>
      <w:r>
        <w:rPr>
          <w:rFonts w:hint="eastAsia"/>
          <w:sz w:val="24"/>
          <w:szCs w:val="21"/>
        </w:rPr>
        <w:t>符合表</w:t>
      </w:r>
      <w:r>
        <w:rPr>
          <w:sz w:val="24"/>
          <w:szCs w:val="21"/>
        </w:rPr>
        <w:t>8.2.6</w:t>
      </w:r>
      <w:r>
        <w:rPr>
          <w:rFonts w:hint="eastAsia"/>
          <w:sz w:val="24"/>
          <w:szCs w:val="21"/>
        </w:rPr>
        <w:t>的规定</w:t>
      </w:r>
      <w:r>
        <w:rPr>
          <w:sz w:val="24"/>
          <w:szCs w:val="21"/>
        </w:rPr>
        <w:t>。</w:t>
      </w:r>
    </w:p>
    <w:p>
      <w:pPr>
        <w:snapToGrid w:val="0"/>
        <w:spacing w:line="276" w:lineRule="auto"/>
        <w:ind w:firstLine="1154" w:firstLineChars="481"/>
        <w:jc w:val="center"/>
        <w:rPr>
          <w:sz w:val="24"/>
          <w:szCs w:val="21"/>
        </w:rPr>
      </w:pPr>
      <w:r>
        <w:rPr>
          <w:sz w:val="24"/>
          <w:szCs w:val="21"/>
        </w:rPr>
        <w:t>表8.2.6  能源换算系数</w:t>
      </w:r>
    </w:p>
    <w:tbl>
      <w:tblPr>
        <w:tblStyle w:val="30"/>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725"/>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410" w:type="dxa"/>
            <w:shd w:val="clear" w:color="auto" w:fill="auto"/>
            <w:vAlign w:val="center"/>
          </w:tcPr>
          <w:p>
            <w:pPr>
              <w:snapToGrid w:val="0"/>
              <w:spacing w:line="276" w:lineRule="auto"/>
              <w:jc w:val="center"/>
              <w:rPr>
                <w:sz w:val="24"/>
                <w:szCs w:val="21"/>
              </w:rPr>
            </w:pPr>
            <w:r>
              <w:rPr>
                <w:sz w:val="24"/>
                <w:szCs w:val="21"/>
              </w:rPr>
              <w:t>能源类型</w:t>
            </w:r>
          </w:p>
        </w:tc>
        <w:tc>
          <w:tcPr>
            <w:tcW w:w="2725" w:type="dxa"/>
            <w:shd w:val="clear" w:color="auto" w:fill="auto"/>
            <w:vAlign w:val="center"/>
          </w:tcPr>
          <w:p>
            <w:pPr>
              <w:snapToGrid w:val="0"/>
              <w:spacing w:line="276" w:lineRule="auto"/>
              <w:jc w:val="center"/>
              <w:rPr>
                <w:sz w:val="24"/>
                <w:szCs w:val="21"/>
              </w:rPr>
            </w:pPr>
            <w:r>
              <w:rPr>
                <w:sz w:val="24"/>
                <w:szCs w:val="21"/>
              </w:rPr>
              <w:t>换算单位</w:t>
            </w:r>
          </w:p>
        </w:tc>
        <w:tc>
          <w:tcPr>
            <w:tcW w:w="2945" w:type="dxa"/>
            <w:vAlign w:val="center"/>
          </w:tcPr>
          <w:p>
            <w:pPr>
              <w:snapToGrid w:val="0"/>
              <w:spacing w:line="276" w:lineRule="auto"/>
              <w:jc w:val="center"/>
              <w:rPr>
                <w:sz w:val="24"/>
                <w:szCs w:val="21"/>
              </w:rPr>
            </w:pPr>
            <w:r>
              <w:rPr>
                <w:sz w:val="24"/>
                <w:szCs w:val="21"/>
              </w:rPr>
              <w:t>能源换算系数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410" w:type="dxa"/>
            <w:shd w:val="clear" w:color="auto" w:fill="auto"/>
            <w:vAlign w:val="center"/>
          </w:tcPr>
          <w:p>
            <w:pPr>
              <w:snapToGrid w:val="0"/>
              <w:spacing w:line="276" w:lineRule="auto"/>
              <w:jc w:val="center"/>
              <w:rPr>
                <w:sz w:val="24"/>
                <w:szCs w:val="21"/>
              </w:rPr>
            </w:pPr>
            <w:r>
              <w:rPr>
                <w:sz w:val="24"/>
                <w:szCs w:val="21"/>
              </w:rPr>
              <w:t>标准煤</w:t>
            </w:r>
          </w:p>
        </w:tc>
        <w:tc>
          <w:tcPr>
            <w:tcW w:w="2725" w:type="dxa"/>
            <w:shd w:val="clear" w:color="auto" w:fill="auto"/>
            <w:vAlign w:val="center"/>
          </w:tcPr>
          <w:p>
            <w:pPr>
              <w:snapToGrid w:val="0"/>
              <w:spacing w:line="276" w:lineRule="auto"/>
              <w:jc w:val="center"/>
              <w:rPr>
                <w:sz w:val="24"/>
                <w:szCs w:val="21"/>
              </w:rPr>
            </w:pPr>
            <m:oMathPara>
              <m:oMath>
                <m:sSub>
                  <m:sSubPr>
                    <m:ctrlPr>
                      <w:rPr>
                        <w:rFonts w:ascii="Cambria Math" w:hAnsi="Cambria Math"/>
                        <w:sz w:val="24"/>
                        <w:szCs w:val="21"/>
                      </w:rPr>
                    </m:ctrlPr>
                  </m:sSubPr>
                  <m:e>
                    <m:r>
                      <m:rPr>
                        <m:sty m:val="p"/>
                      </m:rPr>
                      <w:rPr>
                        <w:rFonts w:ascii="Cambria Math" w:hAnsi="Cambria Math"/>
                        <w:sz w:val="24"/>
                        <w:szCs w:val="21"/>
                      </w:rPr>
                      <m:t>kWh/kgce</m:t>
                    </m:r>
                    <m:ctrlPr>
                      <w:rPr>
                        <w:rFonts w:ascii="Cambria Math" w:hAnsi="Cambria Math"/>
                        <w:sz w:val="24"/>
                        <w:szCs w:val="21"/>
                      </w:rPr>
                    </m:ctrlPr>
                  </m:e>
                  <m:sub>
                    <m:r>
                      <m:rPr>
                        <m:sty m:val="p"/>
                      </m:rPr>
                      <w:rPr>
                        <w:rFonts w:ascii="Cambria Math" w:hAnsi="Cambria Math"/>
                        <w:sz w:val="24"/>
                        <w:szCs w:val="21"/>
                      </w:rPr>
                      <m:t>终端</m:t>
                    </m:r>
                    <m:ctrlPr>
                      <w:rPr>
                        <w:rFonts w:ascii="Cambria Math" w:hAnsi="Cambria Math"/>
                        <w:sz w:val="24"/>
                        <w:szCs w:val="21"/>
                      </w:rPr>
                    </m:ctrlPr>
                  </m:sub>
                </m:sSub>
              </m:oMath>
            </m:oMathPara>
          </w:p>
        </w:tc>
        <w:tc>
          <w:tcPr>
            <w:tcW w:w="2945" w:type="dxa"/>
            <w:vAlign w:val="center"/>
          </w:tcPr>
          <w:p>
            <w:pPr>
              <w:snapToGrid w:val="0"/>
              <w:spacing w:line="276" w:lineRule="auto"/>
              <w:jc w:val="center"/>
              <w:rPr>
                <w:sz w:val="24"/>
                <w:szCs w:val="21"/>
              </w:rPr>
            </w:pPr>
            <w:r>
              <w:rPr>
                <w:sz w:val="24"/>
                <w:szCs w:val="21"/>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410" w:type="dxa"/>
            <w:shd w:val="clear" w:color="auto" w:fill="auto"/>
            <w:vAlign w:val="center"/>
          </w:tcPr>
          <w:p>
            <w:pPr>
              <w:snapToGrid w:val="0"/>
              <w:spacing w:line="276" w:lineRule="auto"/>
              <w:jc w:val="center"/>
              <w:rPr>
                <w:sz w:val="24"/>
                <w:szCs w:val="21"/>
              </w:rPr>
            </w:pPr>
            <w:r>
              <w:rPr>
                <w:sz w:val="24"/>
                <w:szCs w:val="21"/>
              </w:rPr>
              <w:t>天然气</w:t>
            </w:r>
          </w:p>
        </w:tc>
        <w:tc>
          <w:tcPr>
            <w:tcW w:w="2725" w:type="dxa"/>
            <w:shd w:val="clear" w:color="auto" w:fill="auto"/>
            <w:vAlign w:val="center"/>
          </w:tcPr>
          <w:p>
            <w:pPr>
              <w:snapToGrid w:val="0"/>
              <w:spacing w:line="276" w:lineRule="auto"/>
              <w:jc w:val="center"/>
              <w:rPr>
                <w:sz w:val="24"/>
                <w:szCs w:val="21"/>
              </w:rPr>
            </w:pPr>
            <m:oMathPara>
              <m:oMath>
                <m:r>
                  <m:rPr>
                    <m:sty m:val="p"/>
                  </m:rPr>
                  <w:rPr>
                    <w:rFonts w:ascii="Cambria Math" w:hAnsi="Cambria Math"/>
                    <w:sz w:val="24"/>
                    <w:szCs w:val="21"/>
                  </w:rPr>
                  <m:t>kWh/</m:t>
                </m:r>
                <m:sSubSup>
                  <m:sSubSupPr>
                    <m:ctrlPr>
                      <w:rPr>
                        <w:rFonts w:ascii="Cambria Math" w:hAnsi="Cambria Math"/>
                        <w:i/>
                        <w:sz w:val="24"/>
                        <w:szCs w:val="21"/>
                      </w:rPr>
                    </m:ctrlPr>
                  </m:sSubSupPr>
                  <m:e>
                    <m:r>
                      <m:rPr>
                        <m:sty m:val="p"/>
                      </m:rPr>
                      <w:rPr>
                        <w:rFonts w:ascii="Cambria Math" w:hAnsi="Cambria Math"/>
                        <w:sz w:val="24"/>
                        <w:szCs w:val="21"/>
                      </w:rPr>
                      <m:t>m</m:t>
                    </m:r>
                    <m:ctrlPr>
                      <w:rPr>
                        <w:rFonts w:ascii="Cambria Math" w:hAnsi="Cambria Math"/>
                        <w:sz w:val="24"/>
                        <w:szCs w:val="21"/>
                      </w:rPr>
                    </m:ctrlPr>
                  </m:e>
                  <m:sub>
                    <m:r>
                      <m:rPr>
                        <m:sty m:val="p"/>
                      </m:rPr>
                      <w:rPr>
                        <w:rFonts w:hint="eastAsia" w:ascii="Cambria Math" w:hAnsi="Cambria Math"/>
                        <w:sz w:val="24"/>
                        <w:szCs w:val="21"/>
                      </w:rPr>
                      <m:t>终端</m:t>
                    </m:r>
                    <m:ctrlPr>
                      <w:rPr>
                        <w:rFonts w:ascii="Cambria Math" w:hAnsi="Cambria Math"/>
                        <w:i/>
                        <w:sz w:val="24"/>
                        <w:szCs w:val="21"/>
                      </w:rPr>
                    </m:ctrlPr>
                  </m:sub>
                  <m:sup>
                    <m:r>
                      <m:rPr>
                        <m:sty m:val="p"/>
                      </m:rPr>
                      <w:rPr>
                        <w:rFonts w:ascii="Cambria Math" w:hAnsi="Cambria Math"/>
                        <w:sz w:val="24"/>
                        <w:szCs w:val="21"/>
                      </w:rPr>
                      <m:t>3</m:t>
                    </m:r>
                    <m:ctrlPr>
                      <w:rPr>
                        <w:rFonts w:ascii="Cambria Math" w:hAnsi="Cambria Math"/>
                        <w:sz w:val="24"/>
                        <w:szCs w:val="21"/>
                      </w:rPr>
                    </m:ctrlPr>
                  </m:sup>
                </m:sSubSup>
              </m:oMath>
            </m:oMathPara>
          </w:p>
        </w:tc>
        <w:tc>
          <w:tcPr>
            <w:tcW w:w="2945" w:type="dxa"/>
            <w:vAlign w:val="center"/>
          </w:tcPr>
          <w:p>
            <w:pPr>
              <w:snapToGrid w:val="0"/>
              <w:spacing w:line="276" w:lineRule="auto"/>
              <w:jc w:val="center"/>
              <w:rPr>
                <w:sz w:val="24"/>
                <w:szCs w:val="21"/>
              </w:rPr>
            </w:pPr>
            <w:r>
              <w:rPr>
                <w:sz w:val="24"/>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410" w:type="dxa"/>
            <w:shd w:val="clear" w:color="auto" w:fill="auto"/>
            <w:vAlign w:val="center"/>
          </w:tcPr>
          <w:p>
            <w:pPr>
              <w:snapToGrid w:val="0"/>
              <w:spacing w:line="276" w:lineRule="auto"/>
              <w:jc w:val="center"/>
              <w:rPr>
                <w:sz w:val="24"/>
                <w:szCs w:val="21"/>
              </w:rPr>
            </w:pPr>
            <w:r>
              <w:rPr>
                <w:sz w:val="24"/>
                <w:szCs w:val="21"/>
              </w:rPr>
              <w:t>热力</w:t>
            </w:r>
          </w:p>
        </w:tc>
        <w:tc>
          <w:tcPr>
            <w:tcW w:w="2725" w:type="dxa"/>
            <w:shd w:val="clear" w:color="auto" w:fill="auto"/>
            <w:vAlign w:val="center"/>
          </w:tcPr>
          <w:p>
            <w:pPr>
              <w:snapToGrid w:val="0"/>
              <w:spacing w:line="276" w:lineRule="auto"/>
              <w:jc w:val="center"/>
              <w:rPr>
                <w:sz w:val="24"/>
                <w:szCs w:val="21"/>
              </w:rPr>
            </w:pPr>
            <m:oMathPara>
              <m:oMath>
                <m:sSub>
                  <m:sSubPr>
                    <m:ctrlPr>
                      <w:rPr>
                        <w:rFonts w:ascii="Cambria Math" w:hAnsi="Cambria Math"/>
                        <w:sz w:val="24"/>
                        <w:szCs w:val="21"/>
                      </w:rPr>
                    </m:ctrlPr>
                  </m:sSubPr>
                  <m:e>
                    <m:r>
                      <m:rPr>
                        <m:sty m:val="p"/>
                      </m:rPr>
                      <w:rPr>
                        <w:rFonts w:hint="eastAsia" w:ascii="Cambria Math" w:hAnsi="Cambria Math"/>
                        <w:sz w:val="24"/>
                        <w:szCs w:val="21"/>
                      </w:rPr>
                      <m:t>kW</m:t>
                    </m:r>
                    <m:r>
                      <m:rPr>
                        <m:sty m:val="p"/>
                      </m:rPr>
                      <w:rPr>
                        <w:rFonts w:hint="eastAsia" w:ascii="Cambria Math" w:hAnsi="Cambria Math" w:eastAsia="MS Gothic" w:cs="MS Gothic"/>
                        <w:sz w:val="24"/>
                        <w:szCs w:val="21"/>
                      </w:rPr>
                      <m:t>h</m:t>
                    </m:r>
                    <m:r>
                      <m:rPr>
                        <m:sty m:val="p"/>
                      </m:rPr>
                      <w:rPr>
                        <w:rFonts w:ascii="Cambria Math" w:hAnsi="Cambria Math"/>
                        <w:sz w:val="24"/>
                        <w:szCs w:val="21"/>
                      </w:rPr>
                      <m:t>/kWh</m:t>
                    </m:r>
                    <m:ctrlPr>
                      <w:rPr>
                        <w:rFonts w:ascii="Cambria Math" w:hAnsi="Cambria Math"/>
                        <w:sz w:val="24"/>
                        <w:szCs w:val="21"/>
                      </w:rPr>
                    </m:ctrlPr>
                  </m:e>
                  <m:sub>
                    <m:r>
                      <m:rPr>
                        <m:sty m:val="p"/>
                      </m:rPr>
                      <w:rPr>
                        <w:rFonts w:ascii="Cambria Math" w:hAnsi="Cambria Math"/>
                        <w:sz w:val="24"/>
                        <w:szCs w:val="21"/>
                      </w:rPr>
                      <m:t>终端</m:t>
                    </m:r>
                    <m:ctrlPr>
                      <w:rPr>
                        <w:rFonts w:ascii="Cambria Math" w:hAnsi="Cambria Math"/>
                        <w:sz w:val="24"/>
                        <w:szCs w:val="21"/>
                      </w:rPr>
                    </m:ctrlPr>
                  </m:sub>
                </m:sSub>
              </m:oMath>
            </m:oMathPara>
          </w:p>
        </w:tc>
        <w:tc>
          <w:tcPr>
            <w:tcW w:w="2945" w:type="dxa"/>
            <w:vAlign w:val="center"/>
          </w:tcPr>
          <w:p>
            <w:pPr>
              <w:snapToGrid w:val="0"/>
              <w:spacing w:line="276" w:lineRule="auto"/>
              <w:jc w:val="center"/>
              <w:rPr>
                <w:sz w:val="24"/>
                <w:szCs w:val="21"/>
              </w:rPr>
            </w:pPr>
            <w:r>
              <w:rPr>
                <w:sz w:val="24"/>
                <w:szCs w:val="21"/>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410" w:type="dxa"/>
            <w:shd w:val="clear" w:color="auto" w:fill="auto"/>
            <w:vAlign w:val="center"/>
          </w:tcPr>
          <w:p>
            <w:pPr>
              <w:snapToGrid w:val="0"/>
              <w:spacing w:line="276" w:lineRule="auto"/>
              <w:jc w:val="center"/>
              <w:rPr>
                <w:sz w:val="24"/>
                <w:szCs w:val="21"/>
              </w:rPr>
            </w:pPr>
            <w:r>
              <w:rPr>
                <w:sz w:val="24"/>
                <w:szCs w:val="21"/>
              </w:rPr>
              <w:t>电力</w:t>
            </w:r>
          </w:p>
        </w:tc>
        <w:tc>
          <w:tcPr>
            <w:tcW w:w="2725" w:type="dxa"/>
            <w:shd w:val="clear" w:color="auto" w:fill="auto"/>
            <w:vAlign w:val="center"/>
          </w:tcPr>
          <w:p>
            <w:pPr>
              <w:snapToGrid w:val="0"/>
              <w:spacing w:line="276" w:lineRule="auto"/>
              <w:jc w:val="center"/>
              <w:rPr>
                <w:sz w:val="24"/>
                <w:szCs w:val="21"/>
              </w:rPr>
            </w:pPr>
            <m:oMathPara>
              <m:oMath>
                <m:sSub>
                  <m:sSubPr>
                    <m:ctrlPr>
                      <w:rPr>
                        <w:rFonts w:ascii="Cambria Math" w:hAnsi="Cambria Math"/>
                        <w:sz w:val="24"/>
                        <w:szCs w:val="21"/>
                      </w:rPr>
                    </m:ctrlPr>
                  </m:sSubPr>
                  <m:e>
                    <m:r>
                      <m:rPr>
                        <m:sty m:val="p"/>
                      </m:rPr>
                      <w:rPr>
                        <w:rFonts w:hint="eastAsia" w:ascii="Cambria Math" w:hAnsi="Cambria Math"/>
                        <w:sz w:val="24"/>
                        <w:szCs w:val="21"/>
                      </w:rPr>
                      <m:t>kW</m:t>
                    </m:r>
                    <m:r>
                      <m:rPr>
                        <m:sty m:val="p"/>
                      </m:rPr>
                      <w:rPr>
                        <w:rFonts w:hint="eastAsia" w:ascii="Cambria Math" w:hAnsi="Cambria Math" w:eastAsia="MS Gothic" w:cs="MS Gothic"/>
                        <w:sz w:val="24"/>
                        <w:szCs w:val="21"/>
                      </w:rPr>
                      <m:t>h</m:t>
                    </m:r>
                    <m:r>
                      <m:rPr>
                        <m:sty m:val="p"/>
                      </m:rPr>
                      <w:rPr>
                        <w:rFonts w:ascii="Cambria Math" w:hAnsi="Cambria Math"/>
                        <w:sz w:val="24"/>
                        <w:szCs w:val="21"/>
                      </w:rPr>
                      <m:t>/kWh</m:t>
                    </m:r>
                    <m:ctrlPr>
                      <w:rPr>
                        <w:rFonts w:ascii="Cambria Math" w:hAnsi="Cambria Math"/>
                        <w:sz w:val="24"/>
                        <w:szCs w:val="21"/>
                      </w:rPr>
                    </m:ctrlPr>
                  </m:e>
                  <m:sub>
                    <m:r>
                      <m:rPr>
                        <m:sty m:val="p"/>
                      </m:rPr>
                      <w:rPr>
                        <w:rFonts w:ascii="Cambria Math" w:hAnsi="Cambria Math"/>
                        <w:sz w:val="24"/>
                        <w:szCs w:val="21"/>
                      </w:rPr>
                      <m:t>终端</m:t>
                    </m:r>
                    <m:ctrlPr>
                      <w:rPr>
                        <w:rFonts w:ascii="Cambria Math" w:hAnsi="Cambria Math"/>
                        <w:sz w:val="24"/>
                        <w:szCs w:val="21"/>
                      </w:rPr>
                    </m:ctrlPr>
                  </m:sub>
                </m:sSub>
              </m:oMath>
            </m:oMathPara>
          </w:p>
        </w:tc>
        <w:tc>
          <w:tcPr>
            <w:tcW w:w="2945" w:type="dxa"/>
            <w:vAlign w:val="center"/>
          </w:tcPr>
          <w:p>
            <w:pPr>
              <w:snapToGrid w:val="0"/>
              <w:spacing w:line="276" w:lineRule="auto"/>
              <w:jc w:val="center"/>
              <w:rPr>
                <w:sz w:val="24"/>
                <w:szCs w:val="21"/>
              </w:rPr>
            </w:pPr>
            <w:r>
              <w:rPr>
                <w:sz w:val="24"/>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410" w:type="dxa"/>
            <w:shd w:val="clear" w:color="auto" w:fill="auto"/>
            <w:vAlign w:val="center"/>
          </w:tcPr>
          <w:p>
            <w:pPr>
              <w:snapToGrid w:val="0"/>
              <w:spacing w:line="276" w:lineRule="auto"/>
              <w:jc w:val="center"/>
              <w:rPr>
                <w:sz w:val="24"/>
                <w:szCs w:val="21"/>
              </w:rPr>
            </w:pPr>
            <w:r>
              <w:rPr>
                <w:sz w:val="24"/>
                <w:szCs w:val="21"/>
              </w:rPr>
              <w:t>生物质能</w:t>
            </w:r>
          </w:p>
        </w:tc>
        <w:tc>
          <w:tcPr>
            <w:tcW w:w="2725" w:type="dxa"/>
            <w:shd w:val="clear" w:color="auto" w:fill="auto"/>
            <w:vAlign w:val="center"/>
          </w:tcPr>
          <w:p>
            <w:pPr>
              <w:snapToGrid w:val="0"/>
              <w:spacing w:line="276" w:lineRule="auto"/>
              <w:jc w:val="center"/>
              <w:rPr>
                <w:sz w:val="24"/>
                <w:szCs w:val="21"/>
              </w:rPr>
            </w:pPr>
            <m:oMathPara>
              <m:oMath>
                <m:sSub>
                  <m:sSubPr>
                    <m:ctrlPr>
                      <w:rPr>
                        <w:rFonts w:ascii="Cambria Math" w:hAnsi="Cambria Math"/>
                        <w:sz w:val="24"/>
                        <w:szCs w:val="21"/>
                      </w:rPr>
                    </m:ctrlPr>
                  </m:sSubPr>
                  <m:e>
                    <m:r>
                      <m:rPr>
                        <m:sty m:val="p"/>
                      </m:rPr>
                      <w:rPr>
                        <w:rFonts w:hint="eastAsia" w:ascii="Cambria Math" w:hAnsi="Cambria Math"/>
                        <w:sz w:val="24"/>
                        <w:szCs w:val="21"/>
                      </w:rPr>
                      <m:t>kW</m:t>
                    </m:r>
                    <m:r>
                      <m:rPr>
                        <m:sty m:val="p"/>
                      </m:rPr>
                      <w:rPr>
                        <w:rFonts w:hint="eastAsia" w:ascii="Cambria Math" w:hAnsi="Cambria Math" w:eastAsia="MS Gothic" w:cs="MS Gothic"/>
                        <w:sz w:val="24"/>
                        <w:szCs w:val="21"/>
                      </w:rPr>
                      <m:t>h</m:t>
                    </m:r>
                    <m:r>
                      <m:rPr>
                        <m:sty m:val="p"/>
                      </m:rPr>
                      <w:rPr>
                        <w:rFonts w:ascii="Cambria Math" w:hAnsi="Cambria Math"/>
                        <w:sz w:val="24"/>
                        <w:szCs w:val="21"/>
                      </w:rPr>
                      <m:t>/kWh</m:t>
                    </m:r>
                    <m:ctrlPr>
                      <w:rPr>
                        <w:rFonts w:ascii="Cambria Math" w:hAnsi="Cambria Math"/>
                        <w:sz w:val="24"/>
                        <w:szCs w:val="21"/>
                      </w:rPr>
                    </m:ctrlPr>
                  </m:e>
                  <m:sub>
                    <m:r>
                      <m:rPr>
                        <m:sty m:val="p"/>
                      </m:rPr>
                      <w:rPr>
                        <w:rFonts w:ascii="Cambria Math" w:hAnsi="Cambria Math"/>
                        <w:sz w:val="24"/>
                        <w:szCs w:val="21"/>
                      </w:rPr>
                      <m:t>终端</m:t>
                    </m:r>
                    <m:ctrlPr>
                      <w:rPr>
                        <w:rFonts w:ascii="Cambria Math" w:hAnsi="Cambria Math"/>
                        <w:sz w:val="24"/>
                        <w:szCs w:val="21"/>
                      </w:rPr>
                    </m:ctrlPr>
                  </m:sub>
                </m:sSub>
              </m:oMath>
            </m:oMathPara>
          </w:p>
        </w:tc>
        <w:tc>
          <w:tcPr>
            <w:tcW w:w="2945" w:type="dxa"/>
            <w:vAlign w:val="center"/>
          </w:tcPr>
          <w:p>
            <w:pPr>
              <w:snapToGrid w:val="0"/>
              <w:spacing w:line="276" w:lineRule="auto"/>
              <w:jc w:val="center"/>
              <w:rPr>
                <w:sz w:val="24"/>
                <w:szCs w:val="21"/>
              </w:rPr>
            </w:pPr>
            <w:r>
              <w:rPr>
                <w:sz w:val="24"/>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410" w:type="dxa"/>
            <w:shd w:val="clear" w:color="auto" w:fill="auto"/>
            <w:vAlign w:val="center"/>
          </w:tcPr>
          <w:p>
            <w:pPr>
              <w:snapToGrid w:val="0"/>
              <w:spacing w:line="276" w:lineRule="auto"/>
              <w:jc w:val="center"/>
              <w:rPr>
                <w:sz w:val="24"/>
                <w:szCs w:val="21"/>
              </w:rPr>
            </w:pPr>
            <w:r>
              <w:rPr>
                <w:sz w:val="24"/>
                <w:szCs w:val="21"/>
              </w:rPr>
              <w:t>电力（光伏、风力等可再生能源发电）</w:t>
            </w:r>
          </w:p>
        </w:tc>
        <w:tc>
          <w:tcPr>
            <w:tcW w:w="2725" w:type="dxa"/>
            <w:shd w:val="clear" w:color="auto" w:fill="auto"/>
            <w:vAlign w:val="center"/>
          </w:tcPr>
          <w:p>
            <w:pPr>
              <w:snapToGrid w:val="0"/>
              <w:spacing w:line="276" w:lineRule="auto"/>
              <w:jc w:val="center"/>
              <w:rPr>
                <w:sz w:val="24"/>
                <w:szCs w:val="21"/>
              </w:rPr>
            </w:pPr>
            <m:oMathPara>
              <m:oMath>
                <m:sSub>
                  <m:sSubPr>
                    <m:ctrlPr>
                      <w:rPr>
                        <w:rFonts w:ascii="Cambria Math" w:hAnsi="Cambria Math"/>
                        <w:sz w:val="24"/>
                        <w:szCs w:val="21"/>
                      </w:rPr>
                    </m:ctrlPr>
                  </m:sSubPr>
                  <m:e>
                    <m:r>
                      <m:rPr>
                        <m:sty m:val="p"/>
                      </m:rPr>
                      <w:rPr>
                        <w:rFonts w:hint="eastAsia" w:ascii="Cambria Math" w:hAnsi="Cambria Math"/>
                        <w:sz w:val="24"/>
                        <w:szCs w:val="21"/>
                      </w:rPr>
                      <m:t>kW</m:t>
                    </m:r>
                    <m:r>
                      <m:rPr>
                        <m:sty m:val="p"/>
                      </m:rPr>
                      <w:rPr>
                        <w:rFonts w:hint="eastAsia" w:ascii="Cambria Math" w:hAnsi="Cambria Math" w:eastAsia="MS Gothic" w:cs="MS Gothic"/>
                        <w:sz w:val="24"/>
                        <w:szCs w:val="21"/>
                      </w:rPr>
                      <m:t>h</m:t>
                    </m:r>
                    <m:r>
                      <m:rPr>
                        <m:sty m:val="p"/>
                      </m:rPr>
                      <w:rPr>
                        <w:rFonts w:ascii="Cambria Math" w:hAnsi="Cambria Math"/>
                        <w:sz w:val="24"/>
                        <w:szCs w:val="21"/>
                      </w:rPr>
                      <m:t>/kWh</m:t>
                    </m:r>
                    <m:ctrlPr>
                      <w:rPr>
                        <w:rFonts w:ascii="Cambria Math" w:hAnsi="Cambria Math"/>
                        <w:sz w:val="24"/>
                        <w:szCs w:val="21"/>
                      </w:rPr>
                    </m:ctrlPr>
                  </m:e>
                  <m:sub>
                    <m:r>
                      <m:rPr>
                        <m:sty m:val="p"/>
                      </m:rPr>
                      <w:rPr>
                        <w:rFonts w:ascii="Cambria Math" w:hAnsi="Cambria Math"/>
                        <w:sz w:val="24"/>
                        <w:szCs w:val="21"/>
                      </w:rPr>
                      <m:t>终端</m:t>
                    </m:r>
                    <m:ctrlPr>
                      <w:rPr>
                        <w:rFonts w:ascii="Cambria Math" w:hAnsi="Cambria Math"/>
                        <w:sz w:val="24"/>
                        <w:szCs w:val="21"/>
                      </w:rPr>
                    </m:ctrlPr>
                  </m:sub>
                </m:sSub>
              </m:oMath>
            </m:oMathPara>
          </w:p>
        </w:tc>
        <w:tc>
          <w:tcPr>
            <w:tcW w:w="2945" w:type="dxa"/>
            <w:vAlign w:val="center"/>
          </w:tcPr>
          <w:p>
            <w:pPr>
              <w:snapToGrid w:val="0"/>
              <w:spacing w:line="276" w:lineRule="auto"/>
              <w:jc w:val="center"/>
              <w:rPr>
                <w:sz w:val="24"/>
                <w:szCs w:val="21"/>
              </w:rPr>
            </w:pPr>
            <w:r>
              <w:rPr>
                <w:sz w:val="24"/>
                <w:szCs w:val="21"/>
              </w:rPr>
              <w:t>2.6</w:t>
            </w:r>
          </w:p>
        </w:tc>
      </w:tr>
    </w:tbl>
    <w:p>
      <w:pPr>
        <w:pStyle w:val="3"/>
        <w:spacing w:after="156" w:line="276" w:lineRule="auto"/>
        <w:jc w:val="center"/>
        <w:rPr>
          <w:rFonts w:ascii="Times New Roman" w:hAnsi="Times New Roman" w:eastAsia="宋体"/>
        </w:rPr>
      </w:pPr>
      <w:bookmarkStart w:id="116" w:name="_Toc146734739"/>
      <w:r>
        <w:rPr>
          <w:rFonts w:ascii="Times New Roman" w:hAnsi="Times New Roman" w:eastAsia="宋体"/>
        </w:rPr>
        <w:t xml:space="preserve">8.3 </w:t>
      </w:r>
      <w:r>
        <w:rPr>
          <w:rFonts w:hint="eastAsia" w:ascii="Times New Roman" w:eastAsia="宋体"/>
        </w:rPr>
        <w:t>建筑碳排放强度计算</w:t>
      </w:r>
      <w:bookmarkEnd w:id="116"/>
    </w:p>
    <w:p>
      <w:pPr>
        <w:snapToGrid w:val="0"/>
        <w:spacing w:line="276" w:lineRule="auto"/>
        <w:rPr>
          <w:sz w:val="24"/>
          <w:szCs w:val="21"/>
        </w:rPr>
      </w:pPr>
      <w:r>
        <w:rPr>
          <w:b/>
          <w:sz w:val="24"/>
          <w:szCs w:val="21"/>
        </w:rPr>
        <w:t>8.3.1</w:t>
      </w:r>
      <w:r>
        <w:rPr>
          <w:rFonts w:hint="eastAsia"/>
          <w:sz w:val="24"/>
          <w:szCs w:val="21"/>
        </w:rPr>
        <w:t>建筑碳排放强度应按下式计算：</w:t>
      </w:r>
    </w:p>
    <w:p>
      <w:pPr>
        <w:snapToGrid w:val="0"/>
        <w:spacing w:line="276" w:lineRule="auto"/>
        <w:jc w:val="right"/>
        <w:rPr>
          <w:bCs/>
          <w:i/>
          <w:sz w:val="24"/>
          <w:szCs w:val="21"/>
        </w:rPr>
      </w:pPr>
      <m:oMath>
        <m:r>
          <m:rPr/>
          <w:rPr>
            <w:rFonts w:ascii="Cambria Math" w:hAnsi="Cambria Math"/>
            <w:sz w:val="24"/>
            <w:szCs w:val="21"/>
          </w:rPr>
          <m:t>C</m:t>
        </m:r>
        <m:r>
          <m:rPr/>
          <w:rPr>
            <w:rFonts w:ascii="Cambria Math" w:hAnsi="Cambria Math"/>
            <w:sz w:val="24"/>
            <w:szCs w:val="21"/>
            <w:vertAlign w:val="subscript"/>
          </w:rPr>
          <m:t xml:space="preserve">  </m:t>
        </m:r>
        <m:r>
          <m:rPr/>
          <w:rPr>
            <w:rFonts w:ascii="Cambria Math" w:hAnsi="Cambria Math"/>
            <w:sz w:val="24"/>
            <w:szCs w:val="21"/>
          </w:rPr>
          <m:t>=</m:t>
        </m:r>
        <m:f>
          <m:fPr>
            <m:ctrlPr>
              <w:rPr>
                <w:rFonts w:ascii="Cambria Math" w:hAnsi="Cambria Math"/>
                <w:bCs/>
                <w:i/>
                <w:sz w:val="24"/>
                <w:szCs w:val="21"/>
              </w:rPr>
            </m:ctrlPr>
          </m:fPr>
          <m:num>
            <m:sSub>
              <w:bookmarkStart w:id="117" w:name="_Hlk132811291"/>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ℎ</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c</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l</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w</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e</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p</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f</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r>
              <m:rPr/>
              <w:rPr>
                <w:rFonts w:ascii="Cambria Math" w:hAnsi="Cambria Math"/>
                <w:sz w:val="24"/>
                <w:szCs w:val="21"/>
              </w:rPr>
              <m:t>−</m:t>
            </m:r>
            <m:sSub>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r</m:t>
                </m:r>
                <m:ctrlPr>
                  <w:rPr>
                    <w:rFonts w:ascii="Cambria Math" w:hAnsi="Cambria Math"/>
                    <w:bCs/>
                    <w:i/>
                    <w:sz w:val="24"/>
                    <w:szCs w:val="21"/>
                  </w:rPr>
                </m:ctrlPr>
              </m:sub>
            </m:sSub>
            <m:r>
              <m:rPr/>
              <w:rPr>
                <w:rFonts w:ascii="Cambria Math" w:hAnsi="Cambria Math"/>
                <w:sz w:val="24"/>
                <w:szCs w:val="21"/>
              </w:rPr>
              <m:t>×</m:t>
            </m:r>
            <w:bookmarkEnd w:id="117"/>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ctrlPr>
              <w:rPr>
                <w:rFonts w:ascii="Cambria Math" w:hAnsi="Cambria Math"/>
                <w:bCs/>
                <w:i/>
                <w:sz w:val="24"/>
                <w:szCs w:val="21"/>
              </w:rPr>
            </m:ctrlPr>
          </m:num>
          <m:den>
            <m:r>
              <m:rPr/>
              <w:rPr>
                <w:rFonts w:ascii="Cambria Math" w:hAnsi="Cambria Math"/>
                <w:sz w:val="24"/>
                <w:szCs w:val="21"/>
              </w:rPr>
              <m:t>A</m:t>
            </m:r>
            <m:ctrlPr>
              <w:rPr>
                <w:rFonts w:ascii="Cambria Math" w:hAnsi="Cambria Math"/>
                <w:bCs/>
                <w:i/>
                <w:sz w:val="24"/>
                <w:szCs w:val="21"/>
              </w:rPr>
            </m:ctrlPr>
          </m:den>
        </m:f>
      </m:oMath>
      <w:r>
        <w:rPr>
          <w:bCs/>
          <w:sz w:val="24"/>
          <w:szCs w:val="21"/>
        </w:rPr>
        <w:t xml:space="preserve">   </w:t>
      </w:r>
      <w:r>
        <w:rPr>
          <w:rFonts w:hint="eastAsia"/>
          <w:bCs/>
          <w:sz w:val="24"/>
          <w:szCs w:val="21"/>
        </w:rPr>
        <w:t>（</w:t>
      </w:r>
      <w:r>
        <w:rPr>
          <w:bCs/>
          <w:sz w:val="24"/>
          <w:szCs w:val="21"/>
        </w:rPr>
        <w:t>8.3.1</w:t>
      </w:r>
      <w:r>
        <w:rPr>
          <w:rFonts w:hint="eastAsia"/>
          <w:bCs/>
          <w:sz w:val="24"/>
          <w:szCs w:val="21"/>
        </w:rPr>
        <w:t>）</w:t>
      </w:r>
    </w:p>
    <w:p>
      <w:pPr>
        <w:snapToGrid w:val="0"/>
        <w:spacing w:line="276" w:lineRule="auto"/>
        <w:rPr>
          <w:bCs/>
          <w:sz w:val="24"/>
          <w:szCs w:val="21"/>
        </w:rPr>
      </w:pPr>
      <w:r>
        <w:rPr>
          <w:bCs/>
          <w:sz w:val="24"/>
          <w:szCs w:val="21"/>
        </w:rPr>
        <w:t xml:space="preserve">   </w:t>
      </w:r>
    </w:p>
    <w:p>
      <w:pPr>
        <w:snapToGrid w:val="0"/>
        <w:spacing w:line="276" w:lineRule="auto"/>
        <w:ind w:firstLine="420"/>
        <w:rPr>
          <w:bCs/>
          <w:sz w:val="24"/>
          <w:szCs w:val="21"/>
        </w:rPr>
      </w:pPr>
      <w:r>
        <w:rPr>
          <w:rFonts w:hint="eastAsia"/>
          <w:bCs/>
          <w:sz w:val="24"/>
          <w:szCs w:val="21"/>
        </w:rPr>
        <w:t>式中：</w:t>
      </w:r>
      <m:oMath>
        <m:r>
          <m:rPr/>
          <w:rPr>
            <w:rFonts w:ascii="Cambria Math" w:hAnsi="Cambria Math"/>
            <w:sz w:val="24"/>
            <w:szCs w:val="21"/>
          </w:rPr>
          <m:t>C</m:t>
        </m:r>
      </m:oMath>
      <w:r>
        <w:rPr>
          <w:bCs/>
          <w:sz w:val="24"/>
          <w:szCs w:val="21"/>
        </w:rPr>
        <w:t>——</w:t>
      </w:r>
      <w:r>
        <w:rPr>
          <w:rFonts w:hint="eastAsia"/>
          <w:bCs/>
          <w:sz w:val="24"/>
          <w:szCs w:val="21"/>
        </w:rPr>
        <w:t>建筑碳排放强度，</w:t>
      </w:r>
      <w:r>
        <w:rPr>
          <w:bCs/>
          <w:sz w:val="24"/>
          <w:szCs w:val="21"/>
        </w:rPr>
        <w:t>kgCO</w:t>
      </w:r>
      <w:r>
        <w:rPr>
          <w:bCs/>
          <w:sz w:val="24"/>
          <w:szCs w:val="21"/>
          <w:vertAlign w:val="subscript"/>
        </w:rPr>
        <w:t>2</w:t>
      </w:r>
      <w:r>
        <w:rPr>
          <w:bCs/>
          <w:sz w:val="24"/>
          <w:szCs w:val="21"/>
        </w:rPr>
        <w:t>/m</w:t>
      </w:r>
      <w:r>
        <w:rPr>
          <w:bCs/>
          <w:sz w:val="24"/>
          <w:szCs w:val="21"/>
          <w:vertAlign w:val="superscript"/>
        </w:rPr>
        <w:t>2</w:t>
      </w:r>
      <w:r>
        <w:rPr>
          <w:rFonts w:hint="eastAsia"/>
          <w:bCs/>
          <w:sz w:val="24"/>
          <w:szCs w:val="21"/>
        </w:rPr>
        <w:t>；</w:t>
      </w:r>
    </w:p>
    <w:p>
      <w:pPr>
        <w:snapToGrid w:val="0"/>
        <w:spacing w:line="276" w:lineRule="auto"/>
        <w:ind w:left="1050" w:leftChars="500"/>
        <w:rPr>
          <w:bCs/>
          <w:sz w:val="24"/>
          <w:szCs w:val="21"/>
        </w:rPr>
      </w:pPr>
      <m:oMath>
        <m:sSub>
          <m:sSubPr>
            <m:ctrlPr>
              <w:rPr>
                <w:rFonts w:ascii="Cambria Math" w:hAnsi="Cambria Math"/>
                <w:bCs/>
                <w:i/>
                <w:sz w:val="24"/>
                <w:szCs w:val="21"/>
              </w:rPr>
            </m:ctrlPr>
          </m:sSubPr>
          <m:e>
            <m:r>
              <m:rPr/>
              <w:rPr>
                <w:rFonts w:ascii="Cambria Math" w:hAnsi="Cambria Math"/>
                <w:sz w:val="24"/>
                <w:szCs w:val="21"/>
              </w:rPr>
              <m:t>E</m:t>
            </m:r>
            <m:ctrlPr>
              <w:rPr>
                <w:rFonts w:ascii="Cambria Math" w:hAnsi="Cambria Math"/>
                <w:bCs/>
                <w:i/>
                <w:sz w:val="24"/>
                <w:szCs w:val="21"/>
              </w:rPr>
            </m:ctrlPr>
          </m:e>
          <m:sub>
            <m:r>
              <m:rPr/>
              <w:rPr>
                <w:rFonts w:ascii="Cambria Math" w:hAnsi="Cambria Math"/>
                <w:sz w:val="24"/>
                <w:szCs w:val="21"/>
              </w:rPr>
              <m:t>r</m:t>
            </m:r>
            <m:ctrlPr>
              <w:rPr>
                <w:rFonts w:ascii="Cambria Math" w:hAnsi="Cambria Math"/>
                <w:bCs/>
                <w:i/>
                <w:sz w:val="24"/>
                <w:szCs w:val="21"/>
              </w:rPr>
            </m:ctrlPr>
          </m:sub>
        </m:sSub>
      </m:oMath>
      <w:r>
        <w:rPr>
          <w:bCs/>
          <w:sz w:val="24"/>
          <w:szCs w:val="21"/>
        </w:rPr>
        <w:t>——</w:t>
      </w:r>
      <w:r>
        <w:rPr>
          <w:rFonts w:hint="eastAsia"/>
          <w:bCs/>
          <w:sz w:val="24"/>
          <w:szCs w:val="21"/>
        </w:rPr>
        <w:t>年可再生能源发电量，</w:t>
      </w:r>
      <w:r>
        <w:rPr>
          <w:bCs/>
          <w:sz w:val="24"/>
          <w:szCs w:val="21"/>
        </w:rPr>
        <w:t>kWh</w:t>
      </w:r>
      <w:r>
        <w:rPr>
          <w:rFonts w:hint="eastAsia"/>
          <w:bCs/>
          <w:sz w:val="24"/>
          <w:szCs w:val="21"/>
        </w:rPr>
        <w:t>；</w:t>
      </w:r>
    </w:p>
    <w:p>
      <w:pPr>
        <w:snapToGrid w:val="0"/>
        <w:spacing w:line="276" w:lineRule="auto"/>
        <w:ind w:left="1050" w:leftChars="500"/>
        <w:rPr>
          <w:bCs/>
          <w:sz w:val="24"/>
          <w:szCs w:val="21"/>
        </w:rPr>
      </w:pPr>
      <m:oMath>
        <m:sSub>
          <m:sSubPr>
            <m:ctrlPr>
              <w:rPr>
                <w:rFonts w:ascii="Cambria Math" w:hAnsi="Cambria Math"/>
                <w:bCs/>
                <w:i/>
                <w:sz w:val="24"/>
                <w:szCs w:val="21"/>
              </w:rPr>
            </m:ctrlPr>
          </m:sSubPr>
          <m:e>
            <m:r>
              <m:rPr/>
              <w:rPr>
                <w:rFonts w:ascii="Cambria Math" w:hAnsi="Cambria Math"/>
                <w:sz w:val="24"/>
                <w:szCs w:val="21"/>
              </w:rPr>
              <m:t>c</m:t>
            </m:r>
            <m:ctrlPr>
              <w:rPr>
                <w:rFonts w:ascii="Cambria Math" w:hAnsi="Cambria Math"/>
                <w:bCs/>
                <w:i/>
                <w:sz w:val="24"/>
                <w:szCs w:val="21"/>
              </w:rPr>
            </m:ctrlPr>
          </m:e>
          <m:sub>
            <m:r>
              <m:rPr/>
              <w:rPr>
                <w:rFonts w:ascii="Cambria Math" w:hAnsi="Cambria Math"/>
                <w:sz w:val="24"/>
                <w:szCs w:val="21"/>
              </w:rPr>
              <m:t>i</m:t>
            </m:r>
            <m:ctrlPr>
              <w:rPr>
                <w:rFonts w:ascii="Cambria Math" w:hAnsi="Cambria Math"/>
                <w:bCs/>
                <w:i/>
                <w:sz w:val="24"/>
                <w:szCs w:val="21"/>
              </w:rPr>
            </m:ctrlPr>
          </m:sub>
        </m:sSub>
      </m:oMath>
      <w:r>
        <w:rPr>
          <w:bCs/>
          <w:sz w:val="24"/>
          <w:szCs w:val="21"/>
        </w:rPr>
        <w:t>——i</w:t>
      </w:r>
      <w:r>
        <w:rPr>
          <w:rFonts w:hint="eastAsia"/>
          <w:bCs/>
          <w:sz w:val="24"/>
          <w:szCs w:val="21"/>
        </w:rPr>
        <w:t>类能源碳排放因子，主要能源排放因子按现行国家标准《建筑碳排放计算标准》</w:t>
      </w:r>
      <w:r>
        <w:rPr>
          <w:bCs/>
          <w:sz w:val="24"/>
          <w:szCs w:val="21"/>
        </w:rPr>
        <w:t>GB/T51366</w:t>
      </w:r>
      <w:r>
        <w:rPr>
          <w:rFonts w:hint="eastAsia"/>
          <w:bCs/>
          <w:sz w:val="24"/>
          <w:szCs w:val="21"/>
        </w:rPr>
        <w:t>确定，电力排放因子按</w:t>
      </w:r>
      <w:r>
        <w:rPr>
          <w:bCs/>
          <w:sz w:val="24"/>
          <w:szCs w:val="21"/>
        </w:rPr>
        <w:t>0.5kgCO</w:t>
      </w:r>
      <w:r>
        <w:rPr>
          <w:bCs/>
          <w:sz w:val="24"/>
          <w:szCs w:val="21"/>
          <w:vertAlign w:val="subscript"/>
        </w:rPr>
        <w:t>2</w:t>
      </w:r>
      <w:r>
        <w:rPr>
          <w:bCs/>
          <w:sz w:val="24"/>
          <w:szCs w:val="21"/>
        </w:rPr>
        <w:t>/kWh</w:t>
      </w:r>
      <w:r>
        <w:rPr>
          <w:rFonts w:hint="eastAsia"/>
          <w:bCs/>
          <w:sz w:val="24"/>
          <w:szCs w:val="21"/>
        </w:rPr>
        <w:t>；</w:t>
      </w:r>
    </w:p>
    <w:p>
      <w:pPr>
        <w:snapToGrid w:val="0"/>
        <w:spacing w:line="276" w:lineRule="auto"/>
        <w:ind w:left="1050" w:leftChars="500"/>
        <w:rPr>
          <w:bCs/>
          <w:sz w:val="24"/>
          <w:szCs w:val="21"/>
        </w:rPr>
      </w:pPr>
      <m:oMath>
        <m:r>
          <m:rPr/>
          <w:rPr>
            <w:rFonts w:ascii="Cambria Math" w:hAnsi="Cambria Math"/>
            <w:sz w:val="24"/>
            <w:szCs w:val="21"/>
          </w:rPr>
          <m:t>A</m:t>
        </m:r>
      </m:oMath>
      <w:r>
        <w:rPr>
          <w:bCs/>
          <w:sz w:val="24"/>
          <w:szCs w:val="21"/>
        </w:rPr>
        <w:t>——</w:t>
      </w:r>
      <w:r>
        <w:rPr>
          <w:rFonts w:hint="eastAsia"/>
          <w:bCs/>
          <w:sz w:val="24"/>
          <w:szCs w:val="21"/>
        </w:rPr>
        <w:t>建筑面积，</w:t>
      </w:r>
      <w:r>
        <w:rPr>
          <w:bCs/>
          <w:sz w:val="24"/>
          <w:szCs w:val="21"/>
        </w:rPr>
        <w:t>m</w:t>
      </w:r>
      <w:r>
        <w:rPr>
          <w:bCs/>
          <w:sz w:val="24"/>
          <w:szCs w:val="21"/>
          <w:vertAlign w:val="superscript"/>
        </w:rPr>
        <w:t>2</w:t>
      </w:r>
      <w:r>
        <w:rPr>
          <w:rFonts w:hint="eastAsia"/>
          <w:bCs/>
          <w:sz w:val="24"/>
          <w:szCs w:val="21"/>
        </w:rPr>
        <w:t>。</w:t>
      </w:r>
    </w:p>
    <w:p>
      <w:pPr>
        <w:snapToGrid w:val="0"/>
        <w:spacing w:line="276" w:lineRule="auto"/>
        <w:rPr>
          <w:bCs/>
          <w:sz w:val="24"/>
          <w:szCs w:val="21"/>
        </w:rPr>
      </w:pPr>
    </w:p>
    <w:p>
      <w:pPr>
        <w:widowControl/>
        <w:spacing w:line="276" w:lineRule="auto"/>
        <w:jc w:val="left"/>
        <w:rPr>
          <w:rFonts w:cs="Arial"/>
          <w:kern w:val="0"/>
          <w:sz w:val="24"/>
        </w:rPr>
      </w:pPr>
    </w:p>
    <w:p>
      <w:pPr>
        <w:widowControl/>
        <w:spacing w:line="276" w:lineRule="auto"/>
        <w:jc w:val="left"/>
        <w:rPr>
          <w:rFonts w:cs="Arial"/>
          <w:kern w:val="0"/>
          <w:sz w:val="24"/>
        </w:rPr>
        <w:sectPr>
          <w:headerReference r:id="rId9" w:type="first"/>
          <w:footerReference r:id="rId10" w:type="default"/>
          <w:pgSz w:w="11906" w:h="16838"/>
          <w:pgMar w:top="1440" w:right="1644" w:bottom="1440" w:left="1797" w:header="851" w:footer="992" w:gutter="0"/>
          <w:cols w:space="425" w:num="1"/>
          <w:docGrid w:linePitch="312" w:charSpace="410"/>
        </w:sectPr>
      </w:pPr>
    </w:p>
    <w:p>
      <w:pPr>
        <w:pStyle w:val="2"/>
        <w:spacing w:line="276" w:lineRule="auto"/>
        <w:jc w:val="center"/>
      </w:pPr>
      <w:bookmarkStart w:id="118" w:name="_Toc370674037"/>
      <w:bookmarkStart w:id="119" w:name="_Toc146734740"/>
      <w:bookmarkStart w:id="120" w:name="_Toc377052153"/>
      <w:bookmarkStart w:id="121" w:name="_Toc376970898"/>
      <w:bookmarkStart w:id="122" w:name="_Toc277771213"/>
      <w:bookmarkStart w:id="123" w:name="_Toc277770348"/>
      <w:r>
        <w:rPr>
          <w:rFonts w:hint="eastAsia"/>
        </w:rPr>
        <w:t>附录</w:t>
      </w:r>
      <w:r>
        <w:t>A</w:t>
      </w:r>
      <w:r>
        <w:rPr>
          <w:rFonts w:hint="eastAsia"/>
        </w:rPr>
        <w:t>外墙平均传热系数的计算</w:t>
      </w:r>
      <w:bookmarkEnd w:id="118"/>
      <w:bookmarkEnd w:id="119"/>
      <w:bookmarkEnd w:id="120"/>
      <w:bookmarkEnd w:id="121"/>
    </w:p>
    <w:p>
      <w:pPr>
        <w:autoSpaceDE w:val="0"/>
        <w:autoSpaceDN w:val="0"/>
        <w:adjustRightInd w:val="0"/>
        <w:spacing w:line="276" w:lineRule="auto"/>
        <w:rPr>
          <w:kern w:val="0"/>
          <w:sz w:val="24"/>
        </w:rPr>
      </w:pPr>
      <w:r>
        <w:rPr>
          <w:rFonts w:hint="eastAsia"/>
          <w:b/>
          <w:bCs/>
          <w:sz w:val="24"/>
        </w:rPr>
        <w:t>A.0.1</w:t>
      </w:r>
      <w:r>
        <w:rPr>
          <w:rFonts w:hint="eastAsia"/>
          <w:kern w:val="0"/>
          <w:sz w:val="24"/>
        </w:rPr>
        <w:t>外墙平均传热系数应按现行国家标准《民用建筑热工设计规范》GB50176的有关规定进行计算。</w:t>
      </w:r>
    </w:p>
    <w:p>
      <w:pPr>
        <w:autoSpaceDE w:val="0"/>
        <w:autoSpaceDN w:val="0"/>
        <w:adjustRightInd w:val="0"/>
        <w:spacing w:line="276" w:lineRule="auto"/>
        <w:rPr>
          <w:kern w:val="0"/>
          <w:sz w:val="24"/>
        </w:rPr>
      </w:pPr>
    </w:p>
    <w:p>
      <w:pPr>
        <w:autoSpaceDE w:val="0"/>
        <w:autoSpaceDN w:val="0"/>
        <w:adjustRightInd w:val="0"/>
        <w:spacing w:line="276" w:lineRule="auto"/>
        <w:rPr>
          <w:kern w:val="0"/>
          <w:sz w:val="24"/>
        </w:rPr>
      </w:pPr>
      <w:r>
        <w:rPr>
          <w:rFonts w:hint="eastAsia"/>
          <w:b/>
          <w:bCs/>
          <w:sz w:val="24"/>
        </w:rPr>
        <w:t xml:space="preserve">A.0.2 </w:t>
      </w:r>
      <w:r>
        <w:rPr>
          <w:rFonts w:hint="eastAsia"/>
          <w:kern w:val="0"/>
          <w:sz w:val="24"/>
        </w:rPr>
        <w:t>对于一般建筑，外墙平均传热系数也可按下式计算：</w:t>
      </w:r>
    </w:p>
    <w:p>
      <w:pPr>
        <w:spacing w:line="276" w:lineRule="auto"/>
        <w:ind w:right="480" w:firstLine="3480" w:firstLineChars="1450"/>
        <w:jc w:val="right"/>
        <w:rPr>
          <w:sz w:val="24"/>
        </w:rPr>
      </w:pPr>
      <w:r>
        <w:rPr>
          <w:sz w:val="24"/>
        </w:rPr>
        <w:t>K</w:t>
      </w:r>
      <w:r>
        <w:rPr>
          <w:rFonts w:hint="eastAsia"/>
          <w:sz w:val="24"/>
          <w:vertAlign w:val="subscript"/>
        </w:rPr>
        <w:t>p</w:t>
      </w:r>
      <w:r>
        <w:rPr>
          <w:sz w:val="24"/>
        </w:rPr>
        <w:t>＝φK</w:t>
      </w:r>
      <w:r>
        <w:rPr>
          <w:sz w:val="24"/>
          <w:vertAlign w:val="subscript"/>
        </w:rPr>
        <w:t>m</w:t>
      </w:r>
      <w:r>
        <w:rPr>
          <w:rFonts w:hint="eastAsia"/>
          <w:sz w:val="24"/>
          <w:vertAlign w:val="subscript"/>
        </w:rPr>
        <w:t xml:space="preserve">                                  </w:t>
      </w:r>
      <w:r>
        <w:rPr>
          <w:sz w:val="24"/>
        </w:rPr>
        <w:t>（</w:t>
      </w:r>
      <w:r>
        <w:rPr>
          <w:rFonts w:hint="eastAsia"/>
          <w:sz w:val="24"/>
        </w:rPr>
        <w:t>A</w:t>
      </w:r>
      <w:r>
        <w:rPr>
          <w:sz w:val="24"/>
        </w:rPr>
        <w:t>.0.</w:t>
      </w:r>
      <w:r>
        <w:rPr>
          <w:rFonts w:hint="eastAsia"/>
          <w:sz w:val="24"/>
        </w:rPr>
        <w:t>2</w:t>
      </w:r>
      <w:r>
        <w:rPr>
          <w:sz w:val="24"/>
        </w:rPr>
        <w:t>）</w:t>
      </w:r>
    </w:p>
    <w:p>
      <w:pPr>
        <w:spacing w:line="276" w:lineRule="auto"/>
        <w:rPr>
          <w:sz w:val="24"/>
        </w:rPr>
      </w:pPr>
      <w:r>
        <w:rPr>
          <w:rFonts w:hint="eastAsia"/>
          <w:sz w:val="24"/>
        </w:rPr>
        <w:t>式中：</w:t>
      </w:r>
      <w:r>
        <w:rPr>
          <w:sz w:val="24"/>
        </w:rPr>
        <w:t>K</w:t>
      </w:r>
      <w:r>
        <w:rPr>
          <w:sz w:val="24"/>
          <w:vertAlign w:val="subscript"/>
        </w:rPr>
        <w:t>p</w:t>
      </w:r>
      <w:r>
        <w:rPr>
          <w:i/>
          <w:iCs/>
          <w:sz w:val="24"/>
        </w:rPr>
        <w:t>——</w:t>
      </w:r>
      <w:r>
        <w:rPr>
          <w:rFonts w:hint="eastAsia"/>
          <w:sz w:val="24"/>
        </w:rPr>
        <w:t>外墙平均传热系数，[</w:t>
      </w:r>
      <w:r>
        <w:rPr>
          <w:sz w:val="24"/>
        </w:rPr>
        <w:t>W/(m</w:t>
      </w:r>
      <w:r>
        <w:rPr>
          <w:sz w:val="24"/>
          <w:vertAlign w:val="superscript"/>
        </w:rPr>
        <w:t>2</w:t>
      </w:r>
      <w:r>
        <w:rPr>
          <w:sz w:val="24"/>
        </w:rPr>
        <w:t>·K)</w:t>
      </w:r>
      <w:r>
        <w:rPr>
          <w:rFonts w:hint="eastAsia"/>
          <w:sz w:val="24"/>
        </w:rPr>
        <w:t>]；</w:t>
      </w:r>
    </w:p>
    <w:p>
      <w:pPr>
        <w:spacing w:line="276" w:lineRule="auto"/>
        <w:ind w:firstLine="720" w:firstLineChars="300"/>
        <w:rPr>
          <w:sz w:val="24"/>
        </w:rPr>
      </w:pPr>
      <w:r>
        <w:rPr>
          <w:sz w:val="24"/>
        </w:rPr>
        <w:t>K</w:t>
      </w:r>
      <w:r>
        <w:rPr>
          <w:sz w:val="24"/>
          <w:vertAlign w:val="subscript"/>
        </w:rPr>
        <w:t>m</w:t>
      </w:r>
      <w:r>
        <w:rPr>
          <w:sz w:val="24"/>
        </w:rPr>
        <w:t>—</w:t>
      </w:r>
      <w:r>
        <w:rPr>
          <w:i/>
          <w:iCs/>
          <w:sz w:val="24"/>
        </w:rPr>
        <w:t xml:space="preserve">— </w:t>
      </w:r>
      <w:r>
        <w:rPr>
          <w:rFonts w:hint="eastAsia"/>
          <w:sz w:val="24"/>
        </w:rPr>
        <w:t>外墙主体部位传热系数，[</w:t>
      </w:r>
      <w:r>
        <w:rPr>
          <w:sz w:val="24"/>
        </w:rPr>
        <w:t>W/(m</w:t>
      </w:r>
      <w:r>
        <w:rPr>
          <w:sz w:val="24"/>
          <w:vertAlign w:val="superscript"/>
        </w:rPr>
        <w:t>2</w:t>
      </w:r>
      <w:r>
        <w:rPr>
          <w:sz w:val="24"/>
        </w:rPr>
        <w:t>·K)</w:t>
      </w:r>
      <w:r>
        <w:rPr>
          <w:rFonts w:hint="eastAsia"/>
          <w:sz w:val="24"/>
        </w:rPr>
        <w:t>]；</w:t>
      </w:r>
    </w:p>
    <w:p>
      <w:pPr>
        <w:spacing w:line="276" w:lineRule="auto"/>
        <w:ind w:firstLine="720" w:firstLineChars="300"/>
        <w:rPr>
          <w:sz w:val="24"/>
        </w:rPr>
      </w:pPr>
      <w:r>
        <w:rPr>
          <w:i/>
          <w:iCs/>
          <w:sz w:val="24"/>
        </w:rPr>
        <w:t xml:space="preserve">φ—— </w:t>
      </w:r>
      <w:r>
        <w:rPr>
          <w:rFonts w:hint="eastAsia"/>
          <w:sz w:val="24"/>
        </w:rPr>
        <w:t>外墙主体部位传热系数的修正系数。</w:t>
      </w:r>
    </w:p>
    <w:p>
      <w:pPr>
        <w:spacing w:line="276" w:lineRule="auto"/>
        <w:rPr>
          <w:b/>
          <w:bCs/>
          <w:sz w:val="24"/>
        </w:rPr>
      </w:pPr>
    </w:p>
    <w:p>
      <w:pPr>
        <w:spacing w:line="276" w:lineRule="auto"/>
        <w:rPr>
          <w:sz w:val="24"/>
        </w:rPr>
      </w:pPr>
      <w:r>
        <w:rPr>
          <w:b/>
          <w:bCs/>
          <w:sz w:val="24"/>
        </w:rPr>
        <w:t>A.0.</w:t>
      </w:r>
      <w:r>
        <w:rPr>
          <w:rFonts w:hint="eastAsia"/>
          <w:b/>
          <w:bCs/>
          <w:sz w:val="24"/>
        </w:rPr>
        <w:t>3</w:t>
      </w:r>
      <w:r>
        <w:rPr>
          <w:rFonts w:hint="eastAsia"/>
          <w:sz w:val="24"/>
        </w:rPr>
        <w:t>外墙主体部位传热系数的修正系数</w:t>
      </w:r>
      <w:r>
        <w:rPr>
          <w:i/>
          <w:iCs/>
          <w:sz w:val="24"/>
        </w:rPr>
        <w:t>φ</w:t>
      </w:r>
      <w:r>
        <w:rPr>
          <w:rFonts w:hint="eastAsia"/>
          <w:sz w:val="24"/>
        </w:rPr>
        <w:t>可按表</w:t>
      </w:r>
      <w:r>
        <w:rPr>
          <w:sz w:val="24"/>
        </w:rPr>
        <w:t>A.0.</w:t>
      </w:r>
      <w:r>
        <w:rPr>
          <w:rFonts w:hint="eastAsia"/>
          <w:sz w:val="24"/>
        </w:rPr>
        <w:t>3取值。</w:t>
      </w:r>
    </w:p>
    <w:p>
      <w:pPr>
        <w:jc w:val="center"/>
        <w:rPr>
          <w:iCs/>
          <w:szCs w:val="21"/>
          <w:vertAlign w:val="subscript"/>
        </w:rPr>
      </w:pPr>
      <w:r>
        <w:rPr>
          <w:rFonts w:hint="eastAsia"/>
          <w:szCs w:val="21"/>
        </w:rPr>
        <w:t>表</w:t>
      </w:r>
      <w:r>
        <w:rPr>
          <w:szCs w:val="21"/>
        </w:rPr>
        <w:t>A.0.</w:t>
      </w:r>
      <w:r>
        <w:rPr>
          <w:rFonts w:hint="eastAsia"/>
          <w:szCs w:val="21"/>
        </w:rPr>
        <w:t>3  外墙主体部位传热系数的修正系数</w:t>
      </w:r>
      <w:r>
        <w:rPr>
          <w:iCs/>
          <w:szCs w:val="21"/>
        </w:rPr>
        <w:t>φ</w:t>
      </w:r>
    </w:p>
    <w:tbl>
      <w:tblPr>
        <w:tblStyle w:val="30"/>
        <w:tblW w:w="6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516"/>
        <w:gridCol w:w="249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5" w:type="dxa"/>
            <w:shd w:val="clear" w:color="auto" w:fill="auto"/>
            <w:vAlign w:val="center"/>
          </w:tcPr>
          <w:p>
            <w:pPr>
              <w:widowControl/>
              <w:rPr>
                <w:kern w:val="0"/>
                <w:szCs w:val="21"/>
              </w:rPr>
            </w:pPr>
            <w:r>
              <w:rPr>
                <w:kern w:val="0"/>
                <w:szCs w:val="21"/>
              </w:rPr>
              <w:t>气候分区</w:t>
            </w:r>
          </w:p>
        </w:tc>
        <w:tc>
          <w:tcPr>
            <w:tcW w:w="1516" w:type="dxa"/>
            <w:shd w:val="clear" w:color="auto" w:fill="auto"/>
            <w:noWrap/>
            <w:vAlign w:val="center"/>
          </w:tcPr>
          <w:p>
            <w:pPr>
              <w:widowControl/>
              <w:rPr>
                <w:kern w:val="0"/>
                <w:szCs w:val="21"/>
              </w:rPr>
            </w:pPr>
            <w:r>
              <w:rPr>
                <w:kern w:val="0"/>
                <w:szCs w:val="21"/>
              </w:rPr>
              <w:t>外保温</w:t>
            </w:r>
          </w:p>
        </w:tc>
        <w:tc>
          <w:tcPr>
            <w:tcW w:w="2491" w:type="dxa"/>
            <w:shd w:val="clear" w:color="auto" w:fill="auto"/>
            <w:noWrap/>
            <w:vAlign w:val="center"/>
          </w:tcPr>
          <w:p>
            <w:pPr>
              <w:widowControl/>
              <w:rPr>
                <w:kern w:val="0"/>
                <w:szCs w:val="21"/>
              </w:rPr>
            </w:pPr>
            <w:r>
              <w:rPr>
                <w:kern w:val="0"/>
                <w:szCs w:val="21"/>
              </w:rPr>
              <w:t>夹心保温(自保温)</w:t>
            </w:r>
          </w:p>
        </w:tc>
        <w:tc>
          <w:tcPr>
            <w:tcW w:w="1220" w:type="dxa"/>
            <w:vAlign w:val="center"/>
          </w:tcPr>
          <w:p>
            <w:pPr>
              <w:widowControl/>
              <w:rPr>
                <w:kern w:val="0"/>
                <w:szCs w:val="21"/>
              </w:rPr>
            </w:pPr>
            <w:r>
              <w:rPr>
                <w:kern w:val="0"/>
                <w:szCs w:val="21"/>
              </w:rPr>
              <w:t>内保温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5" w:type="dxa"/>
            <w:shd w:val="clear" w:color="auto" w:fill="auto"/>
            <w:vAlign w:val="center"/>
          </w:tcPr>
          <w:p>
            <w:pPr>
              <w:widowControl/>
              <w:rPr>
                <w:kern w:val="0"/>
                <w:szCs w:val="21"/>
              </w:rPr>
            </w:pPr>
            <w:r>
              <w:rPr>
                <w:kern w:val="0"/>
                <w:szCs w:val="21"/>
              </w:rPr>
              <w:t>严寒地区</w:t>
            </w:r>
          </w:p>
        </w:tc>
        <w:tc>
          <w:tcPr>
            <w:tcW w:w="1516" w:type="dxa"/>
            <w:shd w:val="clear" w:color="auto" w:fill="auto"/>
            <w:noWrap/>
            <w:vAlign w:val="center"/>
          </w:tcPr>
          <w:p>
            <w:pPr>
              <w:widowControl/>
              <w:rPr>
                <w:kern w:val="0"/>
                <w:szCs w:val="21"/>
              </w:rPr>
            </w:pPr>
            <w:r>
              <w:rPr>
                <w:kern w:val="0"/>
                <w:szCs w:val="21"/>
              </w:rPr>
              <w:t>1.30</w:t>
            </w:r>
          </w:p>
        </w:tc>
        <w:tc>
          <w:tcPr>
            <w:tcW w:w="2491" w:type="dxa"/>
            <w:shd w:val="clear" w:color="auto" w:fill="auto"/>
            <w:noWrap/>
            <w:vAlign w:val="center"/>
          </w:tcPr>
          <w:p>
            <w:pPr>
              <w:widowControl/>
              <w:rPr>
                <w:kern w:val="0"/>
                <w:szCs w:val="21"/>
              </w:rPr>
            </w:pPr>
            <w:r>
              <w:rPr>
                <w:kern w:val="0"/>
                <w:szCs w:val="21"/>
              </w:rPr>
              <w:t>—</w:t>
            </w:r>
          </w:p>
        </w:tc>
        <w:tc>
          <w:tcPr>
            <w:tcW w:w="1220" w:type="dxa"/>
            <w:vAlign w:val="center"/>
          </w:tcPr>
          <w:p>
            <w:pPr>
              <w:widowControl/>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5" w:type="dxa"/>
            <w:shd w:val="clear" w:color="auto" w:fill="auto"/>
            <w:noWrap/>
            <w:vAlign w:val="center"/>
          </w:tcPr>
          <w:p>
            <w:pPr>
              <w:widowControl/>
              <w:rPr>
                <w:kern w:val="0"/>
                <w:szCs w:val="21"/>
              </w:rPr>
            </w:pPr>
            <w:r>
              <w:rPr>
                <w:iCs/>
                <w:szCs w:val="21"/>
              </w:rPr>
              <w:t>寒冷地区</w:t>
            </w:r>
          </w:p>
        </w:tc>
        <w:tc>
          <w:tcPr>
            <w:tcW w:w="1516" w:type="dxa"/>
            <w:shd w:val="clear" w:color="auto" w:fill="auto"/>
            <w:noWrap/>
            <w:vAlign w:val="center"/>
          </w:tcPr>
          <w:p>
            <w:pPr>
              <w:widowControl/>
              <w:rPr>
                <w:kern w:val="0"/>
                <w:szCs w:val="21"/>
              </w:rPr>
            </w:pPr>
            <w:r>
              <w:rPr>
                <w:kern w:val="0"/>
                <w:szCs w:val="21"/>
              </w:rPr>
              <w:t>1.20</w:t>
            </w:r>
          </w:p>
        </w:tc>
        <w:tc>
          <w:tcPr>
            <w:tcW w:w="2491" w:type="dxa"/>
            <w:shd w:val="clear" w:color="auto" w:fill="auto"/>
            <w:vAlign w:val="center"/>
          </w:tcPr>
          <w:p>
            <w:pPr>
              <w:rPr>
                <w:kern w:val="0"/>
                <w:szCs w:val="21"/>
              </w:rPr>
            </w:pPr>
            <w:r>
              <w:rPr>
                <w:kern w:val="0"/>
                <w:szCs w:val="21"/>
              </w:rPr>
              <w:t>1.25</w:t>
            </w:r>
          </w:p>
        </w:tc>
        <w:tc>
          <w:tcPr>
            <w:tcW w:w="1220" w:type="dxa"/>
            <w:vAlign w:val="center"/>
          </w:tcPr>
          <w:p>
            <w:pP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5" w:type="dxa"/>
            <w:shd w:val="clear" w:color="auto" w:fill="auto"/>
            <w:noWrap/>
            <w:vAlign w:val="center"/>
          </w:tcPr>
          <w:p>
            <w:pPr>
              <w:widowControl/>
              <w:rPr>
                <w:iCs/>
                <w:szCs w:val="21"/>
              </w:rPr>
            </w:pPr>
            <w:r>
              <w:rPr>
                <w:iCs/>
                <w:szCs w:val="21"/>
              </w:rPr>
              <w:t>夏热冬冷地区</w:t>
            </w:r>
          </w:p>
        </w:tc>
        <w:tc>
          <w:tcPr>
            <w:tcW w:w="1516" w:type="dxa"/>
            <w:shd w:val="clear" w:color="auto" w:fill="auto"/>
            <w:noWrap/>
            <w:vAlign w:val="center"/>
          </w:tcPr>
          <w:p>
            <w:pPr>
              <w:widowControl/>
              <w:rPr>
                <w:kern w:val="0"/>
                <w:szCs w:val="21"/>
              </w:rPr>
            </w:pPr>
            <w:r>
              <w:rPr>
                <w:kern w:val="0"/>
                <w:szCs w:val="21"/>
              </w:rPr>
              <w:t>1.10</w:t>
            </w:r>
          </w:p>
        </w:tc>
        <w:tc>
          <w:tcPr>
            <w:tcW w:w="2491" w:type="dxa"/>
            <w:shd w:val="clear" w:color="auto" w:fill="auto"/>
            <w:vAlign w:val="center"/>
          </w:tcPr>
          <w:p>
            <w:pPr>
              <w:rPr>
                <w:kern w:val="0"/>
                <w:szCs w:val="21"/>
              </w:rPr>
            </w:pPr>
            <w:r>
              <w:rPr>
                <w:kern w:val="0"/>
                <w:szCs w:val="21"/>
              </w:rPr>
              <w:t>1.20</w:t>
            </w:r>
          </w:p>
        </w:tc>
        <w:tc>
          <w:tcPr>
            <w:tcW w:w="1220" w:type="dxa"/>
            <w:vAlign w:val="center"/>
          </w:tcPr>
          <w:p>
            <w:pPr>
              <w:rPr>
                <w:kern w:val="0"/>
                <w:szCs w:val="21"/>
              </w:rPr>
            </w:pPr>
            <w:r>
              <w:rPr>
                <w:kern w:val="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65" w:type="dxa"/>
            <w:shd w:val="clear" w:color="auto" w:fill="auto"/>
            <w:noWrap/>
            <w:vAlign w:val="center"/>
          </w:tcPr>
          <w:p>
            <w:pPr>
              <w:widowControl/>
              <w:rPr>
                <w:kern w:val="0"/>
                <w:szCs w:val="21"/>
              </w:rPr>
            </w:pPr>
            <w:r>
              <w:rPr>
                <w:iCs/>
                <w:szCs w:val="21"/>
              </w:rPr>
              <w:t>夏热冬暖地区</w:t>
            </w:r>
          </w:p>
        </w:tc>
        <w:tc>
          <w:tcPr>
            <w:tcW w:w="1516" w:type="dxa"/>
            <w:shd w:val="clear" w:color="auto" w:fill="auto"/>
            <w:noWrap/>
            <w:vAlign w:val="center"/>
          </w:tcPr>
          <w:p>
            <w:pPr>
              <w:widowControl/>
              <w:rPr>
                <w:kern w:val="0"/>
                <w:szCs w:val="21"/>
              </w:rPr>
            </w:pPr>
            <w:r>
              <w:rPr>
                <w:kern w:val="0"/>
                <w:szCs w:val="21"/>
              </w:rPr>
              <w:t>1.00</w:t>
            </w:r>
          </w:p>
        </w:tc>
        <w:tc>
          <w:tcPr>
            <w:tcW w:w="2491" w:type="dxa"/>
            <w:shd w:val="clear" w:color="auto" w:fill="auto"/>
            <w:vAlign w:val="center"/>
          </w:tcPr>
          <w:p>
            <w:pPr>
              <w:rPr>
                <w:kern w:val="0"/>
                <w:szCs w:val="21"/>
              </w:rPr>
            </w:pPr>
            <w:r>
              <w:rPr>
                <w:kern w:val="0"/>
                <w:szCs w:val="21"/>
              </w:rPr>
              <w:t>1.05</w:t>
            </w:r>
          </w:p>
        </w:tc>
        <w:tc>
          <w:tcPr>
            <w:tcW w:w="1220" w:type="dxa"/>
            <w:vAlign w:val="center"/>
          </w:tcPr>
          <w:p>
            <w:pPr>
              <w:rPr>
                <w:kern w:val="0"/>
                <w:szCs w:val="21"/>
              </w:rPr>
            </w:pPr>
            <w:r>
              <w:rPr>
                <w:kern w:val="0"/>
                <w:szCs w:val="21"/>
              </w:rPr>
              <w:t>1.05</w:t>
            </w:r>
          </w:p>
        </w:tc>
      </w:tr>
    </w:tbl>
    <w:p>
      <w:pPr>
        <w:ind w:firstLine="420"/>
        <w:rPr>
          <w:rFonts w:eastAsiaTheme="minorEastAsia"/>
          <w:szCs w:val="21"/>
        </w:rPr>
      </w:pPr>
    </w:p>
    <w:p>
      <w:pPr>
        <w:ind w:firstLine="420"/>
        <w:sectPr>
          <w:pgSz w:w="11906" w:h="16838"/>
          <w:pgMar w:top="1440" w:right="1800" w:bottom="1440" w:left="1800" w:header="851" w:footer="992" w:gutter="0"/>
          <w:cols w:space="425" w:num="1"/>
          <w:docGrid w:type="lines" w:linePitch="312" w:charSpace="0"/>
        </w:sectPr>
      </w:pPr>
    </w:p>
    <w:p>
      <w:pPr>
        <w:pStyle w:val="2"/>
        <w:spacing w:line="276" w:lineRule="auto"/>
        <w:jc w:val="center"/>
      </w:pPr>
      <w:bookmarkStart w:id="124" w:name="_Toc146734741"/>
      <w:bookmarkStart w:id="125" w:name="_Toc376970900"/>
      <w:bookmarkStart w:id="126" w:name="_Toc370674039"/>
      <w:bookmarkStart w:id="127" w:name="_Toc377052155"/>
      <w:r>
        <w:rPr>
          <w:rFonts w:hint="eastAsia"/>
        </w:rPr>
        <w:t>附录</w:t>
      </w:r>
      <w:r>
        <w:t xml:space="preserve">B </w:t>
      </w:r>
      <w:r>
        <w:rPr>
          <w:rFonts w:hint="eastAsia"/>
        </w:rPr>
        <w:t>建筑围护结构热工性能权衡判断审核表</w:t>
      </w:r>
      <w:bookmarkEnd w:id="124"/>
      <w:bookmarkEnd w:id="125"/>
      <w:bookmarkEnd w:id="126"/>
      <w:bookmarkEnd w:id="127"/>
    </w:p>
    <w:p>
      <w:pPr>
        <w:jc w:val="center"/>
        <w:rPr>
          <w:sz w:val="24"/>
        </w:rPr>
      </w:pPr>
      <w:r>
        <w:rPr>
          <w:rFonts w:hint="eastAsia"/>
          <w:sz w:val="24"/>
        </w:rPr>
        <w:t>表</w:t>
      </w:r>
      <w:r>
        <w:rPr>
          <w:sz w:val="24"/>
        </w:rPr>
        <w:t>B</w:t>
      </w:r>
      <w:r>
        <w:rPr>
          <w:rFonts w:hint="eastAsia"/>
          <w:sz w:val="24"/>
        </w:rPr>
        <w:t xml:space="preserve"> 建筑围护结构热工性能权衡判断审核表</w:t>
      </w:r>
    </w:p>
    <w:tbl>
      <w:tblPr>
        <w:tblStyle w:val="30"/>
        <w:tblW w:w="88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176"/>
        <w:gridCol w:w="1063"/>
        <w:gridCol w:w="1417"/>
        <w:gridCol w:w="1283"/>
        <w:gridCol w:w="842"/>
        <w:gridCol w:w="999"/>
        <w:gridCol w:w="1133"/>
        <w:gridCol w:w="9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69" w:type="dxa"/>
            <w:vAlign w:val="center"/>
          </w:tcPr>
          <w:p>
            <w:pPr>
              <w:autoSpaceDE w:val="0"/>
              <w:autoSpaceDN w:val="0"/>
              <w:adjustRightInd w:val="0"/>
              <w:spacing w:line="276" w:lineRule="auto"/>
              <w:rPr>
                <w:b w:val="0"/>
                <w:bCs w:val="0"/>
                <w:kern w:val="0"/>
                <w:szCs w:val="18"/>
              </w:rPr>
            </w:pPr>
            <w:r>
              <w:rPr>
                <w:rFonts w:hint="eastAsia"/>
                <w:b w:val="0"/>
                <w:bCs w:val="0"/>
                <w:kern w:val="0"/>
                <w:szCs w:val="18"/>
              </w:rPr>
              <w:t>项目名称</w:t>
            </w:r>
          </w:p>
        </w:tc>
        <w:tc>
          <w:tcPr>
            <w:tcW w:w="7650" w:type="dxa"/>
            <w:gridSpan w:val="7"/>
            <w:vAlign w:val="center"/>
          </w:tcPr>
          <w:p>
            <w:pPr>
              <w:autoSpaceDE w:val="0"/>
              <w:autoSpaceDN w:val="0"/>
              <w:adjustRightInd w:val="0"/>
              <w:spacing w:line="276" w:lineRule="auto"/>
              <w:rPr>
                <w:b w:val="0"/>
                <w:bCs w:val="0"/>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69" w:type="dxa"/>
            <w:vAlign w:val="center"/>
          </w:tcPr>
          <w:p>
            <w:pPr>
              <w:autoSpaceDE w:val="0"/>
              <w:autoSpaceDN w:val="0"/>
              <w:adjustRightInd w:val="0"/>
              <w:spacing w:line="276" w:lineRule="auto"/>
              <w:rPr>
                <w:b w:val="0"/>
                <w:bCs w:val="0"/>
                <w:kern w:val="0"/>
                <w:szCs w:val="18"/>
              </w:rPr>
            </w:pPr>
            <w:r>
              <w:rPr>
                <w:rFonts w:hint="eastAsia"/>
                <w:b w:val="0"/>
                <w:bCs w:val="0"/>
                <w:kern w:val="0"/>
                <w:szCs w:val="18"/>
              </w:rPr>
              <w:t>工程地址</w:t>
            </w:r>
          </w:p>
        </w:tc>
        <w:tc>
          <w:tcPr>
            <w:tcW w:w="7650" w:type="dxa"/>
            <w:gridSpan w:val="7"/>
            <w:vAlign w:val="center"/>
          </w:tcPr>
          <w:p>
            <w:pPr>
              <w:autoSpaceDE w:val="0"/>
              <w:autoSpaceDN w:val="0"/>
              <w:adjustRightInd w:val="0"/>
              <w:spacing w:line="276" w:lineRule="auto"/>
              <w:rPr>
                <w:b w:val="0"/>
                <w:bCs w:val="0"/>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69" w:type="dxa"/>
            <w:vAlign w:val="center"/>
          </w:tcPr>
          <w:p>
            <w:pPr>
              <w:autoSpaceDE w:val="0"/>
              <w:autoSpaceDN w:val="0"/>
              <w:adjustRightInd w:val="0"/>
              <w:spacing w:line="276" w:lineRule="auto"/>
              <w:rPr>
                <w:b w:val="0"/>
                <w:bCs w:val="0"/>
                <w:kern w:val="0"/>
                <w:szCs w:val="18"/>
              </w:rPr>
            </w:pPr>
            <w:r>
              <w:rPr>
                <w:rFonts w:hint="eastAsia"/>
                <w:b w:val="0"/>
                <w:bCs w:val="0"/>
                <w:kern w:val="0"/>
                <w:szCs w:val="18"/>
              </w:rPr>
              <w:t>设计单位</w:t>
            </w:r>
          </w:p>
        </w:tc>
        <w:tc>
          <w:tcPr>
            <w:tcW w:w="7650" w:type="dxa"/>
            <w:gridSpan w:val="7"/>
            <w:vAlign w:val="center"/>
          </w:tcPr>
          <w:p>
            <w:pPr>
              <w:autoSpaceDE w:val="0"/>
              <w:autoSpaceDN w:val="0"/>
              <w:adjustRightInd w:val="0"/>
              <w:spacing w:line="276" w:lineRule="auto"/>
              <w:rPr>
                <w:b w:val="0"/>
                <w:bCs w:val="0"/>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69" w:type="dxa"/>
            <w:vAlign w:val="center"/>
          </w:tcPr>
          <w:p>
            <w:pPr>
              <w:autoSpaceDE w:val="0"/>
              <w:autoSpaceDN w:val="0"/>
              <w:adjustRightInd w:val="0"/>
              <w:spacing w:line="276" w:lineRule="auto"/>
              <w:rPr>
                <w:b w:val="0"/>
                <w:bCs w:val="0"/>
                <w:kern w:val="0"/>
                <w:szCs w:val="18"/>
              </w:rPr>
            </w:pPr>
            <w:r>
              <w:rPr>
                <w:rFonts w:hint="eastAsia"/>
                <w:b w:val="0"/>
                <w:bCs w:val="0"/>
                <w:kern w:val="0"/>
                <w:szCs w:val="18"/>
              </w:rPr>
              <w:t>设计日期</w:t>
            </w:r>
          </w:p>
        </w:tc>
        <w:tc>
          <w:tcPr>
            <w:tcW w:w="3766" w:type="dxa"/>
            <w:gridSpan w:val="3"/>
            <w:tcBorders>
              <w:right w:val="single" w:color="auto" w:sz="4" w:space="0"/>
            </w:tcBorders>
            <w:vAlign w:val="center"/>
          </w:tcPr>
          <w:p>
            <w:pPr>
              <w:autoSpaceDE w:val="0"/>
              <w:autoSpaceDN w:val="0"/>
              <w:adjustRightInd w:val="0"/>
              <w:spacing w:line="276" w:lineRule="auto"/>
              <w:rPr>
                <w:b w:val="0"/>
                <w:bCs w:val="0"/>
                <w:kern w:val="0"/>
              </w:rPr>
            </w:pPr>
          </w:p>
        </w:tc>
        <w:tc>
          <w:tcPr>
            <w:tcW w:w="1843" w:type="dxa"/>
            <w:gridSpan w:val="2"/>
            <w:tcBorders>
              <w:left w:val="single" w:color="auto" w:sz="4" w:space="0"/>
              <w:right w:val="single" w:color="auto" w:sz="4" w:space="0"/>
            </w:tcBorders>
            <w:vAlign w:val="center"/>
          </w:tcPr>
          <w:p>
            <w:pPr>
              <w:autoSpaceDE w:val="0"/>
              <w:autoSpaceDN w:val="0"/>
              <w:adjustRightInd w:val="0"/>
              <w:spacing w:line="276" w:lineRule="auto"/>
              <w:rPr>
                <w:b w:val="0"/>
                <w:bCs w:val="0"/>
                <w:kern w:val="0"/>
              </w:rPr>
            </w:pPr>
            <w:r>
              <w:rPr>
                <w:rFonts w:hint="eastAsia"/>
                <w:b w:val="0"/>
                <w:bCs w:val="0"/>
                <w:kern w:val="0"/>
              </w:rPr>
              <w:t>气候区域</w:t>
            </w:r>
          </w:p>
        </w:tc>
        <w:tc>
          <w:tcPr>
            <w:tcW w:w="2041" w:type="dxa"/>
            <w:gridSpan w:val="2"/>
            <w:tcBorders>
              <w:left w:val="single" w:color="auto" w:sz="4" w:space="0"/>
            </w:tcBorders>
            <w:vAlign w:val="center"/>
          </w:tcPr>
          <w:p>
            <w:pPr>
              <w:autoSpaceDE w:val="0"/>
              <w:autoSpaceDN w:val="0"/>
              <w:adjustRightInd w:val="0"/>
              <w:spacing w:line="276" w:lineRule="auto"/>
              <w:rPr>
                <w:b w:val="0"/>
                <w:bCs w:val="0"/>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69" w:type="dxa"/>
            <w:vAlign w:val="center"/>
          </w:tcPr>
          <w:p>
            <w:pPr>
              <w:autoSpaceDE w:val="0"/>
              <w:autoSpaceDN w:val="0"/>
              <w:adjustRightInd w:val="0"/>
              <w:spacing w:line="276" w:lineRule="auto"/>
              <w:rPr>
                <w:b w:val="0"/>
                <w:bCs w:val="0"/>
                <w:kern w:val="0"/>
                <w:szCs w:val="18"/>
              </w:rPr>
            </w:pPr>
            <w:r>
              <w:rPr>
                <w:rFonts w:hint="eastAsia"/>
                <w:b w:val="0"/>
                <w:bCs w:val="0"/>
                <w:kern w:val="0"/>
                <w:szCs w:val="18"/>
              </w:rPr>
              <w:t>采用软件</w:t>
            </w:r>
          </w:p>
        </w:tc>
        <w:tc>
          <w:tcPr>
            <w:tcW w:w="3766" w:type="dxa"/>
            <w:gridSpan w:val="3"/>
            <w:tcBorders>
              <w:right w:val="single" w:color="auto" w:sz="4" w:space="0"/>
            </w:tcBorders>
            <w:vAlign w:val="center"/>
          </w:tcPr>
          <w:p>
            <w:pPr>
              <w:autoSpaceDE w:val="0"/>
              <w:autoSpaceDN w:val="0"/>
              <w:adjustRightInd w:val="0"/>
              <w:spacing w:line="276" w:lineRule="auto"/>
              <w:rPr>
                <w:b w:val="0"/>
                <w:bCs w:val="0"/>
                <w:kern w:val="0"/>
              </w:rPr>
            </w:pPr>
          </w:p>
        </w:tc>
        <w:tc>
          <w:tcPr>
            <w:tcW w:w="1843" w:type="dxa"/>
            <w:gridSpan w:val="2"/>
            <w:tcBorders>
              <w:left w:val="single" w:color="auto" w:sz="4" w:space="0"/>
              <w:right w:val="single" w:color="auto" w:sz="4" w:space="0"/>
            </w:tcBorders>
            <w:vAlign w:val="center"/>
          </w:tcPr>
          <w:p>
            <w:pPr>
              <w:autoSpaceDE w:val="0"/>
              <w:autoSpaceDN w:val="0"/>
              <w:adjustRightInd w:val="0"/>
              <w:spacing w:line="276" w:lineRule="auto"/>
              <w:rPr>
                <w:b w:val="0"/>
                <w:bCs w:val="0"/>
                <w:kern w:val="0"/>
              </w:rPr>
            </w:pPr>
            <w:r>
              <w:rPr>
                <w:rFonts w:hint="eastAsia"/>
                <w:b w:val="0"/>
                <w:bCs w:val="0"/>
                <w:kern w:val="0"/>
              </w:rPr>
              <w:t>软件版本</w:t>
            </w:r>
          </w:p>
        </w:tc>
        <w:tc>
          <w:tcPr>
            <w:tcW w:w="2041" w:type="dxa"/>
            <w:gridSpan w:val="2"/>
            <w:tcBorders>
              <w:left w:val="single" w:color="auto" w:sz="4" w:space="0"/>
            </w:tcBorders>
            <w:vAlign w:val="center"/>
          </w:tcPr>
          <w:p>
            <w:pPr>
              <w:autoSpaceDE w:val="0"/>
              <w:autoSpaceDN w:val="0"/>
              <w:adjustRightInd w:val="0"/>
              <w:spacing w:line="276" w:lineRule="auto"/>
              <w:rPr>
                <w:b w:val="0"/>
                <w:bCs w:val="0"/>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69" w:type="dxa"/>
            <w:vAlign w:val="center"/>
          </w:tcPr>
          <w:p>
            <w:pPr>
              <w:autoSpaceDE w:val="0"/>
              <w:autoSpaceDN w:val="0"/>
              <w:adjustRightInd w:val="0"/>
              <w:spacing w:line="276" w:lineRule="auto"/>
              <w:rPr>
                <w:b w:val="0"/>
                <w:bCs w:val="0"/>
                <w:kern w:val="0"/>
                <w:szCs w:val="18"/>
              </w:rPr>
            </w:pPr>
            <w:r>
              <w:rPr>
                <w:rFonts w:hint="eastAsia"/>
                <w:b w:val="0"/>
                <w:bCs w:val="0"/>
                <w:kern w:val="0"/>
                <w:szCs w:val="18"/>
              </w:rPr>
              <w:t>建筑面积</w:t>
            </w:r>
          </w:p>
        </w:tc>
        <w:tc>
          <w:tcPr>
            <w:tcW w:w="3766" w:type="dxa"/>
            <w:gridSpan w:val="3"/>
            <w:tcBorders>
              <w:right w:val="single" w:color="auto" w:sz="4" w:space="0"/>
            </w:tcBorders>
            <w:vAlign w:val="center"/>
          </w:tcPr>
          <w:p>
            <w:pPr>
              <w:autoSpaceDE w:val="0"/>
              <w:autoSpaceDN w:val="0"/>
              <w:adjustRightInd w:val="0"/>
              <w:spacing w:line="276" w:lineRule="auto"/>
              <w:rPr>
                <w:b w:val="0"/>
                <w:bCs w:val="0"/>
                <w:kern w:val="0"/>
              </w:rPr>
            </w:pPr>
            <w:r>
              <w:rPr>
                <w:rFonts w:hint="eastAsia"/>
                <w:b w:val="0"/>
                <w:bCs w:val="0"/>
                <w:kern w:val="0"/>
              </w:rPr>
              <w:t>m</w:t>
            </w:r>
            <w:r>
              <w:rPr>
                <w:rFonts w:hint="eastAsia"/>
                <w:b w:val="0"/>
                <w:bCs w:val="0"/>
                <w:kern w:val="0"/>
                <w:vertAlign w:val="superscript"/>
              </w:rPr>
              <w:t>2</w:t>
            </w:r>
          </w:p>
        </w:tc>
        <w:tc>
          <w:tcPr>
            <w:tcW w:w="1843" w:type="dxa"/>
            <w:gridSpan w:val="2"/>
            <w:tcBorders>
              <w:left w:val="single" w:color="auto" w:sz="4" w:space="0"/>
              <w:right w:val="single" w:color="auto" w:sz="4" w:space="0"/>
            </w:tcBorders>
            <w:vAlign w:val="center"/>
          </w:tcPr>
          <w:p>
            <w:pPr>
              <w:autoSpaceDE w:val="0"/>
              <w:autoSpaceDN w:val="0"/>
              <w:adjustRightInd w:val="0"/>
              <w:spacing w:line="276" w:lineRule="auto"/>
              <w:rPr>
                <w:b w:val="0"/>
                <w:bCs w:val="0"/>
                <w:kern w:val="0"/>
              </w:rPr>
            </w:pPr>
            <w:r>
              <w:rPr>
                <w:rFonts w:hint="eastAsia"/>
                <w:b w:val="0"/>
                <w:bCs w:val="0"/>
                <w:kern w:val="0"/>
              </w:rPr>
              <w:t>建筑外表面积</w:t>
            </w:r>
          </w:p>
        </w:tc>
        <w:tc>
          <w:tcPr>
            <w:tcW w:w="2041" w:type="dxa"/>
            <w:gridSpan w:val="2"/>
            <w:tcBorders>
              <w:left w:val="single" w:color="auto" w:sz="4" w:space="0"/>
            </w:tcBorders>
            <w:vAlign w:val="center"/>
          </w:tcPr>
          <w:p>
            <w:pPr>
              <w:autoSpaceDE w:val="0"/>
              <w:autoSpaceDN w:val="0"/>
              <w:adjustRightInd w:val="0"/>
              <w:spacing w:line="276" w:lineRule="auto"/>
              <w:rPr>
                <w:b w:val="0"/>
                <w:bCs w:val="0"/>
                <w:kern w:val="0"/>
              </w:rPr>
            </w:pPr>
            <w:r>
              <w:rPr>
                <w:rFonts w:hint="eastAsia"/>
                <w:b w:val="0"/>
                <w:bCs w:val="0"/>
                <w:kern w:val="0"/>
              </w:rPr>
              <w:t>m</w:t>
            </w:r>
            <w:r>
              <w:rPr>
                <w:rFonts w:hint="eastAsia"/>
                <w:b w:val="0"/>
                <w:bCs w:val="0"/>
                <w:kern w:val="0"/>
                <w:vertAlign w:val="superscript"/>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69" w:type="dxa"/>
            <w:vAlign w:val="center"/>
          </w:tcPr>
          <w:p>
            <w:pPr>
              <w:autoSpaceDE w:val="0"/>
              <w:autoSpaceDN w:val="0"/>
              <w:adjustRightInd w:val="0"/>
              <w:spacing w:line="276" w:lineRule="auto"/>
              <w:rPr>
                <w:b w:val="0"/>
                <w:bCs w:val="0"/>
                <w:kern w:val="0"/>
                <w:szCs w:val="18"/>
              </w:rPr>
            </w:pPr>
            <w:r>
              <w:rPr>
                <w:rFonts w:hint="eastAsia"/>
                <w:b w:val="0"/>
                <w:bCs w:val="0"/>
                <w:kern w:val="0"/>
                <w:szCs w:val="18"/>
              </w:rPr>
              <w:t>建筑体积</w:t>
            </w:r>
          </w:p>
        </w:tc>
        <w:tc>
          <w:tcPr>
            <w:tcW w:w="3766" w:type="dxa"/>
            <w:gridSpan w:val="3"/>
            <w:tcBorders>
              <w:right w:val="single" w:color="auto" w:sz="4" w:space="0"/>
            </w:tcBorders>
            <w:vAlign w:val="center"/>
          </w:tcPr>
          <w:p>
            <w:pPr>
              <w:autoSpaceDE w:val="0"/>
              <w:autoSpaceDN w:val="0"/>
              <w:adjustRightInd w:val="0"/>
              <w:spacing w:line="276" w:lineRule="auto"/>
              <w:rPr>
                <w:b w:val="0"/>
                <w:bCs w:val="0"/>
                <w:kern w:val="0"/>
              </w:rPr>
            </w:pPr>
            <w:r>
              <w:rPr>
                <w:rFonts w:hint="eastAsia"/>
                <w:b w:val="0"/>
                <w:bCs w:val="0"/>
                <w:kern w:val="0"/>
              </w:rPr>
              <w:t>m</w:t>
            </w:r>
            <w:r>
              <w:rPr>
                <w:rFonts w:hint="eastAsia"/>
                <w:b w:val="0"/>
                <w:bCs w:val="0"/>
                <w:kern w:val="0"/>
                <w:vertAlign w:val="superscript"/>
              </w:rPr>
              <w:t>3</w:t>
            </w:r>
          </w:p>
        </w:tc>
        <w:tc>
          <w:tcPr>
            <w:tcW w:w="1843" w:type="dxa"/>
            <w:gridSpan w:val="2"/>
            <w:tcBorders>
              <w:left w:val="single" w:color="auto" w:sz="4" w:space="0"/>
              <w:right w:val="single" w:color="auto" w:sz="4" w:space="0"/>
            </w:tcBorders>
            <w:vAlign w:val="center"/>
          </w:tcPr>
          <w:p>
            <w:pPr>
              <w:autoSpaceDE w:val="0"/>
              <w:autoSpaceDN w:val="0"/>
              <w:adjustRightInd w:val="0"/>
              <w:spacing w:line="276" w:lineRule="auto"/>
              <w:rPr>
                <w:b w:val="0"/>
                <w:bCs w:val="0"/>
                <w:kern w:val="0"/>
              </w:rPr>
            </w:pPr>
            <w:r>
              <w:rPr>
                <w:rFonts w:hint="eastAsia"/>
                <w:b w:val="0"/>
                <w:bCs w:val="0"/>
                <w:kern w:val="0"/>
              </w:rPr>
              <w:t>建筑体形系数</w:t>
            </w:r>
          </w:p>
        </w:tc>
        <w:tc>
          <w:tcPr>
            <w:tcW w:w="2041" w:type="dxa"/>
            <w:gridSpan w:val="2"/>
            <w:tcBorders>
              <w:left w:val="single" w:color="auto" w:sz="4" w:space="0"/>
            </w:tcBorders>
            <w:vAlign w:val="center"/>
          </w:tcPr>
          <w:p>
            <w:pPr>
              <w:autoSpaceDE w:val="0"/>
              <w:autoSpaceDN w:val="0"/>
              <w:adjustRightInd w:val="0"/>
              <w:spacing w:line="276" w:lineRule="auto"/>
              <w:rPr>
                <w:b w:val="0"/>
                <w:bCs w:val="0"/>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935" w:type="dxa"/>
            <w:gridSpan w:val="4"/>
            <w:vAlign w:val="center"/>
          </w:tcPr>
          <w:p>
            <w:pPr>
              <w:autoSpaceDE w:val="0"/>
              <w:autoSpaceDN w:val="0"/>
              <w:adjustRightInd w:val="0"/>
              <w:spacing w:line="276" w:lineRule="auto"/>
              <w:rPr>
                <w:b w:val="0"/>
                <w:bCs w:val="0"/>
                <w:kern w:val="0"/>
              </w:rPr>
            </w:pPr>
            <w:r>
              <w:rPr>
                <w:rFonts w:hint="eastAsia"/>
                <w:b w:val="0"/>
                <w:bCs w:val="0"/>
                <w:kern w:val="0"/>
              </w:rPr>
              <w:t>设计建筑窗墙面积比</w:t>
            </w:r>
          </w:p>
        </w:tc>
        <w:tc>
          <w:tcPr>
            <w:tcW w:w="1843" w:type="dxa"/>
            <w:gridSpan w:val="2"/>
            <w:vMerge w:val="restart"/>
            <w:vAlign w:val="center"/>
          </w:tcPr>
          <w:p>
            <w:pPr>
              <w:autoSpaceDE w:val="0"/>
              <w:autoSpaceDN w:val="0"/>
              <w:adjustRightInd w:val="0"/>
              <w:spacing w:line="276" w:lineRule="auto"/>
              <w:rPr>
                <w:b w:val="0"/>
                <w:bCs w:val="0"/>
                <w:kern w:val="0"/>
              </w:rPr>
            </w:pPr>
            <w:r>
              <w:rPr>
                <w:rFonts w:hint="eastAsia"/>
                <w:b w:val="0"/>
                <w:bCs w:val="0"/>
                <w:kern w:val="0"/>
              </w:rPr>
              <w:t>屋顶</w:t>
            </w:r>
            <w:r>
              <w:rPr>
                <w:rFonts w:hint="eastAsia"/>
                <w:b w:val="0"/>
                <w:bCs w:val="0"/>
                <w:kern w:val="0"/>
                <w:szCs w:val="18"/>
              </w:rPr>
              <w:t>透光部分与屋顶总面积之比M</w:t>
            </w:r>
          </w:p>
        </w:tc>
        <w:tc>
          <w:tcPr>
            <w:tcW w:w="2041" w:type="dxa"/>
            <w:gridSpan w:val="2"/>
            <w:vMerge w:val="restart"/>
            <w:vAlign w:val="center"/>
          </w:tcPr>
          <w:p>
            <w:pPr>
              <w:autoSpaceDE w:val="0"/>
              <w:autoSpaceDN w:val="0"/>
              <w:adjustRightInd w:val="0"/>
              <w:spacing w:line="276" w:lineRule="auto"/>
              <w:rPr>
                <w:b w:val="0"/>
                <w:bCs w:val="0"/>
                <w:kern w:val="0"/>
              </w:rPr>
            </w:pPr>
            <w:r>
              <w:rPr>
                <w:rFonts w:hint="eastAsia"/>
                <w:b w:val="0"/>
                <w:bCs w:val="0"/>
                <w:kern w:val="0"/>
                <w:szCs w:val="18"/>
              </w:rPr>
              <w:t>M的限值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77" w:type="dxa"/>
            <w:vAlign w:val="center"/>
          </w:tcPr>
          <w:p>
            <w:pPr>
              <w:autoSpaceDE w:val="0"/>
              <w:autoSpaceDN w:val="0"/>
              <w:adjustRightInd w:val="0"/>
              <w:spacing w:line="276" w:lineRule="auto"/>
              <w:rPr>
                <w:b w:val="0"/>
                <w:bCs w:val="0"/>
                <w:kern w:val="0"/>
              </w:rPr>
            </w:pPr>
            <w:r>
              <w:rPr>
                <w:rFonts w:hint="eastAsia"/>
                <w:b w:val="0"/>
                <w:bCs w:val="0"/>
                <w:kern w:val="0"/>
              </w:rPr>
              <w:t>立面1</w:t>
            </w:r>
          </w:p>
        </w:tc>
        <w:tc>
          <w:tcPr>
            <w:tcW w:w="1064" w:type="dxa"/>
            <w:vAlign w:val="center"/>
          </w:tcPr>
          <w:p>
            <w:pPr>
              <w:autoSpaceDE w:val="0"/>
              <w:autoSpaceDN w:val="0"/>
              <w:adjustRightInd w:val="0"/>
              <w:spacing w:line="276" w:lineRule="auto"/>
              <w:rPr>
                <w:b w:val="0"/>
                <w:bCs w:val="0"/>
                <w:kern w:val="0"/>
              </w:rPr>
            </w:pPr>
            <w:r>
              <w:rPr>
                <w:rFonts w:hint="eastAsia"/>
                <w:b w:val="0"/>
                <w:bCs w:val="0"/>
                <w:kern w:val="0"/>
              </w:rPr>
              <w:t>立面2</w:t>
            </w:r>
          </w:p>
        </w:tc>
        <w:tc>
          <w:tcPr>
            <w:tcW w:w="1418" w:type="dxa"/>
            <w:vAlign w:val="center"/>
          </w:tcPr>
          <w:p>
            <w:pPr>
              <w:autoSpaceDE w:val="0"/>
              <w:autoSpaceDN w:val="0"/>
              <w:adjustRightInd w:val="0"/>
              <w:spacing w:line="276" w:lineRule="auto"/>
              <w:rPr>
                <w:b w:val="0"/>
                <w:bCs w:val="0"/>
                <w:kern w:val="0"/>
              </w:rPr>
            </w:pPr>
            <w:r>
              <w:rPr>
                <w:rFonts w:hint="eastAsia"/>
                <w:b w:val="0"/>
                <w:bCs w:val="0"/>
                <w:kern w:val="0"/>
              </w:rPr>
              <w:t>立面3</w:t>
            </w:r>
          </w:p>
        </w:tc>
        <w:tc>
          <w:tcPr>
            <w:tcW w:w="1276" w:type="dxa"/>
            <w:vAlign w:val="center"/>
          </w:tcPr>
          <w:p>
            <w:pPr>
              <w:autoSpaceDE w:val="0"/>
              <w:autoSpaceDN w:val="0"/>
              <w:adjustRightInd w:val="0"/>
              <w:spacing w:line="276" w:lineRule="auto"/>
              <w:rPr>
                <w:b w:val="0"/>
                <w:bCs w:val="0"/>
                <w:kern w:val="0"/>
              </w:rPr>
            </w:pPr>
            <w:r>
              <w:rPr>
                <w:rFonts w:hint="eastAsia"/>
                <w:b w:val="0"/>
                <w:bCs w:val="0"/>
                <w:kern w:val="0"/>
              </w:rPr>
              <w:t>立面4</w:t>
            </w:r>
          </w:p>
        </w:tc>
        <w:tc>
          <w:tcPr>
            <w:tcW w:w="1843" w:type="dxa"/>
            <w:gridSpan w:val="2"/>
            <w:vMerge w:val="continue"/>
            <w:vAlign w:val="center"/>
          </w:tcPr>
          <w:p>
            <w:pPr>
              <w:autoSpaceDE w:val="0"/>
              <w:autoSpaceDN w:val="0"/>
              <w:adjustRightInd w:val="0"/>
              <w:spacing w:line="276" w:lineRule="auto"/>
              <w:rPr>
                <w:b w:val="0"/>
                <w:bCs w:val="0"/>
                <w:kern w:val="0"/>
              </w:rPr>
            </w:pPr>
          </w:p>
        </w:tc>
        <w:tc>
          <w:tcPr>
            <w:tcW w:w="2041" w:type="dxa"/>
            <w:gridSpan w:val="2"/>
            <w:vMerge w:val="continue"/>
            <w:vAlign w:val="center"/>
          </w:tcPr>
          <w:p>
            <w:pPr>
              <w:autoSpaceDE w:val="0"/>
              <w:autoSpaceDN w:val="0"/>
              <w:adjustRightInd w:val="0"/>
              <w:spacing w:line="276" w:lineRule="auto"/>
              <w:rPr>
                <w:b w:val="0"/>
                <w:bCs w:val="0"/>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177" w:type="dxa"/>
            <w:tcBorders>
              <w:bottom w:val="single" w:color="auto" w:sz="6" w:space="0"/>
            </w:tcBorders>
            <w:vAlign w:val="center"/>
          </w:tcPr>
          <w:p>
            <w:pPr>
              <w:autoSpaceDE w:val="0"/>
              <w:autoSpaceDN w:val="0"/>
              <w:adjustRightInd w:val="0"/>
              <w:spacing w:line="276" w:lineRule="auto"/>
              <w:rPr>
                <w:b w:val="0"/>
                <w:bCs w:val="0"/>
                <w:kern w:val="0"/>
                <w:szCs w:val="18"/>
              </w:rPr>
            </w:pPr>
          </w:p>
        </w:tc>
        <w:tc>
          <w:tcPr>
            <w:tcW w:w="1064" w:type="dxa"/>
            <w:tcBorders>
              <w:bottom w:val="single" w:color="auto" w:sz="6" w:space="0"/>
            </w:tcBorders>
            <w:vAlign w:val="center"/>
          </w:tcPr>
          <w:p>
            <w:pPr>
              <w:autoSpaceDE w:val="0"/>
              <w:autoSpaceDN w:val="0"/>
              <w:adjustRightInd w:val="0"/>
              <w:spacing w:line="276" w:lineRule="auto"/>
              <w:rPr>
                <w:b w:val="0"/>
                <w:bCs w:val="0"/>
                <w:kern w:val="0"/>
              </w:rPr>
            </w:pPr>
          </w:p>
        </w:tc>
        <w:tc>
          <w:tcPr>
            <w:tcW w:w="1418" w:type="dxa"/>
            <w:tcBorders>
              <w:bottom w:val="single" w:color="auto" w:sz="6" w:space="0"/>
            </w:tcBorders>
            <w:vAlign w:val="center"/>
          </w:tcPr>
          <w:p>
            <w:pPr>
              <w:autoSpaceDE w:val="0"/>
              <w:autoSpaceDN w:val="0"/>
              <w:adjustRightInd w:val="0"/>
              <w:spacing w:line="276" w:lineRule="auto"/>
              <w:rPr>
                <w:b w:val="0"/>
                <w:bCs w:val="0"/>
                <w:kern w:val="0"/>
              </w:rPr>
            </w:pPr>
          </w:p>
        </w:tc>
        <w:tc>
          <w:tcPr>
            <w:tcW w:w="1276" w:type="dxa"/>
            <w:tcBorders>
              <w:bottom w:val="single" w:color="auto" w:sz="6" w:space="0"/>
            </w:tcBorders>
            <w:vAlign w:val="center"/>
          </w:tcPr>
          <w:p>
            <w:pPr>
              <w:autoSpaceDE w:val="0"/>
              <w:autoSpaceDN w:val="0"/>
              <w:adjustRightInd w:val="0"/>
              <w:spacing w:line="276" w:lineRule="auto"/>
              <w:rPr>
                <w:b w:val="0"/>
                <w:bCs w:val="0"/>
                <w:kern w:val="0"/>
              </w:rPr>
            </w:pPr>
          </w:p>
        </w:tc>
        <w:tc>
          <w:tcPr>
            <w:tcW w:w="1843" w:type="dxa"/>
            <w:gridSpan w:val="2"/>
            <w:tcBorders>
              <w:bottom w:val="single" w:color="auto" w:sz="6" w:space="0"/>
            </w:tcBorders>
            <w:vAlign w:val="center"/>
          </w:tcPr>
          <w:p>
            <w:pPr>
              <w:autoSpaceDE w:val="0"/>
              <w:autoSpaceDN w:val="0"/>
              <w:adjustRightInd w:val="0"/>
              <w:spacing w:line="276" w:lineRule="auto"/>
              <w:rPr>
                <w:b w:val="0"/>
                <w:bCs w:val="0"/>
                <w:kern w:val="0"/>
              </w:rPr>
            </w:pPr>
          </w:p>
        </w:tc>
        <w:tc>
          <w:tcPr>
            <w:tcW w:w="2041" w:type="dxa"/>
            <w:gridSpan w:val="2"/>
            <w:tcBorders>
              <w:bottom w:val="single" w:color="auto" w:sz="6" w:space="0"/>
            </w:tcBorders>
            <w:vAlign w:val="center"/>
          </w:tcPr>
          <w:p>
            <w:pPr>
              <w:autoSpaceDE w:val="0"/>
              <w:autoSpaceDN w:val="0"/>
              <w:adjustRightInd w:val="0"/>
              <w:spacing w:line="276" w:lineRule="auto"/>
              <w:rPr>
                <w:b w:val="0"/>
                <w:bCs w:val="0"/>
                <w:kern w:val="0"/>
              </w:rPr>
            </w:pPr>
            <w:r>
              <w:rPr>
                <w:b w:val="0"/>
                <w:bCs w:val="0"/>
                <w:kern w:val="0"/>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5" w:hRule="atLeast"/>
          <w:jc w:val="center"/>
        </w:trPr>
        <w:tc>
          <w:tcPr>
            <w:tcW w:w="2241" w:type="dxa"/>
            <w:gridSpan w:val="2"/>
            <w:vMerge w:val="restart"/>
            <w:shd w:val="clear" w:color="auto" w:fill="auto"/>
            <w:vAlign w:val="center"/>
          </w:tcPr>
          <w:p>
            <w:pPr>
              <w:autoSpaceDE w:val="0"/>
              <w:autoSpaceDN w:val="0"/>
              <w:adjustRightInd w:val="0"/>
              <w:spacing w:line="276" w:lineRule="auto"/>
              <w:jc w:val="left"/>
              <w:rPr>
                <w:b w:val="0"/>
                <w:bCs w:val="0"/>
                <w:kern w:val="0"/>
                <w:szCs w:val="18"/>
              </w:rPr>
            </w:pPr>
            <w:r>
              <w:rPr>
                <w:rFonts w:hint="eastAsia"/>
                <w:b w:val="0"/>
                <w:bCs w:val="0"/>
                <w:kern w:val="0"/>
                <w:szCs w:val="18"/>
              </w:rPr>
              <w:t>围护结构部位</w:t>
            </w:r>
          </w:p>
        </w:tc>
        <w:tc>
          <w:tcPr>
            <w:tcW w:w="2694" w:type="dxa"/>
            <w:gridSpan w:val="2"/>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设计建筑</w:t>
            </w:r>
          </w:p>
        </w:tc>
        <w:tc>
          <w:tcPr>
            <w:tcW w:w="2977" w:type="dxa"/>
            <w:gridSpan w:val="3"/>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参照建筑</w:t>
            </w:r>
          </w:p>
        </w:tc>
        <w:tc>
          <w:tcPr>
            <w:tcW w:w="907" w:type="dxa"/>
            <w:vMerge w:val="restart"/>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是否符合标准规定限值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5" w:hRule="atLeast"/>
          <w:jc w:val="center"/>
        </w:trPr>
        <w:tc>
          <w:tcPr>
            <w:tcW w:w="2241" w:type="dxa"/>
            <w:gridSpan w:val="2"/>
            <w:vMerge w:val="continue"/>
            <w:shd w:val="clear" w:color="auto" w:fill="auto"/>
            <w:vAlign w:val="center"/>
          </w:tcPr>
          <w:p>
            <w:pPr>
              <w:autoSpaceDE w:val="0"/>
              <w:autoSpaceDN w:val="0"/>
              <w:adjustRightInd w:val="0"/>
              <w:spacing w:line="276" w:lineRule="auto"/>
              <w:jc w:val="left"/>
              <w:rPr>
                <w:b w:val="0"/>
                <w:bCs w:val="0"/>
                <w:kern w:val="0"/>
                <w:szCs w:val="18"/>
              </w:rPr>
            </w:pPr>
          </w:p>
        </w:tc>
        <w:tc>
          <w:tcPr>
            <w:tcW w:w="1418" w:type="dxa"/>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传热系数</w:t>
            </w:r>
            <w:r>
              <w:rPr>
                <w:b w:val="0"/>
                <w:bCs w:val="0"/>
                <w:i/>
                <w:kern w:val="0"/>
                <w:szCs w:val="18"/>
              </w:rPr>
              <w:t>K</w:t>
            </w:r>
          </w:p>
          <w:p>
            <w:pPr>
              <w:autoSpaceDE w:val="0"/>
              <w:autoSpaceDN w:val="0"/>
              <w:adjustRightInd w:val="0"/>
              <w:spacing w:line="276" w:lineRule="auto"/>
              <w:rPr>
                <w:b w:val="0"/>
                <w:bCs w:val="0"/>
                <w:kern w:val="0"/>
                <w:szCs w:val="18"/>
              </w:rPr>
            </w:pPr>
            <w:r>
              <w:rPr>
                <w:b w:val="0"/>
                <w:bCs w:val="0"/>
                <w:kern w:val="0"/>
                <w:szCs w:val="18"/>
              </w:rPr>
              <w:t>W/</w:t>
            </w:r>
            <w:r>
              <w:rPr>
                <w:rFonts w:hint="eastAsia"/>
                <w:b w:val="0"/>
                <w:bCs w:val="0"/>
                <w:kern w:val="0"/>
                <w:szCs w:val="18"/>
              </w:rPr>
              <w:t>（</w:t>
            </w:r>
            <w:r>
              <w:rPr>
                <w:b w:val="0"/>
                <w:bCs w:val="0"/>
                <w:kern w:val="0"/>
                <w:szCs w:val="18"/>
              </w:rPr>
              <w:t>m</w:t>
            </w:r>
            <w:r>
              <w:rPr>
                <w:b w:val="0"/>
                <w:bCs w:val="0"/>
                <w:kern w:val="0"/>
                <w:szCs w:val="18"/>
                <w:vertAlign w:val="superscript"/>
              </w:rPr>
              <w:t>2</w:t>
            </w:r>
            <w:r>
              <w:rPr>
                <w:b w:val="0"/>
                <w:bCs w:val="0"/>
                <w:kern w:val="0"/>
                <w:szCs w:val="18"/>
              </w:rPr>
              <w:t>·K）</w:t>
            </w:r>
          </w:p>
        </w:tc>
        <w:tc>
          <w:tcPr>
            <w:tcW w:w="1276" w:type="dxa"/>
            <w:tcBorders>
              <w:top w:val="single" w:color="auto" w:sz="4" w:space="0"/>
            </w:tcBorders>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太阳得热系数</w:t>
            </w:r>
            <w:r>
              <w:rPr>
                <w:rFonts w:hint="eastAsia"/>
                <w:b w:val="0"/>
                <w:bCs w:val="0"/>
                <w:i/>
                <w:kern w:val="0"/>
                <w:szCs w:val="18"/>
              </w:rPr>
              <w:t>SHGC</w:t>
            </w:r>
          </w:p>
        </w:tc>
        <w:tc>
          <w:tcPr>
            <w:tcW w:w="1843" w:type="dxa"/>
            <w:gridSpan w:val="2"/>
            <w:tcBorders>
              <w:top w:val="single" w:color="auto" w:sz="4" w:space="0"/>
            </w:tcBorders>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传热系数</w:t>
            </w:r>
            <w:r>
              <w:rPr>
                <w:b w:val="0"/>
                <w:bCs w:val="0"/>
                <w:i/>
                <w:kern w:val="0"/>
                <w:szCs w:val="18"/>
              </w:rPr>
              <w:t>K</w:t>
            </w:r>
          </w:p>
          <w:p>
            <w:pPr>
              <w:autoSpaceDE w:val="0"/>
              <w:autoSpaceDN w:val="0"/>
              <w:adjustRightInd w:val="0"/>
              <w:spacing w:line="276" w:lineRule="auto"/>
              <w:rPr>
                <w:b w:val="0"/>
                <w:bCs w:val="0"/>
                <w:kern w:val="0"/>
                <w:szCs w:val="18"/>
              </w:rPr>
            </w:pPr>
            <w:r>
              <w:rPr>
                <w:b w:val="0"/>
                <w:bCs w:val="0"/>
                <w:kern w:val="0"/>
                <w:szCs w:val="18"/>
              </w:rPr>
              <w:t>W/</w:t>
            </w:r>
            <w:r>
              <w:rPr>
                <w:rFonts w:hint="eastAsia"/>
                <w:b w:val="0"/>
                <w:bCs w:val="0"/>
                <w:kern w:val="0"/>
                <w:szCs w:val="18"/>
              </w:rPr>
              <w:t>（</w:t>
            </w:r>
            <w:r>
              <w:rPr>
                <w:b w:val="0"/>
                <w:bCs w:val="0"/>
                <w:kern w:val="0"/>
                <w:szCs w:val="18"/>
              </w:rPr>
              <w:t>m</w:t>
            </w:r>
            <w:r>
              <w:rPr>
                <w:b w:val="0"/>
                <w:bCs w:val="0"/>
                <w:kern w:val="0"/>
                <w:szCs w:val="18"/>
                <w:vertAlign w:val="superscript"/>
              </w:rPr>
              <w:t>2</w:t>
            </w:r>
            <w:r>
              <w:rPr>
                <w:b w:val="0"/>
                <w:bCs w:val="0"/>
                <w:kern w:val="0"/>
                <w:szCs w:val="18"/>
              </w:rPr>
              <w:t>·K）</w:t>
            </w:r>
          </w:p>
        </w:tc>
        <w:tc>
          <w:tcPr>
            <w:tcW w:w="1134" w:type="dxa"/>
            <w:tcBorders>
              <w:top w:val="single" w:color="auto" w:sz="4" w:space="0"/>
            </w:tcBorders>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太阳得热系数</w:t>
            </w:r>
            <w:r>
              <w:rPr>
                <w:rFonts w:hint="eastAsia"/>
                <w:b w:val="0"/>
                <w:bCs w:val="0"/>
                <w:i/>
                <w:kern w:val="0"/>
                <w:szCs w:val="18"/>
              </w:rPr>
              <w:t>SHGC</w:t>
            </w:r>
          </w:p>
        </w:tc>
        <w:tc>
          <w:tcPr>
            <w:tcW w:w="907" w:type="dxa"/>
            <w:vMerge w:val="continue"/>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57" w:hRule="atLeast"/>
          <w:jc w:val="center"/>
        </w:trPr>
        <w:tc>
          <w:tcPr>
            <w:tcW w:w="2241" w:type="dxa"/>
            <w:gridSpan w:val="2"/>
            <w:shd w:val="clear" w:color="auto" w:fill="auto"/>
            <w:vAlign w:val="center"/>
          </w:tcPr>
          <w:p>
            <w:pPr>
              <w:autoSpaceDE w:val="0"/>
              <w:autoSpaceDN w:val="0"/>
              <w:adjustRightInd w:val="0"/>
              <w:spacing w:line="276" w:lineRule="auto"/>
              <w:jc w:val="left"/>
              <w:rPr>
                <w:b w:val="0"/>
                <w:bCs w:val="0"/>
              </w:rPr>
            </w:pPr>
            <w:r>
              <w:rPr>
                <w:rFonts w:hint="eastAsia"/>
                <w:b w:val="0"/>
                <w:bCs w:val="0"/>
                <w:kern w:val="0"/>
                <w:szCs w:val="18"/>
              </w:rPr>
              <w:t>屋顶透光部分</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autoSpaceDE w:val="0"/>
              <w:autoSpaceDN w:val="0"/>
              <w:adjustRightInd w:val="0"/>
              <w:spacing w:line="276" w:lineRule="auto"/>
              <w:rPr>
                <w:b w:val="0"/>
                <w:bCs w:val="0"/>
                <w:kern w:val="0"/>
                <w:szCs w:val="18"/>
              </w:rPr>
            </w:pPr>
          </w:p>
        </w:tc>
        <w:tc>
          <w:tcPr>
            <w:tcW w:w="1843" w:type="dxa"/>
            <w:gridSpan w:val="2"/>
            <w:shd w:val="clear" w:color="auto" w:fill="auto"/>
            <w:vAlign w:val="center"/>
          </w:tcPr>
          <w:p>
            <w:pPr>
              <w:spacing w:line="276" w:lineRule="auto"/>
              <w:rPr>
                <w:b w:val="0"/>
                <w:bCs w:val="0"/>
              </w:rPr>
            </w:pPr>
          </w:p>
        </w:tc>
        <w:tc>
          <w:tcPr>
            <w:tcW w:w="1134" w:type="dxa"/>
            <w:shd w:val="clear" w:color="auto" w:fill="auto"/>
            <w:vAlign w:val="center"/>
          </w:tcPr>
          <w:p>
            <w:pPr>
              <w:spacing w:line="276" w:lineRule="auto"/>
              <w:rPr>
                <w:b w:val="0"/>
                <w:bCs w:val="0"/>
              </w:rPr>
            </w:pPr>
          </w:p>
        </w:tc>
        <w:tc>
          <w:tcPr>
            <w:tcW w:w="907" w:type="dxa"/>
            <w:shd w:val="clear" w:color="auto" w:fill="auto"/>
            <w:vAlign w:val="center"/>
          </w:tcPr>
          <w:p>
            <w:pPr>
              <w:spacing w:line="276" w:lineRule="auto"/>
              <w:rPr>
                <w:b w:val="0"/>
                <w:bCs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vAlign w:val="center"/>
          </w:tcPr>
          <w:p>
            <w:pPr>
              <w:autoSpaceDE w:val="0"/>
              <w:autoSpaceDN w:val="0"/>
              <w:adjustRightInd w:val="0"/>
              <w:spacing w:line="276" w:lineRule="auto"/>
              <w:jc w:val="left"/>
              <w:rPr>
                <w:b w:val="0"/>
                <w:bCs w:val="0"/>
                <w:kern w:val="0"/>
                <w:szCs w:val="18"/>
              </w:rPr>
            </w:pPr>
            <w:r>
              <w:rPr>
                <w:rFonts w:hint="eastAsia"/>
                <w:b w:val="0"/>
                <w:bCs w:val="0"/>
                <w:kern w:val="0"/>
                <w:szCs w:val="18"/>
              </w:rPr>
              <w:t>立面1外窗（包括透光幕墙）</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autoSpaceDE w:val="0"/>
              <w:autoSpaceDN w:val="0"/>
              <w:adjustRightInd w:val="0"/>
              <w:spacing w:line="276" w:lineRule="auto"/>
              <w:rPr>
                <w:b w:val="0"/>
                <w:bCs w:val="0"/>
                <w:kern w:val="0"/>
                <w:szCs w:val="18"/>
              </w:rPr>
            </w:pPr>
          </w:p>
        </w:tc>
        <w:tc>
          <w:tcPr>
            <w:tcW w:w="1843" w:type="dxa"/>
            <w:gridSpan w:val="2"/>
            <w:shd w:val="clear" w:color="auto" w:fill="auto"/>
            <w:vAlign w:val="center"/>
          </w:tcPr>
          <w:p>
            <w:pPr>
              <w:spacing w:line="276" w:lineRule="auto"/>
              <w:rPr>
                <w:b w:val="0"/>
                <w:bCs w:val="0"/>
              </w:rPr>
            </w:pPr>
          </w:p>
        </w:tc>
        <w:tc>
          <w:tcPr>
            <w:tcW w:w="1134" w:type="dxa"/>
            <w:shd w:val="clear" w:color="auto" w:fill="auto"/>
            <w:vAlign w:val="center"/>
          </w:tcPr>
          <w:p>
            <w:pPr>
              <w:spacing w:line="276" w:lineRule="auto"/>
              <w:rPr>
                <w:b w:val="0"/>
                <w:bCs w:val="0"/>
              </w:rPr>
            </w:pPr>
          </w:p>
        </w:tc>
        <w:tc>
          <w:tcPr>
            <w:tcW w:w="907" w:type="dxa"/>
            <w:shd w:val="clear" w:color="auto" w:fill="auto"/>
            <w:vAlign w:val="center"/>
          </w:tcPr>
          <w:p>
            <w:pPr>
              <w:spacing w:line="276" w:lineRule="auto"/>
              <w:rPr>
                <w:b w:val="0"/>
                <w:bCs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tcPr>
          <w:p>
            <w:pPr>
              <w:autoSpaceDE w:val="0"/>
              <w:autoSpaceDN w:val="0"/>
              <w:adjustRightInd w:val="0"/>
              <w:spacing w:line="276" w:lineRule="auto"/>
              <w:jc w:val="left"/>
              <w:rPr>
                <w:b w:val="0"/>
                <w:bCs w:val="0"/>
                <w:kern w:val="0"/>
                <w:szCs w:val="18"/>
              </w:rPr>
            </w:pPr>
            <w:r>
              <w:rPr>
                <w:rFonts w:hint="eastAsia"/>
                <w:b w:val="0"/>
                <w:bCs w:val="0"/>
                <w:kern w:val="0"/>
                <w:szCs w:val="18"/>
              </w:rPr>
              <w:t>立面2外窗（包括透光幕墙）</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autoSpaceDE w:val="0"/>
              <w:autoSpaceDN w:val="0"/>
              <w:adjustRightInd w:val="0"/>
              <w:spacing w:line="276" w:lineRule="auto"/>
              <w:rPr>
                <w:b w:val="0"/>
                <w:bCs w:val="0"/>
                <w:kern w:val="0"/>
                <w:szCs w:val="18"/>
              </w:rPr>
            </w:pPr>
          </w:p>
        </w:tc>
        <w:tc>
          <w:tcPr>
            <w:tcW w:w="1843" w:type="dxa"/>
            <w:gridSpan w:val="2"/>
            <w:shd w:val="clear" w:color="auto" w:fill="auto"/>
            <w:vAlign w:val="center"/>
          </w:tcPr>
          <w:p>
            <w:pPr>
              <w:spacing w:line="276" w:lineRule="auto"/>
              <w:rPr>
                <w:b w:val="0"/>
                <w:bCs w:val="0"/>
              </w:rPr>
            </w:pPr>
          </w:p>
        </w:tc>
        <w:tc>
          <w:tcPr>
            <w:tcW w:w="1134" w:type="dxa"/>
            <w:shd w:val="clear" w:color="auto" w:fill="auto"/>
            <w:vAlign w:val="center"/>
          </w:tcPr>
          <w:p>
            <w:pPr>
              <w:spacing w:line="276" w:lineRule="auto"/>
              <w:rPr>
                <w:b w:val="0"/>
                <w:bCs w:val="0"/>
              </w:rPr>
            </w:pPr>
          </w:p>
        </w:tc>
        <w:tc>
          <w:tcPr>
            <w:tcW w:w="907" w:type="dxa"/>
            <w:shd w:val="clear" w:color="auto" w:fill="auto"/>
            <w:vAlign w:val="center"/>
          </w:tcPr>
          <w:p>
            <w:pPr>
              <w:spacing w:line="276" w:lineRule="auto"/>
              <w:rPr>
                <w:b w:val="0"/>
                <w:bCs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tcPr>
          <w:p>
            <w:pPr>
              <w:autoSpaceDE w:val="0"/>
              <w:autoSpaceDN w:val="0"/>
              <w:adjustRightInd w:val="0"/>
              <w:spacing w:line="276" w:lineRule="auto"/>
              <w:jc w:val="left"/>
              <w:rPr>
                <w:b w:val="0"/>
                <w:bCs w:val="0"/>
                <w:kern w:val="0"/>
                <w:szCs w:val="18"/>
              </w:rPr>
            </w:pPr>
            <w:r>
              <w:rPr>
                <w:rFonts w:hint="eastAsia"/>
                <w:b w:val="0"/>
                <w:bCs w:val="0"/>
                <w:kern w:val="0"/>
                <w:szCs w:val="18"/>
              </w:rPr>
              <w:t>立面3外窗（包括透光幕墙）</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autoSpaceDE w:val="0"/>
              <w:autoSpaceDN w:val="0"/>
              <w:adjustRightInd w:val="0"/>
              <w:spacing w:line="276" w:lineRule="auto"/>
              <w:rPr>
                <w:b w:val="0"/>
                <w:bCs w:val="0"/>
                <w:kern w:val="0"/>
                <w:szCs w:val="18"/>
              </w:rPr>
            </w:pPr>
          </w:p>
        </w:tc>
        <w:tc>
          <w:tcPr>
            <w:tcW w:w="1843" w:type="dxa"/>
            <w:gridSpan w:val="2"/>
            <w:shd w:val="clear" w:color="auto" w:fill="auto"/>
            <w:vAlign w:val="center"/>
          </w:tcPr>
          <w:p>
            <w:pPr>
              <w:spacing w:line="276" w:lineRule="auto"/>
              <w:rPr>
                <w:b w:val="0"/>
                <w:bCs w:val="0"/>
              </w:rPr>
            </w:pPr>
          </w:p>
        </w:tc>
        <w:tc>
          <w:tcPr>
            <w:tcW w:w="1134" w:type="dxa"/>
            <w:shd w:val="clear" w:color="auto" w:fill="auto"/>
            <w:vAlign w:val="center"/>
          </w:tcPr>
          <w:p>
            <w:pPr>
              <w:spacing w:line="276" w:lineRule="auto"/>
              <w:rPr>
                <w:b w:val="0"/>
                <w:bCs w:val="0"/>
              </w:rPr>
            </w:pPr>
          </w:p>
        </w:tc>
        <w:tc>
          <w:tcPr>
            <w:tcW w:w="907" w:type="dxa"/>
            <w:shd w:val="clear" w:color="auto" w:fill="auto"/>
            <w:vAlign w:val="center"/>
          </w:tcPr>
          <w:p>
            <w:pPr>
              <w:spacing w:line="276" w:lineRule="auto"/>
              <w:rPr>
                <w:b w:val="0"/>
                <w:bCs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tcPr>
          <w:p>
            <w:pPr>
              <w:autoSpaceDE w:val="0"/>
              <w:autoSpaceDN w:val="0"/>
              <w:adjustRightInd w:val="0"/>
              <w:spacing w:line="276" w:lineRule="auto"/>
              <w:jc w:val="left"/>
              <w:rPr>
                <w:b w:val="0"/>
                <w:bCs w:val="0"/>
                <w:kern w:val="0"/>
                <w:szCs w:val="18"/>
              </w:rPr>
            </w:pPr>
            <w:r>
              <w:rPr>
                <w:rFonts w:hint="eastAsia"/>
                <w:b w:val="0"/>
                <w:bCs w:val="0"/>
                <w:kern w:val="0"/>
                <w:szCs w:val="18"/>
              </w:rPr>
              <w:t>立面4外窗（包括透光幕墙）</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autoSpaceDE w:val="0"/>
              <w:autoSpaceDN w:val="0"/>
              <w:adjustRightInd w:val="0"/>
              <w:spacing w:line="276" w:lineRule="auto"/>
              <w:rPr>
                <w:b w:val="0"/>
                <w:bCs w:val="0"/>
                <w:kern w:val="0"/>
                <w:szCs w:val="18"/>
              </w:rPr>
            </w:pPr>
          </w:p>
        </w:tc>
        <w:tc>
          <w:tcPr>
            <w:tcW w:w="1843" w:type="dxa"/>
            <w:gridSpan w:val="2"/>
            <w:shd w:val="clear" w:color="auto" w:fill="auto"/>
            <w:vAlign w:val="center"/>
          </w:tcPr>
          <w:p>
            <w:pPr>
              <w:spacing w:line="276" w:lineRule="auto"/>
              <w:rPr>
                <w:b w:val="0"/>
                <w:bCs w:val="0"/>
              </w:rPr>
            </w:pPr>
          </w:p>
        </w:tc>
        <w:tc>
          <w:tcPr>
            <w:tcW w:w="1134" w:type="dxa"/>
            <w:shd w:val="clear" w:color="auto" w:fill="auto"/>
            <w:vAlign w:val="center"/>
          </w:tcPr>
          <w:p>
            <w:pPr>
              <w:spacing w:line="276" w:lineRule="auto"/>
              <w:rPr>
                <w:b w:val="0"/>
                <w:bCs w:val="0"/>
              </w:rPr>
            </w:pPr>
          </w:p>
        </w:tc>
        <w:tc>
          <w:tcPr>
            <w:tcW w:w="907" w:type="dxa"/>
            <w:shd w:val="clear" w:color="auto" w:fill="auto"/>
            <w:vAlign w:val="center"/>
          </w:tcPr>
          <w:p>
            <w:pPr>
              <w:spacing w:line="276" w:lineRule="auto"/>
              <w:rPr>
                <w:b w:val="0"/>
                <w:bCs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98" w:hRule="atLeast"/>
          <w:jc w:val="center"/>
        </w:trPr>
        <w:tc>
          <w:tcPr>
            <w:tcW w:w="2241" w:type="dxa"/>
            <w:gridSpan w:val="2"/>
            <w:shd w:val="clear" w:color="auto" w:fill="auto"/>
            <w:vAlign w:val="center"/>
          </w:tcPr>
          <w:p>
            <w:pPr>
              <w:spacing w:line="276" w:lineRule="auto"/>
              <w:jc w:val="left"/>
              <w:rPr>
                <w:b w:val="0"/>
                <w:bCs w:val="0"/>
              </w:rPr>
            </w:pPr>
            <w:r>
              <w:rPr>
                <w:b w:val="0"/>
                <w:bCs w:val="0"/>
                <w:kern w:val="0"/>
              </w:rPr>
              <w:t>屋面</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spacing w:line="276" w:lineRule="auto"/>
              <w:rPr>
                <w:b w:val="0"/>
                <w:bCs w:val="0"/>
              </w:rPr>
            </w:pPr>
            <w:r>
              <w:rPr>
                <w:rFonts w:hint="eastAsia"/>
                <w:b w:val="0"/>
                <w:bCs w:val="0"/>
                <w:kern w:val="0"/>
                <w:szCs w:val="18"/>
              </w:rPr>
              <w:t>－</w:t>
            </w:r>
          </w:p>
        </w:tc>
        <w:tc>
          <w:tcPr>
            <w:tcW w:w="1843" w:type="dxa"/>
            <w:gridSpan w:val="2"/>
            <w:shd w:val="clear" w:color="auto" w:fill="auto"/>
            <w:vAlign w:val="center"/>
          </w:tcPr>
          <w:p>
            <w:pPr>
              <w:autoSpaceDE w:val="0"/>
              <w:autoSpaceDN w:val="0"/>
              <w:adjustRightInd w:val="0"/>
              <w:spacing w:line="276" w:lineRule="auto"/>
              <w:rPr>
                <w:b w:val="0"/>
                <w:bCs w:val="0"/>
                <w:kern w:val="0"/>
                <w:szCs w:val="18"/>
              </w:rPr>
            </w:pPr>
          </w:p>
        </w:tc>
        <w:tc>
          <w:tcPr>
            <w:tcW w:w="1134" w:type="dxa"/>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w:t>
            </w:r>
          </w:p>
        </w:tc>
        <w:tc>
          <w:tcPr>
            <w:tcW w:w="907" w:type="dxa"/>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vAlign w:val="center"/>
          </w:tcPr>
          <w:p>
            <w:pPr>
              <w:spacing w:line="276" w:lineRule="auto"/>
              <w:jc w:val="left"/>
              <w:rPr>
                <w:b w:val="0"/>
                <w:bCs w:val="0"/>
              </w:rPr>
            </w:pPr>
            <w:r>
              <w:rPr>
                <w:b w:val="0"/>
                <w:bCs w:val="0"/>
                <w:kern w:val="0"/>
              </w:rPr>
              <w:t>外墙(包括非透光幕墙)</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spacing w:line="276" w:lineRule="auto"/>
              <w:rPr>
                <w:b w:val="0"/>
                <w:bCs w:val="0"/>
              </w:rPr>
            </w:pPr>
            <w:r>
              <w:rPr>
                <w:rFonts w:hint="eastAsia"/>
                <w:b w:val="0"/>
                <w:bCs w:val="0"/>
                <w:kern w:val="0"/>
                <w:szCs w:val="18"/>
              </w:rPr>
              <w:t>－</w:t>
            </w:r>
          </w:p>
        </w:tc>
        <w:tc>
          <w:tcPr>
            <w:tcW w:w="1843" w:type="dxa"/>
            <w:gridSpan w:val="2"/>
            <w:shd w:val="clear" w:color="auto" w:fill="auto"/>
            <w:vAlign w:val="center"/>
          </w:tcPr>
          <w:p>
            <w:pPr>
              <w:autoSpaceDE w:val="0"/>
              <w:autoSpaceDN w:val="0"/>
              <w:adjustRightInd w:val="0"/>
              <w:spacing w:line="276" w:lineRule="auto"/>
              <w:rPr>
                <w:b w:val="0"/>
                <w:bCs w:val="0"/>
              </w:rPr>
            </w:pPr>
          </w:p>
        </w:tc>
        <w:tc>
          <w:tcPr>
            <w:tcW w:w="1134" w:type="dxa"/>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w:t>
            </w:r>
          </w:p>
        </w:tc>
        <w:tc>
          <w:tcPr>
            <w:tcW w:w="907" w:type="dxa"/>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vAlign w:val="center"/>
          </w:tcPr>
          <w:p>
            <w:pPr>
              <w:spacing w:line="276" w:lineRule="auto"/>
              <w:jc w:val="left"/>
              <w:rPr>
                <w:b w:val="0"/>
                <w:bCs w:val="0"/>
              </w:rPr>
            </w:pPr>
            <w:r>
              <w:rPr>
                <w:b w:val="0"/>
                <w:bCs w:val="0"/>
                <w:kern w:val="0"/>
              </w:rPr>
              <w:t>底面接触室外空气的架空或外挑楼板</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spacing w:line="276" w:lineRule="auto"/>
              <w:rPr>
                <w:b w:val="0"/>
                <w:bCs w:val="0"/>
              </w:rPr>
            </w:pPr>
            <w:r>
              <w:rPr>
                <w:rFonts w:hint="eastAsia"/>
                <w:b w:val="0"/>
                <w:bCs w:val="0"/>
                <w:kern w:val="0"/>
                <w:szCs w:val="18"/>
              </w:rPr>
              <w:t>－</w:t>
            </w:r>
          </w:p>
        </w:tc>
        <w:tc>
          <w:tcPr>
            <w:tcW w:w="1843" w:type="dxa"/>
            <w:gridSpan w:val="2"/>
            <w:shd w:val="clear" w:color="auto" w:fill="auto"/>
            <w:vAlign w:val="center"/>
          </w:tcPr>
          <w:p>
            <w:pPr>
              <w:autoSpaceDE w:val="0"/>
              <w:autoSpaceDN w:val="0"/>
              <w:adjustRightInd w:val="0"/>
              <w:spacing w:line="276" w:lineRule="auto"/>
              <w:rPr>
                <w:b w:val="0"/>
                <w:bCs w:val="0"/>
              </w:rPr>
            </w:pPr>
          </w:p>
        </w:tc>
        <w:tc>
          <w:tcPr>
            <w:tcW w:w="1134" w:type="dxa"/>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w:t>
            </w:r>
          </w:p>
        </w:tc>
        <w:tc>
          <w:tcPr>
            <w:tcW w:w="907" w:type="dxa"/>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vAlign w:val="center"/>
          </w:tcPr>
          <w:p>
            <w:pPr>
              <w:spacing w:line="276" w:lineRule="auto"/>
              <w:jc w:val="left"/>
              <w:rPr>
                <w:b w:val="0"/>
                <w:bCs w:val="0"/>
              </w:rPr>
            </w:pPr>
            <w:r>
              <w:rPr>
                <w:b w:val="0"/>
                <w:bCs w:val="0"/>
                <w:kern w:val="0"/>
              </w:rPr>
              <w:t>非供暖房间与供暖房间的隔墙</w:t>
            </w:r>
            <w:r>
              <w:rPr>
                <w:rFonts w:hint="eastAsia"/>
                <w:b w:val="0"/>
                <w:bCs w:val="0"/>
                <w:kern w:val="0"/>
              </w:rPr>
              <w:t>与</w:t>
            </w:r>
            <w:r>
              <w:rPr>
                <w:b w:val="0"/>
                <w:bCs w:val="0"/>
                <w:kern w:val="0"/>
              </w:rPr>
              <w:t>楼板</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spacing w:line="276" w:lineRule="auto"/>
              <w:rPr>
                <w:b w:val="0"/>
                <w:bCs w:val="0"/>
              </w:rPr>
            </w:pPr>
            <w:r>
              <w:rPr>
                <w:rFonts w:hint="eastAsia"/>
                <w:b w:val="0"/>
                <w:bCs w:val="0"/>
                <w:kern w:val="0"/>
                <w:szCs w:val="18"/>
              </w:rPr>
              <w:t>－</w:t>
            </w:r>
          </w:p>
        </w:tc>
        <w:tc>
          <w:tcPr>
            <w:tcW w:w="1843" w:type="dxa"/>
            <w:gridSpan w:val="2"/>
            <w:shd w:val="clear" w:color="auto" w:fill="auto"/>
            <w:vAlign w:val="center"/>
          </w:tcPr>
          <w:p>
            <w:pPr>
              <w:autoSpaceDE w:val="0"/>
              <w:autoSpaceDN w:val="0"/>
              <w:adjustRightInd w:val="0"/>
              <w:spacing w:line="276" w:lineRule="auto"/>
              <w:rPr>
                <w:b w:val="0"/>
                <w:bCs w:val="0"/>
              </w:rPr>
            </w:pPr>
          </w:p>
        </w:tc>
        <w:tc>
          <w:tcPr>
            <w:tcW w:w="1134" w:type="dxa"/>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w:t>
            </w:r>
          </w:p>
        </w:tc>
        <w:tc>
          <w:tcPr>
            <w:tcW w:w="907" w:type="dxa"/>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vMerge w:val="restart"/>
            <w:shd w:val="clear" w:color="auto" w:fill="auto"/>
            <w:vAlign w:val="center"/>
          </w:tcPr>
          <w:p>
            <w:pPr>
              <w:spacing w:line="276" w:lineRule="auto"/>
              <w:jc w:val="left"/>
              <w:rPr>
                <w:b w:val="0"/>
                <w:bCs w:val="0"/>
                <w:kern w:val="0"/>
              </w:rPr>
            </w:pPr>
            <w:r>
              <w:rPr>
                <w:rFonts w:hint="eastAsia"/>
                <w:b w:val="0"/>
                <w:bCs w:val="0"/>
                <w:kern w:val="0"/>
                <w:szCs w:val="18"/>
              </w:rPr>
              <w:t>围护结构部位</w:t>
            </w:r>
          </w:p>
        </w:tc>
        <w:tc>
          <w:tcPr>
            <w:tcW w:w="2694" w:type="dxa"/>
            <w:gridSpan w:val="2"/>
            <w:shd w:val="clear" w:color="auto" w:fill="auto"/>
            <w:vAlign w:val="center"/>
          </w:tcPr>
          <w:p>
            <w:pPr>
              <w:spacing w:line="276" w:lineRule="auto"/>
              <w:rPr>
                <w:b w:val="0"/>
                <w:bCs w:val="0"/>
                <w:kern w:val="0"/>
                <w:szCs w:val="18"/>
              </w:rPr>
            </w:pPr>
            <w:r>
              <w:rPr>
                <w:rFonts w:hint="eastAsia"/>
                <w:b w:val="0"/>
                <w:bCs w:val="0"/>
                <w:kern w:val="0"/>
                <w:szCs w:val="18"/>
              </w:rPr>
              <w:t>设计建筑</w:t>
            </w:r>
          </w:p>
        </w:tc>
        <w:tc>
          <w:tcPr>
            <w:tcW w:w="2977" w:type="dxa"/>
            <w:gridSpan w:val="3"/>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参照建筑</w:t>
            </w:r>
          </w:p>
        </w:tc>
        <w:tc>
          <w:tcPr>
            <w:tcW w:w="907" w:type="dxa"/>
            <w:vMerge w:val="restart"/>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是否符合标准规定限值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vMerge w:val="continue"/>
            <w:shd w:val="clear" w:color="auto" w:fill="auto"/>
            <w:vAlign w:val="center"/>
          </w:tcPr>
          <w:p>
            <w:pPr>
              <w:spacing w:line="276" w:lineRule="auto"/>
              <w:jc w:val="left"/>
              <w:rPr>
                <w:b w:val="0"/>
                <w:bCs w:val="0"/>
                <w:kern w:val="0"/>
                <w:szCs w:val="18"/>
              </w:rPr>
            </w:pPr>
          </w:p>
        </w:tc>
        <w:tc>
          <w:tcPr>
            <w:tcW w:w="2694" w:type="dxa"/>
            <w:gridSpan w:val="2"/>
            <w:shd w:val="clear" w:color="auto" w:fill="auto"/>
            <w:vAlign w:val="center"/>
          </w:tcPr>
          <w:p>
            <w:pPr>
              <w:spacing w:line="276" w:lineRule="auto"/>
              <w:rPr>
                <w:b w:val="0"/>
                <w:bCs w:val="0"/>
                <w:kern w:val="0"/>
                <w:szCs w:val="18"/>
              </w:rPr>
            </w:pPr>
            <w:r>
              <w:rPr>
                <w:rFonts w:hint="eastAsia"/>
                <w:b w:val="0"/>
                <w:bCs w:val="0"/>
                <w:kern w:val="0"/>
                <w:szCs w:val="18"/>
              </w:rPr>
              <w:t>保温材料层热阻</w:t>
            </w:r>
            <w:r>
              <w:rPr>
                <w:b w:val="0"/>
                <w:bCs w:val="0"/>
                <w:i/>
                <w:kern w:val="0"/>
                <w:szCs w:val="18"/>
              </w:rPr>
              <w:t>R</w:t>
            </w:r>
            <w:r>
              <w:rPr>
                <w:b w:val="0"/>
                <w:bCs w:val="0"/>
                <w:kern w:val="0"/>
                <w:szCs w:val="18"/>
              </w:rPr>
              <w:t>[(m</w:t>
            </w:r>
            <w:r>
              <w:rPr>
                <w:b w:val="0"/>
                <w:bCs w:val="0"/>
                <w:kern w:val="0"/>
                <w:szCs w:val="18"/>
                <w:vertAlign w:val="superscript"/>
              </w:rPr>
              <w:t>2</w:t>
            </w:r>
            <w:r>
              <w:rPr>
                <w:rFonts w:hint="eastAsia"/>
                <w:b w:val="0"/>
                <w:bCs w:val="0"/>
                <w:kern w:val="0"/>
                <w:szCs w:val="18"/>
              </w:rPr>
              <w:t>·K)/W]</w:t>
            </w:r>
          </w:p>
        </w:tc>
        <w:tc>
          <w:tcPr>
            <w:tcW w:w="2977" w:type="dxa"/>
            <w:gridSpan w:val="3"/>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保温材料层热阻</w:t>
            </w:r>
            <w:r>
              <w:rPr>
                <w:b w:val="0"/>
                <w:bCs w:val="0"/>
                <w:i/>
                <w:kern w:val="0"/>
                <w:szCs w:val="18"/>
              </w:rPr>
              <w:t>R</w:t>
            </w:r>
          </w:p>
          <w:p>
            <w:pPr>
              <w:autoSpaceDE w:val="0"/>
              <w:autoSpaceDN w:val="0"/>
              <w:adjustRightInd w:val="0"/>
              <w:spacing w:line="276" w:lineRule="auto"/>
              <w:rPr>
                <w:b w:val="0"/>
                <w:bCs w:val="0"/>
                <w:kern w:val="0"/>
                <w:szCs w:val="18"/>
              </w:rPr>
            </w:pPr>
            <w:r>
              <w:rPr>
                <w:b w:val="0"/>
                <w:bCs w:val="0"/>
                <w:kern w:val="0"/>
                <w:szCs w:val="18"/>
              </w:rPr>
              <w:t>[(m</w:t>
            </w:r>
            <w:r>
              <w:rPr>
                <w:b w:val="0"/>
                <w:bCs w:val="0"/>
                <w:kern w:val="0"/>
                <w:szCs w:val="18"/>
                <w:vertAlign w:val="superscript"/>
              </w:rPr>
              <w:t>2</w:t>
            </w:r>
            <w:r>
              <w:rPr>
                <w:rFonts w:hint="eastAsia"/>
                <w:b w:val="0"/>
                <w:bCs w:val="0"/>
                <w:kern w:val="0"/>
                <w:szCs w:val="18"/>
              </w:rPr>
              <w:t>·K)/W]</w:t>
            </w:r>
          </w:p>
        </w:tc>
        <w:tc>
          <w:tcPr>
            <w:tcW w:w="907" w:type="dxa"/>
            <w:vMerge w:val="continue"/>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vAlign w:val="center"/>
          </w:tcPr>
          <w:p>
            <w:pPr>
              <w:spacing w:line="276" w:lineRule="auto"/>
              <w:jc w:val="left"/>
              <w:rPr>
                <w:b w:val="0"/>
                <w:bCs w:val="0"/>
                <w:kern w:val="0"/>
              </w:rPr>
            </w:pPr>
            <w:r>
              <w:rPr>
                <w:b w:val="0"/>
                <w:bCs w:val="0"/>
                <w:kern w:val="0"/>
              </w:rPr>
              <w:t>周边地面</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spacing w:line="276" w:lineRule="auto"/>
              <w:rPr>
                <w:b w:val="0"/>
                <w:bCs w:val="0"/>
                <w:kern w:val="0"/>
                <w:szCs w:val="18"/>
              </w:rPr>
            </w:pPr>
          </w:p>
        </w:tc>
        <w:tc>
          <w:tcPr>
            <w:tcW w:w="1843" w:type="dxa"/>
            <w:gridSpan w:val="2"/>
            <w:shd w:val="clear" w:color="auto" w:fill="auto"/>
            <w:vAlign w:val="center"/>
          </w:tcPr>
          <w:p>
            <w:pPr>
              <w:autoSpaceDE w:val="0"/>
              <w:autoSpaceDN w:val="0"/>
              <w:adjustRightInd w:val="0"/>
              <w:spacing w:line="276" w:lineRule="auto"/>
              <w:rPr>
                <w:b w:val="0"/>
                <w:bCs w:val="0"/>
              </w:rPr>
            </w:pPr>
          </w:p>
        </w:tc>
        <w:tc>
          <w:tcPr>
            <w:tcW w:w="1134" w:type="dxa"/>
            <w:shd w:val="clear" w:color="auto" w:fill="auto"/>
            <w:vAlign w:val="center"/>
          </w:tcPr>
          <w:p>
            <w:pPr>
              <w:autoSpaceDE w:val="0"/>
              <w:autoSpaceDN w:val="0"/>
              <w:adjustRightInd w:val="0"/>
              <w:spacing w:line="276" w:lineRule="auto"/>
              <w:rPr>
                <w:b w:val="0"/>
                <w:bCs w:val="0"/>
                <w:kern w:val="0"/>
                <w:szCs w:val="18"/>
              </w:rPr>
            </w:pPr>
          </w:p>
        </w:tc>
        <w:tc>
          <w:tcPr>
            <w:tcW w:w="907" w:type="dxa"/>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vAlign w:val="center"/>
          </w:tcPr>
          <w:p>
            <w:pPr>
              <w:spacing w:line="276" w:lineRule="auto"/>
              <w:jc w:val="left"/>
              <w:rPr>
                <w:b w:val="0"/>
                <w:bCs w:val="0"/>
                <w:kern w:val="0"/>
              </w:rPr>
            </w:pPr>
            <w:r>
              <w:rPr>
                <w:rFonts w:hint="eastAsia"/>
                <w:b w:val="0"/>
                <w:bCs w:val="0"/>
                <w:kern w:val="0"/>
              </w:rPr>
              <w:t>供暖地下室与土壤接触的外墙</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spacing w:line="276" w:lineRule="auto"/>
              <w:rPr>
                <w:b w:val="0"/>
                <w:bCs w:val="0"/>
                <w:kern w:val="0"/>
                <w:szCs w:val="18"/>
              </w:rPr>
            </w:pPr>
          </w:p>
        </w:tc>
        <w:tc>
          <w:tcPr>
            <w:tcW w:w="1843" w:type="dxa"/>
            <w:gridSpan w:val="2"/>
            <w:shd w:val="clear" w:color="auto" w:fill="auto"/>
            <w:vAlign w:val="center"/>
          </w:tcPr>
          <w:p>
            <w:pPr>
              <w:autoSpaceDE w:val="0"/>
              <w:autoSpaceDN w:val="0"/>
              <w:adjustRightInd w:val="0"/>
              <w:spacing w:line="276" w:lineRule="auto"/>
              <w:rPr>
                <w:b w:val="0"/>
                <w:bCs w:val="0"/>
              </w:rPr>
            </w:pPr>
          </w:p>
        </w:tc>
        <w:tc>
          <w:tcPr>
            <w:tcW w:w="1134" w:type="dxa"/>
            <w:shd w:val="clear" w:color="auto" w:fill="auto"/>
            <w:vAlign w:val="center"/>
          </w:tcPr>
          <w:p>
            <w:pPr>
              <w:autoSpaceDE w:val="0"/>
              <w:autoSpaceDN w:val="0"/>
              <w:adjustRightInd w:val="0"/>
              <w:spacing w:line="276" w:lineRule="auto"/>
              <w:rPr>
                <w:b w:val="0"/>
                <w:bCs w:val="0"/>
                <w:kern w:val="0"/>
                <w:szCs w:val="18"/>
              </w:rPr>
            </w:pPr>
          </w:p>
        </w:tc>
        <w:tc>
          <w:tcPr>
            <w:tcW w:w="907" w:type="dxa"/>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shd w:val="clear" w:color="auto" w:fill="auto"/>
            <w:vAlign w:val="center"/>
          </w:tcPr>
          <w:p>
            <w:pPr>
              <w:spacing w:line="276" w:lineRule="auto"/>
              <w:jc w:val="left"/>
              <w:rPr>
                <w:b w:val="0"/>
                <w:bCs w:val="0"/>
                <w:kern w:val="0"/>
              </w:rPr>
            </w:pPr>
            <w:r>
              <w:rPr>
                <w:rFonts w:hint="eastAsia"/>
                <w:b w:val="0"/>
                <w:bCs w:val="0"/>
                <w:kern w:val="0"/>
              </w:rPr>
              <w:t>变形缝（两侧墙内保温时）</w:t>
            </w:r>
          </w:p>
        </w:tc>
        <w:tc>
          <w:tcPr>
            <w:tcW w:w="1418" w:type="dxa"/>
            <w:shd w:val="clear" w:color="auto" w:fill="auto"/>
            <w:vAlign w:val="center"/>
          </w:tcPr>
          <w:p>
            <w:pPr>
              <w:autoSpaceDE w:val="0"/>
              <w:autoSpaceDN w:val="0"/>
              <w:adjustRightInd w:val="0"/>
              <w:spacing w:line="276" w:lineRule="auto"/>
              <w:rPr>
                <w:b w:val="0"/>
                <w:bCs w:val="0"/>
                <w:kern w:val="0"/>
                <w:szCs w:val="18"/>
              </w:rPr>
            </w:pPr>
          </w:p>
        </w:tc>
        <w:tc>
          <w:tcPr>
            <w:tcW w:w="1276" w:type="dxa"/>
            <w:shd w:val="clear" w:color="auto" w:fill="auto"/>
            <w:vAlign w:val="center"/>
          </w:tcPr>
          <w:p>
            <w:pPr>
              <w:spacing w:line="276" w:lineRule="auto"/>
              <w:rPr>
                <w:b w:val="0"/>
                <w:bCs w:val="0"/>
                <w:kern w:val="0"/>
                <w:szCs w:val="18"/>
              </w:rPr>
            </w:pPr>
          </w:p>
        </w:tc>
        <w:tc>
          <w:tcPr>
            <w:tcW w:w="1843" w:type="dxa"/>
            <w:gridSpan w:val="2"/>
            <w:shd w:val="clear" w:color="auto" w:fill="auto"/>
            <w:vAlign w:val="center"/>
          </w:tcPr>
          <w:p>
            <w:pPr>
              <w:autoSpaceDE w:val="0"/>
              <w:autoSpaceDN w:val="0"/>
              <w:adjustRightInd w:val="0"/>
              <w:spacing w:line="276" w:lineRule="auto"/>
              <w:rPr>
                <w:b w:val="0"/>
                <w:bCs w:val="0"/>
              </w:rPr>
            </w:pPr>
          </w:p>
        </w:tc>
        <w:tc>
          <w:tcPr>
            <w:tcW w:w="1134" w:type="dxa"/>
            <w:shd w:val="clear" w:color="auto" w:fill="auto"/>
            <w:vAlign w:val="center"/>
          </w:tcPr>
          <w:p>
            <w:pPr>
              <w:autoSpaceDE w:val="0"/>
              <w:autoSpaceDN w:val="0"/>
              <w:adjustRightInd w:val="0"/>
              <w:spacing w:line="276" w:lineRule="auto"/>
              <w:rPr>
                <w:b w:val="0"/>
                <w:bCs w:val="0"/>
                <w:kern w:val="0"/>
                <w:szCs w:val="18"/>
              </w:rPr>
            </w:pPr>
          </w:p>
        </w:tc>
        <w:tc>
          <w:tcPr>
            <w:tcW w:w="907" w:type="dxa"/>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vMerge w:val="restart"/>
            <w:tcBorders>
              <w:left w:val="single" w:color="auto" w:sz="4" w:space="0"/>
              <w:right w:val="single" w:color="auto" w:sz="4" w:space="0"/>
            </w:tcBorders>
            <w:vAlign w:val="center"/>
          </w:tcPr>
          <w:p>
            <w:pPr>
              <w:autoSpaceDE w:val="0"/>
              <w:autoSpaceDN w:val="0"/>
              <w:adjustRightInd w:val="0"/>
              <w:spacing w:line="276" w:lineRule="auto"/>
              <w:jc w:val="left"/>
              <w:rPr>
                <w:b w:val="0"/>
                <w:bCs w:val="0"/>
                <w:kern w:val="0"/>
                <w:szCs w:val="18"/>
              </w:rPr>
            </w:pPr>
            <w:r>
              <w:rPr>
                <w:rFonts w:hint="eastAsia"/>
                <w:b w:val="0"/>
                <w:bCs w:val="0"/>
                <w:kern w:val="0"/>
              </w:rPr>
              <w:t>权衡判断基本要求判定</w:t>
            </w:r>
          </w:p>
        </w:tc>
        <w:tc>
          <w:tcPr>
            <w:tcW w:w="3545" w:type="dxa"/>
            <w:gridSpan w:val="3"/>
            <w:tcBorders>
              <w:left w:val="single" w:color="auto" w:sz="4" w:space="0"/>
              <w:right w:val="single" w:color="auto" w:sz="4" w:space="0"/>
            </w:tcBorders>
            <w:vAlign w:val="center"/>
          </w:tcPr>
          <w:p>
            <w:pPr>
              <w:autoSpaceDE w:val="0"/>
              <w:autoSpaceDN w:val="0"/>
              <w:adjustRightInd w:val="0"/>
              <w:spacing w:line="276" w:lineRule="auto"/>
              <w:rPr>
                <w:b w:val="0"/>
                <w:bCs w:val="0"/>
                <w:i/>
                <w:kern w:val="0"/>
                <w:szCs w:val="18"/>
              </w:rPr>
            </w:pPr>
            <w:r>
              <w:rPr>
                <w:rFonts w:hint="eastAsia"/>
                <w:b w:val="0"/>
                <w:bCs w:val="0"/>
                <w:kern w:val="0"/>
              </w:rPr>
              <w:t>围护结构</w:t>
            </w:r>
            <w:r>
              <w:rPr>
                <w:rFonts w:hint="eastAsia"/>
                <w:b w:val="0"/>
                <w:bCs w:val="0"/>
                <w:kern w:val="0"/>
                <w:szCs w:val="18"/>
              </w:rPr>
              <w:t>传热系数</w:t>
            </w:r>
            <w:r>
              <w:rPr>
                <w:rFonts w:hint="eastAsia"/>
                <w:b w:val="0"/>
                <w:bCs w:val="0"/>
                <w:kern w:val="0"/>
              </w:rPr>
              <w:t>基本要求</w:t>
            </w:r>
            <w:r>
              <w:rPr>
                <w:b w:val="0"/>
                <w:bCs w:val="0"/>
                <w:i/>
                <w:kern w:val="0"/>
                <w:szCs w:val="18"/>
              </w:rPr>
              <w:t>K</w:t>
            </w:r>
          </w:p>
          <w:p>
            <w:pPr>
              <w:autoSpaceDE w:val="0"/>
              <w:autoSpaceDN w:val="0"/>
              <w:adjustRightInd w:val="0"/>
              <w:spacing w:line="276" w:lineRule="auto"/>
              <w:rPr>
                <w:b w:val="0"/>
                <w:bCs w:val="0"/>
                <w:kern w:val="0"/>
                <w:szCs w:val="18"/>
              </w:rPr>
            </w:pPr>
            <w:r>
              <w:rPr>
                <w:rFonts w:hint="eastAsia"/>
                <w:b w:val="0"/>
                <w:bCs w:val="0"/>
                <w:kern w:val="0"/>
                <w:szCs w:val="18"/>
              </w:rPr>
              <w:t>[</w:t>
            </w:r>
            <w:r>
              <w:rPr>
                <w:b w:val="0"/>
                <w:bCs w:val="0"/>
                <w:kern w:val="0"/>
                <w:szCs w:val="18"/>
              </w:rPr>
              <w:t>W/</w:t>
            </w:r>
            <w:r>
              <w:rPr>
                <w:rFonts w:hint="eastAsia"/>
                <w:b w:val="0"/>
                <w:bCs w:val="0"/>
                <w:kern w:val="0"/>
                <w:szCs w:val="18"/>
              </w:rPr>
              <w:t>（</w:t>
            </w:r>
            <w:r>
              <w:rPr>
                <w:b w:val="0"/>
                <w:bCs w:val="0"/>
                <w:kern w:val="0"/>
                <w:szCs w:val="18"/>
              </w:rPr>
              <w:t>m</w:t>
            </w:r>
            <w:r>
              <w:rPr>
                <w:b w:val="0"/>
                <w:bCs w:val="0"/>
                <w:kern w:val="0"/>
                <w:szCs w:val="18"/>
                <w:vertAlign w:val="superscript"/>
              </w:rPr>
              <w:t>2</w:t>
            </w:r>
            <w:r>
              <w:rPr>
                <w:b w:val="0"/>
                <w:bCs w:val="0"/>
                <w:kern w:val="0"/>
                <w:szCs w:val="18"/>
              </w:rPr>
              <w:t>·K）</w:t>
            </w:r>
            <w:r>
              <w:rPr>
                <w:rFonts w:hint="eastAsia"/>
                <w:b w:val="0"/>
                <w:bCs w:val="0"/>
                <w:kern w:val="0"/>
                <w:szCs w:val="18"/>
              </w:rPr>
              <w:t>]</w:t>
            </w:r>
          </w:p>
        </w:tc>
        <w:tc>
          <w:tcPr>
            <w:tcW w:w="3033" w:type="dxa"/>
            <w:gridSpan w:val="3"/>
            <w:tcBorders>
              <w:left w:val="single" w:color="auto" w:sz="4" w:space="0"/>
            </w:tcBorders>
            <w:vAlign w:val="center"/>
          </w:tcPr>
          <w:p>
            <w:pPr>
              <w:autoSpaceDE w:val="0"/>
              <w:autoSpaceDN w:val="0"/>
              <w:adjustRightInd w:val="0"/>
              <w:spacing w:line="276" w:lineRule="auto"/>
              <w:rPr>
                <w:b w:val="0"/>
                <w:bCs w:val="0"/>
                <w:kern w:val="0"/>
                <w:szCs w:val="18"/>
              </w:rPr>
            </w:pPr>
            <w:r>
              <w:rPr>
                <w:rFonts w:hint="eastAsia"/>
                <w:b w:val="0"/>
                <w:bCs w:val="0"/>
                <w:kern w:val="0"/>
                <w:szCs w:val="18"/>
              </w:rPr>
              <w:t>设计建筑是否满足基本要求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vMerge w:val="continue"/>
            <w:tcBorders>
              <w:left w:val="single" w:color="auto" w:sz="4" w:space="0"/>
              <w:right w:val="single" w:color="auto" w:sz="4" w:space="0"/>
            </w:tcBorders>
            <w:vAlign w:val="center"/>
          </w:tcPr>
          <w:p>
            <w:pPr>
              <w:spacing w:line="276" w:lineRule="auto"/>
              <w:rPr>
                <w:b w:val="0"/>
                <w:bCs w:val="0"/>
                <w:kern w:val="0"/>
              </w:rPr>
            </w:pPr>
          </w:p>
        </w:tc>
        <w:tc>
          <w:tcPr>
            <w:tcW w:w="1418" w:type="dxa"/>
            <w:tcBorders>
              <w:left w:val="single" w:color="auto" w:sz="4" w:space="0"/>
            </w:tcBorders>
            <w:vAlign w:val="center"/>
          </w:tcPr>
          <w:p>
            <w:pPr>
              <w:spacing w:line="276" w:lineRule="auto"/>
              <w:rPr>
                <w:b w:val="0"/>
                <w:bCs w:val="0"/>
                <w:kern w:val="0"/>
              </w:rPr>
            </w:pPr>
            <w:r>
              <w:rPr>
                <w:rFonts w:hint="eastAsia"/>
                <w:b w:val="0"/>
                <w:bCs w:val="0"/>
                <w:kern w:val="0"/>
              </w:rPr>
              <w:t>屋面</w:t>
            </w:r>
          </w:p>
        </w:tc>
        <w:tc>
          <w:tcPr>
            <w:tcW w:w="2127" w:type="dxa"/>
            <w:gridSpan w:val="2"/>
            <w:tcBorders>
              <w:right w:val="single" w:color="auto" w:sz="4" w:space="0"/>
            </w:tcBorders>
            <w:vAlign w:val="center"/>
          </w:tcPr>
          <w:p>
            <w:pPr>
              <w:autoSpaceDE w:val="0"/>
              <w:autoSpaceDN w:val="0"/>
              <w:adjustRightInd w:val="0"/>
              <w:spacing w:line="276" w:lineRule="auto"/>
              <w:rPr>
                <w:b w:val="0"/>
                <w:bCs w:val="0"/>
                <w:kern w:val="0"/>
                <w:szCs w:val="18"/>
              </w:rPr>
            </w:pPr>
          </w:p>
        </w:tc>
        <w:tc>
          <w:tcPr>
            <w:tcW w:w="3033" w:type="dxa"/>
            <w:gridSpan w:val="3"/>
            <w:tcBorders>
              <w:left w:val="single" w:color="auto" w:sz="4" w:space="0"/>
            </w:tcBorders>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vMerge w:val="continue"/>
            <w:tcBorders>
              <w:left w:val="single" w:color="auto" w:sz="4" w:space="0"/>
              <w:right w:val="single" w:color="auto" w:sz="4" w:space="0"/>
            </w:tcBorders>
            <w:vAlign w:val="center"/>
          </w:tcPr>
          <w:p>
            <w:pPr>
              <w:spacing w:line="276" w:lineRule="auto"/>
              <w:rPr>
                <w:b w:val="0"/>
                <w:bCs w:val="0"/>
                <w:kern w:val="0"/>
              </w:rPr>
            </w:pPr>
          </w:p>
        </w:tc>
        <w:tc>
          <w:tcPr>
            <w:tcW w:w="1418" w:type="dxa"/>
            <w:tcBorders>
              <w:left w:val="single" w:color="auto" w:sz="4" w:space="0"/>
            </w:tcBorders>
            <w:vAlign w:val="center"/>
          </w:tcPr>
          <w:p>
            <w:pPr>
              <w:spacing w:line="276" w:lineRule="auto"/>
              <w:rPr>
                <w:b w:val="0"/>
                <w:bCs w:val="0"/>
                <w:kern w:val="0"/>
              </w:rPr>
            </w:pPr>
            <w:r>
              <w:rPr>
                <w:rFonts w:hint="eastAsia"/>
                <w:b w:val="0"/>
                <w:bCs w:val="0"/>
                <w:kern w:val="0"/>
              </w:rPr>
              <w:t>外墙</w:t>
            </w:r>
            <w:r>
              <w:rPr>
                <w:b w:val="0"/>
                <w:bCs w:val="0"/>
                <w:kern w:val="0"/>
              </w:rPr>
              <w:t>(包括非透光幕墙)</w:t>
            </w:r>
          </w:p>
        </w:tc>
        <w:tc>
          <w:tcPr>
            <w:tcW w:w="2127" w:type="dxa"/>
            <w:gridSpan w:val="2"/>
            <w:tcBorders>
              <w:right w:val="single" w:color="auto" w:sz="4" w:space="0"/>
            </w:tcBorders>
            <w:vAlign w:val="center"/>
          </w:tcPr>
          <w:p>
            <w:pPr>
              <w:autoSpaceDE w:val="0"/>
              <w:autoSpaceDN w:val="0"/>
              <w:adjustRightInd w:val="0"/>
              <w:spacing w:line="276" w:lineRule="auto"/>
              <w:rPr>
                <w:b w:val="0"/>
                <w:bCs w:val="0"/>
                <w:kern w:val="0"/>
                <w:szCs w:val="18"/>
              </w:rPr>
            </w:pPr>
          </w:p>
        </w:tc>
        <w:tc>
          <w:tcPr>
            <w:tcW w:w="3033" w:type="dxa"/>
            <w:gridSpan w:val="3"/>
            <w:tcBorders>
              <w:left w:val="single" w:color="auto" w:sz="4" w:space="0"/>
            </w:tcBorders>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vMerge w:val="continue"/>
            <w:tcBorders>
              <w:left w:val="single" w:color="auto" w:sz="4" w:space="0"/>
              <w:right w:val="single" w:color="auto" w:sz="4" w:space="0"/>
            </w:tcBorders>
            <w:vAlign w:val="center"/>
          </w:tcPr>
          <w:p>
            <w:pPr>
              <w:spacing w:line="276" w:lineRule="auto"/>
              <w:rPr>
                <w:b w:val="0"/>
                <w:bCs w:val="0"/>
                <w:kern w:val="0"/>
              </w:rPr>
            </w:pPr>
          </w:p>
        </w:tc>
        <w:tc>
          <w:tcPr>
            <w:tcW w:w="1418" w:type="dxa"/>
            <w:tcBorders>
              <w:left w:val="single" w:color="auto" w:sz="4" w:space="0"/>
            </w:tcBorders>
            <w:vAlign w:val="center"/>
          </w:tcPr>
          <w:p>
            <w:pPr>
              <w:spacing w:line="276" w:lineRule="auto"/>
              <w:rPr>
                <w:b w:val="0"/>
                <w:bCs w:val="0"/>
                <w:kern w:val="0"/>
              </w:rPr>
            </w:pPr>
            <w:r>
              <w:rPr>
                <w:rFonts w:hint="eastAsia"/>
                <w:b w:val="0"/>
                <w:bCs w:val="0"/>
                <w:kern w:val="0"/>
                <w:szCs w:val="18"/>
              </w:rPr>
              <w:t>外窗（包括透光幕墙）</w:t>
            </w:r>
          </w:p>
        </w:tc>
        <w:tc>
          <w:tcPr>
            <w:tcW w:w="2127" w:type="dxa"/>
            <w:gridSpan w:val="2"/>
            <w:tcBorders>
              <w:right w:val="single" w:color="auto" w:sz="4" w:space="0"/>
            </w:tcBorders>
            <w:vAlign w:val="center"/>
          </w:tcPr>
          <w:p>
            <w:pPr>
              <w:autoSpaceDE w:val="0"/>
              <w:autoSpaceDN w:val="0"/>
              <w:adjustRightInd w:val="0"/>
              <w:spacing w:line="276" w:lineRule="auto"/>
              <w:rPr>
                <w:b w:val="0"/>
                <w:bCs w:val="0"/>
                <w:kern w:val="0"/>
                <w:szCs w:val="18"/>
              </w:rPr>
            </w:pPr>
          </w:p>
        </w:tc>
        <w:tc>
          <w:tcPr>
            <w:tcW w:w="3033" w:type="dxa"/>
            <w:gridSpan w:val="3"/>
            <w:tcBorders>
              <w:left w:val="single" w:color="auto" w:sz="4" w:space="0"/>
            </w:tcBorders>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vMerge w:val="continue"/>
            <w:tcBorders>
              <w:left w:val="single" w:color="auto" w:sz="4" w:space="0"/>
              <w:right w:val="single" w:color="auto" w:sz="4" w:space="0"/>
            </w:tcBorders>
            <w:vAlign w:val="center"/>
          </w:tcPr>
          <w:p>
            <w:pPr>
              <w:spacing w:line="276" w:lineRule="auto"/>
              <w:rPr>
                <w:b w:val="0"/>
                <w:bCs w:val="0"/>
                <w:kern w:val="0"/>
              </w:rPr>
            </w:pPr>
          </w:p>
        </w:tc>
        <w:tc>
          <w:tcPr>
            <w:tcW w:w="1418" w:type="dxa"/>
            <w:tcBorders>
              <w:left w:val="single" w:color="auto" w:sz="4" w:space="0"/>
              <w:bottom w:val="single" w:color="auto" w:sz="6" w:space="0"/>
            </w:tcBorders>
            <w:vAlign w:val="center"/>
          </w:tcPr>
          <w:p>
            <w:pPr>
              <w:spacing w:line="276" w:lineRule="auto"/>
              <w:rPr>
                <w:b w:val="0"/>
                <w:bCs w:val="0"/>
                <w:kern w:val="0"/>
                <w:szCs w:val="18"/>
              </w:rPr>
            </w:pPr>
            <w:r>
              <w:rPr>
                <w:rFonts w:hint="eastAsia"/>
                <w:b w:val="0"/>
                <w:bCs w:val="0"/>
                <w:kern w:val="0"/>
                <w:szCs w:val="18"/>
              </w:rPr>
              <w:t>太阳得热系数</w:t>
            </w:r>
            <w:r>
              <w:rPr>
                <w:rFonts w:hint="eastAsia"/>
                <w:b w:val="0"/>
                <w:bCs w:val="0"/>
                <w:i/>
                <w:kern w:val="0"/>
                <w:szCs w:val="18"/>
              </w:rPr>
              <w:t>SHGC</w:t>
            </w:r>
          </w:p>
        </w:tc>
        <w:tc>
          <w:tcPr>
            <w:tcW w:w="2127" w:type="dxa"/>
            <w:gridSpan w:val="2"/>
            <w:tcBorders>
              <w:bottom w:val="single" w:color="auto" w:sz="6" w:space="0"/>
              <w:right w:val="single" w:color="auto" w:sz="4" w:space="0"/>
            </w:tcBorders>
            <w:vAlign w:val="center"/>
          </w:tcPr>
          <w:p>
            <w:pPr>
              <w:autoSpaceDE w:val="0"/>
              <w:autoSpaceDN w:val="0"/>
              <w:adjustRightInd w:val="0"/>
              <w:spacing w:line="276" w:lineRule="auto"/>
              <w:rPr>
                <w:b w:val="0"/>
                <w:bCs w:val="0"/>
                <w:kern w:val="0"/>
                <w:szCs w:val="18"/>
              </w:rPr>
            </w:pPr>
          </w:p>
        </w:tc>
        <w:tc>
          <w:tcPr>
            <w:tcW w:w="3033" w:type="dxa"/>
            <w:gridSpan w:val="3"/>
            <w:tcBorders>
              <w:left w:val="single" w:color="auto" w:sz="4" w:space="0"/>
              <w:bottom w:val="single" w:color="auto" w:sz="6" w:space="0"/>
            </w:tcBorders>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vMerge w:val="continue"/>
            <w:tcBorders>
              <w:left w:val="single" w:color="auto" w:sz="4" w:space="0"/>
              <w:bottom w:val="single" w:color="auto" w:sz="6" w:space="0"/>
              <w:right w:val="single" w:color="auto" w:sz="4" w:space="0"/>
            </w:tcBorders>
            <w:vAlign w:val="center"/>
          </w:tcPr>
          <w:p>
            <w:pPr>
              <w:spacing w:line="276" w:lineRule="auto"/>
              <w:rPr>
                <w:b w:val="0"/>
                <w:bCs w:val="0"/>
                <w:kern w:val="0"/>
                <w:szCs w:val="18"/>
              </w:rPr>
            </w:pPr>
          </w:p>
        </w:tc>
        <w:tc>
          <w:tcPr>
            <w:tcW w:w="1418" w:type="dxa"/>
            <w:tcBorders>
              <w:left w:val="single" w:color="auto" w:sz="4" w:space="0"/>
              <w:bottom w:val="single" w:color="auto" w:sz="6" w:space="0"/>
            </w:tcBorders>
            <w:vAlign w:val="center"/>
          </w:tcPr>
          <w:p>
            <w:pPr>
              <w:spacing w:line="276" w:lineRule="auto"/>
              <w:rPr>
                <w:b w:val="0"/>
                <w:bCs w:val="0"/>
                <w:kern w:val="0"/>
                <w:szCs w:val="18"/>
              </w:rPr>
            </w:pPr>
            <w:r>
              <w:rPr>
                <w:rFonts w:hint="eastAsia"/>
                <w:b w:val="0"/>
                <w:bCs w:val="0"/>
                <w:kern w:val="0"/>
                <w:szCs w:val="18"/>
              </w:rPr>
              <w:t>围护结构是否满足基本要求</w:t>
            </w:r>
          </w:p>
        </w:tc>
        <w:tc>
          <w:tcPr>
            <w:tcW w:w="5160" w:type="dxa"/>
            <w:gridSpan w:val="5"/>
            <w:tcBorders>
              <w:bottom w:val="single" w:color="auto" w:sz="6" w:space="0"/>
            </w:tcBorders>
            <w:vAlign w:val="center"/>
          </w:tcPr>
          <w:p>
            <w:pPr>
              <w:autoSpaceDE w:val="0"/>
              <w:autoSpaceDN w:val="0"/>
              <w:adjustRightInd w:val="0"/>
              <w:spacing w:line="276" w:lineRule="auto"/>
              <w:rPr>
                <w:b w:val="0"/>
                <w:bCs w:val="0"/>
                <w:kern w:val="0"/>
                <w:szCs w:val="18"/>
              </w:rPr>
            </w:pPr>
            <w:r>
              <w:rPr>
                <w:rFonts w:hint="eastAsia"/>
                <w:b w:val="0"/>
                <w:bCs w:val="0"/>
                <w:kern w:val="0"/>
                <w:szCs w:val="18"/>
              </w:rPr>
              <w:t>是   /   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tcBorders>
              <w:right w:val="single" w:color="auto" w:sz="4" w:space="0"/>
            </w:tcBorders>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权衡计算结果</w:t>
            </w:r>
          </w:p>
        </w:tc>
        <w:tc>
          <w:tcPr>
            <w:tcW w:w="3545" w:type="dxa"/>
            <w:gridSpan w:val="3"/>
            <w:tcBorders>
              <w:left w:val="single" w:color="auto" w:sz="4" w:space="0"/>
              <w:right w:val="single" w:color="auto" w:sz="4" w:space="0"/>
            </w:tcBorders>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设计建筑（kWh/</w:t>
            </w:r>
            <w:r>
              <w:rPr>
                <w:b w:val="0"/>
                <w:bCs w:val="0"/>
                <w:kern w:val="0"/>
                <w:szCs w:val="18"/>
              </w:rPr>
              <w:t xml:space="preserve"> m</w:t>
            </w:r>
            <w:r>
              <w:rPr>
                <w:b w:val="0"/>
                <w:bCs w:val="0"/>
                <w:kern w:val="0"/>
                <w:szCs w:val="18"/>
                <w:vertAlign w:val="superscript"/>
              </w:rPr>
              <w:t>2</w:t>
            </w:r>
            <w:r>
              <w:rPr>
                <w:rFonts w:hint="eastAsia"/>
                <w:b w:val="0"/>
                <w:bCs w:val="0"/>
                <w:kern w:val="0"/>
                <w:szCs w:val="18"/>
              </w:rPr>
              <w:t>）</w:t>
            </w:r>
          </w:p>
        </w:tc>
        <w:tc>
          <w:tcPr>
            <w:tcW w:w="3033" w:type="dxa"/>
            <w:gridSpan w:val="3"/>
            <w:tcBorders>
              <w:left w:val="single" w:color="auto" w:sz="4" w:space="0"/>
            </w:tcBorders>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参照建筑（kWh/</w:t>
            </w:r>
            <w:r>
              <w:rPr>
                <w:b w:val="0"/>
                <w:bCs w:val="0"/>
                <w:kern w:val="0"/>
                <w:szCs w:val="18"/>
              </w:rPr>
              <w:t xml:space="preserve"> m</w:t>
            </w:r>
            <w:r>
              <w:rPr>
                <w:b w:val="0"/>
                <w:bCs w:val="0"/>
                <w:kern w:val="0"/>
                <w:szCs w:val="18"/>
                <w:vertAlign w:val="superscript"/>
              </w:rPr>
              <w:t>2</w:t>
            </w:r>
            <w:r>
              <w:rPr>
                <w:rFonts w:hint="eastAsia"/>
                <w:b w:val="0"/>
                <w:bCs w:val="0"/>
                <w:kern w:val="0"/>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tcBorders>
              <w:right w:val="single" w:color="auto" w:sz="4" w:space="0"/>
            </w:tcBorders>
            <w:shd w:val="clear" w:color="auto" w:fill="auto"/>
            <w:vAlign w:val="center"/>
          </w:tcPr>
          <w:p>
            <w:pPr>
              <w:autoSpaceDE w:val="0"/>
              <w:autoSpaceDN w:val="0"/>
              <w:adjustRightInd w:val="0"/>
              <w:spacing w:line="276" w:lineRule="auto"/>
              <w:rPr>
                <w:b w:val="0"/>
                <w:bCs w:val="0"/>
                <w:kern w:val="0"/>
                <w:szCs w:val="18"/>
              </w:rPr>
            </w:pPr>
            <w:r>
              <w:rPr>
                <w:rFonts w:hint="eastAsia"/>
                <w:b w:val="0"/>
                <w:bCs w:val="0"/>
                <w:kern w:val="0"/>
                <w:szCs w:val="18"/>
              </w:rPr>
              <w:t>全年供暖和空调总耗电量</w:t>
            </w:r>
          </w:p>
        </w:tc>
        <w:tc>
          <w:tcPr>
            <w:tcW w:w="3545" w:type="dxa"/>
            <w:gridSpan w:val="3"/>
            <w:tcBorders>
              <w:left w:val="single" w:color="auto" w:sz="4" w:space="0"/>
              <w:right w:val="single" w:color="auto" w:sz="4" w:space="0"/>
            </w:tcBorders>
            <w:shd w:val="clear" w:color="auto" w:fill="auto"/>
            <w:vAlign w:val="center"/>
          </w:tcPr>
          <w:p>
            <w:pPr>
              <w:autoSpaceDE w:val="0"/>
              <w:autoSpaceDN w:val="0"/>
              <w:adjustRightInd w:val="0"/>
              <w:spacing w:line="276" w:lineRule="auto"/>
              <w:rPr>
                <w:b w:val="0"/>
                <w:bCs w:val="0"/>
                <w:kern w:val="0"/>
                <w:szCs w:val="18"/>
              </w:rPr>
            </w:pPr>
          </w:p>
        </w:tc>
        <w:tc>
          <w:tcPr>
            <w:tcW w:w="3033" w:type="dxa"/>
            <w:gridSpan w:val="3"/>
            <w:tcBorders>
              <w:left w:val="single" w:color="auto" w:sz="4" w:space="0"/>
            </w:tcBorders>
            <w:shd w:val="clear" w:color="auto" w:fill="auto"/>
            <w:vAlign w:val="center"/>
          </w:tcPr>
          <w:p>
            <w:pPr>
              <w:autoSpaceDE w:val="0"/>
              <w:autoSpaceDN w:val="0"/>
              <w:adjustRightInd w:val="0"/>
              <w:spacing w:line="276" w:lineRule="auto"/>
              <w:rPr>
                <w:b w:val="0"/>
                <w:bCs w:val="0"/>
                <w:kern w:val="0"/>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2241" w:type="dxa"/>
            <w:gridSpan w:val="2"/>
            <w:tcBorders>
              <w:right w:val="single" w:color="auto" w:sz="4" w:space="0"/>
            </w:tcBorders>
            <w:shd w:val="clear" w:color="auto" w:fill="auto"/>
            <w:vAlign w:val="center"/>
          </w:tcPr>
          <w:p>
            <w:pPr>
              <w:spacing w:line="276" w:lineRule="auto"/>
              <w:rPr>
                <w:b w:val="0"/>
                <w:bCs w:val="0"/>
              </w:rPr>
            </w:pPr>
            <w:r>
              <w:rPr>
                <w:rFonts w:hint="eastAsia"/>
                <w:b w:val="0"/>
                <w:bCs w:val="0"/>
              </w:rPr>
              <w:t>权衡判断结论</w:t>
            </w:r>
          </w:p>
        </w:tc>
        <w:tc>
          <w:tcPr>
            <w:tcW w:w="6578" w:type="dxa"/>
            <w:gridSpan w:val="6"/>
            <w:tcBorders>
              <w:left w:val="single" w:color="auto" w:sz="4" w:space="0"/>
            </w:tcBorders>
            <w:shd w:val="clear" w:color="auto" w:fill="auto"/>
            <w:vAlign w:val="center"/>
          </w:tcPr>
          <w:p>
            <w:pPr>
              <w:spacing w:line="276" w:lineRule="auto"/>
              <w:rPr>
                <w:b w:val="0"/>
                <w:bCs w:val="0"/>
              </w:rPr>
            </w:pPr>
            <w:r>
              <w:rPr>
                <w:rFonts w:hint="eastAsia"/>
                <w:b w:val="0"/>
                <w:bCs w:val="0"/>
              </w:rPr>
              <w:t>设计建筑的围护结构热工性能合格   /   不合格</w:t>
            </w:r>
          </w:p>
        </w:tc>
      </w:tr>
    </w:tbl>
    <w:p>
      <w:pPr>
        <w:spacing w:line="276" w:lineRule="auto"/>
      </w:pPr>
    </w:p>
    <w:p>
      <w:pPr>
        <w:widowControl/>
        <w:spacing w:line="276" w:lineRule="auto"/>
        <w:jc w:val="left"/>
        <w:rPr>
          <w:rFonts w:cs="Arial"/>
          <w:kern w:val="0"/>
          <w:sz w:val="24"/>
        </w:rPr>
        <w:sectPr>
          <w:pgSz w:w="11906" w:h="16838"/>
          <w:pgMar w:top="1440" w:right="1800" w:bottom="1440" w:left="1800" w:header="851" w:footer="992" w:gutter="0"/>
          <w:cols w:space="425" w:num="1"/>
          <w:docGrid w:type="lines" w:linePitch="312" w:charSpace="0"/>
        </w:sectPr>
      </w:pPr>
    </w:p>
    <w:p>
      <w:pPr>
        <w:pStyle w:val="2"/>
        <w:spacing w:line="276" w:lineRule="auto"/>
        <w:jc w:val="center"/>
      </w:pPr>
      <w:bookmarkStart w:id="128" w:name="_Toc376970901"/>
      <w:bookmarkStart w:id="129" w:name="_Toc377052156"/>
      <w:bookmarkStart w:id="130" w:name="_Toc146734742"/>
      <w:bookmarkStart w:id="131" w:name="_Toc370674041"/>
      <w:r>
        <w:rPr>
          <w:rFonts w:hint="eastAsia"/>
        </w:rPr>
        <w:t>附录</w:t>
      </w:r>
      <w:r>
        <w:t>C</w:t>
      </w:r>
      <w:r>
        <w:rPr>
          <w:rFonts w:hint="eastAsia"/>
        </w:rPr>
        <w:t>管道与设备绝热厚度</w:t>
      </w:r>
      <w:bookmarkEnd w:id="128"/>
      <w:bookmarkEnd w:id="129"/>
      <w:bookmarkEnd w:id="130"/>
    </w:p>
    <w:p>
      <w:pPr>
        <w:rPr>
          <w:rFonts w:ascii="宋体" w:hAnsi="TimesNewRomanPS-BoldMT" w:cs="宋体"/>
          <w:kern w:val="0"/>
          <w:sz w:val="24"/>
        </w:rPr>
      </w:pPr>
    </w:p>
    <w:p>
      <w:pPr>
        <w:autoSpaceDE w:val="0"/>
        <w:autoSpaceDN w:val="0"/>
        <w:adjustRightInd w:val="0"/>
        <w:spacing w:line="276" w:lineRule="auto"/>
        <w:jc w:val="left"/>
        <w:rPr>
          <w:kern w:val="0"/>
          <w:sz w:val="24"/>
        </w:rPr>
      </w:pPr>
      <w:r>
        <w:rPr>
          <w:b/>
          <w:bCs/>
          <w:sz w:val="24"/>
        </w:rPr>
        <w:t xml:space="preserve">C.0.1 </w:t>
      </w:r>
      <w:r>
        <w:rPr>
          <w:rFonts w:hint="eastAsia"/>
          <w:kern w:val="0"/>
          <w:sz w:val="24"/>
        </w:rPr>
        <w:t>热管道经济绝热厚度可按</w:t>
      </w:r>
      <w:bookmarkStart w:id="132" w:name="OLE_LINK65"/>
      <w:bookmarkStart w:id="133" w:name="OLE_LINK66"/>
      <w:r>
        <w:rPr>
          <w:rFonts w:hint="eastAsia"/>
          <w:kern w:val="0"/>
          <w:sz w:val="24"/>
        </w:rPr>
        <w:t>表</w:t>
      </w:r>
      <w:r>
        <w:rPr>
          <w:kern w:val="0"/>
          <w:sz w:val="24"/>
        </w:rPr>
        <w:t>C.0.1</w:t>
      </w:r>
      <w:r>
        <w:rPr>
          <w:rFonts w:hint="eastAsia"/>
          <w:kern w:val="0"/>
          <w:sz w:val="24"/>
        </w:rPr>
        <w:t>-1</w:t>
      </w:r>
      <w:bookmarkEnd w:id="132"/>
      <w:bookmarkEnd w:id="133"/>
      <w:r>
        <w:rPr>
          <w:rFonts w:hint="eastAsia"/>
          <w:kern w:val="0"/>
          <w:sz w:val="24"/>
        </w:rPr>
        <w:t>~表</w:t>
      </w:r>
      <w:r>
        <w:rPr>
          <w:kern w:val="0"/>
          <w:sz w:val="24"/>
        </w:rPr>
        <w:t>C.0.1</w:t>
      </w:r>
      <w:r>
        <w:rPr>
          <w:rFonts w:hint="eastAsia"/>
          <w:kern w:val="0"/>
          <w:sz w:val="24"/>
        </w:rPr>
        <w:t>-3选用。热</w:t>
      </w:r>
      <w:r>
        <w:rPr>
          <w:kern w:val="0"/>
          <w:sz w:val="24"/>
        </w:rPr>
        <w:t>设备</w:t>
      </w:r>
      <w:r>
        <w:rPr>
          <w:rFonts w:hint="eastAsia"/>
          <w:kern w:val="0"/>
          <w:sz w:val="24"/>
        </w:rPr>
        <w:t>绝热</w:t>
      </w:r>
      <w:r>
        <w:rPr>
          <w:kern w:val="0"/>
          <w:sz w:val="24"/>
        </w:rPr>
        <w:t>厚度可按最大口径管道的</w:t>
      </w:r>
      <w:r>
        <w:rPr>
          <w:rFonts w:hint="eastAsia"/>
          <w:kern w:val="0"/>
          <w:sz w:val="24"/>
        </w:rPr>
        <w:t>绝热层</w:t>
      </w:r>
      <w:r>
        <w:rPr>
          <w:kern w:val="0"/>
          <w:sz w:val="24"/>
        </w:rPr>
        <w:t>厚度再增加5mm</w:t>
      </w:r>
      <w:r>
        <w:rPr>
          <w:rFonts w:hint="eastAsia"/>
          <w:kern w:val="0"/>
          <w:sz w:val="24"/>
        </w:rPr>
        <w:t>选用</w:t>
      </w:r>
      <w:r>
        <w:rPr>
          <w:kern w:val="0"/>
          <w:sz w:val="24"/>
        </w:rPr>
        <w:t>。</w:t>
      </w:r>
    </w:p>
    <w:p>
      <w:pPr>
        <w:autoSpaceDE w:val="0"/>
        <w:autoSpaceDN w:val="0"/>
        <w:adjustRightInd w:val="0"/>
        <w:jc w:val="center"/>
        <w:rPr>
          <w:rFonts w:ascii="宋体" w:cs="宋体"/>
          <w:kern w:val="0"/>
          <w:sz w:val="24"/>
        </w:rPr>
      </w:pPr>
      <w:r>
        <w:rPr>
          <w:rFonts w:hint="eastAsia" w:ascii="宋体" w:cs="宋体"/>
          <w:kern w:val="0"/>
          <w:sz w:val="24"/>
        </w:rPr>
        <w:t>表</w:t>
      </w:r>
      <w:r>
        <w:rPr>
          <w:rFonts w:ascii="TimesNewRomanPSMT" w:hAnsi="TimesNewRomanPSMT" w:cs="TimesNewRomanPSMT"/>
          <w:kern w:val="0"/>
          <w:sz w:val="24"/>
        </w:rPr>
        <w:t>C.0.1-1</w:t>
      </w:r>
      <w:r>
        <w:rPr>
          <w:rFonts w:hint="eastAsia" w:ascii="TimesNewRomanPSMT" w:hAnsi="TimesNewRomanPSMT" w:cs="TimesNewRomanPSMT"/>
          <w:kern w:val="0"/>
          <w:sz w:val="24"/>
        </w:rPr>
        <w:t xml:space="preserve">  室内</w:t>
      </w:r>
      <w:r>
        <w:rPr>
          <w:rFonts w:hint="eastAsia" w:ascii="宋体" w:cs="宋体"/>
          <w:kern w:val="0"/>
          <w:sz w:val="24"/>
        </w:rPr>
        <w:t>热管道柔性泡沫橡塑经济绝热厚度（热价</w:t>
      </w:r>
      <w:r>
        <w:rPr>
          <w:rFonts w:ascii="TimesNewRomanPSMT" w:hAnsi="TimesNewRomanPSMT" w:cs="TimesNewRomanPSMT"/>
          <w:kern w:val="0"/>
          <w:sz w:val="24"/>
        </w:rPr>
        <w:t>85</w:t>
      </w:r>
      <w:r>
        <w:rPr>
          <w:rFonts w:hint="eastAsia" w:ascii="宋体" w:cs="宋体"/>
          <w:kern w:val="0"/>
          <w:sz w:val="24"/>
        </w:rPr>
        <w:t>元</w:t>
      </w:r>
      <w:r>
        <w:rPr>
          <w:rFonts w:ascii="TimesNewRomanPSMT" w:hAnsi="TimesNewRomanPSMT" w:cs="TimesNewRomanPSMT"/>
          <w:kern w:val="0"/>
          <w:sz w:val="24"/>
        </w:rPr>
        <w:t>/GJ</w:t>
      </w:r>
      <w:r>
        <w:rPr>
          <w:rFonts w:hint="eastAsia" w:ascii="宋体" w:cs="宋体"/>
          <w:kern w:val="0"/>
          <w:sz w:val="24"/>
        </w:rPr>
        <w:t>）</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031"/>
        <w:gridCol w:w="1033"/>
        <w:gridCol w:w="1033"/>
        <w:gridCol w:w="1033"/>
        <w:gridCol w:w="1033"/>
        <w:gridCol w:w="1033"/>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62" w:type="pct"/>
            <w:vMerge w:val="restart"/>
            <w:vAlign w:val="center"/>
          </w:tcPr>
          <w:p>
            <w:pPr>
              <w:adjustRightInd w:val="0"/>
              <w:snapToGrid w:val="0"/>
              <w:ind w:left="-108" w:right="-108"/>
              <w:rPr>
                <w:szCs w:val="21"/>
              </w:rPr>
            </w:pPr>
            <w:r>
              <w:rPr>
                <w:szCs w:val="21"/>
              </w:rPr>
              <w:t>最高介质温度</w:t>
            </w:r>
          </w:p>
          <w:p>
            <w:pPr>
              <w:adjustRightInd w:val="0"/>
              <w:rPr>
                <w:szCs w:val="21"/>
              </w:rPr>
            </w:pPr>
            <w:r>
              <w:rPr>
                <w:szCs w:val="21"/>
              </w:rPr>
              <w:t>（</w:t>
            </w:r>
            <w:r>
              <w:rPr>
                <w:rFonts w:hint="eastAsia" w:cs="宋体"/>
                <w:szCs w:val="21"/>
              </w:rPr>
              <w:t>℃</w:t>
            </w:r>
            <w:r>
              <w:rPr>
                <w:szCs w:val="21"/>
              </w:rPr>
              <w:t>）</w:t>
            </w:r>
          </w:p>
        </w:tc>
        <w:tc>
          <w:tcPr>
            <w:tcW w:w="4238" w:type="pct"/>
            <w:gridSpan w:val="7"/>
            <w:vAlign w:val="center"/>
          </w:tcPr>
          <w:p>
            <w:pPr>
              <w:adjustRightInd w:val="0"/>
              <w:snapToGrid w:val="0"/>
              <w:rPr>
                <w:szCs w:val="21"/>
              </w:rPr>
            </w:pPr>
            <w:r>
              <w:rPr>
                <w:szCs w:val="21"/>
              </w:rPr>
              <w:t>绝热层厚度（mm）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62" w:type="pct"/>
            <w:vMerge w:val="continue"/>
            <w:vAlign w:val="center"/>
          </w:tcPr>
          <w:p>
            <w:pPr>
              <w:rPr>
                <w:szCs w:val="21"/>
              </w:rPr>
            </w:pPr>
          </w:p>
        </w:tc>
        <w:tc>
          <w:tcPr>
            <w:tcW w:w="605" w:type="pct"/>
            <w:vAlign w:val="center"/>
          </w:tcPr>
          <w:p>
            <w:pPr>
              <w:adjustRightInd w:val="0"/>
              <w:snapToGrid w:val="0"/>
              <w:ind w:left="60" w:right="-108"/>
              <w:rPr>
                <w:szCs w:val="21"/>
              </w:rPr>
            </w:pPr>
            <w:r>
              <w:rPr>
                <w:szCs w:val="21"/>
              </w:rPr>
              <w:t>25</w:t>
            </w:r>
          </w:p>
        </w:tc>
        <w:tc>
          <w:tcPr>
            <w:tcW w:w="606" w:type="pct"/>
            <w:vAlign w:val="center"/>
          </w:tcPr>
          <w:p>
            <w:pPr>
              <w:adjustRightInd w:val="0"/>
              <w:snapToGrid w:val="0"/>
              <w:ind w:right="-108"/>
              <w:rPr>
                <w:szCs w:val="21"/>
              </w:rPr>
            </w:pPr>
            <w:r>
              <w:rPr>
                <w:szCs w:val="21"/>
              </w:rPr>
              <w:t>28</w:t>
            </w:r>
          </w:p>
        </w:tc>
        <w:tc>
          <w:tcPr>
            <w:tcW w:w="606" w:type="pct"/>
            <w:vAlign w:val="center"/>
          </w:tcPr>
          <w:p>
            <w:pPr>
              <w:adjustRightInd w:val="0"/>
              <w:snapToGrid w:val="0"/>
              <w:rPr>
                <w:szCs w:val="21"/>
              </w:rPr>
            </w:pPr>
            <w:r>
              <w:rPr>
                <w:szCs w:val="21"/>
              </w:rPr>
              <w:t>32</w:t>
            </w:r>
          </w:p>
        </w:tc>
        <w:tc>
          <w:tcPr>
            <w:tcW w:w="606" w:type="pct"/>
            <w:vAlign w:val="center"/>
          </w:tcPr>
          <w:p>
            <w:pPr>
              <w:adjustRightInd w:val="0"/>
              <w:snapToGrid w:val="0"/>
              <w:rPr>
                <w:szCs w:val="21"/>
              </w:rPr>
            </w:pPr>
            <w:r>
              <w:rPr>
                <w:szCs w:val="21"/>
              </w:rPr>
              <w:t>36</w:t>
            </w:r>
          </w:p>
        </w:tc>
        <w:tc>
          <w:tcPr>
            <w:tcW w:w="606" w:type="pct"/>
            <w:vAlign w:val="center"/>
          </w:tcPr>
          <w:p>
            <w:pPr>
              <w:adjustRightInd w:val="0"/>
              <w:snapToGrid w:val="0"/>
              <w:rPr>
                <w:szCs w:val="21"/>
              </w:rPr>
            </w:pPr>
            <w:r>
              <w:rPr>
                <w:szCs w:val="21"/>
              </w:rPr>
              <w:t>40</w:t>
            </w:r>
          </w:p>
        </w:tc>
        <w:tc>
          <w:tcPr>
            <w:tcW w:w="606" w:type="pct"/>
            <w:vAlign w:val="center"/>
          </w:tcPr>
          <w:p>
            <w:pPr>
              <w:adjustRightInd w:val="0"/>
              <w:snapToGrid w:val="0"/>
              <w:rPr>
                <w:szCs w:val="21"/>
              </w:rPr>
            </w:pPr>
            <w:r>
              <w:rPr>
                <w:szCs w:val="21"/>
              </w:rPr>
              <w:t>45</w:t>
            </w:r>
          </w:p>
        </w:tc>
        <w:tc>
          <w:tcPr>
            <w:tcW w:w="603" w:type="pct"/>
            <w:vAlign w:val="center"/>
          </w:tcPr>
          <w:p>
            <w:pPr>
              <w:adjustRightInd w:val="0"/>
              <w:snapToGrid w:val="0"/>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762" w:type="pct"/>
            <w:vAlign w:val="center"/>
          </w:tcPr>
          <w:p>
            <w:pPr>
              <w:rPr>
                <w:szCs w:val="21"/>
              </w:rPr>
            </w:pPr>
            <w:r>
              <w:rPr>
                <w:szCs w:val="21"/>
              </w:rPr>
              <w:t>60</w:t>
            </w:r>
          </w:p>
        </w:tc>
        <w:tc>
          <w:tcPr>
            <w:tcW w:w="605" w:type="pct"/>
            <w:vAlign w:val="center"/>
          </w:tcPr>
          <w:p>
            <w:pPr>
              <w:adjustRightInd w:val="0"/>
              <w:snapToGrid w:val="0"/>
              <w:ind w:left="-108" w:right="-108" w:firstLine="23"/>
              <w:rPr>
                <w:szCs w:val="21"/>
              </w:rPr>
            </w:pPr>
            <w:r>
              <w:rPr>
                <w:szCs w:val="21"/>
              </w:rPr>
              <w:t>≤DN20</w:t>
            </w:r>
          </w:p>
        </w:tc>
        <w:tc>
          <w:tcPr>
            <w:tcW w:w="606" w:type="pct"/>
            <w:vAlign w:val="center"/>
          </w:tcPr>
          <w:p>
            <w:pPr>
              <w:adjustRightInd w:val="0"/>
              <w:snapToGrid w:val="0"/>
              <w:ind w:left="-108" w:right="-108"/>
              <w:rPr>
                <w:szCs w:val="21"/>
              </w:rPr>
            </w:pPr>
            <w:r>
              <w:rPr>
                <w:szCs w:val="21"/>
              </w:rPr>
              <w:t>DN25～</w:t>
            </w:r>
          </w:p>
          <w:p>
            <w:pPr>
              <w:adjustRightInd w:val="0"/>
              <w:snapToGrid w:val="0"/>
              <w:ind w:left="-108" w:right="-108"/>
              <w:rPr>
                <w:szCs w:val="21"/>
              </w:rPr>
            </w:pPr>
            <w:r>
              <w:rPr>
                <w:szCs w:val="21"/>
              </w:rPr>
              <w:t>DN40</w:t>
            </w:r>
          </w:p>
        </w:tc>
        <w:tc>
          <w:tcPr>
            <w:tcW w:w="606" w:type="pct"/>
            <w:vAlign w:val="center"/>
          </w:tcPr>
          <w:p>
            <w:pPr>
              <w:adjustRightInd w:val="0"/>
              <w:snapToGrid w:val="0"/>
              <w:ind w:left="-108" w:right="-108"/>
              <w:rPr>
                <w:szCs w:val="21"/>
              </w:rPr>
            </w:pPr>
            <w:r>
              <w:rPr>
                <w:szCs w:val="21"/>
              </w:rPr>
              <w:t>DN50～</w:t>
            </w:r>
          </w:p>
          <w:p>
            <w:pPr>
              <w:adjustRightInd w:val="0"/>
              <w:snapToGrid w:val="0"/>
              <w:ind w:left="-108" w:right="-108"/>
              <w:rPr>
                <w:szCs w:val="21"/>
              </w:rPr>
            </w:pPr>
            <w:r>
              <w:rPr>
                <w:szCs w:val="21"/>
              </w:rPr>
              <w:t>DN125</w:t>
            </w:r>
          </w:p>
        </w:tc>
        <w:tc>
          <w:tcPr>
            <w:tcW w:w="606" w:type="pct"/>
            <w:vAlign w:val="center"/>
          </w:tcPr>
          <w:p>
            <w:pPr>
              <w:adjustRightInd w:val="0"/>
              <w:snapToGrid w:val="0"/>
              <w:ind w:left="-108" w:right="-108"/>
              <w:rPr>
                <w:szCs w:val="21"/>
              </w:rPr>
            </w:pPr>
            <w:r>
              <w:rPr>
                <w:szCs w:val="21"/>
              </w:rPr>
              <w:t>DN150～DN400</w:t>
            </w:r>
          </w:p>
        </w:tc>
        <w:tc>
          <w:tcPr>
            <w:tcW w:w="606" w:type="pct"/>
            <w:vAlign w:val="center"/>
          </w:tcPr>
          <w:p>
            <w:pPr>
              <w:adjustRightInd w:val="0"/>
              <w:snapToGrid w:val="0"/>
              <w:ind w:left="-108" w:right="-108"/>
              <w:rPr>
                <w:szCs w:val="21"/>
              </w:rPr>
            </w:pPr>
            <w:r>
              <w:rPr>
                <w:szCs w:val="21"/>
              </w:rPr>
              <w:t>≥DN450</w:t>
            </w:r>
          </w:p>
        </w:tc>
        <w:tc>
          <w:tcPr>
            <w:tcW w:w="606" w:type="pct"/>
            <w:vAlign w:val="center"/>
          </w:tcPr>
          <w:p>
            <w:pPr>
              <w:adjustRightInd w:val="0"/>
              <w:snapToGrid w:val="0"/>
              <w:ind w:left="-108" w:right="-108"/>
              <w:rPr>
                <w:szCs w:val="21"/>
              </w:rPr>
            </w:pPr>
            <w:r>
              <w:rPr>
                <w:rFonts w:hint="eastAsia"/>
                <w:szCs w:val="21"/>
              </w:rPr>
              <w:t>——</w:t>
            </w:r>
          </w:p>
        </w:tc>
        <w:tc>
          <w:tcPr>
            <w:tcW w:w="603" w:type="pct"/>
            <w:vAlign w:val="center"/>
          </w:tcPr>
          <w:p>
            <w:pPr>
              <w:adjustRightInd w:val="0"/>
              <w:snapToGrid w:val="0"/>
              <w:ind w:left="-108" w:right="-108"/>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762" w:type="pct"/>
            <w:vAlign w:val="center"/>
          </w:tcPr>
          <w:p>
            <w:pPr>
              <w:rPr>
                <w:szCs w:val="21"/>
              </w:rPr>
            </w:pPr>
            <w:r>
              <w:rPr>
                <w:szCs w:val="21"/>
              </w:rPr>
              <w:t>80</w:t>
            </w:r>
          </w:p>
        </w:tc>
        <w:tc>
          <w:tcPr>
            <w:tcW w:w="605" w:type="pct"/>
            <w:vAlign w:val="center"/>
          </w:tcPr>
          <w:p>
            <w:pPr>
              <w:rPr>
                <w:b/>
                <w:szCs w:val="21"/>
              </w:rPr>
            </w:pPr>
            <w:r>
              <w:rPr>
                <w:rFonts w:hint="eastAsia"/>
                <w:szCs w:val="21"/>
              </w:rPr>
              <w:t>——</w:t>
            </w:r>
          </w:p>
        </w:tc>
        <w:tc>
          <w:tcPr>
            <w:tcW w:w="606" w:type="pct"/>
            <w:vAlign w:val="center"/>
          </w:tcPr>
          <w:p>
            <w:pPr>
              <w:adjustRightInd w:val="0"/>
              <w:snapToGrid w:val="0"/>
              <w:ind w:left="-108" w:right="-108" w:firstLine="23"/>
              <w:rPr>
                <w:szCs w:val="21"/>
              </w:rPr>
            </w:pPr>
            <w:r>
              <w:rPr>
                <w:rFonts w:hint="eastAsia"/>
                <w:szCs w:val="21"/>
              </w:rPr>
              <w:t>——</w:t>
            </w:r>
          </w:p>
        </w:tc>
        <w:tc>
          <w:tcPr>
            <w:tcW w:w="606" w:type="pct"/>
            <w:vAlign w:val="center"/>
          </w:tcPr>
          <w:p>
            <w:pPr>
              <w:adjustRightInd w:val="0"/>
              <w:snapToGrid w:val="0"/>
              <w:ind w:left="-108" w:right="-108"/>
              <w:rPr>
                <w:szCs w:val="21"/>
              </w:rPr>
            </w:pPr>
            <w:r>
              <w:rPr>
                <w:szCs w:val="21"/>
              </w:rPr>
              <w:t>≤DN32</w:t>
            </w:r>
          </w:p>
        </w:tc>
        <w:tc>
          <w:tcPr>
            <w:tcW w:w="606" w:type="pct"/>
            <w:vAlign w:val="center"/>
          </w:tcPr>
          <w:p>
            <w:pPr>
              <w:adjustRightInd w:val="0"/>
              <w:snapToGrid w:val="0"/>
              <w:ind w:left="-108" w:right="-108"/>
              <w:rPr>
                <w:szCs w:val="21"/>
              </w:rPr>
            </w:pPr>
            <w:r>
              <w:rPr>
                <w:szCs w:val="21"/>
              </w:rPr>
              <w:t>DN40～</w:t>
            </w:r>
          </w:p>
          <w:p>
            <w:pPr>
              <w:adjustRightInd w:val="0"/>
              <w:snapToGrid w:val="0"/>
              <w:ind w:left="-108" w:right="-108"/>
              <w:rPr>
                <w:szCs w:val="21"/>
              </w:rPr>
            </w:pPr>
            <w:r>
              <w:rPr>
                <w:szCs w:val="21"/>
              </w:rPr>
              <w:t>DN70</w:t>
            </w:r>
          </w:p>
        </w:tc>
        <w:tc>
          <w:tcPr>
            <w:tcW w:w="606" w:type="pct"/>
            <w:vAlign w:val="center"/>
          </w:tcPr>
          <w:p>
            <w:pPr>
              <w:adjustRightInd w:val="0"/>
              <w:snapToGrid w:val="0"/>
              <w:ind w:left="-108" w:right="-108"/>
              <w:rPr>
                <w:szCs w:val="21"/>
              </w:rPr>
            </w:pPr>
            <w:r>
              <w:rPr>
                <w:szCs w:val="21"/>
              </w:rPr>
              <w:t>DN80～DN125</w:t>
            </w:r>
          </w:p>
        </w:tc>
        <w:tc>
          <w:tcPr>
            <w:tcW w:w="606" w:type="pct"/>
            <w:vAlign w:val="center"/>
          </w:tcPr>
          <w:p>
            <w:pPr>
              <w:adjustRightInd w:val="0"/>
              <w:snapToGrid w:val="0"/>
              <w:ind w:left="-108" w:right="-108"/>
              <w:rPr>
                <w:szCs w:val="21"/>
              </w:rPr>
            </w:pPr>
            <w:r>
              <w:rPr>
                <w:szCs w:val="21"/>
              </w:rPr>
              <w:t>DN150～DN450</w:t>
            </w:r>
          </w:p>
        </w:tc>
        <w:tc>
          <w:tcPr>
            <w:tcW w:w="603" w:type="pct"/>
            <w:vAlign w:val="center"/>
          </w:tcPr>
          <w:p>
            <w:pPr>
              <w:rPr>
                <w:szCs w:val="21"/>
              </w:rPr>
            </w:pPr>
            <w:r>
              <w:rPr>
                <w:szCs w:val="21"/>
              </w:rPr>
              <w:t>≥DN500</w:t>
            </w:r>
          </w:p>
        </w:tc>
      </w:tr>
    </w:tbl>
    <w:p>
      <w:pPr>
        <w:autoSpaceDE w:val="0"/>
        <w:autoSpaceDN w:val="0"/>
        <w:adjustRightInd w:val="0"/>
        <w:jc w:val="left"/>
        <w:rPr>
          <w:rFonts w:ascii="宋体" w:cs="宋体"/>
          <w:kern w:val="0"/>
          <w:sz w:val="24"/>
        </w:rPr>
      </w:pPr>
    </w:p>
    <w:p>
      <w:pPr>
        <w:jc w:val="center"/>
        <w:rPr>
          <w:sz w:val="24"/>
        </w:rPr>
      </w:pPr>
      <w:r>
        <w:rPr>
          <w:kern w:val="0"/>
          <w:sz w:val="24"/>
        </w:rPr>
        <w:t>表C.0.1</w:t>
      </w:r>
      <w:r>
        <w:rPr>
          <w:rFonts w:hint="eastAsia"/>
          <w:kern w:val="0"/>
          <w:sz w:val="24"/>
        </w:rPr>
        <w:t>-</w:t>
      </w:r>
      <w:r>
        <w:rPr>
          <w:kern w:val="0"/>
          <w:sz w:val="24"/>
        </w:rPr>
        <w:t xml:space="preserve">2 </w:t>
      </w:r>
      <w:r>
        <w:rPr>
          <w:rFonts w:hint="eastAsia"/>
          <w:kern w:val="0"/>
          <w:sz w:val="24"/>
        </w:rPr>
        <w:t xml:space="preserve"> </w:t>
      </w:r>
      <w:r>
        <w:rPr>
          <w:sz w:val="24"/>
        </w:rPr>
        <w:t>热管道</w:t>
      </w:r>
      <w:r>
        <w:rPr>
          <w:bCs/>
          <w:sz w:val="24"/>
        </w:rPr>
        <w:t>离心玻璃棉经济绝热厚度（热价</w:t>
      </w:r>
      <w:r>
        <w:rPr>
          <w:sz w:val="24"/>
        </w:rPr>
        <w:t>35元/GJ）</w:t>
      </w:r>
    </w:p>
    <w:tbl>
      <w:tblPr>
        <w:tblStyle w:val="30"/>
        <w:tblW w:w="53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575"/>
        <w:gridCol w:w="898"/>
        <w:gridCol w:w="899"/>
        <w:gridCol w:w="899"/>
        <w:gridCol w:w="899"/>
        <w:gridCol w:w="899"/>
        <w:gridCol w:w="899"/>
        <w:gridCol w:w="899"/>
        <w:gridCol w:w="89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36" w:type="pct"/>
            <w:gridSpan w:val="2"/>
            <w:vMerge w:val="restar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最高介质温度</w:t>
            </w:r>
            <w:r>
              <w:rPr>
                <w:b w:val="0"/>
                <w:sz w:val="18"/>
                <w:szCs w:val="18"/>
              </w:rPr>
              <w:t>（</w:t>
            </w:r>
            <w:r>
              <w:rPr>
                <w:rFonts w:hint="eastAsia" w:cs="宋体"/>
                <w:b w:val="0"/>
                <w:sz w:val="18"/>
                <w:szCs w:val="18"/>
              </w:rPr>
              <w:t>℃</w:t>
            </w:r>
            <w:r>
              <w:rPr>
                <w:b w:val="0"/>
                <w:sz w:val="18"/>
                <w:szCs w:val="18"/>
              </w:rPr>
              <w:t>）</w:t>
            </w:r>
          </w:p>
        </w:tc>
        <w:tc>
          <w:tcPr>
            <w:tcW w:w="4464" w:type="pct"/>
            <w:gridSpan w:val="9"/>
            <w:vAlign w:val="center"/>
          </w:tcPr>
          <w:p>
            <w:pPr>
              <w:pStyle w:val="6"/>
              <w:adjustRightInd w:val="0"/>
              <w:snapToGrid w:val="0"/>
              <w:spacing w:before="0" w:after="0" w:line="240" w:lineRule="auto"/>
              <w:rPr>
                <w:rFonts w:ascii="Times New Roman" w:hAnsi="Times New Roman"/>
                <w:b w:val="0"/>
                <w:sz w:val="18"/>
                <w:szCs w:val="18"/>
              </w:rPr>
            </w:pPr>
            <w:r>
              <w:rPr>
                <w:rFonts w:ascii="Times New Roman" w:hAnsi="Times New Roman"/>
                <w:b w:val="0"/>
                <w:sz w:val="18"/>
                <w:szCs w:val="18"/>
              </w:rPr>
              <w:t>绝热层厚度（mm）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36" w:type="pct"/>
            <w:gridSpan w:val="2"/>
            <w:vMerge w:val="continue"/>
            <w:vAlign w:val="center"/>
          </w:tcPr>
          <w:p>
            <w:pPr>
              <w:rPr>
                <w:sz w:val="18"/>
                <w:szCs w:val="18"/>
              </w:rPr>
            </w:pPr>
          </w:p>
        </w:tc>
        <w:tc>
          <w:tcPr>
            <w:tcW w:w="497" w:type="pct"/>
            <w:vAlign w:val="center"/>
          </w:tcPr>
          <w:p>
            <w:pPr>
              <w:adjustRightInd w:val="0"/>
              <w:rPr>
                <w:sz w:val="18"/>
                <w:szCs w:val="18"/>
              </w:rPr>
            </w:pPr>
            <w:r>
              <w:rPr>
                <w:rFonts w:hint="eastAsia"/>
                <w:sz w:val="18"/>
                <w:szCs w:val="18"/>
              </w:rPr>
              <w:t>25</w:t>
            </w:r>
          </w:p>
        </w:tc>
        <w:tc>
          <w:tcPr>
            <w:tcW w:w="497" w:type="pct"/>
            <w:vAlign w:val="center"/>
          </w:tcPr>
          <w:p>
            <w:pPr>
              <w:adjustRightInd w:val="0"/>
              <w:rPr>
                <w:sz w:val="18"/>
                <w:szCs w:val="18"/>
              </w:rPr>
            </w:pPr>
            <w:r>
              <w:rPr>
                <w:rFonts w:hint="eastAsia"/>
                <w:sz w:val="18"/>
                <w:szCs w:val="18"/>
              </w:rPr>
              <w:t>30</w:t>
            </w:r>
          </w:p>
        </w:tc>
        <w:tc>
          <w:tcPr>
            <w:tcW w:w="497" w:type="pct"/>
            <w:vAlign w:val="center"/>
          </w:tcPr>
          <w:p>
            <w:pPr>
              <w:adjustRightInd w:val="0"/>
              <w:rPr>
                <w:sz w:val="18"/>
                <w:szCs w:val="18"/>
              </w:rPr>
            </w:pPr>
            <w:r>
              <w:rPr>
                <w:sz w:val="18"/>
                <w:szCs w:val="18"/>
              </w:rPr>
              <w:t>35</w:t>
            </w:r>
          </w:p>
        </w:tc>
        <w:tc>
          <w:tcPr>
            <w:tcW w:w="497" w:type="pct"/>
            <w:vAlign w:val="center"/>
          </w:tcPr>
          <w:p>
            <w:pPr>
              <w:adjustRightInd w:val="0"/>
              <w:rPr>
                <w:sz w:val="18"/>
                <w:szCs w:val="18"/>
              </w:rPr>
            </w:pPr>
            <w:r>
              <w:rPr>
                <w:sz w:val="18"/>
                <w:szCs w:val="18"/>
              </w:rPr>
              <w:t>40</w:t>
            </w:r>
          </w:p>
        </w:tc>
        <w:tc>
          <w:tcPr>
            <w:tcW w:w="497" w:type="pct"/>
            <w:vAlign w:val="center"/>
          </w:tcPr>
          <w:p>
            <w:pPr>
              <w:adjustRightInd w:val="0"/>
              <w:rPr>
                <w:sz w:val="18"/>
                <w:szCs w:val="18"/>
              </w:rPr>
            </w:pPr>
            <w:r>
              <w:rPr>
                <w:sz w:val="18"/>
                <w:szCs w:val="18"/>
              </w:rPr>
              <w:t>50</w:t>
            </w:r>
          </w:p>
        </w:tc>
        <w:tc>
          <w:tcPr>
            <w:tcW w:w="497" w:type="pct"/>
            <w:vAlign w:val="center"/>
          </w:tcPr>
          <w:p>
            <w:pPr>
              <w:adjustRightInd w:val="0"/>
              <w:rPr>
                <w:sz w:val="18"/>
                <w:szCs w:val="18"/>
              </w:rPr>
            </w:pPr>
            <w:r>
              <w:rPr>
                <w:sz w:val="18"/>
                <w:szCs w:val="18"/>
              </w:rPr>
              <w:t>60</w:t>
            </w:r>
          </w:p>
        </w:tc>
        <w:tc>
          <w:tcPr>
            <w:tcW w:w="497" w:type="pct"/>
            <w:vAlign w:val="center"/>
          </w:tcPr>
          <w:p>
            <w:pPr>
              <w:adjustRightInd w:val="0"/>
              <w:rPr>
                <w:sz w:val="18"/>
                <w:szCs w:val="18"/>
              </w:rPr>
            </w:pPr>
            <w:r>
              <w:rPr>
                <w:sz w:val="18"/>
                <w:szCs w:val="18"/>
              </w:rPr>
              <w:t>70</w:t>
            </w:r>
          </w:p>
        </w:tc>
        <w:tc>
          <w:tcPr>
            <w:tcW w:w="497" w:type="pct"/>
            <w:vAlign w:val="center"/>
          </w:tcPr>
          <w:p>
            <w:pPr>
              <w:adjustRightInd w:val="0"/>
              <w:rPr>
                <w:sz w:val="18"/>
                <w:szCs w:val="18"/>
              </w:rPr>
            </w:pPr>
            <w:r>
              <w:rPr>
                <w:sz w:val="18"/>
                <w:szCs w:val="18"/>
              </w:rPr>
              <w:t>80</w:t>
            </w:r>
          </w:p>
        </w:tc>
        <w:tc>
          <w:tcPr>
            <w:tcW w:w="489" w:type="pct"/>
            <w:vAlign w:val="center"/>
          </w:tcPr>
          <w:p>
            <w:pPr>
              <w:adjustRightInd w:val="0"/>
              <w:rPr>
                <w:sz w:val="18"/>
                <w:szCs w:val="18"/>
              </w:rPr>
            </w:pPr>
            <w:r>
              <w:rPr>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 w:type="pct"/>
            <w:vMerge w:val="restart"/>
            <w:vAlign w:val="center"/>
          </w:tcPr>
          <w:p>
            <w:pPr>
              <w:rPr>
                <w:sz w:val="18"/>
                <w:szCs w:val="18"/>
              </w:rPr>
            </w:pPr>
            <w:r>
              <w:rPr>
                <w:sz w:val="18"/>
                <w:szCs w:val="18"/>
              </w:rPr>
              <w:t>室</w:t>
            </w:r>
          </w:p>
          <w:p>
            <w:pPr>
              <w:rPr>
                <w:sz w:val="18"/>
                <w:szCs w:val="18"/>
              </w:rPr>
            </w:pPr>
            <w:r>
              <w:rPr>
                <w:sz w:val="18"/>
                <w:szCs w:val="18"/>
              </w:rPr>
              <w:t>内</w:t>
            </w:r>
          </w:p>
        </w:tc>
        <w:tc>
          <w:tcPr>
            <w:tcW w:w="319" w:type="pct"/>
            <w:vAlign w:val="center"/>
          </w:tcPr>
          <w:p>
            <w:pPr>
              <w:rPr>
                <w:sz w:val="18"/>
                <w:szCs w:val="18"/>
              </w:rPr>
            </w:pPr>
            <w:r>
              <w:rPr>
                <w:rFonts w:hint="eastAsia"/>
                <w:sz w:val="18"/>
                <w:szCs w:val="18"/>
              </w:rPr>
              <w:t>60</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≤DN40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w:t>
            </w:r>
            <w:r>
              <w:rPr>
                <w:rFonts w:hint="eastAsia" w:ascii="Times New Roman" w:hAnsi="Times New Roman"/>
                <w:b w:val="0"/>
                <w:sz w:val="18"/>
                <w:szCs w:val="18"/>
              </w:rPr>
              <w:t>25</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w:t>
            </w:r>
            <w:r>
              <w:rPr>
                <w:rFonts w:hint="eastAsia" w:ascii="Times New Roman" w:hAnsi="Times New Roman"/>
                <w:b w:val="0"/>
                <w:sz w:val="18"/>
                <w:szCs w:val="18"/>
              </w:rPr>
              <w:t>50</w:t>
            </w:r>
            <w:r>
              <w:rPr>
                <w:rFonts w:ascii="Times New Roman" w:hAnsi="Times New Roman"/>
                <w:b w:val="0"/>
                <w:sz w:val="18"/>
                <w:szCs w:val="18"/>
              </w:rPr>
              <w:t>～</w:t>
            </w:r>
          </w:p>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DN1000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w:t>
            </w:r>
            <w:r>
              <w:rPr>
                <w:rFonts w:hint="eastAsia" w:ascii="Times New Roman" w:hAnsi="Times New Roman"/>
                <w:b w:val="0"/>
                <w:sz w:val="18"/>
                <w:szCs w:val="18"/>
              </w:rPr>
              <w:t>1</w:t>
            </w:r>
            <w:r>
              <w:rPr>
                <w:rFonts w:ascii="Times New Roman" w:hAnsi="Times New Roman"/>
                <w:b w:val="0"/>
                <w:sz w:val="18"/>
                <w:szCs w:val="18"/>
              </w:rPr>
              <w:t>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89"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 w:type="pct"/>
            <w:vMerge w:val="continue"/>
            <w:vAlign w:val="center"/>
          </w:tcPr>
          <w:p>
            <w:pPr>
              <w:rPr>
                <w:sz w:val="18"/>
                <w:szCs w:val="18"/>
              </w:rPr>
            </w:pPr>
          </w:p>
        </w:tc>
        <w:tc>
          <w:tcPr>
            <w:tcW w:w="319" w:type="pct"/>
            <w:vAlign w:val="center"/>
          </w:tcPr>
          <w:p>
            <w:pPr>
              <w:rPr>
                <w:sz w:val="18"/>
                <w:szCs w:val="18"/>
              </w:rPr>
            </w:pPr>
            <w:r>
              <w:rPr>
                <w:rFonts w:hint="eastAsia"/>
                <w:sz w:val="18"/>
                <w:szCs w:val="18"/>
              </w:rPr>
              <w:t>80</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32</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40</w:t>
            </w:r>
            <w:r>
              <w:rPr>
                <w:rFonts w:ascii="Times New Roman" w:hAnsi="Times New Roman"/>
                <w:b w:val="0"/>
                <w:sz w:val="18"/>
                <w:szCs w:val="18"/>
              </w:rPr>
              <w:t>～</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DN80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250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w:t>
            </w:r>
            <w:r>
              <w:rPr>
                <w:rFonts w:hint="eastAsia" w:ascii="Times New Roman" w:hAnsi="Times New Roman"/>
                <w:b w:val="0"/>
                <w:sz w:val="18"/>
                <w:szCs w:val="18"/>
              </w:rPr>
              <w:t>0</w:t>
            </w:r>
            <w:r>
              <w:rPr>
                <w:rFonts w:ascii="Times New Roman" w:hAnsi="Times New Roman"/>
                <w:b w:val="0"/>
                <w:sz w:val="18"/>
                <w:szCs w:val="18"/>
              </w:rPr>
              <w:t>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89"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 w:type="pct"/>
            <w:vMerge w:val="continue"/>
            <w:vAlign w:val="center"/>
          </w:tcPr>
          <w:p>
            <w:pPr>
              <w:rPr>
                <w:sz w:val="18"/>
                <w:szCs w:val="18"/>
              </w:rPr>
            </w:pPr>
          </w:p>
        </w:tc>
        <w:tc>
          <w:tcPr>
            <w:tcW w:w="319" w:type="pct"/>
            <w:vAlign w:val="center"/>
          </w:tcPr>
          <w:p>
            <w:pPr>
              <w:rPr>
                <w:sz w:val="18"/>
                <w:szCs w:val="18"/>
              </w:rPr>
            </w:pPr>
            <w:r>
              <w:rPr>
                <w:sz w:val="18"/>
                <w:szCs w:val="18"/>
              </w:rPr>
              <w:t>95</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≤DN40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DN125～</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≥DN1100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89"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 w:type="pct"/>
            <w:vMerge w:val="continue"/>
            <w:vAlign w:val="center"/>
          </w:tcPr>
          <w:p>
            <w:pPr>
              <w:rPr>
                <w:sz w:val="18"/>
                <w:szCs w:val="18"/>
              </w:rPr>
            </w:pPr>
          </w:p>
        </w:tc>
        <w:tc>
          <w:tcPr>
            <w:tcW w:w="319" w:type="pct"/>
            <w:vAlign w:val="center"/>
          </w:tcPr>
          <w:p>
            <w:pPr>
              <w:rPr>
                <w:sz w:val="18"/>
                <w:szCs w:val="18"/>
              </w:rPr>
            </w:pPr>
            <w:r>
              <w:rPr>
                <w:sz w:val="18"/>
                <w:szCs w:val="18"/>
              </w:rPr>
              <w:t>140</w:t>
            </w:r>
          </w:p>
        </w:tc>
        <w:tc>
          <w:tcPr>
            <w:tcW w:w="497"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≤DN25</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DN32～</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DN80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≥DN350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89"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 w:type="pct"/>
            <w:vMerge w:val="continue"/>
            <w:vAlign w:val="center"/>
          </w:tcPr>
          <w:p>
            <w:pPr>
              <w:rPr>
                <w:sz w:val="18"/>
                <w:szCs w:val="18"/>
              </w:rPr>
            </w:pPr>
          </w:p>
        </w:tc>
        <w:tc>
          <w:tcPr>
            <w:tcW w:w="319" w:type="pct"/>
            <w:vAlign w:val="center"/>
          </w:tcPr>
          <w:p>
            <w:pPr>
              <w:rPr>
                <w:sz w:val="18"/>
                <w:szCs w:val="18"/>
              </w:rPr>
            </w:pPr>
            <w:r>
              <w:rPr>
                <w:sz w:val="18"/>
                <w:szCs w:val="18"/>
              </w:rPr>
              <w:t>190</w:t>
            </w:r>
          </w:p>
        </w:tc>
        <w:tc>
          <w:tcPr>
            <w:tcW w:w="497"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≤DN32</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DN40～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DN80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DN250～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DN900</w:t>
            </w:r>
          </w:p>
        </w:tc>
        <w:tc>
          <w:tcPr>
            <w:tcW w:w="489"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 w:type="pct"/>
            <w:vMerge w:val="restart"/>
            <w:vAlign w:val="center"/>
          </w:tcPr>
          <w:p>
            <w:pPr>
              <w:rPr>
                <w:sz w:val="18"/>
                <w:szCs w:val="18"/>
              </w:rPr>
            </w:pPr>
            <w:r>
              <w:rPr>
                <w:sz w:val="18"/>
                <w:szCs w:val="18"/>
              </w:rPr>
              <w:t>室</w:t>
            </w:r>
          </w:p>
          <w:p>
            <w:pPr>
              <w:rPr>
                <w:sz w:val="18"/>
                <w:szCs w:val="18"/>
              </w:rPr>
            </w:pPr>
            <w:r>
              <w:rPr>
                <w:sz w:val="18"/>
                <w:szCs w:val="18"/>
              </w:rPr>
              <w:t>外</w:t>
            </w:r>
          </w:p>
        </w:tc>
        <w:tc>
          <w:tcPr>
            <w:tcW w:w="319" w:type="pct"/>
            <w:vAlign w:val="center"/>
          </w:tcPr>
          <w:p>
            <w:pPr>
              <w:rPr>
                <w:sz w:val="18"/>
                <w:szCs w:val="18"/>
              </w:rPr>
            </w:pPr>
            <w:r>
              <w:rPr>
                <w:rFonts w:hint="eastAsia"/>
                <w:sz w:val="18"/>
                <w:szCs w:val="18"/>
              </w:rPr>
              <w:t>60</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≤DN40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100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125</w:t>
            </w:r>
            <w:r>
              <w:rPr>
                <w:rFonts w:ascii="Times New Roman" w:hAnsi="Times New Roman"/>
                <w:b w:val="0"/>
                <w:sz w:val="18"/>
                <w:szCs w:val="18"/>
              </w:rPr>
              <w:t>～</w:t>
            </w:r>
          </w:p>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450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50</w:t>
            </w:r>
            <w:r>
              <w:rPr>
                <w:rFonts w:ascii="Times New Roman" w:hAnsi="Times New Roman"/>
                <w:b w:val="0"/>
                <w:sz w:val="18"/>
                <w:szCs w:val="18"/>
              </w:rPr>
              <w:t>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89"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 w:type="pct"/>
            <w:vMerge w:val="continue"/>
            <w:vAlign w:val="center"/>
          </w:tcPr>
          <w:p>
            <w:pPr>
              <w:rPr>
                <w:sz w:val="18"/>
                <w:szCs w:val="18"/>
              </w:rPr>
            </w:pPr>
          </w:p>
        </w:tc>
        <w:tc>
          <w:tcPr>
            <w:tcW w:w="319" w:type="pct"/>
            <w:vAlign w:val="center"/>
          </w:tcPr>
          <w:p>
            <w:pPr>
              <w:rPr>
                <w:sz w:val="18"/>
                <w:szCs w:val="18"/>
              </w:rPr>
            </w:pPr>
            <w:r>
              <w:rPr>
                <w:rFonts w:hint="eastAsia"/>
                <w:sz w:val="18"/>
                <w:szCs w:val="18"/>
              </w:rPr>
              <w:t>80</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≤DN40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100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12</w:t>
            </w:r>
            <w:r>
              <w:rPr>
                <w:rFonts w:ascii="Times New Roman" w:hAnsi="Times New Roman"/>
                <w:b w:val="0"/>
                <w:sz w:val="18"/>
                <w:szCs w:val="18"/>
              </w:rPr>
              <w:t>5～</w:t>
            </w:r>
          </w:p>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1700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 xml:space="preserve"> 1800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89"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7" w:type="pct"/>
            <w:vMerge w:val="continue"/>
            <w:vAlign w:val="center"/>
          </w:tcPr>
          <w:p>
            <w:pPr>
              <w:rPr>
                <w:sz w:val="18"/>
                <w:szCs w:val="18"/>
              </w:rPr>
            </w:pPr>
          </w:p>
        </w:tc>
        <w:tc>
          <w:tcPr>
            <w:tcW w:w="319" w:type="pct"/>
            <w:vAlign w:val="center"/>
          </w:tcPr>
          <w:p>
            <w:pPr>
              <w:rPr>
                <w:sz w:val="18"/>
                <w:szCs w:val="18"/>
              </w:rPr>
            </w:pPr>
            <w:r>
              <w:rPr>
                <w:sz w:val="18"/>
                <w:szCs w:val="18"/>
              </w:rPr>
              <w:t>95</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≤DN25</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DN32～</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DN70～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DN250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89"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 w:type="pct"/>
            <w:vMerge w:val="continue"/>
            <w:vAlign w:val="center"/>
          </w:tcPr>
          <w:p>
            <w:pPr>
              <w:rPr>
                <w:sz w:val="18"/>
                <w:szCs w:val="18"/>
              </w:rPr>
            </w:pPr>
          </w:p>
        </w:tc>
        <w:tc>
          <w:tcPr>
            <w:tcW w:w="319" w:type="pct"/>
            <w:vAlign w:val="center"/>
          </w:tcPr>
          <w:p>
            <w:pPr>
              <w:rPr>
                <w:sz w:val="18"/>
                <w:szCs w:val="18"/>
              </w:rPr>
            </w:pPr>
            <w:r>
              <w:rPr>
                <w:sz w:val="18"/>
                <w:szCs w:val="18"/>
              </w:rPr>
              <w:t>140</w:t>
            </w:r>
          </w:p>
        </w:tc>
        <w:tc>
          <w:tcPr>
            <w:tcW w:w="497" w:type="pct"/>
            <w:vAlign w:val="center"/>
          </w:tcPr>
          <w:p>
            <w:pPr>
              <w:rPr>
                <w:b/>
                <w:sz w:val="18"/>
                <w:szCs w:val="18"/>
              </w:rPr>
            </w:pPr>
            <w:r>
              <w:rPr>
                <w:rFonts w:hint="eastAsia"/>
                <w:szCs w:val="21"/>
              </w:rPr>
              <w:t>——</w:t>
            </w:r>
          </w:p>
        </w:tc>
        <w:tc>
          <w:tcPr>
            <w:tcW w:w="497" w:type="pct"/>
            <w:vAlign w:val="center"/>
          </w:tcPr>
          <w:p>
            <w:pPr>
              <w:rPr>
                <w:b/>
                <w:sz w:val="18"/>
                <w:szCs w:val="18"/>
              </w:rPr>
            </w:pPr>
            <w:r>
              <w:rPr>
                <w:rFonts w:hint="eastAsia"/>
                <w:szCs w:val="21"/>
              </w:rPr>
              <w:t>——</w:t>
            </w:r>
          </w:p>
        </w:tc>
        <w:tc>
          <w:tcPr>
            <w:tcW w:w="497" w:type="pct"/>
            <w:vAlign w:val="center"/>
          </w:tcPr>
          <w:p>
            <w:pPr>
              <w:rPr>
                <w:b/>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ascii="Times New Roman" w:hAnsi="Times New Roman"/>
                <w:b w:val="0"/>
                <w:sz w:val="18"/>
                <w:szCs w:val="18"/>
              </w:rPr>
              <w:t>≤DN20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DN25～</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DN70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DN80～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DN250～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≥DN1100</w:t>
            </w:r>
          </w:p>
        </w:tc>
        <w:tc>
          <w:tcPr>
            <w:tcW w:w="489" w:type="pct"/>
            <w:vAlign w:val="center"/>
          </w:tcPr>
          <w:p>
            <w:pPr>
              <w:pStyle w:val="6"/>
              <w:adjustRightInd w:val="0"/>
              <w:snapToGrid w:val="0"/>
              <w:spacing w:before="0" w:after="0" w:line="240" w:lineRule="auto"/>
              <w:ind w:left="-108" w:right="-108"/>
              <w:rPr>
                <w:rFonts w:ascii="Times New Roman" w:hAnsi="Times New Roman"/>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7" w:type="pct"/>
            <w:vMerge w:val="continue"/>
            <w:vAlign w:val="center"/>
          </w:tcPr>
          <w:p>
            <w:pPr>
              <w:rPr>
                <w:sz w:val="18"/>
                <w:szCs w:val="18"/>
              </w:rPr>
            </w:pPr>
          </w:p>
        </w:tc>
        <w:tc>
          <w:tcPr>
            <w:tcW w:w="319" w:type="pct"/>
            <w:vAlign w:val="center"/>
          </w:tcPr>
          <w:p>
            <w:pPr>
              <w:rPr>
                <w:sz w:val="18"/>
                <w:szCs w:val="18"/>
              </w:rPr>
            </w:pPr>
            <w:r>
              <w:rPr>
                <w:sz w:val="18"/>
                <w:szCs w:val="18"/>
              </w:rPr>
              <w:t>190</w:t>
            </w:r>
          </w:p>
        </w:tc>
        <w:tc>
          <w:tcPr>
            <w:tcW w:w="497" w:type="pct"/>
            <w:vAlign w:val="center"/>
          </w:tcPr>
          <w:p>
            <w:pPr>
              <w:rPr>
                <w:b/>
                <w:sz w:val="18"/>
                <w:szCs w:val="18"/>
              </w:rPr>
            </w:pPr>
            <w:r>
              <w:rPr>
                <w:rFonts w:hint="eastAsia"/>
                <w:szCs w:val="21"/>
              </w:rPr>
              <w:t>——</w:t>
            </w:r>
          </w:p>
        </w:tc>
        <w:tc>
          <w:tcPr>
            <w:tcW w:w="497" w:type="pct"/>
            <w:vAlign w:val="center"/>
          </w:tcPr>
          <w:p>
            <w:pPr>
              <w:rPr>
                <w:b/>
                <w:sz w:val="18"/>
                <w:szCs w:val="18"/>
              </w:rPr>
            </w:pPr>
            <w:r>
              <w:rPr>
                <w:rFonts w:hint="eastAsia"/>
                <w:szCs w:val="21"/>
              </w:rPr>
              <w:t>——</w:t>
            </w:r>
          </w:p>
        </w:tc>
        <w:tc>
          <w:tcPr>
            <w:tcW w:w="497" w:type="pct"/>
            <w:vAlign w:val="center"/>
          </w:tcPr>
          <w:p>
            <w:pPr>
              <w:rPr>
                <w:b/>
                <w:sz w:val="18"/>
                <w:szCs w:val="18"/>
              </w:rPr>
            </w:pPr>
            <w:r>
              <w:rPr>
                <w:rFonts w:hint="eastAsia"/>
                <w:szCs w:val="21"/>
              </w:rPr>
              <w:t>——</w:t>
            </w:r>
          </w:p>
        </w:tc>
        <w:tc>
          <w:tcPr>
            <w:tcW w:w="497" w:type="pct"/>
            <w:vAlign w:val="center"/>
          </w:tcPr>
          <w:p>
            <w:pPr>
              <w:rPr>
                <w:b/>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≤DN25</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DN32～</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DN70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DN80～DN150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DN200～DN500</w:t>
            </w:r>
          </w:p>
        </w:tc>
        <w:tc>
          <w:tcPr>
            <w:tcW w:w="489" w:type="pct"/>
            <w:vAlign w:val="center"/>
          </w:tcPr>
          <w:p>
            <w:pPr>
              <w:pStyle w:val="6"/>
              <w:adjustRightInd w:val="0"/>
              <w:snapToGrid w:val="0"/>
              <w:spacing w:before="0" w:after="0" w:line="240" w:lineRule="auto"/>
              <w:ind w:left="-108" w:right="-108"/>
              <w:rPr>
                <w:rFonts w:ascii="Times New Roman" w:hAnsi="Times New Roman"/>
                <w:sz w:val="18"/>
                <w:szCs w:val="18"/>
              </w:rPr>
            </w:pPr>
            <w:r>
              <w:rPr>
                <w:rFonts w:ascii="Times New Roman" w:hAnsi="Times New Roman"/>
                <w:sz w:val="18"/>
                <w:szCs w:val="18"/>
              </w:rPr>
              <w:t>≥</w:t>
            </w:r>
            <w:r>
              <w:rPr>
                <w:rFonts w:ascii="Times New Roman" w:hAnsi="Times New Roman"/>
                <w:b w:val="0"/>
                <w:sz w:val="18"/>
                <w:szCs w:val="18"/>
              </w:rPr>
              <w:t>DN600</w:t>
            </w:r>
          </w:p>
        </w:tc>
      </w:tr>
    </w:tbl>
    <w:p>
      <w:pPr>
        <w:jc w:val="center"/>
        <w:rPr>
          <w:kern w:val="0"/>
          <w:sz w:val="24"/>
        </w:rPr>
      </w:pPr>
    </w:p>
    <w:p>
      <w:pPr>
        <w:jc w:val="center"/>
        <w:rPr>
          <w:sz w:val="24"/>
        </w:rPr>
      </w:pPr>
      <w:r>
        <w:rPr>
          <w:kern w:val="0"/>
          <w:sz w:val="24"/>
        </w:rPr>
        <w:t>表C.0.1</w:t>
      </w:r>
      <w:r>
        <w:rPr>
          <w:rFonts w:hint="eastAsia"/>
          <w:kern w:val="0"/>
          <w:sz w:val="24"/>
        </w:rPr>
        <w:t xml:space="preserve">-3  </w:t>
      </w:r>
      <w:r>
        <w:rPr>
          <w:sz w:val="24"/>
        </w:rPr>
        <w:t>热管道</w:t>
      </w:r>
      <w:r>
        <w:rPr>
          <w:bCs/>
          <w:sz w:val="24"/>
        </w:rPr>
        <w:t>离心玻璃棉经济绝热厚度（热价</w:t>
      </w:r>
      <w:r>
        <w:rPr>
          <w:sz w:val="24"/>
        </w:rPr>
        <w:t>85元/GJ）</w:t>
      </w:r>
    </w:p>
    <w:tbl>
      <w:tblPr>
        <w:tblStyle w:val="30"/>
        <w:tblW w:w="53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569"/>
        <w:gridCol w:w="897"/>
        <w:gridCol w:w="897"/>
        <w:gridCol w:w="897"/>
        <w:gridCol w:w="897"/>
        <w:gridCol w:w="899"/>
        <w:gridCol w:w="897"/>
        <w:gridCol w:w="897"/>
        <w:gridCol w:w="897"/>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30" w:type="pct"/>
            <w:gridSpan w:val="2"/>
            <w:vMerge w:val="restart"/>
            <w:vAlign w:val="center"/>
          </w:tcPr>
          <w:p>
            <w:pPr>
              <w:pStyle w:val="6"/>
              <w:adjustRightInd w:val="0"/>
              <w:snapToGrid w:val="0"/>
              <w:spacing w:before="0" w:after="0" w:line="240" w:lineRule="auto"/>
              <w:ind w:left="-108" w:right="-108"/>
              <w:rPr>
                <w:rFonts w:ascii="Times New Roman" w:hAnsi="Times New Roman"/>
                <w:b w:val="0"/>
                <w:sz w:val="21"/>
                <w:szCs w:val="21"/>
              </w:rPr>
            </w:pPr>
            <w:r>
              <w:rPr>
                <w:rFonts w:ascii="Times New Roman" w:hAnsi="Times New Roman"/>
                <w:b w:val="0"/>
                <w:sz w:val="21"/>
                <w:szCs w:val="21"/>
              </w:rPr>
              <w:t>最高介质温度</w:t>
            </w:r>
            <w:r>
              <w:rPr>
                <w:b w:val="0"/>
                <w:sz w:val="21"/>
                <w:szCs w:val="21"/>
              </w:rPr>
              <w:t>（</w:t>
            </w:r>
            <w:r>
              <w:rPr>
                <w:rFonts w:hint="eastAsia" w:cs="宋体"/>
                <w:b w:val="0"/>
                <w:sz w:val="21"/>
                <w:szCs w:val="21"/>
              </w:rPr>
              <w:t>℃</w:t>
            </w:r>
            <w:r>
              <w:rPr>
                <w:b w:val="0"/>
                <w:sz w:val="21"/>
                <w:szCs w:val="21"/>
              </w:rPr>
              <w:t>）</w:t>
            </w:r>
          </w:p>
        </w:tc>
        <w:tc>
          <w:tcPr>
            <w:tcW w:w="4470" w:type="pct"/>
            <w:gridSpan w:val="9"/>
            <w:vAlign w:val="center"/>
          </w:tcPr>
          <w:p>
            <w:pPr>
              <w:pStyle w:val="6"/>
              <w:adjustRightInd w:val="0"/>
              <w:snapToGrid w:val="0"/>
              <w:spacing w:before="0" w:after="0" w:line="240" w:lineRule="auto"/>
              <w:rPr>
                <w:rFonts w:ascii="Times New Roman" w:hAnsi="Times New Roman"/>
                <w:b w:val="0"/>
                <w:sz w:val="21"/>
                <w:szCs w:val="21"/>
              </w:rPr>
            </w:pPr>
            <w:r>
              <w:rPr>
                <w:rFonts w:ascii="Times New Roman" w:hAnsi="Times New Roman"/>
                <w:b w:val="0"/>
                <w:sz w:val="21"/>
                <w:szCs w:val="21"/>
              </w:rPr>
              <w:t>绝热层厚度（mm）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30" w:type="pct"/>
            <w:gridSpan w:val="2"/>
            <w:vMerge w:val="continue"/>
            <w:vAlign w:val="center"/>
          </w:tcPr>
          <w:p>
            <w:pPr>
              <w:rPr>
                <w:szCs w:val="21"/>
              </w:rPr>
            </w:pPr>
          </w:p>
        </w:tc>
        <w:tc>
          <w:tcPr>
            <w:tcW w:w="496" w:type="pct"/>
            <w:vAlign w:val="center"/>
          </w:tcPr>
          <w:p>
            <w:pPr>
              <w:adjustRightInd w:val="0"/>
              <w:rPr>
                <w:szCs w:val="21"/>
              </w:rPr>
            </w:pPr>
            <w:r>
              <w:rPr>
                <w:rFonts w:hint="eastAsia"/>
                <w:szCs w:val="21"/>
              </w:rPr>
              <w:t>40</w:t>
            </w:r>
          </w:p>
        </w:tc>
        <w:tc>
          <w:tcPr>
            <w:tcW w:w="496" w:type="pct"/>
            <w:vAlign w:val="center"/>
          </w:tcPr>
          <w:p>
            <w:pPr>
              <w:adjustRightInd w:val="0"/>
              <w:rPr>
                <w:szCs w:val="21"/>
              </w:rPr>
            </w:pPr>
            <w:r>
              <w:rPr>
                <w:szCs w:val="21"/>
              </w:rPr>
              <w:t>50</w:t>
            </w:r>
          </w:p>
        </w:tc>
        <w:tc>
          <w:tcPr>
            <w:tcW w:w="496" w:type="pct"/>
            <w:vAlign w:val="center"/>
          </w:tcPr>
          <w:p>
            <w:pPr>
              <w:adjustRightInd w:val="0"/>
              <w:rPr>
                <w:szCs w:val="21"/>
              </w:rPr>
            </w:pPr>
            <w:r>
              <w:rPr>
                <w:szCs w:val="21"/>
              </w:rPr>
              <w:t>60</w:t>
            </w:r>
          </w:p>
        </w:tc>
        <w:tc>
          <w:tcPr>
            <w:tcW w:w="496" w:type="pct"/>
            <w:vAlign w:val="center"/>
          </w:tcPr>
          <w:p>
            <w:pPr>
              <w:adjustRightInd w:val="0"/>
              <w:rPr>
                <w:szCs w:val="21"/>
              </w:rPr>
            </w:pPr>
            <w:r>
              <w:rPr>
                <w:szCs w:val="21"/>
              </w:rPr>
              <w:t>70</w:t>
            </w:r>
          </w:p>
        </w:tc>
        <w:tc>
          <w:tcPr>
            <w:tcW w:w="497" w:type="pct"/>
            <w:vAlign w:val="center"/>
          </w:tcPr>
          <w:p>
            <w:pPr>
              <w:adjustRightInd w:val="0"/>
              <w:rPr>
                <w:szCs w:val="21"/>
              </w:rPr>
            </w:pPr>
            <w:r>
              <w:rPr>
                <w:szCs w:val="21"/>
              </w:rPr>
              <w:t>80</w:t>
            </w:r>
          </w:p>
        </w:tc>
        <w:tc>
          <w:tcPr>
            <w:tcW w:w="496" w:type="pct"/>
            <w:vAlign w:val="center"/>
          </w:tcPr>
          <w:p>
            <w:pPr>
              <w:adjustRightInd w:val="0"/>
              <w:rPr>
                <w:szCs w:val="21"/>
              </w:rPr>
            </w:pPr>
            <w:r>
              <w:rPr>
                <w:szCs w:val="21"/>
              </w:rPr>
              <w:t>90</w:t>
            </w:r>
          </w:p>
        </w:tc>
        <w:tc>
          <w:tcPr>
            <w:tcW w:w="496" w:type="pct"/>
            <w:vAlign w:val="center"/>
          </w:tcPr>
          <w:p>
            <w:pPr>
              <w:adjustRightInd w:val="0"/>
              <w:rPr>
                <w:szCs w:val="21"/>
              </w:rPr>
            </w:pPr>
            <w:r>
              <w:rPr>
                <w:szCs w:val="21"/>
              </w:rPr>
              <w:t>100</w:t>
            </w:r>
          </w:p>
        </w:tc>
        <w:tc>
          <w:tcPr>
            <w:tcW w:w="496" w:type="pct"/>
            <w:vAlign w:val="center"/>
          </w:tcPr>
          <w:p>
            <w:pPr>
              <w:adjustRightInd w:val="0"/>
              <w:rPr>
                <w:szCs w:val="21"/>
              </w:rPr>
            </w:pPr>
            <w:r>
              <w:rPr>
                <w:szCs w:val="21"/>
              </w:rPr>
              <w:t>120</w:t>
            </w:r>
          </w:p>
        </w:tc>
        <w:tc>
          <w:tcPr>
            <w:tcW w:w="500" w:type="pct"/>
            <w:vAlign w:val="center"/>
          </w:tcPr>
          <w:p>
            <w:pPr>
              <w:adjustRightInd w:val="0"/>
              <w:rPr>
                <w:szCs w:val="21"/>
              </w:rPr>
            </w:pPr>
            <w:r>
              <w:rPr>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5" w:type="pct"/>
            <w:vMerge w:val="restart"/>
            <w:vAlign w:val="center"/>
          </w:tcPr>
          <w:p>
            <w:pPr>
              <w:rPr>
                <w:szCs w:val="21"/>
              </w:rPr>
            </w:pPr>
            <w:r>
              <w:rPr>
                <w:szCs w:val="21"/>
              </w:rPr>
              <w:t>室</w:t>
            </w:r>
          </w:p>
          <w:p>
            <w:pPr>
              <w:rPr>
                <w:szCs w:val="21"/>
              </w:rPr>
            </w:pPr>
            <w:r>
              <w:rPr>
                <w:szCs w:val="21"/>
              </w:rPr>
              <w:t>内</w:t>
            </w:r>
          </w:p>
        </w:tc>
        <w:tc>
          <w:tcPr>
            <w:tcW w:w="315" w:type="pct"/>
            <w:vAlign w:val="center"/>
          </w:tcPr>
          <w:p>
            <w:pPr>
              <w:rPr>
                <w:szCs w:val="21"/>
              </w:rPr>
            </w:pPr>
            <w:r>
              <w:rPr>
                <w:rFonts w:hint="eastAsia"/>
                <w:szCs w:val="21"/>
              </w:rPr>
              <w:t>60</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50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70</w:t>
            </w:r>
            <w:r>
              <w:rPr>
                <w:rFonts w:ascii="Times New Roman" w:hAnsi="Times New Roman"/>
                <w:b w:val="0"/>
                <w:sz w:val="18"/>
                <w:szCs w:val="18"/>
              </w:rPr>
              <w:t>～</w:t>
            </w:r>
          </w:p>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3</w:t>
            </w:r>
            <w:r>
              <w:rPr>
                <w:rFonts w:ascii="Times New Roman" w:hAnsi="Times New Roman"/>
                <w:b w:val="0"/>
                <w:sz w:val="18"/>
                <w:szCs w:val="18"/>
              </w:rPr>
              <w:t>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35</w:t>
            </w:r>
            <w:r>
              <w:rPr>
                <w:rFonts w:ascii="Times New Roman" w:hAnsi="Times New Roman"/>
                <w:b w:val="0"/>
                <w:sz w:val="18"/>
                <w:szCs w:val="18"/>
              </w:rPr>
              <w:t>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5" w:type="pct"/>
            <w:vMerge w:val="continue"/>
            <w:vAlign w:val="center"/>
          </w:tcPr>
          <w:p>
            <w:pPr>
              <w:rPr>
                <w:szCs w:val="21"/>
              </w:rPr>
            </w:pPr>
          </w:p>
        </w:tc>
        <w:tc>
          <w:tcPr>
            <w:tcW w:w="315" w:type="pct"/>
            <w:vAlign w:val="center"/>
          </w:tcPr>
          <w:p>
            <w:pPr>
              <w:rPr>
                <w:szCs w:val="21"/>
              </w:rPr>
            </w:pPr>
            <w:r>
              <w:rPr>
                <w:rFonts w:hint="eastAsia"/>
                <w:szCs w:val="21"/>
              </w:rPr>
              <w:t>80</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20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25</w:t>
            </w:r>
            <w:r>
              <w:rPr>
                <w:rFonts w:ascii="Times New Roman" w:hAnsi="Times New Roman"/>
                <w:b w:val="0"/>
                <w:sz w:val="18"/>
                <w:szCs w:val="18"/>
              </w:rPr>
              <w:t>～</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70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8</w:t>
            </w:r>
            <w:r>
              <w:rPr>
                <w:rFonts w:ascii="Times New Roman" w:hAnsi="Times New Roman"/>
                <w:b w:val="0"/>
                <w:sz w:val="18"/>
                <w:szCs w:val="18"/>
              </w:rPr>
              <w:t>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2</w:t>
            </w:r>
            <w:r>
              <w:rPr>
                <w:rFonts w:ascii="Times New Roman" w:hAnsi="Times New Roman"/>
                <w:b w:val="0"/>
                <w:sz w:val="18"/>
                <w:szCs w:val="18"/>
              </w:rPr>
              <w:t>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25</w:t>
            </w:r>
            <w:r>
              <w:rPr>
                <w:rFonts w:ascii="Times New Roman" w:hAnsi="Times New Roman"/>
                <w:b w:val="0"/>
                <w:sz w:val="18"/>
                <w:szCs w:val="18"/>
              </w:rPr>
              <w:t>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5" w:type="pct"/>
            <w:vMerge w:val="continue"/>
            <w:vAlign w:val="center"/>
          </w:tcPr>
          <w:p>
            <w:pPr>
              <w:rPr>
                <w:szCs w:val="21"/>
              </w:rPr>
            </w:pPr>
          </w:p>
        </w:tc>
        <w:tc>
          <w:tcPr>
            <w:tcW w:w="315" w:type="pct"/>
            <w:vAlign w:val="center"/>
          </w:tcPr>
          <w:p>
            <w:pPr>
              <w:rPr>
                <w:szCs w:val="21"/>
              </w:rPr>
            </w:pPr>
            <w:r>
              <w:rPr>
                <w:szCs w:val="21"/>
              </w:rPr>
              <w:t>95</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≤DN40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DN125～DN300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DN350～DN2</w:t>
            </w:r>
            <w:r>
              <w:rPr>
                <w:rFonts w:hint="eastAsia" w:ascii="Times New Roman" w:hAnsi="Times New Roman"/>
                <w:b w:val="0"/>
                <w:sz w:val="18"/>
                <w:szCs w:val="18"/>
              </w:rPr>
              <w:t>5</w:t>
            </w:r>
            <w:r>
              <w:rPr>
                <w:rFonts w:ascii="Times New Roman" w:hAnsi="Times New Roman"/>
                <w:b w:val="0"/>
                <w:sz w:val="18"/>
                <w:szCs w:val="18"/>
              </w:rPr>
              <w:t>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30</w:t>
            </w:r>
            <w:r>
              <w:rPr>
                <w:rFonts w:ascii="Times New Roman" w:hAnsi="Times New Roman"/>
                <w:b w:val="0"/>
                <w:sz w:val="18"/>
                <w:szCs w:val="18"/>
              </w:rPr>
              <w:t>0</w:t>
            </w:r>
            <w:r>
              <w:rPr>
                <w:rFonts w:hint="eastAsia" w:ascii="Times New Roman" w:hAnsi="Times New Roman"/>
                <w:b w:val="0"/>
                <w:sz w:val="18"/>
                <w:szCs w:val="18"/>
              </w:rPr>
              <w:t>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 w:type="pct"/>
            <w:vMerge w:val="continue"/>
            <w:vAlign w:val="center"/>
          </w:tcPr>
          <w:p>
            <w:pPr>
              <w:rPr>
                <w:szCs w:val="21"/>
              </w:rPr>
            </w:pPr>
          </w:p>
        </w:tc>
        <w:tc>
          <w:tcPr>
            <w:tcW w:w="315" w:type="pct"/>
            <w:vAlign w:val="center"/>
          </w:tcPr>
          <w:p>
            <w:pPr>
              <w:rPr>
                <w:szCs w:val="21"/>
              </w:rPr>
            </w:pPr>
            <w:r>
              <w:rPr>
                <w:szCs w:val="21"/>
              </w:rPr>
              <w:t>140</w:t>
            </w:r>
          </w:p>
        </w:tc>
        <w:tc>
          <w:tcPr>
            <w:tcW w:w="496"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ascii="Times New Roman" w:hAnsi="Times New Roman"/>
                <w:b w:val="0"/>
                <w:sz w:val="18"/>
                <w:szCs w:val="18"/>
              </w:rPr>
              <w:t>≤DN32</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DN40～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DN70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DN80～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DN150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DN200～DN300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DN350～DN900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≥DN1000</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 w:type="pct"/>
            <w:vMerge w:val="continue"/>
            <w:vAlign w:val="center"/>
          </w:tcPr>
          <w:p>
            <w:pPr>
              <w:rPr>
                <w:szCs w:val="21"/>
              </w:rPr>
            </w:pPr>
          </w:p>
        </w:tc>
        <w:tc>
          <w:tcPr>
            <w:tcW w:w="315" w:type="pct"/>
            <w:vAlign w:val="center"/>
          </w:tcPr>
          <w:p>
            <w:pPr>
              <w:rPr>
                <w:szCs w:val="21"/>
              </w:rPr>
            </w:pPr>
            <w:r>
              <w:rPr>
                <w:szCs w:val="21"/>
              </w:rPr>
              <w:t>190</w:t>
            </w:r>
          </w:p>
        </w:tc>
        <w:tc>
          <w:tcPr>
            <w:tcW w:w="496"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ascii="Times New Roman" w:hAnsi="Times New Roman"/>
                <w:b w:val="0"/>
                <w:sz w:val="18"/>
                <w:szCs w:val="18"/>
              </w:rPr>
              <w:t>≤DN32</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DN40～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DN70～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DN125～DN150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DN200～DN700</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 w:type="pct"/>
            <w:vMerge w:val="restart"/>
            <w:vAlign w:val="center"/>
          </w:tcPr>
          <w:p>
            <w:pPr>
              <w:rPr>
                <w:szCs w:val="21"/>
              </w:rPr>
            </w:pPr>
            <w:r>
              <w:rPr>
                <w:szCs w:val="21"/>
              </w:rPr>
              <w:t>室</w:t>
            </w:r>
          </w:p>
          <w:p>
            <w:pPr>
              <w:rPr>
                <w:szCs w:val="21"/>
              </w:rPr>
            </w:pPr>
            <w:r>
              <w:rPr>
                <w:szCs w:val="21"/>
              </w:rPr>
              <w:t>外</w:t>
            </w:r>
          </w:p>
        </w:tc>
        <w:tc>
          <w:tcPr>
            <w:tcW w:w="315" w:type="pct"/>
            <w:vAlign w:val="center"/>
          </w:tcPr>
          <w:p>
            <w:pPr>
              <w:rPr>
                <w:szCs w:val="21"/>
              </w:rPr>
            </w:pPr>
            <w:r>
              <w:rPr>
                <w:rFonts w:hint="eastAsia"/>
                <w:szCs w:val="21"/>
              </w:rPr>
              <w:t>60</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80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w:t>
            </w:r>
            <w:r>
              <w:rPr>
                <w:rFonts w:hint="eastAsia" w:ascii="Times New Roman" w:hAnsi="Times New Roman"/>
                <w:b w:val="0"/>
                <w:sz w:val="18"/>
                <w:szCs w:val="18"/>
              </w:rPr>
              <w:t>00</w:t>
            </w:r>
            <w:r>
              <w:rPr>
                <w:rFonts w:ascii="Times New Roman" w:hAnsi="Times New Roman"/>
                <w:b w:val="0"/>
                <w:sz w:val="18"/>
                <w:szCs w:val="18"/>
              </w:rPr>
              <w:t>～DN</w:t>
            </w:r>
            <w:r>
              <w:rPr>
                <w:rFonts w:hint="eastAsia" w:ascii="Times New Roman" w:hAnsi="Times New Roman"/>
                <w:b w:val="0"/>
                <w:sz w:val="18"/>
                <w:szCs w:val="18"/>
              </w:rPr>
              <w:t>25</w:t>
            </w:r>
            <w:r>
              <w:rPr>
                <w:rFonts w:ascii="Times New Roman" w:hAnsi="Times New Roman"/>
                <w:b w:val="0"/>
                <w:sz w:val="18"/>
                <w:szCs w:val="18"/>
              </w:rPr>
              <w:t>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30</w:t>
            </w:r>
            <w:r>
              <w:rPr>
                <w:rFonts w:ascii="Times New Roman" w:hAnsi="Times New Roman"/>
                <w:b w:val="0"/>
                <w:sz w:val="18"/>
                <w:szCs w:val="18"/>
              </w:rPr>
              <w:t>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 w:type="pct"/>
            <w:vMerge w:val="continue"/>
            <w:vAlign w:val="center"/>
          </w:tcPr>
          <w:p>
            <w:pPr>
              <w:rPr>
                <w:szCs w:val="21"/>
              </w:rPr>
            </w:pPr>
          </w:p>
        </w:tc>
        <w:tc>
          <w:tcPr>
            <w:tcW w:w="315" w:type="pct"/>
            <w:vAlign w:val="center"/>
          </w:tcPr>
          <w:p>
            <w:pPr>
              <w:rPr>
                <w:szCs w:val="21"/>
              </w:rPr>
            </w:pPr>
            <w:r>
              <w:rPr>
                <w:rFonts w:hint="eastAsia"/>
                <w:szCs w:val="21"/>
              </w:rPr>
              <w:t>80</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≤DN40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DN125～DN</w:t>
            </w:r>
            <w:r>
              <w:rPr>
                <w:rFonts w:hint="eastAsia" w:ascii="Times New Roman" w:hAnsi="Times New Roman"/>
                <w:b w:val="0"/>
                <w:sz w:val="18"/>
                <w:szCs w:val="18"/>
              </w:rPr>
              <w:t>25</w:t>
            </w:r>
            <w:r>
              <w:rPr>
                <w:rFonts w:ascii="Times New Roman" w:hAnsi="Times New Roman"/>
                <w:b w:val="0"/>
                <w:sz w:val="18"/>
                <w:szCs w:val="18"/>
              </w:rPr>
              <w:t>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w:t>
            </w:r>
            <w:r>
              <w:rPr>
                <w:rFonts w:hint="eastAsia" w:ascii="Times New Roman" w:hAnsi="Times New Roman"/>
                <w:b w:val="0"/>
                <w:sz w:val="18"/>
                <w:szCs w:val="18"/>
              </w:rPr>
              <w:t>0</w:t>
            </w:r>
            <w:r>
              <w:rPr>
                <w:rFonts w:ascii="Times New Roman" w:hAnsi="Times New Roman"/>
                <w:b w:val="0"/>
                <w:sz w:val="18"/>
                <w:szCs w:val="18"/>
              </w:rPr>
              <w:t>0～DN</w:t>
            </w:r>
            <w:r>
              <w:rPr>
                <w:rFonts w:hint="eastAsia" w:ascii="Times New Roman" w:hAnsi="Times New Roman"/>
                <w:b w:val="0"/>
                <w:sz w:val="18"/>
                <w:szCs w:val="18"/>
              </w:rPr>
              <w:t>15</w:t>
            </w:r>
            <w:r>
              <w:rPr>
                <w:rFonts w:ascii="Times New Roman" w:hAnsi="Times New Roman"/>
                <w:b w:val="0"/>
                <w:sz w:val="18"/>
                <w:szCs w:val="18"/>
              </w:rPr>
              <w:t>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20</w:t>
            </w:r>
            <w:r>
              <w:rPr>
                <w:rFonts w:ascii="Times New Roman" w:hAnsi="Times New Roman"/>
                <w:b w:val="0"/>
                <w:sz w:val="18"/>
                <w:szCs w:val="18"/>
              </w:rPr>
              <w:t>0</w:t>
            </w:r>
            <w:r>
              <w:rPr>
                <w:rFonts w:hint="eastAsia" w:ascii="Times New Roman" w:hAnsi="Times New Roman"/>
                <w:b w:val="0"/>
                <w:sz w:val="18"/>
                <w:szCs w:val="18"/>
              </w:rPr>
              <w:t>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 w:type="pct"/>
            <w:vMerge w:val="continue"/>
            <w:vAlign w:val="center"/>
          </w:tcPr>
          <w:p>
            <w:pPr>
              <w:rPr>
                <w:szCs w:val="21"/>
              </w:rPr>
            </w:pPr>
          </w:p>
        </w:tc>
        <w:tc>
          <w:tcPr>
            <w:tcW w:w="315" w:type="pct"/>
            <w:vAlign w:val="center"/>
          </w:tcPr>
          <w:p>
            <w:pPr>
              <w:rPr>
                <w:szCs w:val="21"/>
              </w:rPr>
            </w:pPr>
            <w:r>
              <w:rPr>
                <w:szCs w:val="21"/>
              </w:rPr>
              <w:t>95</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right="-108"/>
              <w:rPr>
                <w:rFonts w:ascii="Times New Roman" w:hAnsi="Times New Roman"/>
                <w:b w:val="0"/>
                <w:sz w:val="18"/>
                <w:szCs w:val="18"/>
              </w:rPr>
            </w:pPr>
            <w:r>
              <w:rPr>
                <w:rFonts w:ascii="Times New Roman" w:hAnsi="Times New Roman"/>
                <w:b w:val="0"/>
                <w:sz w:val="18"/>
                <w:szCs w:val="18"/>
              </w:rPr>
              <w:t>≤DN25</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DN32～</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DN70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DN150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DN150～DN400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DN500～DN2000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w:t>
            </w:r>
            <w:r>
              <w:rPr>
                <w:rFonts w:hint="eastAsia" w:ascii="Times New Roman" w:hAnsi="Times New Roman"/>
                <w:b w:val="0"/>
                <w:sz w:val="18"/>
                <w:szCs w:val="18"/>
              </w:rPr>
              <w:t>25</w:t>
            </w:r>
            <w:r>
              <w:rPr>
                <w:rFonts w:ascii="Times New Roman" w:hAnsi="Times New Roman"/>
                <w:b w:val="0"/>
                <w:sz w:val="18"/>
                <w:szCs w:val="18"/>
              </w:rPr>
              <w:t>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5" w:type="pct"/>
            <w:vMerge w:val="continue"/>
            <w:vAlign w:val="center"/>
          </w:tcPr>
          <w:p>
            <w:pPr>
              <w:rPr>
                <w:szCs w:val="21"/>
              </w:rPr>
            </w:pPr>
          </w:p>
        </w:tc>
        <w:tc>
          <w:tcPr>
            <w:tcW w:w="315" w:type="pct"/>
            <w:vAlign w:val="center"/>
          </w:tcPr>
          <w:p>
            <w:pPr>
              <w:rPr>
                <w:szCs w:val="21"/>
              </w:rPr>
            </w:pPr>
            <w:r>
              <w:rPr>
                <w:szCs w:val="21"/>
              </w:rPr>
              <w:t>140</w:t>
            </w:r>
          </w:p>
        </w:tc>
        <w:tc>
          <w:tcPr>
            <w:tcW w:w="496" w:type="pct"/>
            <w:vAlign w:val="center"/>
          </w:tcPr>
          <w:p>
            <w:pPr>
              <w:rPr>
                <w:b/>
                <w:sz w:val="18"/>
                <w:szCs w:val="18"/>
              </w:rPr>
            </w:pPr>
            <w:r>
              <w:rPr>
                <w:rFonts w:hint="eastAsia"/>
                <w:szCs w:val="21"/>
              </w:rPr>
              <w:t>——</w:t>
            </w:r>
          </w:p>
        </w:tc>
        <w:tc>
          <w:tcPr>
            <w:tcW w:w="496" w:type="pct"/>
            <w:vAlign w:val="center"/>
          </w:tcPr>
          <w:p>
            <w:pPr>
              <w:rPr>
                <w:b/>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ascii="Times New Roman" w:hAnsi="Times New Roman"/>
                <w:b w:val="0"/>
                <w:sz w:val="18"/>
                <w:szCs w:val="18"/>
              </w:rPr>
              <w:t>≤DN25</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DN32～</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tc>
        <w:tc>
          <w:tcPr>
            <w:tcW w:w="497"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DN70～</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DN125～DN200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DN250～DN450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≥DN500</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5" w:type="pct"/>
            <w:vMerge w:val="continue"/>
            <w:vAlign w:val="center"/>
          </w:tcPr>
          <w:p>
            <w:pPr>
              <w:rPr>
                <w:szCs w:val="21"/>
              </w:rPr>
            </w:pPr>
          </w:p>
        </w:tc>
        <w:tc>
          <w:tcPr>
            <w:tcW w:w="315" w:type="pct"/>
            <w:vAlign w:val="center"/>
          </w:tcPr>
          <w:p>
            <w:pPr>
              <w:rPr>
                <w:szCs w:val="21"/>
              </w:rPr>
            </w:pPr>
            <w:r>
              <w:rPr>
                <w:rFonts w:hint="eastAsia"/>
                <w:szCs w:val="21"/>
              </w:rPr>
              <w:t>190</w:t>
            </w:r>
          </w:p>
        </w:tc>
        <w:tc>
          <w:tcPr>
            <w:tcW w:w="496" w:type="pct"/>
            <w:vAlign w:val="center"/>
          </w:tcPr>
          <w:p>
            <w:pPr>
              <w:rPr>
                <w:b/>
                <w:sz w:val="18"/>
                <w:szCs w:val="18"/>
              </w:rPr>
            </w:pPr>
            <w:r>
              <w:rPr>
                <w:rFonts w:hint="eastAsia"/>
                <w:szCs w:val="21"/>
              </w:rPr>
              <w:t>——</w:t>
            </w:r>
          </w:p>
        </w:tc>
        <w:tc>
          <w:tcPr>
            <w:tcW w:w="496" w:type="pct"/>
            <w:vAlign w:val="center"/>
          </w:tcPr>
          <w:p>
            <w:pPr>
              <w:rPr>
                <w:b/>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firstLine="23"/>
              <w:rPr>
                <w:rFonts w:ascii="Times New Roman" w:hAnsi="Times New Roman"/>
                <w:b w:val="0"/>
                <w:sz w:val="18"/>
                <w:szCs w:val="18"/>
              </w:rPr>
            </w:pPr>
            <w:r>
              <w:rPr>
                <w:rFonts w:hint="eastAsia"/>
                <w:szCs w:val="21"/>
              </w:rPr>
              <w:t>——</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≤DN25</w:t>
            </w:r>
          </w:p>
        </w:tc>
        <w:tc>
          <w:tcPr>
            <w:tcW w:w="497" w:type="pct"/>
            <w:vAlign w:val="center"/>
          </w:tcPr>
          <w:p>
            <w:pPr>
              <w:adjustRightInd w:val="0"/>
              <w:snapToGrid w:val="0"/>
              <w:ind w:left="-108" w:right="-108"/>
              <w:rPr>
                <w:sz w:val="18"/>
                <w:szCs w:val="18"/>
              </w:rPr>
            </w:pPr>
            <w:r>
              <w:rPr>
                <w:sz w:val="18"/>
                <w:szCs w:val="18"/>
              </w:rPr>
              <w:t>DN32</w:t>
            </w:r>
            <w:r>
              <w:rPr>
                <w:rFonts w:hint="eastAsia"/>
                <w:sz w:val="18"/>
                <w:szCs w:val="18"/>
              </w:rPr>
              <w:t>～</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w:t>
            </w:r>
          </w:p>
        </w:tc>
        <w:tc>
          <w:tcPr>
            <w:tcW w:w="496" w:type="pct"/>
            <w:vAlign w:val="center"/>
          </w:tcPr>
          <w:p>
            <w:pPr>
              <w:adjustRightInd w:val="0"/>
              <w:snapToGrid w:val="0"/>
              <w:ind w:left="-108" w:right="-108"/>
              <w:rPr>
                <w:sz w:val="18"/>
                <w:szCs w:val="18"/>
              </w:rPr>
            </w:pPr>
            <w:r>
              <w:rPr>
                <w:sz w:val="18"/>
                <w:szCs w:val="18"/>
              </w:rPr>
              <w:t>DN70</w:t>
            </w:r>
            <w:r>
              <w:rPr>
                <w:rFonts w:hint="eastAsia"/>
                <w:sz w:val="18"/>
                <w:szCs w:val="18"/>
              </w:rPr>
              <w:t>～</w:t>
            </w:r>
          </w:p>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DN80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DN100～DN150</w:t>
            </w:r>
          </w:p>
        </w:tc>
        <w:tc>
          <w:tcPr>
            <w:tcW w:w="496"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DN200～DN450</w:t>
            </w:r>
          </w:p>
        </w:tc>
        <w:tc>
          <w:tcPr>
            <w:tcW w:w="500" w:type="pct"/>
            <w:vAlign w:val="center"/>
          </w:tcPr>
          <w:p>
            <w:pPr>
              <w:pStyle w:val="6"/>
              <w:adjustRightInd w:val="0"/>
              <w:snapToGrid w:val="0"/>
              <w:spacing w:before="0" w:after="0" w:line="240" w:lineRule="auto"/>
              <w:ind w:left="-108" w:right="-108"/>
              <w:rPr>
                <w:rFonts w:ascii="Times New Roman" w:hAnsi="Times New Roman"/>
                <w:b w:val="0"/>
                <w:sz w:val="18"/>
                <w:szCs w:val="18"/>
              </w:rPr>
            </w:pPr>
            <w:r>
              <w:rPr>
                <w:rFonts w:ascii="Times New Roman" w:hAnsi="Times New Roman"/>
                <w:b w:val="0"/>
                <w:sz w:val="18"/>
                <w:szCs w:val="18"/>
              </w:rPr>
              <w:t>≥DN500</w:t>
            </w:r>
          </w:p>
        </w:tc>
      </w:tr>
    </w:tbl>
    <w:p>
      <w:pPr>
        <w:autoSpaceDE w:val="0"/>
        <w:autoSpaceDN w:val="0"/>
        <w:adjustRightInd w:val="0"/>
        <w:jc w:val="left"/>
        <w:rPr>
          <w:b/>
          <w:kern w:val="0"/>
          <w:sz w:val="24"/>
        </w:rPr>
      </w:pPr>
    </w:p>
    <w:p>
      <w:pPr>
        <w:autoSpaceDE w:val="0"/>
        <w:autoSpaceDN w:val="0"/>
        <w:adjustRightInd w:val="0"/>
        <w:spacing w:line="276" w:lineRule="auto"/>
        <w:jc w:val="left"/>
        <w:rPr>
          <w:b/>
          <w:kern w:val="0"/>
          <w:sz w:val="24"/>
        </w:rPr>
      </w:pPr>
      <w:r>
        <w:rPr>
          <w:b/>
          <w:bCs/>
          <w:sz w:val="24"/>
        </w:rPr>
        <w:t>C.0.2</w:t>
      </w:r>
      <w:r>
        <w:rPr>
          <w:rFonts w:hint="eastAsia"/>
          <w:b/>
          <w:bCs/>
          <w:sz w:val="24"/>
        </w:rPr>
        <w:t xml:space="preserve"> </w:t>
      </w:r>
      <w:r>
        <w:rPr>
          <w:rFonts w:hint="eastAsia"/>
          <w:bCs/>
          <w:sz w:val="24"/>
        </w:rPr>
        <w:t>室内</w:t>
      </w:r>
      <w:r>
        <w:rPr>
          <w:kern w:val="0"/>
          <w:sz w:val="24"/>
        </w:rPr>
        <w:t>空调</w:t>
      </w:r>
      <w:r>
        <w:rPr>
          <w:rFonts w:hint="eastAsia"/>
          <w:kern w:val="0"/>
          <w:sz w:val="24"/>
        </w:rPr>
        <w:t>冷水</w:t>
      </w:r>
      <w:r>
        <w:rPr>
          <w:kern w:val="0"/>
          <w:sz w:val="24"/>
        </w:rPr>
        <w:t>管道最小绝热层厚度可</w:t>
      </w:r>
      <w:r>
        <w:rPr>
          <w:rFonts w:hint="eastAsia"/>
          <w:kern w:val="0"/>
          <w:sz w:val="24"/>
        </w:rPr>
        <w:t>按</w:t>
      </w:r>
      <w:r>
        <w:rPr>
          <w:kern w:val="0"/>
          <w:sz w:val="24"/>
        </w:rPr>
        <w:t>表</w:t>
      </w:r>
      <w:bookmarkStart w:id="134" w:name="OLE_LINK67"/>
      <w:bookmarkStart w:id="135" w:name="OLE_LINK68"/>
      <w:r>
        <w:rPr>
          <w:kern w:val="0"/>
          <w:sz w:val="24"/>
        </w:rPr>
        <w:t>C.0.2</w:t>
      </w:r>
      <w:r>
        <w:rPr>
          <w:rFonts w:hint="eastAsia"/>
          <w:kern w:val="0"/>
          <w:sz w:val="24"/>
        </w:rPr>
        <w:t>-1</w:t>
      </w:r>
      <w:bookmarkEnd w:id="134"/>
      <w:bookmarkEnd w:id="135"/>
      <w:r>
        <w:rPr>
          <w:rFonts w:hint="eastAsia"/>
          <w:kern w:val="0"/>
          <w:sz w:val="24"/>
        </w:rPr>
        <w:t>、表</w:t>
      </w:r>
      <w:r>
        <w:rPr>
          <w:kern w:val="0"/>
          <w:sz w:val="24"/>
        </w:rPr>
        <w:t>C.0.2</w:t>
      </w:r>
      <w:r>
        <w:rPr>
          <w:rFonts w:hint="eastAsia"/>
          <w:kern w:val="0"/>
          <w:sz w:val="24"/>
        </w:rPr>
        <w:t>-2</w:t>
      </w:r>
      <w:r>
        <w:rPr>
          <w:kern w:val="0"/>
          <w:sz w:val="24"/>
        </w:rPr>
        <w:t>选用</w:t>
      </w:r>
      <w:r>
        <w:rPr>
          <w:rFonts w:hint="eastAsia"/>
          <w:kern w:val="0"/>
          <w:sz w:val="24"/>
        </w:rPr>
        <w:t>；蓄冷设备保冷厚度可按对应介质温度最大口径管道的保冷厚度再增加</w:t>
      </w:r>
      <w:r>
        <w:rPr>
          <w:kern w:val="0"/>
          <w:sz w:val="24"/>
        </w:rPr>
        <w:t>5mm</w:t>
      </w:r>
      <w:r>
        <w:rPr>
          <w:rFonts w:hint="eastAsia"/>
          <w:kern w:val="0"/>
          <w:sz w:val="24"/>
        </w:rPr>
        <w:t>～</w:t>
      </w:r>
      <w:r>
        <w:rPr>
          <w:kern w:val="0"/>
          <w:sz w:val="24"/>
        </w:rPr>
        <w:t>10mm选用</w:t>
      </w:r>
      <w:r>
        <w:rPr>
          <w:rFonts w:hint="eastAsia"/>
          <w:kern w:val="0"/>
          <w:sz w:val="24"/>
        </w:rPr>
        <w:t>。</w:t>
      </w:r>
    </w:p>
    <w:p>
      <w:pPr>
        <w:autoSpaceDE w:val="0"/>
        <w:autoSpaceDN w:val="0"/>
        <w:adjustRightInd w:val="0"/>
        <w:spacing w:line="276" w:lineRule="auto"/>
        <w:jc w:val="center"/>
        <w:rPr>
          <w:b/>
          <w:kern w:val="0"/>
          <w:sz w:val="24"/>
        </w:rPr>
      </w:pPr>
      <w:r>
        <w:rPr>
          <w:kern w:val="0"/>
          <w:sz w:val="24"/>
        </w:rPr>
        <w:t>表C.0.2</w:t>
      </w:r>
      <w:r>
        <w:rPr>
          <w:rFonts w:hint="eastAsia"/>
          <w:kern w:val="0"/>
          <w:sz w:val="24"/>
        </w:rPr>
        <w:t>-</w:t>
      </w:r>
      <w:r>
        <w:rPr>
          <w:kern w:val="0"/>
          <w:sz w:val="24"/>
        </w:rPr>
        <w:t>1</w:t>
      </w:r>
      <w:r>
        <w:rPr>
          <w:rFonts w:hint="eastAsia"/>
          <w:kern w:val="0"/>
          <w:sz w:val="24"/>
        </w:rPr>
        <w:t xml:space="preserve">  室内</w:t>
      </w:r>
      <w:r>
        <w:rPr>
          <w:rFonts w:hint="eastAsia"/>
          <w:sz w:val="24"/>
        </w:rPr>
        <w:t>空调</w:t>
      </w:r>
      <w:r>
        <w:rPr>
          <w:sz w:val="24"/>
        </w:rPr>
        <w:t>冷水管道最小绝热层厚度（介质温度≥5</w:t>
      </w:r>
      <w:r>
        <w:rPr>
          <w:rFonts w:hint="eastAsia" w:cs="宋体"/>
          <w:sz w:val="24"/>
        </w:rPr>
        <w:t>℃</w:t>
      </w:r>
      <w:r>
        <w:rPr>
          <w:sz w:val="24"/>
        </w:rPr>
        <w:t>）</w:t>
      </w:r>
      <w:r>
        <w:rPr>
          <w:rFonts w:hint="eastAsia"/>
          <w:sz w:val="24"/>
        </w:rPr>
        <w:t>(</w:t>
      </w:r>
      <w:r>
        <w:rPr>
          <w:sz w:val="24"/>
        </w:rPr>
        <w:t>mm</w:t>
      </w:r>
      <w:r>
        <w:rPr>
          <w:rFonts w:hint="eastAsia"/>
          <w:sz w:val="24"/>
        </w:rPr>
        <w:t>)</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408"/>
        <w:gridCol w:w="1297"/>
        <w:gridCol w:w="259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3" w:type="pct"/>
            <w:vMerge w:val="restart"/>
            <w:vAlign w:val="center"/>
          </w:tcPr>
          <w:p>
            <w:pPr>
              <w:spacing w:line="276" w:lineRule="auto"/>
              <w:rPr>
                <w:szCs w:val="21"/>
              </w:rPr>
            </w:pPr>
            <w:r>
              <w:rPr>
                <w:szCs w:val="21"/>
              </w:rPr>
              <w:t>地区</w:t>
            </w:r>
          </w:p>
        </w:tc>
        <w:tc>
          <w:tcPr>
            <w:tcW w:w="2174" w:type="pct"/>
            <w:gridSpan w:val="2"/>
            <w:vAlign w:val="center"/>
          </w:tcPr>
          <w:p>
            <w:pPr>
              <w:spacing w:line="276" w:lineRule="auto"/>
              <w:rPr>
                <w:szCs w:val="21"/>
              </w:rPr>
            </w:pPr>
            <w:r>
              <w:rPr>
                <w:bCs/>
                <w:szCs w:val="21"/>
              </w:rPr>
              <w:t>柔性泡沫橡塑</w:t>
            </w:r>
          </w:p>
        </w:tc>
        <w:tc>
          <w:tcPr>
            <w:tcW w:w="2283" w:type="pct"/>
            <w:gridSpan w:val="2"/>
            <w:vAlign w:val="center"/>
          </w:tcPr>
          <w:p>
            <w:pPr>
              <w:spacing w:line="276" w:lineRule="auto"/>
              <w:rPr>
                <w:szCs w:val="21"/>
              </w:rPr>
            </w:pPr>
            <w:r>
              <w:rPr>
                <w:szCs w:val="21"/>
              </w:rPr>
              <w:t>玻璃棉管壳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543" w:type="pct"/>
            <w:vMerge w:val="continue"/>
            <w:vAlign w:val="center"/>
          </w:tcPr>
          <w:p>
            <w:pPr>
              <w:spacing w:line="276" w:lineRule="auto"/>
              <w:rPr>
                <w:szCs w:val="21"/>
              </w:rPr>
            </w:pPr>
          </w:p>
        </w:tc>
        <w:tc>
          <w:tcPr>
            <w:tcW w:w="1413" w:type="pct"/>
            <w:vAlign w:val="center"/>
          </w:tcPr>
          <w:p>
            <w:pPr>
              <w:spacing w:line="276" w:lineRule="auto"/>
              <w:rPr>
                <w:bCs/>
                <w:szCs w:val="21"/>
              </w:rPr>
            </w:pPr>
            <w:r>
              <w:rPr>
                <w:bCs/>
                <w:szCs w:val="21"/>
              </w:rPr>
              <w:t>管径</w:t>
            </w:r>
          </w:p>
        </w:tc>
        <w:tc>
          <w:tcPr>
            <w:tcW w:w="761" w:type="pct"/>
            <w:vAlign w:val="center"/>
          </w:tcPr>
          <w:p>
            <w:pPr>
              <w:spacing w:line="276" w:lineRule="auto"/>
              <w:rPr>
                <w:bCs/>
                <w:szCs w:val="21"/>
              </w:rPr>
            </w:pPr>
            <w:r>
              <w:rPr>
                <w:bCs/>
                <w:szCs w:val="21"/>
              </w:rPr>
              <w:t>厚度</w:t>
            </w:r>
          </w:p>
        </w:tc>
        <w:tc>
          <w:tcPr>
            <w:tcW w:w="1522" w:type="pct"/>
            <w:vAlign w:val="center"/>
          </w:tcPr>
          <w:p>
            <w:pPr>
              <w:spacing w:line="276" w:lineRule="auto"/>
              <w:rPr>
                <w:bCs/>
                <w:szCs w:val="21"/>
              </w:rPr>
            </w:pPr>
            <w:r>
              <w:rPr>
                <w:bCs/>
                <w:szCs w:val="21"/>
              </w:rPr>
              <w:t>管径</w:t>
            </w:r>
          </w:p>
        </w:tc>
        <w:tc>
          <w:tcPr>
            <w:tcW w:w="761" w:type="pct"/>
            <w:vAlign w:val="center"/>
          </w:tcPr>
          <w:p>
            <w:pPr>
              <w:spacing w:line="276" w:lineRule="auto"/>
              <w:rPr>
                <w:bCs/>
                <w:szCs w:val="21"/>
              </w:rPr>
            </w:pPr>
            <w:r>
              <w:rPr>
                <w:bCs/>
                <w:szCs w:val="21"/>
              </w:rPr>
              <w:t>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3" w:type="pct"/>
            <w:vMerge w:val="restart"/>
            <w:vAlign w:val="center"/>
          </w:tcPr>
          <w:p>
            <w:pPr>
              <w:spacing w:line="276" w:lineRule="auto"/>
              <w:rPr>
                <w:szCs w:val="21"/>
              </w:rPr>
            </w:pPr>
            <w:r>
              <w:rPr>
                <w:rFonts w:hint="eastAsia" w:cs="微软雅黑"/>
                <w:kern w:val="0"/>
                <w:szCs w:val="21"/>
              </w:rPr>
              <w:t>较干燥地区</w:t>
            </w:r>
          </w:p>
        </w:tc>
        <w:tc>
          <w:tcPr>
            <w:tcW w:w="1413" w:type="pct"/>
            <w:vAlign w:val="center"/>
          </w:tcPr>
          <w:p>
            <w:pPr>
              <w:spacing w:line="276" w:lineRule="auto"/>
              <w:rPr>
                <w:szCs w:val="21"/>
              </w:rPr>
            </w:pPr>
            <w:r>
              <w:rPr>
                <w:szCs w:val="21"/>
              </w:rPr>
              <w:t>≤DN 40</w:t>
            </w:r>
          </w:p>
        </w:tc>
        <w:tc>
          <w:tcPr>
            <w:tcW w:w="761" w:type="pct"/>
            <w:vAlign w:val="center"/>
          </w:tcPr>
          <w:p>
            <w:pPr>
              <w:spacing w:line="276" w:lineRule="auto"/>
              <w:rPr>
                <w:szCs w:val="21"/>
              </w:rPr>
            </w:pPr>
            <w:r>
              <w:rPr>
                <w:szCs w:val="21"/>
              </w:rPr>
              <w:t>19</w:t>
            </w:r>
          </w:p>
        </w:tc>
        <w:tc>
          <w:tcPr>
            <w:tcW w:w="1522" w:type="pct"/>
            <w:vAlign w:val="center"/>
          </w:tcPr>
          <w:p>
            <w:pPr>
              <w:spacing w:line="276" w:lineRule="auto"/>
              <w:rPr>
                <w:szCs w:val="21"/>
              </w:rPr>
            </w:pPr>
            <w:r>
              <w:rPr>
                <w:szCs w:val="21"/>
              </w:rPr>
              <w:t>≤DN32</w:t>
            </w:r>
          </w:p>
        </w:tc>
        <w:tc>
          <w:tcPr>
            <w:tcW w:w="761" w:type="pct"/>
            <w:vAlign w:val="center"/>
          </w:tcPr>
          <w:p>
            <w:pPr>
              <w:spacing w:line="276" w:lineRule="auto"/>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50~DN150</w:t>
            </w:r>
          </w:p>
        </w:tc>
        <w:tc>
          <w:tcPr>
            <w:tcW w:w="761" w:type="pct"/>
            <w:vAlign w:val="center"/>
          </w:tcPr>
          <w:p>
            <w:pPr>
              <w:spacing w:line="276" w:lineRule="auto"/>
              <w:rPr>
                <w:szCs w:val="21"/>
              </w:rPr>
            </w:pPr>
            <w:r>
              <w:rPr>
                <w:szCs w:val="21"/>
              </w:rPr>
              <w:t>22</w:t>
            </w:r>
          </w:p>
        </w:tc>
        <w:tc>
          <w:tcPr>
            <w:tcW w:w="1522" w:type="pct"/>
            <w:vAlign w:val="center"/>
          </w:tcPr>
          <w:p>
            <w:pPr>
              <w:spacing w:line="276" w:lineRule="auto"/>
              <w:rPr>
                <w:szCs w:val="21"/>
              </w:rPr>
            </w:pPr>
            <w:r>
              <w:rPr>
                <w:szCs w:val="21"/>
              </w:rPr>
              <w:t>DN 40~DN100</w:t>
            </w:r>
          </w:p>
        </w:tc>
        <w:tc>
          <w:tcPr>
            <w:tcW w:w="761" w:type="pct"/>
            <w:vAlign w:val="center"/>
          </w:tcPr>
          <w:p>
            <w:pPr>
              <w:spacing w:line="276" w:lineRule="auto"/>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200</w:t>
            </w:r>
          </w:p>
        </w:tc>
        <w:tc>
          <w:tcPr>
            <w:tcW w:w="761" w:type="pct"/>
            <w:vAlign w:val="center"/>
          </w:tcPr>
          <w:p>
            <w:pPr>
              <w:spacing w:line="276" w:lineRule="auto"/>
              <w:rPr>
                <w:szCs w:val="21"/>
              </w:rPr>
            </w:pPr>
            <w:r>
              <w:rPr>
                <w:szCs w:val="21"/>
              </w:rPr>
              <w:t>25</w:t>
            </w:r>
          </w:p>
        </w:tc>
        <w:tc>
          <w:tcPr>
            <w:tcW w:w="1522" w:type="pct"/>
            <w:vAlign w:val="center"/>
          </w:tcPr>
          <w:p>
            <w:pPr>
              <w:spacing w:line="276" w:lineRule="auto"/>
              <w:rPr>
                <w:szCs w:val="21"/>
              </w:rPr>
            </w:pPr>
            <w:r>
              <w:rPr>
                <w:szCs w:val="21"/>
              </w:rPr>
              <w:t>DN 125~DN900</w:t>
            </w:r>
          </w:p>
        </w:tc>
        <w:tc>
          <w:tcPr>
            <w:tcW w:w="761" w:type="pct"/>
            <w:vAlign w:val="center"/>
          </w:tcPr>
          <w:p>
            <w:pPr>
              <w:spacing w:line="276" w:lineRule="auto"/>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3" w:type="pct"/>
            <w:vMerge w:val="restart"/>
            <w:vAlign w:val="center"/>
          </w:tcPr>
          <w:p>
            <w:pPr>
              <w:spacing w:line="276" w:lineRule="auto"/>
              <w:rPr>
                <w:szCs w:val="21"/>
              </w:rPr>
            </w:pPr>
            <w:r>
              <w:rPr>
                <w:rFonts w:hint="eastAsia" w:cs="微软雅黑"/>
                <w:kern w:val="0"/>
                <w:szCs w:val="21"/>
              </w:rPr>
              <w:t>较潮湿地区</w:t>
            </w:r>
          </w:p>
        </w:tc>
        <w:tc>
          <w:tcPr>
            <w:tcW w:w="1413" w:type="pct"/>
            <w:vAlign w:val="center"/>
          </w:tcPr>
          <w:p>
            <w:pPr>
              <w:spacing w:line="276" w:lineRule="auto"/>
              <w:rPr>
                <w:szCs w:val="21"/>
              </w:rPr>
            </w:pPr>
            <w:r>
              <w:rPr>
                <w:szCs w:val="21"/>
              </w:rPr>
              <w:t>≤DN 25</w:t>
            </w:r>
          </w:p>
        </w:tc>
        <w:tc>
          <w:tcPr>
            <w:tcW w:w="761" w:type="pct"/>
            <w:vAlign w:val="center"/>
          </w:tcPr>
          <w:p>
            <w:pPr>
              <w:spacing w:line="276" w:lineRule="auto"/>
              <w:rPr>
                <w:szCs w:val="21"/>
              </w:rPr>
            </w:pPr>
            <w:r>
              <w:rPr>
                <w:szCs w:val="21"/>
              </w:rPr>
              <w:t>25</w:t>
            </w:r>
          </w:p>
        </w:tc>
        <w:tc>
          <w:tcPr>
            <w:tcW w:w="1522" w:type="pct"/>
            <w:vAlign w:val="center"/>
          </w:tcPr>
          <w:p>
            <w:pPr>
              <w:spacing w:line="276" w:lineRule="auto"/>
              <w:rPr>
                <w:szCs w:val="21"/>
              </w:rPr>
            </w:pPr>
            <w:r>
              <w:rPr>
                <w:szCs w:val="21"/>
              </w:rPr>
              <w:t>≤DN 25</w:t>
            </w:r>
          </w:p>
        </w:tc>
        <w:tc>
          <w:tcPr>
            <w:tcW w:w="761" w:type="pct"/>
            <w:vAlign w:val="center"/>
          </w:tcPr>
          <w:p>
            <w:pPr>
              <w:spacing w:line="276" w:lineRule="auto"/>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DN32~DN50</w:t>
            </w:r>
          </w:p>
        </w:tc>
        <w:tc>
          <w:tcPr>
            <w:tcW w:w="761" w:type="pct"/>
            <w:vAlign w:val="center"/>
          </w:tcPr>
          <w:p>
            <w:pPr>
              <w:spacing w:line="276" w:lineRule="auto"/>
              <w:rPr>
                <w:szCs w:val="21"/>
              </w:rPr>
            </w:pPr>
            <w:r>
              <w:rPr>
                <w:szCs w:val="21"/>
              </w:rPr>
              <w:t>28</w:t>
            </w:r>
          </w:p>
        </w:tc>
        <w:tc>
          <w:tcPr>
            <w:tcW w:w="1522" w:type="pct"/>
            <w:vAlign w:val="center"/>
          </w:tcPr>
          <w:p>
            <w:pPr>
              <w:spacing w:line="276" w:lineRule="auto"/>
              <w:rPr>
                <w:szCs w:val="21"/>
              </w:rPr>
            </w:pPr>
            <w:r>
              <w:rPr>
                <w:szCs w:val="21"/>
              </w:rPr>
              <w:t>DN 32~DN80</w:t>
            </w:r>
          </w:p>
        </w:tc>
        <w:tc>
          <w:tcPr>
            <w:tcW w:w="761" w:type="pct"/>
            <w:vAlign w:val="center"/>
          </w:tcPr>
          <w:p>
            <w:pPr>
              <w:spacing w:line="276" w:lineRule="auto"/>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DN70~DN150</w:t>
            </w:r>
          </w:p>
        </w:tc>
        <w:tc>
          <w:tcPr>
            <w:tcW w:w="761" w:type="pct"/>
            <w:vAlign w:val="center"/>
          </w:tcPr>
          <w:p>
            <w:pPr>
              <w:spacing w:line="276" w:lineRule="auto"/>
              <w:rPr>
                <w:szCs w:val="21"/>
              </w:rPr>
            </w:pPr>
            <w:r>
              <w:rPr>
                <w:szCs w:val="21"/>
              </w:rPr>
              <w:t>32</w:t>
            </w:r>
          </w:p>
        </w:tc>
        <w:tc>
          <w:tcPr>
            <w:tcW w:w="1522" w:type="pct"/>
            <w:vAlign w:val="center"/>
          </w:tcPr>
          <w:p>
            <w:pPr>
              <w:spacing w:line="276" w:lineRule="auto"/>
              <w:rPr>
                <w:szCs w:val="21"/>
              </w:rPr>
            </w:pPr>
            <w:r>
              <w:rPr>
                <w:szCs w:val="21"/>
              </w:rPr>
              <w:t>DN 100~DN400</w:t>
            </w:r>
          </w:p>
        </w:tc>
        <w:tc>
          <w:tcPr>
            <w:tcW w:w="761" w:type="pct"/>
            <w:vAlign w:val="center"/>
          </w:tcPr>
          <w:p>
            <w:pPr>
              <w:spacing w:line="276" w:lineRule="auto"/>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200</w:t>
            </w:r>
          </w:p>
        </w:tc>
        <w:tc>
          <w:tcPr>
            <w:tcW w:w="761" w:type="pct"/>
            <w:vAlign w:val="center"/>
          </w:tcPr>
          <w:p>
            <w:pPr>
              <w:spacing w:line="276" w:lineRule="auto"/>
              <w:rPr>
                <w:szCs w:val="21"/>
              </w:rPr>
            </w:pPr>
            <w:r>
              <w:rPr>
                <w:szCs w:val="21"/>
              </w:rPr>
              <w:t>36</w:t>
            </w:r>
          </w:p>
        </w:tc>
        <w:tc>
          <w:tcPr>
            <w:tcW w:w="1522" w:type="pct"/>
            <w:vAlign w:val="center"/>
          </w:tcPr>
          <w:p>
            <w:pPr>
              <w:spacing w:line="276" w:lineRule="auto"/>
              <w:rPr>
                <w:szCs w:val="21"/>
              </w:rPr>
            </w:pPr>
            <w:r>
              <w:rPr>
                <w:szCs w:val="21"/>
              </w:rPr>
              <w:t>≥DN 450</w:t>
            </w:r>
          </w:p>
        </w:tc>
        <w:tc>
          <w:tcPr>
            <w:tcW w:w="761" w:type="pct"/>
            <w:vAlign w:val="center"/>
          </w:tcPr>
          <w:p>
            <w:pPr>
              <w:spacing w:line="276" w:lineRule="auto"/>
              <w:rPr>
                <w:szCs w:val="21"/>
              </w:rPr>
            </w:pPr>
            <w:r>
              <w:rPr>
                <w:szCs w:val="21"/>
              </w:rPr>
              <w:t>40</w:t>
            </w:r>
          </w:p>
        </w:tc>
      </w:tr>
    </w:tbl>
    <w:p>
      <w:pPr>
        <w:tabs>
          <w:tab w:val="left" w:pos="900"/>
        </w:tabs>
        <w:spacing w:line="276" w:lineRule="auto"/>
        <w:ind w:left="1380" w:leftChars="257" w:hanging="840" w:hangingChars="350"/>
        <w:rPr>
          <w:sz w:val="24"/>
        </w:rPr>
      </w:pPr>
    </w:p>
    <w:p>
      <w:pPr>
        <w:tabs>
          <w:tab w:val="left" w:pos="900"/>
        </w:tabs>
        <w:spacing w:line="276" w:lineRule="auto"/>
        <w:ind w:firstLine="360" w:firstLineChars="150"/>
        <w:jc w:val="center"/>
        <w:rPr>
          <w:sz w:val="24"/>
        </w:rPr>
      </w:pPr>
      <w:r>
        <w:rPr>
          <w:kern w:val="0"/>
          <w:sz w:val="24"/>
        </w:rPr>
        <w:t>表C.0.2</w:t>
      </w:r>
      <w:r>
        <w:rPr>
          <w:rFonts w:hint="eastAsia"/>
          <w:kern w:val="0"/>
          <w:sz w:val="24"/>
        </w:rPr>
        <w:t>-</w:t>
      </w:r>
      <w:r>
        <w:rPr>
          <w:kern w:val="0"/>
          <w:sz w:val="24"/>
        </w:rPr>
        <w:t>2</w:t>
      </w:r>
      <w:r>
        <w:rPr>
          <w:rFonts w:hint="eastAsia"/>
          <w:kern w:val="0"/>
          <w:sz w:val="24"/>
        </w:rPr>
        <w:t xml:space="preserve">  室内</w:t>
      </w:r>
      <w:r>
        <w:rPr>
          <w:rFonts w:hint="eastAsia"/>
          <w:sz w:val="24"/>
        </w:rPr>
        <w:t>空调</w:t>
      </w:r>
      <w:r>
        <w:rPr>
          <w:sz w:val="24"/>
        </w:rPr>
        <w:t>冷水管道最小绝热层厚度（介质温度≥</w:t>
      </w:r>
      <w:r>
        <w:rPr>
          <w:rFonts w:hint="eastAsia"/>
          <w:sz w:val="24"/>
        </w:rPr>
        <w:t>-</w:t>
      </w:r>
      <w:r>
        <w:rPr>
          <w:sz w:val="24"/>
        </w:rPr>
        <w:t>10</w:t>
      </w:r>
      <w:r>
        <w:rPr>
          <w:rFonts w:hint="eastAsia" w:cs="宋体"/>
          <w:sz w:val="24"/>
        </w:rPr>
        <w:t>℃</w:t>
      </w:r>
      <w:r>
        <w:rPr>
          <w:sz w:val="24"/>
        </w:rPr>
        <w:t>）</w:t>
      </w:r>
      <w:r>
        <w:rPr>
          <w:rFonts w:hint="eastAsia"/>
          <w:sz w:val="24"/>
        </w:rPr>
        <w:t>(</w:t>
      </w:r>
      <w:r>
        <w:rPr>
          <w:sz w:val="24"/>
        </w:rPr>
        <w:t>mm</w:t>
      </w:r>
      <w:r>
        <w:rPr>
          <w:rFonts w:hint="eastAsia"/>
          <w:sz w:val="24"/>
        </w:rPr>
        <w:t>)</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2408"/>
        <w:gridCol w:w="1297"/>
        <w:gridCol w:w="259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3" w:type="pct"/>
            <w:vMerge w:val="restart"/>
            <w:vAlign w:val="center"/>
          </w:tcPr>
          <w:p>
            <w:pPr>
              <w:spacing w:line="276" w:lineRule="auto"/>
              <w:rPr>
                <w:szCs w:val="21"/>
              </w:rPr>
            </w:pPr>
            <w:r>
              <w:rPr>
                <w:szCs w:val="21"/>
              </w:rPr>
              <w:t>地区</w:t>
            </w:r>
          </w:p>
        </w:tc>
        <w:tc>
          <w:tcPr>
            <w:tcW w:w="2174" w:type="pct"/>
            <w:gridSpan w:val="2"/>
            <w:vAlign w:val="center"/>
          </w:tcPr>
          <w:p>
            <w:pPr>
              <w:spacing w:line="276" w:lineRule="auto"/>
              <w:rPr>
                <w:szCs w:val="21"/>
              </w:rPr>
            </w:pPr>
            <w:r>
              <w:rPr>
                <w:bCs/>
                <w:szCs w:val="21"/>
              </w:rPr>
              <w:t>柔性泡沫橡塑</w:t>
            </w:r>
          </w:p>
        </w:tc>
        <w:tc>
          <w:tcPr>
            <w:tcW w:w="2283" w:type="pct"/>
            <w:gridSpan w:val="2"/>
            <w:vAlign w:val="center"/>
          </w:tcPr>
          <w:p>
            <w:pPr>
              <w:spacing w:line="276" w:lineRule="auto"/>
              <w:rPr>
                <w:szCs w:val="21"/>
              </w:rPr>
            </w:pPr>
            <w:r>
              <w:rPr>
                <w:szCs w:val="21"/>
              </w:rPr>
              <w:t>聚氨酯发泡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43" w:type="pct"/>
            <w:vMerge w:val="continue"/>
            <w:vAlign w:val="center"/>
          </w:tcPr>
          <w:p>
            <w:pPr>
              <w:spacing w:line="276" w:lineRule="auto"/>
              <w:rPr>
                <w:szCs w:val="21"/>
              </w:rPr>
            </w:pPr>
          </w:p>
        </w:tc>
        <w:tc>
          <w:tcPr>
            <w:tcW w:w="1413" w:type="pct"/>
            <w:vAlign w:val="center"/>
          </w:tcPr>
          <w:p>
            <w:pPr>
              <w:spacing w:line="276" w:lineRule="auto"/>
              <w:rPr>
                <w:bCs/>
                <w:szCs w:val="21"/>
              </w:rPr>
            </w:pPr>
            <w:r>
              <w:rPr>
                <w:bCs/>
                <w:szCs w:val="21"/>
              </w:rPr>
              <w:t>管径</w:t>
            </w:r>
          </w:p>
        </w:tc>
        <w:tc>
          <w:tcPr>
            <w:tcW w:w="761" w:type="pct"/>
            <w:vAlign w:val="center"/>
          </w:tcPr>
          <w:p>
            <w:pPr>
              <w:spacing w:line="276" w:lineRule="auto"/>
              <w:rPr>
                <w:bCs/>
                <w:szCs w:val="21"/>
              </w:rPr>
            </w:pPr>
            <w:r>
              <w:rPr>
                <w:bCs/>
                <w:szCs w:val="21"/>
              </w:rPr>
              <w:t>厚度</w:t>
            </w:r>
          </w:p>
        </w:tc>
        <w:tc>
          <w:tcPr>
            <w:tcW w:w="1522" w:type="pct"/>
            <w:vAlign w:val="center"/>
          </w:tcPr>
          <w:p>
            <w:pPr>
              <w:spacing w:line="276" w:lineRule="auto"/>
              <w:rPr>
                <w:bCs/>
                <w:szCs w:val="21"/>
              </w:rPr>
            </w:pPr>
            <w:r>
              <w:rPr>
                <w:bCs/>
                <w:szCs w:val="21"/>
              </w:rPr>
              <w:t>管径</w:t>
            </w:r>
          </w:p>
        </w:tc>
        <w:tc>
          <w:tcPr>
            <w:tcW w:w="761" w:type="pct"/>
            <w:vAlign w:val="center"/>
          </w:tcPr>
          <w:p>
            <w:pPr>
              <w:spacing w:line="276" w:lineRule="auto"/>
              <w:rPr>
                <w:bCs/>
                <w:szCs w:val="21"/>
              </w:rPr>
            </w:pPr>
            <w:r>
              <w:rPr>
                <w:bCs/>
                <w:szCs w:val="21"/>
              </w:rPr>
              <w:t>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3" w:type="pct"/>
            <w:vMerge w:val="restart"/>
            <w:vAlign w:val="center"/>
          </w:tcPr>
          <w:p>
            <w:pPr>
              <w:spacing w:line="276" w:lineRule="auto"/>
              <w:rPr>
                <w:szCs w:val="21"/>
              </w:rPr>
            </w:pPr>
            <w:r>
              <w:rPr>
                <w:rFonts w:hint="eastAsia" w:cs="微软雅黑"/>
                <w:kern w:val="0"/>
                <w:szCs w:val="21"/>
              </w:rPr>
              <w:t>较干燥地区</w:t>
            </w:r>
          </w:p>
        </w:tc>
        <w:tc>
          <w:tcPr>
            <w:tcW w:w="1413" w:type="pct"/>
            <w:vAlign w:val="center"/>
          </w:tcPr>
          <w:p>
            <w:pPr>
              <w:spacing w:line="276" w:lineRule="auto"/>
              <w:rPr>
                <w:szCs w:val="21"/>
              </w:rPr>
            </w:pPr>
            <w:r>
              <w:rPr>
                <w:szCs w:val="21"/>
              </w:rPr>
              <w:t>≤DN 32</w:t>
            </w:r>
          </w:p>
        </w:tc>
        <w:tc>
          <w:tcPr>
            <w:tcW w:w="761" w:type="pct"/>
            <w:vAlign w:val="center"/>
          </w:tcPr>
          <w:p>
            <w:pPr>
              <w:spacing w:line="276" w:lineRule="auto"/>
              <w:rPr>
                <w:szCs w:val="21"/>
              </w:rPr>
            </w:pPr>
            <w:r>
              <w:rPr>
                <w:szCs w:val="21"/>
              </w:rPr>
              <w:t>28</w:t>
            </w:r>
          </w:p>
        </w:tc>
        <w:tc>
          <w:tcPr>
            <w:tcW w:w="1522" w:type="pct"/>
            <w:vAlign w:val="center"/>
          </w:tcPr>
          <w:p>
            <w:pPr>
              <w:spacing w:line="276" w:lineRule="auto"/>
              <w:rPr>
                <w:szCs w:val="21"/>
              </w:rPr>
            </w:pPr>
            <w:r>
              <w:rPr>
                <w:szCs w:val="21"/>
              </w:rPr>
              <w:t>≤DN 32</w:t>
            </w:r>
          </w:p>
        </w:tc>
        <w:tc>
          <w:tcPr>
            <w:tcW w:w="761" w:type="pct"/>
            <w:vAlign w:val="center"/>
          </w:tcPr>
          <w:p>
            <w:pPr>
              <w:spacing w:line="276" w:lineRule="auto"/>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40~DN80</w:t>
            </w:r>
          </w:p>
        </w:tc>
        <w:tc>
          <w:tcPr>
            <w:tcW w:w="761" w:type="pct"/>
            <w:vAlign w:val="center"/>
          </w:tcPr>
          <w:p>
            <w:pPr>
              <w:spacing w:line="276" w:lineRule="auto"/>
              <w:rPr>
                <w:szCs w:val="21"/>
              </w:rPr>
            </w:pPr>
            <w:r>
              <w:rPr>
                <w:szCs w:val="21"/>
              </w:rPr>
              <w:t>32</w:t>
            </w:r>
          </w:p>
        </w:tc>
        <w:tc>
          <w:tcPr>
            <w:tcW w:w="1522" w:type="pct"/>
            <w:vAlign w:val="center"/>
          </w:tcPr>
          <w:p>
            <w:pPr>
              <w:spacing w:line="276" w:lineRule="auto"/>
              <w:rPr>
                <w:szCs w:val="21"/>
              </w:rPr>
            </w:pPr>
            <w:r>
              <w:rPr>
                <w:szCs w:val="21"/>
              </w:rPr>
              <w:t>DN 40~DN150</w:t>
            </w:r>
          </w:p>
        </w:tc>
        <w:tc>
          <w:tcPr>
            <w:tcW w:w="761" w:type="pct"/>
            <w:vAlign w:val="center"/>
          </w:tcPr>
          <w:p>
            <w:pPr>
              <w:spacing w:line="276" w:lineRule="auto"/>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100~DN200</w:t>
            </w:r>
          </w:p>
        </w:tc>
        <w:tc>
          <w:tcPr>
            <w:tcW w:w="761" w:type="pct"/>
            <w:vAlign w:val="center"/>
          </w:tcPr>
          <w:p>
            <w:pPr>
              <w:spacing w:line="276" w:lineRule="auto"/>
              <w:rPr>
                <w:szCs w:val="21"/>
              </w:rPr>
            </w:pPr>
            <w:r>
              <w:rPr>
                <w:szCs w:val="21"/>
              </w:rPr>
              <w:t>36</w:t>
            </w:r>
          </w:p>
        </w:tc>
        <w:tc>
          <w:tcPr>
            <w:tcW w:w="1522" w:type="pct"/>
            <w:vAlign w:val="center"/>
          </w:tcPr>
          <w:p>
            <w:pPr>
              <w:spacing w:line="276" w:lineRule="auto"/>
              <w:rPr>
                <w:szCs w:val="21"/>
              </w:rPr>
            </w:pPr>
            <w:r>
              <w:rPr>
                <w:szCs w:val="21"/>
              </w:rPr>
              <w:t>≥DN 200</w:t>
            </w:r>
          </w:p>
        </w:tc>
        <w:tc>
          <w:tcPr>
            <w:tcW w:w="761" w:type="pct"/>
            <w:vAlign w:val="center"/>
          </w:tcPr>
          <w:p>
            <w:pPr>
              <w:spacing w:line="276" w:lineRule="auto"/>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250</w:t>
            </w:r>
          </w:p>
        </w:tc>
        <w:tc>
          <w:tcPr>
            <w:tcW w:w="761" w:type="pct"/>
            <w:vAlign w:val="center"/>
          </w:tcPr>
          <w:p>
            <w:pPr>
              <w:spacing w:line="276" w:lineRule="auto"/>
              <w:rPr>
                <w:szCs w:val="21"/>
              </w:rPr>
            </w:pPr>
            <w:r>
              <w:rPr>
                <w:szCs w:val="21"/>
              </w:rPr>
              <w:t>40</w:t>
            </w:r>
          </w:p>
        </w:tc>
        <w:tc>
          <w:tcPr>
            <w:tcW w:w="1522" w:type="pct"/>
            <w:vAlign w:val="center"/>
          </w:tcPr>
          <w:p>
            <w:pPr>
              <w:spacing w:line="276" w:lineRule="auto"/>
              <w:rPr>
                <w:szCs w:val="21"/>
              </w:rPr>
            </w:pPr>
            <w:r>
              <w:rPr>
                <w:rFonts w:hint="eastAsia"/>
                <w:szCs w:val="21"/>
              </w:rPr>
              <w:t>——</w:t>
            </w:r>
          </w:p>
        </w:tc>
        <w:tc>
          <w:tcPr>
            <w:tcW w:w="761" w:type="pct"/>
            <w:vAlign w:val="center"/>
          </w:tcPr>
          <w:p>
            <w:pPr>
              <w:spacing w:line="276" w:lineRule="auto"/>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3" w:type="pct"/>
            <w:vMerge w:val="restart"/>
            <w:vAlign w:val="center"/>
          </w:tcPr>
          <w:p>
            <w:pPr>
              <w:spacing w:line="276" w:lineRule="auto"/>
              <w:rPr>
                <w:szCs w:val="21"/>
              </w:rPr>
            </w:pPr>
            <w:r>
              <w:rPr>
                <w:rFonts w:hint="eastAsia" w:cs="微软雅黑"/>
                <w:kern w:val="0"/>
                <w:szCs w:val="21"/>
              </w:rPr>
              <w:t>较潮湿地区</w:t>
            </w:r>
          </w:p>
        </w:tc>
        <w:tc>
          <w:tcPr>
            <w:tcW w:w="1413" w:type="pct"/>
            <w:vAlign w:val="center"/>
          </w:tcPr>
          <w:p>
            <w:pPr>
              <w:spacing w:line="276" w:lineRule="auto"/>
              <w:rPr>
                <w:szCs w:val="21"/>
              </w:rPr>
            </w:pPr>
            <w:r>
              <w:rPr>
                <w:szCs w:val="21"/>
              </w:rPr>
              <w:t>≤DN50</w:t>
            </w:r>
          </w:p>
        </w:tc>
        <w:tc>
          <w:tcPr>
            <w:tcW w:w="761" w:type="pct"/>
            <w:vAlign w:val="center"/>
          </w:tcPr>
          <w:p>
            <w:pPr>
              <w:spacing w:line="276" w:lineRule="auto"/>
              <w:rPr>
                <w:szCs w:val="21"/>
              </w:rPr>
            </w:pPr>
            <w:r>
              <w:rPr>
                <w:szCs w:val="21"/>
              </w:rPr>
              <w:t>40</w:t>
            </w:r>
          </w:p>
        </w:tc>
        <w:tc>
          <w:tcPr>
            <w:tcW w:w="1522" w:type="pct"/>
            <w:vAlign w:val="center"/>
          </w:tcPr>
          <w:p>
            <w:pPr>
              <w:spacing w:line="276" w:lineRule="auto"/>
              <w:rPr>
                <w:szCs w:val="21"/>
              </w:rPr>
            </w:pPr>
            <w:r>
              <w:rPr>
                <w:szCs w:val="21"/>
              </w:rPr>
              <w:t>≤DN 50</w:t>
            </w:r>
          </w:p>
        </w:tc>
        <w:tc>
          <w:tcPr>
            <w:tcW w:w="761" w:type="pct"/>
            <w:vAlign w:val="center"/>
          </w:tcPr>
          <w:p>
            <w:pPr>
              <w:spacing w:line="276" w:lineRule="auto"/>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DN70~DN100</w:t>
            </w:r>
          </w:p>
        </w:tc>
        <w:tc>
          <w:tcPr>
            <w:tcW w:w="761" w:type="pct"/>
            <w:vAlign w:val="center"/>
          </w:tcPr>
          <w:p>
            <w:pPr>
              <w:spacing w:line="276" w:lineRule="auto"/>
              <w:rPr>
                <w:szCs w:val="21"/>
              </w:rPr>
            </w:pPr>
            <w:r>
              <w:rPr>
                <w:szCs w:val="21"/>
              </w:rPr>
              <w:t>45</w:t>
            </w:r>
          </w:p>
        </w:tc>
        <w:tc>
          <w:tcPr>
            <w:tcW w:w="1522" w:type="pct"/>
            <w:vAlign w:val="center"/>
          </w:tcPr>
          <w:p>
            <w:pPr>
              <w:spacing w:line="276" w:lineRule="auto"/>
              <w:rPr>
                <w:szCs w:val="21"/>
              </w:rPr>
            </w:pPr>
            <w:r>
              <w:rPr>
                <w:szCs w:val="21"/>
              </w:rPr>
              <w:t>DN 70~DN125</w:t>
            </w:r>
          </w:p>
        </w:tc>
        <w:tc>
          <w:tcPr>
            <w:tcW w:w="761" w:type="pct"/>
            <w:vAlign w:val="center"/>
          </w:tcPr>
          <w:p>
            <w:pPr>
              <w:spacing w:line="276" w:lineRule="auto"/>
              <w:rPr>
                <w:szCs w:val="21"/>
              </w:rPr>
            </w:pPr>
            <w:r>
              <w:rPr>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125~DN250</w:t>
            </w:r>
          </w:p>
        </w:tc>
        <w:tc>
          <w:tcPr>
            <w:tcW w:w="761" w:type="pct"/>
            <w:vAlign w:val="center"/>
          </w:tcPr>
          <w:p>
            <w:pPr>
              <w:spacing w:line="276" w:lineRule="auto"/>
              <w:rPr>
                <w:szCs w:val="21"/>
              </w:rPr>
            </w:pPr>
            <w:r>
              <w:rPr>
                <w:szCs w:val="21"/>
              </w:rPr>
              <w:t>50</w:t>
            </w:r>
          </w:p>
        </w:tc>
        <w:tc>
          <w:tcPr>
            <w:tcW w:w="1522" w:type="pct"/>
            <w:vAlign w:val="center"/>
          </w:tcPr>
          <w:p>
            <w:pPr>
              <w:spacing w:line="276" w:lineRule="auto"/>
              <w:rPr>
                <w:szCs w:val="21"/>
              </w:rPr>
            </w:pPr>
            <w:r>
              <w:rPr>
                <w:szCs w:val="21"/>
              </w:rPr>
              <w:t>DN 150~DN500</w:t>
            </w:r>
          </w:p>
        </w:tc>
        <w:tc>
          <w:tcPr>
            <w:tcW w:w="761" w:type="pct"/>
            <w:vAlign w:val="center"/>
          </w:tcPr>
          <w:p>
            <w:pPr>
              <w:spacing w:line="276" w:lineRule="auto"/>
              <w:rPr>
                <w:szCs w:val="21"/>
              </w:rPr>
            </w:pPr>
            <w:r>
              <w:rPr>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300~DN2000</w:t>
            </w:r>
          </w:p>
        </w:tc>
        <w:tc>
          <w:tcPr>
            <w:tcW w:w="761" w:type="pct"/>
            <w:vAlign w:val="center"/>
          </w:tcPr>
          <w:p>
            <w:pPr>
              <w:spacing w:line="276" w:lineRule="auto"/>
              <w:rPr>
                <w:szCs w:val="21"/>
              </w:rPr>
            </w:pPr>
            <w:r>
              <w:rPr>
                <w:szCs w:val="21"/>
              </w:rPr>
              <w:t>55</w:t>
            </w:r>
          </w:p>
        </w:tc>
        <w:tc>
          <w:tcPr>
            <w:tcW w:w="1522" w:type="pct"/>
            <w:vAlign w:val="center"/>
          </w:tcPr>
          <w:p>
            <w:pPr>
              <w:spacing w:line="276" w:lineRule="auto"/>
              <w:rPr>
                <w:szCs w:val="21"/>
              </w:rPr>
            </w:pPr>
            <w:r>
              <w:rPr>
                <w:szCs w:val="21"/>
              </w:rPr>
              <w:t>≥DN 600</w:t>
            </w:r>
          </w:p>
        </w:tc>
        <w:tc>
          <w:tcPr>
            <w:tcW w:w="761" w:type="pct"/>
            <w:vAlign w:val="center"/>
          </w:tcPr>
          <w:p>
            <w:pPr>
              <w:spacing w:line="276" w:lineRule="auto"/>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43" w:type="pct"/>
            <w:vMerge w:val="continue"/>
            <w:vAlign w:val="center"/>
          </w:tcPr>
          <w:p>
            <w:pPr>
              <w:spacing w:line="276" w:lineRule="auto"/>
              <w:rPr>
                <w:szCs w:val="21"/>
              </w:rPr>
            </w:pPr>
          </w:p>
        </w:tc>
        <w:tc>
          <w:tcPr>
            <w:tcW w:w="1413" w:type="pct"/>
            <w:vAlign w:val="center"/>
          </w:tcPr>
          <w:p>
            <w:pPr>
              <w:spacing w:line="276" w:lineRule="auto"/>
              <w:rPr>
                <w:szCs w:val="21"/>
              </w:rPr>
            </w:pPr>
            <w:r>
              <w:rPr>
                <w:szCs w:val="21"/>
              </w:rPr>
              <w:t>≥DN 2100</w:t>
            </w:r>
          </w:p>
        </w:tc>
        <w:tc>
          <w:tcPr>
            <w:tcW w:w="761" w:type="pct"/>
            <w:vAlign w:val="center"/>
          </w:tcPr>
          <w:p>
            <w:pPr>
              <w:spacing w:line="276" w:lineRule="auto"/>
              <w:rPr>
                <w:szCs w:val="21"/>
              </w:rPr>
            </w:pPr>
            <w:r>
              <w:rPr>
                <w:szCs w:val="21"/>
              </w:rPr>
              <w:t>60</w:t>
            </w:r>
          </w:p>
        </w:tc>
        <w:tc>
          <w:tcPr>
            <w:tcW w:w="1522" w:type="pct"/>
            <w:vAlign w:val="center"/>
          </w:tcPr>
          <w:p>
            <w:pPr>
              <w:spacing w:line="276" w:lineRule="auto"/>
              <w:rPr>
                <w:szCs w:val="21"/>
              </w:rPr>
            </w:pPr>
            <w:r>
              <w:rPr>
                <w:rFonts w:hint="eastAsia"/>
                <w:szCs w:val="21"/>
              </w:rPr>
              <w:t>——</w:t>
            </w:r>
          </w:p>
        </w:tc>
        <w:tc>
          <w:tcPr>
            <w:tcW w:w="761" w:type="pct"/>
            <w:vAlign w:val="center"/>
          </w:tcPr>
          <w:p>
            <w:pPr>
              <w:spacing w:line="276" w:lineRule="auto"/>
              <w:rPr>
                <w:szCs w:val="21"/>
              </w:rPr>
            </w:pPr>
            <w:r>
              <w:rPr>
                <w:rFonts w:hint="eastAsia"/>
                <w:szCs w:val="21"/>
              </w:rPr>
              <w:t>——</w:t>
            </w:r>
          </w:p>
        </w:tc>
      </w:tr>
    </w:tbl>
    <w:p>
      <w:pPr>
        <w:autoSpaceDE w:val="0"/>
        <w:autoSpaceDN w:val="0"/>
        <w:adjustRightInd w:val="0"/>
        <w:jc w:val="left"/>
        <w:rPr>
          <w:rFonts w:ascii="宋体" w:cs="宋体"/>
          <w:kern w:val="0"/>
          <w:sz w:val="24"/>
        </w:rPr>
      </w:pPr>
    </w:p>
    <w:p>
      <w:pPr>
        <w:autoSpaceDE w:val="0"/>
        <w:autoSpaceDN w:val="0"/>
        <w:adjustRightInd w:val="0"/>
        <w:spacing w:line="276" w:lineRule="auto"/>
        <w:jc w:val="left"/>
        <w:rPr>
          <w:rFonts w:cs="微软雅黑"/>
          <w:kern w:val="0"/>
          <w:sz w:val="24"/>
        </w:rPr>
      </w:pPr>
      <w:r>
        <w:rPr>
          <w:b/>
          <w:bCs/>
          <w:sz w:val="24"/>
        </w:rPr>
        <w:t>C.0.</w:t>
      </w:r>
      <w:r>
        <w:rPr>
          <w:rFonts w:hint="eastAsia"/>
          <w:b/>
          <w:bCs/>
          <w:sz w:val="24"/>
        </w:rPr>
        <w:t xml:space="preserve">3 </w:t>
      </w:r>
      <w:r>
        <w:rPr>
          <w:rFonts w:hint="eastAsia"/>
          <w:bCs/>
          <w:sz w:val="24"/>
        </w:rPr>
        <w:t>室内</w:t>
      </w:r>
      <w:r>
        <w:rPr>
          <w:rFonts w:hint="eastAsia"/>
          <w:kern w:val="0"/>
          <w:sz w:val="24"/>
        </w:rPr>
        <w:t>生活热水</w:t>
      </w:r>
      <w:r>
        <w:rPr>
          <w:kern w:val="0"/>
          <w:sz w:val="24"/>
        </w:rPr>
        <w:t>管</w:t>
      </w:r>
      <w:r>
        <w:rPr>
          <w:rFonts w:hint="eastAsia"/>
          <w:kern w:val="0"/>
          <w:sz w:val="24"/>
        </w:rPr>
        <w:t>经济绝热厚度</w:t>
      </w:r>
      <w:r>
        <w:rPr>
          <w:kern w:val="0"/>
          <w:sz w:val="24"/>
        </w:rPr>
        <w:t>可</w:t>
      </w:r>
      <w:r>
        <w:rPr>
          <w:rFonts w:hint="eastAsia"/>
          <w:kern w:val="0"/>
          <w:sz w:val="24"/>
        </w:rPr>
        <w:t>按</w:t>
      </w:r>
      <w:r>
        <w:rPr>
          <w:kern w:val="0"/>
          <w:sz w:val="24"/>
        </w:rPr>
        <w:t>表</w:t>
      </w:r>
      <w:bookmarkStart w:id="136" w:name="OLE_LINK71"/>
      <w:bookmarkStart w:id="137" w:name="OLE_LINK70"/>
      <w:bookmarkStart w:id="138" w:name="OLE_LINK69"/>
      <w:r>
        <w:rPr>
          <w:kern w:val="0"/>
          <w:sz w:val="24"/>
        </w:rPr>
        <w:t>C.0.</w:t>
      </w:r>
      <w:r>
        <w:rPr>
          <w:rFonts w:hint="eastAsia"/>
          <w:kern w:val="0"/>
          <w:sz w:val="24"/>
        </w:rPr>
        <w:t>3-1</w:t>
      </w:r>
      <w:bookmarkEnd w:id="136"/>
      <w:bookmarkEnd w:id="137"/>
      <w:bookmarkEnd w:id="138"/>
      <w:r>
        <w:rPr>
          <w:rFonts w:hint="eastAsia"/>
          <w:kern w:val="0"/>
          <w:sz w:val="24"/>
        </w:rPr>
        <w:t>、表</w:t>
      </w:r>
      <w:r>
        <w:rPr>
          <w:kern w:val="0"/>
          <w:sz w:val="24"/>
        </w:rPr>
        <w:t>C.0.</w:t>
      </w:r>
      <w:r>
        <w:rPr>
          <w:rFonts w:hint="eastAsia"/>
          <w:kern w:val="0"/>
          <w:sz w:val="24"/>
        </w:rPr>
        <w:t>3-2</w:t>
      </w:r>
      <w:r>
        <w:rPr>
          <w:kern w:val="0"/>
          <w:sz w:val="24"/>
        </w:rPr>
        <w:t>选用</w:t>
      </w:r>
      <w:r>
        <w:rPr>
          <w:rFonts w:hint="eastAsia"/>
          <w:kern w:val="0"/>
          <w:sz w:val="24"/>
        </w:rPr>
        <w:t>。</w:t>
      </w:r>
    </w:p>
    <w:p>
      <w:pPr>
        <w:spacing w:line="276" w:lineRule="auto"/>
        <w:jc w:val="center"/>
        <w:rPr>
          <w:rFonts w:cs="微软雅黑"/>
          <w:kern w:val="0"/>
          <w:sz w:val="24"/>
        </w:rPr>
      </w:pPr>
      <w:r>
        <w:rPr>
          <w:rFonts w:hint="eastAsia"/>
          <w:kern w:val="0"/>
          <w:sz w:val="24"/>
        </w:rPr>
        <w:t>表</w:t>
      </w:r>
      <w:r>
        <w:rPr>
          <w:kern w:val="0"/>
          <w:sz w:val="24"/>
        </w:rPr>
        <w:t>C.0.</w:t>
      </w:r>
      <w:r>
        <w:rPr>
          <w:rFonts w:hint="eastAsia"/>
          <w:kern w:val="0"/>
          <w:sz w:val="24"/>
        </w:rPr>
        <w:t>3-1  室内</w:t>
      </w:r>
      <w:r>
        <w:rPr>
          <w:rFonts w:hint="eastAsia"/>
          <w:sz w:val="24"/>
        </w:rPr>
        <w:t>生活热水管道经济绝热厚度（使用期105天）</w:t>
      </w:r>
    </w:p>
    <w:tbl>
      <w:tblPr>
        <w:tblStyle w:val="3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4"/>
        <w:gridCol w:w="2131"/>
        <w:gridCol w:w="1042"/>
        <w:gridCol w:w="2045"/>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exact"/>
          <w:jc w:val="center"/>
        </w:trPr>
        <w:tc>
          <w:tcPr>
            <w:tcW w:w="2484" w:type="dxa"/>
            <w:vMerge w:val="restart"/>
            <w:vAlign w:val="center"/>
          </w:tcPr>
          <w:p>
            <w:pPr>
              <w:spacing w:line="276" w:lineRule="auto"/>
              <w:rPr>
                <w:szCs w:val="21"/>
              </w:rPr>
            </w:pPr>
            <w:r>
              <w:rPr>
                <w:szCs w:val="21"/>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58290" cy="537845"/>
                      <wp:effectExtent l="0" t="0" r="22860" b="33655"/>
                      <wp:wrapNone/>
                      <wp:docPr id="16" name="组合 1"/>
                      <wp:cNvGraphicFramePr/>
                      <a:graphic xmlns:a="http://schemas.openxmlformats.org/drawingml/2006/main">
                        <a:graphicData uri="http://schemas.microsoft.com/office/word/2010/wordprocessingGroup">
                          <wpg:wgp>
                            <wpg:cNvGrpSpPr/>
                            <wpg:grpSpPr>
                              <a:xfrm>
                                <a:off x="0" y="0"/>
                                <a:ext cx="1558290" cy="537845"/>
                                <a:chOff x="1917" y="13296"/>
                                <a:chExt cx="2454" cy="847"/>
                              </a:xfrm>
                            </wpg:grpSpPr>
                            <wps:wsp>
                              <wps:cNvPr id="17" name="__TH_L14"/>
                              <wps:cNvCnPr/>
                              <wps:spPr bwMode="auto">
                                <a:xfrm>
                                  <a:off x="1917" y="13296"/>
                                  <a:ext cx="2454" cy="847"/>
                                </a:xfrm>
                                <a:prstGeom prst="line">
                                  <a:avLst/>
                                </a:prstGeom>
                                <a:noFill/>
                                <a:ln w="6350">
                                  <a:solidFill>
                                    <a:srgbClr val="000000"/>
                                  </a:solidFill>
                                  <a:round/>
                                </a:ln>
                              </wps:spPr>
                              <wps:bodyPr/>
                            </wps:wsp>
                            <wps:wsp>
                              <wps:cNvPr id="18" name="__TH_B1115"/>
                              <wps:cNvSpPr txBox="1">
                                <a:spLocks noChangeArrowheads="1"/>
                              </wps:cNvSpPr>
                              <wps:spPr bwMode="auto">
                                <a:xfrm>
                                  <a:off x="2995" y="13325"/>
                                  <a:ext cx="253" cy="263"/>
                                </a:xfrm>
                                <a:prstGeom prst="rect">
                                  <a:avLst/>
                                </a:prstGeom>
                                <a:noFill/>
                                <a:ln>
                                  <a:noFill/>
                                </a:ln>
                              </wps:spPr>
                              <wps:txbx>
                                <w:txbxContent>
                                  <w:p>
                                    <w:pPr>
                                      <w:snapToGrid w:val="0"/>
                                    </w:pPr>
                                    <w:r>
                                      <w:rPr>
                                        <w:rFonts w:hint="eastAsia"/>
                                      </w:rPr>
                                      <w:t>绝</w:t>
                                    </w:r>
                                  </w:p>
                                </w:txbxContent>
                              </wps:txbx>
                              <wps:bodyPr rot="0" vert="horz" wrap="square" lIns="0" tIns="0" rIns="0" bIns="0" anchor="t" anchorCtr="0" upright="1">
                                <a:noAutofit/>
                              </wps:bodyPr>
                            </wps:wsp>
                            <wps:wsp>
                              <wps:cNvPr id="19" name="__TH_B1216"/>
                              <wps:cNvSpPr txBox="1">
                                <a:spLocks noChangeArrowheads="1"/>
                              </wps:cNvSpPr>
                              <wps:spPr bwMode="auto">
                                <a:xfrm>
                                  <a:off x="3316" y="13436"/>
                                  <a:ext cx="253" cy="262"/>
                                </a:xfrm>
                                <a:prstGeom prst="rect">
                                  <a:avLst/>
                                </a:prstGeom>
                                <a:noFill/>
                                <a:ln>
                                  <a:noFill/>
                                </a:ln>
                              </wps:spPr>
                              <wps:txbx>
                                <w:txbxContent>
                                  <w:p>
                                    <w:pPr>
                                      <w:snapToGrid w:val="0"/>
                                    </w:pPr>
                                    <w:r>
                                      <w:rPr>
                                        <w:rFonts w:hint="eastAsia"/>
                                      </w:rPr>
                                      <w:t>热</w:t>
                                    </w:r>
                                  </w:p>
                                </w:txbxContent>
                              </wps:txbx>
                              <wps:bodyPr rot="0" vert="horz" wrap="square" lIns="0" tIns="0" rIns="0" bIns="0" anchor="t" anchorCtr="0" upright="1">
                                <a:noAutofit/>
                              </wps:bodyPr>
                            </wps:wsp>
                            <wps:wsp>
                              <wps:cNvPr id="20" name="__TH_B1317"/>
                              <wps:cNvSpPr txBox="1">
                                <a:spLocks noChangeArrowheads="1"/>
                              </wps:cNvSpPr>
                              <wps:spPr bwMode="auto">
                                <a:xfrm>
                                  <a:off x="3637" y="13547"/>
                                  <a:ext cx="253" cy="262"/>
                                </a:xfrm>
                                <a:prstGeom prst="rect">
                                  <a:avLst/>
                                </a:prstGeom>
                                <a:noFill/>
                                <a:ln>
                                  <a:noFill/>
                                </a:ln>
                              </wps:spPr>
                              <wps:txbx>
                                <w:txbxContent>
                                  <w:p>
                                    <w:pPr>
                                      <w:snapToGrid w:val="0"/>
                                    </w:pPr>
                                    <w:r>
                                      <w:rPr>
                                        <w:rFonts w:hint="eastAsia"/>
                                      </w:rPr>
                                      <w:t>材</w:t>
                                    </w:r>
                                  </w:p>
                                </w:txbxContent>
                              </wps:txbx>
                              <wps:bodyPr rot="0" vert="horz" wrap="square" lIns="0" tIns="0" rIns="0" bIns="0" anchor="t" anchorCtr="0" upright="1">
                                <a:noAutofit/>
                              </wps:bodyPr>
                            </wps:wsp>
                            <wps:wsp>
                              <wps:cNvPr id="21" name="__TH_B1418"/>
                              <wps:cNvSpPr txBox="1">
                                <a:spLocks noChangeArrowheads="1"/>
                              </wps:cNvSpPr>
                              <wps:spPr bwMode="auto">
                                <a:xfrm>
                                  <a:off x="3958" y="13658"/>
                                  <a:ext cx="253" cy="262"/>
                                </a:xfrm>
                                <a:prstGeom prst="rect">
                                  <a:avLst/>
                                </a:prstGeom>
                                <a:noFill/>
                                <a:ln>
                                  <a:noFill/>
                                </a:ln>
                              </wps:spPr>
                              <wps:txbx>
                                <w:txbxContent>
                                  <w:p>
                                    <w:pPr>
                                      <w:snapToGrid w:val="0"/>
                                    </w:pPr>
                                    <w:r>
                                      <w:rPr>
                                        <w:rFonts w:hint="eastAsia"/>
                                      </w:rPr>
                                      <w:t>料</w:t>
                                    </w:r>
                                  </w:p>
                                </w:txbxContent>
                              </wps:txbx>
                              <wps:bodyPr rot="0" vert="horz" wrap="square" lIns="0" tIns="0" rIns="0" bIns="0" anchor="t" anchorCtr="0" upright="1">
                                <a:noAutofit/>
                              </wps:bodyPr>
                            </wps:wsp>
                            <wps:wsp>
                              <wps:cNvPr id="22" name="__TH_B2119"/>
                              <wps:cNvSpPr txBox="1">
                                <a:spLocks noChangeArrowheads="1"/>
                              </wps:cNvSpPr>
                              <wps:spPr bwMode="auto">
                                <a:xfrm>
                                  <a:off x="2035" y="13557"/>
                                  <a:ext cx="252" cy="262"/>
                                </a:xfrm>
                                <a:prstGeom prst="rect">
                                  <a:avLst/>
                                </a:prstGeom>
                                <a:noFill/>
                                <a:ln>
                                  <a:noFill/>
                                </a:ln>
                              </wps:spPr>
                              <wps:txbx>
                                <w:txbxContent>
                                  <w:p>
                                    <w:pPr>
                                      <w:snapToGrid w:val="0"/>
                                    </w:pPr>
                                    <w:r>
                                      <w:rPr>
                                        <w:rFonts w:hint="eastAsia"/>
                                      </w:rPr>
                                      <w:t>介</w:t>
                                    </w:r>
                                  </w:p>
                                </w:txbxContent>
                              </wps:txbx>
                              <wps:bodyPr rot="0" vert="horz" wrap="square" lIns="0" tIns="0" rIns="0" bIns="0" anchor="t" anchorCtr="0" upright="1">
                                <a:noAutofit/>
                              </wps:bodyPr>
                            </wps:wsp>
                            <wps:wsp>
                              <wps:cNvPr id="25" name="__TH_B2220"/>
                              <wps:cNvSpPr txBox="1">
                                <a:spLocks noChangeArrowheads="1"/>
                              </wps:cNvSpPr>
                              <wps:spPr bwMode="auto">
                                <a:xfrm>
                                  <a:off x="2260" y="13635"/>
                                  <a:ext cx="253" cy="262"/>
                                </a:xfrm>
                                <a:prstGeom prst="rect">
                                  <a:avLst/>
                                </a:prstGeom>
                                <a:noFill/>
                                <a:ln>
                                  <a:noFill/>
                                </a:ln>
                              </wps:spPr>
                              <wps:txbx>
                                <w:txbxContent>
                                  <w:p>
                                    <w:pPr>
                                      <w:snapToGrid w:val="0"/>
                                    </w:pPr>
                                    <w:r>
                                      <w:rPr>
                                        <w:rFonts w:hint="eastAsia"/>
                                      </w:rPr>
                                      <w:t>质</w:t>
                                    </w:r>
                                  </w:p>
                                </w:txbxContent>
                              </wps:txbx>
                              <wps:bodyPr rot="0" vert="horz" wrap="square" lIns="0" tIns="0" rIns="0" bIns="0" anchor="t" anchorCtr="0" upright="1">
                                <a:noAutofit/>
                              </wps:bodyPr>
                            </wps:wsp>
                            <wps:wsp>
                              <wps:cNvPr id="26" name="__TH_B2321"/>
                              <wps:cNvSpPr txBox="1">
                                <a:spLocks noChangeArrowheads="1"/>
                              </wps:cNvSpPr>
                              <wps:spPr bwMode="auto">
                                <a:xfrm>
                                  <a:off x="2486" y="13712"/>
                                  <a:ext cx="252" cy="263"/>
                                </a:xfrm>
                                <a:prstGeom prst="rect">
                                  <a:avLst/>
                                </a:prstGeom>
                                <a:noFill/>
                                <a:ln>
                                  <a:noFill/>
                                </a:ln>
                              </wps:spPr>
                              <wps:txbx>
                                <w:txbxContent>
                                  <w:p>
                                    <w:pPr>
                                      <w:snapToGrid w:val="0"/>
                                    </w:pPr>
                                    <w:r>
                                      <w:rPr>
                                        <w:rFonts w:hint="eastAsia"/>
                                      </w:rPr>
                                      <w:t>温</w:t>
                                    </w:r>
                                  </w:p>
                                </w:txbxContent>
                              </wps:txbx>
                              <wps:bodyPr rot="0" vert="horz" wrap="square" lIns="0" tIns="0" rIns="0" bIns="0" anchor="t" anchorCtr="0" upright="1">
                                <a:noAutofit/>
                              </wps:bodyPr>
                            </wps:wsp>
                            <wps:wsp>
                              <wps:cNvPr id="27" name="__TH_B2422"/>
                              <wps:cNvSpPr txBox="1">
                                <a:spLocks noChangeArrowheads="1"/>
                              </wps:cNvSpPr>
                              <wps:spPr bwMode="auto">
                                <a:xfrm>
                                  <a:off x="2711" y="13790"/>
                                  <a:ext cx="253" cy="263"/>
                                </a:xfrm>
                                <a:prstGeom prst="rect">
                                  <a:avLst/>
                                </a:prstGeom>
                                <a:noFill/>
                                <a:ln>
                                  <a:noFill/>
                                </a:ln>
                              </wps:spPr>
                              <wps:txbx>
                                <w:txbxContent>
                                  <w:p>
                                    <w:pPr>
                                      <w:snapToGrid w:val="0"/>
                                    </w:pPr>
                                    <w:r>
                                      <w:rPr>
                                        <w:rFonts w:hint="eastAsia"/>
                                      </w:rPr>
                                      <w:t>度</w:t>
                                    </w:r>
                                  </w:p>
                                </w:txbxContent>
                              </wps:txbx>
                              <wps:bodyPr rot="0" vert="horz" wrap="square" lIns="0" tIns="0" rIns="0" bIns="0" anchor="t" anchorCtr="0" upright="1">
                                <a:noAutofit/>
                              </wps:bodyPr>
                            </wps:wsp>
                            <wps:wsp>
                              <wps:cNvPr id="28" name="__TH_B2523"/>
                              <wps:cNvSpPr txBox="1">
                                <a:spLocks noChangeArrowheads="1"/>
                              </wps:cNvSpPr>
                              <wps:spPr bwMode="auto">
                                <a:xfrm>
                                  <a:off x="2936" y="13868"/>
                                  <a:ext cx="253" cy="262"/>
                                </a:xfrm>
                                <a:prstGeom prst="rect">
                                  <a:avLst/>
                                </a:prstGeom>
                                <a:noFill/>
                                <a:ln>
                                  <a:noFill/>
                                </a:ln>
                              </wps:spPr>
                              <wps:txbx>
                                <w:txbxContent>
                                  <w:p>
                                    <w:pPr>
                                      <w:snapToGrid w:val="0"/>
                                    </w:pPr>
                                  </w:p>
                                </w:txbxContent>
                              </wps:txbx>
                              <wps:bodyPr rot="0" vert="horz" wrap="square" lIns="0" tIns="0" rIns="0" bIns="0" anchor="t" anchorCtr="0" upright="1">
                                <a:noAutofit/>
                              </wps:bodyPr>
                            </wps:wsp>
                          </wpg:wgp>
                        </a:graphicData>
                      </a:graphic>
                    </wp:anchor>
                  </w:drawing>
                </mc:Choice>
                <mc:Fallback>
                  <w:pict>
                    <v:group id="组合 1" o:spid="_x0000_s1026" o:spt="203" style="position:absolute;left:0pt;margin-left:0pt;margin-top:0pt;height:42.35pt;width:122.7pt;z-index:251660288;mso-width-relative:page;mso-height-relative:page;" coordorigin="1917,13296" coordsize="2454,847" o:gfxdata="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&#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ACj8TP1gAAAAQBAAAPAAAAAAAAAAEAIAAAACIAAABk&#10;cnMvZG93bnJldi54bWxQSwECFAAUAAAACACHTuJAUHtW7tADAAAGGAAADgAAAAAAAAABACAAAAAl&#10;AQAAZHJzL2Uyb0RvYy54bWxQSwUGAAAAAAYABgBZAQAAZwcAAAAA&#10;">
                      <o:lock v:ext="edit" aspectratio="f"/>
                      <v:line id="__TH_L14" o:spid="_x0000_s1026" o:spt="20" style="position:absolute;left:1917;top:13296;height:847;width:2454;" filled="f" stroked="t" coordsize="21600,21600" o:gfxdata="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y3+e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__TH_B1115" o:spid="_x0000_s1026" o:spt="202" type="#_x0000_t202" style="position:absolute;left:2995;top:13325;height:263;width:253;"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绝</w:t>
                              </w:r>
                            </w:p>
                          </w:txbxContent>
                        </v:textbox>
                      </v:shape>
                      <v:shape id="__TH_B1216" o:spid="_x0000_s1026" o:spt="202" type="#_x0000_t202" style="position:absolute;left:3316;top:13436;height:262;width:253;"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热</w:t>
                              </w:r>
                            </w:p>
                          </w:txbxContent>
                        </v:textbox>
                      </v:shape>
                      <v:shape id="__TH_B1317" o:spid="_x0000_s1026" o:spt="202" type="#_x0000_t202" style="position:absolute;left:3637;top:13547;height:262;width:253;"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材</w:t>
                              </w:r>
                            </w:p>
                          </w:txbxContent>
                        </v:textbox>
                      </v:shape>
                      <v:shape id="__TH_B1418" o:spid="_x0000_s1026" o:spt="202" type="#_x0000_t202" style="position:absolute;left:3958;top:13658;height:262;width:253;"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料</w:t>
                              </w:r>
                            </w:p>
                          </w:txbxContent>
                        </v:textbox>
                      </v:shape>
                      <v:shape id="__TH_B2119" o:spid="_x0000_s1026" o:spt="202" type="#_x0000_t202" style="position:absolute;left:2035;top:13557;height:262;width:252;"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介</w:t>
                              </w:r>
                            </w:p>
                          </w:txbxContent>
                        </v:textbox>
                      </v:shape>
                      <v:shape id="__TH_B2220" o:spid="_x0000_s1026" o:spt="202" type="#_x0000_t202" style="position:absolute;left:2260;top:13635;height:262;width:253;"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质</w:t>
                              </w:r>
                            </w:p>
                          </w:txbxContent>
                        </v:textbox>
                      </v:shape>
                      <v:shape id="__TH_B2321" o:spid="_x0000_s1026" o:spt="202" type="#_x0000_t202" style="position:absolute;left:2486;top:13712;height:263;width:252;"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温</w:t>
                              </w:r>
                            </w:p>
                          </w:txbxContent>
                        </v:textbox>
                      </v:shape>
                      <v:shape id="__TH_B2422" o:spid="_x0000_s1026" o:spt="202" type="#_x0000_t202" style="position:absolute;left:2711;top:13790;height:263;width:253;"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度</w:t>
                              </w:r>
                            </w:p>
                          </w:txbxContent>
                        </v:textbox>
                      </v:shape>
                      <v:shape id="__TH_B2523" o:spid="_x0000_s1026" o:spt="202" type="#_x0000_t202" style="position:absolute;left:2936;top:13868;height:262;width:253;"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p>
                          </w:txbxContent>
                        </v:textbox>
                      </v:shape>
                    </v:group>
                  </w:pict>
                </mc:Fallback>
              </mc:AlternateContent>
            </w:r>
          </w:p>
        </w:tc>
        <w:tc>
          <w:tcPr>
            <w:tcW w:w="3173" w:type="dxa"/>
            <w:gridSpan w:val="2"/>
            <w:vAlign w:val="center"/>
          </w:tcPr>
          <w:p>
            <w:pPr>
              <w:spacing w:line="276" w:lineRule="auto"/>
              <w:ind w:left="1141"/>
              <w:rPr>
                <w:szCs w:val="21"/>
              </w:rPr>
            </w:pPr>
            <w:r>
              <w:rPr>
                <w:rFonts w:hint="eastAsia"/>
                <w:szCs w:val="21"/>
              </w:rPr>
              <w:t>离心玻璃棉</w:t>
            </w:r>
          </w:p>
        </w:tc>
        <w:tc>
          <w:tcPr>
            <w:tcW w:w="3199" w:type="dxa"/>
            <w:gridSpan w:val="2"/>
            <w:vAlign w:val="center"/>
          </w:tcPr>
          <w:p>
            <w:pPr>
              <w:spacing w:line="276" w:lineRule="auto"/>
              <w:ind w:left="1050"/>
              <w:rPr>
                <w:szCs w:val="21"/>
              </w:rPr>
            </w:pPr>
            <w:r>
              <w:rPr>
                <w:rFonts w:hint="eastAsia"/>
                <w:szCs w:val="21"/>
              </w:rPr>
              <w:t>柔性泡沫橡塑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exact"/>
          <w:jc w:val="center"/>
        </w:trPr>
        <w:tc>
          <w:tcPr>
            <w:tcW w:w="2484" w:type="dxa"/>
            <w:vMerge w:val="continue"/>
            <w:vAlign w:val="center"/>
          </w:tcPr>
          <w:p>
            <w:pPr>
              <w:spacing w:line="276" w:lineRule="auto"/>
              <w:rPr>
                <w:szCs w:val="21"/>
              </w:rPr>
            </w:pPr>
          </w:p>
        </w:tc>
        <w:tc>
          <w:tcPr>
            <w:tcW w:w="2131" w:type="dxa"/>
            <w:vAlign w:val="center"/>
          </w:tcPr>
          <w:p>
            <w:pPr>
              <w:spacing w:line="276" w:lineRule="auto"/>
              <w:rPr>
                <w:szCs w:val="21"/>
              </w:rPr>
            </w:pPr>
            <w:r>
              <w:rPr>
                <w:rFonts w:hint="eastAsia"/>
                <w:szCs w:val="21"/>
              </w:rPr>
              <w:t>公称管径(</w:t>
            </w:r>
            <w:r>
              <w:rPr>
                <w:szCs w:val="21"/>
              </w:rPr>
              <w:t>mm</w:t>
            </w:r>
            <w:r>
              <w:rPr>
                <w:rFonts w:hint="eastAsia"/>
                <w:szCs w:val="21"/>
              </w:rPr>
              <w:t>)</w:t>
            </w:r>
          </w:p>
        </w:tc>
        <w:tc>
          <w:tcPr>
            <w:tcW w:w="1042" w:type="dxa"/>
            <w:vAlign w:val="center"/>
          </w:tcPr>
          <w:p>
            <w:pPr>
              <w:spacing w:line="276" w:lineRule="auto"/>
              <w:rPr>
                <w:szCs w:val="21"/>
              </w:rPr>
            </w:pPr>
            <w:r>
              <w:rPr>
                <w:rFonts w:hint="eastAsia"/>
                <w:szCs w:val="21"/>
              </w:rPr>
              <w:t>厚度(</w:t>
            </w:r>
            <w:r>
              <w:rPr>
                <w:szCs w:val="21"/>
              </w:rPr>
              <w:t>mm</w:t>
            </w:r>
            <w:r>
              <w:rPr>
                <w:rFonts w:hint="eastAsia"/>
                <w:szCs w:val="21"/>
              </w:rPr>
              <w:t>)</w:t>
            </w:r>
          </w:p>
        </w:tc>
        <w:tc>
          <w:tcPr>
            <w:tcW w:w="2045" w:type="dxa"/>
            <w:vAlign w:val="center"/>
          </w:tcPr>
          <w:p>
            <w:pPr>
              <w:spacing w:line="276" w:lineRule="auto"/>
              <w:rPr>
                <w:szCs w:val="21"/>
              </w:rPr>
            </w:pPr>
            <w:r>
              <w:rPr>
                <w:rFonts w:hint="eastAsia"/>
                <w:szCs w:val="21"/>
              </w:rPr>
              <w:t>公称管径(</w:t>
            </w:r>
            <w:r>
              <w:rPr>
                <w:szCs w:val="21"/>
              </w:rPr>
              <w:t>mm</w:t>
            </w:r>
            <w:r>
              <w:rPr>
                <w:rFonts w:hint="eastAsia"/>
                <w:szCs w:val="21"/>
              </w:rPr>
              <w:t>)</w:t>
            </w:r>
          </w:p>
        </w:tc>
        <w:tc>
          <w:tcPr>
            <w:tcW w:w="1154" w:type="dxa"/>
            <w:vAlign w:val="center"/>
          </w:tcPr>
          <w:p>
            <w:pPr>
              <w:spacing w:line="276" w:lineRule="auto"/>
              <w:rPr>
                <w:szCs w:val="21"/>
              </w:rPr>
            </w:pPr>
            <w:r>
              <w:rPr>
                <w:rFonts w:hint="eastAsia"/>
                <w:szCs w:val="21"/>
              </w:rPr>
              <w:t>厚度(</w:t>
            </w:r>
            <w:r>
              <w:rPr>
                <w:szCs w:val="21"/>
              </w:rPr>
              <w:t>mm</w:t>
            </w: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484" w:type="dxa"/>
            <w:vMerge w:val="restart"/>
            <w:vAlign w:val="center"/>
          </w:tcPr>
          <w:p>
            <w:pPr>
              <w:spacing w:line="276" w:lineRule="auto"/>
              <w:ind w:right="82"/>
              <w:rPr>
                <w:szCs w:val="21"/>
              </w:rPr>
            </w:pPr>
            <w:r>
              <w:rPr>
                <w:rFonts w:hint="eastAsia"/>
                <w:szCs w:val="21"/>
              </w:rPr>
              <w:t>≤</w:t>
            </w:r>
            <w:r>
              <w:rPr>
                <w:szCs w:val="21"/>
              </w:rPr>
              <w:t>70</w:t>
            </w:r>
            <w:r>
              <w:rPr>
                <w:rFonts w:hint="eastAsia"/>
                <w:szCs w:val="21"/>
              </w:rPr>
              <w:t>℃</w:t>
            </w:r>
          </w:p>
        </w:tc>
        <w:tc>
          <w:tcPr>
            <w:tcW w:w="2131" w:type="dxa"/>
            <w:vAlign w:val="center"/>
          </w:tcPr>
          <w:p>
            <w:pPr>
              <w:spacing w:line="276" w:lineRule="auto"/>
              <w:ind w:left="832"/>
              <w:rPr>
                <w:szCs w:val="21"/>
              </w:rPr>
            </w:pPr>
            <w:r>
              <w:rPr>
                <w:szCs w:val="21"/>
              </w:rPr>
              <w:t>≤DN25</w:t>
            </w:r>
          </w:p>
        </w:tc>
        <w:tc>
          <w:tcPr>
            <w:tcW w:w="1042" w:type="dxa"/>
            <w:vAlign w:val="center"/>
          </w:tcPr>
          <w:p>
            <w:pPr>
              <w:spacing w:line="276" w:lineRule="auto"/>
              <w:ind w:firstLine="420" w:firstLineChars="200"/>
              <w:rPr>
                <w:szCs w:val="21"/>
              </w:rPr>
            </w:pPr>
            <w:r>
              <w:rPr>
                <w:szCs w:val="21"/>
              </w:rPr>
              <w:t>40</w:t>
            </w:r>
          </w:p>
        </w:tc>
        <w:tc>
          <w:tcPr>
            <w:tcW w:w="2045" w:type="dxa"/>
            <w:vAlign w:val="center"/>
          </w:tcPr>
          <w:p>
            <w:pPr>
              <w:spacing w:line="276" w:lineRule="auto"/>
              <w:ind w:left="789"/>
              <w:rPr>
                <w:szCs w:val="21"/>
              </w:rPr>
            </w:pPr>
            <w:r>
              <w:rPr>
                <w:rFonts w:hint="eastAsia"/>
                <w:szCs w:val="21"/>
              </w:rPr>
              <w:t>≤</w:t>
            </w:r>
            <w:r>
              <w:rPr>
                <w:szCs w:val="21"/>
              </w:rPr>
              <w:t>DN40</w:t>
            </w:r>
          </w:p>
        </w:tc>
        <w:tc>
          <w:tcPr>
            <w:tcW w:w="1154" w:type="dxa"/>
            <w:vAlign w:val="center"/>
          </w:tcPr>
          <w:p>
            <w:pPr>
              <w:spacing w:line="276" w:lineRule="auto"/>
              <w:ind w:firstLine="420" w:firstLineChars="200"/>
              <w:rPr>
                <w:szCs w:val="21"/>
              </w:rPr>
            </w:pPr>
            <w:r>
              <w:rPr>
                <w:szCs w:val="21"/>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484" w:type="dxa"/>
            <w:vMerge w:val="continue"/>
            <w:vAlign w:val="center"/>
          </w:tcPr>
          <w:p>
            <w:pPr>
              <w:spacing w:line="276" w:lineRule="auto"/>
              <w:rPr>
                <w:szCs w:val="21"/>
              </w:rPr>
            </w:pPr>
          </w:p>
        </w:tc>
        <w:tc>
          <w:tcPr>
            <w:tcW w:w="2131" w:type="dxa"/>
            <w:vAlign w:val="center"/>
          </w:tcPr>
          <w:p>
            <w:pPr>
              <w:spacing w:line="276" w:lineRule="auto"/>
              <w:rPr>
                <w:szCs w:val="21"/>
              </w:rPr>
            </w:pPr>
            <w:r>
              <w:rPr>
                <w:szCs w:val="21"/>
              </w:rPr>
              <w:t>DN32</w:t>
            </w:r>
            <w:r>
              <w:rPr>
                <w:rFonts w:hint="eastAsia"/>
                <w:szCs w:val="21"/>
              </w:rPr>
              <w:t>～</w:t>
            </w:r>
            <w:r>
              <w:rPr>
                <w:szCs w:val="21"/>
              </w:rPr>
              <w:t>80</w:t>
            </w:r>
          </w:p>
        </w:tc>
        <w:tc>
          <w:tcPr>
            <w:tcW w:w="1042" w:type="dxa"/>
            <w:vAlign w:val="center"/>
          </w:tcPr>
          <w:p>
            <w:pPr>
              <w:spacing w:line="276" w:lineRule="auto"/>
              <w:rPr>
                <w:szCs w:val="21"/>
              </w:rPr>
            </w:pPr>
            <w:r>
              <w:rPr>
                <w:szCs w:val="21"/>
              </w:rPr>
              <w:t>50</w:t>
            </w:r>
          </w:p>
        </w:tc>
        <w:tc>
          <w:tcPr>
            <w:tcW w:w="2045" w:type="dxa"/>
            <w:vAlign w:val="center"/>
          </w:tcPr>
          <w:p>
            <w:pPr>
              <w:spacing w:line="276" w:lineRule="auto"/>
              <w:rPr>
                <w:szCs w:val="21"/>
              </w:rPr>
            </w:pPr>
            <w:r>
              <w:rPr>
                <w:szCs w:val="21"/>
              </w:rPr>
              <w:t>DN70</w:t>
            </w:r>
            <w:r>
              <w:rPr>
                <w:rFonts w:hint="eastAsia"/>
                <w:szCs w:val="21"/>
              </w:rPr>
              <w:t>～</w:t>
            </w:r>
            <w:r>
              <w:rPr>
                <w:szCs w:val="21"/>
              </w:rPr>
              <w:t>DN80</w:t>
            </w:r>
          </w:p>
        </w:tc>
        <w:tc>
          <w:tcPr>
            <w:tcW w:w="1154" w:type="dxa"/>
            <w:vAlign w:val="center"/>
          </w:tcPr>
          <w:p>
            <w:pPr>
              <w:spacing w:line="276" w:lineRule="auto"/>
              <w:rPr>
                <w:szCs w:val="21"/>
              </w:rPr>
            </w:pPr>
            <w:r>
              <w:rPr>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484" w:type="dxa"/>
            <w:vMerge w:val="continue"/>
            <w:vAlign w:val="center"/>
          </w:tcPr>
          <w:p>
            <w:pPr>
              <w:spacing w:line="276" w:lineRule="auto"/>
              <w:rPr>
                <w:szCs w:val="21"/>
              </w:rPr>
            </w:pPr>
          </w:p>
        </w:tc>
        <w:tc>
          <w:tcPr>
            <w:tcW w:w="2131" w:type="dxa"/>
            <w:vAlign w:val="center"/>
          </w:tcPr>
          <w:p>
            <w:pPr>
              <w:spacing w:line="276" w:lineRule="auto"/>
              <w:rPr>
                <w:szCs w:val="21"/>
              </w:rPr>
            </w:pPr>
            <w:r>
              <w:rPr>
                <w:szCs w:val="21"/>
              </w:rPr>
              <w:t>DN100</w:t>
            </w:r>
            <w:r>
              <w:rPr>
                <w:rFonts w:hint="eastAsia"/>
                <w:szCs w:val="21"/>
              </w:rPr>
              <w:t>～</w:t>
            </w:r>
            <w:r>
              <w:rPr>
                <w:szCs w:val="21"/>
              </w:rPr>
              <w:t>350</w:t>
            </w:r>
          </w:p>
        </w:tc>
        <w:tc>
          <w:tcPr>
            <w:tcW w:w="1042" w:type="dxa"/>
            <w:vAlign w:val="center"/>
          </w:tcPr>
          <w:p>
            <w:pPr>
              <w:spacing w:line="276" w:lineRule="auto"/>
              <w:rPr>
                <w:szCs w:val="21"/>
              </w:rPr>
            </w:pPr>
            <w:r>
              <w:rPr>
                <w:szCs w:val="21"/>
              </w:rPr>
              <w:t>60</w:t>
            </w:r>
          </w:p>
        </w:tc>
        <w:tc>
          <w:tcPr>
            <w:tcW w:w="2045" w:type="dxa"/>
            <w:vAlign w:val="center"/>
          </w:tcPr>
          <w:p>
            <w:pPr>
              <w:spacing w:line="276" w:lineRule="auto"/>
              <w:rPr>
                <w:szCs w:val="21"/>
              </w:rPr>
            </w:pPr>
            <w:r>
              <w:rPr>
                <w:szCs w:val="21"/>
              </w:rPr>
              <w:t>DN100</w:t>
            </w:r>
            <w:r>
              <w:rPr>
                <w:rFonts w:hint="eastAsia"/>
                <w:szCs w:val="21"/>
              </w:rPr>
              <w:t>～</w:t>
            </w:r>
            <w:r>
              <w:rPr>
                <w:szCs w:val="21"/>
              </w:rPr>
              <w:t>DN150</w:t>
            </w:r>
          </w:p>
        </w:tc>
        <w:tc>
          <w:tcPr>
            <w:tcW w:w="1154" w:type="dxa"/>
            <w:vAlign w:val="center"/>
          </w:tcPr>
          <w:p>
            <w:pPr>
              <w:spacing w:line="276" w:lineRule="auto"/>
              <w:rPr>
                <w:szCs w:val="21"/>
              </w:rPr>
            </w:pPr>
            <w:r>
              <w:rPr>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484" w:type="dxa"/>
            <w:vMerge w:val="continue"/>
            <w:vAlign w:val="center"/>
          </w:tcPr>
          <w:p>
            <w:pPr>
              <w:spacing w:line="276" w:lineRule="auto"/>
              <w:rPr>
                <w:szCs w:val="21"/>
              </w:rPr>
            </w:pPr>
          </w:p>
        </w:tc>
        <w:tc>
          <w:tcPr>
            <w:tcW w:w="2131" w:type="dxa"/>
            <w:vAlign w:val="center"/>
          </w:tcPr>
          <w:p>
            <w:pPr>
              <w:spacing w:line="276" w:lineRule="auto"/>
              <w:rPr>
                <w:szCs w:val="21"/>
              </w:rPr>
            </w:pPr>
            <w:r>
              <w:rPr>
                <w:szCs w:val="21"/>
              </w:rPr>
              <w:t>≥DN400</w:t>
            </w:r>
          </w:p>
        </w:tc>
        <w:tc>
          <w:tcPr>
            <w:tcW w:w="1042" w:type="dxa"/>
            <w:vAlign w:val="center"/>
          </w:tcPr>
          <w:p>
            <w:pPr>
              <w:spacing w:line="276" w:lineRule="auto"/>
              <w:rPr>
                <w:szCs w:val="21"/>
              </w:rPr>
            </w:pPr>
            <w:r>
              <w:rPr>
                <w:szCs w:val="21"/>
              </w:rPr>
              <w:t>70</w:t>
            </w:r>
          </w:p>
        </w:tc>
        <w:tc>
          <w:tcPr>
            <w:tcW w:w="2045" w:type="dxa"/>
            <w:vAlign w:val="center"/>
          </w:tcPr>
          <w:p>
            <w:pPr>
              <w:spacing w:line="276" w:lineRule="auto"/>
              <w:rPr>
                <w:szCs w:val="21"/>
              </w:rPr>
            </w:pPr>
            <w:r>
              <w:rPr>
                <w:szCs w:val="21"/>
              </w:rPr>
              <w:t>≥DN200</w:t>
            </w:r>
          </w:p>
        </w:tc>
        <w:tc>
          <w:tcPr>
            <w:tcW w:w="1154" w:type="dxa"/>
            <w:vAlign w:val="center"/>
          </w:tcPr>
          <w:p>
            <w:pPr>
              <w:spacing w:line="276" w:lineRule="auto"/>
              <w:rPr>
                <w:szCs w:val="21"/>
              </w:rPr>
            </w:pPr>
            <w:r>
              <w:rPr>
                <w:szCs w:val="21"/>
              </w:rPr>
              <w:t>45</w:t>
            </w:r>
          </w:p>
        </w:tc>
      </w:tr>
    </w:tbl>
    <w:p>
      <w:pPr>
        <w:autoSpaceDE w:val="0"/>
        <w:autoSpaceDN w:val="0"/>
        <w:adjustRightInd w:val="0"/>
        <w:spacing w:line="276" w:lineRule="auto"/>
        <w:rPr>
          <w:kern w:val="0"/>
          <w:sz w:val="24"/>
        </w:rPr>
      </w:pPr>
    </w:p>
    <w:p>
      <w:pPr>
        <w:spacing w:line="276" w:lineRule="auto"/>
        <w:jc w:val="center"/>
        <w:rPr>
          <w:sz w:val="24"/>
        </w:rPr>
      </w:pPr>
      <w:r>
        <w:rPr>
          <w:rFonts w:hint="eastAsia"/>
          <w:sz w:val="24"/>
        </w:rPr>
        <w:t>表</w:t>
      </w:r>
      <w:r>
        <w:rPr>
          <w:sz w:val="24"/>
        </w:rPr>
        <w:t>D.0.</w:t>
      </w:r>
      <w:r>
        <w:rPr>
          <w:rFonts w:hint="eastAsia"/>
          <w:sz w:val="24"/>
        </w:rPr>
        <w:t>3</w:t>
      </w:r>
      <w:r>
        <w:rPr>
          <w:sz w:val="24"/>
        </w:rPr>
        <w:tab/>
      </w:r>
      <w:r>
        <w:rPr>
          <w:rFonts w:hint="eastAsia"/>
          <w:sz w:val="24"/>
        </w:rPr>
        <w:t>-2 室内生活热水管道经济绝热厚度（使用期150天）</w:t>
      </w:r>
    </w:p>
    <w:tbl>
      <w:tblPr>
        <w:tblStyle w:val="30"/>
        <w:tblW w:w="88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4"/>
        <w:gridCol w:w="2131"/>
        <w:gridCol w:w="1042"/>
        <w:gridCol w:w="2045"/>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exact"/>
          <w:jc w:val="center"/>
        </w:trPr>
        <w:tc>
          <w:tcPr>
            <w:tcW w:w="2484" w:type="dxa"/>
            <w:vMerge w:val="restart"/>
            <w:vAlign w:val="center"/>
          </w:tcPr>
          <w:p>
            <w:pPr>
              <w:spacing w:line="276" w:lineRule="auto"/>
              <w:rPr>
                <w:szCs w:val="21"/>
              </w:rPr>
            </w:pPr>
            <w:r>
              <w:rPr>
                <w:szCs w:val="21"/>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58290" cy="537845"/>
                      <wp:effectExtent l="0" t="0" r="22860" b="33655"/>
                      <wp:wrapNone/>
                      <wp:docPr id="5" name="组合 1"/>
                      <wp:cNvGraphicFramePr/>
                      <a:graphic xmlns:a="http://schemas.openxmlformats.org/drawingml/2006/main">
                        <a:graphicData uri="http://schemas.microsoft.com/office/word/2010/wordprocessingGroup">
                          <wpg:wgp>
                            <wpg:cNvGrpSpPr/>
                            <wpg:grpSpPr>
                              <a:xfrm>
                                <a:off x="0" y="0"/>
                                <a:ext cx="1558290" cy="537845"/>
                                <a:chOff x="1917" y="13296"/>
                                <a:chExt cx="2454" cy="847"/>
                              </a:xfrm>
                            </wpg:grpSpPr>
                            <wps:wsp>
                              <wps:cNvPr id="6" name="__TH_L14"/>
                              <wps:cNvCnPr/>
                              <wps:spPr bwMode="auto">
                                <a:xfrm>
                                  <a:off x="1917" y="13296"/>
                                  <a:ext cx="2454" cy="847"/>
                                </a:xfrm>
                                <a:prstGeom prst="line">
                                  <a:avLst/>
                                </a:prstGeom>
                                <a:noFill/>
                                <a:ln w="6350">
                                  <a:solidFill>
                                    <a:srgbClr val="000000"/>
                                  </a:solidFill>
                                  <a:round/>
                                </a:ln>
                              </wps:spPr>
                              <wps:bodyPr/>
                            </wps:wsp>
                            <wps:wsp>
                              <wps:cNvPr id="7" name="__TH_B1115"/>
                              <wps:cNvSpPr txBox="1">
                                <a:spLocks noChangeArrowheads="1"/>
                              </wps:cNvSpPr>
                              <wps:spPr bwMode="auto">
                                <a:xfrm>
                                  <a:off x="2995" y="13325"/>
                                  <a:ext cx="253" cy="263"/>
                                </a:xfrm>
                                <a:prstGeom prst="rect">
                                  <a:avLst/>
                                </a:prstGeom>
                                <a:noFill/>
                                <a:ln>
                                  <a:noFill/>
                                </a:ln>
                              </wps:spPr>
                              <wps:txbx>
                                <w:txbxContent>
                                  <w:p>
                                    <w:pPr>
                                      <w:snapToGrid w:val="0"/>
                                    </w:pPr>
                                    <w:r>
                                      <w:rPr>
                                        <w:rFonts w:hint="eastAsia"/>
                                      </w:rPr>
                                      <w:t>绝</w:t>
                                    </w:r>
                                  </w:p>
                                </w:txbxContent>
                              </wps:txbx>
                              <wps:bodyPr rot="0" vert="horz" wrap="square" lIns="0" tIns="0" rIns="0" bIns="0" anchor="t" anchorCtr="0" upright="1">
                                <a:noAutofit/>
                              </wps:bodyPr>
                            </wps:wsp>
                            <wps:wsp>
                              <wps:cNvPr id="8" name="__TH_B1216"/>
                              <wps:cNvSpPr txBox="1">
                                <a:spLocks noChangeArrowheads="1"/>
                              </wps:cNvSpPr>
                              <wps:spPr bwMode="auto">
                                <a:xfrm>
                                  <a:off x="3316" y="13436"/>
                                  <a:ext cx="253" cy="262"/>
                                </a:xfrm>
                                <a:prstGeom prst="rect">
                                  <a:avLst/>
                                </a:prstGeom>
                                <a:noFill/>
                                <a:ln>
                                  <a:noFill/>
                                </a:ln>
                              </wps:spPr>
                              <wps:txbx>
                                <w:txbxContent>
                                  <w:p>
                                    <w:pPr>
                                      <w:snapToGrid w:val="0"/>
                                    </w:pPr>
                                    <w:r>
                                      <w:rPr>
                                        <w:rFonts w:hint="eastAsia"/>
                                      </w:rPr>
                                      <w:t>热</w:t>
                                    </w:r>
                                  </w:p>
                                </w:txbxContent>
                              </wps:txbx>
                              <wps:bodyPr rot="0" vert="horz" wrap="square" lIns="0" tIns="0" rIns="0" bIns="0" anchor="t" anchorCtr="0" upright="1">
                                <a:noAutofit/>
                              </wps:bodyPr>
                            </wps:wsp>
                            <wps:wsp>
                              <wps:cNvPr id="9" name="__TH_B1317"/>
                              <wps:cNvSpPr txBox="1">
                                <a:spLocks noChangeArrowheads="1"/>
                              </wps:cNvSpPr>
                              <wps:spPr bwMode="auto">
                                <a:xfrm>
                                  <a:off x="3637" y="13547"/>
                                  <a:ext cx="253" cy="262"/>
                                </a:xfrm>
                                <a:prstGeom prst="rect">
                                  <a:avLst/>
                                </a:prstGeom>
                                <a:noFill/>
                                <a:ln>
                                  <a:noFill/>
                                </a:ln>
                              </wps:spPr>
                              <wps:txbx>
                                <w:txbxContent>
                                  <w:p>
                                    <w:pPr>
                                      <w:snapToGrid w:val="0"/>
                                    </w:pPr>
                                    <w:r>
                                      <w:rPr>
                                        <w:rFonts w:hint="eastAsia"/>
                                      </w:rPr>
                                      <w:t>材</w:t>
                                    </w:r>
                                  </w:p>
                                </w:txbxContent>
                              </wps:txbx>
                              <wps:bodyPr rot="0" vert="horz" wrap="square" lIns="0" tIns="0" rIns="0" bIns="0" anchor="t" anchorCtr="0" upright="1">
                                <a:noAutofit/>
                              </wps:bodyPr>
                            </wps:wsp>
                            <wps:wsp>
                              <wps:cNvPr id="10" name="__TH_B1418"/>
                              <wps:cNvSpPr txBox="1">
                                <a:spLocks noChangeArrowheads="1"/>
                              </wps:cNvSpPr>
                              <wps:spPr bwMode="auto">
                                <a:xfrm>
                                  <a:off x="3958" y="13658"/>
                                  <a:ext cx="253" cy="262"/>
                                </a:xfrm>
                                <a:prstGeom prst="rect">
                                  <a:avLst/>
                                </a:prstGeom>
                                <a:noFill/>
                                <a:ln>
                                  <a:noFill/>
                                </a:ln>
                              </wps:spPr>
                              <wps:txbx>
                                <w:txbxContent>
                                  <w:p>
                                    <w:pPr>
                                      <w:snapToGrid w:val="0"/>
                                    </w:pPr>
                                    <w:r>
                                      <w:rPr>
                                        <w:rFonts w:hint="eastAsia"/>
                                      </w:rPr>
                                      <w:t>料</w:t>
                                    </w:r>
                                  </w:p>
                                </w:txbxContent>
                              </wps:txbx>
                              <wps:bodyPr rot="0" vert="horz" wrap="square" lIns="0" tIns="0" rIns="0" bIns="0" anchor="t" anchorCtr="0" upright="1">
                                <a:noAutofit/>
                              </wps:bodyPr>
                            </wps:wsp>
                            <wps:wsp>
                              <wps:cNvPr id="11" name="__TH_B2119"/>
                              <wps:cNvSpPr txBox="1">
                                <a:spLocks noChangeArrowheads="1"/>
                              </wps:cNvSpPr>
                              <wps:spPr bwMode="auto">
                                <a:xfrm>
                                  <a:off x="2035" y="13557"/>
                                  <a:ext cx="252" cy="262"/>
                                </a:xfrm>
                                <a:prstGeom prst="rect">
                                  <a:avLst/>
                                </a:prstGeom>
                                <a:noFill/>
                                <a:ln>
                                  <a:noFill/>
                                </a:ln>
                              </wps:spPr>
                              <wps:txbx>
                                <w:txbxContent>
                                  <w:p>
                                    <w:pPr>
                                      <w:snapToGrid w:val="0"/>
                                    </w:pPr>
                                    <w:r>
                                      <w:rPr>
                                        <w:rFonts w:hint="eastAsia"/>
                                      </w:rPr>
                                      <w:t>介</w:t>
                                    </w:r>
                                  </w:p>
                                </w:txbxContent>
                              </wps:txbx>
                              <wps:bodyPr rot="0" vert="horz" wrap="square" lIns="0" tIns="0" rIns="0" bIns="0" anchor="t" anchorCtr="0" upright="1">
                                <a:noAutofit/>
                              </wps:bodyPr>
                            </wps:wsp>
                            <wps:wsp>
                              <wps:cNvPr id="12" name="__TH_B2220"/>
                              <wps:cNvSpPr txBox="1">
                                <a:spLocks noChangeArrowheads="1"/>
                              </wps:cNvSpPr>
                              <wps:spPr bwMode="auto">
                                <a:xfrm>
                                  <a:off x="2260" y="13635"/>
                                  <a:ext cx="253" cy="262"/>
                                </a:xfrm>
                                <a:prstGeom prst="rect">
                                  <a:avLst/>
                                </a:prstGeom>
                                <a:noFill/>
                                <a:ln>
                                  <a:noFill/>
                                </a:ln>
                              </wps:spPr>
                              <wps:txbx>
                                <w:txbxContent>
                                  <w:p>
                                    <w:pPr>
                                      <w:snapToGrid w:val="0"/>
                                    </w:pPr>
                                    <w:r>
                                      <w:rPr>
                                        <w:rFonts w:hint="eastAsia"/>
                                      </w:rPr>
                                      <w:t>质</w:t>
                                    </w:r>
                                  </w:p>
                                </w:txbxContent>
                              </wps:txbx>
                              <wps:bodyPr rot="0" vert="horz" wrap="square" lIns="0" tIns="0" rIns="0" bIns="0" anchor="t" anchorCtr="0" upright="1">
                                <a:noAutofit/>
                              </wps:bodyPr>
                            </wps:wsp>
                            <wps:wsp>
                              <wps:cNvPr id="13" name="__TH_B2321"/>
                              <wps:cNvSpPr txBox="1">
                                <a:spLocks noChangeArrowheads="1"/>
                              </wps:cNvSpPr>
                              <wps:spPr bwMode="auto">
                                <a:xfrm>
                                  <a:off x="2486" y="13712"/>
                                  <a:ext cx="252" cy="263"/>
                                </a:xfrm>
                                <a:prstGeom prst="rect">
                                  <a:avLst/>
                                </a:prstGeom>
                                <a:noFill/>
                                <a:ln>
                                  <a:noFill/>
                                </a:ln>
                              </wps:spPr>
                              <wps:txbx>
                                <w:txbxContent>
                                  <w:p>
                                    <w:pPr>
                                      <w:snapToGrid w:val="0"/>
                                    </w:pPr>
                                    <w:r>
                                      <w:rPr>
                                        <w:rFonts w:hint="eastAsia"/>
                                      </w:rPr>
                                      <w:t>温</w:t>
                                    </w:r>
                                  </w:p>
                                </w:txbxContent>
                              </wps:txbx>
                              <wps:bodyPr rot="0" vert="horz" wrap="square" lIns="0" tIns="0" rIns="0" bIns="0" anchor="t" anchorCtr="0" upright="1">
                                <a:noAutofit/>
                              </wps:bodyPr>
                            </wps:wsp>
                            <wps:wsp>
                              <wps:cNvPr id="14" name="__TH_B2422"/>
                              <wps:cNvSpPr txBox="1">
                                <a:spLocks noChangeArrowheads="1"/>
                              </wps:cNvSpPr>
                              <wps:spPr bwMode="auto">
                                <a:xfrm>
                                  <a:off x="2711" y="13790"/>
                                  <a:ext cx="253" cy="263"/>
                                </a:xfrm>
                                <a:prstGeom prst="rect">
                                  <a:avLst/>
                                </a:prstGeom>
                                <a:noFill/>
                                <a:ln>
                                  <a:noFill/>
                                </a:ln>
                              </wps:spPr>
                              <wps:txbx>
                                <w:txbxContent>
                                  <w:p>
                                    <w:pPr>
                                      <w:snapToGrid w:val="0"/>
                                    </w:pPr>
                                    <w:r>
                                      <w:rPr>
                                        <w:rFonts w:hint="eastAsia"/>
                                      </w:rPr>
                                      <w:t>度</w:t>
                                    </w:r>
                                  </w:p>
                                </w:txbxContent>
                              </wps:txbx>
                              <wps:bodyPr rot="0" vert="horz" wrap="square" lIns="0" tIns="0" rIns="0" bIns="0" anchor="t" anchorCtr="0" upright="1">
                                <a:noAutofit/>
                              </wps:bodyPr>
                            </wps:wsp>
                            <wps:wsp>
                              <wps:cNvPr id="15" name="__TH_B2523"/>
                              <wps:cNvSpPr txBox="1">
                                <a:spLocks noChangeArrowheads="1"/>
                              </wps:cNvSpPr>
                              <wps:spPr bwMode="auto">
                                <a:xfrm>
                                  <a:off x="2936" y="13868"/>
                                  <a:ext cx="253" cy="262"/>
                                </a:xfrm>
                                <a:prstGeom prst="rect">
                                  <a:avLst/>
                                </a:prstGeom>
                                <a:noFill/>
                                <a:ln>
                                  <a:noFill/>
                                </a:ln>
                              </wps:spPr>
                              <wps:txbx>
                                <w:txbxContent>
                                  <w:p>
                                    <w:pPr>
                                      <w:snapToGrid w:val="0"/>
                                    </w:pPr>
                                  </w:p>
                                </w:txbxContent>
                              </wps:txbx>
                              <wps:bodyPr rot="0" vert="horz" wrap="square" lIns="0" tIns="0" rIns="0" bIns="0" anchor="t" anchorCtr="0" upright="1">
                                <a:noAutofit/>
                              </wps:bodyPr>
                            </wps:wsp>
                          </wpg:wgp>
                        </a:graphicData>
                      </a:graphic>
                    </wp:anchor>
                  </w:drawing>
                </mc:Choice>
                <mc:Fallback>
                  <w:pict>
                    <v:group id="组合 1" o:spid="_x0000_s1026" o:spt="203" style="position:absolute;left:0pt;margin-left:0pt;margin-top:0pt;height:42.35pt;width:122.7pt;z-index:251661312;mso-width-relative:page;mso-height-relative:page;" coordorigin="1917,13296" coordsize="2454,847" o:gfxdata="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">
                      <o:lock v:ext="edit" aspectratio="f"/>
                      <v:line id="__TH_L14" o:spid="_x0000_s1026" o:spt="20" style="position:absolute;left:1917;top:13296;height:847;width:2454;" filled="f" stroked="t" coordsize="21600,21600" o:gfxdata="UEsDBAoAAAAAAIdO4kAAAAAAAAAAAAAAAAAEAAAAZHJzL1BLAwQUAAAACACHTuJAVO6QCboAAADa&#10;AAAADwAAAGRycy9kb3ducmV2LnhtbEWPQUsDMRSE70L/Q3gFbzZZYYusTXsQtvTiwSqeH5vn7uLm&#10;ZUleN9VfbwTB4zAz3zC7w9VPaqGYxsAWqo0BRdwFN3Jv4e21vXsAlQTZ4RSYLHxRgsN+dbPDxoXM&#10;L7ScpVcFwqlBC4PI3GiduoE8pk2YiYv3EaJHKTL22kXMBe4nfW/MV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7pAJ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15" o:spid="_x0000_s1026" o:spt="202" type="#_x0000_t202" style="position:absolute;left:2995;top:13325;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绝</w:t>
                              </w:r>
                            </w:p>
                          </w:txbxContent>
                        </v:textbox>
                      </v:shape>
                      <v:shape id="__TH_B1216" o:spid="_x0000_s1026" o:spt="202" type="#_x0000_t202" style="position:absolute;left:3316;top:13436;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热</w:t>
                              </w:r>
                            </w:p>
                          </w:txbxContent>
                        </v:textbox>
                      </v:shape>
                      <v:shape id="__TH_B1317" o:spid="_x0000_s1026" o:spt="202" type="#_x0000_t202" style="position:absolute;left:3637;top:13547;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材</w:t>
                              </w:r>
                            </w:p>
                          </w:txbxContent>
                        </v:textbox>
                      </v:shape>
                      <v:shape id="__TH_B1418" o:spid="_x0000_s1026" o:spt="202" type="#_x0000_t202" style="position:absolute;left:3958;top:13658;height:262;width:253;"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料</w:t>
                              </w:r>
                            </w:p>
                          </w:txbxContent>
                        </v:textbox>
                      </v:shape>
                      <v:shape id="__TH_B2119" o:spid="_x0000_s1026" o:spt="202" type="#_x0000_t202" style="position:absolute;left:2035;top:13557;height:262;width:252;"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介</w:t>
                              </w:r>
                            </w:p>
                          </w:txbxContent>
                        </v:textbox>
                      </v:shape>
                      <v:shape id="__TH_B2220" o:spid="_x0000_s1026" o:spt="202" type="#_x0000_t202" style="position:absolute;left:2260;top:13635;height:262;width:253;"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质</w:t>
                              </w:r>
                            </w:p>
                          </w:txbxContent>
                        </v:textbox>
                      </v:shape>
                      <v:shape id="__TH_B2321" o:spid="_x0000_s1026" o:spt="202" type="#_x0000_t202" style="position:absolute;left:2486;top:13712;height:263;width:252;"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温</w:t>
                              </w:r>
                            </w:p>
                          </w:txbxContent>
                        </v:textbox>
                      </v:shape>
                      <v:shape id="__TH_B2422" o:spid="_x0000_s1026" o:spt="202" type="#_x0000_t202" style="position:absolute;left:2711;top:13790;height:263;width:25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度</w:t>
                              </w:r>
                            </w:p>
                          </w:txbxContent>
                        </v:textbox>
                      </v:shape>
                      <v:shape id="__TH_B2523" o:spid="_x0000_s1026" o:spt="202" type="#_x0000_t202" style="position:absolute;left:2936;top:13868;height:262;width:253;"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p>
                          </w:txbxContent>
                        </v:textbox>
                      </v:shape>
                    </v:group>
                  </w:pict>
                </mc:Fallback>
              </mc:AlternateContent>
            </w:r>
          </w:p>
        </w:tc>
        <w:tc>
          <w:tcPr>
            <w:tcW w:w="3173" w:type="dxa"/>
            <w:gridSpan w:val="2"/>
            <w:vAlign w:val="center"/>
          </w:tcPr>
          <w:p>
            <w:pPr>
              <w:spacing w:line="276" w:lineRule="auto"/>
              <w:ind w:left="1141"/>
              <w:rPr>
                <w:szCs w:val="21"/>
              </w:rPr>
            </w:pPr>
            <w:r>
              <w:rPr>
                <w:rFonts w:hint="eastAsia"/>
                <w:szCs w:val="21"/>
              </w:rPr>
              <w:t>离心玻璃棉</w:t>
            </w:r>
          </w:p>
        </w:tc>
        <w:tc>
          <w:tcPr>
            <w:tcW w:w="3199" w:type="dxa"/>
            <w:gridSpan w:val="2"/>
            <w:vAlign w:val="center"/>
          </w:tcPr>
          <w:p>
            <w:pPr>
              <w:spacing w:line="276" w:lineRule="auto"/>
              <w:ind w:left="1050"/>
              <w:rPr>
                <w:szCs w:val="21"/>
              </w:rPr>
            </w:pPr>
            <w:r>
              <w:rPr>
                <w:rFonts w:hint="eastAsia"/>
                <w:szCs w:val="21"/>
              </w:rPr>
              <w:t>柔性泡沫橡塑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exact"/>
          <w:jc w:val="center"/>
        </w:trPr>
        <w:tc>
          <w:tcPr>
            <w:tcW w:w="2484" w:type="dxa"/>
            <w:vMerge w:val="continue"/>
            <w:vAlign w:val="center"/>
          </w:tcPr>
          <w:p>
            <w:pPr>
              <w:spacing w:line="276" w:lineRule="auto"/>
              <w:rPr>
                <w:szCs w:val="21"/>
              </w:rPr>
            </w:pPr>
          </w:p>
        </w:tc>
        <w:tc>
          <w:tcPr>
            <w:tcW w:w="2131" w:type="dxa"/>
            <w:vAlign w:val="center"/>
          </w:tcPr>
          <w:p>
            <w:pPr>
              <w:spacing w:line="276" w:lineRule="auto"/>
              <w:rPr>
                <w:szCs w:val="21"/>
              </w:rPr>
            </w:pPr>
            <w:r>
              <w:rPr>
                <w:rFonts w:hint="eastAsia"/>
                <w:szCs w:val="21"/>
              </w:rPr>
              <w:t>公称管径(</w:t>
            </w:r>
            <w:r>
              <w:rPr>
                <w:szCs w:val="21"/>
              </w:rPr>
              <w:t>mm</w:t>
            </w:r>
            <w:r>
              <w:rPr>
                <w:rFonts w:hint="eastAsia"/>
                <w:szCs w:val="21"/>
              </w:rPr>
              <w:t>)</w:t>
            </w:r>
          </w:p>
        </w:tc>
        <w:tc>
          <w:tcPr>
            <w:tcW w:w="1042" w:type="dxa"/>
            <w:vAlign w:val="center"/>
          </w:tcPr>
          <w:p>
            <w:pPr>
              <w:spacing w:line="276" w:lineRule="auto"/>
              <w:rPr>
                <w:szCs w:val="21"/>
              </w:rPr>
            </w:pPr>
            <w:r>
              <w:rPr>
                <w:rFonts w:hint="eastAsia"/>
                <w:szCs w:val="21"/>
              </w:rPr>
              <w:t>厚度(</w:t>
            </w:r>
            <w:r>
              <w:rPr>
                <w:szCs w:val="21"/>
              </w:rPr>
              <w:t>mm</w:t>
            </w:r>
            <w:r>
              <w:rPr>
                <w:rFonts w:hint="eastAsia"/>
                <w:szCs w:val="21"/>
              </w:rPr>
              <w:t>)</w:t>
            </w:r>
          </w:p>
        </w:tc>
        <w:tc>
          <w:tcPr>
            <w:tcW w:w="2045" w:type="dxa"/>
            <w:vAlign w:val="center"/>
          </w:tcPr>
          <w:p>
            <w:pPr>
              <w:spacing w:line="276" w:lineRule="auto"/>
              <w:rPr>
                <w:szCs w:val="21"/>
              </w:rPr>
            </w:pPr>
            <w:r>
              <w:rPr>
                <w:rFonts w:hint="eastAsia"/>
                <w:szCs w:val="21"/>
              </w:rPr>
              <w:t>公称管径(</w:t>
            </w:r>
            <w:r>
              <w:rPr>
                <w:szCs w:val="21"/>
              </w:rPr>
              <w:t>mm</w:t>
            </w:r>
            <w:r>
              <w:rPr>
                <w:rFonts w:hint="eastAsia"/>
                <w:szCs w:val="21"/>
              </w:rPr>
              <w:t>)</w:t>
            </w:r>
          </w:p>
        </w:tc>
        <w:tc>
          <w:tcPr>
            <w:tcW w:w="1154" w:type="dxa"/>
            <w:vAlign w:val="center"/>
          </w:tcPr>
          <w:p>
            <w:pPr>
              <w:spacing w:line="276" w:lineRule="auto"/>
              <w:rPr>
                <w:szCs w:val="21"/>
              </w:rPr>
            </w:pPr>
            <w:r>
              <w:rPr>
                <w:rFonts w:hint="eastAsia"/>
                <w:szCs w:val="21"/>
              </w:rPr>
              <w:t>厚度(</w:t>
            </w:r>
            <w:r>
              <w:rPr>
                <w:szCs w:val="21"/>
              </w:rPr>
              <w:t>mm</w:t>
            </w: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484" w:type="dxa"/>
            <w:vMerge w:val="restart"/>
            <w:vAlign w:val="center"/>
          </w:tcPr>
          <w:p>
            <w:pPr>
              <w:spacing w:line="276" w:lineRule="auto"/>
              <w:rPr>
                <w:szCs w:val="21"/>
              </w:rPr>
            </w:pPr>
            <w:r>
              <w:rPr>
                <w:rFonts w:hint="eastAsia"/>
                <w:szCs w:val="21"/>
              </w:rPr>
              <w:t>≤</w:t>
            </w:r>
            <w:r>
              <w:rPr>
                <w:szCs w:val="21"/>
              </w:rPr>
              <w:t>70</w:t>
            </w:r>
            <w:r>
              <w:rPr>
                <w:rFonts w:hint="eastAsia"/>
                <w:szCs w:val="21"/>
              </w:rPr>
              <w:t>℃</w:t>
            </w:r>
          </w:p>
        </w:tc>
        <w:tc>
          <w:tcPr>
            <w:tcW w:w="2131" w:type="dxa"/>
            <w:vAlign w:val="center"/>
          </w:tcPr>
          <w:p>
            <w:pPr>
              <w:spacing w:line="276" w:lineRule="auto"/>
              <w:ind w:left="832"/>
              <w:rPr>
                <w:szCs w:val="21"/>
              </w:rPr>
            </w:pPr>
            <w:r>
              <w:rPr>
                <w:szCs w:val="21"/>
              </w:rPr>
              <w:t>≤DN</w:t>
            </w:r>
            <w:r>
              <w:rPr>
                <w:rFonts w:hint="eastAsia"/>
                <w:szCs w:val="21"/>
              </w:rPr>
              <w:t>40</w:t>
            </w:r>
          </w:p>
        </w:tc>
        <w:tc>
          <w:tcPr>
            <w:tcW w:w="1042" w:type="dxa"/>
            <w:vAlign w:val="center"/>
          </w:tcPr>
          <w:p>
            <w:pPr>
              <w:spacing w:line="276" w:lineRule="auto"/>
              <w:ind w:firstLine="420" w:firstLineChars="200"/>
              <w:rPr>
                <w:szCs w:val="21"/>
              </w:rPr>
            </w:pPr>
            <w:r>
              <w:rPr>
                <w:rFonts w:hint="eastAsia"/>
                <w:szCs w:val="21"/>
              </w:rPr>
              <w:t>5</w:t>
            </w:r>
            <w:r>
              <w:rPr>
                <w:szCs w:val="21"/>
              </w:rPr>
              <w:t>0</w:t>
            </w:r>
          </w:p>
        </w:tc>
        <w:tc>
          <w:tcPr>
            <w:tcW w:w="2045" w:type="dxa"/>
            <w:vAlign w:val="center"/>
          </w:tcPr>
          <w:p>
            <w:pPr>
              <w:spacing w:line="276" w:lineRule="auto"/>
              <w:ind w:left="789"/>
              <w:rPr>
                <w:szCs w:val="21"/>
              </w:rPr>
            </w:pPr>
            <w:r>
              <w:rPr>
                <w:szCs w:val="21"/>
              </w:rPr>
              <w:t>≤DN</w:t>
            </w:r>
            <w:r>
              <w:rPr>
                <w:rFonts w:hint="eastAsia"/>
                <w:szCs w:val="21"/>
              </w:rPr>
              <w:t>50</w:t>
            </w:r>
          </w:p>
        </w:tc>
        <w:tc>
          <w:tcPr>
            <w:tcW w:w="1154" w:type="dxa"/>
            <w:vAlign w:val="center"/>
          </w:tcPr>
          <w:p>
            <w:pPr>
              <w:spacing w:line="276" w:lineRule="auto"/>
              <w:ind w:firstLine="420" w:firstLineChars="200"/>
              <w:rPr>
                <w:szCs w:val="21"/>
              </w:rPr>
            </w:pPr>
            <w:r>
              <w:rPr>
                <w:rFonts w:hint="eastAsia"/>
                <w:szCs w:val="21"/>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484" w:type="dxa"/>
            <w:vMerge w:val="continue"/>
            <w:vAlign w:val="center"/>
          </w:tcPr>
          <w:p>
            <w:pPr>
              <w:spacing w:line="276" w:lineRule="auto"/>
              <w:rPr>
                <w:szCs w:val="21"/>
              </w:rPr>
            </w:pPr>
          </w:p>
        </w:tc>
        <w:tc>
          <w:tcPr>
            <w:tcW w:w="2131" w:type="dxa"/>
            <w:vAlign w:val="center"/>
          </w:tcPr>
          <w:p>
            <w:pPr>
              <w:spacing w:line="276" w:lineRule="auto"/>
              <w:rPr>
                <w:szCs w:val="21"/>
              </w:rPr>
            </w:pPr>
            <w:r>
              <w:rPr>
                <w:szCs w:val="21"/>
              </w:rPr>
              <w:t>DN</w:t>
            </w:r>
            <w:r>
              <w:rPr>
                <w:rFonts w:hint="eastAsia"/>
                <w:szCs w:val="21"/>
              </w:rPr>
              <w:t>50～100</w:t>
            </w:r>
          </w:p>
        </w:tc>
        <w:tc>
          <w:tcPr>
            <w:tcW w:w="1042" w:type="dxa"/>
            <w:vAlign w:val="center"/>
          </w:tcPr>
          <w:p>
            <w:pPr>
              <w:spacing w:line="276" w:lineRule="auto"/>
              <w:rPr>
                <w:szCs w:val="21"/>
              </w:rPr>
            </w:pPr>
            <w:r>
              <w:rPr>
                <w:rFonts w:hint="eastAsia"/>
                <w:szCs w:val="21"/>
              </w:rPr>
              <w:t>6</w:t>
            </w:r>
            <w:r>
              <w:rPr>
                <w:szCs w:val="21"/>
              </w:rPr>
              <w:t>0</w:t>
            </w:r>
          </w:p>
        </w:tc>
        <w:tc>
          <w:tcPr>
            <w:tcW w:w="2045" w:type="dxa"/>
            <w:vAlign w:val="center"/>
          </w:tcPr>
          <w:p>
            <w:pPr>
              <w:spacing w:line="276" w:lineRule="auto"/>
              <w:rPr>
                <w:szCs w:val="21"/>
              </w:rPr>
            </w:pPr>
            <w:r>
              <w:rPr>
                <w:szCs w:val="21"/>
              </w:rPr>
              <w:t>DN</w:t>
            </w:r>
            <w:r>
              <w:rPr>
                <w:rFonts w:hint="eastAsia"/>
                <w:szCs w:val="21"/>
              </w:rPr>
              <w:t>7</w:t>
            </w:r>
            <w:r>
              <w:rPr>
                <w:szCs w:val="21"/>
              </w:rPr>
              <w:t>0</w:t>
            </w:r>
            <w:r>
              <w:rPr>
                <w:rFonts w:hint="eastAsia"/>
                <w:szCs w:val="21"/>
              </w:rPr>
              <w:t>～</w:t>
            </w:r>
            <w:r>
              <w:rPr>
                <w:szCs w:val="21"/>
              </w:rPr>
              <w:t>DN1</w:t>
            </w:r>
            <w:r>
              <w:rPr>
                <w:rFonts w:hint="eastAsia"/>
                <w:szCs w:val="21"/>
              </w:rPr>
              <w:t>2</w:t>
            </w:r>
            <w:r>
              <w:rPr>
                <w:szCs w:val="21"/>
              </w:rPr>
              <w:t>5</w:t>
            </w:r>
          </w:p>
        </w:tc>
        <w:tc>
          <w:tcPr>
            <w:tcW w:w="1154" w:type="dxa"/>
            <w:vAlign w:val="center"/>
          </w:tcPr>
          <w:p>
            <w:pPr>
              <w:spacing w:line="276" w:lineRule="auto"/>
              <w:rPr>
                <w:szCs w:val="21"/>
              </w:rPr>
            </w:pPr>
            <w:r>
              <w:rPr>
                <w:rFonts w:hint="eastAsia"/>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484" w:type="dxa"/>
            <w:vMerge w:val="continue"/>
            <w:vAlign w:val="center"/>
          </w:tcPr>
          <w:p>
            <w:pPr>
              <w:spacing w:line="276" w:lineRule="auto"/>
              <w:rPr>
                <w:szCs w:val="21"/>
              </w:rPr>
            </w:pPr>
          </w:p>
        </w:tc>
        <w:tc>
          <w:tcPr>
            <w:tcW w:w="2131" w:type="dxa"/>
            <w:vAlign w:val="center"/>
          </w:tcPr>
          <w:p>
            <w:pPr>
              <w:spacing w:line="276" w:lineRule="auto"/>
              <w:rPr>
                <w:szCs w:val="21"/>
              </w:rPr>
            </w:pPr>
            <w:r>
              <w:rPr>
                <w:szCs w:val="21"/>
              </w:rPr>
              <w:t>DN</w:t>
            </w:r>
            <w:r>
              <w:rPr>
                <w:rFonts w:hint="eastAsia"/>
                <w:szCs w:val="21"/>
              </w:rPr>
              <w:t>125～30</w:t>
            </w:r>
            <w:r>
              <w:rPr>
                <w:szCs w:val="21"/>
              </w:rPr>
              <w:t>0</w:t>
            </w:r>
          </w:p>
        </w:tc>
        <w:tc>
          <w:tcPr>
            <w:tcW w:w="1042" w:type="dxa"/>
            <w:vAlign w:val="center"/>
          </w:tcPr>
          <w:p>
            <w:pPr>
              <w:spacing w:line="276" w:lineRule="auto"/>
              <w:rPr>
                <w:szCs w:val="21"/>
              </w:rPr>
            </w:pPr>
            <w:r>
              <w:rPr>
                <w:rFonts w:hint="eastAsia"/>
                <w:szCs w:val="21"/>
              </w:rPr>
              <w:t>7</w:t>
            </w:r>
            <w:r>
              <w:rPr>
                <w:szCs w:val="21"/>
              </w:rPr>
              <w:t>0</w:t>
            </w:r>
          </w:p>
        </w:tc>
        <w:tc>
          <w:tcPr>
            <w:tcW w:w="2045" w:type="dxa"/>
            <w:vAlign w:val="center"/>
          </w:tcPr>
          <w:p>
            <w:pPr>
              <w:spacing w:line="276" w:lineRule="auto"/>
              <w:rPr>
                <w:szCs w:val="21"/>
              </w:rPr>
            </w:pPr>
            <w:r>
              <w:rPr>
                <w:szCs w:val="21"/>
              </w:rPr>
              <w:t>DN</w:t>
            </w:r>
            <w:r>
              <w:rPr>
                <w:rFonts w:hint="eastAsia"/>
                <w:szCs w:val="21"/>
              </w:rPr>
              <w:t>150～</w:t>
            </w:r>
            <w:r>
              <w:rPr>
                <w:szCs w:val="21"/>
              </w:rPr>
              <w:t>DN</w:t>
            </w:r>
            <w:r>
              <w:rPr>
                <w:rFonts w:hint="eastAsia"/>
                <w:szCs w:val="21"/>
              </w:rPr>
              <w:t>300</w:t>
            </w:r>
          </w:p>
        </w:tc>
        <w:tc>
          <w:tcPr>
            <w:tcW w:w="1154" w:type="dxa"/>
            <w:vAlign w:val="center"/>
          </w:tcPr>
          <w:p>
            <w:pPr>
              <w:spacing w:line="276" w:lineRule="auto"/>
              <w:rPr>
                <w:szCs w:val="21"/>
              </w:rPr>
            </w:pPr>
            <w:r>
              <w:rPr>
                <w:rFonts w:hint="eastAsia"/>
                <w:szCs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484" w:type="dxa"/>
            <w:vMerge w:val="continue"/>
            <w:vAlign w:val="center"/>
          </w:tcPr>
          <w:p>
            <w:pPr>
              <w:spacing w:line="276" w:lineRule="auto"/>
              <w:rPr>
                <w:szCs w:val="21"/>
              </w:rPr>
            </w:pPr>
          </w:p>
        </w:tc>
        <w:tc>
          <w:tcPr>
            <w:tcW w:w="2131" w:type="dxa"/>
            <w:vAlign w:val="center"/>
          </w:tcPr>
          <w:p>
            <w:pPr>
              <w:spacing w:line="276" w:lineRule="auto"/>
              <w:rPr>
                <w:szCs w:val="21"/>
              </w:rPr>
            </w:pPr>
            <w:r>
              <w:rPr>
                <w:szCs w:val="21"/>
              </w:rPr>
              <w:t>≥DN</w:t>
            </w:r>
            <w:r>
              <w:rPr>
                <w:rFonts w:hint="eastAsia"/>
                <w:szCs w:val="21"/>
              </w:rPr>
              <w:t>35</w:t>
            </w:r>
            <w:r>
              <w:rPr>
                <w:szCs w:val="21"/>
              </w:rPr>
              <w:t>0</w:t>
            </w:r>
          </w:p>
        </w:tc>
        <w:tc>
          <w:tcPr>
            <w:tcW w:w="1042" w:type="dxa"/>
            <w:vAlign w:val="center"/>
          </w:tcPr>
          <w:p>
            <w:pPr>
              <w:spacing w:line="276" w:lineRule="auto"/>
              <w:rPr>
                <w:szCs w:val="21"/>
              </w:rPr>
            </w:pPr>
            <w:r>
              <w:rPr>
                <w:rFonts w:hint="eastAsia"/>
                <w:szCs w:val="21"/>
              </w:rPr>
              <w:t>80</w:t>
            </w:r>
          </w:p>
        </w:tc>
        <w:tc>
          <w:tcPr>
            <w:tcW w:w="2045" w:type="dxa"/>
            <w:vAlign w:val="center"/>
          </w:tcPr>
          <w:p>
            <w:pPr>
              <w:spacing w:line="276" w:lineRule="auto"/>
              <w:rPr>
                <w:szCs w:val="21"/>
              </w:rPr>
            </w:pPr>
            <w:r>
              <w:rPr>
                <w:szCs w:val="21"/>
              </w:rPr>
              <w:t>≥DN</w:t>
            </w:r>
            <w:r>
              <w:rPr>
                <w:rFonts w:hint="eastAsia"/>
                <w:szCs w:val="21"/>
              </w:rPr>
              <w:t>35</w:t>
            </w:r>
            <w:r>
              <w:rPr>
                <w:szCs w:val="21"/>
              </w:rPr>
              <w:t>0</w:t>
            </w:r>
          </w:p>
        </w:tc>
        <w:tc>
          <w:tcPr>
            <w:tcW w:w="1154" w:type="dxa"/>
            <w:vAlign w:val="center"/>
          </w:tcPr>
          <w:p>
            <w:pPr>
              <w:spacing w:line="276" w:lineRule="auto"/>
              <w:rPr>
                <w:szCs w:val="21"/>
              </w:rPr>
            </w:pPr>
            <w:r>
              <w:rPr>
                <w:rFonts w:hint="eastAsia"/>
                <w:szCs w:val="21"/>
              </w:rPr>
              <w:t>55</w:t>
            </w:r>
          </w:p>
        </w:tc>
      </w:tr>
    </w:tbl>
    <w:p>
      <w:pPr>
        <w:autoSpaceDE w:val="0"/>
        <w:autoSpaceDN w:val="0"/>
        <w:adjustRightInd w:val="0"/>
        <w:spacing w:line="276" w:lineRule="auto"/>
        <w:rPr>
          <w:kern w:val="0"/>
          <w:sz w:val="24"/>
        </w:rPr>
      </w:pPr>
    </w:p>
    <w:p>
      <w:pPr>
        <w:autoSpaceDE w:val="0"/>
        <w:autoSpaceDN w:val="0"/>
        <w:adjustRightInd w:val="0"/>
        <w:spacing w:line="276" w:lineRule="auto"/>
        <w:jc w:val="left"/>
        <w:rPr>
          <w:kern w:val="0"/>
          <w:sz w:val="24"/>
        </w:rPr>
      </w:pPr>
      <w:r>
        <w:rPr>
          <w:b/>
          <w:bCs/>
          <w:sz w:val="24"/>
        </w:rPr>
        <w:t>C.0.4</w:t>
      </w:r>
      <w:r>
        <w:rPr>
          <w:rFonts w:hint="eastAsia"/>
          <w:b/>
          <w:bCs/>
          <w:sz w:val="24"/>
        </w:rPr>
        <w:t xml:space="preserve"> </w:t>
      </w:r>
      <w:r>
        <w:rPr>
          <w:rFonts w:hint="eastAsia"/>
          <w:kern w:val="0"/>
          <w:sz w:val="24"/>
        </w:rPr>
        <w:t>室内</w:t>
      </w:r>
      <w:r>
        <w:rPr>
          <w:kern w:val="0"/>
          <w:sz w:val="24"/>
        </w:rPr>
        <w:t>空调风管绝热层最小热阻可</w:t>
      </w:r>
      <w:r>
        <w:rPr>
          <w:rFonts w:hint="eastAsia"/>
          <w:kern w:val="0"/>
          <w:sz w:val="24"/>
        </w:rPr>
        <w:t>按</w:t>
      </w:r>
      <w:r>
        <w:rPr>
          <w:kern w:val="0"/>
          <w:sz w:val="24"/>
        </w:rPr>
        <w:t>表C.0.4选用</w:t>
      </w:r>
      <w:r>
        <w:rPr>
          <w:rFonts w:hint="eastAsia"/>
          <w:kern w:val="0"/>
          <w:sz w:val="24"/>
        </w:rPr>
        <w:t>。</w:t>
      </w:r>
    </w:p>
    <w:p>
      <w:pPr>
        <w:spacing w:line="276" w:lineRule="auto"/>
        <w:jc w:val="center"/>
        <w:rPr>
          <w:sz w:val="24"/>
        </w:rPr>
      </w:pPr>
      <w:r>
        <w:rPr>
          <w:sz w:val="24"/>
        </w:rPr>
        <w:t>表C.0.4   室内空调风管绝热层最小热阻</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250" w:type="pct"/>
            <w:vMerge w:val="restart"/>
            <w:vAlign w:val="center"/>
          </w:tcPr>
          <w:p>
            <w:pPr>
              <w:spacing w:line="276" w:lineRule="auto"/>
              <w:rPr>
                <w:szCs w:val="21"/>
              </w:rPr>
            </w:pPr>
            <w:r>
              <w:rPr>
                <w:szCs w:val="21"/>
              </w:rPr>
              <w:t>风管类型</w:t>
            </w:r>
          </w:p>
        </w:tc>
        <w:tc>
          <w:tcPr>
            <w:tcW w:w="2500" w:type="pct"/>
            <w:gridSpan w:val="2"/>
            <w:vAlign w:val="center"/>
          </w:tcPr>
          <w:p>
            <w:pPr>
              <w:spacing w:line="276" w:lineRule="auto"/>
              <w:rPr>
                <w:szCs w:val="21"/>
              </w:rPr>
            </w:pPr>
            <w:r>
              <w:rPr>
                <w:szCs w:val="21"/>
              </w:rPr>
              <w:t>适用介质温度</w:t>
            </w:r>
            <w:r>
              <w:rPr>
                <w:rFonts w:hint="eastAsia"/>
                <w:szCs w:val="21"/>
              </w:rPr>
              <w:t>（</w:t>
            </w:r>
            <w:r>
              <w:rPr>
                <w:rFonts w:hint="eastAsia" w:cs="宋体"/>
                <w:szCs w:val="21"/>
              </w:rPr>
              <w:t>℃</w:t>
            </w:r>
            <w:r>
              <w:rPr>
                <w:rFonts w:hint="eastAsia"/>
                <w:szCs w:val="21"/>
              </w:rPr>
              <w:t>）</w:t>
            </w:r>
          </w:p>
        </w:tc>
        <w:tc>
          <w:tcPr>
            <w:tcW w:w="1250" w:type="pct"/>
            <w:vMerge w:val="restart"/>
            <w:vAlign w:val="center"/>
          </w:tcPr>
          <w:p>
            <w:pPr>
              <w:spacing w:line="276" w:lineRule="auto"/>
              <w:rPr>
                <w:szCs w:val="21"/>
              </w:rPr>
            </w:pPr>
            <w:r>
              <w:rPr>
                <w:szCs w:val="21"/>
              </w:rPr>
              <w:t>最小热阻</w:t>
            </w:r>
            <w:r>
              <w:rPr>
                <w:i/>
                <w:szCs w:val="21"/>
              </w:rPr>
              <w:t>K</w:t>
            </w:r>
            <w:r>
              <w:rPr>
                <w:rFonts w:hint="eastAsia"/>
                <w:szCs w:val="21"/>
              </w:rPr>
              <w:t>[(m</w:t>
            </w:r>
            <w:r>
              <w:rPr>
                <w:rFonts w:hint="eastAsia"/>
                <w:szCs w:val="21"/>
                <w:vertAlign w:val="superscript"/>
              </w:rPr>
              <w:t>2</w:t>
            </w:r>
            <w:r>
              <w:rPr>
                <w:rFonts w:hint="eastAsia"/>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250" w:type="pct"/>
            <w:vMerge w:val="continue"/>
            <w:vAlign w:val="center"/>
          </w:tcPr>
          <w:p>
            <w:pPr>
              <w:spacing w:line="276" w:lineRule="auto"/>
              <w:rPr>
                <w:szCs w:val="21"/>
              </w:rPr>
            </w:pPr>
          </w:p>
        </w:tc>
        <w:tc>
          <w:tcPr>
            <w:tcW w:w="1250" w:type="pct"/>
            <w:vAlign w:val="center"/>
          </w:tcPr>
          <w:p>
            <w:pPr>
              <w:spacing w:line="276" w:lineRule="auto"/>
              <w:rPr>
                <w:szCs w:val="21"/>
              </w:rPr>
            </w:pPr>
            <w:r>
              <w:rPr>
                <w:szCs w:val="21"/>
              </w:rPr>
              <w:t>冷介质最低温度</w:t>
            </w:r>
          </w:p>
        </w:tc>
        <w:tc>
          <w:tcPr>
            <w:tcW w:w="1250" w:type="pct"/>
            <w:vAlign w:val="center"/>
          </w:tcPr>
          <w:p>
            <w:pPr>
              <w:spacing w:line="276" w:lineRule="auto"/>
              <w:rPr>
                <w:szCs w:val="21"/>
              </w:rPr>
            </w:pPr>
            <w:r>
              <w:rPr>
                <w:szCs w:val="21"/>
              </w:rPr>
              <w:t>热介质最高温度</w:t>
            </w:r>
          </w:p>
        </w:tc>
        <w:tc>
          <w:tcPr>
            <w:tcW w:w="1250" w:type="pct"/>
            <w:vMerge w:val="continue"/>
            <w:vAlign w:val="center"/>
          </w:tcPr>
          <w:p>
            <w:pPr>
              <w:spacing w:line="276" w:lineRule="auto"/>
              <w:ind w:firstLine="210" w:firstLineChars="10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250" w:type="pct"/>
            <w:vAlign w:val="center"/>
          </w:tcPr>
          <w:p>
            <w:pPr>
              <w:spacing w:line="276" w:lineRule="auto"/>
              <w:rPr>
                <w:szCs w:val="21"/>
              </w:rPr>
            </w:pPr>
            <w:r>
              <w:rPr>
                <w:szCs w:val="21"/>
              </w:rPr>
              <w:t>一般空调风管</w:t>
            </w:r>
          </w:p>
        </w:tc>
        <w:tc>
          <w:tcPr>
            <w:tcW w:w="1250" w:type="pct"/>
            <w:vAlign w:val="center"/>
          </w:tcPr>
          <w:p>
            <w:pPr>
              <w:spacing w:line="276" w:lineRule="auto"/>
              <w:rPr>
                <w:szCs w:val="21"/>
              </w:rPr>
            </w:pPr>
            <w:r>
              <w:rPr>
                <w:szCs w:val="21"/>
              </w:rPr>
              <w:t>15</w:t>
            </w:r>
          </w:p>
        </w:tc>
        <w:tc>
          <w:tcPr>
            <w:tcW w:w="1250" w:type="pct"/>
            <w:vAlign w:val="center"/>
          </w:tcPr>
          <w:p>
            <w:pPr>
              <w:spacing w:line="276" w:lineRule="auto"/>
              <w:rPr>
                <w:szCs w:val="21"/>
              </w:rPr>
            </w:pPr>
            <w:r>
              <w:rPr>
                <w:szCs w:val="21"/>
              </w:rPr>
              <w:t>30</w:t>
            </w:r>
          </w:p>
        </w:tc>
        <w:tc>
          <w:tcPr>
            <w:tcW w:w="1250" w:type="pct"/>
            <w:vAlign w:val="center"/>
          </w:tcPr>
          <w:p>
            <w:pPr>
              <w:spacing w:line="276" w:lineRule="auto"/>
              <w:rPr>
                <w:szCs w:val="21"/>
              </w:rPr>
            </w:pPr>
            <w:r>
              <w:rPr>
                <w:szCs w:val="21"/>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1250" w:type="pct"/>
            <w:vAlign w:val="center"/>
          </w:tcPr>
          <w:p>
            <w:pPr>
              <w:spacing w:line="276" w:lineRule="auto"/>
              <w:rPr>
                <w:szCs w:val="21"/>
              </w:rPr>
            </w:pPr>
            <w:r>
              <w:rPr>
                <w:szCs w:val="21"/>
              </w:rPr>
              <w:t>低温风管</w:t>
            </w:r>
          </w:p>
        </w:tc>
        <w:tc>
          <w:tcPr>
            <w:tcW w:w="1250" w:type="pct"/>
            <w:vAlign w:val="center"/>
          </w:tcPr>
          <w:p>
            <w:pPr>
              <w:spacing w:line="276" w:lineRule="auto"/>
              <w:rPr>
                <w:szCs w:val="21"/>
              </w:rPr>
            </w:pPr>
            <w:r>
              <w:rPr>
                <w:szCs w:val="21"/>
              </w:rPr>
              <w:t>6</w:t>
            </w:r>
          </w:p>
        </w:tc>
        <w:tc>
          <w:tcPr>
            <w:tcW w:w="1250" w:type="pct"/>
            <w:vAlign w:val="center"/>
          </w:tcPr>
          <w:p>
            <w:pPr>
              <w:spacing w:line="276" w:lineRule="auto"/>
              <w:rPr>
                <w:szCs w:val="21"/>
              </w:rPr>
            </w:pPr>
            <w:r>
              <w:rPr>
                <w:szCs w:val="21"/>
              </w:rPr>
              <w:t>39</w:t>
            </w:r>
          </w:p>
        </w:tc>
        <w:tc>
          <w:tcPr>
            <w:tcW w:w="1250" w:type="pct"/>
            <w:vAlign w:val="center"/>
          </w:tcPr>
          <w:p>
            <w:pPr>
              <w:spacing w:line="276" w:lineRule="auto"/>
              <w:rPr>
                <w:szCs w:val="21"/>
              </w:rPr>
            </w:pPr>
            <w:r>
              <w:rPr>
                <w:szCs w:val="21"/>
              </w:rPr>
              <w:t>1.14</w:t>
            </w:r>
          </w:p>
        </w:tc>
      </w:tr>
    </w:tbl>
    <w:p/>
    <w:bookmarkEnd w:id="131"/>
    <w:p>
      <w:pPr>
        <w:autoSpaceDE w:val="0"/>
        <w:autoSpaceDN w:val="0"/>
        <w:adjustRightInd w:val="0"/>
        <w:jc w:val="left"/>
        <w:rPr>
          <w:rFonts w:ascii="宋体" w:cs="宋体"/>
          <w:kern w:val="0"/>
          <w:sz w:val="24"/>
        </w:rPr>
      </w:pPr>
      <w:bookmarkStart w:id="139" w:name="_Toc370674040"/>
    </w:p>
    <w:bookmarkEnd w:id="122"/>
    <w:bookmarkEnd w:id="123"/>
    <w:bookmarkEnd w:id="139"/>
    <w:p>
      <w:pPr>
        <w:pStyle w:val="2"/>
        <w:spacing w:line="276" w:lineRule="auto"/>
        <w:jc w:val="center"/>
        <w:rPr>
          <w:rFonts w:cs="Arial"/>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Gothic">
    <w:altName w:val="MS Mincho"/>
    <w:panose1 w:val="020B0609070205080204"/>
    <w:charset w:val="80"/>
    <w:family w:val="modern"/>
    <w:pitch w:val="default"/>
    <w:sig w:usb0="00000000" w:usb1="00000000" w:usb2="08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echnic">
    <w:panose1 w:val="00000400000000000000"/>
    <w:charset w:val="02"/>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Times">
    <w:altName w:val="Times New Roman"/>
    <w:panose1 w:val="02020603050405020304"/>
    <w:charset w:val="00"/>
    <w:family w:val="auto"/>
    <w:pitch w:val="default"/>
    <w:sig w:usb0="00000000" w:usb1="00000000" w:usb2="00000000" w:usb3="00000000" w:csb0="0000019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CF3C52" w:usb2="00000016" w:usb3="00000000" w:csb0="0004001F" w:csb1="0000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p>
  <w:p>
    <w:pPr>
      <w:pStyle w:val="4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81962"/>
      <w:docPartObj>
        <w:docPartGallery w:val="autotext"/>
      </w:docPartObj>
    </w:sdtPr>
    <w:sdtContent>
      <w:p>
        <w:pPr>
          <w:pStyle w:val="41"/>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0352"/>
      <w:docPartObj>
        <w:docPartGallery w:val="autotext"/>
      </w:docPartObj>
    </w:sdtPr>
    <w:sdtContent>
      <w:p>
        <w:pPr>
          <w:pStyle w:val="41"/>
          <w:jc w:val="center"/>
        </w:pPr>
        <w:r>
          <w:fldChar w:fldCharType="begin"/>
        </w:r>
        <w:r>
          <w:instrText xml:space="preserve"> PAGE   \* MERGEFORMAT </w:instrText>
        </w:r>
        <w:r>
          <w:fldChar w:fldCharType="separate"/>
        </w:r>
        <w:r>
          <w:rPr>
            <w:lang w:val="zh-CN"/>
          </w:rPr>
          <w:t>35</w:t>
        </w:r>
        <w:r>
          <w:rPr>
            <w:lang w:val="zh-CN"/>
          </w:rPr>
          <w:fldChar w:fldCharType="end"/>
        </w:r>
      </w:p>
    </w:sdtContent>
  </w:sdt>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fldChar w:fldCharType="begin"/>
    </w:r>
    <w:r>
      <w:instrText xml:space="preserve"> PAGE   \* MERGEFORMAT </w:instrText>
    </w:r>
    <w:r>
      <w:fldChar w:fldCharType="separate"/>
    </w:r>
    <w:r>
      <w:rPr>
        <w:lang w:val="zh-CN"/>
      </w:rPr>
      <w:t>46</w:t>
    </w:r>
    <w:r>
      <w:rPr>
        <w:lang w:val="zh-CN"/>
      </w:rPr>
      <w:fldChar w:fldCharType="end"/>
    </w:r>
  </w:p>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pPr>
      <w:pStyle w:val="39"/>
      <w:jc w:val="left"/>
    </w:pPr>
    <w:r>
      <w:rPr>
        <w:rFonts w:hint="eastAsia"/>
      </w:rPr>
      <w:t>国家标准《公共建筑节能设计标准》修订讨论会                                     2013-6-27  北京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B5A86"/>
    <w:multiLevelType w:val="multilevel"/>
    <w:tmpl w:val="035B5A86"/>
    <w:lvl w:ilvl="0" w:tentative="0">
      <w:start w:val="1"/>
      <w:numFmt w:val="decimal"/>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90236F"/>
    <w:multiLevelType w:val="multilevel"/>
    <w:tmpl w:val="0890236F"/>
    <w:lvl w:ilvl="0" w:tentative="0">
      <w:start w:val="1"/>
      <w:numFmt w:val="decimal"/>
      <w:lvlText w:val="%1"/>
      <w:lvlJc w:val="left"/>
      <w:pPr>
        <w:ind w:left="1860" w:hanging="360"/>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2">
    <w:nsid w:val="1088750B"/>
    <w:multiLevelType w:val="multilevel"/>
    <w:tmpl w:val="1088750B"/>
    <w:lvl w:ilvl="0" w:tentative="0">
      <w:start w:val="1"/>
      <w:numFmt w:val="decimal"/>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02C5D4D"/>
    <w:multiLevelType w:val="multilevel"/>
    <w:tmpl w:val="202C5D4D"/>
    <w:lvl w:ilvl="0" w:tentative="0">
      <w:start w:val="1"/>
      <w:numFmt w:val="decimal"/>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82E2E9C"/>
    <w:multiLevelType w:val="multilevel"/>
    <w:tmpl w:val="282E2E9C"/>
    <w:lvl w:ilvl="0" w:tentative="0">
      <w:start w:val="1"/>
      <w:numFmt w:val="decimal"/>
      <w:pStyle w:val="60"/>
      <w:lvlText w:val="图%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9C2A85"/>
    <w:multiLevelType w:val="multilevel"/>
    <w:tmpl w:val="379C2A85"/>
    <w:lvl w:ilvl="0" w:tentative="0">
      <w:start w:val="1"/>
      <w:numFmt w:val="decimal"/>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96D3FC1"/>
    <w:multiLevelType w:val="multilevel"/>
    <w:tmpl w:val="396D3FC1"/>
    <w:lvl w:ilvl="0" w:tentative="0">
      <w:start w:val="1"/>
      <w:numFmt w:val="decimal"/>
      <w:pStyle w:val="68"/>
      <w:lvlText w:val="表%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E4103D5"/>
    <w:multiLevelType w:val="multilevel"/>
    <w:tmpl w:val="3E4103D5"/>
    <w:lvl w:ilvl="0" w:tentative="0">
      <w:start w:val="1"/>
      <w:numFmt w:val="decimal"/>
      <w:lvlText w:val="%1)"/>
      <w:lvlJc w:val="left"/>
      <w:pPr>
        <w:ind w:left="1097" w:hanging="360"/>
      </w:pPr>
      <w:rPr>
        <w:rFonts w:hint="default" w:ascii="Times New Roman" w:hAnsi="Times New Roman" w:eastAsia="黑体" w:cs="Times New Roman"/>
      </w:rPr>
    </w:lvl>
    <w:lvl w:ilvl="1" w:tentative="0">
      <w:start w:val="1"/>
      <w:numFmt w:val="lowerLetter"/>
      <w:lvlText w:val="%2)"/>
      <w:lvlJc w:val="left"/>
      <w:pPr>
        <w:ind w:left="1577" w:hanging="420"/>
      </w:pPr>
    </w:lvl>
    <w:lvl w:ilvl="2" w:tentative="0">
      <w:start w:val="1"/>
      <w:numFmt w:val="lowerRoman"/>
      <w:lvlText w:val="%3."/>
      <w:lvlJc w:val="right"/>
      <w:pPr>
        <w:ind w:left="1997" w:hanging="420"/>
      </w:pPr>
    </w:lvl>
    <w:lvl w:ilvl="3" w:tentative="0">
      <w:start w:val="1"/>
      <w:numFmt w:val="decimal"/>
      <w:lvlText w:val="%4."/>
      <w:lvlJc w:val="left"/>
      <w:pPr>
        <w:ind w:left="2417" w:hanging="420"/>
      </w:pPr>
    </w:lvl>
    <w:lvl w:ilvl="4" w:tentative="0">
      <w:start w:val="1"/>
      <w:numFmt w:val="lowerLetter"/>
      <w:lvlText w:val="%5)"/>
      <w:lvlJc w:val="left"/>
      <w:pPr>
        <w:ind w:left="2837" w:hanging="420"/>
      </w:pPr>
    </w:lvl>
    <w:lvl w:ilvl="5" w:tentative="0">
      <w:start w:val="1"/>
      <w:numFmt w:val="lowerRoman"/>
      <w:lvlText w:val="%6."/>
      <w:lvlJc w:val="right"/>
      <w:pPr>
        <w:ind w:left="3257" w:hanging="420"/>
      </w:pPr>
    </w:lvl>
    <w:lvl w:ilvl="6" w:tentative="0">
      <w:start w:val="1"/>
      <w:numFmt w:val="decimal"/>
      <w:lvlText w:val="%7."/>
      <w:lvlJc w:val="left"/>
      <w:pPr>
        <w:ind w:left="3677" w:hanging="420"/>
      </w:pPr>
    </w:lvl>
    <w:lvl w:ilvl="7" w:tentative="0">
      <w:start w:val="1"/>
      <w:numFmt w:val="lowerLetter"/>
      <w:lvlText w:val="%8)"/>
      <w:lvlJc w:val="left"/>
      <w:pPr>
        <w:ind w:left="4097" w:hanging="420"/>
      </w:pPr>
    </w:lvl>
    <w:lvl w:ilvl="8" w:tentative="0">
      <w:start w:val="1"/>
      <w:numFmt w:val="lowerRoman"/>
      <w:lvlText w:val="%9."/>
      <w:lvlJc w:val="right"/>
      <w:pPr>
        <w:ind w:left="4517" w:hanging="420"/>
      </w:pPr>
    </w:lvl>
  </w:abstractNum>
  <w:abstractNum w:abstractNumId="8">
    <w:nsid w:val="5CD06AEA"/>
    <w:multiLevelType w:val="multilevel"/>
    <w:tmpl w:val="5CD06AEA"/>
    <w:lvl w:ilvl="0" w:tentative="0">
      <w:start w:val="1"/>
      <w:numFmt w:val="decimal"/>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49C730E"/>
    <w:multiLevelType w:val="multilevel"/>
    <w:tmpl w:val="649C730E"/>
    <w:lvl w:ilvl="0" w:tentative="0">
      <w:start w:val="1"/>
      <w:numFmt w:val="decimal"/>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CEA2025"/>
    <w:multiLevelType w:val="multilevel"/>
    <w:tmpl w:val="6CEA2025"/>
    <w:lvl w:ilvl="0" w:tentative="0">
      <w:start w:val="1"/>
      <w:numFmt w:val="none"/>
      <w:pStyle w:val="54"/>
      <w:suff w:val="nothing"/>
      <w:lvlText w:val="%1"/>
      <w:lvlJc w:val="left"/>
      <w:pPr>
        <w:ind w:left="0" w:firstLine="0"/>
      </w:pPr>
      <w:rPr>
        <w:rFonts w:hint="default" w:ascii="Times New Roman" w:hAnsi="Times New Roman"/>
        <w:b/>
        <w:i w:val="0"/>
        <w:sz w:val="21"/>
      </w:rPr>
    </w:lvl>
    <w:lvl w:ilvl="1" w:tentative="0">
      <w:start w:val="4"/>
      <w:numFmt w:val="decimal"/>
      <w:pStyle w:val="55"/>
      <w:suff w:val="nothing"/>
      <w:lvlText w:val="%1%2　"/>
      <w:lvlJc w:val="left"/>
      <w:pPr>
        <w:ind w:left="0" w:firstLine="0"/>
      </w:pPr>
      <w:rPr>
        <w:rFonts w:hint="eastAsia" w:ascii="黑体" w:hAnsi="Times New Roman" w:eastAsia="黑体"/>
        <w:b w:val="0"/>
        <w:i w:val="0"/>
        <w:sz w:val="21"/>
      </w:rPr>
    </w:lvl>
    <w:lvl w:ilvl="2" w:tentative="0">
      <w:start w:val="1"/>
      <w:numFmt w:val="decimal"/>
      <w:pStyle w:val="56"/>
      <w:suff w:val="nothing"/>
      <w:lvlText w:val="%1%2.%3　"/>
      <w:lvlJc w:val="left"/>
      <w:pPr>
        <w:ind w:left="420" w:firstLine="0"/>
      </w:pPr>
      <w:rPr>
        <w:rFonts w:hint="eastAsia" w:ascii="黑体" w:hAnsi="Times New Roman" w:eastAsia="黑体"/>
        <w:b w:val="0"/>
        <w:i w:val="0"/>
        <w:sz w:val="24"/>
        <w:szCs w:val="24"/>
      </w:rPr>
    </w:lvl>
    <w:lvl w:ilvl="3" w:tentative="0">
      <w:start w:val="1"/>
      <w:numFmt w:val="decimal"/>
      <w:pStyle w:val="57"/>
      <w:suff w:val="nothing"/>
      <w:lvlText w:val="%1%2.%3.%4　"/>
      <w:lvlJc w:val="left"/>
      <w:pPr>
        <w:ind w:left="525"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76B26840"/>
    <w:multiLevelType w:val="multilevel"/>
    <w:tmpl w:val="76B26840"/>
    <w:lvl w:ilvl="0" w:tentative="0">
      <w:start w:val="1"/>
      <w:numFmt w:val="decimal"/>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4"/>
  </w:num>
  <w:num w:numId="3">
    <w:abstractNumId w:val="6"/>
  </w:num>
  <w:num w:numId="4">
    <w:abstractNumId w:val="1"/>
  </w:num>
  <w:num w:numId="5">
    <w:abstractNumId w:val="11"/>
  </w:num>
  <w:num w:numId="6">
    <w:abstractNumId w:val="3"/>
  </w:num>
  <w:num w:numId="7">
    <w:abstractNumId w:val="5"/>
  </w:num>
  <w:num w:numId="8">
    <w:abstractNumId w:val="8"/>
  </w:num>
  <w:num w:numId="9">
    <w:abstractNumId w:val="2"/>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jY2RhYTM4ZDQ3MzA2NDhkMWZiMTI4NmM3MDYxYzkifQ=="/>
  </w:docVars>
  <w:rsids>
    <w:rsidRoot w:val="00776ACB"/>
    <w:rsid w:val="00000FF6"/>
    <w:rsid w:val="000016A0"/>
    <w:rsid w:val="00001F10"/>
    <w:rsid w:val="0000373A"/>
    <w:rsid w:val="000067DE"/>
    <w:rsid w:val="00006FE0"/>
    <w:rsid w:val="00007321"/>
    <w:rsid w:val="00010DD1"/>
    <w:rsid w:val="00011433"/>
    <w:rsid w:val="0001152C"/>
    <w:rsid w:val="00014065"/>
    <w:rsid w:val="00014089"/>
    <w:rsid w:val="00014986"/>
    <w:rsid w:val="00015165"/>
    <w:rsid w:val="00015443"/>
    <w:rsid w:val="00016DA8"/>
    <w:rsid w:val="000179E6"/>
    <w:rsid w:val="00021045"/>
    <w:rsid w:val="00021441"/>
    <w:rsid w:val="0002261B"/>
    <w:rsid w:val="00022BF7"/>
    <w:rsid w:val="00022D30"/>
    <w:rsid w:val="0002306E"/>
    <w:rsid w:val="00023CD4"/>
    <w:rsid w:val="000261DD"/>
    <w:rsid w:val="000262F4"/>
    <w:rsid w:val="000264FB"/>
    <w:rsid w:val="00027C4E"/>
    <w:rsid w:val="00030735"/>
    <w:rsid w:val="00031239"/>
    <w:rsid w:val="000317C6"/>
    <w:rsid w:val="0003198E"/>
    <w:rsid w:val="0003270D"/>
    <w:rsid w:val="00033A25"/>
    <w:rsid w:val="00033B3D"/>
    <w:rsid w:val="00033DBA"/>
    <w:rsid w:val="00034AFE"/>
    <w:rsid w:val="00035866"/>
    <w:rsid w:val="000362A0"/>
    <w:rsid w:val="000364EE"/>
    <w:rsid w:val="00037146"/>
    <w:rsid w:val="000374C4"/>
    <w:rsid w:val="00040677"/>
    <w:rsid w:val="00041E34"/>
    <w:rsid w:val="00042308"/>
    <w:rsid w:val="0004235C"/>
    <w:rsid w:val="00043A3B"/>
    <w:rsid w:val="00043EB6"/>
    <w:rsid w:val="00045A9C"/>
    <w:rsid w:val="000461DD"/>
    <w:rsid w:val="00046BCD"/>
    <w:rsid w:val="000470AC"/>
    <w:rsid w:val="00047209"/>
    <w:rsid w:val="00050695"/>
    <w:rsid w:val="00050D71"/>
    <w:rsid w:val="000517F8"/>
    <w:rsid w:val="00052820"/>
    <w:rsid w:val="00052988"/>
    <w:rsid w:val="0005417F"/>
    <w:rsid w:val="000547AB"/>
    <w:rsid w:val="000576C0"/>
    <w:rsid w:val="000579C6"/>
    <w:rsid w:val="00060D25"/>
    <w:rsid w:val="000618D0"/>
    <w:rsid w:val="000618D9"/>
    <w:rsid w:val="000626B4"/>
    <w:rsid w:val="00062AD1"/>
    <w:rsid w:val="0006365F"/>
    <w:rsid w:val="0006414B"/>
    <w:rsid w:val="00065288"/>
    <w:rsid w:val="0006545B"/>
    <w:rsid w:val="00067725"/>
    <w:rsid w:val="00067CE5"/>
    <w:rsid w:val="00070980"/>
    <w:rsid w:val="000713C9"/>
    <w:rsid w:val="000756C2"/>
    <w:rsid w:val="0007693E"/>
    <w:rsid w:val="00076FCA"/>
    <w:rsid w:val="000778E7"/>
    <w:rsid w:val="00077DAF"/>
    <w:rsid w:val="000806A2"/>
    <w:rsid w:val="00080C95"/>
    <w:rsid w:val="00081339"/>
    <w:rsid w:val="000815DB"/>
    <w:rsid w:val="0008190D"/>
    <w:rsid w:val="00081EF7"/>
    <w:rsid w:val="00081F27"/>
    <w:rsid w:val="0008217C"/>
    <w:rsid w:val="00083A09"/>
    <w:rsid w:val="00084C20"/>
    <w:rsid w:val="0008722F"/>
    <w:rsid w:val="000877F6"/>
    <w:rsid w:val="00087CAF"/>
    <w:rsid w:val="0009046D"/>
    <w:rsid w:val="00091824"/>
    <w:rsid w:val="00091D99"/>
    <w:rsid w:val="00094AD5"/>
    <w:rsid w:val="00094DEE"/>
    <w:rsid w:val="0009512E"/>
    <w:rsid w:val="00095414"/>
    <w:rsid w:val="0009595D"/>
    <w:rsid w:val="0009600F"/>
    <w:rsid w:val="00096C63"/>
    <w:rsid w:val="0009714C"/>
    <w:rsid w:val="00097EF6"/>
    <w:rsid w:val="000A0596"/>
    <w:rsid w:val="000A18A3"/>
    <w:rsid w:val="000A1C1E"/>
    <w:rsid w:val="000A2119"/>
    <w:rsid w:val="000A2644"/>
    <w:rsid w:val="000A3C61"/>
    <w:rsid w:val="000A5533"/>
    <w:rsid w:val="000A57B4"/>
    <w:rsid w:val="000A5A72"/>
    <w:rsid w:val="000A665B"/>
    <w:rsid w:val="000B0136"/>
    <w:rsid w:val="000B02D3"/>
    <w:rsid w:val="000B02E5"/>
    <w:rsid w:val="000B048D"/>
    <w:rsid w:val="000B40EB"/>
    <w:rsid w:val="000B52E5"/>
    <w:rsid w:val="000B57CE"/>
    <w:rsid w:val="000B59B8"/>
    <w:rsid w:val="000B63A9"/>
    <w:rsid w:val="000B6648"/>
    <w:rsid w:val="000C024F"/>
    <w:rsid w:val="000C0B97"/>
    <w:rsid w:val="000C0BCD"/>
    <w:rsid w:val="000C22B7"/>
    <w:rsid w:val="000C292B"/>
    <w:rsid w:val="000C2ED5"/>
    <w:rsid w:val="000C3E9C"/>
    <w:rsid w:val="000C4260"/>
    <w:rsid w:val="000C4B19"/>
    <w:rsid w:val="000C5FC7"/>
    <w:rsid w:val="000C6C4D"/>
    <w:rsid w:val="000D0173"/>
    <w:rsid w:val="000D083E"/>
    <w:rsid w:val="000D17D1"/>
    <w:rsid w:val="000D2026"/>
    <w:rsid w:val="000D2470"/>
    <w:rsid w:val="000D2830"/>
    <w:rsid w:val="000D2A9A"/>
    <w:rsid w:val="000D2DF4"/>
    <w:rsid w:val="000D38DD"/>
    <w:rsid w:val="000D42EA"/>
    <w:rsid w:val="000D49F9"/>
    <w:rsid w:val="000D4B24"/>
    <w:rsid w:val="000E0C7A"/>
    <w:rsid w:val="000E1884"/>
    <w:rsid w:val="000E36AF"/>
    <w:rsid w:val="000E3ABA"/>
    <w:rsid w:val="000E3ED6"/>
    <w:rsid w:val="000E43E1"/>
    <w:rsid w:val="000E4809"/>
    <w:rsid w:val="000E4BA2"/>
    <w:rsid w:val="000E6096"/>
    <w:rsid w:val="000E65F4"/>
    <w:rsid w:val="000E6B8D"/>
    <w:rsid w:val="000E6EED"/>
    <w:rsid w:val="000E712D"/>
    <w:rsid w:val="000E7542"/>
    <w:rsid w:val="000E7F41"/>
    <w:rsid w:val="000F05E9"/>
    <w:rsid w:val="000F07F9"/>
    <w:rsid w:val="000F0A11"/>
    <w:rsid w:val="000F118F"/>
    <w:rsid w:val="000F186B"/>
    <w:rsid w:val="000F2325"/>
    <w:rsid w:val="000F2FE5"/>
    <w:rsid w:val="000F42FD"/>
    <w:rsid w:val="000F46E4"/>
    <w:rsid w:val="000F609F"/>
    <w:rsid w:val="000F6CE1"/>
    <w:rsid w:val="000F6DDC"/>
    <w:rsid w:val="000F6EC6"/>
    <w:rsid w:val="001010CE"/>
    <w:rsid w:val="001016C2"/>
    <w:rsid w:val="00102635"/>
    <w:rsid w:val="00103DDA"/>
    <w:rsid w:val="00104275"/>
    <w:rsid w:val="001049C6"/>
    <w:rsid w:val="001053BD"/>
    <w:rsid w:val="0010589B"/>
    <w:rsid w:val="001062A0"/>
    <w:rsid w:val="001101AE"/>
    <w:rsid w:val="001101C4"/>
    <w:rsid w:val="00110376"/>
    <w:rsid w:val="0011046E"/>
    <w:rsid w:val="001106C7"/>
    <w:rsid w:val="001107CE"/>
    <w:rsid w:val="00111598"/>
    <w:rsid w:val="0011282A"/>
    <w:rsid w:val="0011291E"/>
    <w:rsid w:val="00113078"/>
    <w:rsid w:val="00113F65"/>
    <w:rsid w:val="00114087"/>
    <w:rsid w:val="001140BA"/>
    <w:rsid w:val="001144FB"/>
    <w:rsid w:val="001149B1"/>
    <w:rsid w:val="001154EE"/>
    <w:rsid w:val="001163A6"/>
    <w:rsid w:val="00116AA2"/>
    <w:rsid w:val="0012023B"/>
    <w:rsid w:val="00120500"/>
    <w:rsid w:val="00120E74"/>
    <w:rsid w:val="00121BF0"/>
    <w:rsid w:val="0012270F"/>
    <w:rsid w:val="00124056"/>
    <w:rsid w:val="001254AB"/>
    <w:rsid w:val="00125653"/>
    <w:rsid w:val="0012584B"/>
    <w:rsid w:val="00125EE1"/>
    <w:rsid w:val="00126150"/>
    <w:rsid w:val="001277D5"/>
    <w:rsid w:val="001301A1"/>
    <w:rsid w:val="00131900"/>
    <w:rsid w:val="00132D7B"/>
    <w:rsid w:val="00132F07"/>
    <w:rsid w:val="001337ED"/>
    <w:rsid w:val="00133A46"/>
    <w:rsid w:val="001357A9"/>
    <w:rsid w:val="001371FC"/>
    <w:rsid w:val="00137B13"/>
    <w:rsid w:val="00137FF1"/>
    <w:rsid w:val="001401DD"/>
    <w:rsid w:val="00142561"/>
    <w:rsid w:val="001425BE"/>
    <w:rsid w:val="00142D7A"/>
    <w:rsid w:val="00142E75"/>
    <w:rsid w:val="001436E6"/>
    <w:rsid w:val="00144827"/>
    <w:rsid w:val="00145BD6"/>
    <w:rsid w:val="00145F0B"/>
    <w:rsid w:val="0014628B"/>
    <w:rsid w:val="00151A0B"/>
    <w:rsid w:val="00151ECA"/>
    <w:rsid w:val="0015356E"/>
    <w:rsid w:val="001538D9"/>
    <w:rsid w:val="001547E2"/>
    <w:rsid w:val="0015512F"/>
    <w:rsid w:val="0015590D"/>
    <w:rsid w:val="00157DD0"/>
    <w:rsid w:val="00157DE8"/>
    <w:rsid w:val="00160654"/>
    <w:rsid w:val="00160935"/>
    <w:rsid w:val="00162667"/>
    <w:rsid w:val="00162B25"/>
    <w:rsid w:val="00162B9E"/>
    <w:rsid w:val="00164A08"/>
    <w:rsid w:val="00164D2B"/>
    <w:rsid w:val="00165F8F"/>
    <w:rsid w:val="0016625D"/>
    <w:rsid w:val="0016707C"/>
    <w:rsid w:val="0016711D"/>
    <w:rsid w:val="001709C0"/>
    <w:rsid w:val="00170A20"/>
    <w:rsid w:val="00171065"/>
    <w:rsid w:val="001724DB"/>
    <w:rsid w:val="00172D33"/>
    <w:rsid w:val="00174146"/>
    <w:rsid w:val="0017449F"/>
    <w:rsid w:val="0017487F"/>
    <w:rsid w:val="00175925"/>
    <w:rsid w:val="001769B3"/>
    <w:rsid w:val="00177999"/>
    <w:rsid w:val="001804B1"/>
    <w:rsid w:val="001804EC"/>
    <w:rsid w:val="00181B63"/>
    <w:rsid w:val="00182099"/>
    <w:rsid w:val="00184A06"/>
    <w:rsid w:val="001858A8"/>
    <w:rsid w:val="00187A20"/>
    <w:rsid w:val="001900F9"/>
    <w:rsid w:val="00191D1D"/>
    <w:rsid w:val="00192829"/>
    <w:rsid w:val="00192FC1"/>
    <w:rsid w:val="00193957"/>
    <w:rsid w:val="00193B03"/>
    <w:rsid w:val="00193C62"/>
    <w:rsid w:val="001957AC"/>
    <w:rsid w:val="001961CB"/>
    <w:rsid w:val="001972C6"/>
    <w:rsid w:val="00197B16"/>
    <w:rsid w:val="001A0CC6"/>
    <w:rsid w:val="001A0F69"/>
    <w:rsid w:val="001A12B5"/>
    <w:rsid w:val="001A1AA0"/>
    <w:rsid w:val="001A1ADC"/>
    <w:rsid w:val="001A2E89"/>
    <w:rsid w:val="001A480A"/>
    <w:rsid w:val="001A5609"/>
    <w:rsid w:val="001A69E7"/>
    <w:rsid w:val="001B0261"/>
    <w:rsid w:val="001B446F"/>
    <w:rsid w:val="001B5212"/>
    <w:rsid w:val="001B5219"/>
    <w:rsid w:val="001B62F1"/>
    <w:rsid w:val="001B63D4"/>
    <w:rsid w:val="001B6511"/>
    <w:rsid w:val="001B6B36"/>
    <w:rsid w:val="001B6D9A"/>
    <w:rsid w:val="001B70C8"/>
    <w:rsid w:val="001C0D48"/>
    <w:rsid w:val="001C1B80"/>
    <w:rsid w:val="001C1CE7"/>
    <w:rsid w:val="001C1F60"/>
    <w:rsid w:val="001C26E1"/>
    <w:rsid w:val="001C4264"/>
    <w:rsid w:val="001C46D2"/>
    <w:rsid w:val="001C5149"/>
    <w:rsid w:val="001D1DC4"/>
    <w:rsid w:val="001D1E4C"/>
    <w:rsid w:val="001D3D82"/>
    <w:rsid w:val="001D3FFC"/>
    <w:rsid w:val="001D42BB"/>
    <w:rsid w:val="001D4304"/>
    <w:rsid w:val="001D5B9B"/>
    <w:rsid w:val="001D7375"/>
    <w:rsid w:val="001D7674"/>
    <w:rsid w:val="001E1339"/>
    <w:rsid w:val="001E4229"/>
    <w:rsid w:val="001E434A"/>
    <w:rsid w:val="001E455D"/>
    <w:rsid w:val="001E5957"/>
    <w:rsid w:val="001E5ECC"/>
    <w:rsid w:val="001E792D"/>
    <w:rsid w:val="001E7D55"/>
    <w:rsid w:val="001F2563"/>
    <w:rsid w:val="001F3062"/>
    <w:rsid w:val="001F3DA5"/>
    <w:rsid w:val="001F53C2"/>
    <w:rsid w:val="001F6618"/>
    <w:rsid w:val="001F7035"/>
    <w:rsid w:val="0020037E"/>
    <w:rsid w:val="00201284"/>
    <w:rsid w:val="002014A9"/>
    <w:rsid w:val="002015DD"/>
    <w:rsid w:val="00201AB7"/>
    <w:rsid w:val="0020279A"/>
    <w:rsid w:val="002027D3"/>
    <w:rsid w:val="00203051"/>
    <w:rsid w:val="00203CB2"/>
    <w:rsid w:val="00205060"/>
    <w:rsid w:val="00205634"/>
    <w:rsid w:val="00205A0C"/>
    <w:rsid w:val="002063D1"/>
    <w:rsid w:val="00206DEE"/>
    <w:rsid w:val="00206EE5"/>
    <w:rsid w:val="002078AA"/>
    <w:rsid w:val="00207E0F"/>
    <w:rsid w:val="00210C30"/>
    <w:rsid w:val="00211486"/>
    <w:rsid w:val="00211E4D"/>
    <w:rsid w:val="002130A7"/>
    <w:rsid w:val="0021339B"/>
    <w:rsid w:val="00213508"/>
    <w:rsid w:val="00213AD3"/>
    <w:rsid w:val="0021418E"/>
    <w:rsid w:val="002147EE"/>
    <w:rsid w:val="00215953"/>
    <w:rsid w:val="002162BE"/>
    <w:rsid w:val="00217195"/>
    <w:rsid w:val="002200A8"/>
    <w:rsid w:val="002208AF"/>
    <w:rsid w:val="00223324"/>
    <w:rsid w:val="0022487B"/>
    <w:rsid w:val="002251F3"/>
    <w:rsid w:val="002254E6"/>
    <w:rsid w:val="0022584E"/>
    <w:rsid w:val="00225B77"/>
    <w:rsid w:val="00225CB2"/>
    <w:rsid w:val="00226499"/>
    <w:rsid w:val="0022792C"/>
    <w:rsid w:val="002301BF"/>
    <w:rsid w:val="00230253"/>
    <w:rsid w:val="00230E32"/>
    <w:rsid w:val="0023331B"/>
    <w:rsid w:val="00233FD6"/>
    <w:rsid w:val="00234363"/>
    <w:rsid w:val="00234774"/>
    <w:rsid w:val="002348DA"/>
    <w:rsid w:val="00234A83"/>
    <w:rsid w:val="00234D74"/>
    <w:rsid w:val="00237427"/>
    <w:rsid w:val="00237F91"/>
    <w:rsid w:val="00240916"/>
    <w:rsid w:val="00240921"/>
    <w:rsid w:val="0024132E"/>
    <w:rsid w:val="00242A50"/>
    <w:rsid w:val="00242D23"/>
    <w:rsid w:val="00244ECB"/>
    <w:rsid w:val="00245179"/>
    <w:rsid w:val="002453BD"/>
    <w:rsid w:val="00245A10"/>
    <w:rsid w:val="00245B94"/>
    <w:rsid w:val="002461D2"/>
    <w:rsid w:val="0025083B"/>
    <w:rsid w:val="00250A39"/>
    <w:rsid w:val="00250BF8"/>
    <w:rsid w:val="00250F03"/>
    <w:rsid w:val="002547F3"/>
    <w:rsid w:val="00254E6F"/>
    <w:rsid w:val="0025628E"/>
    <w:rsid w:val="00261C47"/>
    <w:rsid w:val="00263FBC"/>
    <w:rsid w:val="00264B58"/>
    <w:rsid w:val="00265EA3"/>
    <w:rsid w:val="002666E4"/>
    <w:rsid w:val="00266A80"/>
    <w:rsid w:val="00266CC3"/>
    <w:rsid w:val="00272112"/>
    <w:rsid w:val="0027230B"/>
    <w:rsid w:val="00273996"/>
    <w:rsid w:val="00273BCE"/>
    <w:rsid w:val="00273EF2"/>
    <w:rsid w:val="00274BAF"/>
    <w:rsid w:val="00275AFC"/>
    <w:rsid w:val="00276834"/>
    <w:rsid w:val="00276B35"/>
    <w:rsid w:val="00276C93"/>
    <w:rsid w:val="00277802"/>
    <w:rsid w:val="00277839"/>
    <w:rsid w:val="00280701"/>
    <w:rsid w:val="002810A4"/>
    <w:rsid w:val="00281295"/>
    <w:rsid w:val="00281A6E"/>
    <w:rsid w:val="00282D2C"/>
    <w:rsid w:val="00283303"/>
    <w:rsid w:val="0028432B"/>
    <w:rsid w:val="0028578D"/>
    <w:rsid w:val="00285EBE"/>
    <w:rsid w:val="00287C5B"/>
    <w:rsid w:val="00287CFF"/>
    <w:rsid w:val="00287E7B"/>
    <w:rsid w:val="0029046F"/>
    <w:rsid w:val="00290B26"/>
    <w:rsid w:val="00290C4D"/>
    <w:rsid w:val="002917EC"/>
    <w:rsid w:val="002918F1"/>
    <w:rsid w:val="00291AFB"/>
    <w:rsid w:val="00291E51"/>
    <w:rsid w:val="002922A2"/>
    <w:rsid w:val="00292435"/>
    <w:rsid w:val="00294CE0"/>
    <w:rsid w:val="00295F90"/>
    <w:rsid w:val="0029642C"/>
    <w:rsid w:val="00296A4F"/>
    <w:rsid w:val="0029701C"/>
    <w:rsid w:val="002977F5"/>
    <w:rsid w:val="0029791E"/>
    <w:rsid w:val="00297CA8"/>
    <w:rsid w:val="002A0054"/>
    <w:rsid w:val="002A03C8"/>
    <w:rsid w:val="002A0A06"/>
    <w:rsid w:val="002A3989"/>
    <w:rsid w:val="002A3CAD"/>
    <w:rsid w:val="002A3ECF"/>
    <w:rsid w:val="002A4798"/>
    <w:rsid w:val="002A6069"/>
    <w:rsid w:val="002A6C1E"/>
    <w:rsid w:val="002A74E4"/>
    <w:rsid w:val="002A7B57"/>
    <w:rsid w:val="002B0F10"/>
    <w:rsid w:val="002B1108"/>
    <w:rsid w:val="002B15AD"/>
    <w:rsid w:val="002B1E12"/>
    <w:rsid w:val="002B2C04"/>
    <w:rsid w:val="002B3B5C"/>
    <w:rsid w:val="002B3DA1"/>
    <w:rsid w:val="002B5C91"/>
    <w:rsid w:val="002B786F"/>
    <w:rsid w:val="002C1C27"/>
    <w:rsid w:val="002C2D40"/>
    <w:rsid w:val="002C4E9C"/>
    <w:rsid w:val="002C51FD"/>
    <w:rsid w:val="002C54AD"/>
    <w:rsid w:val="002C554D"/>
    <w:rsid w:val="002C57B0"/>
    <w:rsid w:val="002C59C6"/>
    <w:rsid w:val="002C60CA"/>
    <w:rsid w:val="002C6F3A"/>
    <w:rsid w:val="002C7020"/>
    <w:rsid w:val="002D0DA0"/>
    <w:rsid w:val="002D146D"/>
    <w:rsid w:val="002D197A"/>
    <w:rsid w:val="002D1BF3"/>
    <w:rsid w:val="002D224D"/>
    <w:rsid w:val="002D2399"/>
    <w:rsid w:val="002D3BE2"/>
    <w:rsid w:val="002D3D75"/>
    <w:rsid w:val="002D4A9E"/>
    <w:rsid w:val="002D55B2"/>
    <w:rsid w:val="002D5708"/>
    <w:rsid w:val="002D750D"/>
    <w:rsid w:val="002E0E5A"/>
    <w:rsid w:val="002E1940"/>
    <w:rsid w:val="002E4B8C"/>
    <w:rsid w:val="002E5432"/>
    <w:rsid w:val="002E5C4E"/>
    <w:rsid w:val="002E685F"/>
    <w:rsid w:val="002E6BAB"/>
    <w:rsid w:val="002E7DB2"/>
    <w:rsid w:val="002F14BC"/>
    <w:rsid w:val="002F1FBD"/>
    <w:rsid w:val="002F29C9"/>
    <w:rsid w:val="002F310F"/>
    <w:rsid w:val="002F39BE"/>
    <w:rsid w:val="002F4D52"/>
    <w:rsid w:val="002F5485"/>
    <w:rsid w:val="002F556F"/>
    <w:rsid w:val="002F6430"/>
    <w:rsid w:val="002F672C"/>
    <w:rsid w:val="002F77E8"/>
    <w:rsid w:val="00300339"/>
    <w:rsid w:val="0030060C"/>
    <w:rsid w:val="00301927"/>
    <w:rsid w:val="00301A09"/>
    <w:rsid w:val="00301F64"/>
    <w:rsid w:val="0030252F"/>
    <w:rsid w:val="00302AF2"/>
    <w:rsid w:val="003034B8"/>
    <w:rsid w:val="00303E49"/>
    <w:rsid w:val="00303EE6"/>
    <w:rsid w:val="003047C7"/>
    <w:rsid w:val="00304FEA"/>
    <w:rsid w:val="00305EE4"/>
    <w:rsid w:val="00306E4A"/>
    <w:rsid w:val="00307EE8"/>
    <w:rsid w:val="00311635"/>
    <w:rsid w:val="00313A30"/>
    <w:rsid w:val="00313A56"/>
    <w:rsid w:val="00315997"/>
    <w:rsid w:val="00316208"/>
    <w:rsid w:val="00316839"/>
    <w:rsid w:val="003168C3"/>
    <w:rsid w:val="00316CEA"/>
    <w:rsid w:val="003170D4"/>
    <w:rsid w:val="00317A65"/>
    <w:rsid w:val="00320209"/>
    <w:rsid w:val="00320894"/>
    <w:rsid w:val="00320A6F"/>
    <w:rsid w:val="00320AFE"/>
    <w:rsid w:val="00321B8F"/>
    <w:rsid w:val="003222E6"/>
    <w:rsid w:val="003224FC"/>
    <w:rsid w:val="00323051"/>
    <w:rsid w:val="003238AD"/>
    <w:rsid w:val="003244BE"/>
    <w:rsid w:val="00324824"/>
    <w:rsid w:val="00324C84"/>
    <w:rsid w:val="00325256"/>
    <w:rsid w:val="0033019D"/>
    <w:rsid w:val="00330634"/>
    <w:rsid w:val="003343B4"/>
    <w:rsid w:val="00334D9F"/>
    <w:rsid w:val="003356E2"/>
    <w:rsid w:val="00335B0E"/>
    <w:rsid w:val="00336BA5"/>
    <w:rsid w:val="0033703D"/>
    <w:rsid w:val="00337186"/>
    <w:rsid w:val="00340EF3"/>
    <w:rsid w:val="003410CD"/>
    <w:rsid w:val="003413D6"/>
    <w:rsid w:val="003422F9"/>
    <w:rsid w:val="00342E58"/>
    <w:rsid w:val="00344EA3"/>
    <w:rsid w:val="00344EFC"/>
    <w:rsid w:val="003459AE"/>
    <w:rsid w:val="003460F0"/>
    <w:rsid w:val="00346316"/>
    <w:rsid w:val="003467D9"/>
    <w:rsid w:val="0034799F"/>
    <w:rsid w:val="003500B2"/>
    <w:rsid w:val="003508C8"/>
    <w:rsid w:val="00351179"/>
    <w:rsid w:val="0035132E"/>
    <w:rsid w:val="0035152A"/>
    <w:rsid w:val="00351982"/>
    <w:rsid w:val="00351DA3"/>
    <w:rsid w:val="00353A51"/>
    <w:rsid w:val="00355F68"/>
    <w:rsid w:val="00361437"/>
    <w:rsid w:val="0036154F"/>
    <w:rsid w:val="00361871"/>
    <w:rsid w:val="00361A4E"/>
    <w:rsid w:val="00361B68"/>
    <w:rsid w:val="00361D90"/>
    <w:rsid w:val="00362BC1"/>
    <w:rsid w:val="00362CD0"/>
    <w:rsid w:val="0036692C"/>
    <w:rsid w:val="003675B3"/>
    <w:rsid w:val="003677D5"/>
    <w:rsid w:val="00367F63"/>
    <w:rsid w:val="00370796"/>
    <w:rsid w:val="003717DC"/>
    <w:rsid w:val="00372328"/>
    <w:rsid w:val="0037233D"/>
    <w:rsid w:val="0037279B"/>
    <w:rsid w:val="003733AF"/>
    <w:rsid w:val="003735AD"/>
    <w:rsid w:val="00375012"/>
    <w:rsid w:val="00375348"/>
    <w:rsid w:val="00375812"/>
    <w:rsid w:val="003804E7"/>
    <w:rsid w:val="0038120D"/>
    <w:rsid w:val="00381B52"/>
    <w:rsid w:val="00381F02"/>
    <w:rsid w:val="00382798"/>
    <w:rsid w:val="00383C1C"/>
    <w:rsid w:val="003841F7"/>
    <w:rsid w:val="00385F1D"/>
    <w:rsid w:val="00387959"/>
    <w:rsid w:val="00387F51"/>
    <w:rsid w:val="00390903"/>
    <w:rsid w:val="00390E84"/>
    <w:rsid w:val="00390F96"/>
    <w:rsid w:val="003915B1"/>
    <w:rsid w:val="00391960"/>
    <w:rsid w:val="0039215F"/>
    <w:rsid w:val="00392C77"/>
    <w:rsid w:val="003936AC"/>
    <w:rsid w:val="00394025"/>
    <w:rsid w:val="003940BE"/>
    <w:rsid w:val="003943DE"/>
    <w:rsid w:val="0039506E"/>
    <w:rsid w:val="0039512A"/>
    <w:rsid w:val="00395B37"/>
    <w:rsid w:val="00396E74"/>
    <w:rsid w:val="00397F96"/>
    <w:rsid w:val="003A0990"/>
    <w:rsid w:val="003A0BCA"/>
    <w:rsid w:val="003A3057"/>
    <w:rsid w:val="003A4CA1"/>
    <w:rsid w:val="003A56A1"/>
    <w:rsid w:val="003A729C"/>
    <w:rsid w:val="003A74D8"/>
    <w:rsid w:val="003A7B69"/>
    <w:rsid w:val="003B0178"/>
    <w:rsid w:val="003B09AB"/>
    <w:rsid w:val="003B150D"/>
    <w:rsid w:val="003B180C"/>
    <w:rsid w:val="003B1ADE"/>
    <w:rsid w:val="003B1D66"/>
    <w:rsid w:val="003B1EF3"/>
    <w:rsid w:val="003B20FA"/>
    <w:rsid w:val="003B3950"/>
    <w:rsid w:val="003B3C53"/>
    <w:rsid w:val="003B44E1"/>
    <w:rsid w:val="003B4F4B"/>
    <w:rsid w:val="003B6296"/>
    <w:rsid w:val="003B63A9"/>
    <w:rsid w:val="003B6C1E"/>
    <w:rsid w:val="003B6D56"/>
    <w:rsid w:val="003B7EE8"/>
    <w:rsid w:val="003C195F"/>
    <w:rsid w:val="003C19E7"/>
    <w:rsid w:val="003C2112"/>
    <w:rsid w:val="003C2EFB"/>
    <w:rsid w:val="003C30C2"/>
    <w:rsid w:val="003C3A24"/>
    <w:rsid w:val="003C6C19"/>
    <w:rsid w:val="003D0120"/>
    <w:rsid w:val="003D0DA1"/>
    <w:rsid w:val="003D147D"/>
    <w:rsid w:val="003D1CCD"/>
    <w:rsid w:val="003D2971"/>
    <w:rsid w:val="003D2F51"/>
    <w:rsid w:val="003D3624"/>
    <w:rsid w:val="003D3896"/>
    <w:rsid w:val="003D3D3F"/>
    <w:rsid w:val="003D547C"/>
    <w:rsid w:val="003D58EC"/>
    <w:rsid w:val="003D6432"/>
    <w:rsid w:val="003D7AA6"/>
    <w:rsid w:val="003E0458"/>
    <w:rsid w:val="003E0C93"/>
    <w:rsid w:val="003E0D3A"/>
    <w:rsid w:val="003E0E11"/>
    <w:rsid w:val="003E13A0"/>
    <w:rsid w:val="003E196B"/>
    <w:rsid w:val="003E1FD9"/>
    <w:rsid w:val="003E27C1"/>
    <w:rsid w:val="003E2AE2"/>
    <w:rsid w:val="003E2F12"/>
    <w:rsid w:val="003E351B"/>
    <w:rsid w:val="003E3FA4"/>
    <w:rsid w:val="003E4131"/>
    <w:rsid w:val="003E4253"/>
    <w:rsid w:val="003E4D88"/>
    <w:rsid w:val="003E65F7"/>
    <w:rsid w:val="003E7076"/>
    <w:rsid w:val="003E77EA"/>
    <w:rsid w:val="003E7ACD"/>
    <w:rsid w:val="003E7F7A"/>
    <w:rsid w:val="003F039D"/>
    <w:rsid w:val="003F03A0"/>
    <w:rsid w:val="003F0C89"/>
    <w:rsid w:val="003F2720"/>
    <w:rsid w:val="003F3464"/>
    <w:rsid w:val="003F3526"/>
    <w:rsid w:val="003F3B7A"/>
    <w:rsid w:val="003F4138"/>
    <w:rsid w:val="003F4162"/>
    <w:rsid w:val="003F420D"/>
    <w:rsid w:val="003F422C"/>
    <w:rsid w:val="003F479C"/>
    <w:rsid w:val="003F4BD3"/>
    <w:rsid w:val="003F55B1"/>
    <w:rsid w:val="003F621B"/>
    <w:rsid w:val="003F6875"/>
    <w:rsid w:val="003F7769"/>
    <w:rsid w:val="003F7DB6"/>
    <w:rsid w:val="00400F08"/>
    <w:rsid w:val="00401504"/>
    <w:rsid w:val="00401F16"/>
    <w:rsid w:val="004024D8"/>
    <w:rsid w:val="004050E3"/>
    <w:rsid w:val="0040768A"/>
    <w:rsid w:val="00410FC6"/>
    <w:rsid w:val="00412665"/>
    <w:rsid w:val="00412688"/>
    <w:rsid w:val="00412BA6"/>
    <w:rsid w:val="00412CC1"/>
    <w:rsid w:val="00413BE9"/>
    <w:rsid w:val="004153C2"/>
    <w:rsid w:val="004169FA"/>
    <w:rsid w:val="0042140F"/>
    <w:rsid w:val="00422C59"/>
    <w:rsid w:val="00423723"/>
    <w:rsid w:val="00424835"/>
    <w:rsid w:val="00424A3C"/>
    <w:rsid w:val="004259D7"/>
    <w:rsid w:val="00426073"/>
    <w:rsid w:val="004268EE"/>
    <w:rsid w:val="004300F7"/>
    <w:rsid w:val="00430331"/>
    <w:rsid w:val="0043042E"/>
    <w:rsid w:val="00430576"/>
    <w:rsid w:val="00430749"/>
    <w:rsid w:val="00430843"/>
    <w:rsid w:val="00430E3C"/>
    <w:rsid w:val="00431092"/>
    <w:rsid w:val="00431ACF"/>
    <w:rsid w:val="00432B7B"/>
    <w:rsid w:val="00433213"/>
    <w:rsid w:val="0043330D"/>
    <w:rsid w:val="004343EB"/>
    <w:rsid w:val="00434A6A"/>
    <w:rsid w:val="00434B9A"/>
    <w:rsid w:val="00434D8F"/>
    <w:rsid w:val="004367EA"/>
    <w:rsid w:val="004376AF"/>
    <w:rsid w:val="00437C83"/>
    <w:rsid w:val="004405BA"/>
    <w:rsid w:val="0044090E"/>
    <w:rsid w:val="004414C5"/>
    <w:rsid w:val="00441D72"/>
    <w:rsid w:val="00441E80"/>
    <w:rsid w:val="0044404F"/>
    <w:rsid w:val="00445EFA"/>
    <w:rsid w:val="004469A0"/>
    <w:rsid w:val="004469A4"/>
    <w:rsid w:val="00446C1E"/>
    <w:rsid w:val="00447D71"/>
    <w:rsid w:val="00450EA1"/>
    <w:rsid w:val="00452244"/>
    <w:rsid w:val="0045245B"/>
    <w:rsid w:val="00452C9F"/>
    <w:rsid w:val="004535C7"/>
    <w:rsid w:val="00453DD4"/>
    <w:rsid w:val="00454331"/>
    <w:rsid w:val="0045470A"/>
    <w:rsid w:val="00455420"/>
    <w:rsid w:val="004566AD"/>
    <w:rsid w:val="0046008A"/>
    <w:rsid w:val="00460414"/>
    <w:rsid w:val="00461945"/>
    <w:rsid w:val="00461DF9"/>
    <w:rsid w:val="004629ED"/>
    <w:rsid w:val="00463085"/>
    <w:rsid w:val="004633DB"/>
    <w:rsid w:val="00463CE2"/>
    <w:rsid w:val="004678F2"/>
    <w:rsid w:val="00467B89"/>
    <w:rsid w:val="00467C15"/>
    <w:rsid w:val="00470162"/>
    <w:rsid w:val="0047051B"/>
    <w:rsid w:val="00470E01"/>
    <w:rsid w:val="00470FD6"/>
    <w:rsid w:val="00471E11"/>
    <w:rsid w:val="0047205F"/>
    <w:rsid w:val="0047269A"/>
    <w:rsid w:val="004733B0"/>
    <w:rsid w:val="0047559F"/>
    <w:rsid w:val="004759D0"/>
    <w:rsid w:val="004774C5"/>
    <w:rsid w:val="00480110"/>
    <w:rsid w:val="00481DCC"/>
    <w:rsid w:val="00482CA2"/>
    <w:rsid w:val="00483403"/>
    <w:rsid w:val="00484D7E"/>
    <w:rsid w:val="004861BA"/>
    <w:rsid w:val="00487588"/>
    <w:rsid w:val="00487D74"/>
    <w:rsid w:val="00487E9C"/>
    <w:rsid w:val="00491028"/>
    <w:rsid w:val="00493081"/>
    <w:rsid w:val="004944CF"/>
    <w:rsid w:val="00496151"/>
    <w:rsid w:val="00496564"/>
    <w:rsid w:val="00496B1D"/>
    <w:rsid w:val="00497338"/>
    <w:rsid w:val="004A0B2A"/>
    <w:rsid w:val="004A1B93"/>
    <w:rsid w:val="004A2274"/>
    <w:rsid w:val="004A2C95"/>
    <w:rsid w:val="004A332C"/>
    <w:rsid w:val="004A4813"/>
    <w:rsid w:val="004A4FDB"/>
    <w:rsid w:val="004A5056"/>
    <w:rsid w:val="004A54FC"/>
    <w:rsid w:val="004A685D"/>
    <w:rsid w:val="004A7954"/>
    <w:rsid w:val="004B0059"/>
    <w:rsid w:val="004B0C8B"/>
    <w:rsid w:val="004B111D"/>
    <w:rsid w:val="004B2652"/>
    <w:rsid w:val="004B37E8"/>
    <w:rsid w:val="004B5187"/>
    <w:rsid w:val="004B58CA"/>
    <w:rsid w:val="004B6187"/>
    <w:rsid w:val="004B73A2"/>
    <w:rsid w:val="004B7F02"/>
    <w:rsid w:val="004C0127"/>
    <w:rsid w:val="004C1467"/>
    <w:rsid w:val="004C1954"/>
    <w:rsid w:val="004C1D6B"/>
    <w:rsid w:val="004C1DB8"/>
    <w:rsid w:val="004C2082"/>
    <w:rsid w:val="004C27FA"/>
    <w:rsid w:val="004C28B2"/>
    <w:rsid w:val="004C3926"/>
    <w:rsid w:val="004C3B57"/>
    <w:rsid w:val="004C3F36"/>
    <w:rsid w:val="004C4CEB"/>
    <w:rsid w:val="004C532F"/>
    <w:rsid w:val="004C5656"/>
    <w:rsid w:val="004C5F7D"/>
    <w:rsid w:val="004C62FD"/>
    <w:rsid w:val="004C6D53"/>
    <w:rsid w:val="004D078E"/>
    <w:rsid w:val="004D1BA7"/>
    <w:rsid w:val="004D21DE"/>
    <w:rsid w:val="004D283C"/>
    <w:rsid w:val="004D3192"/>
    <w:rsid w:val="004D3272"/>
    <w:rsid w:val="004D4AFC"/>
    <w:rsid w:val="004D633A"/>
    <w:rsid w:val="004D6BFD"/>
    <w:rsid w:val="004D733C"/>
    <w:rsid w:val="004D7423"/>
    <w:rsid w:val="004E07BE"/>
    <w:rsid w:val="004E0BFB"/>
    <w:rsid w:val="004E0DED"/>
    <w:rsid w:val="004E29C6"/>
    <w:rsid w:val="004E2B2A"/>
    <w:rsid w:val="004E2D68"/>
    <w:rsid w:val="004E3182"/>
    <w:rsid w:val="004E4498"/>
    <w:rsid w:val="004E4572"/>
    <w:rsid w:val="004E4DC0"/>
    <w:rsid w:val="004E6504"/>
    <w:rsid w:val="004F101C"/>
    <w:rsid w:val="004F2B3D"/>
    <w:rsid w:val="004F4393"/>
    <w:rsid w:val="004F4820"/>
    <w:rsid w:val="004F549E"/>
    <w:rsid w:val="004F5647"/>
    <w:rsid w:val="004F6635"/>
    <w:rsid w:val="004F7627"/>
    <w:rsid w:val="004F7B04"/>
    <w:rsid w:val="00500000"/>
    <w:rsid w:val="00500CD3"/>
    <w:rsid w:val="00501588"/>
    <w:rsid w:val="00502D39"/>
    <w:rsid w:val="00502E0A"/>
    <w:rsid w:val="00504663"/>
    <w:rsid w:val="00504904"/>
    <w:rsid w:val="00505300"/>
    <w:rsid w:val="005064C0"/>
    <w:rsid w:val="00506CD4"/>
    <w:rsid w:val="00507F61"/>
    <w:rsid w:val="00510E4E"/>
    <w:rsid w:val="00512385"/>
    <w:rsid w:val="00512C6A"/>
    <w:rsid w:val="00512EC9"/>
    <w:rsid w:val="00513E8D"/>
    <w:rsid w:val="00513FB1"/>
    <w:rsid w:val="005141DB"/>
    <w:rsid w:val="0051448C"/>
    <w:rsid w:val="00514740"/>
    <w:rsid w:val="005159E7"/>
    <w:rsid w:val="00515F61"/>
    <w:rsid w:val="00516B24"/>
    <w:rsid w:val="005204DF"/>
    <w:rsid w:val="00520BE2"/>
    <w:rsid w:val="005215D5"/>
    <w:rsid w:val="00523418"/>
    <w:rsid w:val="00524761"/>
    <w:rsid w:val="0052671A"/>
    <w:rsid w:val="0052681D"/>
    <w:rsid w:val="00527B65"/>
    <w:rsid w:val="00530437"/>
    <w:rsid w:val="0053096E"/>
    <w:rsid w:val="00531683"/>
    <w:rsid w:val="005326A4"/>
    <w:rsid w:val="00532E8A"/>
    <w:rsid w:val="00534839"/>
    <w:rsid w:val="00534B62"/>
    <w:rsid w:val="005351B1"/>
    <w:rsid w:val="005358E2"/>
    <w:rsid w:val="00536E87"/>
    <w:rsid w:val="00537678"/>
    <w:rsid w:val="00540EB0"/>
    <w:rsid w:val="005413A8"/>
    <w:rsid w:val="005413FB"/>
    <w:rsid w:val="0054201C"/>
    <w:rsid w:val="0054218F"/>
    <w:rsid w:val="005422AD"/>
    <w:rsid w:val="0054256C"/>
    <w:rsid w:val="00542A5D"/>
    <w:rsid w:val="005430D5"/>
    <w:rsid w:val="005452C7"/>
    <w:rsid w:val="00545939"/>
    <w:rsid w:val="00547E1A"/>
    <w:rsid w:val="00550690"/>
    <w:rsid w:val="00550881"/>
    <w:rsid w:val="00550ECA"/>
    <w:rsid w:val="00552D32"/>
    <w:rsid w:val="00554814"/>
    <w:rsid w:val="00554E99"/>
    <w:rsid w:val="00556234"/>
    <w:rsid w:val="0055661B"/>
    <w:rsid w:val="00556E5D"/>
    <w:rsid w:val="005573C3"/>
    <w:rsid w:val="005575D8"/>
    <w:rsid w:val="00557780"/>
    <w:rsid w:val="00560F29"/>
    <w:rsid w:val="0056139D"/>
    <w:rsid w:val="0056144E"/>
    <w:rsid w:val="00561995"/>
    <w:rsid w:val="00562418"/>
    <w:rsid w:val="00562668"/>
    <w:rsid w:val="005657D0"/>
    <w:rsid w:val="00566890"/>
    <w:rsid w:val="005708DF"/>
    <w:rsid w:val="00571345"/>
    <w:rsid w:val="00571CEE"/>
    <w:rsid w:val="00572107"/>
    <w:rsid w:val="005730D9"/>
    <w:rsid w:val="0057336F"/>
    <w:rsid w:val="00573997"/>
    <w:rsid w:val="00573FA6"/>
    <w:rsid w:val="005747A4"/>
    <w:rsid w:val="00575037"/>
    <w:rsid w:val="00575307"/>
    <w:rsid w:val="00575CF6"/>
    <w:rsid w:val="005763A3"/>
    <w:rsid w:val="00576C8D"/>
    <w:rsid w:val="00580418"/>
    <w:rsid w:val="00580A47"/>
    <w:rsid w:val="00581E9F"/>
    <w:rsid w:val="00582589"/>
    <w:rsid w:val="00582AB9"/>
    <w:rsid w:val="0058314B"/>
    <w:rsid w:val="005836B1"/>
    <w:rsid w:val="00583C68"/>
    <w:rsid w:val="00584BD9"/>
    <w:rsid w:val="0058633D"/>
    <w:rsid w:val="005872B1"/>
    <w:rsid w:val="005876F6"/>
    <w:rsid w:val="005914C0"/>
    <w:rsid w:val="005928F0"/>
    <w:rsid w:val="00592CF4"/>
    <w:rsid w:val="00593797"/>
    <w:rsid w:val="00593A2C"/>
    <w:rsid w:val="00594561"/>
    <w:rsid w:val="00596BC1"/>
    <w:rsid w:val="00597E2E"/>
    <w:rsid w:val="00597E41"/>
    <w:rsid w:val="005A1271"/>
    <w:rsid w:val="005A2BA1"/>
    <w:rsid w:val="005A2E92"/>
    <w:rsid w:val="005A3341"/>
    <w:rsid w:val="005A3988"/>
    <w:rsid w:val="005A40E3"/>
    <w:rsid w:val="005A4E09"/>
    <w:rsid w:val="005A6347"/>
    <w:rsid w:val="005A699B"/>
    <w:rsid w:val="005A6A4B"/>
    <w:rsid w:val="005A7044"/>
    <w:rsid w:val="005A7B04"/>
    <w:rsid w:val="005B0BE7"/>
    <w:rsid w:val="005B1227"/>
    <w:rsid w:val="005B20D3"/>
    <w:rsid w:val="005B353A"/>
    <w:rsid w:val="005B4613"/>
    <w:rsid w:val="005B59E7"/>
    <w:rsid w:val="005B6008"/>
    <w:rsid w:val="005B6AF2"/>
    <w:rsid w:val="005B6D91"/>
    <w:rsid w:val="005B7671"/>
    <w:rsid w:val="005C002C"/>
    <w:rsid w:val="005C024B"/>
    <w:rsid w:val="005C15D2"/>
    <w:rsid w:val="005C15DD"/>
    <w:rsid w:val="005C29D3"/>
    <w:rsid w:val="005C35D6"/>
    <w:rsid w:val="005C3716"/>
    <w:rsid w:val="005C45F6"/>
    <w:rsid w:val="005C5A90"/>
    <w:rsid w:val="005D0FA5"/>
    <w:rsid w:val="005D13C1"/>
    <w:rsid w:val="005D4365"/>
    <w:rsid w:val="005D5BD1"/>
    <w:rsid w:val="005D701A"/>
    <w:rsid w:val="005E0FD9"/>
    <w:rsid w:val="005E1A06"/>
    <w:rsid w:val="005E1CB9"/>
    <w:rsid w:val="005E1D0E"/>
    <w:rsid w:val="005E273E"/>
    <w:rsid w:val="005E38C2"/>
    <w:rsid w:val="005E4B0B"/>
    <w:rsid w:val="005E4C80"/>
    <w:rsid w:val="005E55C9"/>
    <w:rsid w:val="005E5A1E"/>
    <w:rsid w:val="005E641C"/>
    <w:rsid w:val="005F0385"/>
    <w:rsid w:val="005F18E8"/>
    <w:rsid w:val="005F223D"/>
    <w:rsid w:val="005F2527"/>
    <w:rsid w:val="005F378A"/>
    <w:rsid w:val="005F581E"/>
    <w:rsid w:val="005F6311"/>
    <w:rsid w:val="005F66A9"/>
    <w:rsid w:val="005F72A8"/>
    <w:rsid w:val="00600972"/>
    <w:rsid w:val="00601D15"/>
    <w:rsid w:val="00603158"/>
    <w:rsid w:val="0060316C"/>
    <w:rsid w:val="00603186"/>
    <w:rsid w:val="006042AB"/>
    <w:rsid w:val="006043E4"/>
    <w:rsid w:val="00605127"/>
    <w:rsid w:val="00606EE6"/>
    <w:rsid w:val="006113BA"/>
    <w:rsid w:val="006117B0"/>
    <w:rsid w:val="0061192D"/>
    <w:rsid w:val="006119B3"/>
    <w:rsid w:val="006119C9"/>
    <w:rsid w:val="00611B32"/>
    <w:rsid w:val="00613FA3"/>
    <w:rsid w:val="00614318"/>
    <w:rsid w:val="00615480"/>
    <w:rsid w:val="006168E6"/>
    <w:rsid w:val="00617190"/>
    <w:rsid w:val="00617E72"/>
    <w:rsid w:val="00621062"/>
    <w:rsid w:val="00621108"/>
    <w:rsid w:val="00621784"/>
    <w:rsid w:val="00621C9A"/>
    <w:rsid w:val="00621CCB"/>
    <w:rsid w:val="0062283D"/>
    <w:rsid w:val="00622BE4"/>
    <w:rsid w:val="0062333E"/>
    <w:rsid w:val="00623D31"/>
    <w:rsid w:val="00624014"/>
    <w:rsid w:val="00624D27"/>
    <w:rsid w:val="006256BA"/>
    <w:rsid w:val="0063126D"/>
    <w:rsid w:val="00631496"/>
    <w:rsid w:val="0063213E"/>
    <w:rsid w:val="006344AF"/>
    <w:rsid w:val="00634873"/>
    <w:rsid w:val="006350E0"/>
    <w:rsid w:val="006354BA"/>
    <w:rsid w:val="00636096"/>
    <w:rsid w:val="00641237"/>
    <w:rsid w:val="0064210F"/>
    <w:rsid w:val="00642542"/>
    <w:rsid w:val="00642D2E"/>
    <w:rsid w:val="00643655"/>
    <w:rsid w:val="00645330"/>
    <w:rsid w:val="006454D1"/>
    <w:rsid w:val="00646707"/>
    <w:rsid w:val="00647B09"/>
    <w:rsid w:val="00647E7D"/>
    <w:rsid w:val="00647E8C"/>
    <w:rsid w:val="006512A2"/>
    <w:rsid w:val="006513E9"/>
    <w:rsid w:val="006516B7"/>
    <w:rsid w:val="00651747"/>
    <w:rsid w:val="00651A4A"/>
    <w:rsid w:val="00652273"/>
    <w:rsid w:val="00653826"/>
    <w:rsid w:val="00653B69"/>
    <w:rsid w:val="00653C97"/>
    <w:rsid w:val="00653F8F"/>
    <w:rsid w:val="00654831"/>
    <w:rsid w:val="00654F3B"/>
    <w:rsid w:val="0065579D"/>
    <w:rsid w:val="006567B6"/>
    <w:rsid w:val="00656BC1"/>
    <w:rsid w:val="00656F45"/>
    <w:rsid w:val="0066067B"/>
    <w:rsid w:val="0066107A"/>
    <w:rsid w:val="0066181B"/>
    <w:rsid w:val="00662C91"/>
    <w:rsid w:val="00662DB2"/>
    <w:rsid w:val="00663EE7"/>
    <w:rsid w:val="00663F68"/>
    <w:rsid w:val="0066466A"/>
    <w:rsid w:val="0066485B"/>
    <w:rsid w:val="00664B20"/>
    <w:rsid w:val="0066672C"/>
    <w:rsid w:val="00666FCF"/>
    <w:rsid w:val="0066775E"/>
    <w:rsid w:val="0066776C"/>
    <w:rsid w:val="006704DB"/>
    <w:rsid w:val="00670A51"/>
    <w:rsid w:val="00670E61"/>
    <w:rsid w:val="00670F5B"/>
    <w:rsid w:val="00671039"/>
    <w:rsid w:val="0067192B"/>
    <w:rsid w:val="006723B2"/>
    <w:rsid w:val="006728CC"/>
    <w:rsid w:val="006732BE"/>
    <w:rsid w:val="00675169"/>
    <w:rsid w:val="0067627E"/>
    <w:rsid w:val="0067644F"/>
    <w:rsid w:val="00676C1A"/>
    <w:rsid w:val="006773AB"/>
    <w:rsid w:val="006778D5"/>
    <w:rsid w:val="00677DE9"/>
    <w:rsid w:val="0068033A"/>
    <w:rsid w:val="00681CA0"/>
    <w:rsid w:val="00682440"/>
    <w:rsid w:val="00682592"/>
    <w:rsid w:val="006831A4"/>
    <w:rsid w:val="00683B88"/>
    <w:rsid w:val="006858EB"/>
    <w:rsid w:val="00686696"/>
    <w:rsid w:val="0068746A"/>
    <w:rsid w:val="00690E29"/>
    <w:rsid w:val="006910E8"/>
    <w:rsid w:val="00691581"/>
    <w:rsid w:val="006915B4"/>
    <w:rsid w:val="00691CD6"/>
    <w:rsid w:val="00692407"/>
    <w:rsid w:val="00692F11"/>
    <w:rsid w:val="00694B83"/>
    <w:rsid w:val="00695417"/>
    <w:rsid w:val="00695AE6"/>
    <w:rsid w:val="006961A0"/>
    <w:rsid w:val="00697ED0"/>
    <w:rsid w:val="006A00A6"/>
    <w:rsid w:val="006A2F98"/>
    <w:rsid w:val="006A3D95"/>
    <w:rsid w:val="006A42BE"/>
    <w:rsid w:val="006A4568"/>
    <w:rsid w:val="006A4AAF"/>
    <w:rsid w:val="006A4CDC"/>
    <w:rsid w:val="006A5090"/>
    <w:rsid w:val="006A5F65"/>
    <w:rsid w:val="006A6A45"/>
    <w:rsid w:val="006A767E"/>
    <w:rsid w:val="006B01E6"/>
    <w:rsid w:val="006B422B"/>
    <w:rsid w:val="006B58D6"/>
    <w:rsid w:val="006B6F2C"/>
    <w:rsid w:val="006B6FC6"/>
    <w:rsid w:val="006B738B"/>
    <w:rsid w:val="006C0590"/>
    <w:rsid w:val="006C142A"/>
    <w:rsid w:val="006C1E4B"/>
    <w:rsid w:val="006C2711"/>
    <w:rsid w:val="006C2D91"/>
    <w:rsid w:val="006C319A"/>
    <w:rsid w:val="006C3EC8"/>
    <w:rsid w:val="006C4833"/>
    <w:rsid w:val="006C4DE7"/>
    <w:rsid w:val="006C6122"/>
    <w:rsid w:val="006C6750"/>
    <w:rsid w:val="006C6C64"/>
    <w:rsid w:val="006C7734"/>
    <w:rsid w:val="006D0554"/>
    <w:rsid w:val="006D063E"/>
    <w:rsid w:val="006D0947"/>
    <w:rsid w:val="006D0BBC"/>
    <w:rsid w:val="006D0E0D"/>
    <w:rsid w:val="006D11E2"/>
    <w:rsid w:val="006D1C19"/>
    <w:rsid w:val="006D2CCA"/>
    <w:rsid w:val="006D4B50"/>
    <w:rsid w:val="006D5213"/>
    <w:rsid w:val="006D68FF"/>
    <w:rsid w:val="006D6DD7"/>
    <w:rsid w:val="006D7B6B"/>
    <w:rsid w:val="006E11E6"/>
    <w:rsid w:val="006E1845"/>
    <w:rsid w:val="006E405C"/>
    <w:rsid w:val="006E4C87"/>
    <w:rsid w:val="006E6556"/>
    <w:rsid w:val="006E67A9"/>
    <w:rsid w:val="006E7407"/>
    <w:rsid w:val="006E7A39"/>
    <w:rsid w:val="006F042D"/>
    <w:rsid w:val="006F0566"/>
    <w:rsid w:val="006F0A66"/>
    <w:rsid w:val="006F1069"/>
    <w:rsid w:val="006F1520"/>
    <w:rsid w:val="006F1983"/>
    <w:rsid w:val="006F33C4"/>
    <w:rsid w:val="006F4130"/>
    <w:rsid w:val="006F43CB"/>
    <w:rsid w:val="006F53A3"/>
    <w:rsid w:val="006F60A8"/>
    <w:rsid w:val="006F6788"/>
    <w:rsid w:val="006F7592"/>
    <w:rsid w:val="00700EDF"/>
    <w:rsid w:val="00700F2B"/>
    <w:rsid w:val="007022EB"/>
    <w:rsid w:val="007024DA"/>
    <w:rsid w:val="00702720"/>
    <w:rsid w:val="00702D9C"/>
    <w:rsid w:val="00703E17"/>
    <w:rsid w:val="007041B1"/>
    <w:rsid w:val="00704532"/>
    <w:rsid w:val="007045B2"/>
    <w:rsid w:val="007053E2"/>
    <w:rsid w:val="00705875"/>
    <w:rsid w:val="0070668C"/>
    <w:rsid w:val="00706DDE"/>
    <w:rsid w:val="00707700"/>
    <w:rsid w:val="0070788C"/>
    <w:rsid w:val="00710D5E"/>
    <w:rsid w:val="007118F3"/>
    <w:rsid w:val="0071284D"/>
    <w:rsid w:val="0071284F"/>
    <w:rsid w:val="007128BE"/>
    <w:rsid w:val="00712F0A"/>
    <w:rsid w:val="00714333"/>
    <w:rsid w:val="00714886"/>
    <w:rsid w:val="00714CA3"/>
    <w:rsid w:val="00715128"/>
    <w:rsid w:val="007171E7"/>
    <w:rsid w:val="00717A2E"/>
    <w:rsid w:val="0072010F"/>
    <w:rsid w:val="00720D2E"/>
    <w:rsid w:val="0072157F"/>
    <w:rsid w:val="0072187F"/>
    <w:rsid w:val="00721939"/>
    <w:rsid w:val="00722565"/>
    <w:rsid w:val="0072279C"/>
    <w:rsid w:val="00723AF1"/>
    <w:rsid w:val="00724C31"/>
    <w:rsid w:val="00725050"/>
    <w:rsid w:val="0072599C"/>
    <w:rsid w:val="00725A42"/>
    <w:rsid w:val="00726B14"/>
    <w:rsid w:val="007276C2"/>
    <w:rsid w:val="0072789F"/>
    <w:rsid w:val="00731204"/>
    <w:rsid w:val="0073177E"/>
    <w:rsid w:val="007319DF"/>
    <w:rsid w:val="00732623"/>
    <w:rsid w:val="00734720"/>
    <w:rsid w:val="007376BD"/>
    <w:rsid w:val="00740BC0"/>
    <w:rsid w:val="0074339C"/>
    <w:rsid w:val="00743D96"/>
    <w:rsid w:val="007449F5"/>
    <w:rsid w:val="007455E0"/>
    <w:rsid w:val="007457D0"/>
    <w:rsid w:val="0074638A"/>
    <w:rsid w:val="00747333"/>
    <w:rsid w:val="00747E60"/>
    <w:rsid w:val="00750E61"/>
    <w:rsid w:val="00751BA4"/>
    <w:rsid w:val="0075243A"/>
    <w:rsid w:val="00752992"/>
    <w:rsid w:val="00752A17"/>
    <w:rsid w:val="00753459"/>
    <w:rsid w:val="00753628"/>
    <w:rsid w:val="00753994"/>
    <w:rsid w:val="00754A69"/>
    <w:rsid w:val="00754E66"/>
    <w:rsid w:val="0075537E"/>
    <w:rsid w:val="007558D9"/>
    <w:rsid w:val="007561D2"/>
    <w:rsid w:val="00756C7E"/>
    <w:rsid w:val="00762D7B"/>
    <w:rsid w:val="00762F7A"/>
    <w:rsid w:val="0076356C"/>
    <w:rsid w:val="007639E1"/>
    <w:rsid w:val="0076413F"/>
    <w:rsid w:val="00764C64"/>
    <w:rsid w:val="00764D0C"/>
    <w:rsid w:val="00765BE6"/>
    <w:rsid w:val="007674A1"/>
    <w:rsid w:val="00770132"/>
    <w:rsid w:val="007704FC"/>
    <w:rsid w:val="00770845"/>
    <w:rsid w:val="00771357"/>
    <w:rsid w:val="007713FC"/>
    <w:rsid w:val="00771A91"/>
    <w:rsid w:val="00772044"/>
    <w:rsid w:val="00773038"/>
    <w:rsid w:val="00773DE6"/>
    <w:rsid w:val="00775294"/>
    <w:rsid w:val="0077549A"/>
    <w:rsid w:val="00775E7F"/>
    <w:rsid w:val="00776033"/>
    <w:rsid w:val="00776ACB"/>
    <w:rsid w:val="00776ED0"/>
    <w:rsid w:val="00777B10"/>
    <w:rsid w:val="00777CE5"/>
    <w:rsid w:val="00777E53"/>
    <w:rsid w:val="00777F50"/>
    <w:rsid w:val="007803E5"/>
    <w:rsid w:val="00780569"/>
    <w:rsid w:val="00780749"/>
    <w:rsid w:val="00780B45"/>
    <w:rsid w:val="007814C9"/>
    <w:rsid w:val="0078244D"/>
    <w:rsid w:val="00783914"/>
    <w:rsid w:val="00784292"/>
    <w:rsid w:val="0078437F"/>
    <w:rsid w:val="007849E9"/>
    <w:rsid w:val="00785C28"/>
    <w:rsid w:val="00786AA5"/>
    <w:rsid w:val="00787223"/>
    <w:rsid w:val="00790075"/>
    <w:rsid w:val="007901E0"/>
    <w:rsid w:val="007902F7"/>
    <w:rsid w:val="007903FC"/>
    <w:rsid w:val="0079068E"/>
    <w:rsid w:val="00790775"/>
    <w:rsid w:val="00790B4A"/>
    <w:rsid w:val="0079211A"/>
    <w:rsid w:val="00792670"/>
    <w:rsid w:val="007933B0"/>
    <w:rsid w:val="00795620"/>
    <w:rsid w:val="00795F0B"/>
    <w:rsid w:val="007A017E"/>
    <w:rsid w:val="007A03E0"/>
    <w:rsid w:val="007A12F3"/>
    <w:rsid w:val="007A16D5"/>
    <w:rsid w:val="007A1A98"/>
    <w:rsid w:val="007A20A9"/>
    <w:rsid w:val="007A2361"/>
    <w:rsid w:val="007A2715"/>
    <w:rsid w:val="007A2E94"/>
    <w:rsid w:val="007A34C5"/>
    <w:rsid w:val="007A471E"/>
    <w:rsid w:val="007A490F"/>
    <w:rsid w:val="007A4975"/>
    <w:rsid w:val="007A4D53"/>
    <w:rsid w:val="007A5DF2"/>
    <w:rsid w:val="007A66C7"/>
    <w:rsid w:val="007A75A2"/>
    <w:rsid w:val="007A7E6F"/>
    <w:rsid w:val="007B04C4"/>
    <w:rsid w:val="007B0B74"/>
    <w:rsid w:val="007B1425"/>
    <w:rsid w:val="007B23BF"/>
    <w:rsid w:val="007B3061"/>
    <w:rsid w:val="007B3114"/>
    <w:rsid w:val="007B3876"/>
    <w:rsid w:val="007B44EA"/>
    <w:rsid w:val="007B4D60"/>
    <w:rsid w:val="007B5233"/>
    <w:rsid w:val="007B5754"/>
    <w:rsid w:val="007B5DB1"/>
    <w:rsid w:val="007B73D0"/>
    <w:rsid w:val="007C0EBA"/>
    <w:rsid w:val="007C12F6"/>
    <w:rsid w:val="007C187B"/>
    <w:rsid w:val="007C2E7C"/>
    <w:rsid w:val="007C3BE5"/>
    <w:rsid w:val="007C45F1"/>
    <w:rsid w:val="007C51B8"/>
    <w:rsid w:val="007C595C"/>
    <w:rsid w:val="007C5A64"/>
    <w:rsid w:val="007C5A6E"/>
    <w:rsid w:val="007C64FA"/>
    <w:rsid w:val="007D019E"/>
    <w:rsid w:val="007D154F"/>
    <w:rsid w:val="007D1C23"/>
    <w:rsid w:val="007D25B5"/>
    <w:rsid w:val="007D2CC4"/>
    <w:rsid w:val="007D33A9"/>
    <w:rsid w:val="007D3F25"/>
    <w:rsid w:val="007D4281"/>
    <w:rsid w:val="007D490A"/>
    <w:rsid w:val="007D49AC"/>
    <w:rsid w:val="007D64E9"/>
    <w:rsid w:val="007D66D8"/>
    <w:rsid w:val="007D6870"/>
    <w:rsid w:val="007D69C7"/>
    <w:rsid w:val="007D6D53"/>
    <w:rsid w:val="007D76A4"/>
    <w:rsid w:val="007E001C"/>
    <w:rsid w:val="007E0923"/>
    <w:rsid w:val="007E1CD3"/>
    <w:rsid w:val="007E4125"/>
    <w:rsid w:val="007E73C4"/>
    <w:rsid w:val="007E7593"/>
    <w:rsid w:val="007E7B0D"/>
    <w:rsid w:val="007F04A2"/>
    <w:rsid w:val="007F0E76"/>
    <w:rsid w:val="007F1796"/>
    <w:rsid w:val="007F2192"/>
    <w:rsid w:val="007F2981"/>
    <w:rsid w:val="007F2AC4"/>
    <w:rsid w:val="007F4127"/>
    <w:rsid w:val="007F44AF"/>
    <w:rsid w:val="007F66EE"/>
    <w:rsid w:val="00800568"/>
    <w:rsid w:val="00800A79"/>
    <w:rsid w:val="00801732"/>
    <w:rsid w:val="0080221E"/>
    <w:rsid w:val="00802299"/>
    <w:rsid w:val="00802E98"/>
    <w:rsid w:val="00802F1B"/>
    <w:rsid w:val="0080309D"/>
    <w:rsid w:val="00803803"/>
    <w:rsid w:val="00803A45"/>
    <w:rsid w:val="00804199"/>
    <w:rsid w:val="008044D8"/>
    <w:rsid w:val="008056F0"/>
    <w:rsid w:val="00805E82"/>
    <w:rsid w:val="008073EA"/>
    <w:rsid w:val="00810567"/>
    <w:rsid w:val="00810994"/>
    <w:rsid w:val="00810D24"/>
    <w:rsid w:val="00811CD6"/>
    <w:rsid w:val="00814424"/>
    <w:rsid w:val="0081460D"/>
    <w:rsid w:val="00817093"/>
    <w:rsid w:val="0081722D"/>
    <w:rsid w:val="00817F4E"/>
    <w:rsid w:val="008200F0"/>
    <w:rsid w:val="00824764"/>
    <w:rsid w:val="00827102"/>
    <w:rsid w:val="00827AD5"/>
    <w:rsid w:val="00827BB4"/>
    <w:rsid w:val="008323B9"/>
    <w:rsid w:val="00833F36"/>
    <w:rsid w:val="00835C34"/>
    <w:rsid w:val="00835CE5"/>
    <w:rsid w:val="00835D83"/>
    <w:rsid w:val="00836F8D"/>
    <w:rsid w:val="00837775"/>
    <w:rsid w:val="0084010F"/>
    <w:rsid w:val="008404CE"/>
    <w:rsid w:val="00840B40"/>
    <w:rsid w:val="00841AFC"/>
    <w:rsid w:val="00842086"/>
    <w:rsid w:val="008422C4"/>
    <w:rsid w:val="008431BD"/>
    <w:rsid w:val="008439AF"/>
    <w:rsid w:val="00844672"/>
    <w:rsid w:val="008515B7"/>
    <w:rsid w:val="00851B13"/>
    <w:rsid w:val="00852647"/>
    <w:rsid w:val="0085291E"/>
    <w:rsid w:val="008529FD"/>
    <w:rsid w:val="00852E82"/>
    <w:rsid w:val="00854D3D"/>
    <w:rsid w:val="008553FE"/>
    <w:rsid w:val="00856740"/>
    <w:rsid w:val="008569F5"/>
    <w:rsid w:val="0085789A"/>
    <w:rsid w:val="008579DB"/>
    <w:rsid w:val="00857E87"/>
    <w:rsid w:val="00861734"/>
    <w:rsid w:val="00861F58"/>
    <w:rsid w:val="00862A84"/>
    <w:rsid w:val="00863A25"/>
    <w:rsid w:val="00863ED3"/>
    <w:rsid w:val="00865AA8"/>
    <w:rsid w:val="00865C5E"/>
    <w:rsid w:val="00866AAC"/>
    <w:rsid w:val="00866EE4"/>
    <w:rsid w:val="00867066"/>
    <w:rsid w:val="008700A0"/>
    <w:rsid w:val="0087084A"/>
    <w:rsid w:val="008726EF"/>
    <w:rsid w:val="008728C0"/>
    <w:rsid w:val="00872E5A"/>
    <w:rsid w:val="008737BE"/>
    <w:rsid w:val="00875C39"/>
    <w:rsid w:val="0087682B"/>
    <w:rsid w:val="00877863"/>
    <w:rsid w:val="00877CB5"/>
    <w:rsid w:val="00880689"/>
    <w:rsid w:val="008806C7"/>
    <w:rsid w:val="00880CF6"/>
    <w:rsid w:val="0088107F"/>
    <w:rsid w:val="008812C9"/>
    <w:rsid w:val="008822F4"/>
    <w:rsid w:val="0088405C"/>
    <w:rsid w:val="0088480D"/>
    <w:rsid w:val="00884C5C"/>
    <w:rsid w:val="008857B5"/>
    <w:rsid w:val="008865B2"/>
    <w:rsid w:val="008878FC"/>
    <w:rsid w:val="00887AAE"/>
    <w:rsid w:val="00887D35"/>
    <w:rsid w:val="00887FE5"/>
    <w:rsid w:val="00890B76"/>
    <w:rsid w:val="00891438"/>
    <w:rsid w:val="00891A95"/>
    <w:rsid w:val="008927EB"/>
    <w:rsid w:val="008938D6"/>
    <w:rsid w:val="00895481"/>
    <w:rsid w:val="00895C3A"/>
    <w:rsid w:val="00895EE5"/>
    <w:rsid w:val="008961ED"/>
    <w:rsid w:val="008964BD"/>
    <w:rsid w:val="00896655"/>
    <w:rsid w:val="00896C1C"/>
    <w:rsid w:val="0089701D"/>
    <w:rsid w:val="0089720A"/>
    <w:rsid w:val="00897895"/>
    <w:rsid w:val="00897A7F"/>
    <w:rsid w:val="00897B20"/>
    <w:rsid w:val="00897E4B"/>
    <w:rsid w:val="008A08BC"/>
    <w:rsid w:val="008A0DFF"/>
    <w:rsid w:val="008A0E6C"/>
    <w:rsid w:val="008A10D5"/>
    <w:rsid w:val="008A2406"/>
    <w:rsid w:val="008A3B42"/>
    <w:rsid w:val="008A3B62"/>
    <w:rsid w:val="008A4F15"/>
    <w:rsid w:val="008A60D1"/>
    <w:rsid w:val="008A6656"/>
    <w:rsid w:val="008A79BE"/>
    <w:rsid w:val="008A7D48"/>
    <w:rsid w:val="008B007C"/>
    <w:rsid w:val="008B0A99"/>
    <w:rsid w:val="008B1822"/>
    <w:rsid w:val="008B18E2"/>
    <w:rsid w:val="008B2141"/>
    <w:rsid w:val="008B25BC"/>
    <w:rsid w:val="008B2E4B"/>
    <w:rsid w:val="008B4905"/>
    <w:rsid w:val="008B4E10"/>
    <w:rsid w:val="008B6876"/>
    <w:rsid w:val="008B6A1B"/>
    <w:rsid w:val="008B6C53"/>
    <w:rsid w:val="008B6EAA"/>
    <w:rsid w:val="008B735D"/>
    <w:rsid w:val="008B73DE"/>
    <w:rsid w:val="008B7A5A"/>
    <w:rsid w:val="008C0F29"/>
    <w:rsid w:val="008C1C57"/>
    <w:rsid w:val="008C4623"/>
    <w:rsid w:val="008C4C3B"/>
    <w:rsid w:val="008C52F6"/>
    <w:rsid w:val="008C5342"/>
    <w:rsid w:val="008C535A"/>
    <w:rsid w:val="008C5D57"/>
    <w:rsid w:val="008C5E87"/>
    <w:rsid w:val="008C613F"/>
    <w:rsid w:val="008D05D0"/>
    <w:rsid w:val="008D06C4"/>
    <w:rsid w:val="008D1BA2"/>
    <w:rsid w:val="008D228B"/>
    <w:rsid w:val="008D271D"/>
    <w:rsid w:val="008D2FF9"/>
    <w:rsid w:val="008D33E7"/>
    <w:rsid w:val="008D41D3"/>
    <w:rsid w:val="008D482C"/>
    <w:rsid w:val="008D5256"/>
    <w:rsid w:val="008D5927"/>
    <w:rsid w:val="008D6A21"/>
    <w:rsid w:val="008D6D36"/>
    <w:rsid w:val="008D6DBF"/>
    <w:rsid w:val="008D7277"/>
    <w:rsid w:val="008E2E80"/>
    <w:rsid w:val="008E3066"/>
    <w:rsid w:val="008E3147"/>
    <w:rsid w:val="008E3493"/>
    <w:rsid w:val="008E5AB5"/>
    <w:rsid w:val="008E6088"/>
    <w:rsid w:val="008E61EE"/>
    <w:rsid w:val="008E65D6"/>
    <w:rsid w:val="008F2471"/>
    <w:rsid w:val="008F2951"/>
    <w:rsid w:val="008F3BB0"/>
    <w:rsid w:val="008F47B8"/>
    <w:rsid w:val="008F518D"/>
    <w:rsid w:val="008F571B"/>
    <w:rsid w:val="008F5A4D"/>
    <w:rsid w:val="008F5BED"/>
    <w:rsid w:val="008F5D93"/>
    <w:rsid w:val="008F634C"/>
    <w:rsid w:val="008F7906"/>
    <w:rsid w:val="008F7ED1"/>
    <w:rsid w:val="00900105"/>
    <w:rsid w:val="00900FCB"/>
    <w:rsid w:val="00901F6E"/>
    <w:rsid w:val="00902034"/>
    <w:rsid w:val="00902FD0"/>
    <w:rsid w:val="00903086"/>
    <w:rsid w:val="00906DBE"/>
    <w:rsid w:val="00907496"/>
    <w:rsid w:val="00907764"/>
    <w:rsid w:val="0091051B"/>
    <w:rsid w:val="00910655"/>
    <w:rsid w:val="00910E30"/>
    <w:rsid w:val="009114AC"/>
    <w:rsid w:val="00911AE0"/>
    <w:rsid w:val="009124A4"/>
    <w:rsid w:val="0091258D"/>
    <w:rsid w:val="0091312D"/>
    <w:rsid w:val="00913690"/>
    <w:rsid w:val="00914DDE"/>
    <w:rsid w:val="0091539F"/>
    <w:rsid w:val="00915600"/>
    <w:rsid w:val="0091577C"/>
    <w:rsid w:val="00916193"/>
    <w:rsid w:val="009164AF"/>
    <w:rsid w:val="0091665C"/>
    <w:rsid w:val="009168EE"/>
    <w:rsid w:val="00917F2C"/>
    <w:rsid w:val="009206AC"/>
    <w:rsid w:val="0092412D"/>
    <w:rsid w:val="0092444C"/>
    <w:rsid w:val="00926341"/>
    <w:rsid w:val="00926609"/>
    <w:rsid w:val="00926979"/>
    <w:rsid w:val="00926D9B"/>
    <w:rsid w:val="00926F27"/>
    <w:rsid w:val="00930787"/>
    <w:rsid w:val="00930A27"/>
    <w:rsid w:val="00931849"/>
    <w:rsid w:val="00931C59"/>
    <w:rsid w:val="009349D4"/>
    <w:rsid w:val="00935D83"/>
    <w:rsid w:val="0093634B"/>
    <w:rsid w:val="009363C9"/>
    <w:rsid w:val="00936FFB"/>
    <w:rsid w:val="0093751D"/>
    <w:rsid w:val="00940DE9"/>
    <w:rsid w:val="00943C31"/>
    <w:rsid w:val="00943F02"/>
    <w:rsid w:val="009442C4"/>
    <w:rsid w:val="009448E6"/>
    <w:rsid w:val="00946004"/>
    <w:rsid w:val="009464C0"/>
    <w:rsid w:val="00947077"/>
    <w:rsid w:val="00947B02"/>
    <w:rsid w:val="00947CE8"/>
    <w:rsid w:val="00950178"/>
    <w:rsid w:val="00950F40"/>
    <w:rsid w:val="00950F65"/>
    <w:rsid w:val="0095121B"/>
    <w:rsid w:val="0095279E"/>
    <w:rsid w:val="00955330"/>
    <w:rsid w:val="00955D60"/>
    <w:rsid w:val="0095637E"/>
    <w:rsid w:val="009563E7"/>
    <w:rsid w:val="00956BC0"/>
    <w:rsid w:val="00957B28"/>
    <w:rsid w:val="009602DA"/>
    <w:rsid w:val="00960B0F"/>
    <w:rsid w:val="00960F60"/>
    <w:rsid w:val="00963A18"/>
    <w:rsid w:val="00963B48"/>
    <w:rsid w:val="00964BB3"/>
    <w:rsid w:val="009650B5"/>
    <w:rsid w:val="00965E92"/>
    <w:rsid w:val="00967CDF"/>
    <w:rsid w:val="009704F4"/>
    <w:rsid w:val="00972366"/>
    <w:rsid w:val="00973EB4"/>
    <w:rsid w:val="009741B4"/>
    <w:rsid w:val="0097576D"/>
    <w:rsid w:val="009763CB"/>
    <w:rsid w:val="00976616"/>
    <w:rsid w:val="009775BA"/>
    <w:rsid w:val="00977D6B"/>
    <w:rsid w:val="00977DEF"/>
    <w:rsid w:val="00980E8D"/>
    <w:rsid w:val="00981B0E"/>
    <w:rsid w:val="00981DEC"/>
    <w:rsid w:val="00981ECC"/>
    <w:rsid w:val="009823F8"/>
    <w:rsid w:val="0098405E"/>
    <w:rsid w:val="009844A0"/>
    <w:rsid w:val="00984596"/>
    <w:rsid w:val="0098554E"/>
    <w:rsid w:val="00987A76"/>
    <w:rsid w:val="00990319"/>
    <w:rsid w:val="00991A0E"/>
    <w:rsid w:val="00991D17"/>
    <w:rsid w:val="00991F55"/>
    <w:rsid w:val="00992684"/>
    <w:rsid w:val="00992A7F"/>
    <w:rsid w:val="00992AB7"/>
    <w:rsid w:val="00992E06"/>
    <w:rsid w:val="00992E4F"/>
    <w:rsid w:val="00992F1F"/>
    <w:rsid w:val="00992FF2"/>
    <w:rsid w:val="00994522"/>
    <w:rsid w:val="00994DAE"/>
    <w:rsid w:val="00995374"/>
    <w:rsid w:val="00996164"/>
    <w:rsid w:val="009961D6"/>
    <w:rsid w:val="00997151"/>
    <w:rsid w:val="009A055B"/>
    <w:rsid w:val="009A0F0D"/>
    <w:rsid w:val="009A2657"/>
    <w:rsid w:val="009A2984"/>
    <w:rsid w:val="009A3825"/>
    <w:rsid w:val="009A4143"/>
    <w:rsid w:val="009A5479"/>
    <w:rsid w:val="009A7018"/>
    <w:rsid w:val="009A7110"/>
    <w:rsid w:val="009A7FF6"/>
    <w:rsid w:val="009B015C"/>
    <w:rsid w:val="009B0B33"/>
    <w:rsid w:val="009B1222"/>
    <w:rsid w:val="009B1D94"/>
    <w:rsid w:val="009B2237"/>
    <w:rsid w:val="009B3673"/>
    <w:rsid w:val="009B4AEA"/>
    <w:rsid w:val="009B4B8F"/>
    <w:rsid w:val="009B6895"/>
    <w:rsid w:val="009B7D5D"/>
    <w:rsid w:val="009C0A19"/>
    <w:rsid w:val="009C154E"/>
    <w:rsid w:val="009C2081"/>
    <w:rsid w:val="009C2656"/>
    <w:rsid w:val="009C3D5B"/>
    <w:rsid w:val="009C407A"/>
    <w:rsid w:val="009C4247"/>
    <w:rsid w:val="009C6397"/>
    <w:rsid w:val="009C77F9"/>
    <w:rsid w:val="009C79F1"/>
    <w:rsid w:val="009D2873"/>
    <w:rsid w:val="009D2AB5"/>
    <w:rsid w:val="009D538B"/>
    <w:rsid w:val="009D6D37"/>
    <w:rsid w:val="009E048E"/>
    <w:rsid w:val="009E17CC"/>
    <w:rsid w:val="009E2CE3"/>
    <w:rsid w:val="009E33BC"/>
    <w:rsid w:val="009E46BA"/>
    <w:rsid w:val="009E514D"/>
    <w:rsid w:val="009E6638"/>
    <w:rsid w:val="009E680B"/>
    <w:rsid w:val="009E727B"/>
    <w:rsid w:val="009E7BB4"/>
    <w:rsid w:val="009E7CE4"/>
    <w:rsid w:val="009E7F40"/>
    <w:rsid w:val="009F112C"/>
    <w:rsid w:val="009F1848"/>
    <w:rsid w:val="009F2558"/>
    <w:rsid w:val="009F28A1"/>
    <w:rsid w:val="009F4400"/>
    <w:rsid w:val="009F48AF"/>
    <w:rsid w:val="009F566D"/>
    <w:rsid w:val="009F7A2A"/>
    <w:rsid w:val="009F7C97"/>
    <w:rsid w:val="00A002C7"/>
    <w:rsid w:val="00A0205B"/>
    <w:rsid w:val="00A02A0A"/>
    <w:rsid w:val="00A03DA8"/>
    <w:rsid w:val="00A03FD0"/>
    <w:rsid w:val="00A04347"/>
    <w:rsid w:val="00A04A9D"/>
    <w:rsid w:val="00A05A2F"/>
    <w:rsid w:val="00A0635B"/>
    <w:rsid w:val="00A06C54"/>
    <w:rsid w:val="00A10448"/>
    <w:rsid w:val="00A112BF"/>
    <w:rsid w:val="00A11C46"/>
    <w:rsid w:val="00A147AA"/>
    <w:rsid w:val="00A14BDF"/>
    <w:rsid w:val="00A14CC0"/>
    <w:rsid w:val="00A17399"/>
    <w:rsid w:val="00A179C2"/>
    <w:rsid w:val="00A20CC0"/>
    <w:rsid w:val="00A20EF7"/>
    <w:rsid w:val="00A210D2"/>
    <w:rsid w:val="00A219E1"/>
    <w:rsid w:val="00A22051"/>
    <w:rsid w:val="00A22DBB"/>
    <w:rsid w:val="00A2398F"/>
    <w:rsid w:val="00A2434B"/>
    <w:rsid w:val="00A24557"/>
    <w:rsid w:val="00A25B07"/>
    <w:rsid w:val="00A26F34"/>
    <w:rsid w:val="00A27376"/>
    <w:rsid w:val="00A274C4"/>
    <w:rsid w:val="00A276A5"/>
    <w:rsid w:val="00A305FB"/>
    <w:rsid w:val="00A3123A"/>
    <w:rsid w:val="00A31A07"/>
    <w:rsid w:val="00A32038"/>
    <w:rsid w:val="00A3324B"/>
    <w:rsid w:val="00A333F7"/>
    <w:rsid w:val="00A3360D"/>
    <w:rsid w:val="00A33843"/>
    <w:rsid w:val="00A34127"/>
    <w:rsid w:val="00A346D6"/>
    <w:rsid w:val="00A3479A"/>
    <w:rsid w:val="00A349BA"/>
    <w:rsid w:val="00A37AD1"/>
    <w:rsid w:val="00A37C3D"/>
    <w:rsid w:val="00A414AD"/>
    <w:rsid w:val="00A41D8D"/>
    <w:rsid w:val="00A429A1"/>
    <w:rsid w:val="00A44480"/>
    <w:rsid w:val="00A44AFA"/>
    <w:rsid w:val="00A4576A"/>
    <w:rsid w:val="00A4733C"/>
    <w:rsid w:val="00A47AC8"/>
    <w:rsid w:val="00A50D67"/>
    <w:rsid w:val="00A5189C"/>
    <w:rsid w:val="00A51E9E"/>
    <w:rsid w:val="00A527EF"/>
    <w:rsid w:val="00A53649"/>
    <w:rsid w:val="00A549B7"/>
    <w:rsid w:val="00A55023"/>
    <w:rsid w:val="00A5741C"/>
    <w:rsid w:val="00A57CE7"/>
    <w:rsid w:val="00A61407"/>
    <w:rsid w:val="00A61872"/>
    <w:rsid w:val="00A61D9F"/>
    <w:rsid w:val="00A625AF"/>
    <w:rsid w:val="00A625CB"/>
    <w:rsid w:val="00A63902"/>
    <w:rsid w:val="00A63C84"/>
    <w:rsid w:val="00A6434C"/>
    <w:rsid w:val="00A64896"/>
    <w:rsid w:val="00A648AA"/>
    <w:rsid w:val="00A66287"/>
    <w:rsid w:val="00A663F7"/>
    <w:rsid w:val="00A712F3"/>
    <w:rsid w:val="00A71C5D"/>
    <w:rsid w:val="00A74602"/>
    <w:rsid w:val="00A76C4C"/>
    <w:rsid w:val="00A804EC"/>
    <w:rsid w:val="00A82220"/>
    <w:rsid w:val="00A82632"/>
    <w:rsid w:val="00A835DF"/>
    <w:rsid w:val="00A836CE"/>
    <w:rsid w:val="00A840EF"/>
    <w:rsid w:val="00A84180"/>
    <w:rsid w:val="00A86A7B"/>
    <w:rsid w:val="00A86E88"/>
    <w:rsid w:val="00A94538"/>
    <w:rsid w:val="00A948E1"/>
    <w:rsid w:val="00A95E2E"/>
    <w:rsid w:val="00AA038F"/>
    <w:rsid w:val="00AA0C2E"/>
    <w:rsid w:val="00AA1C55"/>
    <w:rsid w:val="00AA1C91"/>
    <w:rsid w:val="00AA1CC3"/>
    <w:rsid w:val="00AA26ED"/>
    <w:rsid w:val="00AA2D7E"/>
    <w:rsid w:val="00AA31C3"/>
    <w:rsid w:val="00AA45E9"/>
    <w:rsid w:val="00AA647D"/>
    <w:rsid w:val="00AA66FD"/>
    <w:rsid w:val="00AA7561"/>
    <w:rsid w:val="00AB0E86"/>
    <w:rsid w:val="00AB2008"/>
    <w:rsid w:val="00AB2675"/>
    <w:rsid w:val="00AB3339"/>
    <w:rsid w:val="00AB379B"/>
    <w:rsid w:val="00AB39FA"/>
    <w:rsid w:val="00AB3E4E"/>
    <w:rsid w:val="00AB4E57"/>
    <w:rsid w:val="00AB5658"/>
    <w:rsid w:val="00AB61CA"/>
    <w:rsid w:val="00AB6C7C"/>
    <w:rsid w:val="00AB725D"/>
    <w:rsid w:val="00AB7DC4"/>
    <w:rsid w:val="00AC0158"/>
    <w:rsid w:val="00AC2248"/>
    <w:rsid w:val="00AC2B5D"/>
    <w:rsid w:val="00AC502C"/>
    <w:rsid w:val="00AC6AA4"/>
    <w:rsid w:val="00AC6B9E"/>
    <w:rsid w:val="00AC7BEE"/>
    <w:rsid w:val="00AC7F8D"/>
    <w:rsid w:val="00AC7FCA"/>
    <w:rsid w:val="00AD03BD"/>
    <w:rsid w:val="00AD0920"/>
    <w:rsid w:val="00AD10BF"/>
    <w:rsid w:val="00AD18A6"/>
    <w:rsid w:val="00AD1B77"/>
    <w:rsid w:val="00AD1F0A"/>
    <w:rsid w:val="00AD2848"/>
    <w:rsid w:val="00AD342C"/>
    <w:rsid w:val="00AD43DC"/>
    <w:rsid w:val="00AD44EA"/>
    <w:rsid w:val="00AD48C8"/>
    <w:rsid w:val="00AD4C1A"/>
    <w:rsid w:val="00AD6177"/>
    <w:rsid w:val="00AE04F9"/>
    <w:rsid w:val="00AE0CDB"/>
    <w:rsid w:val="00AE0E3E"/>
    <w:rsid w:val="00AE13A1"/>
    <w:rsid w:val="00AE211D"/>
    <w:rsid w:val="00AE2E25"/>
    <w:rsid w:val="00AE2FCF"/>
    <w:rsid w:val="00AE3389"/>
    <w:rsid w:val="00AE352C"/>
    <w:rsid w:val="00AE4950"/>
    <w:rsid w:val="00AE6E46"/>
    <w:rsid w:val="00AE77C5"/>
    <w:rsid w:val="00AE7809"/>
    <w:rsid w:val="00AF0636"/>
    <w:rsid w:val="00AF127F"/>
    <w:rsid w:val="00AF1345"/>
    <w:rsid w:val="00AF17C8"/>
    <w:rsid w:val="00AF278F"/>
    <w:rsid w:val="00AF2ABA"/>
    <w:rsid w:val="00AF4F28"/>
    <w:rsid w:val="00AF6374"/>
    <w:rsid w:val="00AF7793"/>
    <w:rsid w:val="00B00768"/>
    <w:rsid w:val="00B01169"/>
    <w:rsid w:val="00B039A5"/>
    <w:rsid w:val="00B043C5"/>
    <w:rsid w:val="00B05EF6"/>
    <w:rsid w:val="00B07003"/>
    <w:rsid w:val="00B0728E"/>
    <w:rsid w:val="00B128C5"/>
    <w:rsid w:val="00B13EB0"/>
    <w:rsid w:val="00B146B2"/>
    <w:rsid w:val="00B1472F"/>
    <w:rsid w:val="00B149F1"/>
    <w:rsid w:val="00B156BA"/>
    <w:rsid w:val="00B15959"/>
    <w:rsid w:val="00B15D36"/>
    <w:rsid w:val="00B21331"/>
    <w:rsid w:val="00B22D9C"/>
    <w:rsid w:val="00B232CD"/>
    <w:rsid w:val="00B23D54"/>
    <w:rsid w:val="00B24B55"/>
    <w:rsid w:val="00B25248"/>
    <w:rsid w:val="00B25AF0"/>
    <w:rsid w:val="00B30052"/>
    <w:rsid w:val="00B33049"/>
    <w:rsid w:val="00B33684"/>
    <w:rsid w:val="00B33C92"/>
    <w:rsid w:val="00B33CA2"/>
    <w:rsid w:val="00B34404"/>
    <w:rsid w:val="00B34525"/>
    <w:rsid w:val="00B35221"/>
    <w:rsid w:val="00B40567"/>
    <w:rsid w:val="00B40F45"/>
    <w:rsid w:val="00B410C9"/>
    <w:rsid w:val="00B413E4"/>
    <w:rsid w:val="00B41AE9"/>
    <w:rsid w:val="00B421AA"/>
    <w:rsid w:val="00B4376E"/>
    <w:rsid w:val="00B43B13"/>
    <w:rsid w:val="00B44F50"/>
    <w:rsid w:val="00B454E3"/>
    <w:rsid w:val="00B456C5"/>
    <w:rsid w:val="00B460C1"/>
    <w:rsid w:val="00B46DCB"/>
    <w:rsid w:val="00B47D65"/>
    <w:rsid w:val="00B512FE"/>
    <w:rsid w:val="00B51394"/>
    <w:rsid w:val="00B51A53"/>
    <w:rsid w:val="00B52682"/>
    <w:rsid w:val="00B53635"/>
    <w:rsid w:val="00B5364D"/>
    <w:rsid w:val="00B5374A"/>
    <w:rsid w:val="00B53E93"/>
    <w:rsid w:val="00B53F18"/>
    <w:rsid w:val="00B54841"/>
    <w:rsid w:val="00B55743"/>
    <w:rsid w:val="00B560DE"/>
    <w:rsid w:val="00B563BF"/>
    <w:rsid w:val="00B56AFC"/>
    <w:rsid w:val="00B5791A"/>
    <w:rsid w:val="00B57EBE"/>
    <w:rsid w:val="00B601DC"/>
    <w:rsid w:val="00B60889"/>
    <w:rsid w:val="00B60978"/>
    <w:rsid w:val="00B6166E"/>
    <w:rsid w:val="00B61844"/>
    <w:rsid w:val="00B61918"/>
    <w:rsid w:val="00B61FE6"/>
    <w:rsid w:val="00B6250C"/>
    <w:rsid w:val="00B635A8"/>
    <w:rsid w:val="00B639DD"/>
    <w:rsid w:val="00B643CA"/>
    <w:rsid w:val="00B654AA"/>
    <w:rsid w:val="00B67461"/>
    <w:rsid w:val="00B7087C"/>
    <w:rsid w:val="00B70882"/>
    <w:rsid w:val="00B72F92"/>
    <w:rsid w:val="00B74A2E"/>
    <w:rsid w:val="00B75954"/>
    <w:rsid w:val="00B75B03"/>
    <w:rsid w:val="00B769CC"/>
    <w:rsid w:val="00B77A48"/>
    <w:rsid w:val="00B81001"/>
    <w:rsid w:val="00B81860"/>
    <w:rsid w:val="00B8191E"/>
    <w:rsid w:val="00B81CF2"/>
    <w:rsid w:val="00B83A0A"/>
    <w:rsid w:val="00B83A74"/>
    <w:rsid w:val="00B83AA1"/>
    <w:rsid w:val="00B879E3"/>
    <w:rsid w:val="00B87A85"/>
    <w:rsid w:val="00B87C59"/>
    <w:rsid w:val="00B906E7"/>
    <w:rsid w:val="00B90C84"/>
    <w:rsid w:val="00B90F83"/>
    <w:rsid w:val="00B91864"/>
    <w:rsid w:val="00B91950"/>
    <w:rsid w:val="00B93243"/>
    <w:rsid w:val="00B94F99"/>
    <w:rsid w:val="00B96100"/>
    <w:rsid w:val="00B96DE1"/>
    <w:rsid w:val="00B97018"/>
    <w:rsid w:val="00BA044B"/>
    <w:rsid w:val="00BA0A0F"/>
    <w:rsid w:val="00BA0F1D"/>
    <w:rsid w:val="00BA1896"/>
    <w:rsid w:val="00BA22B4"/>
    <w:rsid w:val="00BA28C1"/>
    <w:rsid w:val="00BA2EAB"/>
    <w:rsid w:val="00BA4B9B"/>
    <w:rsid w:val="00BA5335"/>
    <w:rsid w:val="00BA576D"/>
    <w:rsid w:val="00BA67FA"/>
    <w:rsid w:val="00BA6A50"/>
    <w:rsid w:val="00BA6A51"/>
    <w:rsid w:val="00BB010B"/>
    <w:rsid w:val="00BB0793"/>
    <w:rsid w:val="00BB0A1E"/>
    <w:rsid w:val="00BB1987"/>
    <w:rsid w:val="00BB2ED0"/>
    <w:rsid w:val="00BB3208"/>
    <w:rsid w:val="00BB4E10"/>
    <w:rsid w:val="00BC0943"/>
    <w:rsid w:val="00BC0E26"/>
    <w:rsid w:val="00BC1889"/>
    <w:rsid w:val="00BC2E62"/>
    <w:rsid w:val="00BC40C6"/>
    <w:rsid w:val="00BC5D67"/>
    <w:rsid w:val="00BC7B1C"/>
    <w:rsid w:val="00BD16FC"/>
    <w:rsid w:val="00BD3F57"/>
    <w:rsid w:val="00BD5A37"/>
    <w:rsid w:val="00BD63FC"/>
    <w:rsid w:val="00BD6411"/>
    <w:rsid w:val="00BD6781"/>
    <w:rsid w:val="00BD6A9C"/>
    <w:rsid w:val="00BD752A"/>
    <w:rsid w:val="00BE13C3"/>
    <w:rsid w:val="00BE14BB"/>
    <w:rsid w:val="00BE1700"/>
    <w:rsid w:val="00BE1958"/>
    <w:rsid w:val="00BE2E4B"/>
    <w:rsid w:val="00BE4B40"/>
    <w:rsid w:val="00BE4C48"/>
    <w:rsid w:val="00BE6BF3"/>
    <w:rsid w:val="00BF0157"/>
    <w:rsid w:val="00BF1091"/>
    <w:rsid w:val="00BF1458"/>
    <w:rsid w:val="00BF1F62"/>
    <w:rsid w:val="00BF3055"/>
    <w:rsid w:val="00BF3164"/>
    <w:rsid w:val="00BF3FE4"/>
    <w:rsid w:val="00BF426F"/>
    <w:rsid w:val="00BF4AA8"/>
    <w:rsid w:val="00BF53DC"/>
    <w:rsid w:val="00BF565B"/>
    <w:rsid w:val="00BF6FCF"/>
    <w:rsid w:val="00C00BC8"/>
    <w:rsid w:val="00C03EBF"/>
    <w:rsid w:val="00C03ED1"/>
    <w:rsid w:val="00C06588"/>
    <w:rsid w:val="00C07880"/>
    <w:rsid w:val="00C07F42"/>
    <w:rsid w:val="00C103AF"/>
    <w:rsid w:val="00C1102E"/>
    <w:rsid w:val="00C12458"/>
    <w:rsid w:val="00C135AC"/>
    <w:rsid w:val="00C13C54"/>
    <w:rsid w:val="00C15C4F"/>
    <w:rsid w:val="00C16412"/>
    <w:rsid w:val="00C16438"/>
    <w:rsid w:val="00C17C25"/>
    <w:rsid w:val="00C20934"/>
    <w:rsid w:val="00C239EC"/>
    <w:rsid w:val="00C24181"/>
    <w:rsid w:val="00C24710"/>
    <w:rsid w:val="00C26833"/>
    <w:rsid w:val="00C276C8"/>
    <w:rsid w:val="00C30100"/>
    <w:rsid w:val="00C33F12"/>
    <w:rsid w:val="00C34709"/>
    <w:rsid w:val="00C34A0B"/>
    <w:rsid w:val="00C34BD2"/>
    <w:rsid w:val="00C352AC"/>
    <w:rsid w:val="00C35665"/>
    <w:rsid w:val="00C35B71"/>
    <w:rsid w:val="00C365D1"/>
    <w:rsid w:val="00C4004B"/>
    <w:rsid w:val="00C41B29"/>
    <w:rsid w:val="00C41C2E"/>
    <w:rsid w:val="00C44CE3"/>
    <w:rsid w:val="00C457F8"/>
    <w:rsid w:val="00C50935"/>
    <w:rsid w:val="00C50A68"/>
    <w:rsid w:val="00C51DE0"/>
    <w:rsid w:val="00C52436"/>
    <w:rsid w:val="00C52A83"/>
    <w:rsid w:val="00C5312D"/>
    <w:rsid w:val="00C5448C"/>
    <w:rsid w:val="00C5537E"/>
    <w:rsid w:val="00C55588"/>
    <w:rsid w:val="00C560B6"/>
    <w:rsid w:val="00C562DF"/>
    <w:rsid w:val="00C563E6"/>
    <w:rsid w:val="00C56945"/>
    <w:rsid w:val="00C571FD"/>
    <w:rsid w:val="00C57C9C"/>
    <w:rsid w:val="00C60ABD"/>
    <w:rsid w:val="00C60F35"/>
    <w:rsid w:val="00C613A5"/>
    <w:rsid w:val="00C6146A"/>
    <w:rsid w:val="00C62562"/>
    <w:rsid w:val="00C62B18"/>
    <w:rsid w:val="00C62F36"/>
    <w:rsid w:val="00C6348D"/>
    <w:rsid w:val="00C6425B"/>
    <w:rsid w:val="00C65151"/>
    <w:rsid w:val="00C65220"/>
    <w:rsid w:val="00C6595D"/>
    <w:rsid w:val="00C65CA5"/>
    <w:rsid w:val="00C66BA6"/>
    <w:rsid w:val="00C67E8B"/>
    <w:rsid w:val="00C7078E"/>
    <w:rsid w:val="00C71128"/>
    <w:rsid w:val="00C729D0"/>
    <w:rsid w:val="00C72E93"/>
    <w:rsid w:val="00C75B5A"/>
    <w:rsid w:val="00C75B7C"/>
    <w:rsid w:val="00C75CAB"/>
    <w:rsid w:val="00C75DDC"/>
    <w:rsid w:val="00C7623B"/>
    <w:rsid w:val="00C76373"/>
    <w:rsid w:val="00C77A7C"/>
    <w:rsid w:val="00C77DE2"/>
    <w:rsid w:val="00C81C61"/>
    <w:rsid w:val="00C82EB5"/>
    <w:rsid w:val="00C83F1B"/>
    <w:rsid w:val="00C83F57"/>
    <w:rsid w:val="00C84EDD"/>
    <w:rsid w:val="00C8549C"/>
    <w:rsid w:val="00C8559D"/>
    <w:rsid w:val="00C855D8"/>
    <w:rsid w:val="00C8566F"/>
    <w:rsid w:val="00C85CE6"/>
    <w:rsid w:val="00C867A7"/>
    <w:rsid w:val="00C86956"/>
    <w:rsid w:val="00C87255"/>
    <w:rsid w:val="00C873D8"/>
    <w:rsid w:val="00C87D48"/>
    <w:rsid w:val="00C9154C"/>
    <w:rsid w:val="00C936C9"/>
    <w:rsid w:val="00C9425A"/>
    <w:rsid w:val="00C95F6D"/>
    <w:rsid w:val="00C9611D"/>
    <w:rsid w:val="00C966FF"/>
    <w:rsid w:val="00C96F23"/>
    <w:rsid w:val="00C97E47"/>
    <w:rsid w:val="00CA162C"/>
    <w:rsid w:val="00CA1B94"/>
    <w:rsid w:val="00CA2244"/>
    <w:rsid w:val="00CA2336"/>
    <w:rsid w:val="00CA2B05"/>
    <w:rsid w:val="00CA2B6D"/>
    <w:rsid w:val="00CA3A8F"/>
    <w:rsid w:val="00CA4003"/>
    <w:rsid w:val="00CA470E"/>
    <w:rsid w:val="00CA4A9A"/>
    <w:rsid w:val="00CA5A73"/>
    <w:rsid w:val="00CA6D92"/>
    <w:rsid w:val="00CA75CE"/>
    <w:rsid w:val="00CA76DD"/>
    <w:rsid w:val="00CA7D7E"/>
    <w:rsid w:val="00CB062C"/>
    <w:rsid w:val="00CB0CC8"/>
    <w:rsid w:val="00CB160C"/>
    <w:rsid w:val="00CB1ADD"/>
    <w:rsid w:val="00CB278A"/>
    <w:rsid w:val="00CB2B0E"/>
    <w:rsid w:val="00CB3382"/>
    <w:rsid w:val="00CB3418"/>
    <w:rsid w:val="00CB372A"/>
    <w:rsid w:val="00CB470C"/>
    <w:rsid w:val="00CB4DA6"/>
    <w:rsid w:val="00CB57AB"/>
    <w:rsid w:val="00CB6308"/>
    <w:rsid w:val="00CB6718"/>
    <w:rsid w:val="00CB6B30"/>
    <w:rsid w:val="00CB6D13"/>
    <w:rsid w:val="00CB790D"/>
    <w:rsid w:val="00CB7B06"/>
    <w:rsid w:val="00CB7C57"/>
    <w:rsid w:val="00CB7FF6"/>
    <w:rsid w:val="00CC07EA"/>
    <w:rsid w:val="00CC0879"/>
    <w:rsid w:val="00CC128D"/>
    <w:rsid w:val="00CC12CB"/>
    <w:rsid w:val="00CC136D"/>
    <w:rsid w:val="00CC1379"/>
    <w:rsid w:val="00CC1ABF"/>
    <w:rsid w:val="00CC236E"/>
    <w:rsid w:val="00CC48B3"/>
    <w:rsid w:val="00CC48BF"/>
    <w:rsid w:val="00CC5837"/>
    <w:rsid w:val="00CC5873"/>
    <w:rsid w:val="00CC5A94"/>
    <w:rsid w:val="00CC5B9F"/>
    <w:rsid w:val="00CC66A2"/>
    <w:rsid w:val="00CC6DA1"/>
    <w:rsid w:val="00CD0586"/>
    <w:rsid w:val="00CD07BA"/>
    <w:rsid w:val="00CD0E22"/>
    <w:rsid w:val="00CD1AF2"/>
    <w:rsid w:val="00CD2B83"/>
    <w:rsid w:val="00CD37DE"/>
    <w:rsid w:val="00CD3C91"/>
    <w:rsid w:val="00CD48F6"/>
    <w:rsid w:val="00CD5066"/>
    <w:rsid w:val="00CD5268"/>
    <w:rsid w:val="00CD6687"/>
    <w:rsid w:val="00CD7385"/>
    <w:rsid w:val="00CE0893"/>
    <w:rsid w:val="00CE0FEC"/>
    <w:rsid w:val="00CE143A"/>
    <w:rsid w:val="00CE1EC1"/>
    <w:rsid w:val="00CE1F93"/>
    <w:rsid w:val="00CE2C60"/>
    <w:rsid w:val="00CE3AFA"/>
    <w:rsid w:val="00CE4EF0"/>
    <w:rsid w:val="00CE503A"/>
    <w:rsid w:val="00CE593F"/>
    <w:rsid w:val="00CE773D"/>
    <w:rsid w:val="00CE7964"/>
    <w:rsid w:val="00CF00FA"/>
    <w:rsid w:val="00CF2960"/>
    <w:rsid w:val="00CF2977"/>
    <w:rsid w:val="00CF2C13"/>
    <w:rsid w:val="00CF2CF1"/>
    <w:rsid w:val="00CF36B2"/>
    <w:rsid w:val="00CF3E60"/>
    <w:rsid w:val="00CF4681"/>
    <w:rsid w:val="00CF56FD"/>
    <w:rsid w:val="00CF68A8"/>
    <w:rsid w:val="00CF68D9"/>
    <w:rsid w:val="00CF6941"/>
    <w:rsid w:val="00CF7779"/>
    <w:rsid w:val="00D000FD"/>
    <w:rsid w:val="00D00BEB"/>
    <w:rsid w:val="00D0199A"/>
    <w:rsid w:val="00D02D55"/>
    <w:rsid w:val="00D032A5"/>
    <w:rsid w:val="00D03F7E"/>
    <w:rsid w:val="00D06489"/>
    <w:rsid w:val="00D068ED"/>
    <w:rsid w:val="00D06D21"/>
    <w:rsid w:val="00D07466"/>
    <w:rsid w:val="00D07988"/>
    <w:rsid w:val="00D1045C"/>
    <w:rsid w:val="00D11BF5"/>
    <w:rsid w:val="00D12097"/>
    <w:rsid w:val="00D137FA"/>
    <w:rsid w:val="00D14716"/>
    <w:rsid w:val="00D1647F"/>
    <w:rsid w:val="00D17046"/>
    <w:rsid w:val="00D23AA0"/>
    <w:rsid w:val="00D24FD4"/>
    <w:rsid w:val="00D258F9"/>
    <w:rsid w:val="00D25D68"/>
    <w:rsid w:val="00D27EB5"/>
    <w:rsid w:val="00D30483"/>
    <w:rsid w:val="00D307EC"/>
    <w:rsid w:val="00D31106"/>
    <w:rsid w:val="00D31501"/>
    <w:rsid w:val="00D32258"/>
    <w:rsid w:val="00D3274C"/>
    <w:rsid w:val="00D32BC1"/>
    <w:rsid w:val="00D3359E"/>
    <w:rsid w:val="00D3386B"/>
    <w:rsid w:val="00D346EB"/>
    <w:rsid w:val="00D34A55"/>
    <w:rsid w:val="00D3589C"/>
    <w:rsid w:val="00D359A9"/>
    <w:rsid w:val="00D360E6"/>
    <w:rsid w:val="00D3660D"/>
    <w:rsid w:val="00D367A6"/>
    <w:rsid w:val="00D36E85"/>
    <w:rsid w:val="00D370DE"/>
    <w:rsid w:val="00D379A1"/>
    <w:rsid w:val="00D40945"/>
    <w:rsid w:val="00D40AC2"/>
    <w:rsid w:val="00D40F62"/>
    <w:rsid w:val="00D41430"/>
    <w:rsid w:val="00D41AFB"/>
    <w:rsid w:val="00D433B8"/>
    <w:rsid w:val="00D435D8"/>
    <w:rsid w:val="00D45504"/>
    <w:rsid w:val="00D45A43"/>
    <w:rsid w:val="00D463B1"/>
    <w:rsid w:val="00D4652B"/>
    <w:rsid w:val="00D47470"/>
    <w:rsid w:val="00D52080"/>
    <w:rsid w:val="00D52376"/>
    <w:rsid w:val="00D5663D"/>
    <w:rsid w:val="00D5732B"/>
    <w:rsid w:val="00D61995"/>
    <w:rsid w:val="00D62C80"/>
    <w:rsid w:val="00D62E56"/>
    <w:rsid w:val="00D64535"/>
    <w:rsid w:val="00D64994"/>
    <w:rsid w:val="00D64A76"/>
    <w:rsid w:val="00D65774"/>
    <w:rsid w:val="00D65B89"/>
    <w:rsid w:val="00D65BE4"/>
    <w:rsid w:val="00D71F93"/>
    <w:rsid w:val="00D7318E"/>
    <w:rsid w:val="00D739A2"/>
    <w:rsid w:val="00D745B9"/>
    <w:rsid w:val="00D75A6B"/>
    <w:rsid w:val="00D76D33"/>
    <w:rsid w:val="00D77BCC"/>
    <w:rsid w:val="00D77E6A"/>
    <w:rsid w:val="00D81C5F"/>
    <w:rsid w:val="00D81E7F"/>
    <w:rsid w:val="00D81EC5"/>
    <w:rsid w:val="00D83455"/>
    <w:rsid w:val="00D873C7"/>
    <w:rsid w:val="00D87672"/>
    <w:rsid w:val="00D876FC"/>
    <w:rsid w:val="00D87988"/>
    <w:rsid w:val="00D879DD"/>
    <w:rsid w:val="00D9064D"/>
    <w:rsid w:val="00D945F4"/>
    <w:rsid w:val="00D94EFB"/>
    <w:rsid w:val="00D95081"/>
    <w:rsid w:val="00D95BCC"/>
    <w:rsid w:val="00DA1F95"/>
    <w:rsid w:val="00DA31C8"/>
    <w:rsid w:val="00DA423B"/>
    <w:rsid w:val="00DA5052"/>
    <w:rsid w:val="00DA513A"/>
    <w:rsid w:val="00DA64B6"/>
    <w:rsid w:val="00DA6E19"/>
    <w:rsid w:val="00DA70CA"/>
    <w:rsid w:val="00DA7759"/>
    <w:rsid w:val="00DB00D7"/>
    <w:rsid w:val="00DB1C72"/>
    <w:rsid w:val="00DB1FEE"/>
    <w:rsid w:val="00DB2D14"/>
    <w:rsid w:val="00DB388F"/>
    <w:rsid w:val="00DB3EEF"/>
    <w:rsid w:val="00DB4412"/>
    <w:rsid w:val="00DB4AD6"/>
    <w:rsid w:val="00DB50B1"/>
    <w:rsid w:val="00DB6CB9"/>
    <w:rsid w:val="00DC0B36"/>
    <w:rsid w:val="00DC0C10"/>
    <w:rsid w:val="00DC0C17"/>
    <w:rsid w:val="00DC1110"/>
    <w:rsid w:val="00DC235F"/>
    <w:rsid w:val="00DC37DE"/>
    <w:rsid w:val="00DC4304"/>
    <w:rsid w:val="00DC4CE4"/>
    <w:rsid w:val="00DC6495"/>
    <w:rsid w:val="00DC781C"/>
    <w:rsid w:val="00DC79D5"/>
    <w:rsid w:val="00DD093A"/>
    <w:rsid w:val="00DD1491"/>
    <w:rsid w:val="00DD2CB6"/>
    <w:rsid w:val="00DD3D38"/>
    <w:rsid w:val="00DD412C"/>
    <w:rsid w:val="00DD4237"/>
    <w:rsid w:val="00DD5476"/>
    <w:rsid w:val="00DD7385"/>
    <w:rsid w:val="00DD7533"/>
    <w:rsid w:val="00DE1A6F"/>
    <w:rsid w:val="00DE44CB"/>
    <w:rsid w:val="00DE4DEB"/>
    <w:rsid w:val="00DE6A53"/>
    <w:rsid w:val="00DE772C"/>
    <w:rsid w:val="00DE7774"/>
    <w:rsid w:val="00DE79BC"/>
    <w:rsid w:val="00DF04C4"/>
    <w:rsid w:val="00DF23F1"/>
    <w:rsid w:val="00DF4876"/>
    <w:rsid w:val="00DF4FD7"/>
    <w:rsid w:val="00DF6C8A"/>
    <w:rsid w:val="00DF6EA4"/>
    <w:rsid w:val="00E0013C"/>
    <w:rsid w:val="00E00DE7"/>
    <w:rsid w:val="00E00FCF"/>
    <w:rsid w:val="00E013D7"/>
    <w:rsid w:val="00E017F4"/>
    <w:rsid w:val="00E02F0D"/>
    <w:rsid w:val="00E0348E"/>
    <w:rsid w:val="00E04678"/>
    <w:rsid w:val="00E05202"/>
    <w:rsid w:val="00E07274"/>
    <w:rsid w:val="00E073D5"/>
    <w:rsid w:val="00E0795A"/>
    <w:rsid w:val="00E07ED9"/>
    <w:rsid w:val="00E10F95"/>
    <w:rsid w:val="00E114E7"/>
    <w:rsid w:val="00E11AB5"/>
    <w:rsid w:val="00E11F48"/>
    <w:rsid w:val="00E14908"/>
    <w:rsid w:val="00E14C6C"/>
    <w:rsid w:val="00E176F7"/>
    <w:rsid w:val="00E20733"/>
    <w:rsid w:val="00E21720"/>
    <w:rsid w:val="00E23B7B"/>
    <w:rsid w:val="00E23DA2"/>
    <w:rsid w:val="00E2478F"/>
    <w:rsid w:val="00E26A31"/>
    <w:rsid w:val="00E275C7"/>
    <w:rsid w:val="00E277B7"/>
    <w:rsid w:val="00E27EC7"/>
    <w:rsid w:val="00E303BD"/>
    <w:rsid w:val="00E31459"/>
    <w:rsid w:val="00E31A83"/>
    <w:rsid w:val="00E31E35"/>
    <w:rsid w:val="00E32217"/>
    <w:rsid w:val="00E326BB"/>
    <w:rsid w:val="00E33791"/>
    <w:rsid w:val="00E33DFB"/>
    <w:rsid w:val="00E356A2"/>
    <w:rsid w:val="00E36D0D"/>
    <w:rsid w:val="00E36DDA"/>
    <w:rsid w:val="00E37301"/>
    <w:rsid w:val="00E427A4"/>
    <w:rsid w:val="00E42EB4"/>
    <w:rsid w:val="00E42F63"/>
    <w:rsid w:val="00E43A09"/>
    <w:rsid w:val="00E43CC0"/>
    <w:rsid w:val="00E45F70"/>
    <w:rsid w:val="00E46B87"/>
    <w:rsid w:val="00E50B18"/>
    <w:rsid w:val="00E5194D"/>
    <w:rsid w:val="00E51B12"/>
    <w:rsid w:val="00E52CE5"/>
    <w:rsid w:val="00E52FAF"/>
    <w:rsid w:val="00E55737"/>
    <w:rsid w:val="00E56119"/>
    <w:rsid w:val="00E6017E"/>
    <w:rsid w:val="00E60A9D"/>
    <w:rsid w:val="00E60D55"/>
    <w:rsid w:val="00E61333"/>
    <w:rsid w:val="00E61638"/>
    <w:rsid w:val="00E61EC8"/>
    <w:rsid w:val="00E63D90"/>
    <w:rsid w:val="00E64D39"/>
    <w:rsid w:val="00E659EA"/>
    <w:rsid w:val="00E66192"/>
    <w:rsid w:val="00E706A6"/>
    <w:rsid w:val="00E7215D"/>
    <w:rsid w:val="00E72861"/>
    <w:rsid w:val="00E72986"/>
    <w:rsid w:val="00E7322D"/>
    <w:rsid w:val="00E744D4"/>
    <w:rsid w:val="00E7492B"/>
    <w:rsid w:val="00E74AD9"/>
    <w:rsid w:val="00E74D9E"/>
    <w:rsid w:val="00E75D14"/>
    <w:rsid w:val="00E76459"/>
    <w:rsid w:val="00E76B13"/>
    <w:rsid w:val="00E77709"/>
    <w:rsid w:val="00E8096F"/>
    <w:rsid w:val="00E80F0B"/>
    <w:rsid w:val="00E81543"/>
    <w:rsid w:val="00E84528"/>
    <w:rsid w:val="00E84D99"/>
    <w:rsid w:val="00E85489"/>
    <w:rsid w:val="00E85E1D"/>
    <w:rsid w:val="00E868E9"/>
    <w:rsid w:val="00E87EE7"/>
    <w:rsid w:val="00E913D6"/>
    <w:rsid w:val="00E96207"/>
    <w:rsid w:val="00E9646D"/>
    <w:rsid w:val="00EA05C3"/>
    <w:rsid w:val="00EA144E"/>
    <w:rsid w:val="00EA1985"/>
    <w:rsid w:val="00EA29DD"/>
    <w:rsid w:val="00EA370B"/>
    <w:rsid w:val="00EA4C66"/>
    <w:rsid w:val="00EA4C94"/>
    <w:rsid w:val="00EA5B36"/>
    <w:rsid w:val="00EA5BDC"/>
    <w:rsid w:val="00EA6A3E"/>
    <w:rsid w:val="00EA6EB7"/>
    <w:rsid w:val="00EA78A1"/>
    <w:rsid w:val="00EB3859"/>
    <w:rsid w:val="00EB485E"/>
    <w:rsid w:val="00EB4898"/>
    <w:rsid w:val="00EB4D61"/>
    <w:rsid w:val="00EB54C4"/>
    <w:rsid w:val="00EB5962"/>
    <w:rsid w:val="00EB5FC6"/>
    <w:rsid w:val="00EB61C4"/>
    <w:rsid w:val="00EB6AD1"/>
    <w:rsid w:val="00EB707E"/>
    <w:rsid w:val="00EB7569"/>
    <w:rsid w:val="00EB7641"/>
    <w:rsid w:val="00EB7B3D"/>
    <w:rsid w:val="00EC0E23"/>
    <w:rsid w:val="00EC1B80"/>
    <w:rsid w:val="00EC2912"/>
    <w:rsid w:val="00EC31B0"/>
    <w:rsid w:val="00EC365D"/>
    <w:rsid w:val="00EC484C"/>
    <w:rsid w:val="00EC4EB5"/>
    <w:rsid w:val="00EC548B"/>
    <w:rsid w:val="00EC5C07"/>
    <w:rsid w:val="00EC6B92"/>
    <w:rsid w:val="00EC6C31"/>
    <w:rsid w:val="00EC6E0D"/>
    <w:rsid w:val="00EC7D4C"/>
    <w:rsid w:val="00ED0333"/>
    <w:rsid w:val="00ED163D"/>
    <w:rsid w:val="00ED1AA2"/>
    <w:rsid w:val="00ED22DB"/>
    <w:rsid w:val="00ED257A"/>
    <w:rsid w:val="00ED2ED7"/>
    <w:rsid w:val="00ED3658"/>
    <w:rsid w:val="00ED3D3A"/>
    <w:rsid w:val="00ED3EC6"/>
    <w:rsid w:val="00ED6632"/>
    <w:rsid w:val="00EE06B9"/>
    <w:rsid w:val="00EE0A17"/>
    <w:rsid w:val="00EE0D66"/>
    <w:rsid w:val="00EE1CEF"/>
    <w:rsid w:val="00EE37A8"/>
    <w:rsid w:val="00EE4299"/>
    <w:rsid w:val="00EE48B2"/>
    <w:rsid w:val="00EE4AFC"/>
    <w:rsid w:val="00EE4D17"/>
    <w:rsid w:val="00EE56F2"/>
    <w:rsid w:val="00EE5A13"/>
    <w:rsid w:val="00EE5F98"/>
    <w:rsid w:val="00EE6870"/>
    <w:rsid w:val="00EE6CE2"/>
    <w:rsid w:val="00EF0483"/>
    <w:rsid w:val="00EF079F"/>
    <w:rsid w:val="00EF0B91"/>
    <w:rsid w:val="00EF104C"/>
    <w:rsid w:val="00EF3232"/>
    <w:rsid w:val="00EF3AC0"/>
    <w:rsid w:val="00EF3DF7"/>
    <w:rsid w:val="00EF4A7A"/>
    <w:rsid w:val="00EF4BFD"/>
    <w:rsid w:val="00EF521E"/>
    <w:rsid w:val="00EF5EB7"/>
    <w:rsid w:val="00EF629D"/>
    <w:rsid w:val="00EF7B89"/>
    <w:rsid w:val="00F01310"/>
    <w:rsid w:val="00F01940"/>
    <w:rsid w:val="00F0265D"/>
    <w:rsid w:val="00F02782"/>
    <w:rsid w:val="00F028C6"/>
    <w:rsid w:val="00F02E94"/>
    <w:rsid w:val="00F04031"/>
    <w:rsid w:val="00F041E5"/>
    <w:rsid w:val="00F06872"/>
    <w:rsid w:val="00F12378"/>
    <w:rsid w:val="00F12743"/>
    <w:rsid w:val="00F12825"/>
    <w:rsid w:val="00F12A7C"/>
    <w:rsid w:val="00F13510"/>
    <w:rsid w:val="00F1370C"/>
    <w:rsid w:val="00F14118"/>
    <w:rsid w:val="00F1417C"/>
    <w:rsid w:val="00F1545E"/>
    <w:rsid w:val="00F155C8"/>
    <w:rsid w:val="00F1570F"/>
    <w:rsid w:val="00F15B59"/>
    <w:rsid w:val="00F1766C"/>
    <w:rsid w:val="00F17F5A"/>
    <w:rsid w:val="00F20E64"/>
    <w:rsid w:val="00F213B5"/>
    <w:rsid w:val="00F218E7"/>
    <w:rsid w:val="00F21D64"/>
    <w:rsid w:val="00F22D32"/>
    <w:rsid w:val="00F239C5"/>
    <w:rsid w:val="00F23DEB"/>
    <w:rsid w:val="00F23E0D"/>
    <w:rsid w:val="00F2466F"/>
    <w:rsid w:val="00F270DA"/>
    <w:rsid w:val="00F276A9"/>
    <w:rsid w:val="00F27F78"/>
    <w:rsid w:val="00F3031D"/>
    <w:rsid w:val="00F30651"/>
    <w:rsid w:val="00F314B1"/>
    <w:rsid w:val="00F3209D"/>
    <w:rsid w:val="00F321F7"/>
    <w:rsid w:val="00F32ACC"/>
    <w:rsid w:val="00F33A66"/>
    <w:rsid w:val="00F33C04"/>
    <w:rsid w:val="00F3418A"/>
    <w:rsid w:val="00F3510E"/>
    <w:rsid w:val="00F351DB"/>
    <w:rsid w:val="00F35305"/>
    <w:rsid w:val="00F359F3"/>
    <w:rsid w:val="00F361EA"/>
    <w:rsid w:val="00F36E3C"/>
    <w:rsid w:val="00F36F09"/>
    <w:rsid w:val="00F41404"/>
    <w:rsid w:val="00F4322C"/>
    <w:rsid w:val="00F43305"/>
    <w:rsid w:val="00F442A0"/>
    <w:rsid w:val="00F4481D"/>
    <w:rsid w:val="00F458C2"/>
    <w:rsid w:val="00F46F23"/>
    <w:rsid w:val="00F479D6"/>
    <w:rsid w:val="00F47D35"/>
    <w:rsid w:val="00F506F6"/>
    <w:rsid w:val="00F5098F"/>
    <w:rsid w:val="00F50DD7"/>
    <w:rsid w:val="00F51143"/>
    <w:rsid w:val="00F52107"/>
    <w:rsid w:val="00F5236C"/>
    <w:rsid w:val="00F5396D"/>
    <w:rsid w:val="00F53E8F"/>
    <w:rsid w:val="00F54AAA"/>
    <w:rsid w:val="00F54C4A"/>
    <w:rsid w:val="00F569A4"/>
    <w:rsid w:val="00F575E5"/>
    <w:rsid w:val="00F602E4"/>
    <w:rsid w:val="00F60501"/>
    <w:rsid w:val="00F60A81"/>
    <w:rsid w:val="00F61C91"/>
    <w:rsid w:val="00F62BDA"/>
    <w:rsid w:val="00F63770"/>
    <w:rsid w:val="00F63F52"/>
    <w:rsid w:val="00F64593"/>
    <w:rsid w:val="00F704B3"/>
    <w:rsid w:val="00F70D02"/>
    <w:rsid w:val="00F715EA"/>
    <w:rsid w:val="00F71EA1"/>
    <w:rsid w:val="00F71FAD"/>
    <w:rsid w:val="00F72C31"/>
    <w:rsid w:val="00F7376E"/>
    <w:rsid w:val="00F7384B"/>
    <w:rsid w:val="00F73C24"/>
    <w:rsid w:val="00F73D87"/>
    <w:rsid w:val="00F740BF"/>
    <w:rsid w:val="00F74A93"/>
    <w:rsid w:val="00F74E0B"/>
    <w:rsid w:val="00F75668"/>
    <w:rsid w:val="00F762B9"/>
    <w:rsid w:val="00F7677C"/>
    <w:rsid w:val="00F76CD0"/>
    <w:rsid w:val="00F7740A"/>
    <w:rsid w:val="00F77541"/>
    <w:rsid w:val="00F80FA3"/>
    <w:rsid w:val="00F81722"/>
    <w:rsid w:val="00F81AE2"/>
    <w:rsid w:val="00F82705"/>
    <w:rsid w:val="00F83260"/>
    <w:rsid w:val="00F84C15"/>
    <w:rsid w:val="00F86F1F"/>
    <w:rsid w:val="00F874E9"/>
    <w:rsid w:val="00F87859"/>
    <w:rsid w:val="00F900AF"/>
    <w:rsid w:val="00F91C57"/>
    <w:rsid w:val="00F923E6"/>
    <w:rsid w:val="00F9445B"/>
    <w:rsid w:val="00F946FA"/>
    <w:rsid w:val="00F9492B"/>
    <w:rsid w:val="00F94CDC"/>
    <w:rsid w:val="00F9524E"/>
    <w:rsid w:val="00F9611A"/>
    <w:rsid w:val="00F96DD8"/>
    <w:rsid w:val="00F97312"/>
    <w:rsid w:val="00F97883"/>
    <w:rsid w:val="00FA034A"/>
    <w:rsid w:val="00FA044B"/>
    <w:rsid w:val="00FA0B96"/>
    <w:rsid w:val="00FA16CF"/>
    <w:rsid w:val="00FA20F6"/>
    <w:rsid w:val="00FA2296"/>
    <w:rsid w:val="00FA262B"/>
    <w:rsid w:val="00FA3B6F"/>
    <w:rsid w:val="00FA4004"/>
    <w:rsid w:val="00FA6621"/>
    <w:rsid w:val="00FA7A2A"/>
    <w:rsid w:val="00FA7BFF"/>
    <w:rsid w:val="00FA7FCE"/>
    <w:rsid w:val="00FB15C5"/>
    <w:rsid w:val="00FB1937"/>
    <w:rsid w:val="00FB436A"/>
    <w:rsid w:val="00FB4D8A"/>
    <w:rsid w:val="00FB70A8"/>
    <w:rsid w:val="00FB747E"/>
    <w:rsid w:val="00FB76E0"/>
    <w:rsid w:val="00FC229C"/>
    <w:rsid w:val="00FC29AE"/>
    <w:rsid w:val="00FC3D35"/>
    <w:rsid w:val="00FC4376"/>
    <w:rsid w:val="00FC4671"/>
    <w:rsid w:val="00FC505C"/>
    <w:rsid w:val="00FC552E"/>
    <w:rsid w:val="00FC55E8"/>
    <w:rsid w:val="00FC57E9"/>
    <w:rsid w:val="00FC5856"/>
    <w:rsid w:val="00FC5E6F"/>
    <w:rsid w:val="00FC610E"/>
    <w:rsid w:val="00FC67E2"/>
    <w:rsid w:val="00FC78DF"/>
    <w:rsid w:val="00FC7C02"/>
    <w:rsid w:val="00FD2256"/>
    <w:rsid w:val="00FD256A"/>
    <w:rsid w:val="00FD2997"/>
    <w:rsid w:val="00FD338B"/>
    <w:rsid w:val="00FD3649"/>
    <w:rsid w:val="00FD3F9B"/>
    <w:rsid w:val="00FD5014"/>
    <w:rsid w:val="00FE0705"/>
    <w:rsid w:val="00FE1BA7"/>
    <w:rsid w:val="00FE1DDC"/>
    <w:rsid w:val="00FE3051"/>
    <w:rsid w:val="00FE3D5B"/>
    <w:rsid w:val="00FE48A8"/>
    <w:rsid w:val="00FE587D"/>
    <w:rsid w:val="00FE6DC9"/>
    <w:rsid w:val="00FF0821"/>
    <w:rsid w:val="00FF0A1E"/>
    <w:rsid w:val="00FF14BF"/>
    <w:rsid w:val="00FF1C4C"/>
    <w:rsid w:val="00FF3870"/>
    <w:rsid w:val="00FF38C3"/>
    <w:rsid w:val="00FF3F1F"/>
    <w:rsid w:val="00FF3FCF"/>
    <w:rsid w:val="00FF563D"/>
    <w:rsid w:val="00FF5EB3"/>
    <w:rsid w:val="00FF67EC"/>
    <w:rsid w:val="02E426F6"/>
    <w:rsid w:val="06AF2C15"/>
    <w:rsid w:val="106F6A87"/>
    <w:rsid w:val="117E0A02"/>
    <w:rsid w:val="211A05B7"/>
    <w:rsid w:val="27560845"/>
    <w:rsid w:val="38080359"/>
    <w:rsid w:val="3ABC496A"/>
    <w:rsid w:val="4176763F"/>
    <w:rsid w:val="44E105DB"/>
    <w:rsid w:val="507A434D"/>
    <w:rsid w:val="599344C8"/>
    <w:rsid w:val="64B57838"/>
    <w:rsid w:val="69B6680B"/>
    <w:rsid w:val="6ADD6760"/>
    <w:rsid w:val="74591040"/>
    <w:rsid w:val="74E77D99"/>
    <w:rsid w:val="7AD55A8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name="Body Text"/>
    <w:lsdException w:qFormat="1" w:unhideWhenUsed="0" w:uiPriority="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0"/>
    <w:unhideWhenUsed/>
    <w:qFormat/>
    <w:uiPriority w:val="0"/>
    <w:pPr>
      <w:keepNext/>
      <w:keepLines/>
      <w:spacing w:before="260" w:after="260" w:line="416" w:lineRule="auto"/>
      <w:outlineLvl w:val="2"/>
    </w:pPr>
    <w:rPr>
      <w:b/>
      <w:bCs/>
      <w:sz w:val="32"/>
      <w:szCs w:val="32"/>
    </w:rPr>
  </w:style>
  <w:style w:type="character" w:default="1" w:styleId="32">
    <w:name w:val="Default Paragraph Font"/>
    <w:unhideWhenUsed/>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Theme="minorHAnsi" w:hAnsiTheme="minorHAnsi"/>
      <w:sz w:val="18"/>
      <w:szCs w:val="18"/>
    </w:rPr>
  </w:style>
  <w:style w:type="paragraph" w:styleId="6">
    <w:name w:val="Normal Indent"/>
    <w:basedOn w:val="1"/>
    <w:qFormat/>
    <w:uiPriority w:val="0"/>
    <w:pPr>
      <w:spacing w:before="340" w:after="330" w:line="576" w:lineRule="auto"/>
    </w:pPr>
    <w:rPr>
      <w:rFonts w:ascii="宋体" w:hAnsi="Arial"/>
      <w:b/>
      <w:sz w:val="24"/>
      <w:szCs w:val="20"/>
    </w:rPr>
  </w:style>
  <w:style w:type="paragraph" w:styleId="7">
    <w:name w:val="caption"/>
    <w:basedOn w:val="1"/>
    <w:next w:val="1"/>
    <w:unhideWhenUsed/>
    <w:qFormat/>
    <w:uiPriority w:val="0"/>
    <w:pPr>
      <w:spacing w:line="360" w:lineRule="auto"/>
      <w:ind w:firstLine="200" w:firstLineChars="200"/>
    </w:pPr>
    <w:rPr>
      <w:rFonts w:ascii="Cambria" w:hAnsi="Cambria" w:eastAsia="黑体"/>
      <w:sz w:val="20"/>
      <w:szCs w:val="20"/>
    </w:rPr>
  </w:style>
  <w:style w:type="paragraph" w:styleId="8">
    <w:name w:val="Document Map"/>
    <w:basedOn w:val="1"/>
    <w:link w:val="47"/>
    <w:semiHidden/>
    <w:unhideWhenUsed/>
    <w:qFormat/>
    <w:uiPriority w:val="0"/>
    <w:rPr>
      <w:rFonts w:ascii="宋体"/>
      <w:sz w:val="18"/>
      <w:szCs w:val="18"/>
    </w:rPr>
  </w:style>
  <w:style w:type="paragraph" w:styleId="9">
    <w:name w:val="annotation text"/>
    <w:basedOn w:val="1"/>
    <w:link w:val="44"/>
    <w:unhideWhenUsed/>
    <w:qFormat/>
    <w:uiPriority w:val="99"/>
    <w:pPr>
      <w:jc w:val="left"/>
    </w:pPr>
  </w:style>
  <w:style w:type="paragraph" w:styleId="10">
    <w:name w:val="Body Text"/>
    <w:basedOn w:val="1"/>
    <w:link w:val="65"/>
    <w:semiHidden/>
    <w:qFormat/>
    <w:uiPriority w:val="0"/>
    <w:pPr>
      <w:spacing w:after="120"/>
    </w:pPr>
  </w:style>
  <w:style w:type="paragraph" w:styleId="11">
    <w:name w:val="Body Text Indent"/>
    <w:basedOn w:val="1"/>
    <w:link w:val="64"/>
    <w:semiHidden/>
    <w:qFormat/>
    <w:uiPriority w:val="0"/>
    <w:pPr>
      <w:ind w:firstLine="480" w:firstLineChars="200"/>
    </w:pPr>
    <w:rPr>
      <w:sz w:val="24"/>
    </w:rPr>
  </w:style>
  <w:style w:type="paragraph" w:styleId="12">
    <w:name w:val="List Continue"/>
    <w:basedOn w:val="1"/>
    <w:qFormat/>
    <w:uiPriority w:val="0"/>
    <w:pPr>
      <w:spacing w:after="120"/>
      <w:ind w:left="420" w:leftChars="200"/>
    </w:pPr>
  </w:style>
  <w:style w:type="paragraph" w:styleId="13">
    <w:name w:val="toc 5"/>
    <w:basedOn w:val="1"/>
    <w:next w:val="1"/>
    <w:unhideWhenUsed/>
    <w:qFormat/>
    <w:uiPriority w:val="39"/>
    <w:pPr>
      <w:ind w:left="840"/>
      <w:jc w:val="left"/>
    </w:pPr>
    <w:rPr>
      <w:rFonts w:asciiTheme="minorHAnsi" w:hAnsiTheme="minorHAnsi"/>
      <w:sz w:val="18"/>
      <w:szCs w:val="18"/>
    </w:rPr>
  </w:style>
  <w:style w:type="paragraph" w:styleId="14">
    <w:name w:val="toc 3"/>
    <w:basedOn w:val="1"/>
    <w:next w:val="1"/>
    <w:unhideWhenUsed/>
    <w:qFormat/>
    <w:uiPriority w:val="39"/>
    <w:pPr>
      <w:ind w:left="420"/>
      <w:jc w:val="left"/>
    </w:pPr>
    <w:rPr>
      <w:rFonts w:asciiTheme="minorHAnsi" w:hAnsiTheme="minorHAnsi"/>
      <w:i/>
      <w:iCs/>
      <w:sz w:val="20"/>
      <w:szCs w:val="20"/>
    </w:rPr>
  </w:style>
  <w:style w:type="paragraph" w:styleId="15">
    <w:name w:val="toc 8"/>
    <w:basedOn w:val="1"/>
    <w:next w:val="1"/>
    <w:unhideWhenUsed/>
    <w:qFormat/>
    <w:uiPriority w:val="39"/>
    <w:pPr>
      <w:ind w:left="1470"/>
      <w:jc w:val="left"/>
    </w:pPr>
    <w:rPr>
      <w:rFonts w:asciiTheme="minorHAnsi" w:hAnsiTheme="minorHAnsi"/>
      <w:sz w:val="18"/>
      <w:szCs w:val="18"/>
    </w:rPr>
  </w:style>
  <w:style w:type="paragraph" w:styleId="16">
    <w:name w:val="Date"/>
    <w:basedOn w:val="1"/>
    <w:next w:val="1"/>
    <w:link w:val="46"/>
    <w:unhideWhenUsed/>
    <w:qFormat/>
    <w:uiPriority w:val="99"/>
    <w:pPr>
      <w:ind w:left="100" w:leftChars="2500"/>
    </w:pPr>
  </w:style>
  <w:style w:type="paragraph" w:styleId="17">
    <w:name w:val="Body Text Indent 2"/>
    <w:basedOn w:val="1"/>
    <w:link w:val="67"/>
    <w:semiHidden/>
    <w:qFormat/>
    <w:uiPriority w:val="0"/>
    <w:pPr>
      <w:spacing w:line="360" w:lineRule="auto"/>
      <w:ind w:firstLine="420" w:firstLineChars="175"/>
    </w:pPr>
    <w:rPr>
      <w:color w:val="FF0000"/>
      <w:sz w:val="24"/>
    </w:rPr>
  </w:style>
  <w:style w:type="paragraph" w:styleId="18">
    <w:name w:val="Balloon Text"/>
    <w:basedOn w:val="1"/>
    <w:link w:val="43"/>
    <w:semiHidden/>
    <w:unhideWhenUsed/>
    <w:qFormat/>
    <w:uiPriority w:val="99"/>
    <w:rPr>
      <w:sz w:val="18"/>
      <w:szCs w:val="18"/>
    </w:rPr>
  </w:style>
  <w:style w:type="paragraph" w:styleId="19">
    <w:name w:val="footer"/>
    <w:basedOn w:val="1"/>
    <w:link w:val="83"/>
    <w:unhideWhenUsed/>
    <w:qFormat/>
    <w:uiPriority w:val="99"/>
    <w:pPr>
      <w:tabs>
        <w:tab w:val="center" w:pos="4153"/>
        <w:tab w:val="right" w:pos="8306"/>
      </w:tabs>
      <w:snapToGrid w:val="0"/>
      <w:jc w:val="left"/>
    </w:pPr>
    <w:rPr>
      <w:sz w:val="18"/>
      <w:szCs w:val="18"/>
    </w:rPr>
  </w:style>
  <w:style w:type="paragraph" w:styleId="20">
    <w:name w:val="header"/>
    <w:basedOn w:val="1"/>
    <w:link w:val="82"/>
    <w:unhideWhenUsed/>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8296"/>
      </w:tabs>
      <w:spacing w:line="276" w:lineRule="auto"/>
      <w:jc w:val="center"/>
    </w:pPr>
    <w:rPr>
      <w:rFonts w:asciiTheme="minorHAnsi" w:hAnsiTheme="minorHAnsi"/>
      <w:b/>
      <w:bCs/>
      <w:caps/>
      <w:sz w:val="28"/>
      <w:szCs w:val="28"/>
    </w:rPr>
  </w:style>
  <w:style w:type="paragraph" w:styleId="22">
    <w:name w:val="toc 4"/>
    <w:basedOn w:val="1"/>
    <w:next w:val="1"/>
    <w:unhideWhenUsed/>
    <w:qFormat/>
    <w:uiPriority w:val="39"/>
    <w:pPr>
      <w:ind w:left="630"/>
      <w:jc w:val="left"/>
    </w:pPr>
    <w:rPr>
      <w:rFonts w:asciiTheme="minorHAnsi" w:hAnsiTheme="minorHAnsi"/>
      <w:sz w:val="18"/>
      <w:szCs w:val="18"/>
    </w:rPr>
  </w:style>
  <w:style w:type="paragraph" w:styleId="23">
    <w:name w:val="toc 6"/>
    <w:basedOn w:val="1"/>
    <w:next w:val="1"/>
    <w:unhideWhenUsed/>
    <w:qFormat/>
    <w:uiPriority w:val="39"/>
    <w:pPr>
      <w:ind w:left="1050"/>
      <w:jc w:val="left"/>
    </w:pPr>
    <w:rPr>
      <w:rFonts w:asciiTheme="minorHAnsi" w:hAnsiTheme="minorHAnsi"/>
      <w:sz w:val="18"/>
      <w:szCs w:val="18"/>
    </w:rPr>
  </w:style>
  <w:style w:type="paragraph" w:styleId="24">
    <w:name w:val="Body Text Indent 3"/>
    <w:basedOn w:val="1"/>
    <w:link w:val="66"/>
    <w:semiHidden/>
    <w:qFormat/>
    <w:uiPriority w:val="0"/>
    <w:pPr>
      <w:ind w:firstLine="480" w:firstLineChars="200"/>
    </w:pPr>
    <w:rPr>
      <w:sz w:val="24"/>
    </w:rPr>
  </w:style>
  <w:style w:type="paragraph" w:styleId="25">
    <w:name w:val="toc 2"/>
    <w:basedOn w:val="1"/>
    <w:next w:val="1"/>
    <w:uiPriority w:val="39"/>
    <w:pPr>
      <w:tabs>
        <w:tab w:val="right" w:leader="dot" w:pos="8296"/>
      </w:tabs>
      <w:ind w:left="210"/>
      <w:jc w:val="left"/>
    </w:pPr>
    <w:rPr>
      <w:rFonts w:asciiTheme="minorHAnsi" w:hAnsiTheme="minorHAnsi"/>
      <w:smallCaps/>
      <w:sz w:val="20"/>
      <w:szCs w:val="20"/>
    </w:rPr>
  </w:style>
  <w:style w:type="paragraph" w:styleId="26">
    <w:name w:val="toc 9"/>
    <w:basedOn w:val="1"/>
    <w:next w:val="1"/>
    <w:unhideWhenUsed/>
    <w:qFormat/>
    <w:uiPriority w:val="39"/>
    <w:pPr>
      <w:ind w:left="1680"/>
      <w:jc w:val="left"/>
    </w:pPr>
    <w:rPr>
      <w:rFonts w:asciiTheme="minorHAnsi" w:hAnsiTheme="minorHAnsi"/>
      <w:sz w:val="18"/>
      <w:szCs w:val="18"/>
    </w:rPr>
  </w:style>
  <w:style w:type="paragraph" w:styleId="27">
    <w:name w:val="HTML Preformatted"/>
    <w:basedOn w:val="1"/>
    <w:link w:val="7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29">
    <w:name w:val="annotation subject"/>
    <w:basedOn w:val="9"/>
    <w:next w:val="9"/>
    <w:link w:val="45"/>
    <w:semiHidden/>
    <w:unhideWhenUsed/>
    <w:qFormat/>
    <w:uiPriority w:val="99"/>
    <w:rPr>
      <w:b/>
      <w:bCs/>
    </w:rPr>
  </w:style>
  <w:style w:type="table" w:styleId="31">
    <w:name w:val="Table Grid"/>
    <w:basedOn w:val="3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3">
    <w:name w:val="Strong"/>
    <w:basedOn w:val="32"/>
    <w:qFormat/>
    <w:uiPriority w:val="22"/>
    <w:rPr>
      <w:b/>
      <w:bCs/>
    </w:rPr>
  </w:style>
  <w:style w:type="character" w:styleId="34">
    <w:name w:val="endnote reference"/>
    <w:basedOn w:val="32"/>
    <w:semiHidden/>
    <w:unhideWhenUsed/>
    <w:qFormat/>
    <w:uiPriority w:val="99"/>
    <w:rPr>
      <w:vertAlign w:val="superscript"/>
    </w:rPr>
  </w:style>
  <w:style w:type="character" w:styleId="35">
    <w:name w:val="page number"/>
    <w:basedOn w:val="32"/>
    <w:semiHidden/>
    <w:qFormat/>
    <w:uiPriority w:val="0"/>
  </w:style>
  <w:style w:type="character" w:styleId="36">
    <w:name w:val="Emphasis"/>
    <w:basedOn w:val="32"/>
    <w:qFormat/>
    <w:uiPriority w:val="20"/>
    <w:rPr>
      <w:i/>
      <w:iCs/>
    </w:rPr>
  </w:style>
  <w:style w:type="character" w:styleId="37">
    <w:name w:val="Hyperlink"/>
    <w:basedOn w:val="32"/>
    <w:qFormat/>
    <w:uiPriority w:val="99"/>
    <w:rPr>
      <w:color w:val="0000FF"/>
      <w:u w:val="single"/>
    </w:rPr>
  </w:style>
  <w:style w:type="character" w:styleId="38">
    <w:name w:val="annotation reference"/>
    <w:basedOn w:val="32"/>
    <w:unhideWhenUsed/>
    <w:qFormat/>
    <w:uiPriority w:val="99"/>
    <w:rPr>
      <w:sz w:val="21"/>
      <w:szCs w:val="21"/>
    </w:rPr>
  </w:style>
  <w:style w:type="paragraph" w:customStyle="1" w:styleId="39">
    <w:name w:val="页眉1"/>
    <w:basedOn w:val="1"/>
    <w:link w:val="4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40">
    <w:name w:val="页眉 Char"/>
    <w:basedOn w:val="32"/>
    <w:link w:val="39"/>
    <w:uiPriority w:val="0"/>
    <w:rPr>
      <w:sz w:val="18"/>
      <w:szCs w:val="18"/>
    </w:rPr>
  </w:style>
  <w:style w:type="paragraph" w:customStyle="1" w:styleId="41">
    <w:name w:val="页脚1"/>
    <w:basedOn w:val="1"/>
    <w:link w:val="4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42">
    <w:name w:val="页脚 Char"/>
    <w:basedOn w:val="32"/>
    <w:link w:val="41"/>
    <w:qFormat/>
    <w:uiPriority w:val="99"/>
    <w:rPr>
      <w:sz w:val="18"/>
      <w:szCs w:val="18"/>
    </w:rPr>
  </w:style>
  <w:style w:type="character" w:customStyle="1" w:styleId="43">
    <w:name w:val="批注框文本 字符"/>
    <w:basedOn w:val="32"/>
    <w:link w:val="18"/>
    <w:semiHidden/>
    <w:qFormat/>
    <w:uiPriority w:val="99"/>
    <w:rPr>
      <w:rFonts w:ascii="Times New Roman" w:hAnsi="Times New Roman" w:eastAsia="宋体" w:cs="Times New Roman"/>
      <w:sz w:val="18"/>
      <w:szCs w:val="18"/>
    </w:rPr>
  </w:style>
  <w:style w:type="character" w:customStyle="1" w:styleId="44">
    <w:name w:val="批注文字 字符"/>
    <w:basedOn w:val="32"/>
    <w:link w:val="9"/>
    <w:qFormat/>
    <w:uiPriority w:val="99"/>
    <w:rPr>
      <w:rFonts w:ascii="Times New Roman" w:hAnsi="Times New Roman" w:eastAsia="宋体" w:cs="Times New Roman"/>
      <w:szCs w:val="24"/>
    </w:rPr>
  </w:style>
  <w:style w:type="character" w:customStyle="1" w:styleId="45">
    <w:name w:val="批注主题 字符"/>
    <w:basedOn w:val="44"/>
    <w:link w:val="29"/>
    <w:semiHidden/>
    <w:uiPriority w:val="99"/>
    <w:rPr>
      <w:rFonts w:ascii="Times New Roman" w:hAnsi="Times New Roman" w:eastAsia="宋体" w:cs="Times New Roman"/>
      <w:b/>
      <w:bCs/>
      <w:szCs w:val="24"/>
    </w:rPr>
  </w:style>
  <w:style w:type="character" w:customStyle="1" w:styleId="46">
    <w:name w:val="日期 字符"/>
    <w:basedOn w:val="32"/>
    <w:link w:val="16"/>
    <w:qFormat/>
    <w:uiPriority w:val="99"/>
    <w:rPr>
      <w:rFonts w:ascii="Times New Roman" w:hAnsi="Times New Roman" w:eastAsia="宋体" w:cs="Times New Roman"/>
      <w:szCs w:val="24"/>
    </w:rPr>
  </w:style>
  <w:style w:type="character" w:customStyle="1" w:styleId="47">
    <w:name w:val="文档结构图 字符"/>
    <w:basedOn w:val="32"/>
    <w:link w:val="8"/>
    <w:semiHidden/>
    <w:qFormat/>
    <w:uiPriority w:val="0"/>
    <w:rPr>
      <w:rFonts w:ascii="宋体" w:hAnsi="Times New Roman" w:eastAsia="宋体" w:cs="Times New Roman"/>
      <w:sz w:val="18"/>
      <w:szCs w:val="18"/>
    </w:rPr>
  </w:style>
  <w:style w:type="character" w:customStyle="1" w:styleId="48">
    <w:name w:val="标题 1 字符"/>
    <w:basedOn w:val="32"/>
    <w:link w:val="2"/>
    <w:qFormat/>
    <w:uiPriority w:val="0"/>
    <w:rPr>
      <w:rFonts w:ascii="Times New Roman" w:hAnsi="Times New Roman" w:eastAsia="宋体" w:cs="Times New Roman"/>
      <w:b/>
      <w:bCs/>
      <w:kern w:val="44"/>
      <w:sz w:val="44"/>
      <w:szCs w:val="44"/>
    </w:rPr>
  </w:style>
  <w:style w:type="character" w:customStyle="1" w:styleId="49">
    <w:name w:val="标题 2 字符"/>
    <w:basedOn w:val="32"/>
    <w:link w:val="3"/>
    <w:qFormat/>
    <w:uiPriority w:val="0"/>
    <w:rPr>
      <w:rFonts w:asciiTheme="majorHAnsi" w:hAnsiTheme="majorHAnsi" w:eastAsiaTheme="majorEastAsia" w:cstheme="majorBidi"/>
      <w:b/>
      <w:bCs/>
      <w:sz w:val="32"/>
      <w:szCs w:val="32"/>
    </w:rPr>
  </w:style>
  <w:style w:type="character" w:customStyle="1" w:styleId="50">
    <w:name w:val="标题 3 字符"/>
    <w:basedOn w:val="32"/>
    <w:link w:val="4"/>
    <w:qFormat/>
    <w:uiPriority w:val="0"/>
    <w:rPr>
      <w:rFonts w:ascii="Times New Roman" w:hAnsi="Times New Roman" w:eastAsia="宋体" w:cs="Times New Roman"/>
      <w:b/>
      <w:bCs/>
      <w:sz w:val="32"/>
      <w:szCs w:val="32"/>
    </w:rPr>
  </w:style>
  <w:style w:type="paragraph" w:customStyle="1" w:styleId="51">
    <w:name w:val="样式 标题 1 + 华文新魏 二号 黑色"/>
    <w:basedOn w:val="2"/>
    <w:qFormat/>
    <w:uiPriority w:val="0"/>
    <w:pPr>
      <w:spacing w:beforeLines="50" w:afterLines="50" w:line="240" w:lineRule="auto"/>
      <w:jc w:val="center"/>
    </w:pPr>
    <w:rPr>
      <w:rFonts w:ascii="华文新魏" w:hAnsi="华文新魏" w:eastAsia="华文新魏" w:cs="MS Gothic"/>
      <w:b w:val="0"/>
      <w:bCs w:val="0"/>
      <w:color w:val="000000"/>
      <w:kern w:val="0"/>
      <w:sz w:val="40"/>
    </w:rPr>
  </w:style>
  <w:style w:type="paragraph" w:styleId="52">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3">
    <w:name w:val="正文文本缩进 21"/>
    <w:basedOn w:val="1"/>
    <w:uiPriority w:val="0"/>
    <w:pPr>
      <w:adjustRightInd w:val="0"/>
      <w:spacing w:line="240" w:lineRule="atLeast"/>
      <w:ind w:firstLine="420"/>
      <w:textAlignment w:val="baseline"/>
    </w:pPr>
    <w:rPr>
      <w:rFonts w:eastAsia="楷体_GB2312"/>
      <w:szCs w:val="20"/>
    </w:rPr>
  </w:style>
  <w:style w:type="paragraph" w:customStyle="1" w:styleId="5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55">
    <w:name w:val="章标题"/>
    <w:next w:val="1"/>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56">
    <w:name w:val="一级条标题"/>
    <w:basedOn w:val="55"/>
    <w:next w:val="1"/>
    <w:qFormat/>
    <w:uiPriority w:val="0"/>
    <w:pPr>
      <w:numPr>
        <w:ilvl w:val="2"/>
      </w:numPr>
      <w:spacing w:beforeLines="0" w:afterLines="0"/>
      <w:outlineLvl w:val="2"/>
    </w:pPr>
  </w:style>
  <w:style w:type="paragraph" w:customStyle="1" w:styleId="57">
    <w:name w:val="二级条标题"/>
    <w:basedOn w:val="56"/>
    <w:next w:val="1"/>
    <w:qFormat/>
    <w:uiPriority w:val="0"/>
    <w:pPr>
      <w:numPr>
        <w:ilvl w:val="3"/>
      </w:numPr>
      <w:outlineLvl w:val="3"/>
    </w:pPr>
  </w:style>
  <w:style w:type="paragraph" w:customStyle="1" w:styleId="58">
    <w:name w:val="三级条标题"/>
    <w:basedOn w:val="57"/>
    <w:next w:val="1"/>
    <w:qFormat/>
    <w:uiPriority w:val="0"/>
    <w:pPr>
      <w:numPr>
        <w:ilvl w:val="4"/>
      </w:numPr>
      <w:outlineLvl w:val="4"/>
    </w:pPr>
  </w:style>
  <w:style w:type="paragraph" w:customStyle="1" w:styleId="59">
    <w:name w:val="四级条标题"/>
    <w:basedOn w:val="58"/>
    <w:next w:val="1"/>
    <w:qFormat/>
    <w:uiPriority w:val="0"/>
    <w:pPr>
      <w:numPr>
        <w:ilvl w:val="5"/>
      </w:numPr>
      <w:outlineLvl w:val="5"/>
    </w:pPr>
  </w:style>
  <w:style w:type="paragraph" w:customStyle="1" w:styleId="60">
    <w:name w:val="图"/>
    <w:basedOn w:val="10"/>
    <w:next w:val="1"/>
    <w:link w:val="81"/>
    <w:qFormat/>
    <w:uiPriority w:val="0"/>
    <w:pPr>
      <w:numPr>
        <w:ilvl w:val="0"/>
        <w:numId w:val="2"/>
      </w:numPr>
      <w:spacing w:after="0"/>
      <w:jc w:val="center"/>
    </w:pPr>
    <w:rPr>
      <w:rFonts w:eastAsiaTheme="minorEastAsia"/>
    </w:rPr>
  </w:style>
  <w:style w:type="paragraph" w:customStyle="1" w:styleId="61">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2">
    <w:name w:val="Char Char Char Char"/>
    <w:basedOn w:val="1"/>
    <w:qFormat/>
    <w:uiPriority w:val="0"/>
    <w:pPr>
      <w:widowControl/>
      <w:spacing w:after="160" w:line="240" w:lineRule="exact"/>
      <w:jc w:val="left"/>
    </w:pPr>
    <w:rPr>
      <w:szCs w:val="21"/>
    </w:rPr>
  </w:style>
  <w:style w:type="paragraph" w:styleId="6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4">
    <w:name w:val="正文文本缩进 字符"/>
    <w:basedOn w:val="32"/>
    <w:link w:val="11"/>
    <w:semiHidden/>
    <w:qFormat/>
    <w:uiPriority w:val="0"/>
    <w:rPr>
      <w:rFonts w:ascii="Times New Roman" w:hAnsi="Times New Roman" w:eastAsia="宋体" w:cs="Times New Roman"/>
      <w:sz w:val="24"/>
      <w:szCs w:val="24"/>
    </w:rPr>
  </w:style>
  <w:style w:type="character" w:customStyle="1" w:styleId="65">
    <w:name w:val="正文文本 字符"/>
    <w:basedOn w:val="32"/>
    <w:link w:val="10"/>
    <w:semiHidden/>
    <w:qFormat/>
    <w:uiPriority w:val="0"/>
    <w:rPr>
      <w:rFonts w:ascii="Times New Roman" w:hAnsi="Times New Roman" w:eastAsia="宋体" w:cs="Times New Roman"/>
      <w:szCs w:val="24"/>
    </w:rPr>
  </w:style>
  <w:style w:type="character" w:customStyle="1" w:styleId="66">
    <w:name w:val="正文文本缩进 3 字符"/>
    <w:basedOn w:val="32"/>
    <w:link w:val="24"/>
    <w:semiHidden/>
    <w:qFormat/>
    <w:uiPriority w:val="0"/>
    <w:rPr>
      <w:rFonts w:ascii="Times New Roman" w:hAnsi="Times New Roman" w:eastAsia="宋体" w:cs="Times New Roman"/>
      <w:sz w:val="24"/>
      <w:szCs w:val="24"/>
    </w:rPr>
  </w:style>
  <w:style w:type="character" w:customStyle="1" w:styleId="67">
    <w:name w:val="正文文本缩进 2 字符"/>
    <w:basedOn w:val="32"/>
    <w:link w:val="17"/>
    <w:semiHidden/>
    <w:qFormat/>
    <w:uiPriority w:val="0"/>
    <w:rPr>
      <w:rFonts w:ascii="Times New Roman" w:hAnsi="Times New Roman" w:eastAsia="宋体" w:cs="Times New Roman"/>
      <w:color w:val="FF0000"/>
      <w:sz w:val="24"/>
      <w:szCs w:val="24"/>
    </w:rPr>
  </w:style>
  <w:style w:type="paragraph" w:customStyle="1" w:styleId="68">
    <w:name w:val="表"/>
    <w:basedOn w:val="1"/>
    <w:qFormat/>
    <w:uiPriority w:val="0"/>
    <w:pPr>
      <w:numPr>
        <w:ilvl w:val="0"/>
        <w:numId w:val="3"/>
      </w:numPr>
      <w:jc w:val="center"/>
    </w:pPr>
    <w:rPr>
      <w:sz w:val="18"/>
      <w:szCs w:val="22"/>
    </w:rPr>
  </w:style>
  <w:style w:type="character" w:styleId="69">
    <w:name w:val="Placeholder Text"/>
    <w:basedOn w:val="32"/>
    <w:semiHidden/>
    <w:qFormat/>
    <w:uiPriority w:val="99"/>
    <w:rPr>
      <w:color w:val="808080"/>
    </w:rPr>
  </w:style>
  <w:style w:type="table" w:customStyle="1" w:styleId="70">
    <w:name w:val="网格型1"/>
    <w:basedOn w:val="30"/>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1">
    <w:name w:val="Revision"/>
    <w:hidden/>
    <w:semiHidden/>
    <w:qFormat/>
    <w:uiPriority w:val="99"/>
    <w:pPr>
      <w:jc w:val="center"/>
    </w:pPr>
    <w:rPr>
      <w:rFonts w:ascii="Times New Roman" w:hAnsi="Times New Roman" w:eastAsia="宋体" w:cs="Times New Roman"/>
      <w:kern w:val="2"/>
      <w:sz w:val="21"/>
      <w:szCs w:val="24"/>
      <w:lang w:val="en-US" w:eastAsia="zh-CN" w:bidi="ar-SA"/>
    </w:rPr>
  </w:style>
  <w:style w:type="character" w:customStyle="1" w:styleId="72">
    <w:name w:val="HTML 预设格式 字符"/>
    <w:basedOn w:val="32"/>
    <w:link w:val="27"/>
    <w:semiHidden/>
    <w:qFormat/>
    <w:uiPriority w:val="99"/>
    <w:rPr>
      <w:rFonts w:ascii="宋体" w:hAnsi="宋体" w:eastAsia="宋体" w:cs="宋体"/>
      <w:kern w:val="0"/>
      <w:sz w:val="24"/>
      <w:szCs w:val="24"/>
    </w:rPr>
  </w:style>
  <w:style w:type="paragraph" w:customStyle="1" w:styleId="73">
    <w:name w:val="发布部门"/>
    <w:next w:val="1"/>
    <w:qFormat/>
    <w:uiPriority w:val="0"/>
    <w:pPr>
      <w:framePr w:w="7433" w:h="585" w:hRule="exact" w:hSpace="180" w:vSpace="180" w:wrap="around" w:vAnchor="margin" w:hAnchor="margin" w:xAlign="center" w:y="14401" w:anchorLock="1"/>
      <w:spacing w:before="340" w:after="330" w:line="576" w:lineRule="auto"/>
      <w:jc w:val="center"/>
    </w:pPr>
    <w:rPr>
      <w:rFonts w:ascii="宋体" w:hAnsi="Times New Roman" w:eastAsia="宋体" w:cs="Times New Roman"/>
      <w:b/>
      <w:spacing w:val="20"/>
      <w:w w:val="135"/>
      <w:kern w:val="0"/>
      <w:sz w:val="36"/>
      <w:szCs w:val="20"/>
      <w:lang w:val="en-US" w:eastAsia="zh-CN" w:bidi="ar-SA"/>
    </w:rPr>
  </w:style>
  <w:style w:type="paragraph" w:customStyle="1" w:styleId="74">
    <w:name w:val="实施日期"/>
    <w:basedOn w:val="1"/>
    <w:qFormat/>
    <w:uiPriority w:val="0"/>
    <w:pPr>
      <w:framePr w:w="4000" w:h="473" w:hRule="exact" w:vSpace="180" w:wrap="around" w:vAnchor="margin" w:hAnchor="margin" w:xAlign="right" w:y="13511" w:anchorLock="1"/>
      <w:widowControl/>
      <w:spacing w:before="340" w:after="330" w:line="576" w:lineRule="auto"/>
      <w:jc w:val="right"/>
    </w:pPr>
    <w:rPr>
      <w:rFonts w:eastAsia="黑体"/>
      <w:kern w:val="0"/>
      <w:sz w:val="28"/>
      <w:szCs w:val="20"/>
    </w:rPr>
  </w:style>
  <w:style w:type="paragraph" w:customStyle="1" w:styleId="75">
    <w:name w:val="Char Char"/>
    <w:basedOn w:val="1"/>
    <w:qFormat/>
    <w:uiPriority w:val="0"/>
  </w:style>
  <w:style w:type="character" w:customStyle="1" w:styleId="76">
    <w:name w:val="trans"/>
    <w:basedOn w:val="32"/>
    <w:qFormat/>
    <w:uiPriority w:val="0"/>
  </w:style>
  <w:style w:type="character" w:customStyle="1" w:styleId="77">
    <w:name w:val="lijuyuanxing"/>
    <w:basedOn w:val="32"/>
    <w:qFormat/>
    <w:uiPriority w:val="0"/>
  </w:style>
  <w:style w:type="character" w:customStyle="1" w:styleId="78">
    <w:name w:val="apple-converted-space"/>
    <w:basedOn w:val="32"/>
    <w:qFormat/>
    <w:uiPriority w:val="0"/>
  </w:style>
  <w:style w:type="character" w:customStyle="1" w:styleId="79">
    <w:name w:val="Book Title"/>
    <w:basedOn w:val="32"/>
    <w:qFormat/>
    <w:uiPriority w:val="33"/>
    <w:rPr>
      <w:b/>
      <w:bCs/>
      <w:smallCaps/>
      <w:spacing w:val="5"/>
    </w:rPr>
  </w:style>
  <w:style w:type="paragraph" w:customStyle="1" w:styleId="8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81">
    <w:name w:val="图 Char"/>
    <w:basedOn w:val="65"/>
    <w:link w:val="60"/>
    <w:qFormat/>
    <w:uiPriority w:val="0"/>
    <w:rPr>
      <w:rFonts w:ascii="Times New Roman" w:hAnsi="Times New Roman" w:eastAsia="宋体" w:cs="Times New Roman"/>
      <w:szCs w:val="24"/>
    </w:rPr>
  </w:style>
  <w:style w:type="character" w:customStyle="1" w:styleId="82">
    <w:name w:val="页眉 字符"/>
    <w:basedOn w:val="32"/>
    <w:link w:val="20"/>
    <w:qFormat/>
    <w:uiPriority w:val="99"/>
    <w:rPr>
      <w:rFonts w:ascii="Times New Roman" w:hAnsi="Times New Roman" w:eastAsia="宋体" w:cs="Times New Roman"/>
      <w:sz w:val="18"/>
      <w:szCs w:val="18"/>
    </w:rPr>
  </w:style>
  <w:style w:type="character" w:customStyle="1" w:styleId="83">
    <w:name w:val="页脚 字符"/>
    <w:basedOn w:val="32"/>
    <w:link w:val="19"/>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oleObject" Target="embeddings/oleObject4.bin"/><Relationship Id="rId17" Type="http://schemas.openxmlformats.org/officeDocument/2006/relationships/oleObject" Target="embeddings/oleObject3.bin"/><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5268;&#33539;\02%20&#12298;&#20844;&#20849;&#24314;&#31569;&#33410;&#33021;&#35774;&#35745;&#26631;&#20934;&#12299;GB50189&#20462;&#32534;2012\04%20&#31456;&#33410;&#35752;&#35770;&#20250;\0716&#20840;&#20307;&#20250;&#35758;\0712&#32479;&#31295;&#20840;&#25991;\0715-PM-CX.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46D12-F659-E248-A85E-C551403CB0B3}">
  <ds:schemaRefs/>
</ds:datastoreItem>
</file>

<file path=docProps/app.xml><?xml version="1.0" encoding="utf-8"?>
<Properties xmlns="http://schemas.openxmlformats.org/officeDocument/2006/extended-properties" xmlns:vt="http://schemas.openxmlformats.org/officeDocument/2006/docPropsVTypes">
  <Template>0715-PM-CX</Template>
  <Company>微软中国</Company>
  <Pages>59</Pages>
  <Words>6042</Words>
  <Characters>34446</Characters>
  <Lines>287</Lines>
  <Paragraphs>80</Paragraphs>
  <TotalTime>2</TotalTime>
  <ScaleCrop>false</ScaleCrop>
  <LinksUpToDate>false</LinksUpToDate>
  <CharactersWithSpaces>40408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2023-09-25T08:12:00Z</dcterms:created>
  <dc:creator>陈曦</dc:creator>
  <cp:lastModifiedBy> 鬼浏几道</cp:lastModifiedBy>
  <cp:lastPrinted>2023-09-12T07:30:00Z</cp:lastPrinted>
  <dcterms:modified xsi:type="dcterms:W3CDTF">2023-10-30T06:29:22Z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C83B0A97E9704B43B2BF69947B5A4072_13</vt:lpwstr>
  </property>
</Properties>
</file>