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Times New Roman" w:hAnsi="Times New Roman" w:cs="Times New Roman"/>
          <w:b/>
          <w:bCs/>
          <w:kern w:val="0"/>
          <w:sz w:val="30"/>
          <w:szCs w:val="30"/>
        </w:rPr>
      </w:pPr>
      <w:r>
        <w:rPr>
          <w:rFonts w:ascii="Times New Roman" w:hAnsi="Times New Roman" w:cs="Times New Roman"/>
          <w:b/>
          <w:bCs/>
          <w:kern w:val="0"/>
          <w:sz w:val="30"/>
          <w:szCs w:val="30"/>
        </w:rPr>
        <w:t>UDC</w:t>
      </w:r>
    </w:p>
    <w:p>
      <w:pPr>
        <w:wordWrap w:val="0"/>
        <w:autoSpaceDE w:val="0"/>
        <w:autoSpaceDN w:val="0"/>
        <w:adjustRightInd w:val="0"/>
        <w:jc w:val="right"/>
        <w:rPr>
          <w:rFonts w:ascii="Times New Roman" w:hAnsi="Times New Roman" w:eastAsia="黑体" w:cs="Times New Roman"/>
          <w:kern w:val="0"/>
          <w:sz w:val="36"/>
          <w:szCs w:val="36"/>
        </w:rPr>
      </w:pPr>
      <w:r>
        <w:rPr>
          <w:rFonts w:hint="eastAsia" w:ascii="Times New Roman" w:hAnsi="Times New Roman" w:eastAsia="黑体" w:cs="Times New Roman"/>
          <w:kern w:val="0"/>
          <w:sz w:val="36"/>
          <w:szCs w:val="36"/>
        </w:rPr>
        <w:t>中华人民共和国国家标准</w:t>
      </w:r>
      <w:r>
        <w:rPr>
          <w:rFonts w:ascii="Times New Roman" w:hAnsi="Times New Roman" w:eastAsia="黑体" w:cs="Times New Roman"/>
          <w:kern w:val="0"/>
          <w:sz w:val="36"/>
          <w:szCs w:val="36"/>
        </w:rPr>
        <w:t xml:space="preserve">    </w:t>
      </w:r>
      <w:r>
        <w:rPr>
          <w:rFonts w:ascii="Times New Roman" w:hAnsi="Times New Roman" w:eastAsia="黑体" w:cs="Times New Roman"/>
          <w:kern w:val="0"/>
          <w:sz w:val="36"/>
          <w:szCs w:val="36"/>
        </w:rPr>
        <w:drawing>
          <wp:inline distT="0" distB="0" distL="0" distR="0">
            <wp:extent cx="1082040" cy="586740"/>
            <wp:effectExtent l="19050" t="0" r="3810" b="0"/>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noChangeArrowheads="true"/>
                    </pic:cNvPicPr>
                  </pic:nvPicPr>
                  <pic:blipFill>
                    <a:blip r:embed="rId8" cstate="print"/>
                    <a:srcRect r="1682"/>
                    <a:stretch>
                      <a:fillRect/>
                    </a:stretch>
                  </pic:blipFill>
                  <pic:spPr>
                    <a:xfrm>
                      <a:off x="0" y="0"/>
                      <a:ext cx="1082040" cy="586740"/>
                    </a:xfrm>
                    <a:prstGeom prst="rect">
                      <a:avLst/>
                    </a:prstGeom>
                    <a:noFill/>
                    <a:ln w="9525">
                      <a:noFill/>
                      <a:miter lim="800000"/>
                      <a:headEnd/>
                      <a:tailEnd/>
                    </a:ln>
                  </pic:spPr>
                </pic:pic>
              </a:graphicData>
            </a:graphic>
          </wp:inline>
        </w:drawing>
      </w:r>
    </w:p>
    <w:p>
      <w:pPr>
        <w:autoSpaceDE w:val="0"/>
        <w:autoSpaceDN w:val="0"/>
        <w:adjustRightInd w:val="0"/>
        <w:rPr>
          <w:rFonts w:ascii="Times New Roman" w:hAnsi="Times New Roman" w:cs="Times New Roman"/>
          <w:b/>
          <w:bCs/>
          <w:kern w:val="0"/>
          <w:sz w:val="28"/>
          <w:szCs w:val="28"/>
        </w:rPr>
      </w:pPr>
      <w:r>
        <w:rPr>
          <w:rFonts w:ascii="Times New Roman" w:hAnsi="Times New Roman" w:cs="Times New Roman"/>
          <w:b/>
          <w:bCs/>
          <w:kern w:val="0"/>
          <w:sz w:val="24"/>
        </w:rPr>
        <w:t xml:space="preserve">P                                                  </w:t>
      </w:r>
      <w:r>
        <w:rPr>
          <w:rFonts w:ascii="Times New Roman" w:hAnsi="Times New Roman" w:cs="Times New Roman"/>
          <w:b/>
          <w:bCs/>
          <w:kern w:val="0"/>
          <w:sz w:val="28"/>
          <w:szCs w:val="28"/>
        </w:rPr>
        <w:t>GB 55</w:t>
      </w:r>
      <w:r>
        <w:rPr>
          <w:rFonts w:ascii="Times New Roman" w:hAnsi="Times New Roman" w:eastAsia="黑体" w:cs="Times New Roman"/>
          <w:kern w:val="0"/>
          <w:sz w:val="24"/>
        </w:rPr>
        <w:t>XXX</w:t>
      </w:r>
      <w:r>
        <w:rPr>
          <w:rFonts w:ascii="Times New Roman" w:hAnsi="Times New Roman" w:cs="Times New Roman"/>
          <w:b/>
          <w:bCs/>
          <w:kern w:val="0"/>
          <w:sz w:val="28"/>
          <w:szCs w:val="28"/>
        </w:rPr>
        <w:t xml:space="preserve"> – 2023</w:t>
      </w:r>
    </w:p>
    <w:p>
      <w:pPr>
        <w:rPr>
          <w:lang w:val="zh-CN"/>
        </w:rPr>
      </w:pPr>
      <w:r>
        <w:rPr>
          <w:rFonts w:ascii="Times New Roman" w:hAnsi="Times New Roman" w:cs="Times New Roman"/>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wp:posOffset>
                </wp:positionV>
                <wp:extent cx="5666740" cy="0"/>
                <wp:effectExtent l="0" t="0" r="29210" b="19050"/>
                <wp:wrapNone/>
                <wp:docPr id="7" name="直接连接符 3"/>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直接连接符 3" o:spid="_x0000_s1026" o:spt="20" style="position:absolute;left:0pt;flip:y;margin-left:0pt;margin-top:-0.05pt;height:0pt;width:446.2pt;z-index:251656192;mso-width-relative:page;mso-height-relative:page;" filled="f" stroked="t" coordsize="21600,21600" o:gfxdata="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l91StMAAAAE&#10;AQAADwAAAAAAAAABACAAAAA4AAAAZHJzL2Rvd25yZXYueG1sUEsBAhQAFAAAAAgAh07iQCeoqMfS&#10;AQAAbQMAAA4AAAAAAAAAAQAgAAAAOAEAAGRycy9lMm9Eb2MueG1sUEsFBgAAAAAGAAYAWQEAAHwF&#10;AAAAAA==&#10;">
                <v:fill on="f" focussize="0,0"/>
                <v:stroke weight="1.5pt" color="#000000" joinstyle="round"/>
                <v:imagedata o:title=""/>
                <o:lock v:ext="edit" aspectratio="f"/>
              </v:line>
            </w:pict>
          </mc:Fallback>
        </mc:AlternateContent>
      </w:r>
    </w:p>
    <w:p>
      <w:pPr>
        <w:pStyle w:val="40"/>
        <w:spacing w:line="480" w:lineRule="auto"/>
        <w:jc w:val="center"/>
        <w:rPr>
          <w:rFonts w:ascii="黑体" w:hAnsi="黑体" w:eastAsia="黑体" w:cstheme="minorBidi"/>
          <w:b/>
          <w:color w:val="auto"/>
          <w:kern w:val="2"/>
          <w:sz w:val="72"/>
          <w:szCs w:val="28"/>
          <w:lang w:val="zh-CN"/>
        </w:rPr>
      </w:pPr>
    </w:p>
    <w:p>
      <w:pPr>
        <w:pStyle w:val="74"/>
        <w:spacing w:before="312" w:after="312"/>
        <w:outlineLvl w:val="9"/>
        <w:rPr>
          <w:rFonts w:eastAsia="黑体"/>
          <w:b w:val="0"/>
          <w:w w:val="95"/>
          <w:sz w:val="48"/>
        </w:rPr>
      </w:pPr>
      <w:r>
        <w:rPr>
          <w:rFonts w:hint="eastAsia" w:eastAsia="黑体"/>
          <w:w w:val="95"/>
          <w:sz w:val="48"/>
        </w:rPr>
        <w:t>《厂区工业设备和管道工程通用规范</w:t>
      </w:r>
      <w:r>
        <w:rPr>
          <w:rFonts w:eastAsia="黑体"/>
          <w:w w:val="95"/>
          <w:sz w:val="48"/>
        </w:rPr>
        <w:t>》</w:t>
      </w:r>
    </w:p>
    <w:p>
      <w:pPr>
        <w:autoSpaceDE w:val="0"/>
        <w:autoSpaceDN w:val="0"/>
        <w:adjustRightInd w:val="0"/>
        <w:jc w:val="center"/>
        <w:rPr>
          <w:rFonts w:ascii="Times New Roman" w:hAnsi="Times New Roman" w:eastAsia="黑体" w:cs="Times New Roman"/>
          <w:w w:val="95"/>
          <w:sz w:val="36"/>
          <w:szCs w:val="36"/>
        </w:rPr>
      </w:pPr>
      <w:r>
        <w:rPr>
          <w:rFonts w:ascii="Times New Roman" w:hAnsi="Times New Roman" w:eastAsia="黑体" w:cs="Times New Roman"/>
          <w:w w:val="95"/>
          <w:sz w:val="36"/>
          <w:szCs w:val="36"/>
        </w:rPr>
        <w:t xml:space="preserve">General code for </w:t>
      </w:r>
      <w:r>
        <w:rPr>
          <w:rFonts w:hint="eastAsia" w:ascii="Times New Roman" w:hAnsi="Times New Roman" w:eastAsia="黑体" w:cs="Times New Roman"/>
          <w:w w:val="95"/>
          <w:sz w:val="36"/>
          <w:szCs w:val="36"/>
        </w:rPr>
        <w:t>field</w:t>
      </w:r>
      <w:r>
        <w:rPr>
          <w:rFonts w:ascii="Times New Roman" w:hAnsi="Times New Roman" w:eastAsia="黑体" w:cs="Times New Roman"/>
          <w:w w:val="95"/>
          <w:sz w:val="36"/>
          <w:szCs w:val="36"/>
        </w:rPr>
        <w:t xml:space="preserve"> equipment </w:t>
      </w:r>
      <w:r>
        <w:rPr>
          <w:rFonts w:hint="eastAsia" w:ascii="Times New Roman" w:hAnsi="Times New Roman" w:eastAsia="黑体" w:cs="Times New Roman"/>
          <w:w w:val="95"/>
          <w:sz w:val="36"/>
          <w:szCs w:val="36"/>
        </w:rPr>
        <w:t>and</w:t>
      </w:r>
      <w:r>
        <w:rPr>
          <w:rFonts w:ascii="Times New Roman" w:hAnsi="Times New Roman" w:eastAsia="黑体" w:cs="Times New Roman"/>
          <w:w w:val="95"/>
          <w:sz w:val="36"/>
          <w:szCs w:val="36"/>
        </w:rPr>
        <w:t xml:space="preserve"> </w:t>
      </w:r>
      <w:r>
        <w:rPr>
          <w:rFonts w:hint="eastAsia" w:ascii="Times New Roman" w:hAnsi="Times New Roman" w:eastAsia="黑体" w:cs="Times New Roman"/>
          <w:w w:val="95"/>
          <w:sz w:val="36"/>
          <w:szCs w:val="36"/>
        </w:rPr>
        <w:t>p</w:t>
      </w:r>
      <w:r>
        <w:rPr>
          <w:rFonts w:ascii="Times New Roman" w:hAnsi="Times New Roman" w:eastAsia="黑体" w:cs="Times New Roman"/>
          <w:w w:val="95"/>
          <w:sz w:val="36"/>
          <w:szCs w:val="36"/>
        </w:rPr>
        <w:t xml:space="preserve">iping </w:t>
      </w:r>
      <w:r>
        <w:rPr>
          <w:rFonts w:hint="eastAsia" w:ascii="Times New Roman" w:hAnsi="Times New Roman" w:eastAsia="黑体" w:cs="Times New Roman"/>
          <w:w w:val="95"/>
          <w:sz w:val="36"/>
          <w:szCs w:val="36"/>
        </w:rPr>
        <w:t>engineering</w:t>
      </w:r>
    </w:p>
    <w:p>
      <w:pPr>
        <w:autoSpaceDE w:val="0"/>
        <w:autoSpaceDN w:val="0"/>
        <w:adjustRightInd w:val="0"/>
        <w:jc w:val="center"/>
        <w:rPr>
          <w:rFonts w:ascii="Times New Roman" w:hAnsi="Times New Roman" w:cs="Times New Roman"/>
          <w:b/>
          <w:bCs/>
        </w:rPr>
      </w:pPr>
      <w:r>
        <w:rPr>
          <w:rFonts w:hint="eastAsia" w:ascii="Times New Roman" w:hAnsi="Times New Roman" w:cs="Times New Roman"/>
          <w:b/>
          <w:bCs/>
          <w:kern w:val="0"/>
          <w:sz w:val="32"/>
          <w:szCs w:val="32"/>
        </w:rPr>
        <w:t>（征求意见稿）</w:t>
      </w:r>
    </w:p>
    <w:p>
      <w:pPr>
        <w:autoSpaceDE w:val="0"/>
        <w:autoSpaceDN w:val="0"/>
        <w:adjustRightInd w:val="0"/>
        <w:jc w:val="center"/>
        <w:rPr>
          <w:rFonts w:ascii="Times New Roman" w:hAnsi="Times New Roman" w:cs="Times New Roman"/>
          <w:b/>
          <w:bCs/>
        </w:rPr>
      </w:pPr>
    </w:p>
    <w:p>
      <w:pPr>
        <w:autoSpaceDE w:val="0"/>
        <w:autoSpaceDN w:val="0"/>
        <w:adjustRightInd w:val="0"/>
        <w:jc w:val="center"/>
        <w:rPr>
          <w:rFonts w:ascii="Times New Roman" w:hAnsi="Times New Roman" w:cs="Times New Roman"/>
          <w:b/>
          <w:bCs/>
        </w:rPr>
      </w:pPr>
    </w:p>
    <w:p>
      <w:pPr>
        <w:autoSpaceDE w:val="0"/>
        <w:autoSpaceDN w:val="0"/>
        <w:adjustRightInd w:val="0"/>
        <w:jc w:val="center"/>
        <w:rPr>
          <w:rFonts w:ascii="Times New Roman" w:hAnsi="Times New Roman" w:cs="Times New Roman"/>
          <w:b/>
          <w:bCs/>
        </w:rPr>
      </w:pPr>
    </w:p>
    <w:p>
      <w:pPr>
        <w:autoSpaceDE w:val="0"/>
        <w:autoSpaceDN w:val="0"/>
        <w:adjustRightInd w:val="0"/>
        <w:jc w:val="center"/>
        <w:rPr>
          <w:rFonts w:ascii="Times New Roman" w:hAnsi="Times New Roman" w:cs="Times New Roman"/>
          <w:b/>
          <w:bCs/>
        </w:rPr>
      </w:pPr>
    </w:p>
    <w:p>
      <w:pPr>
        <w:autoSpaceDE w:val="0"/>
        <w:autoSpaceDN w:val="0"/>
        <w:adjustRightInd w:val="0"/>
        <w:jc w:val="center"/>
        <w:rPr>
          <w:rFonts w:ascii="Times New Roman" w:hAnsi="Times New Roman" w:cs="Times New Roman"/>
          <w:b/>
          <w:bCs/>
          <w:kern w:val="0"/>
          <w:sz w:val="32"/>
          <w:szCs w:val="32"/>
        </w:rPr>
      </w:pPr>
    </w:p>
    <w:p>
      <w:pPr>
        <w:autoSpaceDE w:val="0"/>
        <w:autoSpaceDN w:val="0"/>
        <w:adjustRightInd w:val="0"/>
        <w:rPr>
          <w:rFonts w:ascii="Times New Roman" w:hAnsi="Times New Roman" w:cs="Times New Roman"/>
          <w:kern w:val="0"/>
          <w:sz w:val="28"/>
          <w:szCs w:val="28"/>
        </w:rPr>
      </w:pPr>
    </w:p>
    <w:p>
      <w:pPr>
        <w:autoSpaceDE w:val="0"/>
        <w:autoSpaceDN w:val="0"/>
        <w:adjustRightInd w:val="0"/>
        <w:spacing w:after="312" w:afterLines="100"/>
        <w:rPr>
          <w:rFonts w:ascii="Times New Roman" w:hAnsi="Times New Roman" w:eastAsia="黑体" w:cs="Times New Roman"/>
          <w:kern w:val="0"/>
          <w:sz w:val="28"/>
          <w:szCs w:val="28"/>
        </w:rPr>
      </w:pPr>
      <w:r>
        <w:rPr>
          <w:rFonts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-114935</wp:posOffset>
                </wp:positionH>
                <wp:positionV relativeFrom="paragraph">
                  <wp:posOffset>368935</wp:posOffset>
                </wp:positionV>
                <wp:extent cx="5666740" cy="0"/>
                <wp:effectExtent l="0" t="0" r="29210" b="19050"/>
                <wp:wrapNone/>
                <wp:docPr id="6"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666740" cy="0"/>
                        </a:xfrm>
                        <a:prstGeom prst="line">
                          <a:avLst/>
                        </a:prstGeom>
                        <a:noFill/>
                        <a:ln w="19050">
                          <a:solidFill>
                            <a:srgbClr val="000000"/>
                          </a:solidFill>
                          <a:round/>
                        </a:ln>
                      </wps:spPr>
                      <wps:bodyPr/>
                    </wps:wsp>
                  </a:graphicData>
                </a:graphic>
              </wp:anchor>
            </w:drawing>
          </mc:Choice>
          <mc:Fallback>
            <w:pict>
              <v:line id="直接连接符 2" o:spid="_x0000_s1026" o:spt="20" style="position:absolute;left:0pt;flip:y;margin-left:-9.05pt;margin-top:29.05pt;height:0pt;width:446.2pt;z-index:251658240;mso-width-relative:page;mso-height-relative:page;" filled="f" stroked="t" coordsize="21600,21600" o:gfxdata="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L/QPtYA&#10;AAAJAQAADwAAAAAAAAABACAAAAA4AAAAZHJzL2Rvd25yZXYueG1sUEsBAhQAFAAAAAgAh07iQI3J&#10;VjDSAQAAbQMAAA4AAAAAAAAAAQAgAAAAOwEAAGRycy9lMm9Eb2MueG1sUEsFBgAAAAAGAAYAWQEA&#10;AH8FAAAAAA==&#10;">
                <v:fill on="f" focussize="0,0"/>
                <v:stroke weight="1.5pt" color="#000000" joinstyle="round"/>
                <v:imagedata o:title=""/>
                <o:lock v:ext="edit" aspectratio="f"/>
              </v:line>
            </w:pict>
          </mc:Fallback>
        </mc:AlternateContent>
      </w:r>
      <w:r>
        <w:rPr>
          <w:rFonts w:ascii="Times New Roman" w:hAnsi="Times New Roman" w:eastAsia="黑体" w:cs="Times New Roman"/>
          <w:kern w:val="0"/>
          <w:sz w:val="28"/>
          <w:szCs w:val="28"/>
        </w:rPr>
        <w:t xml:space="preserve">2021– XX –XX </w:t>
      </w:r>
      <w:r>
        <w:rPr>
          <w:rFonts w:hint="eastAsia" w:ascii="Times New Roman" w:hAnsi="Times New Roman" w:eastAsia="黑体" w:cs="Times New Roman"/>
          <w:kern w:val="0"/>
          <w:sz w:val="28"/>
          <w:szCs w:val="28"/>
        </w:rPr>
        <w:t>发布</w:t>
      </w:r>
      <w:r>
        <w:rPr>
          <w:rFonts w:ascii="Times New Roman" w:hAnsi="Times New Roman" w:eastAsia="黑体" w:cs="Times New Roman"/>
          <w:kern w:val="0"/>
          <w:sz w:val="28"/>
          <w:szCs w:val="28"/>
        </w:rPr>
        <w:t xml:space="preserve">                       202X – XX –01 </w:t>
      </w:r>
      <w:r>
        <w:rPr>
          <w:rFonts w:hint="eastAsia" w:ascii="Times New Roman" w:hAnsi="Times New Roman" w:eastAsia="黑体" w:cs="Times New Roman"/>
          <w:kern w:val="0"/>
          <w:sz w:val="28"/>
          <w:szCs w:val="28"/>
        </w:rPr>
        <w:t>实施</w:t>
      </w:r>
    </w:p>
    <w:tbl>
      <w:tblPr>
        <w:tblStyle w:val="30"/>
        <w:tblW w:w="8764" w:type="dxa"/>
        <w:tblInd w:w="0" w:type="dxa"/>
        <w:tblLayout w:type="fixed"/>
        <w:tblCellMar>
          <w:top w:w="0" w:type="dxa"/>
          <w:left w:w="10" w:type="dxa"/>
          <w:bottom w:w="0" w:type="dxa"/>
          <w:right w:w="10" w:type="dxa"/>
        </w:tblCellMar>
      </w:tblPr>
      <w:tblGrid>
        <w:gridCol w:w="5958"/>
        <w:gridCol w:w="2806"/>
      </w:tblGrid>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cs="Times New Roman"/>
                <w:spacing w:val="40"/>
                <w:kern w:val="0"/>
                <w:sz w:val="28"/>
                <w:szCs w:val="28"/>
              </w:rPr>
            </w:pPr>
            <w:r>
              <w:rPr>
                <w:rFonts w:hint="eastAsia" w:ascii="Times New Roman" w:hAnsi="Times New Roman" w:eastAsia="黑体" w:cs="Times New Roman"/>
                <w:spacing w:val="40"/>
                <w:kern w:val="0"/>
                <w:sz w:val="28"/>
                <w:szCs w:val="28"/>
              </w:rPr>
              <w:t>中华人民共和国住房和城乡建设部</w:t>
            </w:r>
          </w:p>
        </w:tc>
        <w:tc>
          <w:tcPr>
            <w:tcW w:w="2806" w:type="dxa"/>
            <w:vMerge w:val="restart"/>
            <w:vAlign w:val="center"/>
          </w:tcPr>
          <w:p>
            <w:pPr>
              <w:autoSpaceDE w:val="0"/>
              <w:autoSpaceDN w:val="0"/>
              <w:adjustRightInd w:val="0"/>
              <w:jc w:val="center"/>
              <w:rPr>
                <w:rFonts w:ascii="Times New Roman" w:hAnsi="Times New Roman" w:cs="Times New Roman"/>
                <w:kern w:val="0"/>
                <w:sz w:val="28"/>
                <w:szCs w:val="28"/>
              </w:rPr>
            </w:pPr>
            <w:r>
              <w:rPr>
                <w:rFonts w:hint="eastAsia" w:ascii="Times New Roman" w:hAnsi="Times New Roman" w:eastAsia="黑体" w:cs="Times New Roman"/>
                <w:kern w:val="0"/>
                <w:sz w:val="28"/>
                <w:szCs w:val="28"/>
              </w:rPr>
              <w:t>联合发布</w:t>
            </w:r>
          </w:p>
        </w:tc>
      </w:tr>
      <w:tr>
        <w:tblPrEx>
          <w:tblCellMar>
            <w:top w:w="0" w:type="dxa"/>
            <w:left w:w="10" w:type="dxa"/>
            <w:bottom w:w="0" w:type="dxa"/>
            <w:right w:w="10" w:type="dxa"/>
          </w:tblCellMar>
        </w:tblPrEx>
        <w:tc>
          <w:tcPr>
            <w:tcW w:w="5958" w:type="dxa"/>
          </w:tcPr>
          <w:p>
            <w:pPr>
              <w:autoSpaceDE w:val="0"/>
              <w:autoSpaceDN w:val="0"/>
              <w:adjustRightInd w:val="0"/>
              <w:jc w:val="distribute"/>
              <w:rPr>
                <w:rFonts w:ascii="Times New Roman" w:hAnsi="Times New Roman" w:cs="Times New Roman"/>
                <w:kern w:val="0"/>
                <w:sz w:val="28"/>
                <w:szCs w:val="28"/>
              </w:rPr>
            </w:pPr>
            <w:r>
              <w:rPr>
                <w:rFonts w:hint="eastAsia" w:ascii="Times New Roman" w:hAnsi="Times New Roman" w:eastAsia="黑体" w:cs="Times New Roman"/>
                <w:kern w:val="0"/>
                <w:sz w:val="28"/>
                <w:szCs w:val="28"/>
              </w:rPr>
              <w:t>国家市场监督管理总局</w:t>
            </w:r>
          </w:p>
        </w:tc>
        <w:tc>
          <w:tcPr>
            <w:tcW w:w="2806" w:type="dxa"/>
            <w:vMerge w:val="continue"/>
            <w:vAlign w:val="center"/>
          </w:tcPr>
          <w:p>
            <w:pPr>
              <w:widowControl/>
              <w:jc w:val="left"/>
              <w:rPr>
                <w:rFonts w:ascii="Times New Roman" w:hAnsi="Times New Roman" w:cs="Times New Roman"/>
                <w:kern w:val="0"/>
                <w:sz w:val="28"/>
                <w:szCs w:val="28"/>
              </w:rPr>
            </w:pPr>
          </w:p>
        </w:tc>
      </w:tr>
    </w:tbl>
    <w:p>
      <w:pPr>
        <w:autoSpaceDE w:val="0"/>
        <w:autoSpaceDN w:val="0"/>
        <w:adjustRightInd w:val="0"/>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p>
    <w:p>
      <w:pPr>
        <w:autoSpaceDE w:val="0"/>
        <w:autoSpaceDN w:val="0"/>
        <w:adjustRightInd w:val="0"/>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中华人民共和国国家标准</w:t>
      </w:r>
    </w:p>
    <w:p>
      <w:pPr>
        <w:autoSpaceDE w:val="0"/>
        <w:autoSpaceDN w:val="0"/>
        <w:adjustRightInd w:val="0"/>
        <w:jc w:val="center"/>
        <w:rPr>
          <w:rFonts w:ascii="Times New Roman" w:hAnsi="Times New Roman" w:eastAsia="黑体" w:cs="Times New Roman"/>
          <w:kern w:val="0"/>
          <w:sz w:val="32"/>
          <w:szCs w:val="32"/>
        </w:rPr>
      </w:pPr>
    </w:p>
    <w:p>
      <w:pPr>
        <w:pStyle w:val="74"/>
        <w:spacing w:beforeLines="0" w:afterLines="0"/>
        <w:outlineLvl w:val="9"/>
        <w:rPr>
          <w:rFonts w:eastAsia="黑体"/>
          <w:w w:val="95"/>
          <w:sz w:val="48"/>
        </w:rPr>
      </w:pPr>
      <w:r>
        <w:rPr>
          <w:rFonts w:eastAsia="黑体"/>
          <w:w w:val="95"/>
          <w:sz w:val="48"/>
        </w:rPr>
        <w:t>《</w:t>
      </w:r>
      <w:r>
        <w:rPr>
          <w:rFonts w:hint="eastAsia" w:eastAsia="黑体"/>
          <w:w w:val="95"/>
          <w:sz w:val="48"/>
        </w:rPr>
        <w:t>厂区工业设备和管道工程通用规范</w:t>
      </w:r>
      <w:r>
        <w:rPr>
          <w:rFonts w:eastAsia="黑体"/>
          <w:w w:val="95"/>
          <w:sz w:val="48"/>
        </w:rPr>
        <w:t>》</w:t>
      </w:r>
    </w:p>
    <w:p>
      <w:pPr>
        <w:jc w:val="center"/>
        <w:outlineLvl w:val="0"/>
        <w:rPr>
          <w:rFonts w:ascii="Times New Roman" w:hAnsi="Times New Roman" w:eastAsia="黑体" w:cs="Times New Roman"/>
          <w:w w:val="95"/>
          <w:sz w:val="36"/>
          <w:szCs w:val="36"/>
        </w:rPr>
      </w:pPr>
    </w:p>
    <w:p>
      <w:pPr>
        <w:jc w:val="center"/>
        <w:rPr>
          <w:rFonts w:ascii="Times New Roman" w:hAnsi="Times New Roman" w:eastAsia="黑体" w:cs="Times New Roman"/>
          <w:w w:val="95"/>
          <w:sz w:val="30"/>
          <w:szCs w:val="30"/>
        </w:rPr>
      </w:pPr>
      <w:r>
        <w:rPr>
          <w:rFonts w:ascii="Times New Roman" w:hAnsi="Times New Roman" w:eastAsia="黑体" w:cs="Times New Roman"/>
          <w:w w:val="95"/>
          <w:sz w:val="30"/>
          <w:szCs w:val="30"/>
        </w:rPr>
        <w:t xml:space="preserve">General code for field equipment and piping </w:t>
      </w:r>
      <w:r>
        <w:rPr>
          <w:rFonts w:hint="eastAsia" w:ascii="Times New Roman" w:hAnsi="Times New Roman" w:eastAsia="黑体" w:cs="Times New Roman"/>
          <w:w w:val="95"/>
          <w:sz w:val="36"/>
          <w:szCs w:val="36"/>
        </w:rPr>
        <w:t>engineering</w:t>
      </w:r>
    </w:p>
    <w:p>
      <w:pPr>
        <w:jc w:val="center"/>
        <w:rPr>
          <w:rFonts w:ascii="Times New Roman" w:hAnsi="Times New Roman" w:eastAsia="黑体" w:cs="Times New Roman"/>
          <w:b/>
          <w:kern w:val="0"/>
          <w:sz w:val="30"/>
          <w:szCs w:val="30"/>
        </w:rPr>
      </w:pPr>
      <w:r>
        <w:rPr>
          <w:rFonts w:ascii="Times New Roman" w:hAnsi="Times New Roman" w:eastAsia="黑体" w:cs="Times New Roman"/>
          <w:b/>
          <w:kern w:val="0"/>
          <w:sz w:val="30"/>
          <w:szCs w:val="30"/>
        </w:rPr>
        <w:t>GB 55</w:t>
      </w:r>
      <w:r>
        <w:rPr>
          <w:rFonts w:ascii="Times New Roman" w:hAnsi="Times New Roman" w:eastAsia="黑体" w:cs="Times New Roman"/>
          <w:kern w:val="0"/>
          <w:sz w:val="30"/>
          <w:szCs w:val="30"/>
        </w:rPr>
        <w:t>XXX</w:t>
      </w:r>
      <w:r>
        <w:rPr>
          <w:rFonts w:ascii="Times New Roman" w:hAnsi="Times New Roman" w:eastAsia="黑体" w:cs="Times New Roman"/>
          <w:b/>
          <w:kern w:val="0"/>
          <w:sz w:val="30"/>
          <w:szCs w:val="30"/>
        </w:rPr>
        <w:t xml:space="preserve"> -2023</w:t>
      </w:r>
    </w:p>
    <w:p>
      <w:pPr>
        <w:jc w:val="center"/>
        <w:rPr>
          <w:rFonts w:ascii="Times New Roman" w:hAnsi="Times New Roman" w:eastAsia="黑体" w:cs="Times New Roman"/>
          <w:kern w:val="0"/>
          <w:sz w:val="28"/>
          <w:szCs w:val="28"/>
        </w:rPr>
      </w:pP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主编部门：中华人民共和国</w:t>
      </w:r>
      <w:r>
        <w:rPr>
          <w:rFonts w:hint="eastAsia" w:ascii="Times New Roman" w:hAnsi="Times New Roman" w:eastAsia="黑体" w:cs="Times New Roman"/>
          <w:sz w:val="28"/>
          <w:szCs w:val="28"/>
        </w:rPr>
        <w:t>工业和信息化部</w:t>
      </w:r>
    </w:p>
    <w:p>
      <w:pPr>
        <w:autoSpaceDE w:val="0"/>
        <w:autoSpaceDN w:val="0"/>
        <w:adjustRightInd w:val="0"/>
        <w:ind w:firstLine="1134" w:firstLineChars="405"/>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批准部门：中华人民共和国</w:t>
      </w:r>
      <w:r>
        <w:rPr>
          <w:rFonts w:hint="eastAsia" w:ascii="Times New Roman" w:hAnsi="Times New Roman" w:eastAsia="黑体" w:cs="Times New Roman"/>
          <w:sz w:val="28"/>
          <w:szCs w:val="28"/>
        </w:rPr>
        <w:t>住房和城乡建设部</w:t>
      </w:r>
    </w:p>
    <w:p>
      <w:pPr>
        <w:autoSpaceDE w:val="0"/>
        <w:autoSpaceDN w:val="0"/>
        <w:adjustRightInd w:val="0"/>
        <w:ind w:firstLine="1120" w:firstLineChars="400"/>
        <w:jc w:val="left"/>
        <w:rPr>
          <w:rFonts w:ascii="Times New Roman" w:hAnsi="Times New Roman" w:eastAsia="黑体" w:cs="Times New Roman"/>
          <w:kern w:val="0"/>
          <w:sz w:val="28"/>
          <w:szCs w:val="28"/>
        </w:rPr>
      </w:pPr>
      <w:r>
        <w:rPr>
          <w:rFonts w:hint="eastAsia" w:ascii="Times New Roman" w:hAnsi="Times New Roman" w:eastAsia="黑体" w:cs="Times New Roman"/>
          <w:kern w:val="0"/>
          <w:sz w:val="28"/>
          <w:szCs w:val="28"/>
        </w:rPr>
        <w:t>施行日期：</w:t>
      </w:r>
      <w:r>
        <w:rPr>
          <w:rFonts w:ascii="Times New Roman" w:hAnsi="Times New Roman" w:eastAsia="黑体" w:cs="Times New Roman"/>
          <w:spacing w:val="113"/>
          <w:sz w:val="28"/>
          <w:szCs w:val="28"/>
        </w:rPr>
        <w:t>202X</w:t>
      </w:r>
      <w:r>
        <w:rPr>
          <w:rFonts w:hint="eastAsia" w:ascii="Times New Roman" w:hAnsi="Times New Roman" w:eastAsia="黑体" w:cs="Times New Roman"/>
          <w:spacing w:val="113"/>
          <w:sz w:val="28"/>
          <w:szCs w:val="28"/>
          <w:lang w:val="zh-CN"/>
        </w:rPr>
        <w:t>年</w:t>
      </w:r>
      <w:r>
        <w:rPr>
          <w:rFonts w:ascii="Times New Roman" w:hAnsi="Times New Roman" w:eastAsia="黑体" w:cs="Times New Roman"/>
          <w:spacing w:val="113"/>
          <w:sz w:val="28"/>
          <w:szCs w:val="28"/>
        </w:rPr>
        <w:t>XX</w:t>
      </w:r>
      <w:r>
        <w:rPr>
          <w:rFonts w:hint="eastAsia" w:ascii="Times New Roman" w:hAnsi="Times New Roman" w:eastAsia="黑体" w:cs="Times New Roman"/>
          <w:spacing w:val="113"/>
          <w:sz w:val="28"/>
          <w:szCs w:val="28"/>
          <w:lang w:val="zh-CN"/>
        </w:rPr>
        <w:t>月</w:t>
      </w:r>
      <w:r>
        <w:rPr>
          <w:rFonts w:ascii="Times New Roman" w:hAnsi="Times New Roman" w:eastAsia="黑体" w:cs="Times New Roman"/>
          <w:spacing w:val="113"/>
          <w:sz w:val="28"/>
          <w:szCs w:val="28"/>
        </w:rPr>
        <w:t>XX</w:t>
      </w:r>
      <w:r>
        <w:rPr>
          <w:rFonts w:hint="eastAsia" w:ascii="Times New Roman" w:hAnsi="Times New Roman" w:eastAsia="黑体" w:cs="Times New Roman"/>
          <w:spacing w:val="113"/>
          <w:sz w:val="28"/>
          <w:szCs w:val="28"/>
          <w:lang w:val="zh-CN"/>
        </w:rPr>
        <w:t>日</w:t>
      </w:r>
    </w:p>
    <w:p/>
    <w:p/>
    <w:p/>
    <w:p/>
    <w:p/>
    <w:p/>
    <w:p/>
    <w:p/>
    <w:p/>
    <w:p/>
    <w:p/>
    <w:p/>
    <w:p/>
    <w:p/>
    <w:p/>
    <w:p/>
    <w:p/>
    <w:p/>
    <w:p/>
    <w:p>
      <w:pPr>
        <w:autoSpaceDE w:val="0"/>
        <w:autoSpaceDN w:val="0"/>
        <w:adjustRightInd w:val="0"/>
        <w:spacing w:line="360" w:lineRule="auto"/>
        <w:jc w:val="center"/>
        <w:rPr>
          <w:rFonts w:ascii="Times New Roman" w:hAnsi="Times New Roman" w:eastAsia="华文中宋" w:cs="Times New Roman"/>
          <w:sz w:val="48"/>
        </w:rPr>
      </w:pPr>
    </w:p>
    <w:p>
      <w:pPr>
        <w:autoSpaceDE w:val="0"/>
        <w:autoSpaceDN w:val="0"/>
        <w:adjustRightInd w:val="0"/>
        <w:spacing w:line="360" w:lineRule="auto"/>
        <w:jc w:val="center"/>
        <w:rPr>
          <w:rFonts w:ascii="Times New Roman" w:hAnsi="Times New Roman" w:eastAsia="华文中宋" w:cs="Times New Roman"/>
          <w:sz w:val="48"/>
        </w:rPr>
      </w:pPr>
      <w:r>
        <w:rPr>
          <w:rFonts w:ascii="Times New Roman" w:hAnsi="Times New Roman" w:eastAsia="华文中宋" w:cs="Times New Roman"/>
          <w:sz w:val="48"/>
        </w:rPr>
        <w:br w:type="page"/>
      </w:r>
    </w:p>
    <w:p>
      <w:pPr>
        <w:jc w:val="center"/>
        <w:rPr>
          <w:rFonts w:ascii="Times New Roman" w:hAnsi="Times New Roman" w:eastAsia="华文中宋" w:cs="Times New Roman"/>
          <w:sz w:val="48"/>
        </w:rPr>
      </w:pPr>
      <w:r>
        <w:rPr>
          <w:rFonts w:hint="eastAsia" w:ascii="Times New Roman" w:hAnsi="Times New Roman" w:eastAsia="华文中宋" w:cs="Times New Roman"/>
          <w:sz w:val="48"/>
        </w:rPr>
        <w:t>中华人民共和国住房和城乡建设部</w:t>
      </w:r>
    </w:p>
    <w:p>
      <w:pPr>
        <w:jc w:val="center"/>
        <w:rPr>
          <w:rFonts w:ascii="Times New Roman" w:hAnsi="Times New Roman" w:eastAsia="华文中宋" w:cs="Times New Roman"/>
          <w:sz w:val="48"/>
        </w:rPr>
      </w:pPr>
      <w:r>
        <w:rPr>
          <w:rFonts w:hint="eastAsia" w:ascii="Times New Roman" w:hAnsi="Times New Roman" w:eastAsia="华文中宋" w:cs="Times New Roman"/>
          <w:sz w:val="48"/>
        </w:rPr>
        <w:t>公</w:t>
      </w:r>
      <w:r>
        <w:rPr>
          <w:rFonts w:ascii="Times New Roman" w:hAnsi="Times New Roman" w:eastAsia="华文中宋" w:cs="Times New Roman"/>
          <w:sz w:val="48"/>
        </w:rPr>
        <w:t xml:space="preserve">      </w:t>
      </w:r>
      <w:r>
        <w:rPr>
          <w:rFonts w:hint="eastAsia" w:ascii="Times New Roman" w:hAnsi="Times New Roman" w:eastAsia="华文中宋" w:cs="Times New Roman"/>
          <w:sz w:val="48"/>
        </w:rPr>
        <w:t>告</w:t>
      </w:r>
    </w:p>
    <w:p>
      <w:pPr>
        <w:jc w:val="center"/>
        <w:rPr>
          <w:rFonts w:ascii="Times New Roman" w:hAnsi="Times New Roman" w:eastAsia="华文中宋"/>
          <w:sz w:val="24"/>
        </w:rPr>
      </w:pPr>
      <w:r>
        <w:rPr>
          <w:rFonts w:ascii="Times New Roman" w:hAnsi="Times New Roman" w:eastAsia="华文中宋"/>
          <w:sz w:val="24"/>
        </w:rPr>
        <w:t>202X</w:t>
      </w:r>
      <w:r>
        <w:rPr>
          <w:rFonts w:hint="eastAsia" w:ascii="Times New Roman" w:hAnsi="Times New Roman" w:eastAsia="华文中宋"/>
          <w:sz w:val="24"/>
        </w:rPr>
        <w:t>年</w:t>
      </w:r>
      <w:r>
        <w:rPr>
          <w:rFonts w:ascii="Times New Roman" w:hAnsi="Times New Roman" w:eastAsia="华文中宋"/>
          <w:sz w:val="24"/>
        </w:rPr>
        <w:t xml:space="preserve"> </w:t>
      </w:r>
      <w:r>
        <w:rPr>
          <w:rFonts w:hint="eastAsia" w:ascii="Times New Roman" w:hAnsi="Times New Roman" w:eastAsia="华文中宋"/>
          <w:sz w:val="24"/>
        </w:rPr>
        <w:t>第</w:t>
      </w:r>
      <w:r>
        <w:rPr>
          <w:rFonts w:ascii="Times New Roman" w:hAnsi="Times New Roman" w:eastAsia="华文中宋"/>
          <w:sz w:val="24"/>
        </w:rPr>
        <w:t xml:space="preserve">      </w:t>
      </w:r>
      <w:r>
        <w:rPr>
          <w:rFonts w:hint="eastAsia" w:ascii="Times New Roman" w:hAnsi="Times New Roman" w:eastAsia="华文中宋"/>
          <w:sz w:val="24"/>
        </w:rPr>
        <w:t>号</w:t>
      </w:r>
    </w:p>
    <w:p>
      <w:pPr>
        <w:jc w:val="center"/>
        <w:rPr>
          <w:rFonts w:ascii="Times New Roman" w:hAnsi="Times New Roman" w:eastAsia="黑体"/>
          <w:sz w:val="32"/>
        </w:rPr>
      </w:pP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98425</wp:posOffset>
                </wp:positionV>
                <wp:extent cx="5029200" cy="0"/>
                <wp:effectExtent l="0" t="0" r="0" b="0"/>
                <wp:wrapSquare wrapText="bothSides"/>
                <wp:docPr id="1617961046"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029200" cy="0"/>
                        </a:xfrm>
                        <a:prstGeom prst="line">
                          <a:avLst/>
                        </a:prstGeom>
                        <a:noFill/>
                        <a:ln w="19050">
                          <a:solidFill>
                            <a:srgbClr val="000000"/>
                          </a:solidFill>
                          <a:round/>
                        </a:ln>
                      </wps:spPr>
                      <wps:bodyPr/>
                    </wps:wsp>
                  </a:graphicData>
                </a:graphic>
              </wp:anchor>
            </w:drawing>
          </mc:Choice>
          <mc:Fallback>
            <w:pict>
              <v:line id="直接连接符 1" o:spid="_x0000_s1026" o:spt="20" style="position:absolute;left:0pt;margin-left:18pt;margin-top:7.75pt;height:0pt;width:396pt;mso-wrap-distance-bottom:0pt;mso-wrap-distance-left:9pt;mso-wrap-distance-right:9pt;mso-wrap-distance-top:0pt;z-index:251661312;mso-width-relative:page;mso-height-relative:page;" filled="f" stroked="t" coordsize="21600,21600" o:gfxdata="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BEUav7UAAAA&#10;CAEAAA8AAAAAAAAAAQAgAAAAOAAAAGRycy9kb3ducmV2LnhtbFBLAQIUABQAAAAIAIdO4kDYQnax&#10;0gEAAGkDAAAOAAAAAAAAAAEAIAAAADkBAABkcnMvZTJvRG9jLnhtbFBLBQYAAAAABgAGAFkBAAB9&#10;BQAAAAA=&#10;">
                <v:fill on="f" focussize="0,0"/>
                <v:stroke weight="1.5pt" color="#000000" joinstyle="round"/>
                <v:imagedata o:title=""/>
                <o:lock v:ext="edit" aspectratio="f"/>
                <w10:wrap type="square"/>
              </v:line>
            </w:pict>
          </mc:Fallback>
        </mc:AlternateContent>
      </w:r>
    </w:p>
    <w:p>
      <w:pPr>
        <w:ind w:firstLine="640" w:firstLineChars="200"/>
        <w:jc w:val="center"/>
        <w:rPr>
          <w:rFonts w:ascii="Times New Roman" w:hAnsi="Times New Roman" w:eastAsia="黑体"/>
          <w:sz w:val="32"/>
        </w:rPr>
      </w:pPr>
      <w:r>
        <w:rPr>
          <w:rFonts w:hint="eastAsia" w:ascii="Times New Roman" w:hAnsi="Times New Roman" w:eastAsia="黑体"/>
          <w:sz w:val="32"/>
        </w:rPr>
        <w:t>住房和城乡建设部关于发布国家标准</w:t>
      </w:r>
    </w:p>
    <w:p>
      <w:pPr>
        <w:ind w:firstLine="640" w:firstLineChars="200"/>
        <w:jc w:val="center"/>
        <w:rPr>
          <w:rFonts w:ascii="Times New Roman" w:hAnsi="Times New Roman" w:eastAsia="黑体"/>
          <w:sz w:val="32"/>
        </w:rPr>
      </w:pPr>
      <w:r>
        <w:rPr>
          <w:rFonts w:hint="eastAsia" w:ascii="Times New Roman" w:hAnsi="Times New Roman" w:eastAsia="黑体"/>
          <w:sz w:val="32"/>
        </w:rPr>
        <w:t>《厂区工业设备和管道工程通用规范》的公告</w:t>
      </w:r>
    </w:p>
    <w:p>
      <w:pPr>
        <w:jc w:val="center"/>
        <w:rPr>
          <w:rFonts w:ascii="Times New Roman" w:hAnsi="Times New Roman" w:eastAsia="新宋体"/>
          <w:b/>
          <w:bCs/>
          <w:sz w:val="44"/>
          <w:szCs w:val="44"/>
        </w:rPr>
      </w:pPr>
    </w:p>
    <w:p>
      <w:pPr>
        <w:rPr>
          <w:rFonts w:hint="eastAsia" w:ascii="Times New Roman" w:hAnsi="Times New Roman" w:eastAsia="新宋体"/>
          <w:b/>
          <w:bCs/>
          <w:sz w:val="44"/>
          <w:szCs w:val="44"/>
        </w:rPr>
      </w:pPr>
      <w:r>
        <w:rPr>
          <w:rFonts w:hint="eastAsia" w:ascii="Times New Roman" w:hAnsi="Times New Roman" w:eastAsia="新宋体"/>
          <w:b/>
          <w:bCs/>
          <w:sz w:val="44"/>
          <w:szCs w:val="44"/>
        </w:rPr>
        <w:br w:type="page"/>
      </w:r>
    </w:p>
    <w:p>
      <w:pPr>
        <w:jc w:val="center"/>
        <w:rPr>
          <w:rFonts w:ascii="Times New Roman" w:hAnsi="Times New Roman" w:eastAsia="新宋体"/>
          <w:b/>
          <w:bCs/>
          <w:sz w:val="44"/>
          <w:szCs w:val="44"/>
        </w:rPr>
      </w:pPr>
      <w:r>
        <w:rPr>
          <w:rFonts w:hint="eastAsia" w:ascii="Times New Roman" w:hAnsi="Times New Roman" w:eastAsia="新宋体"/>
          <w:b/>
          <w:bCs/>
          <w:sz w:val="44"/>
          <w:szCs w:val="44"/>
        </w:rPr>
        <w:t>前</w:t>
      </w:r>
      <w:r>
        <w:rPr>
          <w:rFonts w:ascii="Times New Roman" w:hAnsi="Times New Roman" w:eastAsia="新宋体"/>
          <w:b/>
          <w:bCs/>
          <w:sz w:val="44"/>
          <w:szCs w:val="44"/>
        </w:rPr>
        <w:t xml:space="preserve">    </w:t>
      </w:r>
      <w:r>
        <w:rPr>
          <w:rFonts w:hint="eastAsia" w:ascii="Times New Roman" w:hAnsi="Times New Roman" w:eastAsia="新宋体"/>
          <w:b/>
          <w:bCs/>
          <w:sz w:val="44"/>
          <w:szCs w:val="44"/>
        </w:rPr>
        <w:t>言</w:t>
      </w:r>
    </w:p>
    <w:p>
      <w:pPr>
        <w:ind w:firstLine="420" w:firstLineChars="200"/>
        <w:rPr>
          <w:rFonts w:ascii="Times New Roman" w:hAnsi="Times New Roman" w:eastAsia="仿宋_GB2312"/>
          <w:szCs w:val="32"/>
        </w:rPr>
      </w:pPr>
    </w:p>
    <w:p>
      <w:pPr>
        <w:ind w:firstLine="640" w:firstLineChars="200"/>
        <w:rPr>
          <w:rFonts w:ascii="Times New Roman" w:hAnsi="Times New Roman" w:eastAsia="仿宋"/>
          <w:szCs w:val="32"/>
        </w:rPr>
      </w:pPr>
      <w:r>
        <w:rPr>
          <w:rFonts w:hint="eastAsia" w:ascii="Times New Roman" w:hAnsi="Times New Roman" w:eastAsia="仿宋"/>
          <w:sz w:val="32"/>
          <w:szCs w:val="32"/>
        </w:rPr>
        <w:t>为适应国际技术法规与技术标准通行规则，</w:t>
      </w:r>
      <w:r>
        <w:rPr>
          <w:rFonts w:ascii="Times New Roman" w:hAnsi="Times New Roman" w:eastAsia="仿宋"/>
          <w:sz w:val="32"/>
          <w:szCs w:val="32"/>
        </w:rPr>
        <w:t>2016</w:t>
      </w:r>
      <w:r>
        <w:rPr>
          <w:rFonts w:hint="eastAsia" w:ascii="Times New Roman" w:hAnsi="Times New Roman" w:eastAsia="仿宋"/>
          <w:sz w:val="32"/>
          <w:szCs w:val="32"/>
        </w:rPr>
        <w:t>年以来，</w:t>
      </w:r>
      <w:r>
        <w:rPr>
          <w:rFonts w:ascii="Times New Roman" w:hAnsi="Times New Roman" w:eastAsia="仿宋"/>
          <w:sz w:val="32"/>
          <w:szCs w:val="32"/>
        </w:rPr>
        <w:t>住房</w:t>
      </w:r>
      <w:r>
        <w:rPr>
          <w:rFonts w:hint="eastAsia" w:ascii="Times New Roman" w:hAnsi="Times New Roman" w:eastAsia="仿宋"/>
          <w:sz w:val="32"/>
          <w:szCs w:val="32"/>
        </w:rPr>
        <w:t>和</w:t>
      </w:r>
      <w:r>
        <w:rPr>
          <w:rFonts w:ascii="Times New Roman" w:hAnsi="Times New Roman" w:eastAsia="仿宋"/>
          <w:sz w:val="32"/>
          <w:szCs w:val="32"/>
        </w:rPr>
        <w:t>城乡建设部</w:t>
      </w:r>
      <w:r>
        <w:rPr>
          <w:rFonts w:hint="eastAsia" w:ascii="Times New Roman" w:hAnsi="Times New Roman" w:eastAsia="仿宋"/>
          <w:sz w:val="32"/>
          <w:szCs w:val="32"/>
        </w:rPr>
        <w:t>陆续</w:t>
      </w:r>
      <w:r>
        <w:rPr>
          <w:rFonts w:ascii="Times New Roman" w:hAnsi="Times New Roman" w:eastAsia="仿宋"/>
          <w:sz w:val="32"/>
          <w:szCs w:val="32"/>
        </w:rPr>
        <w:t>印发</w:t>
      </w:r>
      <w:r>
        <w:rPr>
          <w:rFonts w:hint="eastAsia" w:ascii="Times New Roman" w:hAnsi="Times New Roman" w:eastAsia="仿宋"/>
          <w:sz w:val="32"/>
          <w:szCs w:val="32"/>
        </w:rPr>
        <w:t>《</w:t>
      </w:r>
      <w:r>
        <w:rPr>
          <w:rFonts w:ascii="Times New Roman" w:hAnsi="Times New Roman" w:eastAsia="仿宋"/>
          <w:sz w:val="32"/>
          <w:szCs w:val="32"/>
        </w:rPr>
        <w:t>深化工程建设标准化工作改革的意见</w:t>
      </w:r>
      <w:r>
        <w:rPr>
          <w:rFonts w:hint="eastAsia" w:ascii="Times New Roman" w:hAnsi="Times New Roman" w:eastAsia="仿宋"/>
          <w:sz w:val="32"/>
          <w:szCs w:val="32"/>
        </w:rPr>
        <w:t>》等文件，提出政府制定强制性标准、社会团体制定自愿采用性标准的长远目标，明确了逐步用全文强制性工程建设规范取代现行标准中分散的强制性条文</w:t>
      </w:r>
      <w:r>
        <w:rPr>
          <w:rFonts w:ascii="Times New Roman" w:hAnsi="Times New Roman" w:eastAsia="仿宋"/>
          <w:sz w:val="32"/>
          <w:szCs w:val="32"/>
        </w:rPr>
        <w:t>的改革任务</w:t>
      </w:r>
      <w:r>
        <w:rPr>
          <w:rFonts w:hint="eastAsia" w:ascii="Times New Roman" w:hAnsi="Times New Roman" w:eastAsia="仿宋"/>
          <w:sz w:val="32"/>
          <w:szCs w:val="32"/>
        </w:rPr>
        <w:t>，逐步形成由法律、行政法规、部门规章中的技术性规定与全文强制性工程建设规范构成的“技术法规”体系。</w:t>
      </w:r>
    </w:p>
    <w:p>
      <w:pPr>
        <w:ind w:firstLine="640"/>
        <w:rPr>
          <w:rFonts w:ascii="Times New Roman" w:hAnsi="Times New Roman" w:eastAsia="仿宋"/>
          <w:szCs w:val="32"/>
        </w:rPr>
      </w:pPr>
      <w:r>
        <w:rPr>
          <w:rFonts w:hint="eastAsia" w:ascii="Times New Roman" w:hAnsi="Times New Roman" w:eastAsia="仿宋"/>
          <w:b/>
          <w:sz w:val="32"/>
          <w:szCs w:val="32"/>
        </w:rPr>
        <w:t>关于规范种类。</w:t>
      </w:r>
      <w:r>
        <w:rPr>
          <w:rFonts w:hint="eastAsia" w:ascii="Times New Roman" w:hAnsi="Times New Roman" w:eastAsia="仿宋"/>
          <w:sz w:val="32"/>
          <w:szCs w:val="32"/>
        </w:rPr>
        <w:t>强制性工程建设规范体系覆盖工程建设领域各类建设工程项目，</w:t>
      </w:r>
      <w:r>
        <w:rPr>
          <w:rFonts w:ascii="Times New Roman" w:hAnsi="Times New Roman" w:eastAsia="仿宋"/>
          <w:sz w:val="32"/>
          <w:szCs w:val="32"/>
        </w:rPr>
        <w:t>分为</w:t>
      </w:r>
      <w:r>
        <w:rPr>
          <w:rFonts w:hint="eastAsia" w:ascii="Times New Roman" w:hAnsi="Times New Roman" w:eastAsia="仿宋"/>
          <w:sz w:val="32"/>
          <w:szCs w:val="32"/>
        </w:rPr>
        <w:t>工程</w:t>
      </w:r>
      <w:r>
        <w:rPr>
          <w:rFonts w:ascii="Times New Roman" w:hAnsi="Times New Roman" w:eastAsia="仿宋"/>
          <w:sz w:val="32"/>
          <w:szCs w:val="32"/>
        </w:rPr>
        <w:t>项目</w:t>
      </w:r>
      <w:r>
        <w:rPr>
          <w:rFonts w:hint="eastAsia" w:ascii="Times New Roman" w:hAnsi="Times New Roman" w:eastAsia="仿宋"/>
          <w:sz w:val="32"/>
          <w:szCs w:val="32"/>
        </w:rPr>
        <w:t>类</w:t>
      </w:r>
      <w:r>
        <w:rPr>
          <w:rFonts w:ascii="Times New Roman" w:hAnsi="Times New Roman" w:eastAsia="仿宋"/>
          <w:sz w:val="32"/>
          <w:szCs w:val="32"/>
        </w:rPr>
        <w:t>规范</w:t>
      </w:r>
      <w:r>
        <w:rPr>
          <w:rFonts w:hint="eastAsia" w:ascii="Times New Roman" w:hAnsi="Times New Roman" w:eastAsia="仿宋"/>
          <w:sz w:val="32"/>
          <w:szCs w:val="32"/>
        </w:rPr>
        <w:t>（简称项目规范）</w:t>
      </w:r>
      <w:r>
        <w:rPr>
          <w:rFonts w:ascii="Times New Roman" w:hAnsi="Times New Roman" w:eastAsia="仿宋"/>
          <w:sz w:val="32"/>
          <w:szCs w:val="32"/>
        </w:rPr>
        <w:t>和通用</w:t>
      </w:r>
      <w:r>
        <w:rPr>
          <w:rFonts w:hint="eastAsia" w:ascii="Times New Roman" w:hAnsi="Times New Roman" w:eastAsia="仿宋"/>
          <w:sz w:val="32"/>
          <w:szCs w:val="32"/>
        </w:rPr>
        <w:t>技术类</w:t>
      </w:r>
      <w:r>
        <w:rPr>
          <w:rFonts w:ascii="Times New Roman" w:hAnsi="Times New Roman" w:eastAsia="仿宋"/>
          <w:sz w:val="32"/>
          <w:szCs w:val="32"/>
        </w:rPr>
        <w:t>规范</w:t>
      </w:r>
      <w:r>
        <w:rPr>
          <w:rFonts w:hint="eastAsia" w:ascii="Times New Roman" w:hAnsi="Times New Roman" w:eastAsia="仿宋"/>
          <w:sz w:val="32"/>
          <w:szCs w:val="32"/>
        </w:rPr>
        <w:t>（简称通用规范）两种类型</w:t>
      </w:r>
      <w:r>
        <w:rPr>
          <w:rFonts w:ascii="Times New Roman" w:hAnsi="Times New Roman" w:eastAsia="仿宋"/>
          <w:sz w:val="32"/>
          <w:szCs w:val="32"/>
        </w:rPr>
        <w:t>。项目规范以工程</w:t>
      </w:r>
      <w:r>
        <w:rPr>
          <w:rFonts w:hint="eastAsia" w:ascii="Times New Roman" w:hAnsi="Times New Roman" w:eastAsia="仿宋"/>
          <w:sz w:val="32"/>
          <w:szCs w:val="32"/>
        </w:rPr>
        <w:t>建设项目</w:t>
      </w:r>
      <w:r>
        <w:rPr>
          <w:rFonts w:ascii="Times New Roman" w:hAnsi="Times New Roman" w:eastAsia="仿宋"/>
          <w:sz w:val="32"/>
          <w:szCs w:val="32"/>
        </w:rPr>
        <w:t>整体为对象，以项目</w:t>
      </w:r>
      <w:r>
        <w:rPr>
          <w:rFonts w:hint="eastAsia" w:ascii="Times New Roman" w:hAnsi="Times New Roman" w:eastAsia="仿宋"/>
          <w:sz w:val="32"/>
          <w:szCs w:val="32"/>
        </w:rPr>
        <w:t>的</w:t>
      </w:r>
      <w:r>
        <w:rPr>
          <w:rFonts w:ascii="Times New Roman" w:hAnsi="Times New Roman" w:eastAsia="仿宋"/>
          <w:sz w:val="32"/>
          <w:szCs w:val="32"/>
        </w:rPr>
        <w:t>规模、布局、功能、性能和关键技术措施</w:t>
      </w:r>
      <w:r>
        <w:rPr>
          <w:rFonts w:hint="eastAsia" w:ascii="Times New Roman" w:hAnsi="Times New Roman" w:eastAsia="仿宋"/>
          <w:sz w:val="32"/>
          <w:szCs w:val="32"/>
        </w:rPr>
        <w:t>等五大要素</w:t>
      </w:r>
      <w:r>
        <w:rPr>
          <w:rFonts w:ascii="Times New Roman" w:hAnsi="Times New Roman" w:eastAsia="仿宋"/>
          <w:sz w:val="32"/>
          <w:szCs w:val="32"/>
        </w:rPr>
        <w:t>为主要内容。通用规范以实现</w:t>
      </w:r>
      <w:r>
        <w:rPr>
          <w:rFonts w:hint="eastAsia" w:ascii="Times New Roman" w:hAnsi="Times New Roman" w:eastAsia="仿宋"/>
          <w:sz w:val="32"/>
          <w:szCs w:val="32"/>
        </w:rPr>
        <w:t>工程建设</w:t>
      </w:r>
      <w:r>
        <w:rPr>
          <w:rFonts w:ascii="Times New Roman" w:hAnsi="Times New Roman" w:eastAsia="仿宋"/>
          <w:sz w:val="32"/>
          <w:szCs w:val="32"/>
        </w:rPr>
        <w:t>项目功能性能要求的各专业</w:t>
      </w:r>
      <w:r>
        <w:rPr>
          <w:rFonts w:hint="eastAsia" w:ascii="Times New Roman" w:hAnsi="Times New Roman" w:eastAsia="仿宋"/>
          <w:sz w:val="32"/>
          <w:szCs w:val="32"/>
        </w:rPr>
        <w:t>通用</w:t>
      </w:r>
      <w:r>
        <w:rPr>
          <w:rFonts w:ascii="Times New Roman" w:hAnsi="Times New Roman" w:eastAsia="仿宋"/>
          <w:sz w:val="32"/>
          <w:szCs w:val="32"/>
        </w:rPr>
        <w:t>技术为对象，以勘察、</w:t>
      </w:r>
      <w:r>
        <w:rPr>
          <w:rFonts w:hint="eastAsia" w:ascii="Times New Roman" w:hAnsi="Times New Roman" w:eastAsia="仿宋"/>
          <w:sz w:val="32"/>
          <w:szCs w:val="32"/>
        </w:rPr>
        <w:t>设计</w:t>
      </w:r>
      <w:r>
        <w:rPr>
          <w:rFonts w:ascii="Times New Roman" w:hAnsi="Times New Roman" w:eastAsia="仿宋"/>
          <w:sz w:val="32"/>
          <w:szCs w:val="32"/>
        </w:rPr>
        <w:t>、施工、</w:t>
      </w:r>
      <w:r>
        <w:rPr>
          <w:rFonts w:hint="eastAsia" w:ascii="Times New Roman" w:hAnsi="Times New Roman" w:eastAsia="仿宋"/>
          <w:sz w:val="32"/>
          <w:szCs w:val="32"/>
        </w:rPr>
        <w:t>维修、养护等通用技术要求</w:t>
      </w:r>
      <w:r>
        <w:rPr>
          <w:rFonts w:ascii="Times New Roman" w:hAnsi="Times New Roman" w:eastAsia="仿宋"/>
          <w:sz w:val="32"/>
          <w:szCs w:val="32"/>
        </w:rPr>
        <w:t>为主要内容。</w:t>
      </w:r>
      <w:r>
        <w:rPr>
          <w:rFonts w:hint="eastAsia" w:ascii="Times New Roman" w:hAnsi="Times New Roman" w:eastAsia="仿宋"/>
          <w:sz w:val="32"/>
          <w:szCs w:val="32"/>
        </w:rPr>
        <w:t>在全文强制性</w:t>
      </w:r>
      <w:r>
        <w:rPr>
          <w:rFonts w:ascii="Times New Roman" w:hAnsi="Times New Roman" w:eastAsia="仿宋"/>
          <w:sz w:val="32"/>
          <w:szCs w:val="32"/>
        </w:rPr>
        <w:t>工程</w:t>
      </w:r>
      <w:r>
        <w:rPr>
          <w:rFonts w:hint="eastAsia" w:ascii="Times New Roman" w:hAnsi="Times New Roman" w:eastAsia="仿宋"/>
          <w:sz w:val="32"/>
          <w:szCs w:val="32"/>
        </w:rPr>
        <w:t>建设</w:t>
      </w:r>
      <w:r>
        <w:rPr>
          <w:rFonts w:ascii="Times New Roman" w:hAnsi="Times New Roman" w:eastAsia="仿宋"/>
          <w:sz w:val="32"/>
          <w:szCs w:val="32"/>
        </w:rPr>
        <w:t>规范体系中</w:t>
      </w:r>
      <w:r>
        <w:rPr>
          <w:rFonts w:hint="eastAsia" w:ascii="Times New Roman" w:hAnsi="Times New Roman" w:eastAsia="仿宋"/>
          <w:sz w:val="32"/>
          <w:szCs w:val="32"/>
        </w:rPr>
        <w:t>，</w:t>
      </w:r>
      <w:r>
        <w:rPr>
          <w:rFonts w:ascii="Times New Roman" w:hAnsi="Times New Roman" w:eastAsia="仿宋"/>
          <w:sz w:val="32"/>
          <w:szCs w:val="32"/>
        </w:rPr>
        <w:t>项目规范为</w:t>
      </w:r>
      <w:r>
        <w:rPr>
          <w:rFonts w:hint="eastAsia" w:ascii="Times New Roman" w:hAnsi="Times New Roman" w:eastAsia="仿宋"/>
          <w:sz w:val="32"/>
          <w:szCs w:val="32"/>
        </w:rPr>
        <w:t>主干</w:t>
      </w:r>
      <w:r>
        <w:rPr>
          <w:rFonts w:ascii="Times New Roman" w:hAnsi="Times New Roman" w:eastAsia="仿宋"/>
          <w:sz w:val="32"/>
          <w:szCs w:val="32"/>
        </w:rPr>
        <w:t>，通用规范</w:t>
      </w:r>
      <w:r>
        <w:rPr>
          <w:rFonts w:hint="eastAsia" w:ascii="Times New Roman" w:hAnsi="Times New Roman" w:eastAsia="仿宋"/>
          <w:sz w:val="32"/>
          <w:szCs w:val="32"/>
        </w:rPr>
        <w:t>是对</w:t>
      </w:r>
      <w:r>
        <w:rPr>
          <w:rFonts w:ascii="Times New Roman" w:hAnsi="Times New Roman" w:eastAsia="仿宋"/>
          <w:sz w:val="32"/>
          <w:szCs w:val="32"/>
        </w:rPr>
        <w:t>各类项目共性的、</w:t>
      </w:r>
      <w:r>
        <w:rPr>
          <w:rFonts w:hint="eastAsia" w:ascii="Times New Roman" w:hAnsi="Times New Roman" w:eastAsia="仿宋"/>
          <w:sz w:val="32"/>
          <w:szCs w:val="32"/>
        </w:rPr>
        <w:t>通用的专业性</w:t>
      </w:r>
      <w:r>
        <w:rPr>
          <w:rFonts w:ascii="Times New Roman" w:hAnsi="Times New Roman" w:eastAsia="仿宋"/>
          <w:sz w:val="32"/>
          <w:szCs w:val="32"/>
        </w:rPr>
        <w:t>关键技术措施</w:t>
      </w:r>
      <w:r>
        <w:rPr>
          <w:rFonts w:hint="eastAsia" w:ascii="Times New Roman" w:hAnsi="Times New Roman" w:eastAsia="仿宋"/>
          <w:sz w:val="32"/>
          <w:szCs w:val="32"/>
        </w:rPr>
        <w:t>的规定</w:t>
      </w:r>
      <w:r>
        <w:rPr>
          <w:rFonts w:ascii="Times New Roman" w:hAnsi="Times New Roman" w:eastAsia="仿宋"/>
          <w:sz w:val="32"/>
          <w:szCs w:val="32"/>
        </w:rPr>
        <w:t>。</w:t>
      </w:r>
    </w:p>
    <w:p>
      <w:pPr>
        <w:ind w:firstLine="570"/>
        <w:rPr>
          <w:rFonts w:ascii="Times New Roman" w:hAnsi="Times New Roman" w:eastAsia="仿宋"/>
          <w:szCs w:val="32"/>
        </w:rPr>
      </w:pPr>
      <w:r>
        <w:rPr>
          <w:rFonts w:hint="eastAsia" w:ascii="Times New Roman" w:hAnsi="Times New Roman" w:eastAsia="仿宋"/>
          <w:b/>
          <w:sz w:val="32"/>
          <w:szCs w:val="32"/>
        </w:rPr>
        <w:t>关于五大要素指标。</w:t>
      </w:r>
      <w:r>
        <w:rPr>
          <w:rFonts w:hint="eastAsia" w:ascii="Times New Roman" w:hAnsi="Times New Roman" w:eastAsia="仿宋"/>
          <w:sz w:val="32"/>
          <w:szCs w:val="32"/>
        </w:rPr>
        <w:t>强制性工程建设规范中各项要素是保障城乡基础设施建设体系化和效率提升的基本规定，是支撑城乡建设高质量发展的基本要求。项目的规模要求主要规定了建设工程项目应具备完整的生产或服务能力，应与经济社会发展水平相适应。项目的布局要求主要规定了产业布局、建设工程项目选址、总体设计、总平面布置以及与规模相协调的统筹性技术要求，应考虑供给能力合理分布，提高相关设施建设的整体水平。项目的功能要求主要规定</w:t>
      </w:r>
      <w:r>
        <w:rPr>
          <w:rFonts w:ascii="Times New Roman" w:hAnsi="Times New Roman" w:eastAsia="仿宋"/>
          <w:sz w:val="32"/>
          <w:szCs w:val="32"/>
        </w:rPr>
        <w:t>项目构成和用途</w:t>
      </w:r>
      <w:r>
        <w:rPr>
          <w:rFonts w:hint="eastAsia" w:ascii="Times New Roman" w:hAnsi="Times New Roman" w:eastAsia="仿宋"/>
          <w:sz w:val="32"/>
          <w:szCs w:val="32"/>
        </w:rPr>
        <w:t>，明确项目的基本组成单元，是项目发挥预期作用的保障。</w:t>
      </w:r>
      <w:r>
        <w:rPr>
          <w:rFonts w:ascii="Times New Roman" w:hAnsi="Times New Roman" w:eastAsia="仿宋"/>
          <w:sz w:val="32"/>
          <w:szCs w:val="32"/>
        </w:rPr>
        <w:t>项目的</w:t>
      </w:r>
      <w:r>
        <w:rPr>
          <w:rFonts w:hint="eastAsia" w:ascii="Times New Roman" w:hAnsi="Times New Roman" w:eastAsia="仿宋"/>
          <w:sz w:val="32"/>
          <w:szCs w:val="32"/>
        </w:rPr>
        <w:t>性能要求主要规定建设工程项目建设水平或技术</w:t>
      </w:r>
      <w:r>
        <w:rPr>
          <w:rFonts w:ascii="Times New Roman" w:hAnsi="Times New Roman" w:eastAsia="仿宋"/>
          <w:sz w:val="32"/>
          <w:szCs w:val="32"/>
        </w:rPr>
        <w:t>水平</w:t>
      </w:r>
      <w:r>
        <w:rPr>
          <w:rFonts w:hint="eastAsia" w:ascii="Times New Roman" w:hAnsi="Times New Roman" w:eastAsia="仿宋"/>
          <w:sz w:val="32"/>
          <w:szCs w:val="32"/>
        </w:rPr>
        <w:t>的</w:t>
      </w:r>
      <w:r>
        <w:rPr>
          <w:rFonts w:ascii="Times New Roman" w:hAnsi="Times New Roman" w:eastAsia="仿宋"/>
          <w:sz w:val="32"/>
          <w:szCs w:val="32"/>
        </w:rPr>
        <w:t>高低</w:t>
      </w:r>
      <w:r>
        <w:rPr>
          <w:rFonts w:hint="eastAsia" w:ascii="Times New Roman" w:hAnsi="Times New Roman" w:eastAsia="仿宋"/>
          <w:sz w:val="32"/>
          <w:szCs w:val="32"/>
        </w:rPr>
        <w:t>程度</w:t>
      </w:r>
      <w:r>
        <w:rPr>
          <w:rFonts w:ascii="Times New Roman" w:hAnsi="Times New Roman" w:eastAsia="仿宋"/>
          <w:sz w:val="32"/>
          <w:szCs w:val="32"/>
        </w:rPr>
        <w:t>，</w:t>
      </w:r>
      <w:r>
        <w:rPr>
          <w:rFonts w:hint="eastAsia" w:ascii="Times New Roman" w:hAnsi="Times New Roman" w:eastAsia="仿宋"/>
          <w:sz w:val="32"/>
          <w:szCs w:val="32"/>
        </w:rPr>
        <w:t>体现建设工程项目的适用性，明确项目质量、安全、节能、环保、宜居环境和可持续发展等方面应达到的基本水平。关键技术措施是实现建设项目功能、性能要求的基本技术规定，是落实城乡建设安全、绿色、韧性、智慧、宜居、公平、有效率等发展目标的基本保障。</w:t>
      </w:r>
    </w:p>
    <w:p>
      <w:pPr>
        <w:ind w:firstLine="640"/>
        <w:rPr>
          <w:rFonts w:ascii="Times New Roman" w:hAnsi="Times New Roman" w:eastAsia="仿宋"/>
          <w:szCs w:val="32"/>
        </w:rPr>
      </w:pPr>
      <w:r>
        <w:rPr>
          <w:rFonts w:hint="eastAsia" w:ascii="Times New Roman" w:hAnsi="Times New Roman" w:eastAsia="仿宋"/>
          <w:b/>
          <w:sz w:val="32"/>
          <w:szCs w:val="32"/>
        </w:rPr>
        <w:t>关于规范实施。</w:t>
      </w:r>
      <w:r>
        <w:rPr>
          <w:rFonts w:hint="eastAsia" w:ascii="Times New Roman" w:hAnsi="Times New Roman" w:eastAsia="仿宋"/>
          <w:sz w:val="32"/>
          <w:szCs w:val="32"/>
        </w:rPr>
        <w:t>强制性工程建设规范具有强制约束力，是保障人民生命财产安全、人身健康、工程安全、生态环境安全、公众权益和公众利益，以及促进能源资源节约利用、满足经济社会管理等方面的控制性底线要求，工程建设</w:t>
      </w:r>
      <w:r>
        <w:rPr>
          <w:rFonts w:ascii="Times New Roman" w:hAnsi="Times New Roman" w:eastAsia="仿宋"/>
          <w:sz w:val="32"/>
          <w:szCs w:val="32"/>
        </w:rPr>
        <w:t>项目</w:t>
      </w:r>
      <w:r>
        <w:rPr>
          <w:rFonts w:hint="eastAsia" w:ascii="Times New Roman" w:hAnsi="Times New Roman" w:eastAsia="仿宋"/>
          <w:sz w:val="32"/>
          <w:szCs w:val="32"/>
        </w:rPr>
        <w:t>的</w:t>
      </w:r>
      <w:r>
        <w:rPr>
          <w:rFonts w:ascii="Times New Roman" w:hAnsi="Times New Roman" w:eastAsia="仿宋"/>
          <w:sz w:val="32"/>
          <w:szCs w:val="32"/>
        </w:rPr>
        <w:t>勘察、设计、施工、验收、</w:t>
      </w:r>
      <w:r>
        <w:rPr>
          <w:rFonts w:hint="eastAsia" w:ascii="Times New Roman" w:hAnsi="Times New Roman" w:eastAsia="仿宋"/>
          <w:sz w:val="32"/>
          <w:szCs w:val="32"/>
        </w:rPr>
        <w:t>维修、养护、拆除等建设活动全</w:t>
      </w:r>
      <w:r>
        <w:rPr>
          <w:rFonts w:ascii="Times New Roman" w:hAnsi="Times New Roman" w:eastAsia="仿宋"/>
          <w:sz w:val="32"/>
          <w:szCs w:val="32"/>
        </w:rPr>
        <w:t>过程</w:t>
      </w:r>
      <w:r>
        <w:rPr>
          <w:rFonts w:hint="eastAsia" w:ascii="Times New Roman" w:hAnsi="Times New Roman" w:eastAsia="仿宋"/>
          <w:sz w:val="32"/>
          <w:szCs w:val="32"/>
        </w:rPr>
        <w:t>中</w:t>
      </w:r>
      <w:r>
        <w:rPr>
          <w:rFonts w:ascii="Times New Roman" w:hAnsi="Times New Roman" w:eastAsia="仿宋"/>
          <w:sz w:val="32"/>
          <w:szCs w:val="32"/>
        </w:rPr>
        <w:t>必须严格执行。</w:t>
      </w:r>
      <w:r>
        <w:rPr>
          <w:rFonts w:hint="eastAsia" w:ascii="Times New Roman" w:hAnsi="Times New Roman" w:eastAsia="仿宋"/>
          <w:sz w:val="32"/>
          <w:szCs w:val="32"/>
        </w:rPr>
        <w:t>与</w:t>
      </w:r>
      <w:r>
        <w:rPr>
          <w:rFonts w:ascii="Times New Roman" w:hAnsi="Times New Roman" w:eastAsia="仿宋"/>
          <w:sz w:val="32"/>
          <w:szCs w:val="32"/>
        </w:rPr>
        <w:t>强制性工程建设规范配套的推荐性工程建设标准</w:t>
      </w:r>
      <w:r>
        <w:rPr>
          <w:rFonts w:hint="eastAsia" w:ascii="Times New Roman" w:hAnsi="Times New Roman" w:eastAsia="仿宋"/>
          <w:sz w:val="32"/>
          <w:szCs w:val="32"/>
        </w:rPr>
        <w:t>是经过实践检验的、保障达到强制性规范要求的成熟技术措施，一般情况下也</w:t>
      </w:r>
      <w:r>
        <w:rPr>
          <w:rFonts w:ascii="Times New Roman" w:hAnsi="Times New Roman" w:eastAsia="仿宋"/>
          <w:sz w:val="32"/>
          <w:szCs w:val="32"/>
        </w:rPr>
        <w:t>应当执行。</w:t>
      </w:r>
      <w:r>
        <w:rPr>
          <w:rFonts w:hint="eastAsia" w:ascii="Times New Roman" w:hAnsi="Times New Roman" w:eastAsia="仿宋"/>
          <w:sz w:val="32"/>
          <w:szCs w:val="32"/>
        </w:rPr>
        <w:t>在满足强制性工程建设规范规定的</w:t>
      </w:r>
      <w:r>
        <w:rPr>
          <w:rFonts w:ascii="Times New Roman" w:hAnsi="Times New Roman" w:eastAsia="仿宋"/>
          <w:sz w:val="32"/>
          <w:szCs w:val="32"/>
        </w:rPr>
        <w:t>项目功能、性能要求</w:t>
      </w:r>
      <w:r>
        <w:rPr>
          <w:rFonts w:hint="eastAsia" w:ascii="Times New Roman" w:hAnsi="Times New Roman" w:eastAsia="仿宋"/>
          <w:sz w:val="32"/>
          <w:szCs w:val="32"/>
        </w:rPr>
        <w:t>和关键技术措施的前提下，可</w:t>
      </w:r>
      <w:r>
        <w:rPr>
          <w:rFonts w:ascii="Times New Roman" w:hAnsi="Times New Roman" w:eastAsia="仿宋"/>
          <w:sz w:val="32"/>
          <w:szCs w:val="32"/>
        </w:rPr>
        <w:t>合理选用</w:t>
      </w:r>
      <w:r>
        <w:rPr>
          <w:rFonts w:hint="eastAsia" w:ascii="Times New Roman" w:hAnsi="Times New Roman" w:eastAsia="仿宋"/>
          <w:sz w:val="32"/>
          <w:szCs w:val="32"/>
        </w:rPr>
        <w:t>相关团体标准、企业</w:t>
      </w:r>
      <w:r>
        <w:rPr>
          <w:rFonts w:ascii="Times New Roman" w:hAnsi="Times New Roman" w:eastAsia="仿宋"/>
          <w:sz w:val="32"/>
          <w:szCs w:val="32"/>
        </w:rPr>
        <w:t>标准</w:t>
      </w:r>
      <w:r>
        <w:rPr>
          <w:rFonts w:hint="eastAsia" w:ascii="Times New Roman" w:hAnsi="Times New Roman" w:eastAsia="仿宋"/>
          <w:sz w:val="32"/>
          <w:szCs w:val="32"/>
        </w:rPr>
        <w:t>，使项目功能、性能更加优化或达到更高水平</w:t>
      </w:r>
      <w:r>
        <w:rPr>
          <w:rFonts w:ascii="Times New Roman" w:hAnsi="Times New Roman" w:eastAsia="仿宋"/>
          <w:sz w:val="32"/>
          <w:szCs w:val="32"/>
        </w:rPr>
        <w:t>。</w:t>
      </w:r>
      <w:r>
        <w:rPr>
          <w:rFonts w:hint="eastAsia" w:ascii="Times New Roman" w:hAnsi="Times New Roman" w:eastAsia="仿宋"/>
          <w:sz w:val="32"/>
          <w:szCs w:val="32"/>
        </w:rPr>
        <w:t>推荐性</w:t>
      </w:r>
      <w:r>
        <w:rPr>
          <w:rFonts w:ascii="Times New Roman" w:hAnsi="Times New Roman" w:eastAsia="仿宋"/>
          <w:sz w:val="32"/>
          <w:szCs w:val="32"/>
        </w:rPr>
        <w:t>工程建设标准、团体</w:t>
      </w:r>
      <w:r>
        <w:rPr>
          <w:rFonts w:hint="eastAsia" w:ascii="Times New Roman" w:hAnsi="Times New Roman" w:eastAsia="仿宋"/>
          <w:sz w:val="32"/>
          <w:szCs w:val="32"/>
        </w:rPr>
        <w:t>标准、企业标准要与强制性工程建设规范协调配套，</w:t>
      </w:r>
      <w:r>
        <w:rPr>
          <w:rFonts w:ascii="Times New Roman" w:hAnsi="Times New Roman" w:eastAsia="仿宋"/>
          <w:sz w:val="32"/>
          <w:szCs w:val="32"/>
        </w:rPr>
        <w:t>各项技术要求不得低于强制性工程建设规范的相关技术</w:t>
      </w:r>
      <w:r>
        <w:rPr>
          <w:rFonts w:hint="eastAsia" w:ascii="Times New Roman" w:hAnsi="Times New Roman" w:eastAsia="仿宋"/>
          <w:sz w:val="32"/>
          <w:szCs w:val="32"/>
        </w:rPr>
        <w:t>水平</w:t>
      </w:r>
      <w:r>
        <w:rPr>
          <w:rFonts w:ascii="Times New Roman" w:hAnsi="Times New Roman" w:eastAsia="仿宋"/>
          <w:sz w:val="32"/>
          <w:szCs w:val="32"/>
        </w:rPr>
        <w:t>。</w:t>
      </w:r>
    </w:p>
    <w:p>
      <w:pPr>
        <w:rPr>
          <w:highlight w:val="yellow"/>
        </w:rPr>
      </w:pPr>
      <w:r>
        <w:rPr>
          <w:rFonts w:hint="eastAsia" w:ascii="Times New Roman" w:hAnsi="Times New Roman" w:eastAsia="仿宋"/>
          <w:sz w:val="32"/>
          <w:szCs w:val="32"/>
        </w:rPr>
        <w:t>强制性工程建设</w:t>
      </w:r>
      <w:r>
        <w:rPr>
          <w:rFonts w:ascii="Times New Roman" w:hAnsi="Times New Roman" w:eastAsia="仿宋"/>
          <w:sz w:val="32"/>
          <w:szCs w:val="32"/>
        </w:rPr>
        <w:t>规范</w:t>
      </w:r>
      <w:r>
        <w:rPr>
          <w:rFonts w:hint="eastAsia" w:ascii="Times New Roman" w:hAnsi="Times New Roman" w:eastAsia="仿宋"/>
          <w:sz w:val="32"/>
          <w:szCs w:val="32"/>
        </w:rPr>
        <w:t>实施</w:t>
      </w:r>
      <w:r>
        <w:rPr>
          <w:rFonts w:ascii="Times New Roman" w:hAnsi="Times New Roman" w:eastAsia="仿宋"/>
          <w:sz w:val="32"/>
          <w:szCs w:val="32"/>
        </w:rPr>
        <w:t>后，现行相关工程建设</w:t>
      </w:r>
      <w:r>
        <w:rPr>
          <w:rFonts w:hint="eastAsia" w:ascii="Times New Roman" w:hAnsi="Times New Roman" w:eastAsia="仿宋"/>
          <w:sz w:val="32"/>
          <w:szCs w:val="32"/>
        </w:rPr>
        <w:t>国家</w:t>
      </w:r>
      <w:r>
        <w:rPr>
          <w:rFonts w:ascii="Times New Roman" w:hAnsi="Times New Roman" w:eastAsia="仿宋"/>
          <w:sz w:val="32"/>
          <w:szCs w:val="32"/>
        </w:rPr>
        <w:t>标准、</w:t>
      </w:r>
      <w:r>
        <w:rPr>
          <w:rFonts w:hint="eastAsia" w:ascii="Times New Roman" w:hAnsi="Times New Roman" w:eastAsia="仿宋"/>
          <w:sz w:val="32"/>
          <w:szCs w:val="32"/>
        </w:rPr>
        <w:t>行业标准</w:t>
      </w:r>
      <w:r>
        <w:rPr>
          <w:rFonts w:ascii="Times New Roman" w:hAnsi="Times New Roman" w:eastAsia="仿宋"/>
          <w:sz w:val="32"/>
          <w:szCs w:val="32"/>
        </w:rPr>
        <w:t>中</w:t>
      </w:r>
      <w:r>
        <w:rPr>
          <w:rFonts w:hint="eastAsia" w:ascii="Times New Roman" w:hAnsi="Times New Roman" w:eastAsia="仿宋"/>
          <w:sz w:val="32"/>
          <w:szCs w:val="32"/>
        </w:rPr>
        <w:t>的</w:t>
      </w:r>
      <w:r>
        <w:rPr>
          <w:rFonts w:ascii="Times New Roman" w:hAnsi="Times New Roman" w:eastAsia="仿宋"/>
          <w:sz w:val="32"/>
          <w:szCs w:val="32"/>
        </w:rPr>
        <w:t>强制性条文</w:t>
      </w:r>
      <w:r>
        <w:rPr>
          <w:rFonts w:hint="eastAsia" w:ascii="Times New Roman" w:hAnsi="Times New Roman" w:eastAsia="仿宋"/>
          <w:sz w:val="32"/>
          <w:szCs w:val="32"/>
        </w:rPr>
        <w:t>同时废止。现行工程建设地方标准中的强制性条文应及时修订，且不得低于强制性工程建设规范的规定。</w:t>
      </w:r>
      <w:r>
        <w:rPr>
          <w:rFonts w:ascii="Times New Roman" w:hAnsi="Times New Roman" w:eastAsia="仿宋"/>
          <w:sz w:val="32"/>
          <w:szCs w:val="32"/>
        </w:rPr>
        <w:t>现行工程建设</w:t>
      </w:r>
      <w:r>
        <w:rPr>
          <w:rFonts w:hint="eastAsia" w:ascii="Times New Roman" w:hAnsi="Times New Roman" w:eastAsia="仿宋"/>
          <w:sz w:val="32"/>
          <w:szCs w:val="32"/>
        </w:rPr>
        <w:t>标准（包括强制性标准和</w:t>
      </w:r>
      <w:r>
        <w:rPr>
          <w:rFonts w:ascii="Times New Roman" w:hAnsi="Times New Roman" w:eastAsia="仿宋"/>
          <w:sz w:val="32"/>
          <w:szCs w:val="32"/>
        </w:rPr>
        <w:t>推荐性标准）中</w:t>
      </w:r>
      <w:r>
        <w:rPr>
          <w:rFonts w:hint="eastAsia" w:ascii="Times New Roman" w:hAnsi="Times New Roman" w:eastAsia="仿宋"/>
          <w:sz w:val="32"/>
          <w:szCs w:val="32"/>
        </w:rPr>
        <w:t>有关规定</w:t>
      </w:r>
      <w:r>
        <w:rPr>
          <w:rFonts w:ascii="Times New Roman" w:hAnsi="Times New Roman" w:eastAsia="仿宋"/>
          <w:sz w:val="32"/>
          <w:szCs w:val="32"/>
        </w:rPr>
        <w:t>与强制性工程建设规范的规定不一致</w:t>
      </w:r>
      <w:r>
        <w:rPr>
          <w:rFonts w:hint="eastAsia" w:ascii="Times New Roman" w:hAnsi="Times New Roman" w:eastAsia="仿宋"/>
          <w:sz w:val="32"/>
          <w:szCs w:val="32"/>
        </w:rPr>
        <w:t>的</w:t>
      </w:r>
      <w:r>
        <w:rPr>
          <w:rFonts w:ascii="Times New Roman" w:hAnsi="Times New Roman" w:eastAsia="仿宋"/>
          <w:sz w:val="32"/>
          <w:szCs w:val="32"/>
        </w:rPr>
        <w:t>，以强制性工程建设规范的规定为准。</w:t>
      </w:r>
    </w:p>
    <w:sdt>
      <w:sdtPr>
        <w:rPr>
          <w:rFonts w:asciiTheme="minorHAnsi" w:hAnsiTheme="minorHAnsi" w:eastAsiaTheme="minorEastAsia" w:cstheme="minorBidi"/>
          <w:color w:val="auto"/>
          <w:kern w:val="2"/>
          <w:sz w:val="21"/>
          <w:szCs w:val="22"/>
          <w:lang w:val="zh-CN"/>
        </w:rPr>
        <w:id w:val="-585147926"/>
        <w:docPartObj>
          <w:docPartGallery w:val="Table of Contents"/>
          <w:docPartUnique/>
        </w:docPartObj>
      </w:sdtPr>
      <w:sdtEndPr>
        <w:rPr>
          <w:rFonts w:asciiTheme="minorHAnsi" w:hAnsiTheme="minorHAnsi" w:eastAsiaTheme="minorEastAsia" w:cstheme="minorBidi"/>
          <w:b/>
          <w:bCs/>
          <w:color w:val="auto"/>
          <w:kern w:val="2"/>
          <w:sz w:val="20"/>
          <w:szCs w:val="20"/>
          <w:lang w:val="zh-CN"/>
        </w:rPr>
      </w:sdtEndPr>
      <w:sdtContent>
        <w:p>
          <w:pPr>
            <w:pStyle w:val="52"/>
            <w:spacing w:before="156" w:after="156"/>
            <w:rPr>
              <w:rFonts w:asciiTheme="minorHAnsi" w:hAnsiTheme="minorHAnsi" w:eastAsiaTheme="minorEastAsia" w:cstheme="minorBidi"/>
              <w:color w:val="auto"/>
              <w:kern w:val="2"/>
              <w:sz w:val="21"/>
              <w:szCs w:val="22"/>
              <w:lang w:val="zh-CN"/>
            </w:rPr>
          </w:pPr>
          <w:r>
            <w:rPr>
              <w:rFonts w:asciiTheme="minorHAnsi" w:hAnsiTheme="minorHAnsi" w:eastAsiaTheme="minorEastAsia" w:cstheme="minorBidi"/>
              <w:color w:val="auto"/>
              <w:kern w:val="2"/>
              <w:sz w:val="21"/>
              <w:szCs w:val="22"/>
              <w:lang w:val="zh-CN"/>
            </w:rPr>
            <w:br w:type="page"/>
          </w:r>
        </w:p>
        <w:p>
          <w:pPr>
            <w:pStyle w:val="52"/>
            <w:spacing w:before="156" w:after="156"/>
            <w:rPr>
              <w:color w:val="auto"/>
            </w:rPr>
          </w:pPr>
          <w:r>
            <w:rPr>
              <w:color w:val="auto"/>
              <w:lang w:val="zh-CN"/>
            </w:rPr>
            <w:t>目录</w:t>
          </w:r>
        </w:p>
        <w:p>
          <w:pPr>
            <w:pStyle w:val="21"/>
            <w:tabs>
              <w:tab w:val="left" w:pos="1050"/>
              <w:tab w:val="right" w:leader="dot" w:pos="8296"/>
            </w:tabs>
            <w:rPr>
              <w:rFonts w:asciiTheme="minorHAnsi" w:hAnsiTheme="minorHAnsi"/>
              <w:b w:val="0"/>
              <w:bCs w:val="0"/>
              <w:caps w:val="0"/>
              <w:sz w:val="21"/>
              <w:szCs w:val="22"/>
            </w:rPr>
          </w:pPr>
          <w:r>
            <w:fldChar w:fldCharType="begin"/>
          </w:r>
          <w:r>
            <w:instrText xml:space="preserve"> TOC \o "1-2" \h \z \u </w:instrText>
          </w:r>
          <w:r>
            <w:fldChar w:fldCharType="separate"/>
          </w:r>
          <w:r>
            <w:fldChar w:fldCharType="begin"/>
          </w:r>
          <w:r>
            <w:instrText xml:space="preserve"> HYPERLINK \l "_Toc147758582" </w:instrText>
          </w:r>
          <w:r>
            <w:fldChar w:fldCharType="separate"/>
          </w:r>
          <w:r>
            <w:rPr>
              <w:rStyle w:val="36"/>
              <w:rFonts w:ascii="宋体" w:hAnsi="宋体" w:eastAsia="宋体"/>
              <w:color w:val="auto"/>
            </w:rPr>
            <w:t>第1章</w:t>
          </w:r>
          <w:r>
            <w:rPr>
              <w:rFonts w:asciiTheme="minorHAnsi" w:hAnsiTheme="minorHAnsi"/>
              <w:b w:val="0"/>
              <w:bCs w:val="0"/>
              <w:caps w:val="0"/>
              <w:sz w:val="21"/>
              <w:szCs w:val="22"/>
            </w:rPr>
            <w:tab/>
          </w:r>
          <w:r>
            <w:rPr>
              <w:rStyle w:val="36"/>
              <w:rFonts w:ascii="宋体" w:hAnsi="宋体" w:eastAsia="宋体"/>
              <w:color w:val="auto"/>
            </w:rPr>
            <w:t>总则</w:t>
          </w:r>
          <w:r>
            <w:tab/>
          </w:r>
          <w:r>
            <w:fldChar w:fldCharType="begin"/>
          </w:r>
          <w:r>
            <w:instrText xml:space="preserve"> PAGEREF _Toc147758582 \h </w:instrText>
          </w:r>
          <w:r>
            <w:fldChar w:fldCharType="separate"/>
          </w:r>
          <w:r>
            <w:t>1</w:t>
          </w:r>
          <w:r>
            <w:fldChar w:fldCharType="end"/>
          </w:r>
          <w:r>
            <w:fldChar w:fldCharType="end"/>
          </w:r>
        </w:p>
        <w:p>
          <w:pPr>
            <w:pStyle w:val="21"/>
            <w:tabs>
              <w:tab w:val="left" w:pos="1050"/>
              <w:tab w:val="right" w:leader="dot" w:pos="8296"/>
            </w:tabs>
            <w:rPr>
              <w:rFonts w:asciiTheme="minorHAnsi" w:hAnsiTheme="minorHAnsi"/>
              <w:b w:val="0"/>
              <w:bCs w:val="0"/>
              <w:caps w:val="0"/>
              <w:sz w:val="21"/>
              <w:szCs w:val="22"/>
            </w:rPr>
          </w:pPr>
          <w:r>
            <w:fldChar w:fldCharType="begin"/>
          </w:r>
          <w:r>
            <w:instrText xml:space="preserve"> HYPERLINK \l "_Toc147758583" </w:instrText>
          </w:r>
          <w:r>
            <w:fldChar w:fldCharType="separate"/>
          </w:r>
          <w:r>
            <w:rPr>
              <w:rStyle w:val="36"/>
              <w:rFonts w:ascii="宋体" w:hAnsi="宋体" w:eastAsia="宋体"/>
              <w:color w:val="auto"/>
            </w:rPr>
            <w:t>第2章</w:t>
          </w:r>
          <w:r>
            <w:rPr>
              <w:rFonts w:asciiTheme="minorHAnsi" w:hAnsiTheme="minorHAnsi"/>
              <w:b w:val="0"/>
              <w:bCs w:val="0"/>
              <w:caps w:val="0"/>
              <w:sz w:val="21"/>
              <w:szCs w:val="22"/>
            </w:rPr>
            <w:tab/>
          </w:r>
          <w:r>
            <w:rPr>
              <w:rStyle w:val="36"/>
              <w:rFonts w:ascii="宋体" w:hAnsi="宋体" w:eastAsia="宋体"/>
              <w:color w:val="auto"/>
            </w:rPr>
            <w:t>基本规定</w:t>
          </w:r>
          <w:r>
            <w:tab/>
          </w:r>
          <w:r>
            <w:fldChar w:fldCharType="begin"/>
          </w:r>
          <w:r>
            <w:instrText xml:space="preserve"> PAGEREF _Toc147758583 \h </w:instrText>
          </w:r>
          <w:r>
            <w:fldChar w:fldCharType="separate"/>
          </w:r>
          <w:r>
            <w:t>2</w:t>
          </w:r>
          <w:r>
            <w:fldChar w:fldCharType="end"/>
          </w:r>
          <w:r>
            <w:fldChar w:fldCharType="end"/>
          </w:r>
        </w:p>
        <w:p>
          <w:pPr>
            <w:pStyle w:val="21"/>
            <w:tabs>
              <w:tab w:val="left" w:pos="1050"/>
              <w:tab w:val="right" w:leader="dot" w:pos="8296"/>
            </w:tabs>
            <w:rPr>
              <w:rFonts w:asciiTheme="minorHAnsi" w:hAnsiTheme="minorHAnsi"/>
              <w:b w:val="0"/>
              <w:bCs w:val="0"/>
              <w:caps w:val="0"/>
              <w:sz w:val="21"/>
              <w:szCs w:val="22"/>
            </w:rPr>
          </w:pPr>
          <w:r>
            <w:fldChar w:fldCharType="begin"/>
          </w:r>
          <w:r>
            <w:instrText xml:space="preserve"> HYPERLINK \l "_Toc147758584" </w:instrText>
          </w:r>
          <w:r>
            <w:fldChar w:fldCharType="separate"/>
          </w:r>
          <w:r>
            <w:rPr>
              <w:rStyle w:val="36"/>
              <w:rFonts w:ascii="宋体" w:hAnsi="宋体" w:eastAsia="宋体"/>
              <w:color w:val="auto"/>
            </w:rPr>
            <w:t>第3章</w:t>
          </w:r>
          <w:r>
            <w:rPr>
              <w:rFonts w:asciiTheme="minorHAnsi" w:hAnsiTheme="minorHAnsi"/>
              <w:b w:val="0"/>
              <w:bCs w:val="0"/>
              <w:caps w:val="0"/>
              <w:sz w:val="21"/>
              <w:szCs w:val="22"/>
            </w:rPr>
            <w:tab/>
          </w:r>
          <w:r>
            <w:rPr>
              <w:rStyle w:val="36"/>
              <w:rFonts w:ascii="宋体" w:hAnsi="宋体" w:eastAsia="宋体"/>
              <w:color w:val="auto"/>
            </w:rPr>
            <w:t>设计</w:t>
          </w:r>
          <w:r>
            <w:tab/>
          </w:r>
          <w:r>
            <w:fldChar w:fldCharType="begin"/>
          </w:r>
          <w:r>
            <w:instrText xml:space="preserve"> PAGEREF _Toc147758584 \h </w:instrText>
          </w:r>
          <w:r>
            <w:fldChar w:fldCharType="separate"/>
          </w:r>
          <w:r>
            <w:t>3</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"_Toc147758585" </w:instrText>
          </w:r>
          <w:r>
            <w:fldChar w:fldCharType="separate"/>
          </w:r>
          <w:r>
            <w:rPr>
              <w:rStyle w:val="36"/>
              <w:rFonts w:ascii="Times New Roman" w:hAnsi="Times New Roman"/>
              <w:color w:val="auto"/>
            </w:rPr>
            <w:t>3.1</w:t>
          </w:r>
          <w:r>
            <w:rPr>
              <w:rFonts w:cstheme="minorBidi"/>
              <w:b w:val="0"/>
              <w:bCs w:val="0"/>
              <w:sz w:val="21"/>
              <w:szCs w:val="22"/>
            </w:rPr>
            <w:tab/>
          </w:r>
          <w:r>
            <w:rPr>
              <w:rStyle w:val="36"/>
              <w:rFonts w:asciiTheme="minorEastAsia" w:hAnsiTheme="minorEastAsia"/>
              <w:color w:val="auto"/>
            </w:rPr>
            <w:t>一般规定</w:t>
          </w:r>
          <w:r>
            <w:tab/>
          </w:r>
          <w:r>
            <w:fldChar w:fldCharType="begin"/>
          </w:r>
          <w:r>
            <w:instrText xml:space="preserve"> PAGEREF _Toc147758585 \h </w:instrText>
          </w:r>
          <w:r>
            <w:fldChar w:fldCharType="separate"/>
          </w:r>
          <w:r>
            <w:t>3</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"_Toc147758586" </w:instrText>
          </w:r>
          <w:r>
            <w:fldChar w:fldCharType="separate"/>
          </w:r>
          <w:r>
            <w:rPr>
              <w:rStyle w:val="36"/>
              <w:rFonts w:ascii="Times New Roman" w:hAnsi="Times New Roman"/>
              <w:color w:val="auto"/>
            </w:rPr>
            <w:t>3.2</w:t>
          </w:r>
          <w:r>
            <w:rPr>
              <w:rFonts w:cstheme="minorBidi"/>
              <w:b w:val="0"/>
              <w:bCs w:val="0"/>
              <w:sz w:val="21"/>
              <w:szCs w:val="22"/>
            </w:rPr>
            <w:tab/>
          </w:r>
          <w:r>
            <w:rPr>
              <w:rStyle w:val="36"/>
              <w:rFonts w:asciiTheme="minorEastAsia" w:hAnsiTheme="minorEastAsia"/>
              <w:color w:val="auto"/>
            </w:rPr>
            <w:t>金属管道</w:t>
          </w:r>
          <w:r>
            <w:tab/>
          </w:r>
          <w:r>
            <w:fldChar w:fldCharType="begin"/>
          </w:r>
          <w:r>
            <w:instrText xml:space="preserve"> PAGEREF _Toc147758586 \h </w:instrText>
          </w:r>
          <w:r>
            <w:fldChar w:fldCharType="separate"/>
          </w:r>
          <w:r>
            <w:t>4</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"_Toc147758587" </w:instrText>
          </w:r>
          <w:r>
            <w:fldChar w:fldCharType="separate"/>
          </w:r>
          <w:r>
            <w:rPr>
              <w:rStyle w:val="36"/>
              <w:rFonts w:ascii="Times New Roman" w:hAnsi="Times New Roman"/>
              <w:color w:val="auto"/>
            </w:rPr>
            <w:t>3.3</w:t>
          </w:r>
          <w:r>
            <w:rPr>
              <w:rFonts w:cstheme="minorBidi"/>
              <w:b w:val="0"/>
              <w:bCs w:val="0"/>
              <w:sz w:val="21"/>
              <w:szCs w:val="22"/>
            </w:rPr>
            <w:tab/>
          </w:r>
          <w:r>
            <w:rPr>
              <w:rStyle w:val="36"/>
              <w:rFonts w:asciiTheme="minorEastAsia" w:hAnsiTheme="minorEastAsia"/>
              <w:color w:val="auto"/>
            </w:rPr>
            <w:t>非金属管道</w:t>
          </w:r>
          <w:r>
            <w:tab/>
          </w:r>
          <w:r>
            <w:fldChar w:fldCharType="begin"/>
          </w:r>
          <w:r>
            <w:instrText xml:space="preserve"> PAGEREF _Toc147758587 \h </w:instrText>
          </w:r>
          <w:r>
            <w:fldChar w:fldCharType="separate"/>
          </w:r>
          <w:r>
            <w:t>8</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"_Toc147758588" </w:instrText>
          </w:r>
          <w:r>
            <w:fldChar w:fldCharType="separate"/>
          </w:r>
          <w:r>
            <w:rPr>
              <w:rStyle w:val="36"/>
              <w:rFonts w:ascii="Times New Roman" w:hAnsi="Times New Roman"/>
              <w:color w:val="auto"/>
            </w:rPr>
            <w:t>3.4</w:t>
          </w:r>
          <w:r>
            <w:rPr>
              <w:rFonts w:cstheme="minorBidi"/>
              <w:b w:val="0"/>
              <w:bCs w:val="0"/>
              <w:sz w:val="21"/>
              <w:szCs w:val="22"/>
            </w:rPr>
            <w:tab/>
          </w:r>
          <w:r>
            <w:rPr>
              <w:rStyle w:val="36"/>
              <w:rFonts w:asciiTheme="minorEastAsia" w:hAnsiTheme="minorEastAsia"/>
              <w:color w:val="auto"/>
            </w:rPr>
            <w:t>设备和管道内防腐</w:t>
          </w:r>
          <w:r>
            <w:tab/>
          </w:r>
          <w:r>
            <w:fldChar w:fldCharType="begin"/>
          </w:r>
          <w:r>
            <w:instrText xml:space="preserve"> PAGEREF _Toc147758588 \h </w:instrText>
          </w:r>
          <w:r>
            <w:fldChar w:fldCharType="separate"/>
          </w:r>
          <w:r>
            <w:t>9</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"_Toc147758589" </w:instrText>
          </w:r>
          <w:r>
            <w:fldChar w:fldCharType="separate"/>
          </w:r>
          <w:r>
            <w:rPr>
              <w:rStyle w:val="36"/>
              <w:rFonts w:ascii="Times New Roman" w:hAnsi="Times New Roman"/>
              <w:color w:val="auto"/>
            </w:rPr>
            <w:t>3.5</w:t>
          </w:r>
          <w:r>
            <w:rPr>
              <w:rFonts w:cstheme="minorBidi"/>
              <w:b w:val="0"/>
              <w:bCs w:val="0"/>
              <w:sz w:val="21"/>
              <w:szCs w:val="22"/>
            </w:rPr>
            <w:tab/>
          </w:r>
          <w:r>
            <w:rPr>
              <w:rStyle w:val="36"/>
              <w:rFonts w:asciiTheme="minorEastAsia" w:hAnsiTheme="minorEastAsia"/>
              <w:color w:val="auto"/>
            </w:rPr>
            <w:t>设备和管道外防腐</w:t>
          </w:r>
          <w:r>
            <w:tab/>
          </w:r>
          <w:r>
            <w:fldChar w:fldCharType="begin"/>
          </w:r>
          <w:r>
            <w:instrText xml:space="preserve"> PAGEREF _Toc147758589 \h </w:instrText>
          </w:r>
          <w:r>
            <w:fldChar w:fldCharType="separate"/>
          </w:r>
          <w:r>
            <w:t>10</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"_Toc147758590" </w:instrText>
          </w:r>
          <w:r>
            <w:fldChar w:fldCharType="separate"/>
          </w:r>
          <w:r>
            <w:rPr>
              <w:rStyle w:val="36"/>
              <w:rFonts w:ascii="Times New Roman" w:hAnsi="Times New Roman"/>
              <w:color w:val="auto"/>
            </w:rPr>
            <w:t>3.6</w:t>
          </w:r>
          <w:r>
            <w:rPr>
              <w:rFonts w:cstheme="minorBidi"/>
              <w:b w:val="0"/>
              <w:bCs w:val="0"/>
              <w:sz w:val="21"/>
              <w:szCs w:val="22"/>
            </w:rPr>
            <w:tab/>
          </w:r>
          <w:r>
            <w:rPr>
              <w:rStyle w:val="36"/>
              <w:rFonts w:asciiTheme="minorEastAsia" w:hAnsiTheme="minorEastAsia"/>
              <w:color w:val="auto"/>
            </w:rPr>
            <w:t>设备和管道绝热</w:t>
          </w:r>
          <w:r>
            <w:tab/>
          </w:r>
          <w:r>
            <w:fldChar w:fldCharType="begin"/>
          </w:r>
          <w:r>
            <w:instrText xml:space="preserve"> PAGEREF _Toc147758590 \h </w:instrText>
          </w:r>
          <w:r>
            <w:fldChar w:fldCharType="separate"/>
          </w:r>
          <w:r>
            <w:t>11</w:t>
          </w:r>
          <w:r>
            <w:fldChar w:fldCharType="end"/>
          </w:r>
          <w:r>
            <w:fldChar w:fldCharType="end"/>
          </w:r>
        </w:p>
        <w:p>
          <w:pPr>
            <w:pStyle w:val="21"/>
            <w:tabs>
              <w:tab w:val="left" w:pos="1050"/>
              <w:tab w:val="right" w:leader="dot" w:pos="8296"/>
            </w:tabs>
            <w:rPr>
              <w:rFonts w:asciiTheme="minorHAnsi" w:hAnsiTheme="minorHAnsi"/>
              <w:b w:val="0"/>
              <w:bCs w:val="0"/>
              <w:caps w:val="0"/>
              <w:sz w:val="21"/>
              <w:szCs w:val="22"/>
            </w:rPr>
          </w:pPr>
          <w:r>
            <w:fldChar w:fldCharType="begin"/>
          </w:r>
          <w:r>
            <w:instrText xml:space="preserve"> HYPERLINK \l "_Toc147758591" </w:instrText>
          </w:r>
          <w:r>
            <w:fldChar w:fldCharType="separate"/>
          </w:r>
          <w:r>
            <w:rPr>
              <w:rStyle w:val="36"/>
              <w:rFonts w:ascii="宋体" w:hAnsi="宋体" w:eastAsia="宋体"/>
              <w:color w:val="auto"/>
            </w:rPr>
            <w:t>第4章</w:t>
          </w:r>
          <w:r>
            <w:rPr>
              <w:rFonts w:asciiTheme="minorHAnsi" w:hAnsiTheme="minorHAnsi"/>
              <w:b w:val="0"/>
              <w:bCs w:val="0"/>
              <w:caps w:val="0"/>
              <w:sz w:val="21"/>
              <w:szCs w:val="22"/>
            </w:rPr>
            <w:tab/>
          </w:r>
          <w:r>
            <w:rPr>
              <w:rStyle w:val="36"/>
              <w:rFonts w:ascii="宋体" w:hAnsi="宋体" w:eastAsia="宋体"/>
              <w:color w:val="auto"/>
            </w:rPr>
            <w:t>施工</w:t>
          </w:r>
          <w:r>
            <w:tab/>
          </w:r>
          <w:r>
            <w:fldChar w:fldCharType="begin"/>
          </w:r>
          <w:r>
            <w:instrText xml:space="preserve"> PAGEREF _Toc147758591 \h </w:instrText>
          </w:r>
          <w:r>
            <w:fldChar w:fldCharType="separate"/>
          </w:r>
          <w:r>
            <w:t>14</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"_Toc147758592" </w:instrText>
          </w:r>
          <w:r>
            <w:fldChar w:fldCharType="separate"/>
          </w:r>
          <w:r>
            <w:rPr>
              <w:rStyle w:val="36"/>
              <w:rFonts w:ascii="Times New Roman" w:hAnsi="Times New Roman"/>
              <w:color w:val="auto"/>
            </w:rPr>
            <w:t>4.1</w:t>
          </w:r>
          <w:r>
            <w:rPr>
              <w:rFonts w:cstheme="minorBidi"/>
              <w:b w:val="0"/>
              <w:bCs w:val="0"/>
              <w:sz w:val="21"/>
              <w:szCs w:val="22"/>
            </w:rPr>
            <w:tab/>
          </w:r>
          <w:r>
            <w:rPr>
              <w:rStyle w:val="36"/>
              <w:rFonts w:asciiTheme="minorEastAsia" w:hAnsiTheme="minorEastAsia"/>
              <w:color w:val="auto"/>
            </w:rPr>
            <w:t>一般规定</w:t>
          </w:r>
          <w:r>
            <w:tab/>
          </w:r>
          <w:r>
            <w:fldChar w:fldCharType="begin"/>
          </w:r>
          <w:r>
            <w:instrText xml:space="preserve"> PAGEREF _Toc147758592 \h </w:instrText>
          </w:r>
          <w:r>
            <w:fldChar w:fldCharType="separate"/>
          </w:r>
          <w:r>
            <w:t>14</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"_Toc147758593" </w:instrText>
          </w:r>
          <w:r>
            <w:fldChar w:fldCharType="separate"/>
          </w:r>
          <w:r>
            <w:rPr>
              <w:rStyle w:val="36"/>
              <w:rFonts w:ascii="Times New Roman" w:hAnsi="Times New Roman"/>
              <w:color w:val="auto"/>
            </w:rPr>
            <w:t>4.2</w:t>
          </w:r>
          <w:r>
            <w:rPr>
              <w:rFonts w:cstheme="minorBidi"/>
              <w:b w:val="0"/>
              <w:bCs w:val="0"/>
              <w:sz w:val="21"/>
              <w:szCs w:val="22"/>
            </w:rPr>
            <w:tab/>
          </w:r>
          <w:r>
            <w:rPr>
              <w:rStyle w:val="36"/>
              <w:rFonts w:asciiTheme="minorEastAsia" w:hAnsiTheme="minorEastAsia"/>
              <w:color w:val="auto"/>
            </w:rPr>
            <w:t>现场制作设备</w:t>
          </w:r>
          <w:r>
            <w:tab/>
          </w:r>
          <w:r>
            <w:fldChar w:fldCharType="begin"/>
          </w:r>
          <w:r>
            <w:instrText xml:space="preserve"> PAGEREF _Toc147758593 \h </w:instrText>
          </w:r>
          <w:r>
            <w:fldChar w:fldCharType="separate"/>
          </w:r>
          <w:r>
            <w:t>15</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"_Toc147758594" </w:instrText>
          </w:r>
          <w:r>
            <w:fldChar w:fldCharType="separate"/>
          </w:r>
          <w:r>
            <w:rPr>
              <w:rStyle w:val="36"/>
              <w:rFonts w:ascii="Times New Roman" w:hAnsi="Times New Roman"/>
              <w:color w:val="auto"/>
            </w:rPr>
            <w:t>4.3</w:t>
          </w:r>
          <w:r>
            <w:rPr>
              <w:rFonts w:cstheme="minorBidi"/>
              <w:b w:val="0"/>
              <w:bCs w:val="0"/>
              <w:sz w:val="21"/>
              <w:szCs w:val="22"/>
            </w:rPr>
            <w:tab/>
          </w:r>
          <w:r>
            <w:rPr>
              <w:rStyle w:val="36"/>
              <w:rFonts w:asciiTheme="minorEastAsia" w:hAnsiTheme="minorEastAsia"/>
              <w:color w:val="auto"/>
            </w:rPr>
            <w:t>设备安装</w:t>
          </w:r>
          <w:r>
            <w:tab/>
          </w:r>
          <w:r>
            <w:fldChar w:fldCharType="begin"/>
          </w:r>
          <w:r>
            <w:instrText xml:space="preserve"> PAGEREF _Toc147758594 \h </w:instrText>
          </w:r>
          <w:r>
            <w:fldChar w:fldCharType="separate"/>
          </w:r>
          <w:r>
            <w:t>18</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"_Toc147758595" </w:instrText>
          </w:r>
          <w:r>
            <w:fldChar w:fldCharType="separate"/>
          </w:r>
          <w:r>
            <w:rPr>
              <w:rStyle w:val="36"/>
              <w:rFonts w:ascii="Times New Roman" w:hAnsi="Times New Roman"/>
              <w:color w:val="auto"/>
            </w:rPr>
            <w:t>4.4</w:t>
          </w:r>
          <w:r>
            <w:rPr>
              <w:rFonts w:cstheme="minorBidi"/>
              <w:b w:val="0"/>
              <w:bCs w:val="0"/>
              <w:sz w:val="21"/>
              <w:szCs w:val="22"/>
            </w:rPr>
            <w:tab/>
          </w:r>
          <w:r>
            <w:rPr>
              <w:rStyle w:val="36"/>
              <w:rFonts w:asciiTheme="minorEastAsia" w:hAnsiTheme="minorEastAsia"/>
              <w:color w:val="auto"/>
            </w:rPr>
            <w:t>管道安装</w:t>
          </w:r>
          <w:r>
            <w:tab/>
          </w:r>
          <w:r>
            <w:fldChar w:fldCharType="begin"/>
          </w:r>
          <w:r>
            <w:instrText xml:space="preserve"> PAGEREF _Toc147758595 \h </w:instrText>
          </w:r>
          <w:r>
            <w:fldChar w:fldCharType="separate"/>
          </w:r>
          <w:r>
            <w:t>19</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"_Toc147758596" </w:instrText>
          </w:r>
          <w:r>
            <w:fldChar w:fldCharType="separate"/>
          </w:r>
          <w:r>
            <w:rPr>
              <w:rStyle w:val="36"/>
              <w:rFonts w:ascii="Times New Roman" w:hAnsi="Times New Roman"/>
              <w:color w:val="auto"/>
            </w:rPr>
            <w:t>4.5</w:t>
          </w:r>
          <w:r>
            <w:rPr>
              <w:rFonts w:cstheme="minorBidi"/>
              <w:b w:val="0"/>
              <w:bCs w:val="0"/>
              <w:sz w:val="21"/>
              <w:szCs w:val="22"/>
            </w:rPr>
            <w:tab/>
          </w:r>
          <w:r>
            <w:rPr>
              <w:rStyle w:val="36"/>
              <w:rFonts w:asciiTheme="minorEastAsia" w:hAnsiTheme="minorEastAsia"/>
              <w:color w:val="auto"/>
            </w:rPr>
            <w:t>防腐蚀施工</w:t>
          </w:r>
          <w:r>
            <w:tab/>
          </w:r>
          <w:r>
            <w:fldChar w:fldCharType="begin"/>
          </w:r>
          <w:r>
            <w:instrText xml:space="preserve"> PAGEREF _Toc147758596 \h </w:instrText>
          </w:r>
          <w:r>
            <w:fldChar w:fldCharType="separate"/>
          </w:r>
          <w:r>
            <w:t>23</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"_Toc147758597" </w:instrText>
          </w:r>
          <w:r>
            <w:fldChar w:fldCharType="separate"/>
          </w:r>
          <w:r>
            <w:rPr>
              <w:rStyle w:val="36"/>
              <w:rFonts w:ascii="Times New Roman" w:hAnsi="Times New Roman"/>
              <w:color w:val="auto"/>
            </w:rPr>
            <w:t>4.6</w:t>
          </w:r>
          <w:r>
            <w:rPr>
              <w:rFonts w:cstheme="minorBidi"/>
              <w:b w:val="0"/>
              <w:bCs w:val="0"/>
              <w:sz w:val="21"/>
              <w:szCs w:val="22"/>
            </w:rPr>
            <w:tab/>
          </w:r>
          <w:r>
            <w:rPr>
              <w:rStyle w:val="36"/>
              <w:rFonts w:asciiTheme="minorEastAsia" w:hAnsiTheme="minorEastAsia"/>
              <w:color w:val="auto"/>
            </w:rPr>
            <w:t>绝热施工</w:t>
          </w:r>
          <w:r>
            <w:tab/>
          </w:r>
          <w:r>
            <w:fldChar w:fldCharType="begin"/>
          </w:r>
          <w:r>
            <w:instrText xml:space="preserve"> PAGEREF _Toc147758597 \h </w:instrText>
          </w:r>
          <w:r>
            <w:fldChar w:fldCharType="separate"/>
          </w:r>
          <w:r>
            <w:t>23</w:t>
          </w:r>
          <w:r>
            <w:fldChar w:fldCharType="end"/>
          </w:r>
          <w:r>
            <w:fldChar w:fldCharType="end"/>
          </w:r>
        </w:p>
        <w:p>
          <w:pPr>
            <w:pStyle w:val="21"/>
            <w:tabs>
              <w:tab w:val="left" w:pos="1050"/>
              <w:tab w:val="right" w:leader="dot" w:pos="8296"/>
            </w:tabs>
            <w:rPr>
              <w:rFonts w:asciiTheme="minorHAnsi" w:hAnsiTheme="minorHAnsi"/>
              <w:b w:val="0"/>
              <w:bCs w:val="0"/>
              <w:caps w:val="0"/>
              <w:sz w:val="21"/>
              <w:szCs w:val="22"/>
            </w:rPr>
          </w:pPr>
          <w:r>
            <w:fldChar w:fldCharType="begin"/>
          </w:r>
          <w:r>
            <w:instrText xml:space="preserve"> HYPERLINK \l "_Toc147758598" </w:instrText>
          </w:r>
          <w:r>
            <w:fldChar w:fldCharType="separate"/>
          </w:r>
          <w:r>
            <w:rPr>
              <w:rStyle w:val="36"/>
              <w:rFonts w:ascii="宋体" w:hAnsi="宋体" w:eastAsia="宋体"/>
              <w:color w:val="auto"/>
            </w:rPr>
            <w:t>第5章</w:t>
          </w:r>
          <w:r>
            <w:rPr>
              <w:rFonts w:asciiTheme="minorHAnsi" w:hAnsiTheme="minorHAnsi"/>
              <w:b w:val="0"/>
              <w:bCs w:val="0"/>
              <w:caps w:val="0"/>
              <w:sz w:val="21"/>
              <w:szCs w:val="22"/>
            </w:rPr>
            <w:tab/>
          </w:r>
          <w:r>
            <w:rPr>
              <w:rStyle w:val="36"/>
              <w:rFonts w:ascii="宋体" w:hAnsi="宋体" w:eastAsia="宋体"/>
              <w:color w:val="auto"/>
            </w:rPr>
            <w:t>检验与验收</w:t>
          </w:r>
          <w:r>
            <w:tab/>
          </w:r>
          <w:r>
            <w:fldChar w:fldCharType="begin"/>
          </w:r>
          <w:r>
            <w:instrText xml:space="preserve"> PAGEREF _Toc147758598 \h </w:instrText>
          </w:r>
          <w:r>
            <w:fldChar w:fldCharType="separate"/>
          </w:r>
          <w:r>
            <w:t>26</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"_Toc147758599" </w:instrText>
          </w:r>
          <w:r>
            <w:fldChar w:fldCharType="separate"/>
          </w:r>
          <w:r>
            <w:rPr>
              <w:rStyle w:val="36"/>
              <w:rFonts w:ascii="Times New Roman" w:hAnsi="Times New Roman"/>
              <w:color w:val="auto"/>
            </w:rPr>
            <w:t>5.1</w:t>
          </w:r>
          <w:r>
            <w:rPr>
              <w:rFonts w:cstheme="minorBidi"/>
              <w:b w:val="0"/>
              <w:bCs w:val="0"/>
              <w:sz w:val="21"/>
              <w:szCs w:val="22"/>
            </w:rPr>
            <w:tab/>
          </w:r>
          <w:r>
            <w:rPr>
              <w:rStyle w:val="36"/>
              <w:rFonts w:asciiTheme="minorEastAsia" w:hAnsiTheme="minorEastAsia"/>
              <w:color w:val="auto"/>
            </w:rPr>
            <w:t>一般规定</w:t>
          </w:r>
          <w:r>
            <w:tab/>
          </w:r>
          <w:r>
            <w:fldChar w:fldCharType="begin"/>
          </w:r>
          <w:r>
            <w:instrText xml:space="preserve"> PAGEREF _Toc147758599 \h </w:instrText>
          </w:r>
          <w:r>
            <w:fldChar w:fldCharType="separate"/>
          </w:r>
          <w:r>
            <w:t>26</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"_Toc147758600" </w:instrText>
          </w:r>
          <w:r>
            <w:fldChar w:fldCharType="separate"/>
          </w:r>
          <w:r>
            <w:rPr>
              <w:rStyle w:val="36"/>
              <w:rFonts w:ascii="Times New Roman" w:hAnsi="Times New Roman"/>
              <w:color w:val="auto"/>
            </w:rPr>
            <w:t>5.2</w:t>
          </w:r>
          <w:r>
            <w:rPr>
              <w:rFonts w:cstheme="minorBidi"/>
              <w:b w:val="0"/>
              <w:bCs w:val="0"/>
              <w:sz w:val="21"/>
              <w:szCs w:val="22"/>
            </w:rPr>
            <w:tab/>
          </w:r>
          <w:r>
            <w:rPr>
              <w:rStyle w:val="36"/>
              <w:rFonts w:asciiTheme="minorEastAsia" w:hAnsiTheme="minorEastAsia"/>
              <w:color w:val="auto"/>
            </w:rPr>
            <w:t>设备验收</w:t>
          </w:r>
          <w:r>
            <w:tab/>
          </w:r>
          <w:r>
            <w:fldChar w:fldCharType="begin"/>
          </w:r>
          <w:r>
            <w:instrText xml:space="preserve"> PAGEREF _Toc147758600 \h </w:instrText>
          </w:r>
          <w:r>
            <w:fldChar w:fldCharType="separate"/>
          </w:r>
          <w:r>
            <w:t>26</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"_Toc147758601" </w:instrText>
          </w:r>
          <w:r>
            <w:fldChar w:fldCharType="separate"/>
          </w:r>
          <w:r>
            <w:rPr>
              <w:rStyle w:val="36"/>
              <w:rFonts w:ascii="Times New Roman" w:hAnsi="Times New Roman"/>
              <w:color w:val="auto"/>
            </w:rPr>
            <w:t>5.3</w:t>
          </w:r>
          <w:r>
            <w:rPr>
              <w:rFonts w:cstheme="minorBidi"/>
              <w:b w:val="0"/>
              <w:bCs w:val="0"/>
              <w:sz w:val="21"/>
              <w:szCs w:val="22"/>
            </w:rPr>
            <w:tab/>
          </w:r>
          <w:r>
            <w:rPr>
              <w:rStyle w:val="36"/>
              <w:rFonts w:asciiTheme="minorEastAsia" w:hAnsiTheme="minorEastAsia"/>
              <w:color w:val="auto"/>
            </w:rPr>
            <w:t>管道验收</w:t>
          </w:r>
          <w:r>
            <w:tab/>
          </w:r>
          <w:r>
            <w:fldChar w:fldCharType="begin"/>
          </w:r>
          <w:r>
            <w:instrText xml:space="preserve"> PAGEREF _Toc147758601 \h </w:instrText>
          </w:r>
          <w:r>
            <w:fldChar w:fldCharType="separate"/>
          </w:r>
          <w:r>
            <w:t>27</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"_Toc147758602" </w:instrText>
          </w:r>
          <w:r>
            <w:fldChar w:fldCharType="separate"/>
          </w:r>
          <w:r>
            <w:rPr>
              <w:rStyle w:val="36"/>
              <w:rFonts w:ascii="Times New Roman" w:hAnsi="Times New Roman"/>
              <w:color w:val="auto"/>
            </w:rPr>
            <w:t>5.4</w:t>
          </w:r>
          <w:r>
            <w:rPr>
              <w:rFonts w:cstheme="minorBidi"/>
              <w:b w:val="0"/>
              <w:bCs w:val="0"/>
              <w:sz w:val="21"/>
              <w:szCs w:val="22"/>
            </w:rPr>
            <w:tab/>
          </w:r>
          <w:r>
            <w:rPr>
              <w:rStyle w:val="36"/>
              <w:rFonts w:asciiTheme="minorEastAsia" w:hAnsiTheme="minorEastAsia"/>
              <w:color w:val="auto"/>
            </w:rPr>
            <w:t>防腐蚀验收</w:t>
          </w:r>
          <w:r>
            <w:tab/>
          </w:r>
          <w:r>
            <w:fldChar w:fldCharType="begin"/>
          </w:r>
          <w:r>
            <w:instrText xml:space="preserve"> PAGEREF _Toc147758602 \h </w:instrText>
          </w:r>
          <w:r>
            <w:fldChar w:fldCharType="separate"/>
          </w:r>
          <w:r>
            <w:t>28</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"_Toc147758603" </w:instrText>
          </w:r>
          <w:r>
            <w:fldChar w:fldCharType="separate"/>
          </w:r>
          <w:r>
            <w:rPr>
              <w:rStyle w:val="36"/>
              <w:rFonts w:ascii="Times New Roman" w:hAnsi="Times New Roman"/>
              <w:color w:val="auto"/>
            </w:rPr>
            <w:t>5.5</w:t>
          </w:r>
          <w:r>
            <w:rPr>
              <w:rFonts w:cstheme="minorBidi"/>
              <w:b w:val="0"/>
              <w:bCs w:val="0"/>
              <w:sz w:val="21"/>
              <w:szCs w:val="22"/>
            </w:rPr>
            <w:tab/>
          </w:r>
          <w:r>
            <w:rPr>
              <w:rStyle w:val="36"/>
              <w:rFonts w:asciiTheme="minorEastAsia" w:hAnsiTheme="minorEastAsia"/>
              <w:color w:val="auto"/>
            </w:rPr>
            <w:t>绝热验收</w:t>
          </w:r>
          <w:r>
            <w:tab/>
          </w:r>
          <w:r>
            <w:fldChar w:fldCharType="begin"/>
          </w:r>
          <w:r>
            <w:instrText xml:space="preserve"> PAGEREF _Toc147758603 \h </w:instrText>
          </w:r>
          <w:r>
            <w:fldChar w:fldCharType="separate"/>
          </w:r>
          <w:r>
            <w:t>29</w:t>
          </w:r>
          <w:r>
            <w:fldChar w:fldCharType="end"/>
          </w:r>
          <w:r>
            <w:fldChar w:fldCharType="end"/>
          </w:r>
        </w:p>
        <w:p>
          <w:pPr>
            <w:pStyle w:val="21"/>
            <w:tabs>
              <w:tab w:val="left" w:pos="1050"/>
              <w:tab w:val="right" w:leader="dot" w:pos="8296"/>
            </w:tabs>
            <w:rPr>
              <w:rFonts w:asciiTheme="minorHAnsi" w:hAnsiTheme="minorHAnsi"/>
              <w:b w:val="0"/>
              <w:bCs w:val="0"/>
              <w:caps w:val="0"/>
              <w:sz w:val="21"/>
              <w:szCs w:val="22"/>
            </w:rPr>
          </w:pPr>
          <w:r>
            <w:fldChar w:fldCharType="begin"/>
          </w:r>
          <w:r>
            <w:instrText xml:space="preserve"> HYPERLINK \l "_Toc147758604" </w:instrText>
          </w:r>
          <w:r>
            <w:fldChar w:fldCharType="separate"/>
          </w:r>
          <w:r>
            <w:rPr>
              <w:rStyle w:val="36"/>
              <w:rFonts w:ascii="宋体" w:hAnsi="宋体" w:eastAsia="宋体"/>
              <w:color w:val="auto"/>
            </w:rPr>
            <w:t>第6章</w:t>
          </w:r>
          <w:r>
            <w:rPr>
              <w:rFonts w:asciiTheme="minorHAnsi" w:hAnsiTheme="minorHAnsi"/>
              <w:b w:val="0"/>
              <w:bCs w:val="0"/>
              <w:caps w:val="0"/>
              <w:sz w:val="21"/>
              <w:szCs w:val="22"/>
            </w:rPr>
            <w:tab/>
          </w:r>
          <w:r>
            <w:rPr>
              <w:rStyle w:val="36"/>
              <w:rFonts w:ascii="宋体" w:hAnsi="宋体" w:eastAsia="宋体"/>
              <w:color w:val="auto"/>
            </w:rPr>
            <w:t>运行维护</w:t>
          </w:r>
          <w:r>
            <w:tab/>
          </w:r>
          <w:r>
            <w:fldChar w:fldCharType="begin"/>
          </w:r>
          <w:r>
            <w:instrText xml:space="preserve"> PAGEREF _Toc147758604 \h </w:instrText>
          </w:r>
          <w:r>
            <w:fldChar w:fldCharType="separate"/>
          </w:r>
          <w:r>
            <w:t>31</w:t>
          </w:r>
          <w:r>
            <w:fldChar w:fldCharType="end"/>
          </w:r>
          <w:r>
            <w:fldChar w:fldCharType="end"/>
          </w:r>
        </w:p>
        <w:p>
          <w:pPr>
            <w:pStyle w:val="21"/>
            <w:tabs>
              <w:tab w:val="left" w:pos="1050"/>
              <w:tab w:val="right" w:leader="dot" w:pos="8296"/>
            </w:tabs>
            <w:rPr>
              <w:rFonts w:asciiTheme="minorHAnsi" w:hAnsiTheme="minorHAnsi"/>
              <w:b w:val="0"/>
              <w:bCs w:val="0"/>
              <w:caps w:val="0"/>
              <w:sz w:val="21"/>
              <w:szCs w:val="22"/>
            </w:rPr>
          </w:pPr>
          <w:r>
            <w:fldChar w:fldCharType="begin"/>
          </w:r>
          <w:r>
            <w:instrText xml:space="preserve"> HYPERLINK \l "_Toc147758605" </w:instrText>
          </w:r>
          <w:r>
            <w:fldChar w:fldCharType="separate"/>
          </w:r>
          <w:r>
            <w:rPr>
              <w:rStyle w:val="36"/>
              <w:rFonts w:ascii="宋体" w:hAnsi="宋体" w:eastAsia="宋体"/>
              <w:color w:val="auto"/>
            </w:rPr>
            <w:t>第7章</w:t>
          </w:r>
          <w:r>
            <w:rPr>
              <w:rFonts w:asciiTheme="minorHAnsi" w:hAnsiTheme="minorHAnsi"/>
              <w:b w:val="0"/>
              <w:bCs w:val="0"/>
              <w:caps w:val="0"/>
              <w:sz w:val="21"/>
              <w:szCs w:val="22"/>
            </w:rPr>
            <w:tab/>
          </w:r>
          <w:r>
            <w:rPr>
              <w:rStyle w:val="36"/>
              <w:rFonts w:ascii="宋体" w:hAnsi="宋体" w:eastAsia="宋体"/>
              <w:color w:val="auto"/>
            </w:rPr>
            <w:t>拆除</w:t>
          </w:r>
          <w:r>
            <w:tab/>
          </w:r>
          <w:r>
            <w:fldChar w:fldCharType="begin"/>
          </w:r>
          <w:r>
            <w:instrText xml:space="preserve"> PAGEREF _Toc147758605 \h </w:instrText>
          </w:r>
          <w:r>
            <w:fldChar w:fldCharType="separate"/>
          </w:r>
          <w:r>
            <w:t>32</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"_Toc147758606" </w:instrText>
          </w:r>
          <w:r>
            <w:fldChar w:fldCharType="separate"/>
          </w:r>
          <w:r>
            <w:rPr>
              <w:rStyle w:val="36"/>
              <w:rFonts w:ascii="Times New Roman" w:hAnsi="Times New Roman"/>
              <w:color w:val="auto"/>
            </w:rPr>
            <w:t>7.1</w:t>
          </w:r>
          <w:r>
            <w:rPr>
              <w:rFonts w:cstheme="minorBidi"/>
              <w:b w:val="0"/>
              <w:bCs w:val="0"/>
              <w:sz w:val="21"/>
              <w:szCs w:val="22"/>
            </w:rPr>
            <w:tab/>
          </w:r>
          <w:r>
            <w:rPr>
              <w:rStyle w:val="36"/>
              <w:rFonts w:asciiTheme="minorEastAsia" w:hAnsiTheme="minorEastAsia"/>
              <w:color w:val="auto"/>
            </w:rPr>
            <w:t>一般规定</w:t>
          </w:r>
          <w:r>
            <w:tab/>
          </w:r>
          <w:r>
            <w:fldChar w:fldCharType="begin"/>
          </w:r>
          <w:r>
            <w:instrText xml:space="preserve"> PAGEREF _Toc147758606 \h </w:instrText>
          </w:r>
          <w:r>
            <w:fldChar w:fldCharType="separate"/>
          </w:r>
          <w:r>
            <w:t>32</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"_Toc147758607" </w:instrText>
          </w:r>
          <w:r>
            <w:fldChar w:fldCharType="separate"/>
          </w:r>
          <w:r>
            <w:rPr>
              <w:rStyle w:val="36"/>
              <w:rFonts w:ascii="Times New Roman" w:hAnsi="Times New Roman"/>
              <w:color w:val="auto"/>
            </w:rPr>
            <w:t>7.2</w:t>
          </w:r>
          <w:r>
            <w:rPr>
              <w:rFonts w:cstheme="minorBidi"/>
              <w:b w:val="0"/>
              <w:bCs w:val="0"/>
              <w:sz w:val="21"/>
              <w:szCs w:val="22"/>
            </w:rPr>
            <w:tab/>
          </w:r>
          <w:r>
            <w:rPr>
              <w:rStyle w:val="36"/>
              <w:rFonts w:asciiTheme="minorEastAsia" w:hAnsiTheme="minorEastAsia"/>
              <w:color w:val="auto"/>
            </w:rPr>
            <w:t>设备与管道拆除</w:t>
          </w:r>
          <w:r>
            <w:tab/>
          </w:r>
          <w:r>
            <w:fldChar w:fldCharType="begin"/>
          </w:r>
          <w:r>
            <w:instrText xml:space="preserve"> PAGEREF _Toc147758607 \h </w:instrText>
          </w:r>
          <w:r>
            <w:fldChar w:fldCharType="separate"/>
          </w:r>
          <w:r>
            <w:t>32</w:t>
          </w:r>
          <w:r>
            <w:fldChar w:fldCharType="end"/>
          </w:r>
          <w:r>
            <w:fldChar w:fldCharType="end"/>
          </w:r>
        </w:p>
        <w:p>
          <w:pPr>
            <w:pStyle w:val="25"/>
            <w:tabs>
              <w:tab w:val="left" w:pos="630"/>
              <w:tab w:val="right" w:leader="dot" w:pos="8296"/>
            </w:tabs>
            <w:rPr>
              <w:rFonts w:cstheme="minorBidi"/>
              <w:b w:val="0"/>
              <w:bCs w:val="0"/>
              <w:sz w:val="21"/>
              <w:szCs w:val="22"/>
            </w:rPr>
          </w:pPr>
          <w:r>
            <w:fldChar w:fldCharType="begin"/>
          </w:r>
          <w:r>
            <w:instrText xml:space="preserve"> HYPERLINK \l "_Toc147758608" </w:instrText>
          </w:r>
          <w:r>
            <w:fldChar w:fldCharType="separate"/>
          </w:r>
          <w:r>
            <w:rPr>
              <w:rStyle w:val="36"/>
              <w:rFonts w:ascii="Times New Roman" w:hAnsi="Times New Roman"/>
              <w:color w:val="auto"/>
            </w:rPr>
            <w:t>7.3</w:t>
          </w:r>
          <w:r>
            <w:rPr>
              <w:rFonts w:cstheme="minorBidi"/>
              <w:b w:val="0"/>
              <w:bCs w:val="0"/>
              <w:sz w:val="21"/>
              <w:szCs w:val="22"/>
            </w:rPr>
            <w:tab/>
          </w:r>
          <w:r>
            <w:rPr>
              <w:rStyle w:val="36"/>
              <w:rFonts w:asciiTheme="minorEastAsia" w:hAnsiTheme="minorEastAsia"/>
              <w:color w:val="auto"/>
            </w:rPr>
            <w:t>拆除后的设备、管道和场地处理</w:t>
          </w:r>
          <w:r>
            <w:tab/>
          </w:r>
          <w:r>
            <w:fldChar w:fldCharType="begin"/>
          </w:r>
          <w:r>
            <w:instrText xml:space="preserve"> PAGEREF _Toc147758608 \h </w:instrText>
          </w:r>
          <w:r>
            <w:fldChar w:fldCharType="separate"/>
          </w:r>
          <w:r>
            <w:t>33</w:t>
          </w:r>
          <w:r>
            <w:fldChar w:fldCharType="end"/>
          </w:r>
          <w:r>
            <w:fldChar w:fldCharType="end"/>
          </w:r>
        </w:p>
        <w:p>
          <w:pPr>
            <w:rPr>
              <w:b/>
              <w:sz w:val="20"/>
              <w:szCs w:val="20"/>
            </w:rPr>
          </w:pPr>
          <w:r>
            <w:fldChar w:fldCharType="end"/>
          </w:r>
        </w:p>
      </w:sdtContent>
    </w:sdt>
    <w:p>
      <w:pPr>
        <w:widowControl/>
        <w:jc w:val="center"/>
        <w:rPr>
          <w:sz w:val="28"/>
          <w:szCs w:val="28"/>
        </w:rPr>
        <w:sectPr>
          <w:footerReference r:id="rId4" w:type="first"/>
          <w:footerReference r:id="rId3" w:type="default"/>
          <w:pgSz w:w="11906" w:h="16838"/>
          <w:pgMar w:top="1440" w:right="1800" w:bottom="1440" w:left="1800" w:header="851" w:footer="992" w:gutter="0"/>
          <w:pgNumType w:start="1"/>
          <w:cols w:space="425" w:num="1"/>
          <w:titlePg/>
          <w:docGrid w:type="lines" w:linePitch="312" w:charSpace="0"/>
        </w:sectPr>
      </w:pPr>
      <w:bookmarkStart w:id="494" w:name="_GoBack"/>
      <w:bookmarkEnd w:id="494"/>
      <w:r>
        <w:rPr>
          <w:rFonts w:ascii="Times New Roman" w:hAnsi="Times New Roman"/>
          <w:b/>
          <w:bCs/>
          <w:sz w:val="30"/>
          <w:szCs w:val="24"/>
        </w:rPr>
        <w:br w:type="page"/>
      </w:r>
    </w:p>
    <w:p>
      <w:pPr>
        <w:pStyle w:val="2"/>
        <w:keepNext w:val="0"/>
        <w:keepLines w:val="0"/>
        <w:pageBreakBefore/>
        <w:numPr>
          <w:ilvl w:val="0"/>
          <w:numId w:val="3"/>
        </w:numPr>
        <w:adjustRightInd w:val="0"/>
        <w:snapToGrid w:val="0"/>
        <w:spacing w:before="0" w:after="0" w:line="480" w:lineRule="auto"/>
        <w:ind w:left="105" w:leftChars="50" w:right="105" w:rightChars="50"/>
        <w:jc w:val="center"/>
        <w:textAlignment w:val="baseline"/>
        <w:rPr>
          <w:rFonts w:ascii="宋体" w:hAnsi="宋体" w:eastAsia="宋体"/>
          <w:b w:val="0"/>
          <w:sz w:val="28"/>
          <w:szCs w:val="28"/>
        </w:rPr>
      </w:pPr>
      <w:bookmarkStart w:id="0" w:name="_Toc9185379"/>
      <w:bookmarkStart w:id="1" w:name="_Toc48564983"/>
      <w:bookmarkStart w:id="2" w:name="_Toc7097723"/>
      <w:bookmarkStart w:id="3" w:name="_Toc47347134"/>
      <w:bookmarkStart w:id="4" w:name="_Toc147758582"/>
      <w:r>
        <w:rPr>
          <w:rFonts w:hint="eastAsia" w:ascii="宋体" w:hAnsi="宋体" w:eastAsia="宋体"/>
          <w:b w:val="0"/>
          <w:sz w:val="28"/>
          <w:szCs w:val="28"/>
        </w:rPr>
        <w:t>总则</w:t>
      </w:r>
      <w:bookmarkEnd w:id="0"/>
      <w:bookmarkEnd w:id="1"/>
      <w:bookmarkEnd w:id="2"/>
      <w:bookmarkEnd w:id="3"/>
      <w:bookmarkEnd w:id="4"/>
    </w:p>
    <w:p>
      <w:pPr>
        <w:numPr>
          <w:ilvl w:val="2"/>
          <w:numId w:val="4"/>
        </w:numPr>
        <w:adjustRightInd w:val="0"/>
        <w:snapToGrid w:val="0"/>
        <w:spacing w:line="360" w:lineRule="auto"/>
        <w:ind w:left="0" w:firstLine="0"/>
        <w:textAlignment w:val="baseline"/>
        <w:rPr>
          <w:rFonts w:asciiTheme="minorEastAsia" w:hAnsiTheme="minorEastAsia"/>
          <w:sz w:val="28"/>
          <w:szCs w:val="28"/>
        </w:rPr>
      </w:pPr>
      <w:bookmarkStart w:id="5" w:name="_Toc517687745"/>
      <w:r>
        <w:rPr>
          <w:rFonts w:hint="eastAsia" w:asciiTheme="minorEastAsia" w:hAnsiTheme="minorEastAsia"/>
          <w:sz w:val="28"/>
          <w:szCs w:val="28"/>
        </w:rPr>
        <w:t>为在厂区工业设备和管道工程建设中，保障人民生命财产安全、人身健康、工程安全、生态环境安全、公众权益和公众利益，以及促进能源资源节约利用、满足经济社会管理等方面的控制性底线要求，强化政府监管，依据有关法律、法规，制定本规范。</w:t>
      </w:r>
      <w:bookmarkEnd w:id="5"/>
    </w:p>
    <w:p>
      <w:pPr>
        <w:numPr>
          <w:ilvl w:val="2"/>
          <w:numId w:val="4"/>
        </w:numPr>
        <w:adjustRightInd w:val="0"/>
        <w:snapToGrid w:val="0"/>
        <w:spacing w:line="360" w:lineRule="auto"/>
        <w:ind w:left="0" w:firstLine="0"/>
        <w:textAlignment w:val="baseline"/>
        <w:rPr>
          <w:rFonts w:asciiTheme="minorEastAsia" w:hAnsiTheme="minorEastAsia"/>
          <w:sz w:val="28"/>
          <w:szCs w:val="28"/>
        </w:rPr>
      </w:pPr>
      <w:bookmarkStart w:id="6" w:name="_Toc517687746"/>
      <w:r>
        <w:rPr>
          <w:rFonts w:hint="eastAsia" w:asciiTheme="minorEastAsia" w:hAnsiTheme="minorEastAsia"/>
          <w:sz w:val="28"/>
          <w:szCs w:val="28"/>
        </w:rPr>
        <w:t>厂区工业设备和管道的设计、施工、验收、运行维护与拆除必须执行本规范。现场设备的制作应执行本规范的要求。本规范不适用于长输管道、市政燃气管道和市政热力管道等，以及制造厂成套设计的设备或机器所属的管道。</w:t>
      </w:r>
    </w:p>
    <w:p>
      <w:pPr>
        <w:pStyle w:val="42"/>
        <w:numPr>
          <w:ilvl w:val="2"/>
          <w:numId w:val="4"/>
        </w:numPr>
        <w:adjustRightInd w:val="0"/>
        <w:snapToGrid w:val="0"/>
        <w:spacing w:line="360" w:lineRule="auto"/>
        <w:ind w:left="0" w:firstLine="0" w:firstLineChars="0"/>
        <w:textAlignment w:val="baseline"/>
        <w:rPr>
          <w:rFonts w:asciiTheme="minorEastAsia" w:hAnsiTheme="minorEastAsia"/>
          <w:sz w:val="28"/>
          <w:szCs w:val="28"/>
        </w:rPr>
      </w:pPr>
      <w:r>
        <w:rPr>
          <w:rFonts w:hint="eastAsia" w:asciiTheme="minorEastAsia" w:hAnsiTheme="minorEastAsia"/>
          <w:sz w:val="28"/>
          <w:szCs w:val="28"/>
        </w:rPr>
        <w:t>本规范是国家技术法规，是社会经济管理等方面基本的技术底线，是政府治理和依法履职的技术依据，是全社会必须遵守的技术规定。本规范覆盖各类工程项目，覆盖项目的全生命周期，覆盖全社会必须遵守的技术规定。</w:t>
      </w:r>
    </w:p>
    <w:bookmarkEnd w:id="6"/>
    <w:p>
      <w:pPr>
        <w:pStyle w:val="42"/>
        <w:numPr>
          <w:ilvl w:val="2"/>
          <w:numId w:val="4"/>
        </w:numPr>
        <w:adjustRightInd w:val="0"/>
        <w:snapToGrid w:val="0"/>
        <w:spacing w:line="360" w:lineRule="auto"/>
        <w:ind w:left="0" w:firstLine="0" w:firstLineChars="0"/>
        <w:textAlignment w:val="baseline"/>
        <w:rPr>
          <w:rFonts w:asciiTheme="minorEastAsia" w:hAnsiTheme="minorEastAsia"/>
          <w:sz w:val="28"/>
          <w:szCs w:val="28"/>
        </w:rPr>
      </w:pPr>
      <w:r>
        <w:rPr>
          <w:rFonts w:hint="eastAsia" w:asciiTheme="minorEastAsia" w:hAnsiTheme="minorEastAsia"/>
          <w:sz w:val="28"/>
          <w:szCs w:val="28"/>
        </w:rPr>
        <w:t>工程建设所采用的技术方法和措施是否符合本规范要求，由相关责任主体判定。其中，创新性的技术方法和措施，应进行论证并符合本规范中有关性能的要求。</w:t>
      </w:r>
    </w:p>
    <w:p>
      <w:pPr>
        <w:pStyle w:val="2"/>
        <w:keepNext w:val="0"/>
        <w:keepLines w:val="0"/>
        <w:pageBreakBefore/>
        <w:numPr>
          <w:ilvl w:val="0"/>
          <w:numId w:val="3"/>
        </w:numPr>
        <w:adjustRightInd w:val="0"/>
        <w:snapToGrid w:val="0"/>
        <w:spacing w:before="0" w:after="0" w:line="480" w:lineRule="auto"/>
        <w:ind w:left="105" w:leftChars="50" w:right="105" w:rightChars="50"/>
        <w:jc w:val="center"/>
        <w:textAlignment w:val="baseline"/>
        <w:rPr>
          <w:rFonts w:ascii="宋体" w:hAnsi="宋体" w:eastAsia="宋体"/>
          <w:b w:val="0"/>
          <w:sz w:val="28"/>
          <w:szCs w:val="28"/>
        </w:rPr>
      </w:pPr>
      <w:bookmarkStart w:id="7" w:name="_Toc137473898"/>
      <w:bookmarkEnd w:id="7"/>
      <w:bookmarkStart w:id="8" w:name="_Toc137473468"/>
      <w:bookmarkEnd w:id="8"/>
      <w:bookmarkStart w:id="9" w:name="_Toc137473679"/>
      <w:bookmarkEnd w:id="9"/>
      <w:bookmarkStart w:id="10" w:name="_Toc137473680"/>
      <w:bookmarkEnd w:id="10"/>
      <w:bookmarkStart w:id="11" w:name="_Toc137473574"/>
      <w:bookmarkEnd w:id="11"/>
      <w:bookmarkStart w:id="12" w:name="_Toc137473467"/>
      <w:bookmarkEnd w:id="12"/>
      <w:bookmarkStart w:id="13" w:name="_Toc137473899"/>
      <w:bookmarkEnd w:id="13"/>
      <w:bookmarkStart w:id="14" w:name="_Toc137473573"/>
      <w:bookmarkEnd w:id="14"/>
      <w:bookmarkStart w:id="15" w:name="_Toc48564984"/>
      <w:bookmarkStart w:id="16" w:name="_Toc523904658"/>
      <w:bookmarkStart w:id="17" w:name="_Toc9185380"/>
      <w:bookmarkStart w:id="18" w:name="_Toc7097724"/>
      <w:bookmarkStart w:id="19" w:name="_Toc147758583"/>
      <w:bookmarkStart w:id="20" w:name="_Toc47347135"/>
      <w:r>
        <w:rPr>
          <w:rFonts w:hint="eastAsia" w:ascii="宋体" w:hAnsi="宋体" w:eastAsia="宋体"/>
          <w:b w:val="0"/>
          <w:sz w:val="28"/>
          <w:szCs w:val="28"/>
        </w:rPr>
        <w:t>基本规定</w:t>
      </w:r>
      <w:bookmarkEnd w:id="15"/>
      <w:bookmarkEnd w:id="16"/>
      <w:bookmarkEnd w:id="17"/>
      <w:bookmarkEnd w:id="18"/>
      <w:bookmarkEnd w:id="19"/>
      <w:bookmarkEnd w:id="20"/>
    </w:p>
    <w:p>
      <w:pPr>
        <w:numPr>
          <w:ilvl w:val="2"/>
          <w:numId w:val="5"/>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厂区工业设备和管道的设计、施工、验收、运行维护与拆除应遵循技术先进、经济合理、节约资源的原则，严禁使用国家明确禁止或淘汰的材料。</w:t>
      </w:r>
    </w:p>
    <w:p>
      <w:pPr>
        <w:numPr>
          <w:ilvl w:val="2"/>
          <w:numId w:val="5"/>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在设计使用年限内，厂区工业设备和管道应符合下列规定：</w:t>
      </w:r>
    </w:p>
    <w:p>
      <w:pPr>
        <w:keepLines/>
        <w:numPr>
          <w:ilvl w:val="0"/>
          <w:numId w:val="6"/>
        </w:numPr>
        <w:adjustRightInd w:val="0"/>
        <w:snapToGrid w:val="0"/>
        <w:spacing w:line="360" w:lineRule="auto"/>
        <w:ind w:left="0" w:firstLine="560" w:firstLineChars="200"/>
        <w:textAlignment w:val="baseline"/>
        <w:outlineLvl w:val="3"/>
        <w:rPr>
          <w:rFonts w:cs="宋体" w:asciiTheme="minorEastAsia" w:hAnsiTheme="minorEastAsia"/>
          <w:bCs/>
          <w:sz w:val="28"/>
          <w:szCs w:val="28"/>
        </w:rPr>
      </w:pPr>
      <w:r>
        <w:rPr>
          <w:rFonts w:hint="eastAsia" w:cs="宋体" w:asciiTheme="minorEastAsia" w:hAnsiTheme="minorEastAsia"/>
          <w:bCs/>
          <w:sz w:val="28"/>
          <w:szCs w:val="28"/>
        </w:rPr>
        <w:t>未经设计许可或技术鉴定，不应改变设备和管道设计规定的功能和使用条件；</w:t>
      </w:r>
    </w:p>
    <w:p>
      <w:pPr>
        <w:keepLines/>
        <w:numPr>
          <w:ilvl w:val="0"/>
          <w:numId w:val="6"/>
        </w:numPr>
        <w:adjustRightInd w:val="0"/>
        <w:snapToGrid w:val="0"/>
        <w:spacing w:line="360" w:lineRule="auto"/>
        <w:ind w:left="0" w:firstLine="560" w:firstLineChars="200"/>
        <w:textAlignment w:val="baseline"/>
        <w:outlineLvl w:val="3"/>
        <w:rPr>
          <w:rFonts w:cs="宋体" w:asciiTheme="minorEastAsia" w:hAnsiTheme="minorEastAsia"/>
          <w:bCs/>
          <w:sz w:val="28"/>
          <w:szCs w:val="28"/>
        </w:rPr>
      </w:pPr>
      <w:r>
        <w:rPr>
          <w:rFonts w:hint="eastAsia" w:cs="宋体" w:asciiTheme="minorEastAsia" w:hAnsiTheme="minorEastAsia"/>
          <w:bCs/>
          <w:sz w:val="28"/>
          <w:szCs w:val="28"/>
        </w:rPr>
        <w:t>当设备和管道不满足设计要求时，应及时进行更换、改造或修复处理；</w:t>
      </w:r>
    </w:p>
    <w:p>
      <w:pPr>
        <w:keepLines/>
        <w:numPr>
          <w:ilvl w:val="0"/>
          <w:numId w:val="6"/>
        </w:numPr>
        <w:adjustRightInd w:val="0"/>
        <w:snapToGrid w:val="0"/>
        <w:spacing w:line="360" w:lineRule="auto"/>
        <w:ind w:left="0" w:firstLine="560" w:firstLineChars="200"/>
        <w:textAlignment w:val="baseline"/>
        <w:outlineLvl w:val="3"/>
        <w:rPr>
          <w:rFonts w:cs="宋体" w:asciiTheme="minorEastAsia" w:hAnsiTheme="minorEastAsia"/>
          <w:bCs/>
          <w:sz w:val="28"/>
          <w:szCs w:val="28"/>
        </w:rPr>
      </w:pPr>
      <w:r>
        <w:rPr>
          <w:rFonts w:hint="eastAsia" w:cs="宋体" w:asciiTheme="minorEastAsia" w:hAnsiTheme="minorEastAsia"/>
          <w:bCs/>
          <w:sz w:val="28"/>
          <w:szCs w:val="28"/>
        </w:rPr>
        <w:t>当遇到地震、爆炸和火灾等灾害时，灾后应对设备和管道进行鉴定评估，按评估意见执行。</w:t>
      </w:r>
    </w:p>
    <w:p>
      <w:pPr>
        <w:pStyle w:val="2"/>
        <w:keepNext w:val="0"/>
        <w:keepLines w:val="0"/>
        <w:pageBreakBefore/>
        <w:numPr>
          <w:ilvl w:val="0"/>
          <w:numId w:val="3"/>
        </w:numPr>
        <w:adjustRightInd w:val="0"/>
        <w:snapToGrid w:val="0"/>
        <w:spacing w:before="0" w:after="0" w:line="480" w:lineRule="auto"/>
        <w:ind w:left="105" w:leftChars="50" w:right="105" w:rightChars="50"/>
        <w:jc w:val="center"/>
        <w:textAlignment w:val="baseline"/>
        <w:rPr>
          <w:rFonts w:ascii="宋体" w:hAnsi="宋体" w:eastAsia="宋体"/>
          <w:b w:val="0"/>
          <w:sz w:val="28"/>
          <w:szCs w:val="28"/>
        </w:rPr>
      </w:pPr>
      <w:bookmarkStart w:id="21" w:name="_Toc147758584"/>
      <w:bookmarkStart w:id="22" w:name="_Toc48564985"/>
      <w:bookmarkStart w:id="23" w:name="_Toc47347136"/>
      <w:r>
        <w:rPr>
          <w:rFonts w:hint="eastAsia" w:ascii="宋体" w:hAnsi="宋体" w:eastAsia="宋体"/>
          <w:b w:val="0"/>
          <w:sz w:val="28"/>
          <w:szCs w:val="28"/>
        </w:rPr>
        <w:t>设计</w:t>
      </w:r>
      <w:bookmarkEnd w:id="21"/>
      <w:bookmarkEnd w:id="22"/>
      <w:bookmarkEnd w:id="23"/>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24" w:name="_Toc47347137"/>
      <w:bookmarkStart w:id="25" w:name="_Toc48564986"/>
      <w:bookmarkStart w:id="26" w:name="_Toc147758585"/>
      <w:bookmarkStart w:id="27" w:name="_Toc7097726"/>
      <w:bookmarkStart w:id="28" w:name="_Toc9185382"/>
      <w:r>
        <w:rPr>
          <w:rFonts w:hint="eastAsia" w:asciiTheme="minorEastAsia" w:hAnsiTheme="minorEastAsia" w:eastAsiaTheme="minorEastAsia"/>
          <w:b w:val="0"/>
          <w:sz w:val="28"/>
          <w:szCs w:val="28"/>
        </w:rPr>
        <w:t>一般规定</w:t>
      </w:r>
      <w:bookmarkEnd w:id="24"/>
      <w:bookmarkEnd w:id="25"/>
      <w:bookmarkEnd w:id="26"/>
      <w:bookmarkEnd w:id="27"/>
      <w:bookmarkEnd w:id="28"/>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设备和管道布置应符合工艺流程的要求。</w:t>
      </w:r>
    </w:p>
    <w:p>
      <w:pPr>
        <w:numPr>
          <w:ilvl w:val="2"/>
          <w:numId w:val="8"/>
        </w:numPr>
        <w:adjustRightInd w:val="0"/>
        <w:snapToGrid w:val="0"/>
        <w:spacing w:line="360" w:lineRule="auto"/>
        <w:ind w:left="0" w:firstLine="0"/>
        <w:textAlignment w:val="baseline"/>
        <w:rPr>
          <w:rFonts w:asciiTheme="minorEastAsia" w:hAnsiTheme="minorEastAsia"/>
          <w:sz w:val="28"/>
          <w:szCs w:val="28"/>
        </w:rPr>
      </w:pPr>
      <w:bookmarkStart w:id="29" w:name="_Toc9185383"/>
      <w:bookmarkStart w:id="30" w:name="_Toc7097727"/>
      <w:r>
        <w:rPr>
          <w:rFonts w:hint="eastAsia" w:asciiTheme="minorEastAsia" w:hAnsiTheme="minorEastAsia"/>
          <w:sz w:val="28"/>
          <w:szCs w:val="28"/>
        </w:rPr>
        <w:t>设备和管道布置应做到安全可靠、经济合理，并满足施工、操作和维保等要求。</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管道的跨距应满足管道强度和刚度的要求。</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永久性的地上、地下管道不得穿越或跨越与其无关的工艺装置、装置内单元、储罐组和拦蓄堤区域；在跨越罐区泵房的可燃气体、液化烃和可燃液体的管道上不应设置阀门及易发生泄漏的管道附件。</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沿地面或低支架敷设的全厂性工艺及热力管道不应环绕工艺装置或罐组布置，并不应妨碍消防车的通行。</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进、出装置的可燃气体、液化烃、可燃液体和有毒性介质的管道在装置的边界处应设隔断阀和</w:t>
      </w:r>
      <w:r>
        <w:rPr>
          <w:rFonts w:asciiTheme="minorEastAsia" w:hAnsiTheme="minorEastAsia"/>
          <w:sz w:val="28"/>
          <w:szCs w:val="28"/>
        </w:rPr>
        <w:t>8</w:t>
      </w:r>
      <w:r>
        <w:rPr>
          <w:rFonts w:hint="eastAsia" w:asciiTheme="minorEastAsia" w:hAnsiTheme="minorEastAsia"/>
          <w:sz w:val="28"/>
          <w:szCs w:val="28"/>
        </w:rPr>
        <w:t>字盲板，在隔断阀处应设平台，长度等于或大于</w:t>
      </w:r>
      <w:r>
        <w:rPr>
          <w:rFonts w:asciiTheme="minorEastAsia" w:hAnsiTheme="minorEastAsia"/>
          <w:sz w:val="28"/>
          <w:szCs w:val="28"/>
        </w:rPr>
        <w:t>8m</w:t>
      </w:r>
      <w:r>
        <w:rPr>
          <w:rFonts w:hint="eastAsia" w:asciiTheme="minorEastAsia" w:hAnsiTheme="minorEastAsia"/>
          <w:sz w:val="28"/>
          <w:szCs w:val="28"/>
        </w:rPr>
        <w:t>的平台应在两个方向设梯子。</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可燃气体、液化烃、可燃液体、腐蚀性及有毒介质的管道，除使用该管道的建（构）筑物外，均不得采用建筑物支撑式的敷设方式。</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可燃气体、液化烃、可燃液体和有毒性介质的管道不得穿过与其无关的建筑物。</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可燃性及对环境产生污染的各类排放流体应排入封闭的收集系统，严禁直接排入下水道；可燃性及对环境产生污染的有害气体应排入气体回收或焚烧系统，经处理后并在符合环保标准的情况下，方可排入大气。</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工业设备和管道的防腐类型选择应根据介质腐蚀特性、操作温度压力、防腐层设计寿命，防腐层特性，设备和管道结构形状等因素确定。</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工业设备、管道及附属钢结构防腐之前应进行表面处理，并达到设计规定的等级要求。</w:t>
      </w:r>
    </w:p>
    <w:p>
      <w:pPr>
        <w:numPr>
          <w:ilvl w:val="2"/>
          <w:numId w:val="8"/>
        </w:numPr>
        <w:adjustRightInd w:val="0"/>
        <w:snapToGrid w:val="0"/>
        <w:spacing w:line="360" w:lineRule="auto"/>
        <w:ind w:left="0" w:firstLine="0"/>
        <w:textAlignment w:val="baseline"/>
        <w:rPr>
          <w:rFonts w:asciiTheme="minorEastAsia" w:hAnsiTheme="minorEastAsia"/>
          <w:sz w:val="28"/>
          <w:szCs w:val="28"/>
        </w:rPr>
      </w:pPr>
      <w:r>
        <w:rPr>
          <w:rFonts w:hint="eastAsia" w:asciiTheme="minorEastAsia" w:hAnsiTheme="minorEastAsia"/>
          <w:sz w:val="28"/>
          <w:szCs w:val="28"/>
        </w:rPr>
        <w:t>处于无爆炸和无火灾危险环境的管道和设备，如因其带静电会妨碍生产操作、影响产品质量或使人体受到静电电击时，应采取静电接地措施。</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1" w:name="_Toc137473684"/>
      <w:bookmarkEnd w:id="31"/>
      <w:bookmarkStart w:id="32" w:name="_Toc137473578"/>
      <w:bookmarkEnd w:id="32"/>
      <w:bookmarkStart w:id="33" w:name="_Toc137473903"/>
      <w:bookmarkEnd w:id="33"/>
      <w:bookmarkStart w:id="34" w:name="_Toc137473472"/>
      <w:bookmarkEnd w:id="34"/>
      <w:bookmarkStart w:id="35" w:name="_Toc47347138"/>
      <w:bookmarkStart w:id="36" w:name="_Toc48564987"/>
      <w:bookmarkStart w:id="37" w:name="_Toc147758586"/>
      <w:r>
        <w:rPr>
          <w:rFonts w:hint="eastAsia" w:asciiTheme="minorEastAsia" w:hAnsiTheme="minorEastAsia" w:eastAsiaTheme="minorEastAsia"/>
          <w:b w:val="0"/>
          <w:sz w:val="28"/>
          <w:szCs w:val="28"/>
        </w:rPr>
        <w:t>金属管道</w:t>
      </w:r>
      <w:bookmarkEnd w:id="29"/>
      <w:bookmarkEnd w:id="30"/>
      <w:bookmarkEnd w:id="35"/>
      <w:bookmarkEnd w:id="36"/>
      <w:bookmarkEnd w:id="37"/>
    </w:p>
    <w:p>
      <w:pPr>
        <w:numPr>
          <w:ilvl w:val="2"/>
          <w:numId w:val="9"/>
        </w:numPr>
        <w:adjustRightInd w:val="0"/>
        <w:snapToGrid w:val="0"/>
        <w:spacing w:line="360" w:lineRule="auto"/>
        <w:ind w:left="0" w:firstLine="0"/>
        <w:textAlignment w:val="baseline"/>
        <w:rPr>
          <w:rFonts w:ascii="宋体" w:hAnsi="宋体" w:eastAsia="宋体"/>
          <w:sz w:val="28"/>
          <w:szCs w:val="28"/>
        </w:rPr>
      </w:pPr>
      <w:bookmarkStart w:id="38" w:name="_Toc7097430"/>
      <w:bookmarkEnd w:id="38"/>
      <w:bookmarkStart w:id="39" w:name="_Toc7095964"/>
      <w:bookmarkEnd w:id="39"/>
      <w:bookmarkStart w:id="40" w:name="_Toc7097728"/>
      <w:bookmarkEnd w:id="40"/>
      <w:bookmarkStart w:id="41" w:name="_Toc7096256"/>
      <w:bookmarkEnd w:id="41"/>
      <w:bookmarkStart w:id="42" w:name="_Toc7100152"/>
      <w:bookmarkEnd w:id="42"/>
      <w:bookmarkStart w:id="43" w:name="_Toc7097763"/>
      <w:r>
        <w:rPr>
          <w:rFonts w:hint="eastAsia" w:ascii="宋体" w:hAnsi="宋体" w:eastAsia="宋体"/>
          <w:sz w:val="28"/>
          <w:szCs w:val="28"/>
        </w:rPr>
        <w:t>运行中可能超压的管道系统均应设置安全泄压装置。</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与安全阀连接的管道布置应计及开启时作用力及其方向，其位置应便于出口管的支架设计。阀的接管承受弯矩时，应有足够的强度。</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双安全阀出入口设置三通式转换阀时，两个转换阀应有可靠的联锁机构。安全阀与转换阀之间的管道，应有排空措施。</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下列管道应设阻火设施：</w:t>
      </w:r>
    </w:p>
    <w:p>
      <w:pPr>
        <w:keepLines/>
        <w:numPr>
          <w:ilvl w:val="0"/>
          <w:numId w:val="10"/>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若无低压自动保护仪表时，与明火设备连接的可燃气体减压后的管道，包括火炬管道；</w:t>
      </w:r>
    </w:p>
    <w:p>
      <w:pPr>
        <w:keepLines/>
        <w:numPr>
          <w:ilvl w:val="0"/>
          <w:numId w:val="10"/>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需隔断与设备连接的易着火的管道，包括放空管。</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各类介质的放空或放净，应符合下列规定：</w:t>
      </w:r>
    </w:p>
    <w:p>
      <w:pPr>
        <w:keepNext/>
        <w:keepLines/>
        <w:numPr>
          <w:ilvl w:val="0"/>
          <w:numId w:val="11"/>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极度危害介质管道的放空或放净应设置双阀，并应排入密闭回收系统；其他有毒气体的排放应符合环保的要求，有毒液体不应排入下水道；</w:t>
      </w:r>
    </w:p>
    <w:p>
      <w:pPr>
        <w:keepNext/>
        <w:keepLines/>
        <w:numPr>
          <w:ilvl w:val="0"/>
          <w:numId w:val="11"/>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可燃气体放空应排入火炬系统，放空管道内的凝结液和可燃液体的排净应密闭回收；受工艺条件或介质特性所限，无法排入火炬或处理系统的可燃气体，应符合相关标准的规定。</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含可燃液体的生产污水管道的下列部位应设水封，水封高度不得小于</w:t>
      </w:r>
      <w:r>
        <w:rPr>
          <w:rFonts w:ascii="宋体" w:hAnsi="宋体" w:eastAsia="宋体"/>
          <w:sz w:val="28"/>
          <w:szCs w:val="28"/>
        </w:rPr>
        <w:t>250mm</w:t>
      </w:r>
      <w:r>
        <w:rPr>
          <w:rFonts w:hint="eastAsia" w:ascii="宋体" w:hAnsi="宋体" w:eastAsia="宋体"/>
          <w:sz w:val="28"/>
          <w:szCs w:val="28"/>
        </w:rPr>
        <w:t>：</w:t>
      </w:r>
    </w:p>
    <w:p>
      <w:pPr>
        <w:keepNext/>
        <w:keepLines/>
        <w:numPr>
          <w:ilvl w:val="0"/>
          <w:numId w:val="1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工艺装置内的塔、加热炉、泵、热交换设备等区围堰的排水出口；</w:t>
      </w:r>
    </w:p>
    <w:p>
      <w:pPr>
        <w:keepNext/>
        <w:keepLines/>
        <w:numPr>
          <w:ilvl w:val="0"/>
          <w:numId w:val="1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工艺装置、罐组或其他设施及建筑物、构筑物、管沟等的排水出口；</w:t>
      </w:r>
    </w:p>
    <w:p>
      <w:pPr>
        <w:keepNext/>
        <w:keepLines/>
        <w:numPr>
          <w:ilvl w:val="0"/>
          <w:numId w:val="1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全厂性的支干管与干管交汇处的支干管上；</w:t>
      </w:r>
    </w:p>
    <w:p>
      <w:pPr>
        <w:keepNext/>
        <w:keepLines/>
        <w:numPr>
          <w:ilvl w:val="0"/>
          <w:numId w:val="1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全厂性支干管、干管的管段长度超过</w:t>
      </w:r>
      <w:r>
        <w:rPr>
          <w:rFonts w:ascii="宋体" w:hAnsi="宋体" w:eastAsia="宋体" w:cs="宋体"/>
          <w:bCs/>
          <w:sz w:val="28"/>
          <w:szCs w:val="28"/>
        </w:rPr>
        <w:t>300m</w:t>
      </w:r>
      <w:r>
        <w:rPr>
          <w:rFonts w:hint="eastAsia" w:ascii="宋体" w:hAnsi="宋体" w:eastAsia="宋体" w:cs="宋体"/>
          <w:bCs/>
          <w:sz w:val="28"/>
          <w:szCs w:val="28"/>
        </w:rPr>
        <w:t>时，应用水封井隔开。</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极度危害介质管道设计应符合下列规定：</w:t>
      </w:r>
    </w:p>
    <w:p>
      <w:pPr>
        <w:keepNext/>
        <w:keepLines/>
        <w:numPr>
          <w:ilvl w:val="0"/>
          <w:numId w:val="1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当工艺要求埋地敷设时，应有监测泄漏、防止腐蚀、收集有害介质的安全措施；</w:t>
      </w:r>
    </w:p>
    <w:p>
      <w:pPr>
        <w:keepNext/>
        <w:keepLines/>
        <w:numPr>
          <w:ilvl w:val="0"/>
          <w:numId w:val="1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设置在安全隔墙或隔板内极度危害介质管道上的手动阀门应采取阀门伸长杆，且引至隔墙或隔板外操作。</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氧气管道设计应符合下列规定：</w:t>
      </w:r>
    </w:p>
    <w:p>
      <w:pPr>
        <w:keepLines/>
        <w:numPr>
          <w:ilvl w:val="0"/>
          <w:numId w:val="14"/>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与可燃介质管道的平行净距不应小于</w:t>
      </w:r>
      <w:r>
        <w:rPr>
          <w:rFonts w:ascii="宋体" w:hAnsi="宋体" w:eastAsia="宋体" w:cs="宋体"/>
          <w:bCs/>
          <w:sz w:val="28"/>
          <w:szCs w:val="28"/>
        </w:rPr>
        <w:t>500mm</w:t>
      </w:r>
      <w:r>
        <w:rPr>
          <w:rFonts w:hint="eastAsia" w:ascii="宋体" w:hAnsi="宋体" w:eastAsia="宋体" w:cs="宋体"/>
          <w:bCs/>
          <w:sz w:val="28"/>
          <w:szCs w:val="28"/>
        </w:rPr>
        <w:t>，交叉净距不应小于</w:t>
      </w:r>
      <w:r>
        <w:rPr>
          <w:rFonts w:ascii="宋体" w:hAnsi="宋体" w:eastAsia="宋体" w:cs="宋体"/>
          <w:bCs/>
          <w:sz w:val="28"/>
          <w:szCs w:val="28"/>
        </w:rPr>
        <w:t>250mm</w:t>
      </w:r>
      <w:r>
        <w:rPr>
          <w:rFonts w:hint="eastAsia" w:ascii="宋体" w:hAnsi="宋体" w:eastAsia="宋体" w:cs="宋体"/>
          <w:bCs/>
          <w:sz w:val="28"/>
          <w:szCs w:val="28"/>
        </w:rPr>
        <w:t>；当管道采用焊接连接结构且无阀门时，其平行间距可取上述净距的</w:t>
      </w:r>
      <w:r>
        <w:rPr>
          <w:rFonts w:ascii="宋体" w:hAnsi="宋体" w:eastAsia="宋体" w:cs="宋体"/>
          <w:bCs/>
          <w:sz w:val="28"/>
          <w:szCs w:val="28"/>
        </w:rPr>
        <w:t>50%</w:t>
      </w:r>
      <w:r>
        <w:rPr>
          <w:rFonts w:hint="eastAsia" w:ascii="宋体" w:hAnsi="宋体" w:eastAsia="宋体" w:cs="宋体"/>
          <w:bCs/>
          <w:sz w:val="28"/>
          <w:szCs w:val="28"/>
        </w:rPr>
        <w:t>；</w:t>
      </w:r>
    </w:p>
    <w:p>
      <w:pPr>
        <w:keepLines/>
        <w:numPr>
          <w:ilvl w:val="0"/>
          <w:numId w:val="14"/>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除非工艺流程有特殊设计要求及可靠的安全措施保证，氧气管道与可燃介质管道严禁直接连接；</w:t>
      </w:r>
    </w:p>
    <w:p>
      <w:pPr>
        <w:keepLines/>
        <w:numPr>
          <w:ilvl w:val="0"/>
          <w:numId w:val="1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不得穿过生活间、办公室；</w:t>
      </w:r>
    </w:p>
    <w:p>
      <w:pPr>
        <w:keepLines/>
        <w:numPr>
          <w:ilvl w:val="0"/>
          <w:numId w:val="1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氧气站的氧气放散管和液氧排放管均应引至室外安全处，放散管口距地面不得低于</w:t>
      </w:r>
      <w:r>
        <w:rPr>
          <w:rFonts w:ascii="宋体" w:hAnsi="宋体" w:eastAsia="宋体" w:cs="宋体"/>
          <w:bCs/>
          <w:sz w:val="28"/>
          <w:szCs w:val="28"/>
        </w:rPr>
        <w:t>4.5m</w:t>
      </w:r>
      <w:r>
        <w:rPr>
          <w:rFonts w:hint="eastAsia" w:ascii="宋体" w:hAnsi="宋体" w:eastAsia="宋体" w:cs="宋体"/>
          <w:bCs/>
          <w:sz w:val="28"/>
          <w:szCs w:val="28"/>
        </w:rPr>
        <w:t>。</w:t>
      </w:r>
    </w:p>
    <w:p>
      <w:pPr>
        <w:keepLines/>
        <w:numPr>
          <w:ilvl w:val="0"/>
          <w:numId w:val="1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应敷设在不燃烧体的支架上。</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氧气管道直接埋地敷设或采用管沟敷设时，应符合下列规定：</w:t>
      </w:r>
    </w:p>
    <w:p>
      <w:pPr>
        <w:numPr>
          <w:ilvl w:val="0"/>
          <w:numId w:val="15"/>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严禁埋设在不使用氧气的建筑物、构筑物或露天堆场下面或穿过烟道；</w:t>
      </w:r>
    </w:p>
    <w:p>
      <w:pPr>
        <w:numPr>
          <w:ilvl w:val="0"/>
          <w:numId w:val="15"/>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采用不通行管沟敷设时，沟上应设防止可燃物料、火花和雨水侵入的不燃烧体盖板；</w:t>
      </w:r>
    </w:p>
    <w:p>
      <w:pPr>
        <w:numPr>
          <w:ilvl w:val="0"/>
          <w:numId w:val="15"/>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严禁与油品管道、腐蚀性介质管道和各种导电线路敷设在同一管沟内，并不得与该类管线管沟相通；</w:t>
      </w:r>
    </w:p>
    <w:p>
      <w:pPr>
        <w:numPr>
          <w:ilvl w:val="0"/>
          <w:numId w:val="15"/>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直接埋地或不通行管沟敷设的氧气管道上不应装设阀门或法兰连接点，当必须设阀门时，应设独立阀门井；</w:t>
      </w:r>
    </w:p>
    <w:p>
      <w:pPr>
        <w:numPr>
          <w:ilvl w:val="0"/>
          <w:numId w:val="15"/>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不应与不同使用目的的燃气管道同沟敷设，当氧气管道与同一使用目的的燃气管道同沟敷设时，沟内应填满沙子，并严禁与其他管沟直接相通。</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氢气站、供氢站和车间内氢气管道敷设时，应符合下列规定：</w:t>
      </w:r>
    </w:p>
    <w:p>
      <w:pPr>
        <w:keepNext/>
        <w:keepLines/>
        <w:numPr>
          <w:ilvl w:val="0"/>
          <w:numId w:val="16"/>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氢气管道严禁穿过生活间、办公室，并不得穿过不使用氢气的房间；</w:t>
      </w:r>
    </w:p>
    <w:p>
      <w:pPr>
        <w:keepNext/>
        <w:keepLines/>
        <w:numPr>
          <w:ilvl w:val="0"/>
          <w:numId w:val="16"/>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接至用氢设备的支管，应设切断阀，有明火的用氢设备还应设阻火器。</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氢气站的氢气放空管，应在管口处设置阻火器；放空管的设置，应符合下列规定：</w:t>
      </w:r>
    </w:p>
    <w:p>
      <w:pPr>
        <w:keepNext/>
        <w:keepLines/>
        <w:numPr>
          <w:ilvl w:val="0"/>
          <w:numId w:val="1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应引至室外，放空管管口应高出屋脊</w:t>
      </w:r>
      <w:r>
        <w:rPr>
          <w:rFonts w:ascii="宋体" w:hAnsi="宋体" w:eastAsia="宋体" w:cs="宋体"/>
          <w:bCs/>
          <w:sz w:val="28"/>
          <w:szCs w:val="28"/>
        </w:rPr>
        <w:t>1.0m</w:t>
      </w:r>
      <w:r>
        <w:rPr>
          <w:rFonts w:hint="eastAsia" w:ascii="宋体" w:hAnsi="宋体" w:eastAsia="宋体" w:cs="宋体"/>
          <w:bCs/>
          <w:sz w:val="28"/>
          <w:szCs w:val="28"/>
        </w:rPr>
        <w:t>；</w:t>
      </w:r>
    </w:p>
    <w:p>
      <w:pPr>
        <w:keepNext/>
        <w:keepLines/>
        <w:numPr>
          <w:ilvl w:val="0"/>
          <w:numId w:val="1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应有防雨、雪侵入和杂物堵塞的措施；</w:t>
      </w:r>
    </w:p>
    <w:p>
      <w:pPr>
        <w:keepNext/>
        <w:keepLines/>
        <w:numPr>
          <w:ilvl w:val="0"/>
          <w:numId w:val="1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压力大于</w:t>
      </w:r>
      <w:r>
        <w:rPr>
          <w:rFonts w:ascii="宋体" w:hAnsi="宋体" w:eastAsia="宋体" w:cs="宋体"/>
          <w:bCs/>
          <w:sz w:val="28"/>
          <w:szCs w:val="28"/>
        </w:rPr>
        <w:t>0.1MPa</w:t>
      </w:r>
      <w:r>
        <w:rPr>
          <w:rFonts w:hint="eastAsia" w:ascii="宋体" w:hAnsi="宋体" w:eastAsia="宋体" w:cs="宋体"/>
          <w:bCs/>
          <w:sz w:val="28"/>
          <w:szCs w:val="28"/>
        </w:rPr>
        <w:t>时，阻火器后的管材应采用不锈钢管。</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各类制氢系统中，设备及其管道内的冷凝水，均应经各自的专用疏水装置或排水水封排至室外。水封上的气体放空管，应分别接至室外安全处。</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厂区内氢气管道直接埋地敷设时，应符合下列规定：</w:t>
      </w:r>
    </w:p>
    <w:p>
      <w:pPr>
        <w:keepNext/>
        <w:keepLines/>
        <w:numPr>
          <w:ilvl w:val="0"/>
          <w:numId w:val="18"/>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不得敷设在露天堆场下面；</w:t>
      </w:r>
    </w:p>
    <w:p>
      <w:pPr>
        <w:keepNext/>
        <w:keepLines/>
        <w:numPr>
          <w:ilvl w:val="0"/>
          <w:numId w:val="18"/>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敷设在铁路或不便开挖的道路下面时，应加设套管。套管的两端应伸出铁路路基、道路路肩或延伸至排水沟沟边应不小于</w:t>
      </w:r>
      <w:r>
        <w:rPr>
          <w:rFonts w:ascii="宋体" w:hAnsi="宋体" w:eastAsia="宋体" w:cs="宋体"/>
          <w:bCs/>
          <w:sz w:val="28"/>
          <w:szCs w:val="28"/>
        </w:rPr>
        <w:t>1m</w:t>
      </w:r>
      <w:r>
        <w:rPr>
          <w:rFonts w:hint="eastAsia" w:ascii="宋体" w:hAnsi="宋体" w:eastAsia="宋体" w:cs="宋体"/>
          <w:bCs/>
          <w:sz w:val="28"/>
          <w:szCs w:val="28"/>
        </w:rPr>
        <w:t>。</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厂区内氢气管道采用管沟敷设时，应符合下列规定：</w:t>
      </w:r>
    </w:p>
    <w:p>
      <w:pPr>
        <w:keepNext/>
        <w:keepLines/>
        <w:numPr>
          <w:ilvl w:val="0"/>
          <w:numId w:val="19"/>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管道支架应采用不燃烧体；</w:t>
      </w:r>
    </w:p>
    <w:p>
      <w:pPr>
        <w:keepNext/>
        <w:keepLines/>
        <w:numPr>
          <w:ilvl w:val="0"/>
          <w:numId w:val="19"/>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在寒冷地区，湿氢管道应采取防冻措施；</w:t>
      </w:r>
    </w:p>
    <w:p>
      <w:pPr>
        <w:keepNext/>
        <w:keepLines/>
        <w:numPr>
          <w:ilvl w:val="0"/>
          <w:numId w:val="19"/>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不应与其他管道共沟敷设。</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极度危害介质、高度危害介质、可燃介质和窒息性介质的管道采用管沟敷设时，应符合下列规定：</w:t>
      </w:r>
    </w:p>
    <w:p>
      <w:pPr>
        <w:keepLines/>
        <w:numPr>
          <w:ilvl w:val="0"/>
          <w:numId w:val="20"/>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极度危害介质和高度危害介质的管道不应布置在可通行管沟内；</w:t>
      </w:r>
    </w:p>
    <w:p>
      <w:pPr>
        <w:keepLines/>
        <w:numPr>
          <w:ilvl w:val="0"/>
          <w:numId w:val="20"/>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可燃介质和窒息性介质的管道在无可靠的通风条件及无安全措施时，不应布置在通行管沟内。</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管道组成件的金属材料应具有良好的延伸率，且材料在最低使用温度下应具备足够的抗脆断能力。</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极度危害类介质管道不应使用脆性材料。</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极度危害类介质管道的管道组成件的选用应符合下列规定：</w:t>
      </w:r>
    </w:p>
    <w:p>
      <w:pPr>
        <w:keepLines/>
        <w:numPr>
          <w:ilvl w:val="0"/>
          <w:numId w:val="2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应使用具有可靠的密封结构型式的阀门；</w:t>
      </w:r>
    </w:p>
    <w:p>
      <w:pPr>
        <w:keepLines/>
        <w:numPr>
          <w:ilvl w:val="0"/>
          <w:numId w:val="2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阀门的阀盖采用法兰连接方式时，至少用四根螺栓。选用足够机械强度的直螺纹连接方式时，金属对金属接触的密封结构要进行密封焊；</w:t>
      </w:r>
    </w:p>
    <w:p>
      <w:pPr>
        <w:keepLines/>
        <w:numPr>
          <w:ilvl w:val="0"/>
          <w:numId w:val="2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不应使用平焊法兰；</w:t>
      </w:r>
    </w:p>
    <w:p>
      <w:pPr>
        <w:keepLines/>
        <w:numPr>
          <w:ilvl w:val="0"/>
          <w:numId w:val="2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法兰公称压力的选用不应低于公称压力</w:t>
      </w:r>
      <w:r>
        <w:rPr>
          <w:rFonts w:ascii="宋体" w:hAnsi="宋体" w:eastAsia="宋体" w:cs="宋体"/>
          <w:bCs/>
          <w:sz w:val="28"/>
          <w:szCs w:val="28"/>
        </w:rPr>
        <w:t>PN20</w:t>
      </w:r>
      <w:r>
        <w:rPr>
          <w:rFonts w:hint="eastAsia" w:ascii="宋体" w:hAnsi="宋体" w:eastAsia="宋体" w:cs="宋体"/>
          <w:bCs/>
          <w:sz w:val="28"/>
          <w:szCs w:val="28"/>
        </w:rPr>
        <w:t>；</w:t>
      </w:r>
    </w:p>
    <w:p>
      <w:pPr>
        <w:keepLines/>
        <w:numPr>
          <w:ilvl w:val="0"/>
          <w:numId w:val="2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使用直螺纹以垫片密封的结构时，应选用拧紧时及拧紧后组成件的密封面不会产生相对转动的结构；</w:t>
      </w:r>
    </w:p>
    <w:p>
      <w:pPr>
        <w:keepLines/>
        <w:numPr>
          <w:ilvl w:val="0"/>
          <w:numId w:val="2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不应使用钎焊接头、粘接接头、胀接接头及填充物堵缝接头；</w:t>
      </w:r>
    </w:p>
    <w:p>
      <w:pPr>
        <w:keepLines/>
        <w:numPr>
          <w:ilvl w:val="0"/>
          <w:numId w:val="2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不应在对焊口内使用分块的衬环。</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有毒介质管道的管道组成件的选用，应符合下列规定：</w:t>
      </w:r>
    </w:p>
    <w:p>
      <w:pPr>
        <w:keepLines/>
        <w:numPr>
          <w:ilvl w:val="0"/>
          <w:numId w:val="2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不得选用高硅铸铁；</w:t>
      </w:r>
    </w:p>
    <w:p>
      <w:pPr>
        <w:keepLines/>
        <w:numPr>
          <w:ilvl w:val="0"/>
          <w:numId w:val="2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应采用防止阀杆填料处泄漏的可靠的密封结构型式的阀门。</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可燃介质管道的管道组成件的选用，应符合下列规定：</w:t>
      </w:r>
    </w:p>
    <w:p>
      <w:pPr>
        <w:keepLines/>
        <w:numPr>
          <w:ilvl w:val="0"/>
          <w:numId w:val="2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不得选用高硅铸铁、铅、锡及其合金材料；</w:t>
      </w:r>
    </w:p>
    <w:p>
      <w:pPr>
        <w:keepLines/>
        <w:numPr>
          <w:ilvl w:val="0"/>
          <w:numId w:val="23"/>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选用的软密封阀门应为防</w:t>
      </w:r>
      <w:r>
        <w:rPr>
          <w:rFonts w:ascii="宋体" w:hAnsi="宋体" w:eastAsia="宋体" w:cs="宋体"/>
          <w:bCs/>
          <w:sz w:val="28"/>
          <w:szCs w:val="28"/>
        </w:rPr>
        <w:t>(</w:t>
      </w:r>
      <w:r>
        <w:rPr>
          <w:rFonts w:hint="eastAsia" w:ascii="宋体" w:hAnsi="宋体" w:eastAsia="宋体" w:cs="宋体"/>
          <w:bCs/>
          <w:sz w:val="28"/>
          <w:szCs w:val="28"/>
        </w:rPr>
        <w:t>耐</w:t>
      </w:r>
      <w:r>
        <w:rPr>
          <w:rFonts w:ascii="宋体" w:hAnsi="宋体" w:eastAsia="宋体" w:cs="宋体"/>
          <w:bCs/>
          <w:sz w:val="28"/>
          <w:szCs w:val="28"/>
        </w:rPr>
        <w:t>)</w:t>
      </w:r>
      <w:r>
        <w:rPr>
          <w:rFonts w:hint="eastAsia" w:ascii="宋体" w:hAnsi="宋体" w:eastAsia="宋体" w:cs="宋体"/>
          <w:bCs/>
          <w:sz w:val="28"/>
          <w:szCs w:val="28"/>
        </w:rPr>
        <w:t>火型和防静电结构；</w:t>
      </w:r>
    </w:p>
    <w:p>
      <w:pPr>
        <w:keepLines/>
        <w:numPr>
          <w:ilvl w:val="0"/>
          <w:numId w:val="2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不应使用钎焊接头、粘接接头。</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有毒介质和可燃介质管道不得选用带填料密封的补偿器。</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氧气管道严禁采用折皱弯头。</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剧烈循环条件管道的管道组成件的选用，应符合下列补充规定：</w:t>
      </w:r>
    </w:p>
    <w:p>
      <w:pPr>
        <w:keepLines/>
        <w:numPr>
          <w:ilvl w:val="0"/>
          <w:numId w:val="2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斜接弯管的每条焊缝方向改变的角度不应大于</w:t>
      </w:r>
      <w:r>
        <w:rPr>
          <w:rFonts w:ascii="宋体" w:hAnsi="宋体" w:eastAsia="宋体" w:cs="宋体"/>
          <w:bCs/>
          <w:sz w:val="28"/>
          <w:szCs w:val="28"/>
        </w:rPr>
        <w:t>22.5</w:t>
      </w:r>
      <w:r>
        <w:rPr>
          <w:rFonts w:hint="eastAsia" w:ascii="宋体" w:hAnsi="宋体" w:eastAsia="宋体" w:cs="宋体"/>
          <w:bCs/>
          <w:sz w:val="28"/>
          <w:szCs w:val="28"/>
        </w:rPr>
        <w:t>°；</w:t>
      </w:r>
    </w:p>
    <w:p>
      <w:pPr>
        <w:keepLines/>
        <w:numPr>
          <w:ilvl w:val="0"/>
          <w:numId w:val="2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应采用锻造件及轧制无缝管件；</w:t>
      </w:r>
    </w:p>
    <w:p>
      <w:pPr>
        <w:keepLines/>
        <w:numPr>
          <w:ilvl w:val="0"/>
          <w:numId w:val="2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应采用带颈对焊法兰；</w:t>
      </w:r>
    </w:p>
    <w:p>
      <w:pPr>
        <w:keepLines/>
        <w:numPr>
          <w:ilvl w:val="0"/>
          <w:numId w:val="2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法兰连接用的螺柱应采用合金钢材料；</w:t>
      </w:r>
    </w:p>
    <w:p>
      <w:pPr>
        <w:keepLines/>
        <w:numPr>
          <w:ilvl w:val="0"/>
          <w:numId w:val="2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不得选用整体扩口翻边的突缘短节；</w:t>
      </w:r>
    </w:p>
    <w:p>
      <w:pPr>
        <w:keepLines/>
        <w:numPr>
          <w:ilvl w:val="0"/>
          <w:numId w:val="24"/>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螺纹连接仅限用于温度计套管上</w:t>
      </w:r>
      <w:r>
        <w:rPr>
          <w:rFonts w:ascii="宋体" w:hAnsi="宋体" w:eastAsia="宋体" w:cs="宋体"/>
          <w:bCs/>
          <w:sz w:val="28"/>
          <w:szCs w:val="28"/>
        </w:rPr>
        <w:t>(</w:t>
      </w:r>
      <w:r>
        <w:rPr>
          <w:rFonts w:hint="eastAsia" w:ascii="宋体" w:hAnsi="宋体" w:eastAsia="宋体" w:cs="宋体"/>
          <w:bCs/>
          <w:sz w:val="28"/>
          <w:szCs w:val="28"/>
        </w:rPr>
        <w:t>与测温元件的连接</w:t>
      </w:r>
      <w:r>
        <w:rPr>
          <w:rFonts w:ascii="宋体" w:hAnsi="宋体" w:eastAsia="宋体" w:cs="宋体"/>
          <w:bCs/>
          <w:sz w:val="28"/>
          <w:szCs w:val="28"/>
        </w:rPr>
        <w:t>)</w:t>
      </w:r>
      <w:r>
        <w:rPr>
          <w:rFonts w:hint="eastAsia" w:ascii="宋体" w:hAnsi="宋体" w:eastAsia="宋体" w:cs="宋体"/>
          <w:bCs/>
          <w:sz w:val="28"/>
          <w:szCs w:val="28"/>
        </w:rPr>
        <w:t>。</w:t>
      </w:r>
    </w:p>
    <w:p>
      <w:pPr>
        <w:numPr>
          <w:ilvl w:val="2"/>
          <w:numId w:val="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有频繁的大幅度温度循环工况的管道不应采用平焊法兰。</w:t>
      </w:r>
    </w:p>
    <w:bookmarkEnd w:id="43"/>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44" w:name="_Toc47347139"/>
      <w:bookmarkStart w:id="45" w:name="_Toc147758587"/>
      <w:bookmarkStart w:id="46" w:name="_Toc7097764"/>
      <w:bookmarkStart w:id="47" w:name="_Toc9185384"/>
      <w:bookmarkStart w:id="48" w:name="_Toc48564988"/>
      <w:bookmarkStart w:id="49" w:name="_Toc9185385"/>
      <w:bookmarkStart w:id="50" w:name="_Toc7097776"/>
      <w:r>
        <w:rPr>
          <w:rFonts w:hint="eastAsia" w:asciiTheme="minorEastAsia" w:hAnsiTheme="minorEastAsia" w:eastAsiaTheme="minorEastAsia"/>
          <w:b w:val="0"/>
          <w:sz w:val="28"/>
          <w:szCs w:val="28"/>
        </w:rPr>
        <w:t>非金属管道</w:t>
      </w:r>
      <w:bookmarkEnd w:id="44"/>
      <w:bookmarkEnd w:id="45"/>
      <w:bookmarkEnd w:id="46"/>
      <w:bookmarkEnd w:id="47"/>
      <w:bookmarkEnd w:id="48"/>
    </w:p>
    <w:p>
      <w:pPr>
        <w:numPr>
          <w:ilvl w:val="2"/>
          <w:numId w:val="25"/>
        </w:numPr>
        <w:adjustRightInd w:val="0"/>
        <w:snapToGrid w:val="0"/>
        <w:spacing w:line="360" w:lineRule="auto"/>
        <w:ind w:left="0" w:firstLine="0"/>
        <w:textAlignment w:val="baseline"/>
        <w:rPr>
          <w:rFonts w:ascii="宋体" w:hAnsi="宋体" w:eastAsia="宋体"/>
          <w:sz w:val="28"/>
          <w:szCs w:val="28"/>
        </w:rPr>
      </w:pPr>
      <w:bookmarkStart w:id="51" w:name="_Toc7097775"/>
      <w:r>
        <w:rPr>
          <w:rFonts w:hint="eastAsia" w:ascii="宋体" w:hAnsi="宋体" w:eastAsia="宋体"/>
          <w:sz w:val="28"/>
          <w:szCs w:val="28"/>
        </w:rPr>
        <w:t>非金属管道不得用于有剧烈振动和剧烈循环的场合。</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硬聚氯乙烯（</w:t>
      </w:r>
      <w:r>
        <w:rPr>
          <w:rFonts w:ascii="宋体" w:hAnsi="宋体"/>
          <w:sz w:val="28"/>
          <w:szCs w:val="28"/>
        </w:rPr>
        <w:t>PVC-U</w:t>
      </w:r>
      <w:r>
        <w:rPr>
          <w:rFonts w:hint="eastAsia" w:ascii="宋体" w:hAnsi="宋体"/>
          <w:sz w:val="28"/>
          <w:szCs w:val="28"/>
        </w:rPr>
        <w:t>）</w:t>
      </w:r>
      <w:r>
        <w:rPr>
          <w:rFonts w:hint="eastAsia" w:ascii="宋体" w:hAnsi="宋体"/>
          <w:sz w:val="24"/>
          <w:szCs w:val="24"/>
        </w:rPr>
        <w:t>和氯化聚氯乙烯（PVC-C）</w:t>
      </w:r>
      <w:r>
        <w:rPr>
          <w:rFonts w:hint="eastAsia" w:ascii="宋体" w:hAnsi="宋体"/>
          <w:sz w:val="28"/>
          <w:szCs w:val="28"/>
        </w:rPr>
        <w:t>管道不得用于输送压缩气体和气固两相流体。</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4"/>
          <w:szCs w:val="24"/>
        </w:rPr>
        <w:t>对需要降低热损失和</w:t>
      </w:r>
      <w:r>
        <w:rPr>
          <w:rFonts w:hint="eastAsia" w:ascii="宋体" w:hAnsi="宋体"/>
          <w:sz w:val="28"/>
          <w:szCs w:val="28"/>
        </w:rPr>
        <w:t>和防止管内液体凝结、结晶或冻结的非金属管道应采取保温措施。</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树脂混凝土增强（</w:t>
      </w:r>
      <w:r>
        <w:rPr>
          <w:rFonts w:ascii="宋体" w:hAnsi="宋体"/>
          <w:sz w:val="28"/>
          <w:szCs w:val="28"/>
        </w:rPr>
        <w:t>RPM</w:t>
      </w:r>
      <w:r>
        <w:rPr>
          <w:rFonts w:hint="eastAsia" w:ascii="宋体" w:hAnsi="宋体"/>
          <w:sz w:val="28"/>
          <w:szCs w:val="28"/>
        </w:rPr>
        <w:t>）钢管道、热固性增强树脂（</w:t>
      </w:r>
      <w:r>
        <w:rPr>
          <w:rFonts w:ascii="宋体" w:hAnsi="宋体"/>
          <w:sz w:val="28"/>
          <w:szCs w:val="28"/>
        </w:rPr>
        <w:t>RTR</w:t>
      </w:r>
      <w:r>
        <w:rPr>
          <w:rFonts w:hint="eastAsia" w:ascii="宋体" w:hAnsi="宋体"/>
          <w:sz w:val="28"/>
          <w:szCs w:val="28"/>
        </w:rPr>
        <w:t>）的玻璃钢管、硼硅玻璃和陶瓷管道用于有毒或可燃流体工况时，应采取安全防护措施。</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非金属管道在易受到撞击的地面敷设，应采用架空、管沟敷设，并应避免穿越防火墙或防火堤。</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非金属管道</w:t>
      </w:r>
      <w:r>
        <w:rPr>
          <w:rFonts w:hint="eastAsia" w:ascii="宋体" w:hAnsi="宋体" w:cs="宋体"/>
          <w:bCs/>
          <w:sz w:val="24"/>
          <w:szCs w:val="24"/>
        </w:rPr>
        <w:t>（除混凝土</w:t>
      </w:r>
      <w:r>
        <w:rPr>
          <w:rFonts w:ascii="宋体" w:hAnsi="宋体" w:cs="宋体"/>
          <w:bCs/>
          <w:sz w:val="24"/>
          <w:szCs w:val="24"/>
        </w:rPr>
        <w:t>管道外</w:t>
      </w:r>
      <w:r>
        <w:rPr>
          <w:rFonts w:hint="eastAsia" w:ascii="宋体" w:hAnsi="宋体" w:cs="宋体"/>
          <w:bCs/>
          <w:sz w:val="24"/>
          <w:szCs w:val="24"/>
        </w:rPr>
        <w:t>）</w:t>
      </w:r>
      <w:r>
        <w:rPr>
          <w:rFonts w:hint="eastAsia" w:ascii="宋体" w:hAnsi="宋体"/>
          <w:sz w:val="28"/>
          <w:szCs w:val="28"/>
        </w:rPr>
        <w:t>穿跨沟渠、铁路、道路段时应加装保护套管。</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硬聚氯乙烯（</w:t>
      </w:r>
      <w:r>
        <w:rPr>
          <w:rFonts w:ascii="宋体" w:hAnsi="宋体"/>
          <w:sz w:val="28"/>
          <w:szCs w:val="28"/>
        </w:rPr>
        <w:t>PVC-U</w:t>
      </w:r>
      <w:r>
        <w:rPr>
          <w:rFonts w:hint="eastAsia" w:ascii="宋体" w:hAnsi="宋体"/>
          <w:sz w:val="28"/>
          <w:szCs w:val="28"/>
        </w:rPr>
        <w:t>）管道基础埋深低于建（构）筑物基础底面时，管道不得敷设在建（构）筑物基础下地基扩散角受压区以内。</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埋地的非金属管道</w:t>
      </w:r>
      <w:r>
        <w:rPr>
          <w:rFonts w:hint="eastAsia" w:ascii="宋体" w:hAnsi="宋体" w:cs="宋体"/>
          <w:bCs/>
          <w:sz w:val="24"/>
          <w:szCs w:val="24"/>
        </w:rPr>
        <w:t>（</w:t>
      </w:r>
      <w:r>
        <w:rPr>
          <w:rFonts w:ascii="宋体" w:hAnsi="宋体"/>
          <w:sz w:val="24"/>
          <w:szCs w:val="24"/>
        </w:rPr>
        <w:t>除</w:t>
      </w:r>
      <w:r>
        <w:rPr>
          <w:rFonts w:hint="eastAsia" w:ascii="宋体" w:hAnsi="宋体" w:cs="宋体"/>
          <w:bCs/>
          <w:sz w:val="24"/>
          <w:szCs w:val="24"/>
        </w:rPr>
        <w:t>消防水系统外）</w:t>
      </w:r>
      <w:r>
        <w:rPr>
          <w:rFonts w:hint="eastAsia" w:ascii="宋体" w:hAnsi="宋体"/>
          <w:sz w:val="28"/>
          <w:szCs w:val="28"/>
        </w:rPr>
        <w:t>不得采用法兰连接，管道上的阀门应设在阀门井内。</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管道在架空敷设时不应利用管道自身作为支吊架结构。</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支吊架不得与非金属管道直接粘接或焊接。</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非金属管道不应采用温度高于其使用温度的伴热设施。</w:t>
      </w:r>
    </w:p>
    <w:p>
      <w:pPr>
        <w:numPr>
          <w:ilvl w:val="2"/>
          <w:numId w:val="25"/>
        </w:numPr>
        <w:adjustRightInd w:val="0"/>
        <w:snapToGrid w:val="0"/>
        <w:spacing w:line="360" w:lineRule="auto"/>
        <w:ind w:left="0" w:firstLine="0"/>
        <w:textAlignment w:val="baseline"/>
        <w:rPr>
          <w:rFonts w:ascii="宋体" w:hAnsi="宋体"/>
          <w:sz w:val="28"/>
          <w:szCs w:val="28"/>
        </w:rPr>
      </w:pPr>
      <w:r>
        <w:rPr>
          <w:rFonts w:hint="eastAsia" w:ascii="宋体" w:hAnsi="宋体"/>
          <w:sz w:val="28"/>
          <w:szCs w:val="28"/>
        </w:rPr>
        <w:t>需进行应力分析的非金属管道系统，应做应力柔性分析。</w:t>
      </w:r>
    </w:p>
    <w:bookmarkEnd w:id="51"/>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52" w:name="_Toc137473906"/>
      <w:bookmarkEnd w:id="52"/>
      <w:bookmarkStart w:id="53" w:name="_Toc137473692"/>
      <w:bookmarkEnd w:id="53"/>
      <w:bookmarkStart w:id="54" w:name="_Toc137473687"/>
      <w:bookmarkEnd w:id="54"/>
      <w:bookmarkStart w:id="55" w:name="_Toc137473697"/>
      <w:bookmarkEnd w:id="55"/>
      <w:bookmarkStart w:id="56" w:name="_Toc137473485"/>
      <w:bookmarkEnd w:id="56"/>
      <w:bookmarkStart w:id="57" w:name="_Toc137473908"/>
      <w:bookmarkEnd w:id="57"/>
      <w:bookmarkStart w:id="58" w:name="_Toc137473909"/>
      <w:bookmarkEnd w:id="58"/>
      <w:bookmarkStart w:id="59" w:name="_Toc137473914"/>
      <w:bookmarkEnd w:id="59"/>
      <w:bookmarkStart w:id="60" w:name="_Toc137473916"/>
      <w:bookmarkEnd w:id="60"/>
      <w:bookmarkStart w:id="61" w:name="_Toc137473477"/>
      <w:bookmarkEnd w:id="61"/>
      <w:bookmarkStart w:id="62" w:name="_Toc137473482"/>
      <w:bookmarkEnd w:id="62"/>
      <w:bookmarkStart w:id="63" w:name="_Toc137473915"/>
      <w:bookmarkEnd w:id="63"/>
      <w:bookmarkStart w:id="64" w:name="_Toc137473483"/>
      <w:bookmarkEnd w:id="64"/>
      <w:bookmarkStart w:id="65" w:name="_Toc137473691"/>
      <w:bookmarkEnd w:id="65"/>
      <w:bookmarkStart w:id="66" w:name="_Toc137473911"/>
      <w:bookmarkEnd w:id="66"/>
      <w:bookmarkStart w:id="67" w:name="_Toc137473484"/>
      <w:bookmarkEnd w:id="67"/>
      <w:bookmarkStart w:id="68" w:name="_Toc137473588"/>
      <w:bookmarkEnd w:id="68"/>
      <w:bookmarkStart w:id="69" w:name="_Toc137473910"/>
      <w:bookmarkEnd w:id="69"/>
      <w:bookmarkStart w:id="70" w:name="_Toc137473689"/>
      <w:bookmarkEnd w:id="70"/>
      <w:bookmarkStart w:id="71" w:name="_Toc137473589"/>
      <w:bookmarkEnd w:id="71"/>
      <w:bookmarkStart w:id="72" w:name="_Toc137473590"/>
      <w:bookmarkEnd w:id="72"/>
      <w:bookmarkStart w:id="73" w:name="_Toc137473586"/>
      <w:bookmarkEnd w:id="73"/>
      <w:bookmarkStart w:id="74" w:name="_Toc137473478"/>
      <w:bookmarkEnd w:id="74"/>
      <w:bookmarkStart w:id="75" w:name="_Toc137473475"/>
      <w:bookmarkEnd w:id="75"/>
      <w:bookmarkStart w:id="76" w:name="_Toc137473480"/>
      <w:bookmarkEnd w:id="76"/>
      <w:bookmarkStart w:id="77" w:name="_Toc137473912"/>
      <w:bookmarkEnd w:id="77"/>
      <w:bookmarkStart w:id="78" w:name="_Toc137473688"/>
      <w:bookmarkEnd w:id="78"/>
      <w:bookmarkStart w:id="79" w:name="_Toc137473913"/>
      <w:bookmarkEnd w:id="79"/>
      <w:bookmarkStart w:id="80" w:name="_Toc137473696"/>
      <w:bookmarkEnd w:id="80"/>
      <w:bookmarkStart w:id="81" w:name="_Toc137473481"/>
      <w:bookmarkEnd w:id="81"/>
      <w:bookmarkStart w:id="82" w:name="_Toc137473694"/>
      <w:bookmarkEnd w:id="82"/>
      <w:bookmarkStart w:id="83" w:name="_Toc137473583"/>
      <w:bookmarkEnd w:id="83"/>
      <w:bookmarkStart w:id="84" w:name="_Toc137473690"/>
      <w:bookmarkEnd w:id="84"/>
      <w:bookmarkStart w:id="85" w:name="_Toc137473907"/>
      <w:bookmarkEnd w:id="85"/>
      <w:bookmarkStart w:id="86" w:name="_Toc137473581"/>
      <w:bookmarkEnd w:id="86"/>
      <w:bookmarkStart w:id="87" w:name="_Toc137473585"/>
      <w:bookmarkEnd w:id="87"/>
      <w:bookmarkStart w:id="88" w:name="_Toc137473476"/>
      <w:bookmarkEnd w:id="88"/>
      <w:bookmarkStart w:id="89" w:name="_Toc137473584"/>
      <w:bookmarkEnd w:id="89"/>
      <w:bookmarkStart w:id="90" w:name="_Toc137473587"/>
      <w:bookmarkEnd w:id="90"/>
      <w:bookmarkStart w:id="91" w:name="_Toc137473591"/>
      <w:bookmarkEnd w:id="91"/>
      <w:bookmarkStart w:id="92" w:name="_Toc137473582"/>
      <w:bookmarkEnd w:id="92"/>
      <w:bookmarkStart w:id="93" w:name="_Toc137473479"/>
      <w:bookmarkEnd w:id="93"/>
      <w:bookmarkStart w:id="94" w:name="_Toc137473695"/>
      <w:bookmarkEnd w:id="94"/>
      <w:bookmarkStart w:id="95" w:name="_Toc137473693"/>
      <w:bookmarkEnd w:id="95"/>
      <w:bookmarkStart w:id="96" w:name="_Toc147758588"/>
      <w:bookmarkStart w:id="97" w:name="_Toc48564989"/>
      <w:bookmarkStart w:id="98" w:name="_Toc47347140"/>
      <w:r>
        <w:rPr>
          <w:rFonts w:hint="eastAsia" w:asciiTheme="minorEastAsia" w:hAnsiTheme="minorEastAsia" w:eastAsiaTheme="minorEastAsia"/>
          <w:b w:val="0"/>
          <w:sz w:val="28"/>
          <w:szCs w:val="28"/>
        </w:rPr>
        <w:t>设备和管道内防腐</w:t>
      </w:r>
      <w:bookmarkEnd w:id="49"/>
      <w:bookmarkEnd w:id="50"/>
      <w:bookmarkEnd w:id="96"/>
      <w:bookmarkEnd w:id="97"/>
      <w:bookmarkEnd w:id="98"/>
    </w:p>
    <w:p>
      <w:pPr>
        <w:pStyle w:val="4"/>
        <w:numPr>
          <w:ilvl w:val="2"/>
          <w:numId w:val="26"/>
        </w:numPr>
        <w:adjustRightInd w:val="0"/>
        <w:snapToGrid w:val="0"/>
        <w:spacing w:before="0" w:after="0" w:line="360" w:lineRule="auto"/>
        <w:ind w:left="0" w:firstLine="0"/>
        <w:textAlignment w:val="baseline"/>
        <w:rPr>
          <w:rFonts w:ascii="宋体" w:hAnsi="宋体" w:eastAsia="宋体" w:cs="宋体"/>
          <w:b w:val="0"/>
          <w:sz w:val="28"/>
          <w:szCs w:val="28"/>
        </w:rPr>
      </w:pPr>
      <w:r>
        <w:rPr>
          <w:rFonts w:ascii="宋体" w:hAnsi="宋体" w:eastAsia="宋体" w:cs="宋体"/>
          <w:b w:val="0"/>
          <w:sz w:val="28"/>
          <w:szCs w:val="28"/>
        </w:rPr>
        <w:t>设备钢壳和管道的壁厚应满足刚性和强度要求，结构和形状应简单。贴衬表面应平整，结构棱角、角焊缝</w:t>
      </w:r>
      <w:r>
        <w:rPr>
          <w:rFonts w:hint="eastAsia" w:ascii="宋体" w:hAnsi="宋体" w:eastAsia="宋体" w:cs="宋体"/>
          <w:b w:val="0"/>
          <w:sz w:val="28"/>
          <w:szCs w:val="28"/>
        </w:rPr>
        <w:t>的外形应当凹形圆滑</w:t>
      </w:r>
      <w:r>
        <w:rPr>
          <w:rFonts w:ascii="宋体" w:hAnsi="宋体" w:eastAsia="宋体" w:cs="宋体"/>
          <w:b w:val="0"/>
          <w:sz w:val="28"/>
          <w:szCs w:val="28"/>
        </w:rPr>
        <w:t>过渡。接管最小直径和相应的最大长度应满足防腐蚀工程需要。</w:t>
      </w:r>
    </w:p>
    <w:p>
      <w:pPr>
        <w:pStyle w:val="4"/>
        <w:numPr>
          <w:ilvl w:val="2"/>
          <w:numId w:val="26"/>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衬里设备结构宜采用可拆卸连接方式，对不可拆卸、整体密闭或空间受限的结构应设置公称直径不小于DN500的人孔；当设备直径大于或等于5000mm时，应至少设置两个人孔。</w:t>
      </w:r>
    </w:p>
    <w:p>
      <w:pPr>
        <w:pStyle w:val="4"/>
        <w:numPr>
          <w:ilvl w:val="2"/>
          <w:numId w:val="26"/>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介质为可燃易爆且在操作过程中易产生静电荷累积时，当没有导静电措施时，与介质接触部位的防腐涂层采，应采用本表面电阻率应为1×10</w:t>
      </w:r>
      <w:r>
        <w:rPr>
          <w:rFonts w:ascii="宋体" w:hAnsi="宋体" w:eastAsia="宋体" w:cs="宋体"/>
          <w:b w:val="0"/>
          <w:sz w:val="28"/>
          <w:szCs w:val="28"/>
          <w:vertAlign w:val="superscript"/>
        </w:rPr>
        <w:t>8</w:t>
      </w:r>
      <w:r>
        <w:rPr>
          <w:rFonts w:hint="eastAsia" w:ascii="宋体" w:hAnsi="宋体" w:eastAsia="宋体" w:cs="宋体"/>
          <w:b w:val="0"/>
          <w:sz w:val="28"/>
          <w:szCs w:val="28"/>
        </w:rPr>
        <w:t>～1×10</w:t>
      </w:r>
      <w:r>
        <w:rPr>
          <w:rFonts w:ascii="宋体" w:hAnsi="宋体" w:eastAsia="宋体" w:cs="宋体"/>
          <w:b w:val="0"/>
          <w:sz w:val="28"/>
          <w:szCs w:val="28"/>
          <w:vertAlign w:val="superscript"/>
        </w:rPr>
        <w:t>11</w:t>
      </w:r>
      <w:r>
        <w:rPr>
          <w:rFonts w:hint="eastAsia" w:ascii="宋体" w:hAnsi="宋体" w:eastAsia="宋体" w:cs="宋体"/>
          <w:b w:val="0"/>
          <w:sz w:val="28"/>
          <w:szCs w:val="28"/>
        </w:rPr>
        <w:t>Ω的</w:t>
      </w:r>
      <w:r>
        <w:rPr>
          <w:rFonts w:ascii="宋体" w:hAnsi="宋体" w:eastAsia="宋体" w:cs="宋体"/>
          <w:b w:val="0"/>
          <w:sz w:val="28"/>
          <w:szCs w:val="28"/>
        </w:rPr>
        <w:t>不污染介质的导静电型防腐蚀涂料</w:t>
      </w:r>
      <w:r>
        <w:rPr>
          <w:rFonts w:hint="eastAsia" w:ascii="宋体" w:hAnsi="宋体" w:eastAsia="宋体" w:cs="宋体"/>
          <w:b w:val="0"/>
          <w:sz w:val="28"/>
          <w:szCs w:val="28"/>
        </w:rPr>
        <w:t>。</w:t>
      </w:r>
    </w:p>
    <w:p>
      <w:pPr>
        <w:pStyle w:val="4"/>
        <w:numPr>
          <w:ilvl w:val="2"/>
          <w:numId w:val="26"/>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航空燃料类的储罐内表面应采用不含有锌、铜、铬成分的导静电涂料。</w:t>
      </w:r>
    </w:p>
    <w:p>
      <w:pPr>
        <w:pStyle w:val="4"/>
        <w:numPr>
          <w:ilvl w:val="2"/>
          <w:numId w:val="26"/>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当储罐内部采用阴极保护电位（CSE）应在-1100mV～-</w:t>
      </w:r>
      <w:r>
        <w:rPr>
          <w:rFonts w:ascii="宋体" w:hAnsi="宋体" w:eastAsia="宋体" w:cs="宋体"/>
          <w:b w:val="0"/>
          <w:sz w:val="28"/>
          <w:szCs w:val="28"/>
        </w:rPr>
        <w:t>8</w:t>
      </w:r>
      <w:r>
        <w:rPr>
          <w:rFonts w:hint="eastAsia" w:ascii="宋体" w:hAnsi="宋体" w:eastAsia="宋体" w:cs="宋体"/>
          <w:b w:val="0"/>
          <w:sz w:val="28"/>
          <w:szCs w:val="28"/>
        </w:rPr>
        <w:t>50mV范围内：介质温度高于60℃或介质中H</w:t>
      </w:r>
      <w:r>
        <w:rPr>
          <w:rFonts w:hint="eastAsia" w:ascii="宋体" w:hAnsi="宋体" w:eastAsia="宋体" w:cs="宋体"/>
          <w:b w:val="0"/>
          <w:sz w:val="28"/>
          <w:szCs w:val="28"/>
          <w:vertAlign w:val="subscript"/>
        </w:rPr>
        <w:t>2</w:t>
      </w:r>
      <w:r>
        <w:rPr>
          <w:rFonts w:hint="eastAsia" w:ascii="宋体" w:hAnsi="宋体" w:eastAsia="宋体" w:cs="宋体"/>
          <w:b w:val="0"/>
          <w:sz w:val="28"/>
          <w:szCs w:val="28"/>
        </w:rPr>
        <w:t>S含量不小于50ppm时，阴极保护电位（CSE）应在-1100</w:t>
      </w:r>
      <w:r>
        <w:rPr>
          <w:rFonts w:ascii="宋体" w:hAnsi="宋体" w:eastAsia="宋体" w:cs="宋体"/>
          <w:b w:val="0"/>
          <w:sz w:val="28"/>
          <w:szCs w:val="28"/>
        </w:rPr>
        <w:t>Mv</w:t>
      </w:r>
      <w:r>
        <w:rPr>
          <w:rFonts w:hint="eastAsia" w:ascii="宋体" w:hAnsi="宋体" w:eastAsia="宋体" w:cs="宋体"/>
          <w:b w:val="0"/>
          <w:sz w:val="28"/>
          <w:szCs w:val="28"/>
        </w:rPr>
        <w:t>～-950mV范围内。</w:t>
      </w:r>
    </w:p>
    <w:p>
      <w:pPr>
        <w:pStyle w:val="4"/>
        <w:numPr>
          <w:ilvl w:val="2"/>
          <w:numId w:val="26"/>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设备衬胶硫化方式应考虑设备的设计压力，采用本体蒸汽硫化时，蒸汽压力不应大于设备设计压力。</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99" w:name="_Toc48564990"/>
      <w:bookmarkStart w:id="100" w:name="_Toc147758589"/>
      <w:bookmarkStart w:id="101" w:name="_Toc7097788"/>
      <w:bookmarkStart w:id="102" w:name="_Toc9185386"/>
      <w:bookmarkStart w:id="103" w:name="_Toc47347141"/>
      <w:r>
        <w:rPr>
          <w:rFonts w:hint="eastAsia" w:asciiTheme="minorEastAsia" w:hAnsiTheme="minorEastAsia" w:eastAsiaTheme="minorEastAsia"/>
          <w:b w:val="0"/>
          <w:sz w:val="28"/>
          <w:szCs w:val="28"/>
        </w:rPr>
        <w:t>设备和管道外防腐</w:t>
      </w:r>
      <w:bookmarkEnd w:id="99"/>
      <w:bookmarkEnd w:id="100"/>
      <w:bookmarkEnd w:id="101"/>
      <w:bookmarkEnd w:id="102"/>
      <w:bookmarkEnd w:id="103"/>
    </w:p>
    <w:p>
      <w:pPr>
        <w:pStyle w:val="4"/>
        <w:keepNext w:val="0"/>
        <w:keepLines w:val="0"/>
        <w:numPr>
          <w:ilvl w:val="2"/>
          <w:numId w:val="27"/>
        </w:numPr>
        <w:adjustRightInd w:val="0"/>
        <w:snapToGrid w:val="0"/>
        <w:spacing w:before="0" w:after="0" w:line="360" w:lineRule="auto"/>
        <w:ind w:left="0" w:firstLine="0"/>
        <w:rPr>
          <w:rFonts w:ascii="宋体" w:hAnsi="宋体" w:eastAsia="宋体" w:cs="宋体"/>
          <w:b w:val="0"/>
          <w:sz w:val="28"/>
          <w:szCs w:val="28"/>
        </w:rPr>
      </w:pPr>
      <w:bookmarkStart w:id="104" w:name="_Toc7100287"/>
      <w:bookmarkEnd w:id="104"/>
      <w:bookmarkStart w:id="105" w:name="_Toc7097793"/>
      <w:bookmarkEnd w:id="105"/>
      <w:bookmarkStart w:id="106" w:name="_Toc7097794"/>
      <w:bookmarkEnd w:id="106"/>
      <w:bookmarkStart w:id="107" w:name="_Toc7096028"/>
      <w:bookmarkEnd w:id="107"/>
      <w:bookmarkStart w:id="108" w:name="_Toc7097796"/>
      <w:bookmarkEnd w:id="108"/>
      <w:bookmarkStart w:id="109" w:name="_Toc7097795"/>
      <w:bookmarkEnd w:id="109"/>
      <w:bookmarkStart w:id="110" w:name="_Toc7096032"/>
      <w:bookmarkEnd w:id="110"/>
      <w:bookmarkStart w:id="111" w:name="_Toc7096325"/>
      <w:bookmarkEnd w:id="111"/>
      <w:bookmarkStart w:id="112" w:name="_Toc7096323"/>
      <w:bookmarkEnd w:id="112"/>
      <w:bookmarkStart w:id="113" w:name="_Toc7097797"/>
      <w:bookmarkEnd w:id="113"/>
      <w:bookmarkStart w:id="114" w:name="_Toc7096031"/>
      <w:bookmarkEnd w:id="114"/>
      <w:bookmarkStart w:id="115" w:name="_Toc7100282"/>
      <w:bookmarkEnd w:id="115"/>
      <w:bookmarkStart w:id="116" w:name="_Toc7097496"/>
      <w:bookmarkEnd w:id="116"/>
      <w:bookmarkStart w:id="117" w:name="_Toc7100288"/>
      <w:bookmarkEnd w:id="117"/>
      <w:bookmarkStart w:id="118" w:name="_Toc7097497"/>
      <w:bookmarkEnd w:id="118"/>
      <w:bookmarkStart w:id="119" w:name="_Toc7096322"/>
      <w:bookmarkEnd w:id="119"/>
      <w:bookmarkStart w:id="120" w:name="_Toc7097798"/>
      <w:bookmarkEnd w:id="120"/>
      <w:bookmarkStart w:id="121" w:name="_Toc7096324"/>
      <w:bookmarkEnd w:id="121"/>
      <w:bookmarkStart w:id="122" w:name="_Toc7096033"/>
      <w:bookmarkEnd w:id="122"/>
      <w:bookmarkStart w:id="123" w:name="_Toc7097500"/>
      <w:bookmarkEnd w:id="123"/>
      <w:bookmarkStart w:id="124" w:name="_Toc7100286"/>
      <w:bookmarkEnd w:id="124"/>
      <w:bookmarkStart w:id="125" w:name="_Toc7097495"/>
      <w:bookmarkEnd w:id="125"/>
      <w:bookmarkStart w:id="126" w:name="_Toc7096030"/>
      <w:bookmarkEnd w:id="126"/>
      <w:bookmarkStart w:id="127" w:name="_Toc7097498"/>
      <w:bookmarkEnd w:id="127"/>
      <w:bookmarkStart w:id="128" w:name="_Toc7096326"/>
      <w:bookmarkEnd w:id="128"/>
      <w:bookmarkStart w:id="129" w:name="_Toc7097792"/>
      <w:bookmarkEnd w:id="129"/>
      <w:bookmarkStart w:id="130" w:name="_Toc7097499"/>
      <w:bookmarkEnd w:id="130"/>
      <w:bookmarkStart w:id="131" w:name="_Toc7100285"/>
      <w:bookmarkEnd w:id="131"/>
      <w:bookmarkStart w:id="132" w:name="_Toc7097494"/>
      <w:bookmarkEnd w:id="132"/>
      <w:bookmarkStart w:id="133" w:name="_Toc7100284"/>
      <w:bookmarkEnd w:id="133"/>
      <w:bookmarkStart w:id="134" w:name="_Toc7096034"/>
      <w:bookmarkEnd w:id="134"/>
      <w:bookmarkStart w:id="135" w:name="_Toc7100283"/>
      <w:bookmarkEnd w:id="135"/>
      <w:bookmarkStart w:id="136" w:name="_Toc7096320"/>
      <w:bookmarkEnd w:id="136"/>
      <w:bookmarkStart w:id="137" w:name="_Toc7096029"/>
      <w:bookmarkEnd w:id="137"/>
      <w:bookmarkStart w:id="138" w:name="_Toc7096321"/>
      <w:bookmarkEnd w:id="138"/>
      <w:bookmarkStart w:id="139" w:name="_Toc7097799"/>
      <w:r>
        <w:rPr>
          <w:rFonts w:hint="eastAsia" w:ascii="宋体" w:hAnsi="宋体" w:eastAsia="宋体" w:cs="宋体"/>
          <w:b w:val="0"/>
          <w:sz w:val="28"/>
          <w:szCs w:val="28"/>
        </w:rPr>
        <w:t>碳素钢、铸铁、低合金钢制作的设备、管道及附属钢结构应进行外防腐。在可能造成不锈钢局部腐蚀的特殊条件下，不锈钢制设备、管道及附件应进行外防腐保护</w:t>
      </w:r>
      <w:bookmarkEnd w:id="139"/>
      <w:r>
        <w:rPr>
          <w:rFonts w:hint="eastAsia" w:ascii="宋体" w:hAnsi="宋体" w:eastAsia="宋体" w:cs="宋体"/>
          <w:b w:val="0"/>
          <w:sz w:val="28"/>
          <w:szCs w:val="28"/>
        </w:rPr>
        <w:t>。</w:t>
      </w:r>
    </w:p>
    <w:p>
      <w:pPr>
        <w:pStyle w:val="4"/>
        <w:keepNext w:val="0"/>
        <w:keepLines w:val="0"/>
        <w:numPr>
          <w:ilvl w:val="2"/>
          <w:numId w:val="27"/>
        </w:numPr>
        <w:adjustRightInd w:val="0"/>
        <w:snapToGrid w:val="0"/>
        <w:spacing w:before="0" w:after="0" w:line="360" w:lineRule="auto"/>
        <w:ind w:left="0" w:firstLine="0"/>
        <w:rPr>
          <w:rFonts w:ascii="宋体" w:hAnsi="宋体" w:eastAsia="宋体" w:cs="宋体"/>
          <w:b w:val="0"/>
          <w:sz w:val="28"/>
          <w:szCs w:val="28"/>
        </w:rPr>
      </w:pPr>
      <w:r>
        <w:rPr>
          <w:rFonts w:hint="eastAsia" w:ascii="宋体" w:hAnsi="宋体" w:eastAsia="宋体" w:cs="宋体"/>
          <w:b w:val="0"/>
          <w:sz w:val="28"/>
          <w:szCs w:val="28"/>
        </w:rPr>
        <w:t>在大气腐蚀环境下，设备、管道外防腐设计寿命（设计年限）应不小于5年，且不得小于设备、管道的检修周期。设计时应根据设备、管道特性以及大气腐蚀条件确定外防腐设计寿命。</w:t>
      </w:r>
    </w:p>
    <w:p>
      <w:pPr>
        <w:pStyle w:val="4"/>
        <w:keepNext w:val="0"/>
        <w:keepLines w:val="0"/>
        <w:numPr>
          <w:ilvl w:val="2"/>
          <w:numId w:val="27"/>
        </w:numPr>
        <w:adjustRightInd w:val="0"/>
        <w:snapToGrid w:val="0"/>
        <w:spacing w:before="0" w:after="0" w:line="360" w:lineRule="auto"/>
        <w:ind w:left="0" w:firstLine="0"/>
        <w:rPr>
          <w:rFonts w:ascii="宋体" w:hAnsi="宋体" w:eastAsia="宋体" w:cs="宋体"/>
          <w:b w:val="0"/>
          <w:sz w:val="28"/>
          <w:szCs w:val="28"/>
        </w:rPr>
      </w:pPr>
      <w:r>
        <w:rPr>
          <w:rFonts w:hint="eastAsia" w:ascii="宋体" w:hAnsi="宋体" w:eastAsia="宋体" w:cs="宋体"/>
          <w:b w:val="0"/>
          <w:sz w:val="28"/>
          <w:szCs w:val="28"/>
        </w:rPr>
        <w:t>埋地或水下设备、管道防腐层应具有有效的电绝缘性，绝缘电阻率不应小于10000Ωm</w:t>
      </w:r>
      <w:r>
        <w:rPr>
          <w:rFonts w:hint="eastAsia" w:ascii="宋体" w:hAnsi="宋体" w:eastAsia="宋体" w:cs="宋体"/>
          <w:b w:val="0"/>
          <w:sz w:val="28"/>
          <w:szCs w:val="28"/>
          <w:vertAlign w:val="superscript"/>
        </w:rPr>
        <w:t>2</w:t>
      </w:r>
      <w:r>
        <w:rPr>
          <w:rFonts w:hint="eastAsia" w:ascii="宋体" w:hAnsi="宋体" w:eastAsia="宋体" w:cs="宋体"/>
          <w:b w:val="0"/>
          <w:sz w:val="28"/>
          <w:szCs w:val="28"/>
        </w:rPr>
        <w:t>。</w:t>
      </w:r>
    </w:p>
    <w:p>
      <w:pPr>
        <w:pStyle w:val="4"/>
        <w:keepNext w:val="0"/>
        <w:keepLines w:val="0"/>
        <w:numPr>
          <w:ilvl w:val="2"/>
          <w:numId w:val="27"/>
        </w:numPr>
        <w:adjustRightInd w:val="0"/>
        <w:snapToGrid w:val="0"/>
        <w:spacing w:before="0" w:after="0" w:line="360" w:lineRule="auto"/>
        <w:ind w:left="0" w:firstLine="0"/>
        <w:rPr>
          <w:rFonts w:ascii="宋体" w:hAnsi="宋体" w:eastAsia="宋体" w:cs="宋体"/>
          <w:b w:val="0"/>
          <w:sz w:val="28"/>
          <w:szCs w:val="28"/>
        </w:rPr>
      </w:pPr>
      <w:r>
        <w:rPr>
          <w:rFonts w:hint="eastAsia" w:ascii="宋体" w:hAnsi="宋体" w:eastAsia="宋体" w:cs="宋体"/>
          <w:b w:val="0"/>
          <w:sz w:val="28"/>
          <w:szCs w:val="28"/>
        </w:rPr>
        <w:t>输送易燃、易爆、有毒介质的埋地管道，除采用一般外防腐层外，还应采用阴极保护。</w:t>
      </w:r>
    </w:p>
    <w:p>
      <w:pPr>
        <w:pStyle w:val="4"/>
        <w:keepNext w:val="0"/>
        <w:keepLines w:val="0"/>
        <w:numPr>
          <w:ilvl w:val="2"/>
          <w:numId w:val="27"/>
        </w:numPr>
        <w:adjustRightInd w:val="0"/>
        <w:snapToGrid w:val="0"/>
        <w:spacing w:before="0" w:after="0" w:line="360" w:lineRule="auto"/>
        <w:ind w:left="0" w:firstLine="0"/>
        <w:rPr>
          <w:rFonts w:ascii="宋体" w:hAnsi="宋体" w:eastAsia="宋体" w:cs="宋体"/>
          <w:b w:val="0"/>
          <w:sz w:val="28"/>
          <w:szCs w:val="28"/>
        </w:rPr>
      </w:pPr>
      <w:r>
        <w:rPr>
          <w:rFonts w:hint="eastAsia" w:ascii="宋体" w:hAnsi="宋体" w:eastAsia="宋体" w:cs="宋体"/>
          <w:b w:val="0"/>
          <w:sz w:val="28"/>
          <w:szCs w:val="28"/>
        </w:rPr>
        <w:t>储罐外部阴极保护设计时，罐底外表面阴极保护电位（相对铜/饱和硫酸铜参比电极）应在－1200</w:t>
      </w:r>
      <w:r>
        <w:rPr>
          <w:rFonts w:ascii="宋体" w:hAnsi="宋体" w:eastAsia="宋体" w:cs="宋体"/>
          <w:b w:val="0"/>
          <w:sz w:val="28"/>
          <w:szCs w:val="28"/>
        </w:rPr>
        <w:t>mV</w:t>
      </w:r>
      <w:r>
        <w:rPr>
          <w:rFonts w:hint="eastAsia" w:ascii="宋体" w:hAnsi="宋体" w:eastAsia="宋体" w:cs="宋体"/>
          <w:b w:val="0"/>
          <w:sz w:val="28"/>
          <w:szCs w:val="28"/>
        </w:rPr>
        <w:t>～－850mV范围内，或者罐/地极化电位偏移不小于100mV。</w:t>
      </w:r>
    </w:p>
    <w:p>
      <w:pPr>
        <w:pStyle w:val="4"/>
        <w:keepNext w:val="0"/>
        <w:keepLines w:val="0"/>
        <w:numPr>
          <w:ilvl w:val="2"/>
          <w:numId w:val="27"/>
        </w:numPr>
        <w:adjustRightInd w:val="0"/>
        <w:snapToGrid w:val="0"/>
        <w:spacing w:before="0" w:after="0" w:line="360" w:lineRule="auto"/>
        <w:ind w:left="0" w:firstLine="0"/>
        <w:rPr>
          <w:rFonts w:ascii="宋体" w:hAnsi="宋体" w:eastAsia="宋体" w:cs="宋体"/>
          <w:b w:val="0"/>
          <w:sz w:val="28"/>
          <w:szCs w:val="28"/>
        </w:rPr>
      </w:pPr>
      <w:r>
        <w:rPr>
          <w:rFonts w:hint="eastAsia" w:ascii="宋体" w:hAnsi="宋体" w:eastAsia="宋体" w:cs="宋体"/>
          <w:b w:val="0"/>
          <w:sz w:val="28"/>
          <w:szCs w:val="28"/>
        </w:rPr>
        <w:t>厂区工业设备、管道（埋地管道除外）应进行涂色和/或标识。涂色和标识应符合下列要求：</w:t>
      </w:r>
    </w:p>
    <w:p>
      <w:pPr>
        <w:numPr>
          <w:ilvl w:val="0"/>
          <w:numId w:val="2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涂色包括基本识别色（或表面色）和颜色标号；</w:t>
      </w:r>
    </w:p>
    <w:p>
      <w:pPr>
        <w:numPr>
          <w:ilvl w:val="0"/>
          <w:numId w:val="2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标识包括标识颜色、识别字符或符号、安全标识等内容；</w:t>
      </w:r>
    </w:p>
    <w:p>
      <w:pPr>
        <w:numPr>
          <w:ilvl w:val="0"/>
          <w:numId w:val="2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标识颜色与基本识别色应有明显的色差。</w:t>
      </w:r>
    </w:p>
    <w:p>
      <w:pPr>
        <w:pStyle w:val="4"/>
        <w:keepNext w:val="0"/>
        <w:keepLines w:val="0"/>
        <w:numPr>
          <w:ilvl w:val="2"/>
          <w:numId w:val="27"/>
        </w:numPr>
        <w:adjustRightInd w:val="0"/>
        <w:snapToGrid w:val="0"/>
        <w:spacing w:before="0" w:after="0" w:line="360" w:lineRule="auto"/>
        <w:ind w:left="0" w:firstLine="0"/>
        <w:rPr>
          <w:rFonts w:ascii="宋体" w:hAnsi="宋体" w:eastAsia="宋体" w:cs="宋体"/>
          <w:b w:val="0"/>
          <w:sz w:val="28"/>
          <w:szCs w:val="28"/>
        </w:rPr>
      </w:pPr>
      <w:r>
        <w:rPr>
          <w:rFonts w:hint="eastAsia" w:ascii="宋体" w:hAnsi="宋体" w:eastAsia="宋体" w:cs="宋体"/>
          <w:b w:val="0"/>
          <w:sz w:val="28"/>
          <w:szCs w:val="28"/>
        </w:rPr>
        <w:t>对高温、高压、易燃、易爆、有毒介质的设备和管道，标识应标注温度、压力及介质名称或代号等介质特性。管道标识还应包括介质流向。</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140" w:name="_Toc147758590"/>
      <w:bookmarkStart w:id="141" w:name="_Toc48564991"/>
      <w:bookmarkStart w:id="142" w:name="_Toc47347142"/>
      <w:bookmarkStart w:id="143" w:name="_Toc7097816"/>
      <w:bookmarkStart w:id="144" w:name="_Toc9185387"/>
      <w:r>
        <w:rPr>
          <w:rFonts w:hint="eastAsia" w:asciiTheme="minorEastAsia" w:hAnsiTheme="minorEastAsia" w:eastAsiaTheme="minorEastAsia"/>
          <w:b w:val="0"/>
          <w:sz w:val="28"/>
          <w:szCs w:val="28"/>
        </w:rPr>
        <w:t>设备和管道绝热</w:t>
      </w:r>
      <w:bookmarkEnd w:id="140"/>
      <w:bookmarkEnd w:id="141"/>
      <w:bookmarkEnd w:id="142"/>
    </w:p>
    <w:p>
      <w:pPr>
        <w:numPr>
          <w:ilvl w:val="2"/>
          <w:numId w:val="2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具有下列情况之一的设备、管道及其附件，应进行保温：</w:t>
      </w:r>
    </w:p>
    <w:p>
      <w:pPr>
        <w:keepLines/>
        <w:numPr>
          <w:ilvl w:val="0"/>
          <w:numId w:val="30"/>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外表面温度高于</w:t>
      </w:r>
      <w:r>
        <w:rPr>
          <w:rFonts w:ascii="宋体" w:hAnsi="宋体" w:eastAsia="宋体" w:cs="宋体"/>
          <w:bCs/>
          <w:sz w:val="28"/>
          <w:szCs w:val="28"/>
        </w:rPr>
        <w:t>50</w:t>
      </w:r>
      <w:r>
        <w:rPr>
          <w:rFonts w:hint="eastAsia" w:ascii="宋体" w:hAnsi="宋体" w:eastAsia="宋体" w:cs="宋体"/>
          <w:bCs/>
          <w:sz w:val="28"/>
          <w:szCs w:val="28"/>
        </w:rPr>
        <w:t>℃且工艺需要减少散热损失者；</w:t>
      </w:r>
    </w:p>
    <w:p>
      <w:pPr>
        <w:keepLines/>
        <w:numPr>
          <w:ilvl w:val="0"/>
          <w:numId w:val="30"/>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工艺需要减少介质的温度降低或延迟介质凝结者；</w:t>
      </w:r>
    </w:p>
    <w:p>
      <w:pPr>
        <w:keepLines/>
        <w:numPr>
          <w:ilvl w:val="0"/>
          <w:numId w:val="30"/>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工艺不要求保温的设备及管道，当其表面温度超过</w:t>
      </w:r>
      <w:r>
        <w:rPr>
          <w:rFonts w:ascii="宋体" w:hAnsi="宋体" w:eastAsia="宋体" w:cs="宋体"/>
          <w:bCs/>
          <w:sz w:val="28"/>
          <w:szCs w:val="28"/>
        </w:rPr>
        <w:t>60</w:t>
      </w:r>
      <w:r>
        <w:rPr>
          <w:rFonts w:hint="eastAsia" w:ascii="宋体" w:hAnsi="宋体" w:eastAsia="宋体" w:cs="宋体"/>
          <w:bCs/>
          <w:sz w:val="28"/>
          <w:szCs w:val="28"/>
        </w:rPr>
        <w:t>℃，在距地面或工作台面</w:t>
      </w:r>
      <w:r>
        <w:rPr>
          <w:rFonts w:ascii="宋体" w:hAnsi="宋体" w:eastAsia="宋体" w:cs="宋体"/>
          <w:bCs/>
          <w:sz w:val="28"/>
          <w:szCs w:val="28"/>
        </w:rPr>
        <w:t>2.1</w:t>
      </w:r>
      <w:r>
        <w:rPr>
          <w:rFonts w:hint="eastAsia" w:ascii="宋体" w:hAnsi="宋体" w:eastAsia="宋体" w:cs="宋体"/>
          <w:bCs/>
          <w:sz w:val="28"/>
          <w:szCs w:val="28"/>
        </w:rPr>
        <w:t>m高度以及工作台面边缘与热表面间的距离小于</w:t>
      </w:r>
      <w:r>
        <w:rPr>
          <w:rFonts w:ascii="宋体" w:hAnsi="宋体" w:eastAsia="宋体" w:cs="宋体"/>
          <w:bCs/>
          <w:sz w:val="28"/>
          <w:szCs w:val="28"/>
        </w:rPr>
        <w:t>0.75</w:t>
      </w:r>
      <w:r>
        <w:rPr>
          <w:rFonts w:hint="eastAsia" w:ascii="宋体" w:hAnsi="宋体" w:eastAsia="宋体" w:cs="宋体"/>
          <w:bCs/>
          <w:sz w:val="28"/>
          <w:szCs w:val="28"/>
        </w:rPr>
        <w:t>m的范围内，必须设置防烫伤保温设施。防烫伤部位的保温层应采用表面温度法计算，保温层的外表面温度不应超过</w:t>
      </w:r>
      <w:r>
        <w:rPr>
          <w:rFonts w:ascii="宋体" w:hAnsi="宋体" w:eastAsia="宋体" w:cs="宋体"/>
          <w:bCs/>
          <w:sz w:val="28"/>
          <w:szCs w:val="28"/>
        </w:rPr>
        <w:t>60</w:t>
      </w:r>
      <w:r>
        <w:rPr>
          <w:rFonts w:hint="eastAsia" w:ascii="宋体" w:hAnsi="宋体" w:eastAsia="宋体" w:cs="宋体"/>
          <w:bCs/>
          <w:sz w:val="28"/>
          <w:szCs w:val="28"/>
        </w:rPr>
        <w:t>℃。当工艺要求设备或管道进行散热时，可采用金属护罩、丝网笼等隔离措施，防止操作者接触设备或管道表面。</w:t>
      </w:r>
    </w:p>
    <w:p>
      <w:pPr>
        <w:numPr>
          <w:ilvl w:val="2"/>
          <w:numId w:val="2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具有下列情况之一的设备、管道及其附件，应进行保冷：</w:t>
      </w:r>
    </w:p>
    <w:p>
      <w:pPr>
        <w:keepNext/>
        <w:keepLines/>
        <w:numPr>
          <w:ilvl w:val="0"/>
          <w:numId w:val="3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外表面温度低于环境温度且需减少冷介质在生产和输送过程中冷损失量者；</w:t>
      </w:r>
    </w:p>
    <w:p>
      <w:pPr>
        <w:keepNext/>
        <w:keepLines/>
        <w:numPr>
          <w:ilvl w:val="0"/>
          <w:numId w:val="3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需减少冷介质在生产和输送过程中温度升高或气化者；</w:t>
      </w:r>
    </w:p>
    <w:p>
      <w:pPr>
        <w:keepNext/>
        <w:keepLines/>
        <w:numPr>
          <w:ilvl w:val="0"/>
          <w:numId w:val="3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为防止常温以下，</w:t>
      </w:r>
      <w:r>
        <w:rPr>
          <w:rFonts w:ascii="宋体" w:hAnsi="宋体" w:eastAsia="宋体" w:cs="宋体"/>
          <w:bCs/>
          <w:sz w:val="28"/>
          <w:szCs w:val="28"/>
        </w:rPr>
        <w:t>0</w:t>
      </w:r>
      <w:r>
        <w:rPr>
          <w:rFonts w:hint="eastAsia" w:ascii="宋体" w:hAnsi="宋体" w:eastAsia="宋体" w:cs="宋体"/>
          <w:bCs/>
          <w:sz w:val="28"/>
          <w:szCs w:val="28"/>
        </w:rPr>
        <w:t>℃以上设备及管道外壁表面凝露者；</w:t>
      </w:r>
    </w:p>
    <w:p>
      <w:pPr>
        <w:keepNext/>
        <w:keepLines/>
        <w:numPr>
          <w:ilvl w:val="0"/>
          <w:numId w:val="31"/>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与保冷设备或管道相连的仪表及其附件。</w:t>
      </w:r>
    </w:p>
    <w:p>
      <w:pPr>
        <w:numPr>
          <w:ilvl w:val="2"/>
          <w:numId w:val="2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除人身防护要求绝热的部位外，具有下列情况之一的设备、管道及其附件不应绝热：</w:t>
      </w:r>
    </w:p>
    <w:p>
      <w:pPr>
        <w:keepNext/>
        <w:keepLines/>
        <w:numPr>
          <w:ilvl w:val="0"/>
          <w:numId w:val="3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工艺上无特殊要求的放空和排气管道；</w:t>
      </w:r>
    </w:p>
    <w:p>
      <w:pPr>
        <w:keepNext/>
        <w:keepLines/>
        <w:numPr>
          <w:ilvl w:val="0"/>
          <w:numId w:val="3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要求及时发现泄漏的设备和管道的法兰连接处；</w:t>
      </w:r>
    </w:p>
    <w:p>
      <w:pPr>
        <w:keepNext/>
        <w:keepLines/>
        <w:numPr>
          <w:ilvl w:val="0"/>
          <w:numId w:val="3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工艺过程要求裸露的设备及管道；</w:t>
      </w:r>
    </w:p>
    <w:p>
      <w:pPr>
        <w:keepNext/>
        <w:keepLines/>
        <w:numPr>
          <w:ilvl w:val="0"/>
          <w:numId w:val="32"/>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要求经常监测，防止发生损坏的部位。</w:t>
      </w:r>
    </w:p>
    <w:p>
      <w:pPr>
        <w:numPr>
          <w:ilvl w:val="2"/>
          <w:numId w:val="2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绝热材料及其制品的性能，应符合下列要求：</w:t>
      </w:r>
    </w:p>
    <w:p>
      <w:pPr>
        <w:keepNext/>
        <w:keepLines/>
        <w:numPr>
          <w:ilvl w:val="0"/>
          <w:numId w:val="3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泡沫塑料及其制品具有阻燃性能，氧指数不应小于</w:t>
      </w:r>
      <w:r>
        <w:rPr>
          <w:rFonts w:ascii="宋体" w:hAnsi="宋体" w:eastAsia="宋体" w:cs="宋体"/>
          <w:bCs/>
          <w:sz w:val="28"/>
          <w:szCs w:val="28"/>
        </w:rPr>
        <w:t>30%</w:t>
      </w:r>
      <w:r>
        <w:rPr>
          <w:rFonts w:hint="eastAsia" w:ascii="宋体" w:hAnsi="宋体" w:eastAsia="宋体" w:cs="宋体"/>
          <w:bCs/>
          <w:sz w:val="28"/>
          <w:szCs w:val="28"/>
        </w:rPr>
        <w:t>，应具有良好的化学稳定性，对设备和管道无腐蚀作用，当遭受火灾时，不应大量逸散有毒气体；</w:t>
      </w:r>
    </w:p>
    <w:p>
      <w:pPr>
        <w:keepNext/>
        <w:keepLines/>
        <w:numPr>
          <w:ilvl w:val="0"/>
          <w:numId w:val="3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绝热材料及制品的燃烧性能等级应符合相关标准的要求；</w:t>
      </w:r>
    </w:p>
    <w:p>
      <w:pPr>
        <w:keepNext/>
        <w:keepLines/>
        <w:numPr>
          <w:ilvl w:val="0"/>
          <w:numId w:val="3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绝热层材料应选择能提供具有最高或最低使用温度，燃烧性能、腐蚀性及耐蚀性、防潮性能、抗压强度、抗折强度、化学稳定性、热稳定性指标的产品；</w:t>
      </w:r>
    </w:p>
    <w:p>
      <w:pPr>
        <w:keepNext/>
        <w:keepLines/>
        <w:numPr>
          <w:ilvl w:val="0"/>
          <w:numId w:val="3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防潮层材料必须阻燃，其氧指数不应小于</w:t>
      </w:r>
      <w:r>
        <w:rPr>
          <w:rFonts w:ascii="宋体" w:hAnsi="宋体" w:eastAsia="宋体" w:cs="宋体"/>
          <w:bCs/>
          <w:sz w:val="28"/>
          <w:szCs w:val="28"/>
        </w:rPr>
        <w:t>30%</w:t>
      </w:r>
      <w:r>
        <w:rPr>
          <w:rFonts w:hint="eastAsia" w:ascii="宋体" w:hAnsi="宋体" w:eastAsia="宋体" w:cs="宋体"/>
          <w:bCs/>
          <w:sz w:val="28"/>
          <w:szCs w:val="28"/>
        </w:rPr>
        <w:t>；</w:t>
      </w:r>
    </w:p>
    <w:p>
      <w:pPr>
        <w:keepNext/>
        <w:keepLines/>
        <w:numPr>
          <w:ilvl w:val="0"/>
          <w:numId w:val="3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保护层材料应采用不低于国家标准要求的阻燃材料。</w:t>
      </w:r>
    </w:p>
    <w:p>
      <w:pPr>
        <w:numPr>
          <w:ilvl w:val="2"/>
          <w:numId w:val="29"/>
        </w:numPr>
        <w:adjustRightInd w:val="0"/>
        <w:snapToGrid w:val="0"/>
        <w:spacing w:line="360" w:lineRule="auto"/>
        <w:ind w:left="0" w:firstLine="0"/>
        <w:textAlignment w:val="baseline"/>
        <w:rPr>
          <w:rFonts w:ascii="宋体" w:hAnsi="宋体" w:eastAsia="宋体"/>
          <w:sz w:val="28"/>
          <w:szCs w:val="28"/>
        </w:rPr>
      </w:pPr>
      <w:r>
        <w:rPr>
          <w:rFonts w:hint="eastAsia" w:ascii="宋体" w:hAnsi="宋体" w:eastAsia="宋体"/>
          <w:sz w:val="28"/>
          <w:szCs w:val="28"/>
        </w:rPr>
        <w:t>绝热结构设计应符合下列要求：</w:t>
      </w:r>
    </w:p>
    <w:p>
      <w:pPr>
        <w:keepNext/>
        <w:keepLines/>
        <w:numPr>
          <w:ilvl w:val="0"/>
          <w:numId w:val="34"/>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应牢固地固定在本体上，应有严密的防水措施；</w:t>
      </w:r>
    </w:p>
    <w:p>
      <w:pPr>
        <w:keepNext/>
        <w:keepLines/>
        <w:numPr>
          <w:ilvl w:val="0"/>
          <w:numId w:val="34"/>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设备和储罐的开口处、设备或储罐与管道的连接处、立管与水平管的三通处等应有防止雨水渗入的措施；</w:t>
      </w:r>
    </w:p>
    <w:p>
      <w:pPr>
        <w:keepNext/>
        <w:keepLines/>
        <w:numPr>
          <w:ilvl w:val="0"/>
          <w:numId w:val="34"/>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应具有一定的机械强度和刚度，不得因自重或偶然外力作用而破坏；</w:t>
      </w:r>
    </w:p>
    <w:p>
      <w:pPr>
        <w:keepNext/>
        <w:keepLines/>
        <w:numPr>
          <w:ilvl w:val="0"/>
          <w:numId w:val="34"/>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大型设备的外保护层应设置防风措施。</w:t>
      </w:r>
    </w:p>
    <w:p>
      <w:pPr>
        <w:adjustRightInd w:val="0"/>
        <w:snapToGrid w:val="0"/>
        <w:spacing w:line="360" w:lineRule="auto"/>
        <w:ind w:right="105" w:rightChars="50"/>
        <w:textAlignment w:val="baseline"/>
        <w:rPr>
          <w:rFonts w:ascii="宋体" w:hAnsi="宋体" w:eastAsia="宋体" w:cs="宋体"/>
          <w:bCs/>
          <w:sz w:val="28"/>
          <w:szCs w:val="28"/>
        </w:rPr>
      </w:pPr>
      <w:r>
        <w:rPr>
          <w:rFonts w:ascii="宋体" w:hAnsi="宋体" w:eastAsia="宋体" w:cs="宋体"/>
          <w:bCs/>
          <w:sz w:val="28"/>
          <w:szCs w:val="28"/>
        </w:rPr>
        <w:t>3.6.6</w:t>
      </w:r>
      <w:r>
        <w:rPr>
          <w:rFonts w:hint="eastAsia" w:ascii="宋体" w:hAnsi="宋体" w:eastAsia="宋体"/>
          <w:sz w:val="28"/>
          <w:szCs w:val="28"/>
        </w:rPr>
        <w:t>严禁镀锌的隔热辅助材料与不锈钢管道或设备表面接触。</w:t>
      </w:r>
    </w:p>
    <w:p>
      <w:pPr>
        <w:adjustRightInd w:val="0"/>
        <w:snapToGrid w:val="0"/>
        <w:spacing w:line="360" w:lineRule="auto"/>
        <w:ind w:left="425" w:right="105" w:rightChars="50"/>
        <w:textAlignment w:val="baseline"/>
        <w:rPr>
          <w:rFonts w:ascii="宋体" w:hAnsi="宋体" w:eastAsia="宋体" w:cs="宋体"/>
          <w:bCs/>
          <w:sz w:val="28"/>
          <w:szCs w:val="28"/>
        </w:rPr>
      </w:pPr>
    </w:p>
    <w:bookmarkEnd w:id="143"/>
    <w:bookmarkEnd w:id="144"/>
    <w:p>
      <w:pPr>
        <w:pStyle w:val="2"/>
        <w:keepNext w:val="0"/>
        <w:keepLines w:val="0"/>
        <w:pageBreakBefore/>
        <w:numPr>
          <w:ilvl w:val="0"/>
          <w:numId w:val="3"/>
        </w:numPr>
        <w:adjustRightInd w:val="0"/>
        <w:snapToGrid w:val="0"/>
        <w:spacing w:before="0" w:after="0" w:line="480" w:lineRule="auto"/>
        <w:ind w:left="105" w:leftChars="50" w:right="105" w:rightChars="50"/>
        <w:jc w:val="center"/>
        <w:textAlignment w:val="baseline"/>
        <w:rPr>
          <w:rFonts w:ascii="宋体" w:hAnsi="宋体" w:eastAsia="宋体"/>
          <w:b w:val="0"/>
          <w:sz w:val="28"/>
          <w:szCs w:val="28"/>
        </w:rPr>
      </w:pPr>
      <w:bookmarkStart w:id="145" w:name="_Toc137473615"/>
      <w:bookmarkEnd w:id="145"/>
      <w:bookmarkStart w:id="146" w:name="_Toc137473921"/>
      <w:bookmarkEnd w:id="146"/>
      <w:bookmarkStart w:id="147" w:name="_Toc137473607"/>
      <w:bookmarkEnd w:id="147"/>
      <w:bookmarkStart w:id="148" w:name="_Toc137473944"/>
      <w:bookmarkEnd w:id="148"/>
      <w:bookmarkStart w:id="149" w:name="_Toc137473489"/>
      <w:bookmarkEnd w:id="149"/>
      <w:bookmarkStart w:id="150" w:name="_Toc137473726"/>
      <w:bookmarkEnd w:id="150"/>
      <w:bookmarkStart w:id="151" w:name="_Toc137473609"/>
      <w:bookmarkEnd w:id="151"/>
      <w:bookmarkStart w:id="152" w:name="_Toc137473716"/>
      <w:bookmarkEnd w:id="152"/>
      <w:bookmarkStart w:id="153" w:name="_Toc137473611"/>
      <w:bookmarkEnd w:id="153"/>
      <w:bookmarkStart w:id="154" w:name="_Toc137473612"/>
      <w:bookmarkEnd w:id="154"/>
      <w:bookmarkStart w:id="155" w:name="_Toc137473723"/>
      <w:bookmarkEnd w:id="155"/>
      <w:bookmarkStart w:id="156" w:name="_Toc137473937"/>
      <w:bookmarkEnd w:id="156"/>
      <w:bookmarkStart w:id="157" w:name="_Toc137473926"/>
      <w:bookmarkEnd w:id="157"/>
      <w:bookmarkStart w:id="158" w:name="_Toc137473601"/>
      <w:bookmarkEnd w:id="158"/>
      <w:bookmarkStart w:id="159" w:name="_Toc137473613"/>
      <w:bookmarkEnd w:id="159"/>
      <w:bookmarkStart w:id="160" w:name="_Toc137473725"/>
      <w:bookmarkEnd w:id="160"/>
      <w:bookmarkStart w:id="161" w:name="_Toc137473929"/>
      <w:bookmarkEnd w:id="161"/>
      <w:bookmarkStart w:id="162" w:name="_Toc137473705"/>
      <w:bookmarkEnd w:id="162"/>
      <w:bookmarkStart w:id="163" w:name="_Toc137473606"/>
      <w:bookmarkEnd w:id="163"/>
      <w:bookmarkStart w:id="164" w:name="_Toc137473718"/>
      <w:bookmarkEnd w:id="164"/>
      <w:bookmarkStart w:id="165" w:name="_Toc137473603"/>
      <w:bookmarkEnd w:id="165"/>
      <w:bookmarkStart w:id="166" w:name="_Toc137473507"/>
      <w:bookmarkEnd w:id="166"/>
      <w:bookmarkStart w:id="167" w:name="_Toc137473709"/>
      <w:bookmarkEnd w:id="167"/>
      <w:bookmarkStart w:id="168" w:name="_Toc137473500"/>
      <w:bookmarkEnd w:id="168"/>
      <w:bookmarkStart w:id="169" w:name="_Toc137473506"/>
      <w:bookmarkEnd w:id="169"/>
      <w:bookmarkStart w:id="170" w:name="_Toc137473927"/>
      <w:bookmarkEnd w:id="170"/>
      <w:bookmarkStart w:id="171" w:name="_Toc137473604"/>
      <w:bookmarkEnd w:id="171"/>
      <w:bookmarkStart w:id="172" w:name="_Toc137473495"/>
      <w:bookmarkEnd w:id="172"/>
      <w:bookmarkStart w:id="173" w:name="_Toc137473600"/>
      <w:bookmarkEnd w:id="173"/>
      <w:bookmarkStart w:id="174" w:name="_Toc137473715"/>
      <w:bookmarkEnd w:id="174"/>
      <w:bookmarkStart w:id="175" w:name="_Toc137473936"/>
      <w:bookmarkEnd w:id="175"/>
      <w:bookmarkStart w:id="176" w:name="_Toc137473514"/>
      <w:bookmarkEnd w:id="176"/>
      <w:bookmarkStart w:id="177" w:name="_Toc137473494"/>
      <w:bookmarkEnd w:id="177"/>
      <w:bookmarkStart w:id="178" w:name="_Toc137473938"/>
      <w:bookmarkEnd w:id="178"/>
      <w:bookmarkStart w:id="179" w:name="_Toc137473509"/>
      <w:bookmarkEnd w:id="179"/>
      <w:bookmarkStart w:id="180" w:name="_Toc137473595"/>
      <w:bookmarkEnd w:id="180"/>
      <w:bookmarkStart w:id="181" w:name="_Toc137473924"/>
      <w:bookmarkEnd w:id="181"/>
      <w:bookmarkStart w:id="182" w:name="_Toc137473714"/>
      <w:bookmarkEnd w:id="182"/>
      <w:bookmarkStart w:id="183" w:name="_Toc137473493"/>
      <w:bookmarkEnd w:id="183"/>
      <w:bookmarkStart w:id="184" w:name="_Toc137473708"/>
      <w:bookmarkEnd w:id="184"/>
      <w:bookmarkStart w:id="185" w:name="_Toc137473721"/>
      <w:bookmarkEnd w:id="185"/>
      <w:bookmarkStart w:id="186" w:name="_Toc137473616"/>
      <w:bookmarkEnd w:id="186"/>
      <w:bookmarkStart w:id="187" w:name="_Toc137473497"/>
      <w:bookmarkEnd w:id="187"/>
      <w:bookmarkStart w:id="188" w:name="_Toc137473490"/>
      <w:bookmarkEnd w:id="188"/>
      <w:bookmarkStart w:id="189" w:name="_Toc137473940"/>
      <w:bookmarkEnd w:id="189"/>
      <w:bookmarkStart w:id="190" w:name="_Toc137473504"/>
      <w:bookmarkEnd w:id="190"/>
      <w:bookmarkStart w:id="191" w:name="_Toc137473713"/>
      <w:bookmarkEnd w:id="191"/>
      <w:bookmarkStart w:id="192" w:name="_Toc137473930"/>
      <w:bookmarkEnd w:id="192"/>
      <w:bookmarkStart w:id="193" w:name="_Toc137473712"/>
      <w:bookmarkEnd w:id="193"/>
      <w:bookmarkStart w:id="194" w:name="_Toc137473515"/>
      <w:bookmarkEnd w:id="194"/>
      <w:bookmarkStart w:id="195" w:name="_Toc137473704"/>
      <w:bookmarkEnd w:id="195"/>
      <w:bookmarkStart w:id="196" w:name="_Toc137473711"/>
      <w:bookmarkEnd w:id="196"/>
      <w:bookmarkStart w:id="197" w:name="_Toc137473928"/>
      <w:bookmarkEnd w:id="197"/>
      <w:bookmarkStart w:id="198" w:name="_Toc137473703"/>
      <w:bookmarkEnd w:id="198"/>
      <w:bookmarkStart w:id="199" w:name="_Toc137473920"/>
      <w:bookmarkEnd w:id="199"/>
      <w:bookmarkStart w:id="200" w:name="_Toc137473710"/>
      <w:bookmarkEnd w:id="200"/>
      <w:bookmarkStart w:id="201" w:name="_Toc137473706"/>
      <w:bookmarkEnd w:id="201"/>
      <w:bookmarkStart w:id="202" w:name="_Toc137473503"/>
      <w:bookmarkEnd w:id="202"/>
      <w:bookmarkStart w:id="203" w:name="_Toc137473491"/>
      <w:bookmarkEnd w:id="203"/>
      <w:bookmarkStart w:id="204" w:name="_Toc137473617"/>
      <w:bookmarkEnd w:id="204"/>
      <w:bookmarkStart w:id="205" w:name="_Toc137473505"/>
      <w:bookmarkEnd w:id="205"/>
      <w:bookmarkStart w:id="206" w:name="_Toc137473610"/>
      <w:bookmarkEnd w:id="206"/>
      <w:bookmarkStart w:id="207" w:name="_Toc137473499"/>
      <w:bookmarkEnd w:id="207"/>
      <w:bookmarkStart w:id="208" w:name="_Toc137473946"/>
      <w:bookmarkEnd w:id="208"/>
      <w:bookmarkStart w:id="209" w:name="_Toc137473510"/>
      <w:bookmarkEnd w:id="209"/>
      <w:bookmarkStart w:id="210" w:name="_Toc137473598"/>
      <w:bookmarkEnd w:id="210"/>
      <w:bookmarkStart w:id="211" w:name="_Toc137473943"/>
      <w:bookmarkEnd w:id="211"/>
      <w:bookmarkStart w:id="212" w:name="_Toc137473923"/>
      <w:bookmarkEnd w:id="212"/>
      <w:bookmarkStart w:id="213" w:name="_Toc137473724"/>
      <w:bookmarkEnd w:id="213"/>
      <w:bookmarkStart w:id="214" w:name="_Toc137473934"/>
      <w:bookmarkEnd w:id="214"/>
      <w:bookmarkStart w:id="215" w:name="_Toc137473621"/>
      <w:bookmarkEnd w:id="215"/>
      <w:bookmarkStart w:id="216" w:name="_Toc137473933"/>
      <w:bookmarkEnd w:id="216"/>
      <w:bookmarkStart w:id="217" w:name="_Toc137473717"/>
      <w:bookmarkEnd w:id="217"/>
      <w:bookmarkStart w:id="218" w:name="_Toc137473608"/>
      <w:bookmarkEnd w:id="218"/>
      <w:bookmarkStart w:id="219" w:name="_Toc137473707"/>
      <w:bookmarkEnd w:id="219"/>
      <w:bookmarkStart w:id="220" w:name="_Toc137473922"/>
      <w:bookmarkEnd w:id="220"/>
      <w:bookmarkStart w:id="221" w:name="_Toc137473701"/>
      <w:bookmarkEnd w:id="221"/>
      <w:bookmarkStart w:id="222" w:name="_Toc137473941"/>
      <w:bookmarkEnd w:id="222"/>
      <w:bookmarkStart w:id="223" w:name="_Toc137473496"/>
      <w:bookmarkEnd w:id="223"/>
      <w:bookmarkStart w:id="224" w:name="_Toc137473935"/>
      <w:bookmarkEnd w:id="224"/>
      <w:bookmarkStart w:id="225" w:name="_Toc137473605"/>
      <w:bookmarkEnd w:id="225"/>
      <w:bookmarkStart w:id="226" w:name="_Toc137473602"/>
      <w:bookmarkEnd w:id="226"/>
      <w:bookmarkStart w:id="227" w:name="_Toc137473702"/>
      <w:bookmarkEnd w:id="227"/>
      <w:bookmarkStart w:id="228" w:name="_Toc137473932"/>
      <w:bookmarkEnd w:id="228"/>
      <w:bookmarkStart w:id="229" w:name="_Toc137473719"/>
      <w:bookmarkEnd w:id="229"/>
      <w:bookmarkStart w:id="230" w:name="_Toc137473619"/>
      <w:bookmarkEnd w:id="230"/>
      <w:bookmarkStart w:id="231" w:name="_Toc137473508"/>
      <w:bookmarkEnd w:id="231"/>
      <w:bookmarkStart w:id="232" w:name="_Toc137473596"/>
      <w:bookmarkEnd w:id="232"/>
      <w:bookmarkStart w:id="233" w:name="_Toc137473597"/>
      <w:bookmarkEnd w:id="233"/>
      <w:bookmarkStart w:id="234" w:name="_Toc137473931"/>
      <w:bookmarkEnd w:id="234"/>
      <w:bookmarkStart w:id="235" w:name="_Toc137473925"/>
      <w:bookmarkEnd w:id="235"/>
      <w:bookmarkStart w:id="236" w:name="_Toc137473620"/>
      <w:bookmarkEnd w:id="236"/>
      <w:bookmarkStart w:id="237" w:name="_Toc137473513"/>
      <w:bookmarkEnd w:id="237"/>
      <w:bookmarkStart w:id="238" w:name="_Toc137473945"/>
      <w:bookmarkEnd w:id="238"/>
      <w:bookmarkStart w:id="239" w:name="_Toc137473942"/>
      <w:bookmarkEnd w:id="239"/>
      <w:bookmarkStart w:id="240" w:name="_Toc137473939"/>
      <w:bookmarkEnd w:id="240"/>
      <w:bookmarkStart w:id="241" w:name="_Toc137473501"/>
      <w:bookmarkEnd w:id="241"/>
      <w:bookmarkStart w:id="242" w:name="_Toc137473599"/>
      <w:bookmarkEnd w:id="242"/>
      <w:bookmarkStart w:id="243" w:name="_Toc137473492"/>
      <w:bookmarkEnd w:id="243"/>
      <w:bookmarkStart w:id="244" w:name="_Toc137473502"/>
      <w:bookmarkEnd w:id="244"/>
      <w:bookmarkStart w:id="245" w:name="_Toc137473498"/>
      <w:bookmarkEnd w:id="245"/>
      <w:bookmarkStart w:id="246" w:name="_Toc137473512"/>
      <w:bookmarkEnd w:id="246"/>
      <w:bookmarkStart w:id="247" w:name="_Toc137473614"/>
      <w:bookmarkEnd w:id="247"/>
      <w:bookmarkStart w:id="248" w:name="_Toc137473618"/>
      <w:bookmarkEnd w:id="248"/>
      <w:bookmarkStart w:id="249" w:name="_Toc137473720"/>
      <w:bookmarkEnd w:id="249"/>
      <w:bookmarkStart w:id="250" w:name="_Toc137473727"/>
      <w:bookmarkEnd w:id="250"/>
      <w:bookmarkStart w:id="251" w:name="_Toc137473722"/>
      <w:bookmarkEnd w:id="251"/>
      <w:bookmarkStart w:id="252" w:name="_Toc137473511"/>
      <w:bookmarkEnd w:id="252"/>
      <w:bookmarkStart w:id="253" w:name="_Toc47347143"/>
      <w:bookmarkStart w:id="254" w:name="_Toc48564992"/>
      <w:bookmarkStart w:id="255" w:name="_Toc7097823"/>
      <w:bookmarkStart w:id="256" w:name="_Toc9185388"/>
      <w:bookmarkStart w:id="257" w:name="_Toc147758591"/>
      <w:r>
        <w:rPr>
          <w:rFonts w:hint="eastAsia" w:ascii="宋体" w:hAnsi="宋体" w:eastAsia="宋体"/>
          <w:b w:val="0"/>
          <w:sz w:val="28"/>
          <w:szCs w:val="28"/>
        </w:rPr>
        <w:t>施工</w:t>
      </w:r>
      <w:bookmarkEnd w:id="253"/>
      <w:bookmarkEnd w:id="254"/>
      <w:bookmarkEnd w:id="255"/>
      <w:bookmarkEnd w:id="256"/>
      <w:bookmarkEnd w:id="257"/>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258" w:name="_Toc48564993"/>
      <w:bookmarkStart w:id="259" w:name="_Toc147758592"/>
      <w:bookmarkStart w:id="260" w:name="_Toc47347144"/>
      <w:r>
        <w:rPr>
          <w:rFonts w:hint="eastAsia" w:asciiTheme="minorEastAsia" w:hAnsiTheme="minorEastAsia" w:eastAsiaTheme="minorEastAsia"/>
          <w:b w:val="0"/>
          <w:sz w:val="28"/>
          <w:szCs w:val="28"/>
        </w:rPr>
        <w:t>一般规定</w:t>
      </w:r>
      <w:bookmarkEnd w:id="258"/>
      <w:bookmarkEnd w:id="259"/>
      <w:bookmarkEnd w:id="260"/>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施工过程中遇有文物、化石、古迹遗址或遇到可能危及安全的危险源等，应立即停止施工，并报有关部门处理。</w:t>
      </w:r>
    </w:p>
    <w:p>
      <w:pPr>
        <w:pStyle w:val="4"/>
        <w:keepNext w:val="0"/>
        <w:keepLines w:val="0"/>
        <w:numPr>
          <w:ilvl w:val="2"/>
          <w:numId w:val="36"/>
        </w:numPr>
        <w:adjustRightInd w:val="0"/>
        <w:snapToGrid w:val="0"/>
        <w:spacing w:before="0" w:after="0" w:line="360" w:lineRule="auto"/>
        <w:ind w:left="680" w:right="105" w:rightChars="50" w:hanging="680"/>
        <w:textAlignment w:val="baseline"/>
        <w:rPr>
          <w:rFonts w:ascii="宋体" w:hAnsi="宋体" w:eastAsia="宋体" w:cs="宋体"/>
          <w:b w:val="0"/>
          <w:sz w:val="28"/>
          <w:szCs w:val="28"/>
        </w:rPr>
      </w:pPr>
      <w:r>
        <w:rPr>
          <w:rFonts w:hint="eastAsia" w:ascii="宋体" w:hAnsi="宋体" w:eastAsia="宋体" w:cs="宋体"/>
          <w:b w:val="0"/>
          <w:sz w:val="28"/>
          <w:szCs w:val="28"/>
        </w:rPr>
        <w:t>设备管道工程施工，应具备下列条件：</w:t>
      </w:r>
    </w:p>
    <w:p>
      <w:pPr>
        <w:numPr>
          <w:ilvl w:val="0"/>
          <w:numId w:val="3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设计及其相关技术文件齐全，施工图纸已经会审；</w:t>
      </w:r>
    </w:p>
    <w:p>
      <w:pPr>
        <w:numPr>
          <w:ilvl w:val="0"/>
          <w:numId w:val="3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施工组织设计或施工方案已批准，技术和安全交底已完成；</w:t>
      </w:r>
    </w:p>
    <w:p>
      <w:pPr>
        <w:numPr>
          <w:ilvl w:val="0"/>
          <w:numId w:val="3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施工人员已进行安全教育和技术培训，且经考核合格；</w:t>
      </w:r>
    </w:p>
    <w:p>
      <w:pPr>
        <w:numPr>
          <w:ilvl w:val="0"/>
          <w:numId w:val="3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材料、机具、检测仪器、施工设施及场地已齐备，用于施工的机械、工器具应检验合格</w:t>
      </w:r>
      <w:r>
        <w:rPr>
          <w:rFonts w:ascii="宋体" w:hAnsi="宋体" w:eastAsia="宋体" w:cs="宋体"/>
          <w:bCs/>
          <w:sz w:val="28"/>
          <w:szCs w:val="28"/>
        </w:rPr>
        <w:t>;</w:t>
      </w:r>
      <w:r>
        <w:rPr>
          <w:rFonts w:hint="eastAsia" w:ascii="宋体" w:hAnsi="宋体" w:eastAsia="宋体" w:cs="宋体"/>
          <w:bCs/>
          <w:sz w:val="28"/>
          <w:szCs w:val="28"/>
        </w:rPr>
        <w:t>计量器具应在检定有效期内，其精度等级应满足被检测项目的精度要求。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工程施工使用的起重设备、压力容器和气瓶，应遵守国家特种设备管理相关的法律、监察条例的规定。</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特种作业人员应按国家相关的法律、法规、监察条例的规定，经过培训取得相应的上岗资格证。特种设备作业人员应按相关国家规定经过培训取得相应的上岗资格证。</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设备及管道工程焊接前应进行焊接工艺评定或采用经评定合格的焊接工艺。</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施工人员应穿戴符合要求的个人防护用具。</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到货的主体材料、零部件材料及焊接材料应有质量证明文件，应按产品标准、设计文件和订货技术条件的规定进行检查和验收。质量证明文件至少应包括生产单位名称、材料标准代号、生产批号、规格、牌号（型号）、供货状态及特性数据等内容。</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当材料有下列情况之一时，不得使用：</w:t>
      </w:r>
    </w:p>
    <w:p>
      <w:pPr>
        <w:pStyle w:val="5"/>
        <w:keepNext w:val="0"/>
        <w:keepLines w:val="0"/>
        <w:numPr>
          <w:ilvl w:val="0"/>
          <w:numId w:val="38"/>
        </w:numPr>
        <w:adjustRightInd w:val="0"/>
        <w:snapToGrid w:val="0"/>
        <w:spacing w:before="0" w:after="0" w:line="360" w:lineRule="auto"/>
        <w:ind w:left="0" w:firstLine="560" w:firstLineChars="200"/>
        <w:textAlignment w:val="baseline"/>
        <w:rPr>
          <w:rFonts w:ascii="宋体" w:hAnsi="宋体" w:eastAsia="宋体"/>
          <w:b w:val="0"/>
          <w:bCs w:val="0"/>
        </w:rPr>
      </w:pPr>
      <w:r>
        <w:rPr>
          <w:rFonts w:hint="eastAsia" w:ascii="宋体" w:hAnsi="宋体" w:eastAsia="宋体" w:cs="宋体"/>
          <w:b w:val="0"/>
        </w:rPr>
        <w:t>质量证明文件的特性数据不符合产品标准和订货技术条件或对其数据有异议；</w:t>
      </w:r>
    </w:p>
    <w:p>
      <w:pPr>
        <w:pStyle w:val="5"/>
        <w:keepNext w:val="0"/>
        <w:keepLines w:val="0"/>
        <w:numPr>
          <w:ilvl w:val="0"/>
          <w:numId w:val="38"/>
        </w:numPr>
        <w:adjustRightInd w:val="0"/>
        <w:snapToGrid w:val="0"/>
        <w:spacing w:before="0" w:after="0" w:line="360" w:lineRule="auto"/>
        <w:ind w:left="0" w:firstLine="560" w:firstLineChars="200"/>
        <w:textAlignment w:val="baseline"/>
        <w:rPr>
          <w:rFonts w:ascii="宋体" w:hAnsi="宋体" w:eastAsia="宋体"/>
          <w:b w:val="0"/>
          <w:bCs w:val="0"/>
        </w:rPr>
      </w:pPr>
      <w:r>
        <w:rPr>
          <w:rFonts w:hint="eastAsia" w:ascii="宋体" w:hAnsi="宋体" w:eastAsia="宋体" w:cs="宋体"/>
          <w:b w:val="0"/>
        </w:rPr>
        <w:t>实物标识与质量证明文件标识不符；</w:t>
      </w:r>
    </w:p>
    <w:p>
      <w:pPr>
        <w:pStyle w:val="5"/>
        <w:keepNext w:val="0"/>
        <w:keepLines w:val="0"/>
        <w:numPr>
          <w:ilvl w:val="0"/>
          <w:numId w:val="38"/>
        </w:numPr>
        <w:adjustRightInd w:val="0"/>
        <w:snapToGrid w:val="0"/>
        <w:spacing w:before="0" w:after="0" w:line="360" w:lineRule="auto"/>
        <w:ind w:left="0" w:firstLine="560" w:firstLineChars="200"/>
        <w:textAlignment w:val="baseline"/>
        <w:rPr>
          <w:rFonts w:ascii="宋体" w:hAnsi="宋体" w:eastAsia="宋体"/>
          <w:b w:val="0"/>
          <w:bCs w:val="0"/>
        </w:rPr>
      </w:pPr>
      <w:r>
        <w:rPr>
          <w:rFonts w:hint="eastAsia" w:ascii="宋体" w:hAnsi="宋体" w:eastAsia="宋体" w:cs="宋体"/>
          <w:b w:val="0"/>
        </w:rPr>
        <w:t>要求复验的材料未进行复验或复验不合格；</w:t>
      </w:r>
    </w:p>
    <w:p>
      <w:pPr>
        <w:pStyle w:val="5"/>
        <w:keepNext w:val="0"/>
        <w:keepLines w:val="0"/>
        <w:numPr>
          <w:ilvl w:val="0"/>
          <w:numId w:val="38"/>
        </w:numPr>
        <w:adjustRightInd w:val="0"/>
        <w:snapToGrid w:val="0"/>
        <w:spacing w:before="0" w:after="0" w:line="360" w:lineRule="auto"/>
        <w:ind w:left="0" w:firstLine="560" w:firstLineChars="200"/>
        <w:textAlignment w:val="baseline"/>
        <w:rPr>
          <w:rFonts w:ascii="宋体" w:hAnsi="宋体" w:eastAsia="宋体"/>
          <w:b w:val="0"/>
          <w:bCs w:val="0"/>
        </w:rPr>
      </w:pPr>
      <w:r>
        <w:rPr>
          <w:rFonts w:hint="eastAsia" w:ascii="宋体" w:hAnsi="宋体" w:eastAsia="宋体" w:cs="宋体"/>
          <w:b w:val="0"/>
        </w:rPr>
        <w:t>材料外观质量检查不合格。</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严格遵守受限空间作业管理规定，防腐蚀施工作业时，还应符合下列基本要求：</w:t>
      </w:r>
    </w:p>
    <w:p>
      <w:pPr>
        <w:pStyle w:val="5"/>
        <w:keepNext w:val="0"/>
        <w:keepLines w:val="0"/>
        <w:numPr>
          <w:ilvl w:val="0"/>
          <w:numId w:val="39"/>
        </w:numPr>
        <w:adjustRightInd w:val="0"/>
        <w:snapToGrid w:val="0"/>
        <w:spacing w:before="0" w:after="0" w:line="360" w:lineRule="auto"/>
        <w:ind w:left="0" w:firstLine="560" w:firstLineChars="200"/>
        <w:textAlignment w:val="baseline"/>
        <w:rPr>
          <w:rFonts w:ascii="宋体" w:hAnsi="宋体" w:eastAsia="宋体"/>
          <w:b w:val="0"/>
          <w:bCs w:val="0"/>
        </w:rPr>
      </w:pPr>
      <w:r>
        <w:rPr>
          <w:rFonts w:hint="eastAsia" w:ascii="宋体" w:hAnsi="宋体" w:eastAsia="宋体" w:cs="宋体"/>
          <w:b w:val="0"/>
        </w:rPr>
        <w:t>应有专职监护人员；</w:t>
      </w:r>
    </w:p>
    <w:p>
      <w:pPr>
        <w:pStyle w:val="5"/>
        <w:keepNext w:val="0"/>
        <w:keepLines w:val="0"/>
        <w:numPr>
          <w:ilvl w:val="0"/>
          <w:numId w:val="39"/>
        </w:numPr>
        <w:adjustRightInd w:val="0"/>
        <w:snapToGrid w:val="0"/>
        <w:spacing w:before="0" w:after="0" w:line="360" w:lineRule="auto"/>
        <w:ind w:left="0" w:firstLine="560" w:firstLineChars="200"/>
        <w:textAlignment w:val="baseline"/>
        <w:rPr>
          <w:rFonts w:ascii="宋体" w:hAnsi="宋体" w:eastAsia="宋体"/>
          <w:b w:val="0"/>
          <w:bCs w:val="0"/>
        </w:rPr>
      </w:pPr>
      <w:r>
        <w:rPr>
          <w:rFonts w:hint="eastAsia" w:ascii="宋体" w:hAnsi="宋体" w:eastAsia="宋体" w:cs="宋体"/>
          <w:b w:val="0"/>
        </w:rPr>
        <w:t>应设置机械通风；</w:t>
      </w:r>
    </w:p>
    <w:p>
      <w:pPr>
        <w:pStyle w:val="5"/>
        <w:keepNext w:val="0"/>
        <w:keepLines w:val="0"/>
        <w:numPr>
          <w:ilvl w:val="0"/>
          <w:numId w:val="39"/>
        </w:numPr>
        <w:adjustRightInd w:val="0"/>
        <w:snapToGrid w:val="0"/>
        <w:spacing w:before="0" w:after="0" w:line="360" w:lineRule="auto"/>
        <w:ind w:left="0" w:firstLine="560" w:firstLineChars="200"/>
        <w:textAlignment w:val="baseline"/>
        <w:rPr>
          <w:rFonts w:ascii="宋体" w:hAnsi="宋体" w:eastAsia="宋体"/>
          <w:b w:val="0"/>
          <w:bCs w:val="0"/>
        </w:rPr>
      </w:pPr>
      <w:r>
        <w:rPr>
          <w:rFonts w:hint="eastAsia" w:ascii="宋体" w:hAnsi="宋体" w:eastAsia="宋体" w:cs="宋体"/>
          <w:b w:val="0"/>
        </w:rPr>
        <w:t>进入前应检测有毒有害气体；</w:t>
      </w:r>
    </w:p>
    <w:p>
      <w:pPr>
        <w:pStyle w:val="5"/>
        <w:keepNext w:val="0"/>
        <w:keepLines w:val="0"/>
        <w:numPr>
          <w:ilvl w:val="0"/>
          <w:numId w:val="39"/>
        </w:numPr>
        <w:adjustRightInd w:val="0"/>
        <w:snapToGrid w:val="0"/>
        <w:spacing w:before="0" w:after="0" w:line="360" w:lineRule="auto"/>
        <w:ind w:left="0" w:firstLine="560" w:firstLineChars="200"/>
        <w:textAlignment w:val="baseline"/>
        <w:rPr>
          <w:rFonts w:ascii="宋体" w:hAnsi="宋体" w:eastAsia="宋体" w:cs="宋体"/>
          <w:b w:val="0"/>
        </w:rPr>
      </w:pPr>
      <w:r>
        <w:rPr>
          <w:rFonts w:hint="eastAsia" w:ascii="宋体" w:hAnsi="宋体" w:eastAsia="宋体" w:cs="宋体"/>
          <w:b w:val="0"/>
        </w:rPr>
        <w:t>作业时应监测空气中的含氧量，空气中含氧量不得低于应为19.5%～23.5%。</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在工业设备、管道施工中产生的固体废物、危险废物以及对人体健康和环境造成危害的固态、半固态和液态废物，应按照国家相关法规进行处理。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ascii="宋体" w:hAnsi="宋体" w:eastAsia="宋体" w:cs="宋体"/>
          <w:b w:val="0"/>
          <w:sz w:val="28"/>
          <w:szCs w:val="28"/>
        </w:rPr>
        <w:t xml:space="preserve"> </w:t>
      </w:r>
      <w:r>
        <w:rPr>
          <w:rFonts w:hint="eastAsia" w:ascii="宋体" w:hAnsi="宋体" w:eastAsia="宋体" w:cs="宋体"/>
          <w:b w:val="0"/>
          <w:sz w:val="28"/>
          <w:szCs w:val="28"/>
        </w:rPr>
        <w:t>工业设备、管道施工中，施工污水应收集处理，低于排放限值后方可排放；施工废气应收集净化，低于排放限值后方可排放；施工中使用产生粉尘材料时，应采取密闭和降尘、除尘措施。</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ascii="宋体" w:hAnsi="宋体" w:eastAsia="宋体" w:cs="宋体"/>
          <w:b w:val="0"/>
          <w:sz w:val="28"/>
          <w:szCs w:val="28"/>
        </w:rPr>
        <w:t xml:space="preserve"> </w:t>
      </w:r>
      <w:r>
        <w:rPr>
          <w:rFonts w:hint="eastAsia" w:ascii="宋体" w:hAnsi="宋体" w:eastAsia="宋体" w:cs="宋体"/>
          <w:b w:val="0"/>
          <w:sz w:val="28"/>
          <w:szCs w:val="28"/>
        </w:rPr>
        <w:t>在工业设备、管道施工中，对施工噪声应采取降噪措施。施工场界环境噪声排放限值昼间应为</w:t>
      </w:r>
      <w:r>
        <w:rPr>
          <w:rFonts w:ascii="宋体" w:hAnsi="宋体" w:eastAsia="宋体" w:cs="宋体"/>
          <w:b w:val="0"/>
          <w:sz w:val="28"/>
          <w:szCs w:val="28"/>
        </w:rPr>
        <w:t>70dB(A)</w:t>
      </w:r>
      <w:r>
        <w:rPr>
          <w:rFonts w:hint="eastAsia" w:ascii="宋体" w:hAnsi="宋体" w:eastAsia="宋体" w:cs="宋体"/>
          <w:b w:val="0"/>
          <w:sz w:val="28"/>
          <w:szCs w:val="28"/>
        </w:rPr>
        <w:t>、夜间应为</w:t>
      </w:r>
      <w:r>
        <w:rPr>
          <w:rFonts w:ascii="宋体" w:hAnsi="宋体" w:eastAsia="宋体" w:cs="宋体"/>
          <w:b w:val="0"/>
          <w:sz w:val="28"/>
          <w:szCs w:val="28"/>
        </w:rPr>
        <w:t>55 dB(A)</w:t>
      </w:r>
      <w:r>
        <w:rPr>
          <w:rFonts w:hint="eastAsia" w:ascii="宋体" w:hAnsi="宋体" w:eastAsia="宋体" w:cs="宋体"/>
          <w:b w:val="0"/>
          <w:sz w:val="28"/>
          <w:szCs w:val="28"/>
        </w:rPr>
        <w:t>。夜间噪声最大声级超过限值的幅度不得高于</w:t>
      </w:r>
      <w:r>
        <w:rPr>
          <w:rFonts w:ascii="宋体" w:hAnsi="宋体" w:eastAsia="宋体" w:cs="宋体"/>
          <w:b w:val="0"/>
          <w:sz w:val="28"/>
          <w:szCs w:val="28"/>
        </w:rPr>
        <w:t>15 dB(A)</w:t>
      </w:r>
      <w:r>
        <w:rPr>
          <w:rFonts w:hint="eastAsia" w:ascii="宋体" w:hAnsi="宋体" w:eastAsia="宋体" w:cs="宋体"/>
          <w:b w:val="0"/>
          <w:sz w:val="28"/>
          <w:szCs w:val="28"/>
        </w:rPr>
        <w:t>。</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261" w:name="_Toc48564994"/>
      <w:bookmarkStart w:id="262" w:name="_Toc47347145"/>
      <w:bookmarkStart w:id="263" w:name="_Toc147758593"/>
      <w:r>
        <w:rPr>
          <w:rFonts w:hint="eastAsia" w:asciiTheme="minorEastAsia" w:hAnsiTheme="minorEastAsia" w:eastAsiaTheme="minorEastAsia"/>
          <w:b w:val="0"/>
          <w:sz w:val="28"/>
          <w:szCs w:val="28"/>
        </w:rPr>
        <w:t>现场制作设备</w:t>
      </w:r>
      <w:bookmarkEnd w:id="261"/>
      <w:bookmarkEnd w:id="262"/>
      <w:bookmarkEnd w:id="263"/>
    </w:p>
    <w:p>
      <w:pPr>
        <w:spacing w:after="156" w:afterLines="50" w:line="360" w:lineRule="auto"/>
        <w:ind w:left="105" w:leftChars="50" w:right="105" w:rightChars="50"/>
        <w:jc w:val="center"/>
        <w:rPr>
          <w:rFonts w:ascii="宋体" w:hAnsi="宋体" w:eastAsia="宋体"/>
          <w:bCs/>
          <w:sz w:val="28"/>
          <w:szCs w:val="28"/>
        </w:rPr>
      </w:pPr>
      <w:r>
        <w:rPr>
          <w:rFonts w:hint="eastAsia" w:ascii="宋体" w:hAnsi="宋体" w:eastAsia="宋体" w:cs="宋体"/>
          <w:bCs/>
          <w:sz w:val="28"/>
          <w:szCs w:val="28"/>
        </w:rPr>
        <w:t>Ⅰ</w:t>
      </w:r>
      <w:r>
        <w:rPr>
          <w:rFonts w:ascii="宋体" w:hAnsi="宋体" w:eastAsia="宋体" w:cs="宋体"/>
          <w:bCs/>
          <w:sz w:val="28"/>
          <w:szCs w:val="28"/>
        </w:rPr>
        <w:t xml:space="preserve"> </w:t>
      </w:r>
      <w:r>
        <w:rPr>
          <w:rFonts w:hint="eastAsia" w:ascii="宋体" w:hAnsi="宋体" w:eastAsia="宋体" w:cs="宋体"/>
          <w:bCs/>
          <w:sz w:val="28"/>
          <w:szCs w:val="28"/>
        </w:rPr>
        <w:t>压力容器的现场制造</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压力容器的现场制造和组焊应达到合格要求。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应根据材料焊接性能，在正式施焊前进行焊接工艺评定。</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产品焊接试件的尺寸、试样截取和数量、试验项目、合格标准和复验要求应达到合格要求。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耐压试验一般应采用液压试验，若采用气压试验或气液组合试验代替液压试验时，应符合国家现行有关标准的规定。</w:t>
      </w:r>
    </w:p>
    <w:p>
      <w:pPr>
        <w:spacing w:after="156" w:afterLines="50" w:line="360" w:lineRule="auto"/>
        <w:ind w:left="105" w:leftChars="50" w:right="105" w:rightChars="50"/>
        <w:jc w:val="center"/>
        <w:rPr>
          <w:rFonts w:ascii="宋体" w:hAnsi="宋体" w:eastAsia="宋体" w:cs="宋体"/>
          <w:bCs/>
          <w:sz w:val="28"/>
          <w:szCs w:val="28"/>
        </w:rPr>
      </w:pPr>
      <w:r>
        <w:rPr>
          <w:rFonts w:hint="eastAsia" w:ascii="宋体" w:hAnsi="宋体" w:eastAsia="宋体" w:cs="宋体"/>
          <w:bCs/>
          <w:sz w:val="28"/>
          <w:szCs w:val="28"/>
        </w:rPr>
        <w:t>Ⅱ</w:t>
      </w:r>
      <w:r>
        <w:rPr>
          <w:rFonts w:ascii="宋体" w:hAnsi="宋体" w:eastAsia="宋体" w:cs="宋体"/>
          <w:bCs/>
          <w:sz w:val="28"/>
          <w:szCs w:val="28"/>
        </w:rPr>
        <w:t xml:space="preserve"> </w:t>
      </w:r>
      <w:r>
        <w:rPr>
          <w:rFonts w:hint="eastAsia" w:ascii="宋体" w:hAnsi="宋体" w:eastAsia="宋体" w:cs="宋体"/>
          <w:bCs/>
          <w:sz w:val="28"/>
          <w:szCs w:val="28"/>
        </w:rPr>
        <w:t>钢制球形储罐现场安装与验收</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球形储罐施工单位应当取得特种设备制造许可证，按照批准的范围进行组焊制造。</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从事球形储罐焊接的焊工，必须按有关安全技术规程的规定考核合格，并应取得相应项目的资格后，方可在有效期间内担任合格项目范围内的焊接工作。</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球形储罐焊接前，施工单位必须有合格的焊接工艺评定报告。</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从事球形储罐无损检测人员，必须取得相应资格证书后才能承担与资格证书的种类和技术等级相对应的无损检测工作。</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符合下列情况之一的球罐，应在耐压试验前进行焊后整体热处理（当制订热处理技术要求时，除满足以下规定外，还应采取必要的措施，避免由于焊后热处理导致的再热裂纹）：</w:t>
      </w:r>
    </w:p>
    <w:p>
      <w:pPr>
        <w:pStyle w:val="5"/>
        <w:keepNext w:val="0"/>
        <w:keepLines w:val="0"/>
        <w:numPr>
          <w:ilvl w:val="0"/>
          <w:numId w:val="40"/>
        </w:numPr>
        <w:adjustRightInd w:val="0"/>
        <w:snapToGrid w:val="0"/>
        <w:spacing w:before="0" w:after="0" w:line="360" w:lineRule="auto"/>
        <w:ind w:left="105" w:leftChars="50" w:right="105" w:rightChars="50" w:firstLine="420"/>
        <w:textAlignment w:val="baseline"/>
        <w:rPr>
          <w:rFonts w:ascii="宋体" w:hAnsi="宋体" w:eastAsia="宋体" w:cs="宋体"/>
          <w:b w:val="0"/>
        </w:rPr>
      </w:pPr>
      <w:r>
        <w:rPr>
          <w:rFonts w:hint="eastAsia" w:ascii="宋体" w:hAnsi="宋体" w:eastAsia="宋体" w:cs="宋体"/>
          <w:b w:val="0"/>
        </w:rPr>
        <w:t>设计图样要求进行焊后整体热处理的球形储罐；</w:t>
      </w:r>
    </w:p>
    <w:p>
      <w:pPr>
        <w:pStyle w:val="5"/>
        <w:keepNext w:val="0"/>
        <w:keepLines w:val="0"/>
        <w:numPr>
          <w:ilvl w:val="0"/>
          <w:numId w:val="40"/>
        </w:numPr>
        <w:adjustRightInd w:val="0"/>
        <w:snapToGrid w:val="0"/>
        <w:spacing w:before="0" w:after="0" w:line="360" w:lineRule="auto"/>
        <w:ind w:left="105" w:leftChars="50" w:right="105" w:rightChars="50" w:firstLine="420"/>
        <w:textAlignment w:val="baseline"/>
        <w:rPr>
          <w:rFonts w:ascii="宋体" w:hAnsi="宋体" w:eastAsia="宋体" w:cs="宋体"/>
          <w:b w:val="0"/>
        </w:rPr>
      </w:pPr>
      <w:r>
        <w:rPr>
          <w:rFonts w:hint="eastAsia" w:ascii="宋体" w:hAnsi="宋体" w:eastAsia="宋体" w:cs="宋体"/>
          <w:b w:val="0"/>
        </w:rPr>
        <w:t>焊接接头厚度大于32mm(若焊前预热100℃以上时，焊接接头厚度大于38mm)的Q245R、Q345R、Q370R、07MnMoVR钢制球罐；</w:t>
      </w:r>
    </w:p>
    <w:p>
      <w:pPr>
        <w:pStyle w:val="5"/>
        <w:keepNext w:val="0"/>
        <w:keepLines w:val="0"/>
        <w:numPr>
          <w:ilvl w:val="0"/>
          <w:numId w:val="40"/>
        </w:numPr>
        <w:adjustRightInd w:val="0"/>
        <w:snapToGrid w:val="0"/>
        <w:spacing w:before="0" w:after="0" w:line="360" w:lineRule="auto"/>
        <w:ind w:left="105" w:leftChars="50" w:right="105" w:rightChars="50" w:firstLine="420"/>
        <w:textAlignment w:val="baseline"/>
        <w:rPr>
          <w:rFonts w:ascii="宋体" w:hAnsi="宋体" w:eastAsia="宋体" w:cs="宋体"/>
          <w:b w:val="0"/>
        </w:rPr>
      </w:pPr>
      <w:r>
        <w:rPr>
          <w:rFonts w:hint="eastAsia" w:ascii="宋体" w:hAnsi="宋体" w:eastAsia="宋体" w:cs="宋体"/>
          <w:b w:val="0"/>
        </w:rPr>
        <w:t>有应力腐蚀倾向的球罐，如盛装液化石油气、液氨等的球罐；</w:t>
      </w:r>
    </w:p>
    <w:p>
      <w:pPr>
        <w:pStyle w:val="5"/>
        <w:keepNext w:val="0"/>
        <w:keepLines w:val="0"/>
        <w:numPr>
          <w:ilvl w:val="0"/>
          <w:numId w:val="40"/>
        </w:numPr>
        <w:adjustRightInd w:val="0"/>
        <w:snapToGrid w:val="0"/>
        <w:spacing w:before="0" w:after="0" w:line="360" w:lineRule="auto"/>
        <w:ind w:left="105" w:leftChars="50" w:right="105" w:rightChars="50" w:firstLine="420"/>
        <w:textAlignment w:val="baseline"/>
        <w:rPr>
          <w:rFonts w:ascii="宋体" w:hAnsi="宋体" w:eastAsia="宋体" w:cs="宋体"/>
          <w:b w:val="0"/>
        </w:rPr>
      </w:pPr>
      <w:r>
        <w:rPr>
          <w:rFonts w:hint="eastAsia" w:ascii="宋体" w:hAnsi="宋体" w:eastAsia="宋体" w:cs="宋体"/>
          <w:b w:val="0"/>
        </w:rPr>
        <w:t>盛装毒性为极度或高度危害介质的碳素钢、低合金钢球罐。</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焊后进行整体热处理的球形储罐，在支柱底板与垫铁组之间应设置移动装置。</w:t>
      </w:r>
    </w:p>
    <w:p>
      <w:pPr>
        <w:adjustRightInd w:val="0"/>
        <w:snapToGrid w:val="0"/>
        <w:spacing w:line="360" w:lineRule="auto"/>
        <w:ind w:left="680" w:right="105" w:rightChars="50"/>
        <w:textAlignment w:val="baseline"/>
        <w:outlineLvl w:val="2"/>
        <w:rPr>
          <w:rFonts w:ascii="宋体" w:hAnsi="宋体" w:eastAsia="宋体" w:cs="宋体"/>
          <w:bCs/>
          <w:sz w:val="28"/>
          <w:szCs w:val="28"/>
        </w:rPr>
      </w:pPr>
    </w:p>
    <w:p>
      <w:pPr>
        <w:spacing w:after="156" w:afterLines="50" w:line="360" w:lineRule="auto"/>
        <w:ind w:left="105" w:leftChars="50" w:right="105" w:rightChars="50"/>
        <w:jc w:val="center"/>
        <w:rPr>
          <w:rFonts w:ascii="宋体" w:hAnsi="宋体" w:eastAsia="宋体" w:cs="宋体"/>
          <w:bCs/>
          <w:sz w:val="28"/>
          <w:szCs w:val="28"/>
        </w:rPr>
      </w:pPr>
      <w:r>
        <w:rPr>
          <w:rFonts w:hint="eastAsia" w:ascii="宋体" w:hAnsi="宋体" w:eastAsia="宋体" w:cs="宋体"/>
          <w:bCs/>
          <w:sz w:val="28"/>
          <w:szCs w:val="28"/>
        </w:rPr>
        <w:t>Ⅲ 立式圆筒形钢制焊接储罐及其他钢制焊接常压容器的现场制造</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储罐和常压容器建造选用的材料和附件，必须具有质量合格证明书，并应符合设计文件的规定。钢板和附件上应有清晰的产品标识。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符合下列条件的储罐和常压容器本体用钢板，应逐张进行超声检测，检测方法和质量标准应达到合格要求：</w:t>
      </w:r>
    </w:p>
    <w:p>
      <w:pPr>
        <w:pStyle w:val="5"/>
        <w:keepNext w:val="0"/>
        <w:keepLines w:val="0"/>
        <w:numPr>
          <w:ilvl w:val="0"/>
          <w:numId w:val="41"/>
        </w:numPr>
        <w:adjustRightInd w:val="0"/>
        <w:snapToGrid w:val="0"/>
        <w:spacing w:before="0" w:after="0" w:line="360" w:lineRule="auto"/>
        <w:ind w:left="0" w:firstLine="560" w:firstLineChars="200"/>
        <w:textAlignment w:val="baseline"/>
        <w:rPr>
          <w:rFonts w:ascii="宋体" w:hAnsi="宋体" w:eastAsia="宋体" w:cs="宋体"/>
          <w:b w:val="0"/>
        </w:rPr>
      </w:pPr>
      <w:r>
        <w:rPr>
          <w:rFonts w:hint="eastAsia" w:ascii="宋体" w:hAnsi="宋体" w:eastAsia="宋体" w:cs="宋体"/>
          <w:b w:val="0"/>
        </w:rPr>
        <w:t>厚度大于</w:t>
      </w:r>
      <w:r>
        <w:rPr>
          <w:rFonts w:ascii="宋体" w:hAnsi="宋体" w:eastAsia="宋体" w:cs="宋体"/>
          <w:b w:val="0"/>
        </w:rPr>
        <w:t>30mm且小于等于36 mm的Q245R、Q345R；厚度大于36 mm的Q245R、Q345R</w:t>
      </w:r>
      <w:r>
        <w:rPr>
          <w:rFonts w:hint="eastAsia" w:ascii="宋体" w:hAnsi="宋体" w:eastAsia="宋体" w:cs="宋体"/>
          <w:b w:val="0"/>
        </w:rPr>
        <w:t>；</w:t>
      </w:r>
    </w:p>
    <w:p>
      <w:pPr>
        <w:pStyle w:val="5"/>
        <w:keepNext w:val="0"/>
        <w:keepLines w:val="0"/>
        <w:numPr>
          <w:ilvl w:val="0"/>
          <w:numId w:val="41"/>
        </w:numPr>
        <w:adjustRightInd w:val="0"/>
        <w:snapToGrid w:val="0"/>
        <w:spacing w:before="0" w:after="0" w:line="360" w:lineRule="auto"/>
        <w:ind w:left="0" w:firstLine="560" w:firstLineChars="200"/>
        <w:textAlignment w:val="baseline"/>
        <w:rPr>
          <w:rFonts w:ascii="宋体" w:hAnsi="宋体" w:eastAsia="宋体" w:cs="宋体"/>
          <w:b w:val="0"/>
        </w:rPr>
      </w:pPr>
      <w:r>
        <w:rPr>
          <w:rFonts w:hint="eastAsia" w:ascii="宋体" w:hAnsi="宋体" w:eastAsia="宋体" w:cs="宋体"/>
          <w:b w:val="0"/>
        </w:rPr>
        <w:t>调质状态供货的钢板</w:t>
      </w:r>
      <w:r>
        <w:rPr>
          <w:rFonts w:ascii="宋体" w:hAnsi="宋体" w:eastAsia="宋体" w:cs="宋体"/>
          <w:b w:val="0"/>
        </w:rPr>
        <w:t>。</w:t>
      </w:r>
    </w:p>
    <w:p>
      <w:pPr>
        <w:adjustRightInd w:val="0"/>
        <w:snapToGrid w:val="0"/>
        <w:spacing w:line="360" w:lineRule="auto"/>
        <w:ind w:right="105" w:rightChars="50"/>
        <w:textAlignment w:val="baseline"/>
        <w:outlineLvl w:val="2"/>
        <w:rPr>
          <w:rFonts w:ascii="宋体" w:hAnsi="宋体" w:eastAsia="宋体" w:cs="宋体"/>
          <w:bCs/>
          <w:sz w:val="28"/>
          <w:szCs w:val="28"/>
        </w:rPr>
      </w:pPr>
    </w:p>
    <w:p>
      <w:pPr>
        <w:spacing w:after="156" w:afterLines="50" w:line="360" w:lineRule="auto"/>
        <w:ind w:left="105" w:leftChars="50" w:right="105" w:rightChars="50"/>
        <w:jc w:val="center"/>
        <w:rPr>
          <w:rFonts w:ascii="宋体" w:hAnsi="宋体" w:eastAsia="宋体" w:cs="宋体"/>
          <w:bCs/>
          <w:sz w:val="28"/>
          <w:szCs w:val="28"/>
        </w:rPr>
      </w:pPr>
      <w:r>
        <w:rPr>
          <w:rFonts w:hint="eastAsia" w:ascii="宋体" w:hAnsi="宋体" w:eastAsia="宋体" w:cs="宋体"/>
          <w:bCs/>
          <w:sz w:val="28"/>
          <w:szCs w:val="28"/>
        </w:rPr>
        <w:t>Ⅳ 非金属压力容器现场制造</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非金属压力容器现场制造应达到合格要求。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当现场制作的纤维增强塑料设备采用规则设计法和分析设计法时，设计安全系数不得小于6.0，屈曲安全系数不得小于4.0。当采用试验验证设计方法时，失效压力不得小于6倍设计压力。</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纤维增强塑料设备制作场所应在工厂车间内或在有临时围护结构的现场， 并应采取通风和环保措施。</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纤维增强塑料设备制作中使用不饱和聚酯树脂和乙烯基酯树脂的促进剂严禁与引发剂直接接触，严禁同时加入到树脂中；引发剂必须单独存放，严禁泄漏。</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与大气相通的纤维增强塑料设备过压保护应符合下列规定：</w:t>
      </w:r>
    </w:p>
    <w:p>
      <w:pPr>
        <w:numPr>
          <w:ilvl w:val="0"/>
          <w:numId w:val="42"/>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应在顶部开口，并应直接与大气连通；</w:t>
      </w:r>
    </w:p>
    <w:p>
      <w:pPr>
        <w:numPr>
          <w:ilvl w:val="0"/>
          <w:numId w:val="42"/>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通气口截面积不得小于设备进口和出口尺寸（净流通面积）之间的较大值；</w:t>
      </w:r>
    </w:p>
    <w:p>
      <w:pPr>
        <w:numPr>
          <w:ilvl w:val="0"/>
          <w:numId w:val="42"/>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通气口严禁密闭；</w:t>
      </w:r>
    </w:p>
    <w:p>
      <w:pPr>
        <w:numPr>
          <w:ilvl w:val="0"/>
          <w:numId w:val="42"/>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应安装溢流口，溢流口的截面积不得小于进口尺寸。</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不与大气相通的纤维增强塑料设备，在操作过程出现超压的设备，应安装超压泄放装置。</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264" w:name="_Toc137473520"/>
      <w:bookmarkEnd w:id="264"/>
      <w:bookmarkStart w:id="265" w:name="_Toc137473634"/>
      <w:bookmarkEnd w:id="265"/>
      <w:bookmarkStart w:id="266" w:name="_Toc137473732"/>
      <w:bookmarkEnd w:id="266"/>
      <w:bookmarkStart w:id="267" w:name="_Toc137473952"/>
      <w:bookmarkEnd w:id="267"/>
      <w:bookmarkStart w:id="268" w:name="_Toc137473734"/>
      <w:bookmarkEnd w:id="268"/>
      <w:bookmarkStart w:id="269" w:name="_Toc137473633"/>
      <w:bookmarkEnd w:id="269"/>
      <w:bookmarkStart w:id="270" w:name="_Toc137473735"/>
      <w:bookmarkEnd w:id="270"/>
      <w:bookmarkStart w:id="271" w:name="_Toc137473630"/>
      <w:bookmarkEnd w:id="271"/>
      <w:bookmarkStart w:id="272" w:name="_Toc137473524"/>
      <w:bookmarkEnd w:id="272"/>
      <w:bookmarkStart w:id="273" w:name="_Toc137473958"/>
      <w:bookmarkEnd w:id="273"/>
      <w:bookmarkStart w:id="274" w:name="_Toc137473736"/>
      <w:bookmarkEnd w:id="274"/>
      <w:bookmarkStart w:id="275" w:name="_Toc137473954"/>
      <w:bookmarkEnd w:id="275"/>
      <w:bookmarkStart w:id="276" w:name="_Toc137473956"/>
      <w:bookmarkEnd w:id="276"/>
      <w:bookmarkStart w:id="277" w:name="_Toc137473628"/>
      <w:bookmarkEnd w:id="277"/>
      <w:bookmarkStart w:id="278" w:name="_Toc137473519"/>
      <w:bookmarkEnd w:id="278"/>
      <w:bookmarkStart w:id="279" w:name="_Toc137473521"/>
      <w:bookmarkEnd w:id="279"/>
      <w:bookmarkStart w:id="280" w:name="_Toc137473629"/>
      <w:bookmarkEnd w:id="280"/>
      <w:bookmarkStart w:id="281" w:name="_Toc137473737"/>
      <w:bookmarkEnd w:id="281"/>
      <w:bookmarkStart w:id="282" w:name="_Toc137473528"/>
      <w:bookmarkEnd w:id="282"/>
      <w:bookmarkStart w:id="283" w:name="_Toc137473950"/>
      <w:bookmarkEnd w:id="283"/>
      <w:bookmarkStart w:id="284" w:name="_Toc137473627"/>
      <w:bookmarkEnd w:id="284"/>
      <w:bookmarkStart w:id="285" w:name="_Toc137473632"/>
      <w:bookmarkEnd w:id="285"/>
      <w:bookmarkStart w:id="286" w:name="_Toc137473527"/>
      <w:bookmarkEnd w:id="286"/>
      <w:bookmarkStart w:id="287" w:name="_Toc137473953"/>
      <w:bookmarkEnd w:id="287"/>
      <w:bookmarkStart w:id="288" w:name="_Toc137473733"/>
      <w:bookmarkEnd w:id="288"/>
      <w:bookmarkStart w:id="289" w:name="_Toc137473526"/>
      <w:bookmarkEnd w:id="289"/>
      <w:bookmarkStart w:id="290" w:name="_Toc137473626"/>
      <w:bookmarkEnd w:id="290"/>
      <w:bookmarkStart w:id="291" w:name="_Toc137473738"/>
      <w:bookmarkEnd w:id="291"/>
      <w:bookmarkStart w:id="292" w:name="_Toc137473525"/>
      <w:bookmarkEnd w:id="292"/>
      <w:bookmarkStart w:id="293" w:name="_Toc137473957"/>
      <w:bookmarkEnd w:id="293"/>
      <w:bookmarkStart w:id="294" w:name="_Toc137473739"/>
      <w:bookmarkEnd w:id="294"/>
      <w:bookmarkStart w:id="295" w:name="_Toc137473731"/>
      <w:bookmarkEnd w:id="295"/>
      <w:bookmarkStart w:id="296" w:name="_Toc137473522"/>
      <w:bookmarkEnd w:id="296"/>
      <w:bookmarkStart w:id="297" w:name="_Toc137473951"/>
      <w:bookmarkEnd w:id="297"/>
      <w:bookmarkStart w:id="298" w:name="_Toc137473959"/>
      <w:bookmarkEnd w:id="298"/>
      <w:bookmarkStart w:id="299" w:name="_Toc137473625"/>
      <w:bookmarkEnd w:id="299"/>
      <w:bookmarkStart w:id="300" w:name="_Toc137473740"/>
      <w:bookmarkEnd w:id="300"/>
      <w:bookmarkStart w:id="301" w:name="_Toc137473955"/>
      <w:bookmarkEnd w:id="301"/>
      <w:bookmarkStart w:id="302" w:name="_Toc137473631"/>
      <w:bookmarkEnd w:id="302"/>
      <w:bookmarkStart w:id="303" w:name="_Toc137473523"/>
      <w:bookmarkEnd w:id="303"/>
      <w:bookmarkStart w:id="304" w:name="_Toc7097851"/>
      <w:bookmarkStart w:id="305" w:name="_Toc47347146"/>
      <w:bookmarkStart w:id="306" w:name="_Toc48564995"/>
      <w:bookmarkStart w:id="307" w:name="_Toc9185391"/>
      <w:bookmarkStart w:id="308" w:name="_Toc147758594"/>
      <w:r>
        <w:rPr>
          <w:rFonts w:hint="eastAsia" w:asciiTheme="minorEastAsia" w:hAnsiTheme="minorEastAsia" w:eastAsiaTheme="minorEastAsia"/>
          <w:b w:val="0"/>
          <w:sz w:val="28"/>
          <w:szCs w:val="28"/>
        </w:rPr>
        <w:t>设备安装</w:t>
      </w:r>
      <w:bookmarkEnd w:id="304"/>
      <w:bookmarkEnd w:id="305"/>
      <w:bookmarkEnd w:id="306"/>
      <w:bookmarkEnd w:id="307"/>
      <w:bookmarkEnd w:id="308"/>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bookmarkStart w:id="309" w:name="_Toc7097879"/>
      <w:r>
        <w:rPr>
          <w:rFonts w:hint="eastAsia" w:ascii="宋体" w:hAnsi="宋体" w:eastAsia="宋体" w:cs="宋体"/>
          <w:b w:val="0"/>
          <w:sz w:val="28"/>
          <w:szCs w:val="28"/>
        </w:rPr>
        <w:t>所有设备（包括附属设备）应有产品质量证明文件，并应有符合本标准4.1.8条要求的材料质量证明文件；特种设备的产品质量证明文件必须具有“特种设备监督检验证书”。</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不得在低温钢、标准规定的屈服强度下限值大于5</w:t>
      </w:r>
      <w:r>
        <w:rPr>
          <w:rFonts w:ascii="宋体" w:hAnsi="宋体" w:eastAsia="宋体" w:cs="宋体"/>
          <w:b w:val="0"/>
          <w:sz w:val="28"/>
          <w:szCs w:val="28"/>
        </w:rPr>
        <w:t>40</w:t>
      </w:r>
      <w:r>
        <w:rPr>
          <w:rFonts w:hint="eastAsia" w:ascii="宋体" w:hAnsi="宋体" w:eastAsia="宋体" w:cs="宋体"/>
          <w:b w:val="0"/>
          <w:sz w:val="28"/>
          <w:szCs w:val="28"/>
        </w:rPr>
        <w:t>MPa钢材、具有应力腐蚀倾向的钢材以及疲劳容器的钢材表面刻划或敲打材料标记和焊工钢印等导致缺口效应的印记。。</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焊缝返修应采用经评定合格的焊接工艺，并应有焊接返修记录。热处理后进行返修的焊缝，检验合格后应重新进行热处理。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大型设备吊装工程应编制吊装方案，并接受安全质量部门的监督检查。</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吊装前，应了解当地气象变化情况，在雷雨、大雪、大雾、沙尘、能见度低、台风、风力等级大于或等于六级、环境温度低于或等于</w:t>
      </w:r>
      <w:r>
        <w:rPr>
          <w:rFonts w:ascii="宋体" w:hAnsi="宋体" w:eastAsia="宋体" w:cs="宋体"/>
          <w:b w:val="0"/>
          <w:sz w:val="28"/>
          <w:szCs w:val="28"/>
        </w:rPr>
        <w:t>-20</w:t>
      </w:r>
      <w:r>
        <w:rPr>
          <w:rFonts w:hint="eastAsia" w:ascii="宋体" w:hAnsi="宋体" w:eastAsia="宋体" w:cs="宋体"/>
          <w:b w:val="0"/>
          <w:sz w:val="28"/>
          <w:szCs w:val="28"/>
        </w:rPr>
        <w:t>℃等恶劣条件，不得进行大型设备的吊装。</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大型设备正式吊装前必须进行试吊。</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起重机械和吊索、吊具严禁超负荷使用，应符合下列要求：</w:t>
      </w:r>
    </w:p>
    <w:p>
      <w:pPr>
        <w:numPr>
          <w:ilvl w:val="0"/>
          <w:numId w:val="43"/>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起重机械、吊索具应有质量证明文件，在使用前检查认可后，方可使用；</w:t>
      </w:r>
    </w:p>
    <w:p>
      <w:pPr>
        <w:numPr>
          <w:ilvl w:val="0"/>
          <w:numId w:val="43"/>
        </w:numPr>
        <w:adjustRightInd w:val="0"/>
        <w:snapToGrid w:val="0"/>
        <w:spacing w:line="360" w:lineRule="auto"/>
        <w:ind w:left="0" w:firstLine="560" w:firstLineChars="200"/>
        <w:textAlignment w:val="baseline"/>
        <w:outlineLvl w:val="3"/>
        <w:rPr>
          <w:rFonts w:ascii="宋体" w:hAnsi="宋体" w:eastAsia="宋体" w:cs="宋体"/>
          <w:bCs/>
          <w:sz w:val="28"/>
          <w:szCs w:val="28"/>
        </w:rPr>
      </w:pPr>
      <w:r>
        <w:rPr>
          <w:rFonts w:hint="eastAsia" w:ascii="宋体" w:hAnsi="宋体" w:eastAsia="宋体" w:cs="宋体"/>
          <w:bCs/>
          <w:sz w:val="28"/>
          <w:szCs w:val="28"/>
        </w:rPr>
        <w:t>自制、改造和修复的吊耳、吊索具，应有相应的设计文件和质量证明文件，文件应存档；</w:t>
      </w:r>
    </w:p>
    <w:p>
      <w:pPr>
        <w:numPr>
          <w:ilvl w:val="0"/>
          <w:numId w:val="43"/>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制作吊耳与吊耳加强板的材料必须有质量证明文件，且不得有裂纹、重皮、夹层等缺陷。</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耐压试验时，试压区应设置警戒线，试验单位的安全部门应进行现场监督。</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有脱脂要求的板翅式换热器，在气密性试验后，必须进行脱脂处理；与氧或富氧介质接触的设备安装前应进行脱脂处理。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机械设备和驱动机连接后，盘车应灵活，无阻滞，无异响。</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机械设备的安全保护装置应符合设计文件规定，在试运转中需要调试的装置，应在试运转中完成调试，其功能应符合设计文件要求。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燃气轮机试运转过程中，当机组未达到点火转速时，严禁将燃料气投入燃烧室。</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机械设备的负荷试运转严禁以超过试运转设备的额定参数运行。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氧气压缩机的氧气试运转必须在氮气或无油空气试运转合格后进行，严禁采用氧气直接试运转。</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往复压缩机组在负荷试运转中，不得带压停车；当发生或将要发生紧急事故时，应紧急停车，停车后必须立即卸压。</w:t>
      </w:r>
    </w:p>
    <w:bookmarkEnd w:id="309"/>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10" w:name="_Toc147758595"/>
      <w:bookmarkStart w:id="311" w:name="_Toc48564996"/>
      <w:bookmarkStart w:id="312" w:name="_Toc47347147"/>
      <w:bookmarkStart w:id="313" w:name="_Toc9185393"/>
      <w:bookmarkStart w:id="314" w:name="_Toc7097895"/>
      <w:r>
        <w:rPr>
          <w:rFonts w:hint="eastAsia" w:asciiTheme="minorEastAsia" w:hAnsiTheme="minorEastAsia" w:eastAsiaTheme="minorEastAsia"/>
          <w:b w:val="0"/>
          <w:sz w:val="28"/>
          <w:szCs w:val="28"/>
        </w:rPr>
        <w:t>管道安装</w:t>
      </w:r>
      <w:bookmarkEnd w:id="310"/>
      <w:bookmarkEnd w:id="311"/>
      <w:bookmarkEnd w:id="312"/>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bookmarkStart w:id="315" w:name="_Toc7097881"/>
      <w:r>
        <w:rPr>
          <w:rFonts w:hint="eastAsia" w:ascii="宋体" w:hAnsi="宋体" w:eastAsia="宋体" w:cs="宋体"/>
          <w:b w:val="0"/>
          <w:sz w:val="28"/>
          <w:szCs w:val="28"/>
        </w:rPr>
        <w:t>管道安装单位应建立相应的质量保证体系，具有健全的质量管理制度和相应的施工技术标准。</w:t>
      </w:r>
    </w:p>
    <w:bookmarkEnd w:id="315"/>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使用的管道元件和材料应符合下列规定：</w:t>
      </w:r>
    </w:p>
    <w:p>
      <w:pPr>
        <w:keepLines/>
        <w:numPr>
          <w:ilvl w:val="0"/>
          <w:numId w:val="44"/>
        </w:numPr>
        <w:adjustRightInd w:val="0"/>
        <w:snapToGrid w:val="0"/>
        <w:spacing w:line="360" w:lineRule="auto"/>
        <w:ind w:left="0" w:firstLine="560" w:firstLineChars="200"/>
        <w:outlineLvl w:val="3"/>
        <w:rPr>
          <w:rFonts w:ascii="宋体" w:hAnsi="宋体" w:eastAsia="宋体" w:cs="宋体"/>
          <w:bCs/>
          <w:sz w:val="28"/>
          <w:szCs w:val="28"/>
        </w:rPr>
      </w:pPr>
      <w:r>
        <w:rPr>
          <w:rFonts w:hint="eastAsia" w:ascii="宋体" w:hAnsi="宋体" w:eastAsia="宋体" w:cs="宋体"/>
          <w:bCs/>
          <w:sz w:val="28"/>
          <w:szCs w:val="28"/>
        </w:rPr>
        <w:t>管道元件和材料在使用前，应进行检查与验收。质量证明文件内容不全、质量证明文件与实物上的标记不符以及标记模糊不清的管道元件或材料不得使用；</w:t>
      </w:r>
    </w:p>
    <w:p>
      <w:pPr>
        <w:keepLines/>
        <w:numPr>
          <w:ilvl w:val="0"/>
          <w:numId w:val="44"/>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管道元件和材料在存放保管和使用时，应采取防止变形、腐蚀或损伤的防护措施。不同材质和型号的材料应采取防止混放和错用的措施。不锈钢、有色金属的管道组成件及支撑件，在运输和储存期间不得与碳素钢、低合金钢接触；</w:t>
      </w:r>
    </w:p>
    <w:p>
      <w:pPr>
        <w:keepLines/>
        <w:numPr>
          <w:ilvl w:val="0"/>
          <w:numId w:val="44"/>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非金属管道组成件应在贮存有效期内使用，并应远离热源；不得与油类或化学品混合存放，且不得曝晒和雨淋。</w:t>
      </w:r>
      <w:r>
        <w:rPr>
          <w:rFonts w:hint="eastAsia" w:ascii="宋体" w:hAnsi="宋体" w:eastAsia="宋体"/>
          <w:sz w:val="28"/>
          <w:szCs w:val="28"/>
        </w:rPr>
        <w:t>   </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管道安装连接应符合下列规定</w:t>
      </w:r>
      <w:r>
        <w:rPr>
          <w:rFonts w:ascii="宋体" w:hAnsi="宋体" w:eastAsia="宋体" w:cs="宋体"/>
          <w:b w:val="0"/>
          <w:sz w:val="28"/>
          <w:szCs w:val="28"/>
        </w:rPr>
        <w:t>:</w:t>
      </w:r>
    </w:p>
    <w:p>
      <w:pPr>
        <w:keepLines/>
        <w:numPr>
          <w:ilvl w:val="0"/>
          <w:numId w:val="45"/>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管道接头装配时不得采用导致设备或管道产生有害残余应变的扭曲方法；</w:t>
      </w:r>
    </w:p>
    <w:p>
      <w:pPr>
        <w:keepLines/>
        <w:numPr>
          <w:ilvl w:val="0"/>
          <w:numId w:val="45"/>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除设计文件规定有冷拉、热紧的要求外，管道连接时，不得强力对口、加热管道、加偏垫或多层垫等方法消除接口端面的间隙、偏斜、错口或不同心等缺陷。不得用强紧螺栓的方法消除法兰接头的偏斜。</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管道试运行前，安全阀安装应按《安全阀安全技术监察规程》TSG ZF001的规定对安全阀进行最终整定压力调整，并应做好调整记录和铅封。</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管道安装完毕、热处理和无损检测合格后，应进行压力试验。除设计文件规定进行气压试验的管道外，压力试验介质应以液体进行。现场条件不允许进行管道液压和气压试验时，经建设单位和设计单位同意，可同时采用所有焊缝进行100%无损检测、管道系统柔性分析和泄漏试验代替压力试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管道液压试验应符合下列规定：</w:t>
      </w:r>
    </w:p>
    <w:p>
      <w:pPr>
        <w:keepLines/>
        <w:numPr>
          <w:ilvl w:val="0"/>
          <w:numId w:val="46"/>
        </w:numPr>
        <w:adjustRightInd w:val="0"/>
        <w:snapToGrid w:val="0"/>
        <w:spacing w:line="360" w:lineRule="auto"/>
        <w:ind w:left="105" w:leftChars="50" w:right="105" w:rightChars="50" w:firstLine="560" w:firstLineChars="200"/>
        <w:outlineLvl w:val="3"/>
        <w:rPr>
          <w:rFonts w:ascii="宋体" w:hAnsi="宋体" w:eastAsia="宋体"/>
          <w:bCs/>
          <w:sz w:val="28"/>
          <w:szCs w:val="28"/>
        </w:rPr>
      </w:pPr>
      <w:r>
        <w:rPr>
          <w:rFonts w:hint="eastAsia" w:ascii="宋体" w:hAnsi="宋体" w:eastAsia="宋体" w:cs="宋体"/>
          <w:bCs/>
          <w:sz w:val="28"/>
          <w:szCs w:val="28"/>
        </w:rPr>
        <w:t>管道液压试验介质应使用洁净水。</w:t>
      </w:r>
      <w:r>
        <w:rPr>
          <w:rFonts w:hint="eastAsia" w:ascii="宋体" w:hAnsi="宋体"/>
          <w:sz w:val="28"/>
          <w:szCs w:val="28"/>
        </w:rPr>
        <w:t>当对奥氏体不锈钢管道或对连有奥氏体不锈钢组成件或容器的管道进行试验时，水中氯离子含量不得超过25ppm。</w:t>
      </w:r>
      <w:r>
        <w:rPr>
          <w:rFonts w:hint="eastAsia" w:ascii="宋体" w:hAnsi="宋体" w:eastAsia="宋体" w:cs="宋体"/>
          <w:bCs/>
          <w:sz w:val="28"/>
          <w:szCs w:val="28"/>
        </w:rPr>
        <w:t>当生产工艺有要求时，可用其他液体。当采用可燃液体介质进行液压试验时，其闪点不得低于</w:t>
      </w:r>
      <w:r>
        <w:rPr>
          <w:rFonts w:ascii="宋体" w:hAnsi="宋体" w:eastAsia="宋体" w:cs="宋体"/>
          <w:bCs/>
          <w:sz w:val="28"/>
          <w:szCs w:val="28"/>
        </w:rPr>
        <w:t>50</w:t>
      </w:r>
      <w:r>
        <w:rPr>
          <w:rFonts w:hint="eastAsia" w:ascii="宋体" w:hAnsi="宋体" w:eastAsia="宋体" w:cs="宋体"/>
          <w:bCs/>
          <w:sz w:val="28"/>
          <w:szCs w:val="28"/>
        </w:rPr>
        <w:t>℃，且应采取安全防护措施，试验场地附近不得有火源，应配备消防器材。</w:t>
      </w:r>
    </w:p>
    <w:p>
      <w:pPr>
        <w:keepLines/>
        <w:numPr>
          <w:ilvl w:val="0"/>
          <w:numId w:val="46"/>
        </w:numPr>
        <w:adjustRightInd w:val="0"/>
        <w:snapToGrid w:val="0"/>
        <w:spacing w:line="360" w:lineRule="auto"/>
        <w:ind w:left="105" w:leftChars="50" w:right="105" w:rightChars="50" w:firstLine="560" w:firstLineChars="200"/>
        <w:outlineLvl w:val="3"/>
        <w:rPr>
          <w:rFonts w:ascii="宋体" w:hAnsi="宋体" w:eastAsia="宋体"/>
          <w:bCs/>
          <w:sz w:val="28"/>
          <w:szCs w:val="28"/>
        </w:rPr>
      </w:pPr>
      <w:r>
        <w:rPr>
          <w:rFonts w:hint="eastAsia" w:ascii="宋体" w:hAnsi="宋体" w:eastAsia="宋体" w:cs="宋体"/>
          <w:bCs/>
          <w:sz w:val="28"/>
          <w:szCs w:val="28"/>
        </w:rPr>
        <w:t>试验温度严禁接近金属材料的脆性转变温度。当环境温度低于</w:t>
      </w:r>
      <w:r>
        <w:rPr>
          <w:rFonts w:ascii="宋体" w:hAnsi="宋体" w:eastAsia="宋体" w:cs="宋体"/>
          <w:bCs/>
          <w:sz w:val="28"/>
          <w:szCs w:val="28"/>
        </w:rPr>
        <w:t>5</w:t>
      </w:r>
      <w:r>
        <w:rPr>
          <w:rFonts w:hint="eastAsia" w:ascii="宋体" w:hAnsi="宋体" w:eastAsia="宋体" w:cs="宋体"/>
          <w:bCs/>
          <w:sz w:val="28"/>
          <w:szCs w:val="28"/>
        </w:rPr>
        <w:t>℃时，应采取防冻措施。</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管道气压试验应符合下列规定：</w:t>
      </w:r>
    </w:p>
    <w:p>
      <w:pPr>
        <w:keepLines/>
        <w:numPr>
          <w:ilvl w:val="0"/>
          <w:numId w:val="47"/>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由于结构或支承原因不能向管道内充灌液体，以及运行条件不允许残留试验液体的管道，允许采用气压试验，但应取得设计单位和建设单位的同意；</w:t>
      </w:r>
    </w:p>
    <w:p>
      <w:pPr>
        <w:keepLines/>
        <w:numPr>
          <w:ilvl w:val="0"/>
          <w:numId w:val="47"/>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试验所用气体应为干燥洁净的空气、氮气或其他不易燃、无毒、无腐蚀的气体。脆性材料不得使用气体进行压力试验。气压试验温度严禁接近金属材料的脆性转变温度；</w:t>
      </w:r>
    </w:p>
    <w:p>
      <w:pPr>
        <w:keepLines/>
        <w:numPr>
          <w:ilvl w:val="0"/>
          <w:numId w:val="47"/>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sz w:val="28"/>
          <w:szCs w:val="28"/>
        </w:rPr>
        <w:t>气</w:t>
      </w:r>
      <w:r>
        <w:rPr>
          <w:rFonts w:hint="eastAsia" w:ascii="宋体" w:hAnsi="宋体" w:eastAsia="宋体" w:cs="宋体"/>
          <w:bCs/>
          <w:sz w:val="28"/>
          <w:szCs w:val="28"/>
        </w:rPr>
        <w:t>压试验前应进行预试验，预试验压力应为</w:t>
      </w:r>
      <w:r>
        <w:rPr>
          <w:rFonts w:ascii="宋体" w:hAnsi="宋体" w:eastAsia="宋体" w:cs="宋体"/>
          <w:bCs/>
          <w:sz w:val="28"/>
          <w:szCs w:val="28"/>
        </w:rPr>
        <w:t>0.2MPa</w:t>
      </w:r>
      <w:r>
        <w:rPr>
          <w:rFonts w:hint="eastAsia" w:ascii="宋体" w:hAnsi="宋体" w:eastAsia="宋体" w:cs="宋体"/>
          <w:bCs/>
          <w:sz w:val="28"/>
          <w:szCs w:val="28"/>
        </w:rPr>
        <w:t>；</w:t>
      </w:r>
    </w:p>
    <w:p>
      <w:pPr>
        <w:keepLines/>
        <w:numPr>
          <w:ilvl w:val="0"/>
          <w:numId w:val="47"/>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气压试验应装有压力泄放装置，其设定压力不得高于试验压力的</w:t>
      </w:r>
      <w:r>
        <w:rPr>
          <w:rFonts w:ascii="宋体" w:hAnsi="宋体" w:eastAsia="宋体" w:cs="宋体"/>
          <w:bCs/>
          <w:sz w:val="28"/>
          <w:szCs w:val="28"/>
        </w:rPr>
        <w:t>1.1</w:t>
      </w:r>
      <w:r>
        <w:rPr>
          <w:rFonts w:hint="eastAsia" w:ascii="宋体" w:hAnsi="宋体" w:eastAsia="宋体" w:cs="宋体"/>
          <w:bCs/>
          <w:sz w:val="28"/>
          <w:szCs w:val="28"/>
        </w:rPr>
        <w:t>倍或试验压力加</w:t>
      </w:r>
      <w:r>
        <w:rPr>
          <w:rFonts w:ascii="宋体" w:hAnsi="宋体" w:eastAsia="宋体" w:cs="宋体"/>
          <w:bCs/>
          <w:sz w:val="28"/>
          <w:szCs w:val="28"/>
        </w:rPr>
        <w:t>0.345MPa</w:t>
      </w:r>
      <w:r>
        <w:rPr>
          <w:rFonts w:hint="eastAsia" w:ascii="宋体" w:hAnsi="宋体" w:eastAsia="宋体" w:cs="宋体"/>
          <w:bCs/>
          <w:sz w:val="28"/>
          <w:szCs w:val="28"/>
        </w:rPr>
        <w:t>（取其较小值）；</w:t>
      </w:r>
    </w:p>
    <w:p>
      <w:pPr>
        <w:keepLines/>
        <w:numPr>
          <w:ilvl w:val="0"/>
          <w:numId w:val="47"/>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气压试验时，应先缓慢升压至规定试验压力的</w:t>
      </w:r>
      <w:r>
        <w:rPr>
          <w:rFonts w:ascii="宋体" w:hAnsi="宋体" w:eastAsia="宋体" w:cs="宋体"/>
          <w:bCs/>
          <w:sz w:val="28"/>
          <w:szCs w:val="28"/>
        </w:rPr>
        <w:t>50%</w:t>
      </w:r>
      <w:r>
        <w:rPr>
          <w:rFonts w:hint="eastAsia" w:ascii="宋体" w:hAnsi="宋体" w:eastAsia="宋体" w:cs="宋体"/>
          <w:bCs/>
          <w:sz w:val="28"/>
          <w:szCs w:val="28"/>
        </w:rPr>
        <w:t>，保压足够时间后对所有焊缝和连接部位进行初次检查；当未发现异常或泄漏，应继续按试验压力的</w:t>
      </w:r>
      <w:r>
        <w:rPr>
          <w:rFonts w:ascii="宋体" w:hAnsi="宋体" w:eastAsia="宋体" w:cs="宋体"/>
          <w:bCs/>
          <w:sz w:val="28"/>
          <w:szCs w:val="28"/>
        </w:rPr>
        <w:t>10%</w:t>
      </w:r>
      <w:r>
        <w:rPr>
          <w:rFonts w:hint="eastAsia" w:ascii="宋体" w:hAnsi="宋体" w:eastAsia="宋体" w:cs="宋体"/>
          <w:bCs/>
          <w:sz w:val="28"/>
          <w:szCs w:val="28"/>
        </w:rPr>
        <w:t>逐级升压，每级稳压一定时间，直到试验压力，保压</w:t>
      </w:r>
      <w:r>
        <w:rPr>
          <w:rFonts w:ascii="宋体" w:hAnsi="宋体" w:eastAsia="宋体" w:cs="宋体"/>
          <w:bCs/>
          <w:sz w:val="28"/>
          <w:szCs w:val="28"/>
        </w:rPr>
        <w:t>10min</w:t>
      </w:r>
      <w:r>
        <w:rPr>
          <w:rFonts w:hint="eastAsia" w:ascii="宋体" w:hAnsi="宋体" w:eastAsia="宋体" w:cs="宋体"/>
          <w:bCs/>
          <w:sz w:val="28"/>
          <w:szCs w:val="28"/>
        </w:rPr>
        <w:t>；然后降至设计压力，保压足够时间进行检查，检查期间压力应保持不变。</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脱脂后的设备、管道和仪表系统，不得使用含油的介质进行压力试验、吹扫和泄漏性试验。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压力试验应采取有效的安全措施。</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当压力试验过程中有泄漏时，不得带压修理。缺陷消除后应重新试验。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输送极度和高度危害介质以及可燃介质的管道，应在压力试验合格后进行泄漏性试验。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强氧化性流体管道的所有组成件与流体接触的表面均应进行脱脂，且应符合下列要求：</w:t>
      </w:r>
    </w:p>
    <w:p>
      <w:pPr>
        <w:keepLines/>
        <w:numPr>
          <w:ilvl w:val="0"/>
          <w:numId w:val="4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应避免残存的脱脂介质与氧气形成危险的混合物；</w:t>
      </w:r>
    </w:p>
    <w:p>
      <w:pPr>
        <w:keepLines/>
        <w:numPr>
          <w:ilvl w:val="0"/>
          <w:numId w:val="4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当采用二氯乙烷、三氯乙烯或四氯乙烯脱脂时，脱脂件严禁含有水分，已脱脂工件在脱脂残液没有完全挥发前严禁与水接触；</w:t>
      </w:r>
    </w:p>
    <w:p>
      <w:pPr>
        <w:keepLines/>
        <w:numPr>
          <w:ilvl w:val="0"/>
          <w:numId w:val="4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易燃脱脂剂应在防爆条件下使用。</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ascii="宋体" w:hAnsi="宋体" w:eastAsia="宋体" w:cs="宋体"/>
          <w:b w:val="0"/>
          <w:sz w:val="28"/>
          <w:szCs w:val="28"/>
        </w:rPr>
        <w:t xml:space="preserve"> </w:t>
      </w:r>
      <w:r>
        <w:rPr>
          <w:rFonts w:hint="eastAsia" w:ascii="宋体" w:hAnsi="宋体" w:eastAsia="宋体" w:cs="宋体"/>
          <w:b w:val="0"/>
          <w:sz w:val="28"/>
          <w:szCs w:val="28"/>
        </w:rPr>
        <w:t>管道清洗与吹扫应符合下列规定：</w:t>
      </w:r>
    </w:p>
    <w:p>
      <w:pPr>
        <w:keepLines/>
        <w:numPr>
          <w:ilvl w:val="0"/>
          <w:numId w:val="49"/>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管道系统清洗与吹扫的排放口应设置在对人或设施无损害的安全地点，并应设置禁区和安全警戒线，悬挂警示牌；</w:t>
      </w:r>
    </w:p>
    <w:p>
      <w:pPr>
        <w:keepLines/>
        <w:numPr>
          <w:ilvl w:val="0"/>
          <w:numId w:val="49"/>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空气爆破吹扫和蒸汽吹扫时，应采取在排放口安装消音器等措施；</w:t>
      </w:r>
    </w:p>
    <w:p>
      <w:pPr>
        <w:keepLines/>
        <w:numPr>
          <w:ilvl w:val="0"/>
          <w:numId w:val="49"/>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化学清洗和脱脂作业时，操作人员应穿戴专用防护用具；</w:t>
      </w:r>
    </w:p>
    <w:p>
      <w:pPr>
        <w:keepLines/>
        <w:numPr>
          <w:ilvl w:val="0"/>
          <w:numId w:val="49"/>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化学清洗废液、脱脂残液及其他废液、污水的处理和排放应符合设计文件或施工合同中规定的国家现行有关标准的规定，不得随地排放。</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管道试运行时，高温或低温管道的法兰螺栓应按下列要求进行热态紧固或冷态紧固：</w:t>
      </w:r>
    </w:p>
    <w:p>
      <w:pPr>
        <w:keepLines/>
        <w:numPr>
          <w:ilvl w:val="0"/>
          <w:numId w:val="5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应在达到国家现行相关标准规定的紧固温度</w:t>
      </w:r>
      <w:r>
        <w:rPr>
          <w:rFonts w:ascii="宋体" w:hAnsi="宋体" w:eastAsia="宋体" w:cs="宋体"/>
          <w:bCs/>
          <w:sz w:val="28"/>
          <w:szCs w:val="28"/>
        </w:rPr>
        <w:t>2</w:t>
      </w:r>
      <w:r>
        <w:rPr>
          <w:rFonts w:hint="eastAsia" w:ascii="宋体" w:hAnsi="宋体" w:eastAsia="宋体" w:cs="宋体"/>
          <w:bCs/>
          <w:sz w:val="28"/>
          <w:szCs w:val="28"/>
        </w:rPr>
        <w:t>h后进行；</w:t>
      </w:r>
    </w:p>
    <w:p>
      <w:pPr>
        <w:keepLines/>
        <w:numPr>
          <w:ilvl w:val="0"/>
          <w:numId w:val="5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热态紧固时的管道最大内压应符合国家现行有关标准规定。冷态紧固应在卸压后进行；</w:t>
      </w:r>
    </w:p>
    <w:p>
      <w:pPr>
        <w:keepLines/>
        <w:numPr>
          <w:ilvl w:val="0"/>
          <w:numId w:val="5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螺栓紧固时，应采取保护操作人员安全的技术措施。</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16" w:name="_Toc48564997"/>
      <w:bookmarkStart w:id="317" w:name="_Toc47347148"/>
      <w:bookmarkStart w:id="318" w:name="_Toc147758596"/>
      <w:r>
        <w:rPr>
          <w:rFonts w:hint="eastAsia" w:asciiTheme="minorEastAsia" w:hAnsiTheme="minorEastAsia" w:eastAsiaTheme="minorEastAsia"/>
          <w:b w:val="0"/>
          <w:sz w:val="28"/>
          <w:szCs w:val="28"/>
        </w:rPr>
        <w:t>防腐蚀施工</w:t>
      </w:r>
      <w:bookmarkEnd w:id="313"/>
      <w:bookmarkEnd w:id="314"/>
      <w:bookmarkEnd w:id="316"/>
      <w:bookmarkEnd w:id="317"/>
      <w:bookmarkEnd w:id="318"/>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bookmarkStart w:id="319" w:name="_Toc7097909"/>
      <w:r>
        <w:rPr>
          <w:rFonts w:hint="eastAsia" w:ascii="宋体" w:hAnsi="宋体" w:eastAsia="宋体" w:cs="宋体"/>
          <w:b w:val="0"/>
          <w:sz w:val="28"/>
          <w:szCs w:val="28"/>
        </w:rPr>
        <w:t>在工业设备、管道防腐蚀施工中使用的主材应能提供材料化学品安全技术说明（</w:t>
      </w:r>
      <w:r>
        <w:rPr>
          <w:rFonts w:ascii="宋体" w:hAnsi="宋体" w:eastAsia="宋体" w:cs="宋体"/>
          <w:b w:val="0"/>
          <w:sz w:val="28"/>
          <w:szCs w:val="28"/>
        </w:rPr>
        <w:t>SDS</w:t>
      </w:r>
      <w:r>
        <w:rPr>
          <w:rFonts w:hint="eastAsia" w:ascii="宋体" w:hAnsi="宋体" w:eastAsia="宋体" w:cs="宋体"/>
          <w:b w:val="0"/>
          <w:sz w:val="28"/>
          <w:szCs w:val="28"/>
        </w:rPr>
        <w:t>）。应依据M</w:t>
      </w:r>
      <w:r>
        <w:rPr>
          <w:rFonts w:ascii="宋体" w:hAnsi="宋体" w:eastAsia="宋体" w:cs="宋体"/>
          <w:b w:val="0"/>
          <w:sz w:val="28"/>
          <w:szCs w:val="28"/>
        </w:rPr>
        <w:t>SDS</w:t>
      </w:r>
      <w:r>
        <w:rPr>
          <w:rFonts w:hint="eastAsia" w:ascii="宋体" w:hAnsi="宋体" w:eastAsia="宋体" w:cs="宋体"/>
          <w:b w:val="0"/>
          <w:sz w:val="28"/>
          <w:szCs w:val="28"/>
        </w:rPr>
        <w:t>辨识对人体和环境有害的危害源，设置必要的消防、急救、贮存及防泄漏等应急设施。</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在防腐蚀工程施工过程中，不得同时进行焊接，气割、直接敲击等作业。</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防腐蚀施工应符合下列基本要求：</w:t>
      </w:r>
    </w:p>
    <w:p>
      <w:pPr>
        <w:numPr>
          <w:ilvl w:val="0"/>
          <w:numId w:val="51"/>
        </w:numPr>
        <w:adjustRightInd w:val="0"/>
        <w:snapToGrid w:val="0"/>
        <w:spacing w:line="360" w:lineRule="auto"/>
        <w:ind w:left="0" w:right="-210" w:rightChars="-100" w:firstLine="560" w:firstLineChars="200"/>
        <w:outlineLvl w:val="3"/>
        <w:rPr>
          <w:rFonts w:ascii="宋体" w:hAnsi="宋体" w:eastAsia="宋体"/>
          <w:bCs/>
          <w:sz w:val="28"/>
          <w:szCs w:val="28"/>
        </w:rPr>
      </w:pPr>
      <w:r>
        <w:rPr>
          <w:rFonts w:hint="eastAsia" w:ascii="宋体" w:hAnsi="宋体" w:eastAsia="宋体" w:cs="宋体"/>
          <w:bCs/>
          <w:sz w:val="28"/>
          <w:szCs w:val="28"/>
        </w:rPr>
        <w:t>易燃、易爆作业现场：应设置至少两个出入口，其中至少一个通向安全区域，门应向外开，通道宽度不少于</w:t>
      </w:r>
      <w:r>
        <w:rPr>
          <w:rFonts w:ascii="宋体" w:hAnsi="宋体" w:eastAsia="宋体" w:cs="宋体"/>
          <w:bCs/>
          <w:sz w:val="28"/>
          <w:szCs w:val="28"/>
        </w:rPr>
        <w:t>1.2m</w:t>
      </w:r>
      <w:r>
        <w:rPr>
          <w:rFonts w:hint="eastAsia" w:ascii="宋体" w:hAnsi="宋体" w:eastAsia="宋体" w:cs="宋体"/>
          <w:bCs/>
          <w:sz w:val="28"/>
          <w:szCs w:val="28"/>
        </w:rPr>
        <w:t>；采用防爆型电器设施和照明器具；采用防静电保护措施；</w:t>
      </w:r>
    </w:p>
    <w:p>
      <w:pPr>
        <w:numPr>
          <w:ilvl w:val="0"/>
          <w:numId w:val="51"/>
        </w:numPr>
        <w:adjustRightInd w:val="0"/>
        <w:snapToGrid w:val="0"/>
        <w:spacing w:line="360" w:lineRule="auto"/>
        <w:ind w:left="0" w:right="-210" w:rightChars="-100" w:firstLine="560" w:firstLineChars="200"/>
        <w:outlineLvl w:val="3"/>
        <w:rPr>
          <w:rFonts w:ascii="宋体" w:hAnsi="宋体" w:eastAsia="宋体"/>
          <w:bCs/>
          <w:sz w:val="28"/>
          <w:szCs w:val="28"/>
        </w:rPr>
      </w:pPr>
      <w:r>
        <w:rPr>
          <w:rFonts w:hint="eastAsia" w:ascii="宋体" w:hAnsi="宋体" w:eastAsia="宋体" w:cs="宋体"/>
          <w:bCs/>
          <w:sz w:val="28"/>
          <w:szCs w:val="28"/>
        </w:rPr>
        <w:t>施工作业时应通风净化；可燃性气体、蒸气和粉尘的浓度应控制在可燃烧极限和爆炸下限的</w:t>
      </w:r>
      <w:r>
        <w:rPr>
          <w:rFonts w:ascii="宋体" w:hAnsi="宋体" w:eastAsia="宋体" w:cs="宋体"/>
          <w:bCs/>
          <w:sz w:val="28"/>
          <w:szCs w:val="28"/>
        </w:rPr>
        <w:t>10%</w:t>
      </w:r>
      <w:r>
        <w:rPr>
          <w:rFonts w:hint="eastAsia" w:ascii="宋体" w:hAnsi="宋体" w:eastAsia="宋体" w:cs="宋体"/>
          <w:bCs/>
          <w:sz w:val="28"/>
          <w:szCs w:val="28"/>
        </w:rPr>
        <w:t>以下；有毒物质最高容许浓度应低于职业接触限值。</w:t>
      </w:r>
    </w:p>
    <w:p>
      <w:pPr>
        <w:spacing w:line="360" w:lineRule="auto"/>
        <w:ind w:left="105" w:leftChars="50" w:right="105" w:rightChars="50"/>
        <w:jc w:val="center"/>
        <w:rPr>
          <w:rFonts w:ascii="宋体" w:hAnsi="宋体" w:eastAsia="宋体"/>
          <w:bCs/>
          <w:sz w:val="28"/>
          <w:szCs w:val="28"/>
        </w:rPr>
      </w:pPr>
      <w:r>
        <w:rPr>
          <w:rFonts w:hint="eastAsia" w:ascii="宋体" w:hAnsi="宋体" w:eastAsia="宋体" w:cs="宋体"/>
          <w:bCs/>
          <w:sz w:val="28"/>
          <w:szCs w:val="28"/>
        </w:rPr>
        <w:t>Ⅰ</w:t>
      </w:r>
      <w:r>
        <w:rPr>
          <w:rFonts w:ascii="宋体" w:hAnsi="宋体" w:eastAsia="宋体" w:cs="宋体"/>
          <w:bCs/>
          <w:sz w:val="28"/>
          <w:szCs w:val="28"/>
        </w:rPr>
        <w:t xml:space="preserve"> </w:t>
      </w:r>
      <w:r>
        <w:rPr>
          <w:rFonts w:hint="eastAsia" w:ascii="宋体" w:hAnsi="宋体" w:eastAsia="宋体" w:cs="宋体"/>
          <w:bCs/>
          <w:sz w:val="28"/>
          <w:szCs w:val="28"/>
        </w:rPr>
        <w:t>块材衬里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水玻璃胶泥和树脂胶泥在块材衬里施工或固化养护期间，严禁与水或水蒸气接触，并应防止暴晒。施工场所应通风良好。</w:t>
      </w:r>
    </w:p>
    <w:p>
      <w:pPr>
        <w:spacing w:line="360" w:lineRule="auto"/>
        <w:ind w:left="105" w:leftChars="50" w:right="105" w:rightChars="50"/>
        <w:jc w:val="center"/>
        <w:rPr>
          <w:rFonts w:ascii="宋体" w:hAnsi="宋体" w:eastAsia="宋体" w:cs="宋体"/>
          <w:bCs/>
          <w:sz w:val="28"/>
          <w:szCs w:val="28"/>
        </w:rPr>
      </w:pPr>
      <w:r>
        <w:rPr>
          <w:rFonts w:hint="eastAsia" w:ascii="宋体" w:hAnsi="宋体" w:eastAsia="宋体" w:cs="宋体"/>
          <w:bCs/>
          <w:sz w:val="28"/>
          <w:szCs w:val="28"/>
        </w:rPr>
        <w:t>Ⅱ</w:t>
      </w:r>
      <w:r>
        <w:rPr>
          <w:rFonts w:ascii="宋体" w:hAnsi="宋体" w:eastAsia="宋体" w:cs="宋体"/>
          <w:bCs/>
          <w:sz w:val="28"/>
          <w:szCs w:val="28"/>
        </w:rPr>
        <w:t xml:space="preserve"> </w:t>
      </w:r>
      <w:r>
        <w:rPr>
          <w:rFonts w:hint="eastAsia" w:ascii="宋体" w:hAnsi="宋体" w:eastAsia="宋体" w:cs="宋体"/>
          <w:bCs/>
          <w:sz w:val="28"/>
          <w:szCs w:val="28"/>
        </w:rPr>
        <w:t>树脂玻璃鳞片衬里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树脂类玻璃鳞片衬里施工中严禁使用明火或蒸汽直接加热。</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使用乙烯基酯树脂或不饱和聚酯树脂类玻璃鳞片衬里时，严禁促进剂与引发剂直接混合。</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防腐蚀涂料和稀释剂在运输、贮存、施工及养护过程中，严禁明火，并应防尘、防暴晒，不得与酸、碱等化学介质接触。</w:t>
      </w:r>
    </w:p>
    <w:bookmarkEnd w:id="319"/>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20" w:name="_Toc137473645"/>
      <w:bookmarkEnd w:id="320"/>
      <w:bookmarkStart w:id="321" w:name="_Toc137473647"/>
      <w:bookmarkEnd w:id="321"/>
      <w:bookmarkStart w:id="322" w:name="_Toc137473542"/>
      <w:bookmarkEnd w:id="322"/>
      <w:bookmarkStart w:id="323" w:name="_Toc137473964"/>
      <w:bookmarkEnd w:id="323"/>
      <w:bookmarkStart w:id="324" w:name="_Toc137473746"/>
      <w:bookmarkEnd w:id="324"/>
      <w:bookmarkStart w:id="325" w:name="_Toc137473541"/>
      <w:bookmarkEnd w:id="325"/>
      <w:bookmarkStart w:id="326" w:name="_Toc137473648"/>
      <w:bookmarkEnd w:id="326"/>
      <w:bookmarkStart w:id="327" w:name="_Toc137473537"/>
      <w:bookmarkEnd w:id="327"/>
      <w:bookmarkStart w:id="328" w:name="_Toc137473638"/>
      <w:bookmarkEnd w:id="328"/>
      <w:bookmarkStart w:id="329" w:name="_Toc137473644"/>
      <w:bookmarkEnd w:id="329"/>
      <w:bookmarkStart w:id="330" w:name="_Toc137473539"/>
      <w:bookmarkEnd w:id="330"/>
      <w:bookmarkStart w:id="331" w:name="_Toc137473641"/>
      <w:bookmarkEnd w:id="331"/>
      <w:bookmarkStart w:id="332" w:name="_Toc137473968"/>
      <w:bookmarkEnd w:id="332"/>
      <w:bookmarkStart w:id="333" w:name="_Toc137473642"/>
      <w:bookmarkEnd w:id="333"/>
      <w:bookmarkStart w:id="334" w:name="_Toc137473533"/>
      <w:bookmarkEnd w:id="334"/>
      <w:bookmarkStart w:id="335" w:name="_Toc137473755"/>
      <w:bookmarkEnd w:id="335"/>
      <w:bookmarkStart w:id="336" w:name="_Toc137473744"/>
      <w:bookmarkEnd w:id="336"/>
      <w:bookmarkStart w:id="337" w:name="_Toc137473754"/>
      <w:bookmarkEnd w:id="337"/>
      <w:bookmarkStart w:id="338" w:name="_Toc137473748"/>
      <w:bookmarkEnd w:id="338"/>
      <w:bookmarkStart w:id="339" w:name="_Toc137473750"/>
      <w:bookmarkEnd w:id="339"/>
      <w:bookmarkStart w:id="340" w:name="_Toc137473646"/>
      <w:bookmarkEnd w:id="340"/>
      <w:bookmarkStart w:id="341" w:name="_Toc137473543"/>
      <w:bookmarkEnd w:id="341"/>
      <w:bookmarkStart w:id="342" w:name="_Toc137473971"/>
      <w:bookmarkEnd w:id="342"/>
      <w:bookmarkStart w:id="343" w:name="_Toc137473643"/>
      <w:bookmarkEnd w:id="343"/>
      <w:bookmarkStart w:id="344" w:name="_Toc137473752"/>
      <w:bookmarkEnd w:id="344"/>
      <w:bookmarkStart w:id="345" w:name="_Toc137473639"/>
      <w:bookmarkEnd w:id="345"/>
      <w:bookmarkStart w:id="346" w:name="_Toc137473970"/>
      <w:bookmarkEnd w:id="346"/>
      <w:bookmarkStart w:id="347" w:name="_Toc137473963"/>
      <w:bookmarkEnd w:id="347"/>
      <w:bookmarkStart w:id="348" w:name="_Toc137473745"/>
      <w:bookmarkEnd w:id="348"/>
      <w:bookmarkStart w:id="349" w:name="_Toc137473753"/>
      <w:bookmarkEnd w:id="349"/>
      <w:bookmarkStart w:id="350" w:name="_Toc137473536"/>
      <w:bookmarkEnd w:id="350"/>
      <w:bookmarkStart w:id="351" w:name="_Toc137473972"/>
      <w:bookmarkEnd w:id="351"/>
      <w:bookmarkStart w:id="352" w:name="_Toc137473974"/>
      <w:bookmarkEnd w:id="352"/>
      <w:bookmarkStart w:id="353" w:name="_Toc137473649"/>
      <w:bookmarkEnd w:id="353"/>
      <w:bookmarkStart w:id="354" w:name="_Toc137473751"/>
      <w:bookmarkEnd w:id="354"/>
      <w:bookmarkStart w:id="355" w:name="_Toc137473540"/>
      <w:bookmarkEnd w:id="355"/>
      <w:bookmarkStart w:id="356" w:name="_Toc137473532"/>
      <w:bookmarkEnd w:id="356"/>
      <w:bookmarkStart w:id="357" w:name="_Toc137473534"/>
      <w:bookmarkEnd w:id="357"/>
      <w:bookmarkStart w:id="358" w:name="_Toc137473747"/>
      <w:bookmarkEnd w:id="358"/>
      <w:bookmarkStart w:id="359" w:name="_Toc137473640"/>
      <w:bookmarkEnd w:id="359"/>
      <w:bookmarkStart w:id="360" w:name="_Toc137473969"/>
      <w:bookmarkEnd w:id="360"/>
      <w:bookmarkStart w:id="361" w:name="_Toc137473973"/>
      <w:bookmarkEnd w:id="361"/>
      <w:bookmarkStart w:id="362" w:name="_Toc137473538"/>
      <w:bookmarkEnd w:id="362"/>
      <w:bookmarkStart w:id="363" w:name="_Toc137473966"/>
      <w:bookmarkEnd w:id="363"/>
      <w:bookmarkStart w:id="364" w:name="_Toc137473965"/>
      <w:bookmarkEnd w:id="364"/>
      <w:bookmarkStart w:id="365" w:name="_Toc137473535"/>
      <w:bookmarkEnd w:id="365"/>
      <w:bookmarkStart w:id="366" w:name="_Toc137473749"/>
      <w:bookmarkEnd w:id="366"/>
      <w:bookmarkStart w:id="367" w:name="_Toc137473967"/>
      <w:bookmarkEnd w:id="367"/>
      <w:bookmarkStart w:id="368" w:name="_Toc47347149"/>
      <w:bookmarkStart w:id="369" w:name="_Toc7097910"/>
      <w:bookmarkStart w:id="370" w:name="_Toc9185396"/>
      <w:bookmarkStart w:id="371" w:name="_Toc147758597"/>
      <w:bookmarkStart w:id="372" w:name="_Toc48564998"/>
      <w:r>
        <w:rPr>
          <w:rFonts w:hint="eastAsia" w:asciiTheme="minorEastAsia" w:hAnsiTheme="minorEastAsia" w:eastAsiaTheme="minorEastAsia"/>
          <w:b w:val="0"/>
          <w:sz w:val="28"/>
          <w:szCs w:val="28"/>
        </w:rPr>
        <w:t>绝热施工</w:t>
      </w:r>
      <w:bookmarkEnd w:id="368"/>
      <w:bookmarkEnd w:id="369"/>
      <w:bookmarkEnd w:id="370"/>
      <w:bookmarkEnd w:id="371"/>
      <w:bookmarkEnd w:id="372"/>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bookmarkStart w:id="373" w:name="_Hlk10319418"/>
      <w:r>
        <w:rPr>
          <w:rFonts w:hint="eastAsia" w:ascii="宋体" w:hAnsi="宋体" w:eastAsia="宋体" w:cs="宋体"/>
          <w:b w:val="0"/>
          <w:sz w:val="28"/>
          <w:szCs w:val="28"/>
        </w:rPr>
        <w:t>在有防腐、衬里的工业设备及管道上焊接绝热层的固定件时，焊接及焊后热处理必须在防腐、衬里和试压之前进行。</w:t>
      </w:r>
    </w:p>
    <w:bookmarkEnd w:id="373"/>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用于绝热结构的固定件和支承件的材质必须与设备及管道的材质相匹配。直接焊于不锈钢设备及管道上的固定件和支承件，必须采用与设备和管道母材一致的材料制作；当固定件采用碳钢制作时，应加焊与母材一致的垫板。</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保冷设备及管道上的裙座、支座、吊耳、仪表管座、支吊架等附件，必须进行保冷，其保冷层长度不得小于保冷层厚度的</w:t>
      </w:r>
      <w:r>
        <w:rPr>
          <w:rFonts w:ascii="宋体" w:hAnsi="宋体" w:eastAsia="宋体" w:cs="宋体"/>
          <w:b w:val="0"/>
          <w:sz w:val="28"/>
          <w:szCs w:val="28"/>
        </w:rPr>
        <w:t>4</w:t>
      </w:r>
      <w:r>
        <w:rPr>
          <w:rFonts w:hint="eastAsia" w:ascii="宋体" w:hAnsi="宋体" w:eastAsia="宋体" w:cs="宋体"/>
          <w:b w:val="0"/>
          <w:sz w:val="28"/>
          <w:szCs w:val="28"/>
        </w:rPr>
        <w:t>倍或敷设至垫块处，保冷层厚度应为邻近保冷层厚度的</w:t>
      </w:r>
      <w:r>
        <w:rPr>
          <w:rFonts w:ascii="宋体" w:hAnsi="宋体" w:eastAsia="宋体" w:cs="宋体"/>
          <w:b w:val="0"/>
          <w:sz w:val="28"/>
          <w:szCs w:val="28"/>
        </w:rPr>
        <w:t>1/2</w:t>
      </w:r>
      <w:r>
        <w:rPr>
          <w:rFonts w:hint="eastAsia" w:ascii="宋体" w:hAnsi="宋体" w:eastAsia="宋体" w:cs="宋体"/>
          <w:b w:val="0"/>
          <w:sz w:val="28"/>
          <w:szCs w:val="28"/>
        </w:rPr>
        <w:t>，但不得小于</w:t>
      </w:r>
      <w:r>
        <w:rPr>
          <w:rFonts w:ascii="宋体" w:hAnsi="宋体" w:eastAsia="宋体" w:cs="宋体"/>
          <w:b w:val="0"/>
          <w:sz w:val="28"/>
          <w:szCs w:val="28"/>
        </w:rPr>
        <w:t>40mm</w:t>
      </w:r>
      <w:r>
        <w:rPr>
          <w:rFonts w:hint="eastAsia" w:ascii="宋体" w:hAnsi="宋体" w:eastAsia="宋体" w:cs="宋体"/>
          <w:b w:val="0"/>
          <w:sz w:val="28"/>
          <w:szCs w:val="28"/>
        </w:rPr>
        <w:t>。保冷设备裙座里外均应进行保冷。</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聚氨酯、酚醛等高分子发泡材料的浇注，应符合下列规定：</w:t>
      </w:r>
    </w:p>
    <w:p>
      <w:pPr>
        <w:numPr>
          <w:ilvl w:val="0"/>
          <w:numId w:val="52"/>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浇注料使用温度范围、配比及拌料必须符合产品使用要求；</w:t>
      </w:r>
    </w:p>
    <w:p>
      <w:pPr>
        <w:numPr>
          <w:ilvl w:val="0"/>
          <w:numId w:val="52"/>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当</w:t>
      </w:r>
      <w:r>
        <w:rPr>
          <w:rFonts w:hint="eastAsia" w:ascii="宋体" w:hAnsi="宋体" w:eastAsia="宋体"/>
          <w:sz w:val="28"/>
          <w:szCs w:val="28"/>
        </w:rPr>
        <w:t>浇注过程中</w:t>
      </w:r>
      <w:r>
        <w:rPr>
          <w:rFonts w:hint="eastAsia" w:ascii="宋体" w:hAnsi="宋体" w:eastAsia="宋体" w:cs="宋体"/>
          <w:bCs/>
          <w:sz w:val="28"/>
          <w:szCs w:val="28"/>
        </w:rPr>
        <w:t>出现</w:t>
      </w:r>
      <w:r>
        <w:rPr>
          <w:rFonts w:hint="eastAsia" w:ascii="宋体" w:hAnsi="宋体" w:eastAsia="宋体"/>
          <w:sz w:val="28"/>
          <w:szCs w:val="28"/>
        </w:rPr>
        <w:t>有发泡不良、脱落、发酥发脆、发软、开裂、孔径过大等缺陷</w:t>
      </w:r>
      <w:r>
        <w:rPr>
          <w:rFonts w:hint="eastAsia" w:ascii="宋体" w:hAnsi="宋体" w:eastAsia="宋体" w:cs="宋体"/>
          <w:bCs/>
          <w:sz w:val="28"/>
          <w:szCs w:val="28"/>
        </w:rPr>
        <w:t>时必须查清原因，重新浇注。</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预制成型管中管绝热结构及其现场安装补口，施工完毕后，补口处绝热层必须整体严密。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保冷的设备或管道，其可拆卸式绝热结构与固定绝热结构之间必须密封。</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硬质绝热制品绝热层伸缩缝的留设应符合下列规定：</w:t>
      </w:r>
    </w:p>
    <w:p>
      <w:pPr>
        <w:numPr>
          <w:ilvl w:val="0"/>
          <w:numId w:val="53"/>
        </w:numPr>
        <w:adjustRightInd w:val="0"/>
        <w:snapToGrid w:val="0"/>
        <w:spacing w:line="360" w:lineRule="auto"/>
        <w:ind w:left="0" w:firstLine="560" w:firstLineChars="200"/>
        <w:outlineLvl w:val="3"/>
        <w:rPr>
          <w:rFonts w:ascii="宋体" w:hAnsi="宋体" w:eastAsia="宋体" w:cs="宋体"/>
          <w:bCs/>
          <w:sz w:val="28"/>
          <w:szCs w:val="28"/>
        </w:rPr>
      </w:pPr>
      <w:r>
        <w:rPr>
          <w:rFonts w:hint="eastAsia" w:ascii="宋体" w:hAnsi="宋体" w:eastAsia="宋体" w:cs="宋体"/>
          <w:bCs/>
          <w:sz w:val="28"/>
          <w:szCs w:val="28"/>
        </w:rPr>
        <w:t>保冷层及高温保温层的各层伸缩缝必须错开，错开距离应大于</w:t>
      </w:r>
      <w:r>
        <w:rPr>
          <w:rFonts w:ascii="宋体" w:hAnsi="宋体" w:eastAsia="宋体" w:cs="宋体"/>
          <w:bCs/>
          <w:sz w:val="28"/>
          <w:szCs w:val="28"/>
        </w:rPr>
        <w:t>100mm</w:t>
      </w:r>
      <w:r>
        <w:rPr>
          <w:rFonts w:hint="eastAsia" w:ascii="宋体" w:hAnsi="宋体" w:eastAsia="宋体" w:cs="宋体"/>
          <w:bCs/>
          <w:sz w:val="28"/>
          <w:szCs w:val="28"/>
        </w:rPr>
        <w:t>；</w:t>
      </w:r>
    </w:p>
    <w:p>
      <w:pPr>
        <w:numPr>
          <w:ilvl w:val="0"/>
          <w:numId w:val="53"/>
        </w:numPr>
        <w:adjustRightInd w:val="0"/>
        <w:snapToGrid w:val="0"/>
        <w:spacing w:line="360" w:lineRule="auto"/>
        <w:ind w:left="0" w:firstLine="560" w:firstLineChars="200"/>
        <w:outlineLvl w:val="3"/>
        <w:rPr>
          <w:rFonts w:ascii="宋体" w:hAnsi="宋体" w:eastAsia="宋体" w:cs="宋体"/>
          <w:bCs/>
          <w:sz w:val="28"/>
          <w:szCs w:val="28"/>
        </w:rPr>
      </w:pPr>
      <w:r>
        <w:rPr>
          <w:rFonts w:hint="eastAsia" w:ascii="宋体" w:hAnsi="宋体" w:eastAsia="宋体" w:cs="宋体"/>
          <w:bCs/>
          <w:sz w:val="28"/>
          <w:szCs w:val="28"/>
        </w:rPr>
        <w:t>球形容器的伸缩缝，必须按设计规定留设。当设计对伸缩缝的做法无规定时，浇注或喷涂的绝热层可用嵌条留设。</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硬质绝热制品绝热层的施工，有下列情况之一时，必须在膨胀位移的一侧留有膨胀间隙：</w:t>
      </w:r>
    </w:p>
    <w:p>
      <w:pPr>
        <w:numPr>
          <w:ilvl w:val="0"/>
          <w:numId w:val="54"/>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填料式补偿器和波形补偿器；</w:t>
      </w:r>
    </w:p>
    <w:p>
      <w:pPr>
        <w:numPr>
          <w:ilvl w:val="0"/>
          <w:numId w:val="54"/>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当滑动支座高度小于绝热层厚度时；</w:t>
      </w:r>
    </w:p>
    <w:p>
      <w:pPr>
        <w:numPr>
          <w:ilvl w:val="0"/>
          <w:numId w:val="54"/>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相邻管道的绝热结构之间；</w:t>
      </w:r>
    </w:p>
    <w:p>
      <w:pPr>
        <w:numPr>
          <w:ilvl w:val="0"/>
          <w:numId w:val="54"/>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绝热结构与墙、梁、栏杆、平台、支撑等固定构件和管道所通过的孔洞之间。</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当固定保冷结构的金属保护层时，严禁损坏防潮层。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ascii="宋体" w:hAnsi="宋体" w:eastAsia="宋体" w:cs="宋体"/>
          <w:b w:val="0"/>
          <w:sz w:val="28"/>
          <w:szCs w:val="28"/>
        </w:rPr>
        <w:t xml:space="preserve"> 当有下列情况之一时，金属保护层必须按规定嵌填密封剂或在接缝处包缠密封带：</w:t>
      </w:r>
    </w:p>
    <w:p>
      <w:pPr>
        <w:numPr>
          <w:ilvl w:val="0"/>
          <w:numId w:val="55"/>
        </w:numPr>
        <w:adjustRightInd w:val="0"/>
        <w:snapToGrid w:val="0"/>
        <w:spacing w:line="360" w:lineRule="auto"/>
        <w:ind w:left="0" w:firstLine="560" w:firstLineChars="200"/>
        <w:outlineLvl w:val="3"/>
        <w:rPr>
          <w:rFonts w:ascii="宋体" w:hAnsi="宋体" w:eastAsia="宋体" w:cs="宋体"/>
          <w:bCs/>
          <w:sz w:val="28"/>
          <w:szCs w:val="28"/>
        </w:rPr>
      </w:pPr>
      <w:r>
        <w:rPr>
          <w:rFonts w:hint="eastAsia" w:ascii="宋体" w:hAnsi="宋体" w:eastAsia="宋体" w:cs="宋体"/>
          <w:bCs/>
          <w:sz w:val="28"/>
          <w:szCs w:val="28"/>
        </w:rPr>
        <w:t>露天、潮湿环境中的保温设备、管道和室内外的保冷设备、管道与其附件的金属保护层；</w:t>
      </w:r>
    </w:p>
    <w:p>
      <w:pPr>
        <w:numPr>
          <w:ilvl w:val="0"/>
          <w:numId w:val="55"/>
        </w:numPr>
        <w:adjustRightInd w:val="0"/>
        <w:snapToGrid w:val="0"/>
        <w:spacing w:line="360" w:lineRule="auto"/>
        <w:ind w:left="0" w:firstLine="560" w:firstLineChars="200"/>
        <w:outlineLvl w:val="3"/>
        <w:rPr>
          <w:rFonts w:ascii="宋体" w:hAnsi="宋体" w:eastAsia="宋体" w:cs="宋体"/>
          <w:bCs/>
          <w:sz w:val="28"/>
          <w:szCs w:val="28"/>
        </w:rPr>
      </w:pPr>
      <w:r>
        <w:rPr>
          <w:rFonts w:hint="eastAsia" w:ascii="宋体" w:hAnsi="宋体" w:eastAsia="宋体" w:cs="宋体"/>
          <w:bCs/>
          <w:sz w:val="28"/>
          <w:szCs w:val="28"/>
        </w:rPr>
        <w:t>保冷管道的直管段与其附件的金属保护层接缝部位，以及管道支吊架穿出金属护壳的部位。</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绝热工程的环境保护应符合下列规定：</w:t>
      </w:r>
    </w:p>
    <w:p>
      <w:pPr>
        <w:numPr>
          <w:ilvl w:val="0"/>
          <w:numId w:val="56"/>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施工现场严禁焚烧各类废弃物；</w:t>
      </w:r>
    </w:p>
    <w:p>
      <w:pPr>
        <w:numPr>
          <w:ilvl w:val="0"/>
          <w:numId w:val="56"/>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严禁将未经处理的有毒、有害废弃物直接回填或掩埋。</w:t>
      </w:r>
    </w:p>
    <w:p>
      <w:pPr>
        <w:spacing w:line="360" w:lineRule="auto"/>
        <w:ind w:left="105" w:leftChars="50" w:right="105" w:rightChars="50" w:firstLine="700" w:firstLineChars="250"/>
        <w:rPr>
          <w:rFonts w:ascii="宋体" w:hAnsi="宋体" w:eastAsia="宋体"/>
          <w:sz w:val="28"/>
          <w:szCs w:val="28"/>
          <w:highlight w:val="yellow"/>
        </w:rPr>
      </w:pPr>
    </w:p>
    <w:p>
      <w:pPr>
        <w:spacing w:line="360" w:lineRule="auto"/>
        <w:ind w:left="105" w:leftChars="50" w:right="105" w:rightChars="50"/>
        <w:rPr>
          <w:rFonts w:ascii="宋体" w:hAnsi="宋体" w:eastAsia="宋体"/>
          <w:sz w:val="28"/>
          <w:szCs w:val="28"/>
          <w:highlight w:val="yellow"/>
        </w:rPr>
        <w:sectPr>
          <w:footerReference r:id="rId5" w:type="default"/>
          <w:pgSz w:w="11906" w:h="16838"/>
          <w:pgMar w:top="1440" w:right="1800" w:bottom="1440" w:left="1800" w:header="851" w:footer="992" w:gutter="0"/>
          <w:pgNumType w:start="1"/>
          <w:cols w:space="425" w:num="1"/>
          <w:titlePg/>
          <w:docGrid w:type="lines" w:linePitch="312" w:charSpace="0"/>
        </w:sectPr>
      </w:pPr>
    </w:p>
    <w:p>
      <w:pPr>
        <w:pStyle w:val="2"/>
        <w:keepNext w:val="0"/>
        <w:keepLines w:val="0"/>
        <w:pageBreakBefore/>
        <w:numPr>
          <w:ilvl w:val="0"/>
          <w:numId w:val="3"/>
        </w:numPr>
        <w:adjustRightInd w:val="0"/>
        <w:snapToGrid w:val="0"/>
        <w:spacing w:before="0" w:after="0" w:line="480" w:lineRule="auto"/>
        <w:ind w:left="105" w:leftChars="50" w:right="105" w:rightChars="50"/>
        <w:jc w:val="center"/>
        <w:textAlignment w:val="baseline"/>
        <w:rPr>
          <w:rFonts w:ascii="宋体" w:hAnsi="宋体" w:eastAsia="宋体"/>
          <w:b w:val="0"/>
          <w:sz w:val="28"/>
          <w:szCs w:val="28"/>
        </w:rPr>
      </w:pPr>
      <w:bookmarkStart w:id="374" w:name="_Toc9185397"/>
      <w:bookmarkStart w:id="375" w:name="_Toc47347150"/>
      <w:bookmarkStart w:id="376" w:name="_Toc7097927"/>
      <w:bookmarkStart w:id="377" w:name="_Toc147758598"/>
      <w:bookmarkStart w:id="378" w:name="_Toc48564999"/>
      <w:r>
        <w:rPr>
          <w:rFonts w:hint="eastAsia" w:ascii="宋体" w:hAnsi="宋体" w:eastAsia="宋体"/>
          <w:b w:val="0"/>
          <w:sz w:val="28"/>
          <w:szCs w:val="28"/>
        </w:rPr>
        <w:t>检验与验收</w:t>
      </w:r>
      <w:bookmarkEnd w:id="374"/>
      <w:bookmarkEnd w:id="375"/>
      <w:bookmarkEnd w:id="376"/>
      <w:bookmarkEnd w:id="377"/>
      <w:bookmarkEnd w:id="378"/>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79" w:name="_Toc147758599"/>
      <w:bookmarkStart w:id="380" w:name="_Toc7097928"/>
      <w:bookmarkStart w:id="381" w:name="_Toc48565000"/>
      <w:bookmarkStart w:id="382" w:name="_Toc47347151"/>
      <w:bookmarkStart w:id="383" w:name="_Toc9185398"/>
      <w:r>
        <w:rPr>
          <w:rFonts w:hint="eastAsia" w:asciiTheme="minorEastAsia" w:hAnsiTheme="minorEastAsia" w:eastAsiaTheme="minorEastAsia"/>
          <w:b w:val="0"/>
          <w:sz w:val="28"/>
          <w:szCs w:val="28"/>
        </w:rPr>
        <w:t>一般规定</w:t>
      </w:r>
      <w:bookmarkEnd w:id="379"/>
      <w:bookmarkEnd w:id="380"/>
      <w:bookmarkEnd w:id="381"/>
      <w:bookmarkEnd w:id="382"/>
      <w:bookmarkEnd w:id="383"/>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bookmarkStart w:id="384" w:name="_Toc7097929"/>
      <w:r>
        <w:rPr>
          <w:rFonts w:hint="eastAsia" w:ascii="宋体" w:hAnsi="宋体" w:eastAsia="宋体" w:cs="宋体"/>
          <w:b w:val="0"/>
          <w:sz w:val="28"/>
          <w:szCs w:val="28"/>
        </w:rPr>
        <w:t>所有设备及管道施工的隐蔽工程在隐蔽前应进行验收，并形成检查或验收文件。</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设备及管道工程存在严重的质量缺陷，经过处理和返修仍不能满足安全使用要求的，禁止投入验收使用</w:t>
      </w:r>
      <w:bookmarkEnd w:id="384"/>
      <w:r>
        <w:rPr>
          <w:rFonts w:hint="eastAsia" w:ascii="宋体" w:hAnsi="宋体" w:eastAsia="宋体" w:cs="宋体"/>
          <w:b w:val="0"/>
          <w:sz w:val="28"/>
          <w:szCs w:val="28"/>
        </w:rPr>
        <w:t>。</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承压的设备、管道在防腐蚀施工前，应进行强度或严密性试验，合格后方可进行防腐蚀施工（现场做底漆预涂的除外）。</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当试验前进行防腐蚀施工时，应留出全部焊缝，并将焊缝两侧的防腐蚀层做成阶梯状接头，待试验合格后再进行防腐蚀施工。</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通过返修后仍不能满足安全使用要求的分部（子分部）工程、单位（子单位）工程，严禁判定为验收通过。</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85" w:name="_Toc7097930"/>
      <w:bookmarkStart w:id="386" w:name="_Toc9185399"/>
      <w:bookmarkStart w:id="387" w:name="_Toc47347152"/>
      <w:bookmarkStart w:id="388" w:name="_Toc147758600"/>
      <w:bookmarkStart w:id="389" w:name="_Toc48565001"/>
      <w:r>
        <w:rPr>
          <w:rFonts w:hint="eastAsia" w:asciiTheme="minorEastAsia" w:hAnsiTheme="minorEastAsia" w:eastAsiaTheme="minorEastAsia"/>
          <w:b w:val="0"/>
          <w:sz w:val="28"/>
          <w:szCs w:val="28"/>
        </w:rPr>
        <w:t>设备验收</w:t>
      </w:r>
      <w:bookmarkEnd w:id="385"/>
      <w:bookmarkEnd w:id="386"/>
      <w:bookmarkEnd w:id="387"/>
      <w:bookmarkEnd w:id="388"/>
      <w:bookmarkEnd w:id="389"/>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bookmarkStart w:id="390" w:name="_Toc7097936"/>
      <w:r>
        <w:rPr>
          <w:rFonts w:hint="eastAsia" w:ascii="宋体" w:hAnsi="宋体" w:eastAsia="宋体" w:cs="宋体"/>
          <w:b w:val="0"/>
          <w:sz w:val="28"/>
          <w:szCs w:val="28"/>
        </w:rPr>
        <w:t>压缩机（组）、燃气轮机、泵、风机、搅拌器、抽油机及电动机等机泵类设备的型号、规格及技术参数等应符合设计要求，并应具有质量证明文件。</w:t>
      </w:r>
    </w:p>
    <w:bookmarkEnd w:id="390"/>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容器的规格、型号和开口位置应符合设计文件要求，并具有质量证明文件。</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安全阀安装前应按设计文件规定经有资质检测单位进行调试，并应按设计文件要求正确安装。</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塔类设备（包括分段到货的塔类设备）及附件的规格、型号、技术参数等应符合设计文件要求，并具有质量证明文件。</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塔内件应符合设计文件要求，并具有出厂质量证明文件及安装说明等技术文件。</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工业炉的规格、型号、技术参数应符合设计要求，并应具有质量证明文件。</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施工过程中应及时进行工序检查确认，并应审查相关资料；被后一工序覆盖的部位必须进行隐蔽工程验收。</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验收或检验中不合格的设备、橇装设备等严禁使用，并应做好标识和隔离。</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91" w:name="_Toc147758601"/>
      <w:bookmarkStart w:id="392" w:name="_Toc48565002"/>
      <w:bookmarkStart w:id="393" w:name="_Toc9185400"/>
      <w:bookmarkStart w:id="394" w:name="_Toc47347153"/>
      <w:bookmarkStart w:id="395" w:name="_Toc7097943"/>
      <w:r>
        <w:rPr>
          <w:rFonts w:hint="eastAsia" w:asciiTheme="minorEastAsia" w:hAnsiTheme="minorEastAsia" w:eastAsiaTheme="minorEastAsia"/>
          <w:b w:val="0"/>
          <w:sz w:val="28"/>
          <w:szCs w:val="28"/>
        </w:rPr>
        <w:t>管道验收</w:t>
      </w:r>
      <w:bookmarkEnd w:id="391"/>
      <w:bookmarkEnd w:id="392"/>
      <w:bookmarkEnd w:id="393"/>
      <w:bookmarkEnd w:id="394"/>
      <w:bookmarkEnd w:id="395"/>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bookmarkStart w:id="396" w:name="_Toc9185401"/>
      <w:bookmarkStart w:id="397" w:name="_Toc7097970"/>
      <w:r>
        <w:rPr>
          <w:rFonts w:hint="eastAsia" w:ascii="宋体" w:hAnsi="宋体" w:eastAsia="宋体" w:cs="宋体"/>
          <w:b w:val="0"/>
          <w:sz w:val="28"/>
          <w:szCs w:val="28"/>
        </w:rPr>
        <w:t>管道焊缝应进行外观质量检验，外观质量不应低于下列规定：</w:t>
      </w:r>
    </w:p>
    <w:p>
      <w:pPr>
        <w:numPr>
          <w:ilvl w:val="0"/>
          <w:numId w:val="5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焊缝外形尺寸应符合设计文件和国家现行有关标准的规定。</w:t>
      </w:r>
    </w:p>
    <w:p>
      <w:pPr>
        <w:numPr>
          <w:ilvl w:val="0"/>
          <w:numId w:val="5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焊缝与母材应圆滑过渡，焊缝表面不得有低于母材的局部凹陷。</w:t>
      </w:r>
    </w:p>
    <w:p>
      <w:pPr>
        <w:numPr>
          <w:ilvl w:val="0"/>
          <w:numId w:val="57"/>
        </w:numPr>
        <w:adjustRightInd w:val="0"/>
        <w:snapToGrid w:val="0"/>
        <w:spacing w:line="360" w:lineRule="auto"/>
        <w:ind w:left="0" w:firstLine="560" w:firstLineChars="200"/>
        <w:textAlignment w:val="baseline"/>
        <w:outlineLvl w:val="3"/>
        <w:rPr>
          <w:rFonts w:ascii="宋体" w:hAnsi="宋体" w:eastAsia="宋体"/>
          <w:bCs/>
          <w:sz w:val="28"/>
          <w:szCs w:val="28"/>
        </w:rPr>
      </w:pPr>
      <w:r>
        <w:rPr>
          <w:rFonts w:hint="eastAsia" w:ascii="宋体" w:hAnsi="宋体" w:eastAsia="宋体" w:cs="宋体"/>
          <w:bCs/>
          <w:sz w:val="28"/>
          <w:szCs w:val="28"/>
        </w:rPr>
        <w:t>焊缝和热影响区不得有表面裂纹、未焊透、未熔合、表面气孔、夹渣、弧坑。咬边及其他表面质量应符合设计文件和国家现行有关标准的规定。</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管道焊缝外观质量检查合格后方可进行无损检测。无损检测应符合下列规定：</w:t>
      </w:r>
    </w:p>
    <w:p>
      <w:pPr>
        <w:numPr>
          <w:ilvl w:val="0"/>
          <w:numId w:val="5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从事无损检测的人员应取得国家有关部门颁发的无损检测资格证书。</w:t>
      </w:r>
    </w:p>
    <w:p>
      <w:pPr>
        <w:numPr>
          <w:ilvl w:val="0"/>
          <w:numId w:val="5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有延迟裂纹倾向的材料应在焊接完成至少</w:t>
      </w:r>
      <w:r>
        <w:rPr>
          <w:rFonts w:ascii="宋体" w:hAnsi="宋体" w:eastAsia="宋体" w:cs="宋体"/>
          <w:bCs/>
          <w:sz w:val="28"/>
          <w:szCs w:val="28"/>
        </w:rPr>
        <w:t>24h</w:t>
      </w:r>
      <w:r>
        <w:rPr>
          <w:rFonts w:hint="eastAsia" w:ascii="宋体" w:hAnsi="宋体" w:eastAsia="宋体" w:cs="宋体"/>
          <w:bCs/>
          <w:sz w:val="28"/>
          <w:szCs w:val="28"/>
        </w:rPr>
        <w:t>后进行无损检测。有再热裂纹倾向的焊接接头，无损检测应在热处理后进行。</w:t>
      </w:r>
    </w:p>
    <w:p>
      <w:pPr>
        <w:numPr>
          <w:ilvl w:val="0"/>
          <w:numId w:val="58"/>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下列管道的对接焊缝应进行</w:t>
      </w:r>
      <w:r>
        <w:rPr>
          <w:rFonts w:ascii="宋体" w:hAnsi="宋体" w:eastAsia="宋体" w:cs="宋体"/>
          <w:bCs/>
          <w:sz w:val="28"/>
          <w:szCs w:val="28"/>
        </w:rPr>
        <w:t>100%</w:t>
      </w:r>
      <w:r>
        <w:rPr>
          <w:rFonts w:hint="eastAsia" w:ascii="宋体" w:hAnsi="宋体" w:eastAsia="宋体" w:cs="宋体"/>
          <w:bCs/>
          <w:sz w:val="28"/>
          <w:szCs w:val="28"/>
        </w:rPr>
        <w:t>射线或超声检测，角焊缝应进行</w:t>
      </w:r>
      <w:r>
        <w:rPr>
          <w:rFonts w:ascii="宋体" w:hAnsi="宋体" w:eastAsia="宋体" w:cs="宋体"/>
          <w:bCs/>
          <w:sz w:val="28"/>
          <w:szCs w:val="28"/>
        </w:rPr>
        <w:t>100%</w:t>
      </w:r>
      <w:r>
        <w:rPr>
          <w:rFonts w:hint="eastAsia" w:ascii="宋体" w:hAnsi="宋体" w:eastAsia="宋体" w:cs="宋体"/>
          <w:bCs/>
          <w:sz w:val="28"/>
          <w:szCs w:val="28"/>
        </w:rPr>
        <w:t>磁粉或渗透检测：</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毒性程度为极度危害的流体管道；</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设计压力大于或等于</w:t>
      </w:r>
      <w:r>
        <w:rPr>
          <w:rFonts w:ascii="宋体" w:hAnsi="宋体" w:eastAsia="宋体" w:cs="宋体"/>
          <w:bCs/>
          <w:sz w:val="28"/>
          <w:szCs w:val="28"/>
        </w:rPr>
        <w:t>10MPa</w:t>
      </w:r>
      <w:r>
        <w:rPr>
          <w:rFonts w:hint="eastAsia" w:ascii="宋体" w:hAnsi="宋体" w:eastAsia="宋体" w:cs="宋体"/>
          <w:bCs/>
          <w:sz w:val="28"/>
          <w:szCs w:val="28"/>
        </w:rPr>
        <w:t>的可燃流体、有毒流体的管道；</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设计压力大于或等于</w:t>
      </w:r>
      <w:r>
        <w:rPr>
          <w:rFonts w:ascii="宋体" w:hAnsi="宋体" w:eastAsia="宋体" w:cs="宋体"/>
          <w:bCs/>
          <w:sz w:val="28"/>
          <w:szCs w:val="28"/>
        </w:rPr>
        <w:t>4MPa</w:t>
      </w:r>
      <w:r>
        <w:rPr>
          <w:rFonts w:hint="eastAsia" w:ascii="宋体" w:hAnsi="宋体" w:eastAsia="宋体" w:cs="宋体"/>
          <w:bCs/>
          <w:sz w:val="28"/>
          <w:szCs w:val="28"/>
        </w:rPr>
        <w:t>、小于</w:t>
      </w:r>
      <w:r>
        <w:rPr>
          <w:rFonts w:ascii="宋体" w:hAnsi="宋体" w:eastAsia="宋体" w:cs="宋体"/>
          <w:bCs/>
          <w:sz w:val="28"/>
          <w:szCs w:val="28"/>
        </w:rPr>
        <w:t>10MP</w:t>
      </w:r>
      <w:r>
        <w:rPr>
          <w:rFonts w:hint="eastAsia" w:ascii="宋体" w:hAnsi="宋体" w:eastAsia="宋体" w:cs="宋体"/>
          <w:bCs/>
          <w:sz w:val="28"/>
          <w:szCs w:val="28"/>
        </w:rPr>
        <w:t>a，且设计温度大于或等于</w:t>
      </w:r>
      <w:r>
        <w:rPr>
          <w:rFonts w:ascii="宋体" w:hAnsi="宋体" w:eastAsia="宋体" w:cs="宋体"/>
          <w:bCs/>
          <w:sz w:val="28"/>
          <w:szCs w:val="28"/>
        </w:rPr>
        <w:t>400</w:t>
      </w:r>
      <w:r>
        <w:rPr>
          <w:rFonts w:hint="eastAsia" w:ascii="宋体" w:hAnsi="宋体" w:eastAsia="宋体" w:cs="宋体"/>
          <w:bCs/>
          <w:sz w:val="28"/>
          <w:szCs w:val="28"/>
        </w:rPr>
        <w:t>℃的可燃流体、有毒流体的管道；</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设计压力大于或等于</w:t>
      </w:r>
      <w:r>
        <w:rPr>
          <w:rFonts w:ascii="宋体" w:hAnsi="宋体" w:eastAsia="宋体" w:cs="宋体"/>
          <w:bCs/>
          <w:sz w:val="28"/>
          <w:szCs w:val="28"/>
        </w:rPr>
        <w:t>10MPa</w:t>
      </w:r>
      <w:r>
        <w:rPr>
          <w:rFonts w:hint="eastAsia" w:ascii="宋体" w:hAnsi="宋体" w:eastAsia="宋体" w:cs="宋体"/>
          <w:bCs/>
          <w:sz w:val="28"/>
          <w:szCs w:val="28"/>
        </w:rPr>
        <w:t>，且设计温度大于或等于</w:t>
      </w:r>
      <w:r>
        <w:rPr>
          <w:rFonts w:ascii="宋体" w:hAnsi="宋体" w:eastAsia="宋体" w:cs="宋体"/>
          <w:bCs/>
          <w:sz w:val="28"/>
          <w:szCs w:val="28"/>
        </w:rPr>
        <w:t>400</w:t>
      </w:r>
      <w:r>
        <w:rPr>
          <w:rFonts w:hint="eastAsia" w:ascii="宋体" w:hAnsi="宋体" w:eastAsia="宋体" w:cs="宋体"/>
          <w:bCs/>
          <w:sz w:val="28"/>
          <w:szCs w:val="28"/>
        </w:rPr>
        <w:t>℃的非可燃流体、无毒流体的管道；</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设计温度低于</w:t>
      </w:r>
      <w:r>
        <w:rPr>
          <w:rFonts w:ascii="宋体" w:hAnsi="宋体" w:eastAsia="宋体" w:cs="宋体"/>
          <w:bCs/>
          <w:sz w:val="28"/>
          <w:szCs w:val="28"/>
        </w:rPr>
        <w:t>-20</w:t>
      </w:r>
      <w:r>
        <w:rPr>
          <w:rFonts w:hint="eastAsia" w:ascii="宋体" w:hAnsi="宋体" w:eastAsia="宋体" w:cs="宋体"/>
          <w:bCs/>
          <w:sz w:val="28"/>
          <w:szCs w:val="28"/>
        </w:rPr>
        <w:t>℃的管道；</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剧烈循环工况的管道；</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钛及钛合金、镍及镍合金、高铬镍钼奥氏体不锈钢、锆及锆合金管道；</w:t>
      </w:r>
    </w:p>
    <w:p>
      <w:pPr>
        <w:numPr>
          <w:ilvl w:val="0"/>
          <w:numId w:val="59"/>
        </w:numPr>
        <w:adjustRightInd w:val="0"/>
        <w:snapToGrid w:val="0"/>
        <w:spacing w:line="360" w:lineRule="auto"/>
        <w:ind w:left="770" w:leftChars="100" w:hanging="560" w:hangingChars="200"/>
        <w:rPr>
          <w:rFonts w:ascii="宋体" w:hAnsi="宋体" w:eastAsia="宋体"/>
          <w:bCs/>
          <w:sz w:val="28"/>
          <w:szCs w:val="28"/>
        </w:rPr>
      </w:pPr>
      <w:r>
        <w:rPr>
          <w:rFonts w:hint="eastAsia" w:ascii="宋体" w:hAnsi="宋体" w:eastAsia="宋体" w:cs="宋体"/>
          <w:bCs/>
          <w:sz w:val="28"/>
          <w:szCs w:val="28"/>
        </w:rPr>
        <w:t>夹套管的内管；</w:t>
      </w:r>
    </w:p>
    <w:p>
      <w:pPr>
        <w:numPr>
          <w:ilvl w:val="0"/>
          <w:numId w:val="59"/>
        </w:numPr>
        <w:adjustRightInd w:val="0"/>
        <w:snapToGrid w:val="0"/>
        <w:spacing w:line="360" w:lineRule="auto"/>
        <w:ind w:left="770" w:leftChars="100" w:hanging="560" w:hangingChars="200"/>
        <w:rPr>
          <w:rFonts w:ascii="宋体" w:hAnsi="宋体" w:eastAsia="宋体" w:cs="宋体"/>
          <w:bCs/>
          <w:sz w:val="28"/>
          <w:szCs w:val="28"/>
        </w:rPr>
      </w:pPr>
      <w:r>
        <w:rPr>
          <w:rFonts w:hint="eastAsia" w:ascii="宋体" w:hAnsi="宋体" w:eastAsia="宋体" w:cs="宋体"/>
          <w:bCs/>
          <w:sz w:val="28"/>
          <w:szCs w:val="28"/>
        </w:rPr>
        <w:t>设计文件规定的其他管道。</w:t>
      </w:r>
    </w:p>
    <w:p>
      <w:pPr>
        <w:spacing w:line="360" w:lineRule="auto"/>
        <w:ind w:left="105" w:leftChars="50" w:right="105" w:rightChars="50" w:firstLine="560" w:firstLineChars="200"/>
        <w:rPr>
          <w:sz w:val="28"/>
          <w:szCs w:val="28"/>
        </w:rPr>
      </w:pPr>
      <w:r>
        <w:rPr>
          <w:rFonts w:hint="eastAsia"/>
          <w:sz w:val="28"/>
          <w:szCs w:val="28"/>
        </w:rPr>
        <w:t>其他管道焊缝应按照设计文件和相关标准的规定进行抽样或局部无损检测，但每个焊工所焊的固定焊焊接接头的抽样比例不得少于其检测数量的</w:t>
      </w:r>
      <w:r>
        <w:rPr>
          <w:sz w:val="28"/>
          <w:szCs w:val="28"/>
        </w:rPr>
        <w:t>40%</w:t>
      </w:r>
      <w:r>
        <w:rPr>
          <w:rFonts w:hint="eastAsia"/>
          <w:sz w:val="28"/>
          <w:szCs w:val="28"/>
        </w:rPr>
        <w:t>。</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射线检测时，应按有关规定划定控制区和监督区，并应设置警告标志，操作人员应按规定进行安全操作防护。射线源的保管、运输、使用与安全操作防护应符合国家有关法规和安全卫生标准的要求。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管道焊缝无损检测的应达到合格标准。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生活给水管道在并网运行前应进行冲洗与消毒，经检验水质达到标准后，方可并网通水投入运行。</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398" w:name="_Toc147758602"/>
      <w:bookmarkStart w:id="399" w:name="_Toc48565003"/>
      <w:bookmarkStart w:id="400" w:name="_Toc47347154"/>
      <w:r>
        <w:rPr>
          <w:rFonts w:hint="eastAsia" w:asciiTheme="minorEastAsia" w:hAnsiTheme="minorEastAsia" w:eastAsiaTheme="minorEastAsia"/>
          <w:b w:val="0"/>
          <w:sz w:val="28"/>
          <w:szCs w:val="28"/>
        </w:rPr>
        <w:t>防腐蚀验收</w:t>
      </w:r>
      <w:bookmarkEnd w:id="396"/>
      <w:bookmarkEnd w:id="398"/>
      <w:bookmarkEnd w:id="399"/>
      <w:bookmarkEnd w:id="400"/>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根据设计要求，检查设备和管道基体表面处理等级，并做好隐蔽工程检查记录。</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设备和管道外防腐蚀采用涂层时，应进行外观检查和厚度检测。</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设备和管道防腐蚀衬里的验收检查应符合下列规定：</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块材衬里应检查结合层的厚度、灰缝宽度和树脂固化度，应检查面层得外观和表面平整度；</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纤维增强塑料衬里应检查外观，检测厚度、针孔和巴柯尔硬度；</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橡胶衬里应检查外观，检测厚度、针孔、硬度和粘合强度；</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塑料衬里应检测针孔，外观检查，粘接强度；用于压力容器的衬里板材还应进行拉伸强度检测；塑料衬里设备和管道应进行水压试验；</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玻璃鳞片衬里应检查外观，检测厚度、针孔、巴柯尔硬度和附着力；</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铅衬里应检查外观，检测厚度；</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喷涂聚脲衬里应检查外观，检测厚度、针孔和附着力；</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涂层衬里应检查外观，检测厚度，针孔和附着力；</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氯丁胶乳衬里应检查外观、检测厚度；</w:t>
      </w:r>
    </w:p>
    <w:p>
      <w:pPr>
        <w:keepLines/>
        <w:numPr>
          <w:ilvl w:val="0"/>
          <w:numId w:val="60"/>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金属热喷涂层衬里应检查外观、检测厚度和结合强度；</w:t>
      </w:r>
    </w:p>
    <w:p>
      <w:pPr>
        <w:keepLines/>
        <w:numPr>
          <w:ilvl w:val="0"/>
          <w:numId w:val="60"/>
        </w:numPr>
        <w:adjustRightInd w:val="0"/>
        <w:snapToGrid w:val="0"/>
        <w:spacing w:line="360" w:lineRule="auto"/>
        <w:ind w:left="0" w:firstLine="560" w:firstLineChars="200"/>
        <w:outlineLvl w:val="3"/>
        <w:rPr>
          <w:rFonts w:ascii="宋体" w:hAnsi="宋体" w:eastAsia="宋体" w:cs="宋体"/>
          <w:bCs/>
          <w:sz w:val="28"/>
          <w:szCs w:val="28"/>
        </w:rPr>
      </w:pPr>
      <w:r>
        <w:rPr>
          <w:rFonts w:hint="eastAsia" w:ascii="宋体" w:hAnsi="宋体" w:eastAsia="宋体" w:cs="宋体"/>
          <w:bCs/>
          <w:sz w:val="28"/>
          <w:szCs w:val="28"/>
        </w:rPr>
        <w:t>内防腐蚀衬里有导静电要求时应检测电阻率。</w:t>
      </w:r>
    </w:p>
    <w:p>
      <w:pPr>
        <w:keepLines/>
        <w:numPr>
          <w:ilvl w:val="0"/>
          <w:numId w:val="60"/>
        </w:numPr>
        <w:adjustRightInd w:val="0"/>
        <w:snapToGrid w:val="0"/>
        <w:spacing w:line="360" w:lineRule="auto"/>
        <w:ind w:left="0" w:firstLine="560" w:firstLineChars="200"/>
        <w:outlineLvl w:val="3"/>
        <w:rPr>
          <w:rFonts w:ascii="宋体" w:hAnsi="宋体" w:eastAsia="宋体" w:cs="宋体"/>
          <w:bCs/>
          <w:sz w:val="28"/>
          <w:szCs w:val="28"/>
        </w:rPr>
      </w:pPr>
      <w:r>
        <w:rPr>
          <w:rFonts w:ascii="宋体" w:hAnsi="宋体" w:eastAsia="宋体" w:cs="宋体"/>
          <w:bCs/>
          <w:sz w:val="28"/>
          <w:szCs w:val="28"/>
        </w:rPr>
        <w:t>搪玻璃衬里应检查外观，厚度，针孔，尺寸公差及形位公差。</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401" w:name="_Toc137473770"/>
      <w:bookmarkEnd w:id="401"/>
      <w:bookmarkStart w:id="402" w:name="_Toc137473667"/>
      <w:bookmarkEnd w:id="402"/>
      <w:bookmarkStart w:id="403" w:name="_Toc137473657"/>
      <w:bookmarkEnd w:id="403"/>
      <w:bookmarkStart w:id="404" w:name="_Toc137473564"/>
      <w:bookmarkEnd w:id="404"/>
      <w:bookmarkStart w:id="405" w:name="_Toc137473561"/>
      <w:bookmarkEnd w:id="405"/>
      <w:bookmarkStart w:id="406" w:name="_Toc137473556"/>
      <w:bookmarkEnd w:id="406"/>
      <w:bookmarkStart w:id="407" w:name="_Toc137473988"/>
      <w:bookmarkEnd w:id="407"/>
      <w:bookmarkStart w:id="408" w:name="_Toc137473551"/>
      <w:bookmarkEnd w:id="408"/>
      <w:bookmarkStart w:id="409" w:name="_Toc137473989"/>
      <w:bookmarkEnd w:id="409"/>
      <w:bookmarkStart w:id="410" w:name="_Toc137473769"/>
      <w:bookmarkEnd w:id="410"/>
      <w:bookmarkStart w:id="411" w:name="_Toc137473764"/>
      <w:bookmarkEnd w:id="411"/>
      <w:bookmarkStart w:id="412" w:name="_Toc137473658"/>
      <w:bookmarkEnd w:id="412"/>
      <w:bookmarkStart w:id="413" w:name="_Toc137473656"/>
      <w:bookmarkEnd w:id="413"/>
      <w:bookmarkStart w:id="414" w:name="_Toc137473660"/>
      <w:bookmarkEnd w:id="414"/>
      <w:bookmarkStart w:id="415" w:name="_Toc137473773"/>
      <w:bookmarkEnd w:id="415"/>
      <w:bookmarkStart w:id="416" w:name="_Toc137473659"/>
      <w:bookmarkEnd w:id="416"/>
      <w:bookmarkStart w:id="417" w:name="_Toc137473553"/>
      <w:bookmarkEnd w:id="417"/>
      <w:bookmarkStart w:id="418" w:name="_Toc137473663"/>
      <w:bookmarkEnd w:id="418"/>
      <w:bookmarkStart w:id="419" w:name="_Toc137473984"/>
      <w:bookmarkEnd w:id="419"/>
      <w:bookmarkStart w:id="420" w:name="_Toc137473665"/>
      <w:bookmarkEnd w:id="420"/>
      <w:bookmarkStart w:id="421" w:name="_Toc137473765"/>
      <w:bookmarkEnd w:id="421"/>
      <w:bookmarkStart w:id="422" w:name="_Toc137473670"/>
      <w:bookmarkEnd w:id="422"/>
      <w:bookmarkStart w:id="423" w:name="_Toc137473982"/>
      <w:bookmarkEnd w:id="423"/>
      <w:bookmarkStart w:id="424" w:name="_Toc137473768"/>
      <w:bookmarkEnd w:id="424"/>
      <w:bookmarkStart w:id="425" w:name="_Toc137473560"/>
      <w:bookmarkEnd w:id="425"/>
      <w:bookmarkStart w:id="426" w:name="_Toc137473991"/>
      <w:bookmarkEnd w:id="426"/>
      <w:bookmarkStart w:id="427" w:name="_Toc137473763"/>
      <w:bookmarkEnd w:id="427"/>
      <w:bookmarkStart w:id="428" w:name="_Toc137473662"/>
      <w:bookmarkEnd w:id="428"/>
      <w:bookmarkStart w:id="429" w:name="_Toc137473555"/>
      <w:bookmarkEnd w:id="429"/>
      <w:bookmarkStart w:id="430" w:name="_Toc137473993"/>
      <w:bookmarkEnd w:id="430"/>
      <w:bookmarkStart w:id="431" w:name="_Toc137473666"/>
      <w:bookmarkEnd w:id="431"/>
      <w:bookmarkStart w:id="432" w:name="_Toc137473994"/>
      <w:bookmarkEnd w:id="432"/>
      <w:bookmarkStart w:id="433" w:name="_Toc137473767"/>
      <w:bookmarkEnd w:id="433"/>
      <w:bookmarkStart w:id="434" w:name="_Toc137473558"/>
      <w:bookmarkEnd w:id="434"/>
      <w:bookmarkStart w:id="435" w:name="_Toc137473550"/>
      <w:bookmarkEnd w:id="435"/>
      <w:bookmarkStart w:id="436" w:name="_Toc137473995"/>
      <w:bookmarkEnd w:id="436"/>
      <w:bookmarkStart w:id="437" w:name="_Toc137473762"/>
      <w:bookmarkEnd w:id="437"/>
      <w:bookmarkStart w:id="438" w:name="_Toc137473559"/>
      <w:bookmarkEnd w:id="438"/>
      <w:bookmarkStart w:id="439" w:name="_Toc137473775"/>
      <w:bookmarkEnd w:id="439"/>
      <w:bookmarkStart w:id="440" w:name="_Toc137473668"/>
      <w:bookmarkEnd w:id="440"/>
      <w:bookmarkStart w:id="441" w:name="_Toc137473986"/>
      <w:bookmarkEnd w:id="441"/>
      <w:bookmarkStart w:id="442" w:name="_Toc137473563"/>
      <w:bookmarkEnd w:id="442"/>
      <w:bookmarkStart w:id="443" w:name="_Toc137473776"/>
      <w:bookmarkEnd w:id="443"/>
      <w:bookmarkStart w:id="444" w:name="_Toc137473983"/>
      <w:bookmarkEnd w:id="444"/>
      <w:bookmarkStart w:id="445" w:name="_Toc137473669"/>
      <w:bookmarkEnd w:id="445"/>
      <w:bookmarkStart w:id="446" w:name="_Toc137473985"/>
      <w:bookmarkEnd w:id="446"/>
      <w:bookmarkStart w:id="447" w:name="_Toc137473554"/>
      <w:bookmarkEnd w:id="447"/>
      <w:bookmarkStart w:id="448" w:name="_Toc137473774"/>
      <w:bookmarkEnd w:id="448"/>
      <w:bookmarkStart w:id="449" w:name="_Toc137473990"/>
      <w:bookmarkEnd w:id="449"/>
      <w:bookmarkStart w:id="450" w:name="_Toc137473552"/>
      <w:bookmarkEnd w:id="450"/>
      <w:bookmarkStart w:id="451" w:name="_Toc137473771"/>
      <w:bookmarkEnd w:id="451"/>
      <w:bookmarkStart w:id="452" w:name="_Toc137473992"/>
      <w:bookmarkEnd w:id="452"/>
      <w:bookmarkStart w:id="453" w:name="_Toc137473981"/>
      <w:bookmarkEnd w:id="453"/>
      <w:bookmarkStart w:id="454" w:name="_Toc137473766"/>
      <w:bookmarkEnd w:id="454"/>
      <w:bookmarkStart w:id="455" w:name="_Toc137473562"/>
      <w:bookmarkEnd w:id="455"/>
      <w:bookmarkStart w:id="456" w:name="_Toc137473987"/>
      <w:bookmarkEnd w:id="456"/>
      <w:bookmarkStart w:id="457" w:name="_Toc137473557"/>
      <w:bookmarkEnd w:id="457"/>
      <w:bookmarkStart w:id="458" w:name="_Toc137473664"/>
      <w:bookmarkEnd w:id="458"/>
      <w:bookmarkStart w:id="459" w:name="_Toc137473661"/>
      <w:bookmarkEnd w:id="459"/>
      <w:bookmarkStart w:id="460" w:name="_Toc137473772"/>
      <w:bookmarkEnd w:id="460"/>
      <w:bookmarkStart w:id="461" w:name="_Toc147758603"/>
      <w:bookmarkStart w:id="462" w:name="_Toc48565004"/>
      <w:bookmarkStart w:id="463" w:name="_Toc9185402"/>
      <w:bookmarkStart w:id="464" w:name="_Toc47347155"/>
      <w:r>
        <w:rPr>
          <w:rFonts w:hint="eastAsia" w:asciiTheme="minorEastAsia" w:hAnsiTheme="minorEastAsia" w:eastAsiaTheme="minorEastAsia"/>
          <w:b w:val="0"/>
          <w:sz w:val="28"/>
          <w:szCs w:val="28"/>
        </w:rPr>
        <w:t>绝热验收</w:t>
      </w:r>
      <w:bookmarkEnd w:id="397"/>
      <w:bookmarkEnd w:id="461"/>
      <w:bookmarkEnd w:id="462"/>
      <w:bookmarkEnd w:id="463"/>
      <w:bookmarkEnd w:id="464"/>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固定件和支承件材质的质量检验应符合本规范第</w:t>
      </w:r>
      <w:r>
        <w:rPr>
          <w:rFonts w:ascii="宋体" w:hAnsi="宋体" w:eastAsia="宋体" w:cs="宋体"/>
          <w:b w:val="0"/>
          <w:sz w:val="28"/>
          <w:szCs w:val="28"/>
        </w:rPr>
        <w:t>4.6.2</w:t>
      </w:r>
      <w:r>
        <w:rPr>
          <w:rFonts w:hint="eastAsia" w:ascii="宋体" w:hAnsi="宋体" w:eastAsia="宋体" w:cs="宋体"/>
          <w:b w:val="0"/>
          <w:sz w:val="28"/>
          <w:szCs w:val="28"/>
        </w:rPr>
        <w:t>条的规定。</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金属固定件严禁穿透保冷层。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当采用一种绝热制品，绝热层厚度大于</w:t>
      </w:r>
      <w:r>
        <w:rPr>
          <w:rFonts w:ascii="宋体" w:hAnsi="宋体" w:eastAsia="宋体" w:cs="宋体"/>
          <w:b w:val="0"/>
          <w:sz w:val="28"/>
          <w:szCs w:val="28"/>
        </w:rPr>
        <w:t>80mm</w:t>
      </w:r>
      <w:r>
        <w:rPr>
          <w:rFonts w:hint="eastAsia" w:ascii="宋体" w:hAnsi="宋体" w:eastAsia="宋体" w:cs="宋体"/>
          <w:b w:val="0"/>
          <w:sz w:val="28"/>
          <w:szCs w:val="28"/>
        </w:rPr>
        <w:t>时，绝热层施工必须分层错缝进行，各层的厚度应接近。</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伴热管道的保温层施工时，严禁堵塞伴热管与主管的加热空间。</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采用聚氨酯、酚醛等高分子发泡材料进行浇注法施工的绝热层，不得有发泡不良、脱落、发酥发脆、发软、开裂、孔径过大等缺陷。</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预制成型管中管绝热结构补口处的绝热层应整体严密。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保冷的设备或管道，其可拆卸式绝热结构与固定绝热结构之间的接缝应密封严密。</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硬质绝热制品保冷层和高温保温层的各层伸缩缝必须错开，错开距离应大于</w:t>
      </w:r>
      <w:r>
        <w:rPr>
          <w:rFonts w:ascii="宋体" w:hAnsi="宋体" w:eastAsia="宋体" w:cs="宋体"/>
          <w:b w:val="0"/>
          <w:sz w:val="28"/>
          <w:szCs w:val="28"/>
        </w:rPr>
        <w:t>100mm</w:t>
      </w:r>
      <w:r>
        <w:rPr>
          <w:rFonts w:hint="eastAsia" w:ascii="宋体" w:hAnsi="宋体" w:eastAsia="宋体" w:cs="宋体"/>
          <w:b w:val="0"/>
          <w:sz w:val="28"/>
          <w:szCs w:val="28"/>
        </w:rPr>
        <w:t>。</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硬质绝热制品绝热层应按本规范第</w:t>
      </w:r>
      <w:r>
        <w:rPr>
          <w:rFonts w:ascii="宋体" w:hAnsi="宋体" w:eastAsia="宋体" w:cs="宋体"/>
          <w:b w:val="0"/>
          <w:sz w:val="28"/>
          <w:szCs w:val="28"/>
        </w:rPr>
        <w:t>4.6.8</w:t>
      </w:r>
      <w:r>
        <w:rPr>
          <w:rFonts w:hint="eastAsia" w:ascii="宋体" w:hAnsi="宋体" w:eastAsia="宋体" w:cs="宋体"/>
          <w:b w:val="0"/>
          <w:sz w:val="28"/>
          <w:szCs w:val="28"/>
        </w:rPr>
        <w:t>条的规定设置膨胀间隙，间隙的留设尺寸应符合设计和实际膨胀的要求。</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当采用金属保护层或包缠型非金属保护层时，环向、纵向接缝必须上搭下，顺水搭接。</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固定保冷结构的金属保护层时，防潮层须完好无损。</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ascii="宋体" w:hAnsi="宋体" w:eastAsia="宋体" w:cs="宋体"/>
          <w:b w:val="0"/>
          <w:sz w:val="28"/>
          <w:szCs w:val="28"/>
        </w:rPr>
        <w:t xml:space="preserve"> </w:t>
      </w:r>
      <w:r>
        <w:rPr>
          <w:rFonts w:hint="eastAsia" w:ascii="宋体" w:hAnsi="宋体" w:eastAsia="宋体" w:cs="宋体"/>
          <w:b w:val="0"/>
          <w:sz w:val="28"/>
          <w:szCs w:val="28"/>
        </w:rPr>
        <w:t>下列部位的保护层均不得固定：</w:t>
      </w:r>
    </w:p>
    <w:p>
      <w:pPr>
        <w:numPr>
          <w:ilvl w:val="0"/>
          <w:numId w:val="61"/>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管道弯头与直管段上金属护壳的搭接部位；</w:t>
      </w:r>
    </w:p>
    <w:p>
      <w:pPr>
        <w:numPr>
          <w:ilvl w:val="0"/>
          <w:numId w:val="61"/>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直管段金属护壳膨胀的环向接缝部位；</w:t>
      </w:r>
    </w:p>
    <w:p>
      <w:pPr>
        <w:numPr>
          <w:ilvl w:val="0"/>
          <w:numId w:val="61"/>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静置设备、转动机械的金属护壳膨胀缝的部位。</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 xml:space="preserve"> 保冷结构及露天、潮湿环境中的保温结构金属保护层的接缝处，应密封严密。</w:t>
      </w:r>
    </w:p>
    <w:p>
      <w:pPr>
        <w:spacing w:line="360" w:lineRule="auto"/>
        <w:ind w:left="105" w:leftChars="50" w:right="105" w:rightChars="50" w:firstLine="560" w:firstLineChars="200"/>
        <w:rPr>
          <w:rFonts w:ascii="宋体" w:hAnsi="宋体" w:eastAsia="宋体"/>
          <w:sz w:val="28"/>
          <w:szCs w:val="28"/>
          <w:highlight w:val="yellow"/>
        </w:rPr>
      </w:pPr>
    </w:p>
    <w:p>
      <w:pPr>
        <w:pStyle w:val="2"/>
        <w:keepNext w:val="0"/>
        <w:keepLines w:val="0"/>
        <w:pageBreakBefore/>
        <w:numPr>
          <w:ilvl w:val="0"/>
          <w:numId w:val="3"/>
        </w:numPr>
        <w:adjustRightInd w:val="0"/>
        <w:snapToGrid w:val="0"/>
        <w:spacing w:before="0" w:after="0" w:line="480" w:lineRule="auto"/>
        <w:ind w:left="105" w:leftChars="50" w:right="105" w:rightChars="50"/>
        <w:jc w:val="center"/>
        <w:textAlignment w:val="baseline"/>
        <w:rPr>
          <w:rFonts w:ascii="宋体" w:hAnsi="宋体" w:eastAsia="宋体"/>
          <w:b w:val="0"/>
          <w:sz w:val="28"/>
          <w:szCs w:val="28"/>
        </w:rPr>
      </w:pPr>
      <w:bookmarkStart w:id="465" w:name="_Toc9185403"/>
      <w:bookmarkStart w:id="466" w:name="_Toc7098002"/>
      <w:bookmarkStart w:id="467" w:name="_Toc48565005"/>
      <w:bookmarkStart w:id="468" w:name="_Toc47347156"/>
      <w:bookmarkStart w:id="469" w:name="_Toc147758604"/>
      <w:r>
        <w:rPr>
          <w:rFonts w:hint="eastAsia" w:ascii="宋体" w:hAnsi="宋体" w:eastAsia="宋体"/>
          <w:b w:val="0"/>
          <w:sz w:val="28"/>
          <w:szCs w:val="28"/>
        </w:rPr>
        <w:t>运行维护</w:t>
      </w:r>
      <w:bookmarkEnd w:id="465"/>
      <w:bookmarkEnd w:id="466"/>
      <w:bookmarkEnd w:id="467"/>
      <w:bookmarkEnd w:id="468"/>
      <w:bookmarkEnd w:id="469"/>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对于锅炉、固定式压力容器、压力管道、电梯、起重机械等属于特种设备的厂区工业设备和管道，其运行维护应符合国家相关法律、监察条例的规定，并接受特种设备安全监督管理部门依法进行的特种设备安全监察。</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锅炉、固定式压力容器、压力管道、电梯、起重机械等属于特种设备的厂区工业设备和管道，其运行期间的使用管理、安装、改造、修理以及定期检验应按国家相应特种设备安全技术规范的要求进行，运行维护还应符合设计使用技术文件的要求，使用单位应根据以上要求制定运行维护规章制度，并应遵守执行。</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其他非特种设备管辖范围的厂区工业设备、管道的运行维护应符合设计使用技术文件和使用单位的设备、管道运行维护管理的规定，并遵守执行。</w:t>
      </w:r>
    </w:p>
    <w:p>
      <w:pPr>
        <w:spacing w:line="360" w:lineRule="auto"/>
        <w:ind w:left="105" w:leftChars="50" w:right="105" w:rightChars="50" w:firstLine="560" w:firstLineChars="200"/>
        <w:rPr>
          <w:rFonts w:ascii="宋体" w:hAnsi="宋体" w:eastAsia="宋体"/>
          <w:sz w:val="28"/>
          <w:szCs w:val="28"/>
          <w:highlight w:val="yellow"/>
        </w:rPr>
      </w:pPr>
    </w:p>
    <w:p>
      <w:pPr>
        <w:spacing w:line="360" w:lineRule="auto"/>
        <w:ind w:left="105" w:leftChars="50" w:right="105" w:rightChars="50" w:firstLine="560" w:firstLineChars="200"/>
        <w:rPr>
          <w:rFonts w:ascii="宋体" w:hAnsi="宋体" w:eastAsia="宋体"/>
          <w:sz w:val="28"/>
          <w:szCs w:val="28"/>
          <w:highlight w:val="yellow"/>
        </w:rPr>
        <w:sectPr>
          <w:pgSz w:w="11906" w:h="16838"/>
          <w:pgMar w:top="1440" w:right="1800" w:bottom="1440" w:left="1800" w:header="851" w:footer="992" w:gutter="0"/>
          <w:cols w:space="425" w:num="1"/>
          <w:docGrid w:type="lines" w:linePitch="312" w:charSpace="0"/>
        </w:sectPr>
      </w:pPr>
    </w:p>
    <w:p>
      <w:pPr>
        <w:pStyle w:val="2"/>
        <w:keepNext w:val="0"/>
        <w:keepLines w:val="0"/>
        <w:pageBreakBefore/>
        <w:numPr>
          <w:ilvl w:val="0"/>
          <w:numId w:val="3"/>
        </w:numPr>
        <w:adjustRightInd w:val="0"/>
        <w:snapToGrid w:val="0"/>
        <w:spacing w:before="0" w:after="0" w:line="480" w:lineRule="auto"/>
        <w:ind w:left="105" w:leftChars="50" w:right="105" w:rightChars="50"/>
        <w:jc w:val="center"/>
        <w:textAlignment w:val="baseline"/>
        <w:rPr>
          <w:rFonts w:ascii="宋体" w:hAnsi="宋体" w:eastAsia="宋体"/>
          <w:b w:val="0"/>
          <w:sz w:val="28"/>
          <w:szCs w:val="28"/>
        </w:rPr>
      </w:pPr>
      <w:bookmarkStart w:id="470" w:name="_Toc7098003"/>
      <w:bookmarkStart w:id="471" w:name="_Toc147758605"/>
      <w:bookmarkStart w:id="472" w:name="_Toc47347157"/>
      <w:bookmarkStart w:id="473" w:name="_Toc48565006"/>
      <w:bookmarkStart w:id="474" w:name="_Toc9185404"/>
      <w:r>
        <w:rPr>
          <w:rFonts w:hint="eastAsia" w:ascii="宋体" w:hAnsi="宋体" w:eastAsia="宋体"/>
          <w:b w:val="0"/>
          <w:sz w:val="28"/>
          <w:szCs w:val="28"/>
        </w:rPr>
        <w:t>拆除</w:t>
      </w:r>
      <w:bookmarkEnd w:id="470"/>
      <w:bookmarkEnd w:id="471"/>
      <w:bookmarkEnd w:id="472"/>
      <w:bookmarkEnd w:id="473"/>
      <w:bookmarkEnd w:id="474"/>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475" w:name="_Toc48565007"/>
      <w:bookmarkStart w:id="476" w:name="_Toc9185405"/>
      <w:bookmarkStart w:id="477" w:name="_Toc11317856"/>
      <w:bookmarkStart w:id="478" w:name="_Toc147758606"/>
      <w:bookmarkStart w:id="479" w:name="_Toc47347158"/>
      <w:bookmarkStart w:id="480" w:name="_Toc7098004"/>
      <w:r>
        <w:rPr>
          <w:rFonts w:hint="eastAsia" w:asciiTheme="minorEastAsia" w:hAnsiTheme="minorEastAsia" w:eastAsiaTheme="minorEastAsia"/>
          <w:b w:val="0"/>
          <w:sz w:val="28"/>
          <w:szCs w:val="28"/>
        </w:rPr>
        <w:t>一般规定</w:t>
      </w:r>
      <w:bookmarkEnd w:id="475"/>
      <w:bookmarkEnd w:id="476"/>
      <w:bookmarkEnd w:id="477"/>
      <w:bookmarkEnd w:id="478"/>
      <w:bookmarkEnd w:id="479"/>
      <w:bookmarkEnd w:id="480"/>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应在作业前对需要拆除的设备与管道进行危害识别和风险评估。应为拆除作业制定安全、健康和环境保护方案，并在实施全过程做好应急管理工作。</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承担拆除工作的单位应具备相应能力。</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涉及危险化学品的装置、特种设备的拆除应报政府相关部门备案。</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481" w:name="_Toc11317857"/>
      <w:bookmarkStart w:id="482" w:name="_Toc147758607"/>
      <w:bookmarkStart w:id="483" w:name="_Toc48565008"/>
      <w:bookmarkStart w:id="484" w:name="_Toc45109766"/>
      <w:bookmarkStart w:id="485" w:name="_Toc9185406"/>
      <w:r>
        <w:rPr>
          <w:rFonts w:hint="eastAsia" w:asciiTheme="minorEastAsia" w:hAnsiTheme="minorEastAsia" w:eastAsiaTheme="minorEastAsia"/>
          <w:b w:val="0"/>
          <w:sz w:val="28"/>
          <w:szCs w:val="28"/>
        </w:rPr>
        <w:t>设备与管道拆除</w:t>
      </w:r>
      <w:bookmarkEnd w:id="481"/>
      <w:bookmarkEnd w:id="482"/>
      <w:bookmarkEnd w:id="483"/>
      <w:bookmarkEnd w:id="484"/>
      <w:bookmarkEnd w:id="485"/>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拆除作业人员应符合下列规定。</w:t>
      </w:r>
    </w:p>
    <w:p>
      <w:pPr>
        <w:numPr>
          <w:ilvl w:val="0"/>
          <w:numId w:val="62"/>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应掌握相应的安全知识和专业技能。</w:t>
      </w:r>
    </w:p>
    <w:p>
      <w:pPr>
        <w:numPr>
          <w:ilvl w:val="0"/>
          <w:numId w:val="62"/>
        </w:numPr>
        <w:adjustRightInd w:val="0"/>
        <w:snapToGrid w:val="0"/>
        <w:spacing w:line="360" w:lineRule="auto"/>
        <w:ind w:left="0" w:firstLine="560" w:firstLineChars="200"/>
        <w:outlineLvl w:val="3"/>
        <w:rPr>
          <w:rFonts w:ascii="宋体" w:hAnsi="宋体" w:eastAsia="宋体"/>
          <w:sz w:val="28"/>
          <w:szCs w:val="28"/>
        </w:rPr>
      </w:pPr>
      <w:r>
        <w:rPr>
          <w:rFonts w:hint="eastAsia" w:ascii="宋体" w:hAnsi="宋体" w:eastAsia="宋体" w:cs="宋体"/>
          <w:bCs/>
          <w:sz w:val="28"/>
          <w:szCs w:val="28"/>
        </w:rPr>
        <w:t>应配备必要的安全防护用品。</w:t>
      </w:r>
      <w:r>
        <w:rPr>
          <w:rFonts w:ascii="宋体" w:hAnsi="宋体" w:eastAsia="宋体" w:cs="宋体"/>
          <w:sz w:val="28"/>
          <w:szCs w:val="28"/>
        </w:rPr>
        <w:t xml:space="preserve"> </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拆除施工应符合下列规定：</w:t>
      </w:r>
    </w:p>
    <w:p>
      <w:pPr>
        <w:numPr>
          <w:ilvl w:val="0"/>
          <w:numId w:val="63"/>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应在切断电源和介质后，再进行清理、拆除工作。</w:t>
      </w:r>
    </w:p>
    <w:p>
      <w:pPr>
        <w:numPr>
          <w:ilvl w:val="0"/>
          <w:numId w:val="63"/>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拆除前，应将相关设备之间的连接管道进行关闭或切断，清理置换合格的设备和管道要进行有效隔离，防止物料串入。</w:t>
      </w:r>
    </w:p>
    <w:p>
      <w:pPr>
        <w:numPr>
          <w:ilvl w:val="0"/>
          <w:numId w:val="63"/>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拆除施工不得立体交叉作业。</w:t>
      </w:r>
    </w:p>
    <w:p>
      <w:pPr>
        <w:numPr>
          <w:ilvl w:val="0"/>
          <w:numId w:val="63"/>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支撑承重构件不应先于设备与管道拆除。</w:t>
      </w:r>
    </w:p>
    <w:p>
      <w:pPr>
        <w:numPr>
          <w:ilvl w:val="0"/>
          <w:numId w:val="63"/>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应优先拆除小型轻型设备与管道，后拆除大型重型设备与管道。</w:t>
      </w:r>
    </w:p>
    <w:p>
      <w:pPr>
        <w:numPr>
          <w:ilvl w:val="0"/>
          <w:numId w:val="63"/>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拆除时应搭设必要的操作架和承重架；对大型、复杂设备拆除时，应进行拆除施工仿真分析，必要时应采取临时加强措施。</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对于涉及易燃易爆、有毒有害介质的设备与管道的拆除，还应符合下列规定：</w:t>
      </w:r>
    </w:p>
    <w:p>
      <w:pPr>
        <w:numPr>
          <w:ilvl w:val="0"/>
          <w:numId w:val="64"/>
        </w:numPr>
        <w:adjustRightInd w:val="0"/>
        <w:snapToGrid w:val="0"/>
        <w:spacing w:line="360" w:lineRule="auto"/>
        <w:ind w:left="0" w:firstLine="560" w:firstLineChars="200"/>
        <w:outlineLvl w:val="3"/>
        <w:rPr>
          <w:rFonts w:ascii="宋体" w:hAnsi="宋体" w:eastAsia="宋体"/>
          <w:bCs/>
          <w:sz w:val="28"/>
          <w:szCs w:val="28"/>
        </w:rPr>
      </w:pPr>
      <w:r>
        <w:rPr>
          <w:rFonts w:hint="eastAsia" w:ascii="宋体" w:hAnsi="宋体" w:eastAsia="宋体" w:cs="宋体"/>
          <w:bCs/>
          <w:sz w:val="28"/>
          <w:szCs w:val="28"/>
        </w:rPr>
        <w:t>对涉及易燃易爆、有毒有害介质的设备与管道应在拆迁前进行转置和清理。并进行相应的安全检测，所有作业应符合相关安全作业规定的要求；</w:t>
      </w:r>
    </w:p>
    <w:p>
      <w:pPr>
        <w:numPr>
          <w:ilvl w:val="0"/>
          <w:numId w:val="64"/>
        </w:numPr>
        <w:adjustRightInd w:val="0"/>
        <w:snapToGrid w:val="0"/>
        <w:spacing w:line="360" w:lineRule="auto"/>
        <w:ind w:left="0" w:firstLine="560" w:firstLineChars="200"/>
        <w:outlineLvl w:val="3"/>
        <w:rPr>
          <w:rFonts w:ascii="宋体" w:hAnsi="宋体" w:eastAsia="宋体" w:cs="宋体"/>
          <w:bCs/>
          <w:sz w:val="28"/>
          <w:szCs w:val="28"/>
        </w:rPr>
      </w:pPr>
      <w:r>
        <w:rPr>
          <w:rFonts w:hint="eastAsia" w:ascii="宋体" w:hAnsi="宋体" w:eastAsia="宋体" w:cs="宋体"/>
          <w:bCs/>
          <w:sz w:val="28"/>
          <w:szCs w:val="28"/>
        </w:rPr>
        <w:t>清理清洗作业过程中，禁止含易燃、易爆介质废水排入工业下水系统；含有其他有害介质废水符合国家及当地排放标准或符合所接纳污水厂的协议接入要求的，可排入工业下水系统；不能外排的废水应进行收集和无害化处理。应采取措施防止有毒有害物质对土壤和大气环境产生污染；</w:t>
      </w:r>
    </w:p>
    <w:p>
      <w:pPr>
        <w:numPr>
          <w:ilvl w:val="0"/>
          <w:numId w:val="64"/>
        </w:numPr>
        <w:adjustRightInd w:val="0"/>
        <w:snapToGrid w:val="0"/>
        <w:spacing w:line="360" w:lineRule="auto"/>
        <w:ind w:left="0" w:firstLine="560" w:firstLineChars="200"/>
        <w:outlineLvl w:val="3"/>
        <w:rPr>
          <w:rFonts w:ascii="宋体" w:hAnsi="宋体" w:eastAsia="宋体" w:cs="宋体"/>
          <w:bCs/>
          <w:sz w:val="28"/>
          <w:szCs w:val="28"/>
        </w:rPr>
      </w:pPr>
      <w:bookmarkStart w:id="486" w:name="_Hlk43713274"/>
      <w:r>
        <w:rPr>
          <w:rFonts w:hint="eastAsia" w:ascii="宋体" w:hAnsi="宋体" w:eastAsia="宋体" w:cs="宋体"/>
          <w:bCs/>
          <w:sz w:val="28"/>
          <w:szCs w:val="28"/>
        </w:rPr>
        <w:t>未经倒空置换的涉及危险化学品的装置</w:t>
      </w:r>
      <w:bookmarkEnd w:id="486"/>
      <w:r>
        <w:rPr>
          <w:rFonts w:hint="eastAsia" w:ascii="宋体" w:hAnsi="宋体" w:eastAsia="宋体" w:cs="宋体"/>
          <w:bCs/>
          <w:sz w:val="28"/>
          <w:szCs w:val="28"/>
        </w:rPr>
        <w:t>拆除完成前，</w:t>
      </w:r>
      <w:bookmarkStart w:id="487" w:name="_Hlk43713654"/>
      <w:r>
        <w:rPr>
          <w:rFonts w:hint="eastAsia" w:ascii="宋体" w:hAnsi="宋体" w:eastAsia="宋体" w:cs="宋体"/>
          <w:bCs/>
          <w:sz w:val="28"/>
          <w:szCs w:val="28"/>
        </w:rPr>
        <w:t>不得将消防水、气体报警仪等消防设施停止运行</w:t>
      </w:r>
      <w:bookmarkEnd w:id="487"/>
      <w:r>
        <w:rPr>
          <w:rFonts w:hint="eastAsia" w:ascii="宋体" w:hAnsi="宋体" w:eastAsia="宋体" w:cs="宋体"/>
          <w:bCs/>
          <w:sz w:val="28"/>
          <w:szCs w:val="28"/>
        </w:rPr>
        <w:t>；必须按照定制预案配置消防器材。</w:t>
      </w:r>
    </w:p>
    <w:p>
      <w:pPr>
        <w:pStyle w:val="4"/>
        <w:keepNext w:val="0"/>
        <w:keepLines w:val="0"/>
        <w:numPr>
          <w:ilvl w:val="2"/>
          <w:numId w:val="35"/>
        </w:numPr>
        <w:adjustRightInd w:val="0"/>
        <w:snapToGrid w:val="0"/>
        <w:spacing w:before="0" w:after="0" w:line="360" w:lineRule="auto"/>
        <w:ind w:left="0" w:firstLine="0"/>
        <w:textAlignment w:val="baseline"/>
        <w:rPr>
          <w:rFonts w:ascii="宋体" w:hAnsi="宋体" w:eastAsia="宋体" w:cs="宋体"/>
          <w:b w:val="0"/>
          <w:sz w:val="28"/>
          <w:szCs w:val="28"/>
        </w:rPr>
      </w:pPr>
      <w:r>
        <w:rPr>
          <w:rFonts w:hint="eastAsia" w:ascii="宋体" w:hAnsi="宋体" w:eastAsia="宋体" w:cs="宋体"/>
          <w:b w:val="0"/>
          <w:sz w:val="28"/>
          <w:szCs w:val="28"/>
        </w:rPr>
        <w:t>动火作业、受限空间作业、盲板抽堵作业、高处作业、吊装作业、临时用电作业、动土作业、断路作业等特殊作业执行作业票证管理，作业要有专人监护。</w:t>
      </w:r>
    </w:p>
    <w:p>
      <w:pPr>
        <w:pStyle w:val="3"/>
        <w:keepNext w:val="0"/>
        <w:keepLines w:val="0"/>
        <w:numPr>
          <w:ilvl w:val="1"/>
          <w:numId w:val="7"/>
        </w:numPr>
        <w:adjustRightInd w:val="0"/>
        <w:snapToGrid w:val="0"/>
        <w:spacing w:before="312" w:beforeLines="100" w:after="0" w:line="480" w:lineRule="auto"/>
        <w:ind w:left="508" w:leftChars="50" w:right="105" w:rightChars="50" w:hanging="403"/>
        <w:jc w:val="center"/>
        <w:textAlignment w:val="baseline"/>
        <w:rPr>
          <w:rFonts w:asciiTheme="minorEastAsia" w:hAnsiTheme="minorEastAsia" w:eastAsiaTheme="minorEastAsia"/>
          <w:b w:val="0"/>
          <w:sz w:val="28"/>
          <w:szCs w:val="28"/>
        </w:rPr>
      </w:pPr>
      <w:bookmarkStart w:id="488" w:name="_Toc48565009"/>
      <w:bookmarkStart w:id="489" w:name="_Toc11317858"/>
      <w:bookmarkStart w:id="490" w:name="_Toc147758608"/>
      <w:bookmarkStart w:id="491" w:name="_Toc9185407"/>
      <w:bookmarkStart w:id="492" w:name="_Toc45109767"/>
      <w:r>
        <w:rPr>
          <w:rFonts w:hint="eastAsia" w:asciiTheme="minorEastAsia" w:hAnsiTheme="minorEastAsia" w:eastAsiaTheme="minorEastAsia"/>
          <w:b w:val="0"/>
          <w:sz w:val="28"/>
          <w:szCs w:val="28"/>
        </w:rPr>
        <w:t>拆除后的设备、管道和场地处理</w:t>
      </w:r>
      <w:bookmarkEnd w:id="488"/>
      <w:bookmarkEnd w:id="489"/>
      <w:bookmarkEnd w:id="490"/>
      <w:bookmarkEnd w:id="491"/>
      <w:bookmarkEnd w:id="492"/>
    </w:p>
    <w:p>
      <w:pPr>
        <w:pStyle w:val="4"/>
        <w:keepNext w:val="0"/>
        <w:keepLines w:val="0"/>
        <w:numPr>
          <w:ilvl w:val="2"/>
          <w:numId w:val="35"/>
        </w:numPr>
        <w:adjustRightInd w:val="0"/>
        <w:snapToGrid w:val="0"/>
        <w:spacing w:before="0" w:after="0" w:line="360" w:lineRule="auto"/>
        <w:ind w:left="0" w:right="105" w:rightChars="50" w:firstLine="0"/>
        <w:textAlignment w:val="baseline"/>
        <w:rPr>
          <w:rFonts w:ascii="宋体" w:hAnsi="宋体" w:eastAsia="宋体" w:cs="宋体"/>
          <w:b w:val="0"/>
          <w:sz w:val="28"/>
          <w:szCs w:val="28"/>
        </w:rPr>
      </w:pPr>
      <w:r>
        <w:rPr>
          <w:rFonts w:hint="eastAsia" w:ascii="宋体" w:hAnsi="宋体" w:eastAsia="宋体" w:cs="宋体"/>
          <w:b w:val="0"/>
          <w:sz w:val="28"/>
          <w:szCs w:val="28"/>
        </w:rPr>
        <w:t>拆除后的遗留设备和遗留物料不得随意掩埋、排放、焚烧。残留危险废料应当交由具备危险废物经营许可资质的单位进行处理；拆除的设备、设施在确定达到</w:t>
      </w:r>
      <w:r>
        <w:rPr>
          <w:rFonts w:ascii="宋体" w:hAnsi="宋体" w:eastAsia="宋体" w:cs="宋体"/>
          <w:b w:val="0"/>
          <w:sz w:val="28"/>
          <w:szCs w:val="28"/>
        </w:rPr>
        <w:t>无害化要求</w:t>
      </w:r>
      <w:r>
        <w:rPr>
          <w:rFonts w:hint="eastAsia" w:ascii="宋体" w:hAnsi="宋体" w:eastAsia="宋体" w:cs="宋体"/>
          <w:b w:val="0"/>
          <w:sz w:val="28"/>
          <w:szCs w:val="28"/>
        </w:rPr>
        <w:t>后，方可转移出现场。</w:t>
      </w:r>
    </w:p>
    <w:p>
      <w:pPr>
        <w:pStyle w:val="4"/>
        <w:keepNext w:val="0"/>
        <w:keepLines w:val="0"/>
        <w:numPr>
          <w:ilvl w:val="2"/>
          <w:numId w:val="35"/>
        </w:numPr>
        <w:adjustRightInd w:val="0"/>
        <w:snapToGrid w:val="0"/>
        <w:spacing w:before="0" w:after="0" w:line="360" w:lineRule="auto"/>
        <w:ind w:left="0" w:right="105" w:rightChars="50" w:firstLine="0"/>
        <w:textAlignment w:val="baseline"/>
        <w:rPr>
          <w:rFonts w:ascii="宋体" w:hAnsi="宋体" w:eastAsia="宋体" w:cs="宋体"/>
          <w:b w:val="0"/>
          <w:sz w:val="28"/>
          <w:szCs w:val="28"/>
        </w:rPr>
      </w:pPr>
      <w:r>
        <w:rPr>
          <w:rFonts w:hint="eastAsia" w:ascii="宋体" w:hAnsi="宋体" w:eastAsia="宋体" w:cs="宋体"/>
          <w:b w:val="0"/>
          <w:sz w:val="28"/>
          <w:szCs w:val="28"/>
        </w:rPr>
        <w:t>应对拆除区域内（包括地下管网）的所有部位进行无害化清除处置，并应组织专业人员进行安全与环保验收。</w:t>
      </w:r>
    </w:p>
    <w:p>
      <w:pPr>
        <w:pStyle w:val="4"/>
        <w:keepNext w:val="0"/>
        <w:keepLines w:val="0"/>
        <w:numPr>
          <w:ilvl w:val="2"/>
          <w:numId w:val="35"/>
        </w:numPr>
        <w:adjustRightInd w:val="0"/>
        <w:snapToGrid w:val="0"/>
        <w:spacing w:before="0" w:after="0" w:line="360" w:lineRule="auto"/>
        <w:ind w:left="0" w:right="105" w:rightChars="50" w:firstLine="0"/>
        <w:textAlignment w:val="baseline"/>
        <w:rPr>
          <w:rFonts w:ascii="宋体" w:hAnsi="宋体" w:eastAsia="宋体" w:cs="宋体"/>
          <w:b w:val="0"/>
          <w:sz w:val="28"/>
          <w:szCs w:val="28"/>
        </w:rPr>
      </w:pPr>
      <w:r>
        <w:rPr>
          <w:rFonts w:hint="eastAsia" w:ascii="宋体" w:hAnsi="宋体" w:eastAsia="宋体" w:cs="宋体"/>
          <w:b w:val="0"/>
          <w:sz w:val="28"/>
          <w:szCs w:val="28"/>
        </w:rPr>
        <w:t>拆除的设备和管道进行重复利用时，利用前应进行</w:t>
      </w:r>
      <w:bookmarkStart w:id="493" w:name="_Hlk43662057"/>
      <w:r>
        <w:rPr>
          <w:rFonts w:hint="eastAsia" w:ascii="宋体" w:hAnsi="宋体" w:eastAsia="宋体" w:cs="宋体"/>
          <w:b w:val="0"/>
          <w:sz w:val="28"/>
          <w:szCs w:val="28"/>
        </w:rPr>
        <w:t>技术和安全评估。</w:t>
      </w:r>
      <w:bookmarkEnd w:id="493"/>
    </w:p>
    <w:p>
      <w:pPr>
        <w:pStyle w:val="4"/>
        <w:keepNext w:val="0"/>
        <w:keepLines w:val="0"/>
        <w:numPr>
          <w:ilvl w:val="2"/>
          <w:numId w:val="35"/>
        </w:numPr>
        <w:adjustRightInd w:val="0"/>
        <w:snapToGrid w:val="0"/>
        <w:spacing w:before="0" w:after="0" w:line="360" w:lineRule="auto"/>
        <w:ind w:left="0" w:right="105" w:rightChars="50" w:firstLine="0"/>
        <w:textAlignment w:val="baseline"/>
        <w:rPr>
          <w:rFonts w:ascii="宋体" w:hAnsi="宋体" w:eastAsia="宋体" w:cs="宋体"/>
          <w:b w:val="0"/>
          <w:sz w:val="28"/>
          <w:szCs w:val="28"/>
        </w:rPr>
      </w:pPr>
      <w:r>
        <w:rPr>
          <w:rFonts w:hint="eastAsia" w:ascii="宋体" w:hAnsi="宋体" w:eastAsia="宋体" w:cs="宋体"/>
          <w:b w:val="0"/>
          <w:sz w:val="28"/>
          <w:szCs w:val="28"/>
        </w:rPr>
        <w:t>特种设备报废后，应办理相应的报废注销。</w:t>
      </w:r>
    </w:p>
    <w:p>
      <w:pPr>
        <w:rPr>
          <w:rFonts w:asciiTheme="minorEastAsia" w:hAnsiTheme="minorEastAsia"/>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等线 Light">
    <w:altName w:val="仿宋"/>
    <w:panose1 w:val="00000000000000000000"/>
    <w:charset w:val="86"/>
    <w:family w:val="auto"/>
    <w:pitch w:val="default"/>
    <w:sig w:usb0="00000000" w:usb1="00000000" w:usb2="00000016" w:usb3="00000000" w:csb0="0004000F" w:csb1="00000000"/>
  </w:font>
  <w:font w:name="Calibri Light">
    <w:altName w:val="DejaVu Sans"/>
    <w:panose1 w:val="020F0302020204030204"/>
    <w:charset w:val="00"/>
    <w:family w:val="swiss"/>
    <w:pitch w:val="default"/>
    <w:sig w:usb0="00000000" w:usb1="00000000" w:usb2="00000000" w:usb3="00000000" w:csb0="0000019F" w:csb1="00000000"/>
  </w:font>
  <w:font w:name="等线">
    <w:altName w:val="仿宋"/>
    <w:panose1 w:val="00000000000000000000"/>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8275899"/>
      <w:docPartObj>
        <w:docPartGallery w:val="autotext"/>
      </w:docPartObj>
    </w:sdtPr>
    <w:sdtContent>
      <w:p>
        <w:pPr>
          <w:pStyle w:val="19"/>
          <w:jc w:val="center"/>
        </w:pPr>
        <w:r>
          <w:fldChar w:fldCharType="begin"/>
        </w:r>
        <w:r>
          <w:instrText xml:space="preserve">PAGE   \* MERGEFORMAT</w:instrText>
        </w:r>
        <w:r>
          <w:fldChar w:fldCharType="separate"/>
        </w:r>
        <w:r>
          <w:rPr>
            <w:lang w:val="zh-CN"/>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2092095"/>
      <w:docPartObj>
        <w:docPartGallery w:val="autotext"/>
      </w:docPartObj>
    </w:sdtPr>
    <w:sdtContent>
      <w:p>
        <w:pPr>
          <w:pStyle w:val="19"/>
          <w:jc w:val="center"/>
        </w:pPr>
        <w:r>
          <w:fldChar w:fldCharType="begin"/>
        </w:r>
        <w:r>
          <w:instrText xml:space="preserve">PAGE   \* MERGEFORMAT</w:instrText>
        </w:r>
        <w:r>
          <w:fldChar w:fldCharType="separate"/>
        </w:r>
        <w:r>
          <w:rPr>
            <w:lang w:val="zh-CN"/>
          </w:rPr>
          <w:t>10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2422541"/>
      <w:docPartObj>
        <w:docPartGallery w:val="autotext"/>
      </w:docPartObj>
    </w:sdtPr>
    <w:sdtContent>
      <w:p>
        <w:pPr>
          <w:pStyle w:val="19"/>
          <w:jc w:val="center"/>
        </w:pPr>
        <w:r>
          <w:fldChar w:fldCharType="begin"/>
        </w:r>
        <w:r>
          <w:instrText xml:space="preserve">PAGE   \* MERGEFORMAT</w:instrText>
        </w:r>
        <w:r>
          <w:fldChar w:fldCharType="separate"/>
        </w:r>
        <w:r>
          <w:rPr>
            <w:lang w:val="zh-CN"/>
          </w:rPr>
          <w:t>33</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E6AFA"/>
    <w:multiLevelType w:val="multilevel"/>
    <w:tmpl w:val="008E6AFA"/>
    <w:lvl w:ilvl="0" w:tentative="0">
      <w:start w:val="1"/>
      <w:numFmt w:val="decimal"/>
      <w:lvlText w:val="%1."/>
      <w:lvlJc w:val="left"/>
      <w:pPr>
        <w:ind w:left="1270" w:hanging="420"/>
      </w:p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1">
    <w:nsid w:val="01890AAC"/>
    <w:multiLevelType w:val="multilevel"/>
    <w:tmpl w:val="01890AAC"/>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
    <w:nsid w:val="05A250A8"/>
    <w:multiLevelType w:val="multilevel"/>
    <w:tmpl w:val="05A250A8"/>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suff w:val="space"/>
      <w:lvlText w:val="3.1.%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05EF58DB"/>
    <w:multiLevelType w:val="multilevel"/>
    <w:tmpl w:val="05EF58DB"/>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
    <w:nsid w:val="068955FD"/>
    <w:multiLevelType w:val="multilevel"/>
    <w:tmpl w:val="068955FD"/>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
    <w:nsid w:val="087C2265"/>
    <w:multiLevelType w:val="multilevel"/>
    <w:tmpl w:val="087C2265"/>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suff w:val="space"/>
      <w:lvlText w:val="2.0.%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09A9427A"/>
    <w:multiLevelType w:val="multilevel"/>
    <w:tmpl w:val="09A9427A"/>
    <w:lvl w:ilvl="0" w:tentative="0">
      <w:start w:val="1"/>
      <w:numFmt w:val="decimal"/>
      <w:lvlText w:val="%1."/>
      <w:lvlJc w:val="left"/>
      <w:pPr>
        <w:ind w:left="3360" w:hanging="420"/>
      </w:pPr>
      <w:rPr>
        <w:rFonts w:hint="eastAsia"/>
      </w:rPr>
    </w:lvl>
    <w:lvl w:ilvl="1" w:tentative="0">
      <w:start w:val="1"/>
      <w:numFmt w:val="lowerLetter"/>
      <w:lvlText w:val="%2)"/>
      <w:lvlJc w:val="left"/>
      <w:pPr>
        <w:ind w:left="3780" w:hanging="420"/>
      </w:pPr>
      <w:rPr>
        <w:rFonts w:hint="eastAsia"/>
      </w:rPr>
    </w:lvl>
    <w:lvl w:ilvl="2" w:tentative="0">
      <w:start w:val="1"/>
      <w:numFmt w:val="lowerRoman"/>
      <w:lvlText w:val="%3."/>
      <w:lvlJc w:val="right"/>
      <w:pPr>
        <w:ind w:left="4200" w:hanging="420"/>
      </w:pPr>
      <w:rPr>
        <w:rFonts w:hint="eastAsia"/>
      </w:rPr>
    </w:lvl>
    <w:lvl w:ilvl="3" w:tentative="0">
      <w:start w:val="1"/>
      <w:numFmt w:val="decimal"/>
      <w:lvlText w:val="%4."/>
      <w:lvlJc w:val="left"/>
      <w:pPr>
        <w:ind w:left="4620" w:hanging="420"/>
      </w:pPr>
      <w:rPr>
        <w:rFonts w:hint="eastAsia"/>
      </w:rPr>
    </w:lvl>
    <w:lvl w:ilvl="4" w:tentative="0">
      <w:start w:val="1"/>
      <w:numFmt w:val="lowerLetter"/>
      <w:lvlText w:val="%5)"/>
      <w:lvlJc w:val="left"/>
      <w:pPr>
        <w:ind w:left="5040" w:hanging="420"/>
      </w:pPr>
      <w:rPr>
        <w:rFonts w:hint="eastAsia"/>
      </w:rPr>
    </w:lvl>
    <w:lvl w:ilvl="5" w:tentative="0">
      <w:start w:val="1"/>
      <w:numFmt w:val="lowerRoman"/>
      <w:lvlText w:val="%6."/>
      <w:lvlJc w:val="right"/>
      <w:pPr>
        <w:ind w:left="5460" w:hanging="420"/>
      </w:pPr>
      <w:rPr>
        <w:rFonts w:hint="eastAsia"/>
      </w:rPr>
    </w:lvl>
    <w:lvl w:ilvl="6" w:tentative="0">
      <w:start w:val="1"/>
      <w:numFmt w:val="decimal"/>
      <w:lvlText w:val="%7."/>
      <w:lvlJc w:val="left"/>
      <w:pPr>
        <w:ind w:left="5880" w:hanging="420"/>
      </w:pPr>
      <w:rPr>
        <w:rFonts w:hint="eastAsia"/>
      </w:rPr>
    </w:lvl>
    <w:lvl w:ilvl="7" w:tentative="0">
      <w:start w:val="1"/>
      <w:numFmt w:val="lowerLetter"/>
      <w:lvlText w:val="%8)"/>
      <w:lvlJc w:val="left"/>
      <w:pPr>
        <w:ind w:left="6300" w:hanging="420"/>
      </w:pPr>
      <w:rPr>
        <w:rFonts w:hint="eastAsia"/>
      </w:rPr>
    </w:lvl>
    <w:lvl w:ilvl="8" w:tentative="0">
      <w:start w:val="1"/>
      <w:numFmt w:val="lowerRoman"/>
      <w:lvlText w:val="%9."/>
      <w:lvlJc w:val="right"/>
      <w:pPr>
        <w:ind w:left="6720" w:hanging="420"/>
      </w:pPr>
      <w:rPr>
        <w:rFonts w:hint="eastAsia"/>
      </w:rPr>
    </w:lvl>
  </w:abstractNum>
  <w:abstractNum w:abstractNumId="7">
    <w:nsid w:val="0A476F5B"/>
    <w:multiLevelType w:val="multilevel"/>
    <w:tmpl w:val="0A476F5B"/>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8">
    <w:nsid w:val="0AA45E30"/>
    <w:multiLevelType w:val="multilevel"/>
    <w:tmpl w:val="0AA45E30"/>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9">
    <w:nsid w:val="0B3C3646"/>
    <w:multiLevelType w:val="multilevel"/>
    <w:tmpl w:val="0B3C3646"/>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0">
    <w:nsid w:val="0F8D43B5"/>
    <w:multiLevelType w:val="multilevel"/>
    <w:tmpl w:val="0F8D43B5"/>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1">
    <w:nsid w:val="152A1384"/>
    <w:multiLevelType w:val="multilevel"/>
    <w:tmpl w:val="152A1384"/>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2">
    <w:nsid w:val="1C3721C4"/>
    <w:multiLevelType w:val="multilevel"/>
    <w:tmpl w:val="1C3721C4"/>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3">
    <w:nsid w:val="1CEC4C81"/>
    <w:multiLevelType w:val="multilevel"/>
    <w:tmpl w:val="1CEC4C81"/>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4">
    <w:nsid w:val="1EF43EA2"/>
    <w:multiLevelType w:val="multilevel"/>
    <w:tmpl w:val="1EF43EA2"/>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5">
    <w:nsid w:val="1F21796F"/>
    <w:multiLevelType w:val="multilevel"/>
    <w:tmpl w:val="1F21796F"/>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suff w:val="space"/>
      <w:lvlText w:val="3.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6">
    <w:nsid w:val="23C15836"/>
    <w:multiLevelType w:val="multilevel"/>
    <w:tmpl w:val="23C15836"/>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suff w:val="space"/>
      <w:lvlText w:val="%1.0.%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7">
    <w:nsid w:val="270D5F9A"/>
    <w:multiLevelType w:val="multilevel"/>
    <w:tmpl w:val="270D5F9A"/>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8">
    <w:nsid w:val="28B846B0"/>
    <w:multiLevelType w:val="multilevel"/>
    <w:tmpl w:val="28B846B0"/>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19">
    <w:nsid w:val="2D5421FA"/>
    <w:multiLevelType w:val="multilevel"/>
    <w:tmpl w:val="2D5421FA"/>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0">
    <w:nsid w:val="2E522B6C"/>
    <w:multiLevelType w:val="multilevel"/>
    <w:tmpl w:val="2E522B6C"/>
    <w:lvl w:ilvl="0" w:tentative="0">
      <w:start w:val="1"/>
      <w:numFmt w:val="decimal"/>
      <w:pStyle w:val="28"/>
      <w:lvlText w:val="第%1章 "/>
      <w:lvlJc w:val="left"/>
      <w:pPr>
        <w:ind w:left="425" w:hanging="425"/>
      </w:pPr>
      <w:rPr>
        <w:rFonts w:hint="eastAsia"/>
      </w:rPr>
    </w:lvl>
    <w:lvl w:ilvl="1" w:tentative="0">
      <w:start w:val="1"/>
      <w:numFmt w:val="decimal"/>
      <w:lvlText w:val="%1.%2"/>
      <w:lvlJc w:val="left"/>
      <w:pPr>
        <w:ind w:left="992" w:hanging="992"/>
      </w:pPr>
      <w:rPr>
        <w:rFonts w:hint="eastAsia"/>
      </w:rPr>
    </w:lvl>
    <w:lvl w:ilvl="2" w:tentative="0">
      <w:start w:val="1"/>
      <w:numFmt w:val="decimal"/>
      <w:lvlText w:val="%1.%2.%3"/>
      <w:lvlJc w:val="left"/>
      <w:pPr>
        <w:ind w:left="1418" w:hanging="1418"/>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305039AD"/>
    <w:multiLevelType w:val="multilevel"/>
    <w:tmpl w:val="305039AD"/>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2">
    <w:nsid w:val="33686B56"/>
    <w:multiLevelType w:val="multilevel"/>
    <w:tmpl w:val="33686B56"/>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3">
    <w:nsid w:val="34E56AE9"/>
    <w:multiLevelType w:val="multilevel"/>
    <w:tmpl w:val="34E56AE9"/>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4">
    <w:nsid w:val="369C38D5"/>
    <w:multiLevelType w:val="multilevel"/>
    <w:tmpl w:val="369C38D5"/>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5">
    <w:nsid w:val="38014A9C"/>
    <w:multiLevelType w:val="multilevel"/>
    <w:tmpl w:val="38014A9C"/>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6">
    <w:nsid w:val="41300AE0"/>
    <w:multiLevelType w:val="multilevel"/>
    <w:tmpl w:val="41300AE0"/>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7">
    <w:nsid w:val="41977545"/>
    <w:multiLevelType w:val="multilevel"/>
    <w:tmpl w:val="41977545"/>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8">
    <w:nsid w:val="44C61D98"/>
    <w:multiLevelType w:val="multilevel"/>
    <w:tmpl w:val="44C61D98"/>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29">
    <w:nsid w:val="4581368F"/>
    <w:multiLevelType w:val="multilevel"/>
    <w:tmpl w:val="4581368F"/>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0">
    <w:nsid w:val="46294842"/>
    <w:multiLevelType w:val="multilevel"/>
    <w:tmpl w:val="46294842"/>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1">
    <w:nsid w:val="4B88694B"/>
    <w:multiLevelType w:val="multilevel"/>
    <w:tmpl w:val="4B88694B"/>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2">
    <w:nsid w:val="4C3D13E6"/>
    <w:multiLevelType w:val="multilevel"/>
    <w:tmpl w:val="4C3D13E6"/>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3">
    <w:nsid w:val="53510C2F"/>
    <w:multiLevelType w:val="multilevel"/>
    <w:tmpl w:val="53510C2F"/>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4">
    <w:nsid w:val="560A0532"/>
    <w:multiLevelType w:val="multilevel"/>
    <w:tmpl w:val="560A0532"/>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5">
    <w:nsid w:val="57342AAE"/>
    <w:multiLevelType w:val="multilevel"/>
    <w:tmpl w:val="57342AAE"/>
    <w:lvl w:ilvl="0" w:tentative="0">
      <w:start w:val="1"/>
      <w:numFmt w:val="decimal"/>
      <w:lvlText w:val="%1."/>
      <w:lvlJc w:val="left"/>
      <w:pPr>
        <w:ind w:left="1696" w:hanging="420"/>
      </w:pPr>
    </w:lvl>
    <w:lvl w:ilvl="1" w:tentative="0">
      <w:start w:val="1"/>
      <w:numFmt w:val="lowerLetter"/>
      <w:lvlText w:val="%2)"/>
      <w:lvlJc w:val="left"/>
      <w:pPr>
        <w:ind w:left="2116" w:hanging="420"/>
      </w:pPr>
    </w:lvl>
    <w:lvl w:ilvl="2" w:tentative="0">
      <w:start w:val="1"/>
      <w:numFmt w:val="lowerRoman"/>
      <w:lvlText w:val="%3."/>
      <w:lvlJc w:val="right"/>
      <w:pPr>
        <w:ind w:left="2536" w:hanging="420"/>
      </w:pPr>
    </w:lvl>
    <w:lvl w:ilvl="3" w:tentative="0">
      <w:start w:val="1"/>
      <w:numFmt w:val="decimal"/>
      <w:lvlText w:val="%4."/>
      <w:lvlJc w:val="left"/>
      <w:pPr>
        <w:ind w:left="2956" w:hanging="420"/>
      </w:pPr>
    </w:lvl>
    <w:lvl w:ilvl="4" w:tentative="0">
      <w:start w:val="1"/>
      <w:numFmt w:val="lowerLetter"/>
      <w:lvlText w:val="%5)"/>
      <w:lvlJc w:val="left"/>
      <w:pPr>
        <w:ind w:left="3376" w:hanging="420"/>
      </w:pPr>
    </w:lvl>
    <w:lvl w:ilvl="5" w:tentative="0">
      <w:start w:val="1"/>
      <w:numFmt w:val="lowerRoman"/>
      <w:lvlText w:val="%6."/>
      <w:lvlJc w:val="right"/>
      <w:pPr>
        <w:ind w:left="3796" w:hanging="420"/>
      </w:pPr>
    </w:lvl>
    <w:lvl w:ilvl="6" w:tentative="0">
      <w:start w:val="1"/>
      <w:numFmt w:val="decimal"/>
      <w:lvlText w:val="%7."/>
      <w:lvlJc w:val="left"/>
      <w:pPr>
        <w:ind w:left="4216" w:hanging="420"/>
      </w:pPr>
    </w:lvl>
    <w:lvl w:ilvl="7" w:tentative="0">
      <w:start w:val="1"/>
      <w:numFmt w:val="lowerLetter"/>
      <w:lvlText w:val="%8)"/>
      <w:lvlJc w:val="left"/>
      <w:pPr>
        <w:ind w:left="4636" w:hanging="420"/>
      </w:pPr>
    </w:lvl>
    <w:lvl w:ilvl="8" w:tentative="0">
      <w:start w:val="1"/>
      <w:numFmt w:val="lowerRoman"/>
      <w:lvlText w:val="%9."/>
      <w:lvlJc w:val="right"/>
      <w:pPr>
        <w:ind w:left="5056" w:hanging="420"/>
      </w:pPr>
    </w:lvl>
  </w:abstractNum>
  <w:abstractNum w:abstractNumId="36">
    <w:nsid w:val="59B70566"/>
    <w:multiLevelType w:val="multilevel"/>
    <w:tmpl w:val="59B70566"/>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7">
    <w:nsid w:val="5DCC2469"/>
    <w:multiLevelType w:val="multilevel"/>
    <w:tmpl w:val="5DCC2469"/>
    <w:lvl w:ilvl="0" w:tentative="0">
      <w:start w:val="1"/>
      <w:numFmt w:val="chineseCountingThousand"/>
      <w:suff w:val="nothing"/>
      <w:lvlText w:val="第%1章 "/>
      <w:lvlJc w:val="center"/>
      <w:pPr>
        <w:ind w:firstLine="288"/>
      </w:pPr>
      <w:rPr>
        <w:rFonts w:hint="eastAsia"/>
      </w:rPr>
    </w:lvl>
    <w:lvl w:ilvl="1" w:tentative="0">
      <w:start w:val="1"/>
      <w:numFmt w:val="none"/>
      <w:suff w:val="nothing"/>
      <w:lvlText w:val=""/>
      <w:lvlJc w:val="left"/>
      <w:rPr>
        <w:rFonts w:hint="eastAsia"/>
      </w:rPr>
    </w:lvl>
    <w:lvl w:ilvl="2" w:tentative="0">
      <w:start w:val="1"/>
      <w:numFmt w:val="none"/>
      <w:suff w:val="nothing"/>
      <w:lvlText w:val=""/>
      <w:lvlJc w:val="left"/>
      <w:rPr>
        <w:rFonts w:hint="eastAsia"/>
      </w:rPr>
    </w:lvl>
    <w:lvl w:ilvl="3" w:tentative="0">
      <w:start w:val="1"/>
      <w:numFmt w:val="none"/>
      <w:lvlRestart w:val="0"/>
      <w:suff w:val="nothing"/>
      <w:lvlText w:val=""/>
      <w:lvlJc w:val="left"/>
      <w:rPr>
        <w:rFonts w:hint="eastAsia"/>
      </w:rPr>
    </w:lvl>
    <w:lvl w:ilvl="4" w:tentative="0">
      <w:start w:val="1"/>
      <w:numFmt w:val="none"/>
      <w:pStyle w:val="6"/>
      <w:suff w:val="nothing"/>
      <w:lvlText w:val=""/>
      <w:lvlJc w:val="left"/>
      <w:rPr>
        <w:rFonts w:hint="eastAsia"/>
      </w:rPr>
    </w:lvl>
    <w:lvl w:ilvl="5" w:tentative="0">
      <w:start w:val="1"/>
      <w:numFmt w:val="none"/>
      <w:pStyle w:val="7"/>
      <w:suff w:val="nothing"/>
      <w:lvlText w:val=""/>
      <w:lvlJc w:val="left"/>
      <w:rPr>
        <w:rFonts w:hint="eastAsia"/>
      </w:rPr>
    </w:lvl>
    <w:lvl w:ilvl="6" w:tentative="0">
      <w:start w:val="1"/>
      <w:numFmt w:val="none"/>
      <w:pStyle w:val="8"/>
      <w:suff w:val="nothing"/>
      <w:lvlText w:val=""/>
      <w:lvlJc w:val="left"/>
      <w:rPr>
        <w:rFonts w:hint="eastAsia"/>
      </w:rPr>
    </w:lvl>
    <w:lvl w:ilvl="7" w:tentative="0">
      <w:start w:val="1"/>
      <w:numFmt w:val="none"/>
      <w:pStyle w:val="9"/>
      <w:suff w:val="nothing"/>
      <w:lvlText w:val=""/>
      <w:lvlJc w:val="left"/>
      <w:rPr>
        <w:rFonts w:hint="eastAsia"/>
      </w:rPr>
    </w:lvl>
    <w:lvl w:ilvl="8" w:tentative="0">
      <w:start w:val="1"/>
      <w:numFmt w:val="none"/>
      <w:pStyle w:val="10"/>
      <w:suff w:val="nothing"/>
      <w:lvlText w:val=""/>
      <w:lvlJc w:val="left"/>
      <w:rPr>
        <w:rFonts w:hint="eastAsia"/>
      </w:rPr>
    </w:lvl>
  </w:abstractNum>
  <w:abstractNum w:abstractNumId="38">
    <w:nsid w:val="5E413417"/>
    <w:multiLevelType w:val="multilevel"/>
    <w:tmpl w:val="5E413417"/>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39">
    <w:nsid w:val="5F697EE0"/>
    <w:multiLevelType w:val="multilevel"/>
    <w:tmpl w:val="5F697EE0"/>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0">
    <w:nsid w:val="6195600A"/>
    <w:multiLevelType w:val="multilevel"/>
    <w:tmpl w:val="6195600A"/>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1">
    <w:nsid w:val="63161328"/>
    <w:multiLevelType w:val="multilevel"/>
    <w:tmpl w:val="63161328"/>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2">
    <w:nsid w:val="649D2436"/>
    <w:multiLevelType w:val="multilevel"/>
    <w:tmpl w:val="649D2436"/>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3">
    <w:nsid w:val="67BE255B"/>
    <w:multiLevelType w:val="multilevel"/>
    <w:tmpl w:val="67BE255B"/>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4">
    <w:nsid w:val="67CC46FA"/>
    <w:multiLevelType w:val="multilevel"/>
    <w:tmpl w:val="67CC46FA"/>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5">
    <w:nsid w:val="6A0A603A"/>
    <w:multiLevelType w:val="multilevel"/>
    <w:tmpl w:val="6A0A603A"/>
    <w:lvl w:ilvl="0" w:tentative="0">
      <w:start w:val="1"/>
      <w:numFmt w:val="decimal"/>
      <w:lvlText w:val="第%1章 "/>
      <w:lvlJc w:val="left"/>
      <w:pPr>
        <w:ind w:left="4677" w:hanging="425"/>
      </w:pPr>
      <w:rPr>
        <w:rFonts w:hint="eastAsia"/>
      </w:rPr>
    </w:lvl>
    <w:lvl w:ilvl="1" w:tentative="0">
      <w:start w:val="1"/>
      <w:numFmt w:val="decimal"/>
      <w:lvlText w:val="%1.%2"/>
      <w:lvlJc w:val="left"/>
      <w:pPr>
        <w:ind w:left="4370" w:hanging="400"/>
      </w:pPr>
      <w:rPr>
        <w:rFonts w:hint="eastAsia" w:ascii="Times New Roman" w:hAnsi="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tentative="0">
      <w:start w:val="1"/>
      <w:numFmt w:val="decimal"/>
      <w:lvlText w:val="%1.%2.%3"/>
      <w:lvlJc w:val="left"/>
      <w:pPr>
        <w:ind w:left="1985" w:hanging="1418"/>
      </w:pPr>
      <w:rPr>
        <w:rFonts w:hint="eastAsia"/>
      </w:rPr>
    </w:lvl>
    <w:lvl w:ilvl="3" w:tentative="0">
      <w:start w:val="1"/>
      <w:numFmt w:val="decimal"/>
      <w:lvlText w:val="%1.%2.%3.%4"/>
      <w:lvlJc w:val="left"/>
      <w:pPr>
        <w:ind w:left="1984" w:hanging="1984"/>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6">
    <w:nsid w:val="6BEA45EC"/>
    <w:multiLevelType w:val="multilevel"/>
    <w:tmpl w:val="6BEA45EC"/>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suff w:val="space"/>
      <w:lvlText w:val="3.6.%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7">
    <w:nsid w:val="6C4A0F5A"/>
    <w:multiLevelType w:val="multilevel"/>
    <w:tmpl w:val="6C4A0F5A"/>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suff w:val="space"/>
      <w:lvlText w:val="3.3.%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8">
    <w:nsid w:val="6F93332F"/>
    <w:multiLevelType w:val="multilevel"/>
    <w:tmpl w:val="6F93332F"/>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49">
    <w:nsid w:val="703165D5"/>
    <w:multiLevelType w:val="multilevel"/>
    <w:tmpl w:val="703165D5"/>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0">
    <w:nsid w:val="78D02037"/>
    <w:multiLevelType w:val="multilevel"/>
    <w:tmpl w:val="78D02037"/>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1">
    <w:nsid w:val="795053C8"/>
    <w:multiLevelType w:val="multilevel"/>
    <w:tmpl w:val="795053C8"/>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2">
    <w:nsid w:val="7A490ABD"/>
    <w:multiLevelType w:val="multilevel"/>
    <w:tmpl w:val="7A490ABD"/>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3">
    <w:nsid w:val="7AB71ECF"/>
    <w:multiLevelType w:val="multilevel"/>
    <w:tmpl w:val="7AB71ECF"/>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4">
    <w:nsid w:val="7B762E27"/>
    <w:multiLevelType w:val="multilevel"/>
    <w:tmpl w:val="7B762E27"/>
    <w:lvl w:ilvl="0" w:tentative="0">
      <w:start w:val="1"/>
      <w:numFmt w:val="decimal"/>
      <w:lvlText w:val="%1."/>
      <w:lvlJc w:val="left"/>
      <w:pPr>
        <w:ind w:left="3360" w:hanging="420"/>
      </w:pPr>
      <w:rPr>
        <w:rFonts w:hint="eastAsia"/>
      </w:r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5">
    <w:nsid w:val="7D452092"/>
    <w:multiLevelType w:val="multilevel"/>
    <w:tmpl w:val="7D452092"/>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6">
    <w:nsid w:val="7D5C7489"/>
    <w:multiLevelType w:val="multilevel"/>
    <w:tmpl w:val="7D5C7489"/>
    <w:lvl w:ilvl="0" w:tentative="0">
      <w:start w:val="1"/>
      <w:numFmt w:val="decimal"/>
      <w:lvlText w:val="%1."/>
      <w:lvlJc w:val="left"/>
      <w:pPr>
        <w:ind w:left="3360" w:hanging="420"/>
      </w:pPr>
    </w:lvl>
    <w:lvl w:ilvl="1" w:tentative="0">
      <w:start w:val="1"/>
      <w:numFmt w:val="lowerLetter"/>
      <w:lvlText w:val="%2)"/>
      <w:lvlJc w:val="left"/>
      <w:pPr>
        <w:ind w:left="3780" w:hanging="420"/>
      </w:pPr>
    </w:lvl>
    <w:lvl w:ilvl="2" w:tentative="0">
      <w:start w:val="1"/>
      <w:numFmt w:val="lowerRoman"/>
      <w:lvlText w:val="%3."/>
      <w:lvlJc w:val="right"/>
      <w:pPr>
        <w:ind w:left="4200" w:hanging="420"/>
      </w:pPr>
    </w:lvl>
    <w:lvl w:ilvl="3" w:tentative="0">
      <w:start w:val="1"/>
      <w:numFmt w:val="decimal"/>
      <w:lvlText w:val="%4."/>
      <w:lvlJc w:val="left"/>
      <w:pPr>
        <w:ind w:left="4620" w:hanging="420"/>
      </w:pPr>
    </w:lvl>
    <w:lvl w:ilvl="4" w:tentative="0">
      <w:start w:val="1"/>
      <w:numFmt w:val="lowerLetter"/>
      <w:lvlText w:val="%5)"/>
      <w:lvlJc w:val="left"/>
      <w:pPr>
        <w:ind w:left="5040" w:hanging="420"/>
      </w:pPr>
    </w:lvl>
    <w:lvl w:ilvl="5" w:tentative="0">
      <w:start w:val="1"/>
      <w:numFmt w:val="lowerRoman"/>
      <w:lvlText w:val="%6."/>
      <w:lvlJc w:val="right"/>
      <w:pPr>
        <w:ind w:left="5460" w:hanging="420"/>
      </w:pPr>
    </w:lvl>
    <w:lvl w:ilvl="6" w:tentative="0">
      <w:start w:val="1"/>
      <w:numFmt w:val="decimal"/>
      <w:lvlText w:val="%7."/>
      <w:lvlJc w:val="left"/>
      <w:pPr>
        <w:ind w:left="5880" w:hanging="420"/>
      </w:pPr>
    </w:lvl>
    <w:lvl w:ilvl="7" w:tentative="0">
      <w:start w:val="1"/>
      <w:numFmt w:val="lowerLetter"/>
      <w:lvlText w:val="%8)"/>
      <w:lvlJc w:val="left"/>
      <w:pPr>
        <w:ind w:left="6300" w:hanging="420"/>
      </w:pPr>
    </w:lvl>
    <w:lvl w:ilvl="8" w:tentative="0">
      <w:start w:val="1"/>
      <w:numFmt w:val="lowerRoman"/>
      <w:lvlText w:val="%9."/>
      <w:lvlJc w:val="right"/>
      <w:pPr>
        <w:ind w:left="6720" w:hanging="420"/>
      </w:pPr>
    </w:lvl>
  </w:abstractNum>
  <w:abstractNum w:abstractNumId="57">
    <w:nsid w:val="7ED04AE0"/>
    <w:multiLevelType w:val="multilevel"/>
    <w:tmpl w:val="7ED04AE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EF72DE0"/>
    <w:multiLevelType w:val="multilevel"/>
    <w:tmpl w:val="7EF72DE0"/>
    <w:lvl w:ilvl="0" w:tentative="0">
      <w:start w:val="1"/>
      <w:numFmt w:val="decimal"/>
      <w:lvlText w:val="%1."/>
      <w:lvlJc w:val="left"/>
      <w:pPr>
        <w:ind w:left="3360" w:hanging="420"/>
      </w:pPr>
      <w:rPr>
        <w:rFonts w:hint="eastAsia"/>
      </w:rPr>
    </w:lvl>
    <w:lvl w:ilvl="1" w:tentative="0">
      <w:start w:val="1"/>
      <w:numFmt w:val="lowerLetter"/>
      <w:lvlText w:val="%2)"/>
      <w:lvlJc w:val="left"/>
      <w:pPr>
        <w:ind w:left="3780" w:hanging="420"/>
      </w:pPr>
      <w:rPr>
        <w:rFonts w:hint="eastAsia"/>
      </w:rPr>
    </w:lvl>
    <w:lvl w:ilvl="2" w:tentative="0">
      <w:start w:val="1"/>
      <w:numFmt w:val="lowerRoman"/>
      <w:lvlText w:val="%3."/>
      <w:lvlJc w:val="right"/>
      <w:pPr>
        <w:ind w:left="4200" w:hanging="420"/>
      </w:pPr>
      <w:rPr>
        <w:rFonts w:hint="eastAsia"/>
      </w:rPr>
    </w:lvl>
    <w:lvl w:ilvl="3" w:tentative="0">
      <w:start w:val="1"/>
      <w:numFmt w:val="decimal"/>
      <w:lvlText w:val="%4."/>
      <w:lvlJc w:val="left"/>
      <w:pPr>
        <w:ind w:left="4620" w:hanging="420"/>
      </w:pPr>
      <w:rPr>
        <w:rFonts w:hint="eastAsia"/>
      </w:rPr>
    </w:lvl>
    <w:lvl w:ilvl="4" w:tentative="0">
      <w:start w:val="1"/>
      <w:numFmt w:val="lowerLetter"/>
      <w:lvlText w:val="%5)"/>
      <w:lvlJc w:val="left"/>
      <w:pPr>
        <w:ind w:left="5040" w:hanging="420"/>
      </w:pPr>
      <w:rPr>
        <w:rFonts w:hint="eastAsia"/>
      </w:rPr>
    </w:lvl>
    <w:lvl w:ilvl="5" w:tentative="0">
      <w:start w:val="1"/>
      <w:numFmt w:val="lowerRoman"/>
      <w:lvlText w:val="%6."/>
      <w:lvlJc w:val="right"/>
      <w:pPr>
        <w:ind w:left="5460" w:hanging="420"/>
      </w:pPr>
      <w:rPr>
        <w:rFonts w:hint="eastAsia"/>
      </w:rPr>
    </w:lvl>
    <w:lvl w:ilvl="6" w:tentative="0">
      <w:start w:val="1"/>
      <w:numFmt w:val="decimal"/>
      <w:lvlText w:val="%7."/>
      <w:lvlJc w:val="left"/>
      <w:pPr>
        <w:ind w:left="5880" w:hanging="420"/>
      </w:pPr>
      <w:rPr>
        <w:rFonts w:hint="eastAsia"/>
      </w:rPr>
    </w:lvl>
    <w:lvl w:ilvl="7" w:tentative="0">
      <w:start w:val="1"/>
      <w:numFmt w:val="lowerLetter"/>
      <w:lvlText w:val="%8)"/>
      <w:lvlJc w:val="left"/>
      <w:pPr>
        <w:ind w:left="6300" w:hanging="420"/>
      </w:pPr>
      <w:rPr>
        <w:rFonts w:hint="eastAsia"/>
      </w:rPr>
    </w:lvl>
    <w:lvl w:ilvl="8" w:tentative="0">
      <w:start w:val="1"/>
      <w:numFmt w:val="lowerRoman"/>
      <w:lvlText w:val="%9."/>
      <w:lvlJc w:val="right"/>
      <w:pPr>
        <w:ind w:left="6720" w:hanging="420"/>
      </w:pPr>
      <w:rPr>
        <w:rFonts w:hint="eastAsia"/>
      </w:rPr>
    </w:lvl>
  </w:abstractNum>
  <w:num w:numId="1">
    <w:abstractNumId w:val="37"/>
  </w:num>
  <w:num w:numId="2">
    <w:abstractNumId w:val="20"/>
  </w:num>
  <w:num w:numId="3">
    <w:abstractNumId w:val="45"/>
  </w:num>
  <w:num w:numId="4">
    <w:abstractNumId w:val="16"/>
  </w:num>
  <w:num w:numId="5">
    <w:abstractNumId w:val="5"/>
  </w:num>
  <w:num w:numId="6">
    <w:abstractNumId w:val="32"/>
  </w:num>
  <w:num w:numId="7">
    <w:abstractNumId w:val="45"/>
    <w:lvlOverride w:ilvl="0">
      <w:lvl w:ilvl="0" w:tentative="1">
        <w:start w:val="1"/>
        <w:numFmt w:val="decimal"/>
        <w:isLgl/>
        <w:lvlText w:val="第%1章 "/>
        <w:lvlJc w:val="left"/>
        <w:pPr>
          <w:ind w:left="4677" w:hanging="425"/>
        </w:pPr>
        <w:rPr>
          <w:rFonts w:hint="eastAsia"/>
        </w:rPr>
      </w:lvl>
    </w:lvlOverride>
    <w:lvlOverride w:ilvl="1">
      <w:lvl w:ilvl="1" w:tentative="1">
        <w:start w:val="1"/>
        <w:numFmt w:val="decimal"/>
        <w:lvlText w:val="%1.%2"/>
        <w:lvlJc w:val="left"/>
        <w:pPr>
          <w:ind w:left="4370" w:hanging="400"/>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tentative="1">
        <w:start w:val="1"/>
        <w:numFmt w:val="decimal"/>
        <w:lvlText w:val="%1.%2.%3"/>
        <w:lvlJc w:val="left"/>
        <w:pPr>
          <w:ind w:left="1985" w:hanging="1418"/>
        </w:pPr>
        <w:rPr>
          <w:rFonts w:hint="eastAsia"/>
        </w:rPr>
      </w:lvl>
    </w:lvlOverride>
    <w:lvlOverride w:ilvl="3">
      <w:lvl w:ilvl="3" w:tentative="1">
        <w:start w:val="1"/>
        <w:numFmt w:val="decimal"/>
        <w:lvlText w:val="%1.%2.%3.%4"/>
        <w:lvlJc w:val="left"/>
        <w:pPr>
          <w:ind w:left="1984" w:hanging="1984"/>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8">
    <w:abstractNumId w:val="2"/>
  </w:num>
  <w:num w:numId="9">
    <w:abstractNumId w:val="15"/>
  </w:num>
  <w:num w:numId="10">
    <w:abstractNumId w:val="11"/>
  </w:num>
  <w:num w:numId="11">
    <w:abstractNumId w:val="27"/>
  </w:num>
  <w:num w:numId="12">
    <w:abstractNumId w:val="43"/>
  </w:num>
  <w:num w:numId="13">
    <w:abstractNumId w:val="24"/>
  </w:num>
  <w:num w:numId="14">
    <w:abstractNumId w:val="42"/>
  </w:num>
  <w:num w:numId="15">
    <w:abstractNumId w:val="44"/>
  </w:num>
  <w:num w:numId="16">
    <w:abstractNumId w:val="10"/>
  </w:num>
  <w:num w:numId="17">
    <w:abstractNumId w:val="50"/>
  </w:num>
  <w:num w:numId="18">
    <w:abstractNumId w:val="33"/>
  </w:num>
  <w:num w:numId="19">
    <w:abstractNumId w:val="0"/>
  </w:num>
  <w:num w:numId="20">
    <w:abstractNumId w:val="31"/>
  </w:num>
  <w:num w:numId="21">
    <w:abstractNumId w:val="30"/>
  </w:num>
  <w:num w:numId="22">
    <w:abstractNumId w:val="26"/>
  </w:num>
  <w:num w:numId="23">
    <w:abstractNumId w:val="51"/>
  </w:num>
  <w:num w:numId="24">
    <w:abstractNumId w:val="23"/>
  </w:num>
  <w:num w:numId="25">
    <w:abstractNumId w:val="47"/>
  </w:num>
  <w:num w:numId="26">
    <w:abstractNumId w:val="45"/>
    <w:lvlOverride w:ilvl="0">
      <w:lvl w:ilvl="0" w:tentative="1">
        <w:start w:val="1"/>
        <w:numFmt w:val="decimal"/>
        <w:lvlText w:val="第%1章 "/>
        <w:lvlJc w:val="left"/>
        <w:pPr>
          <w:ind w:left="4677" w:hanging="425"/>
        </w:pPr>
        <w:rPr>
          <w:rFonts w:hint="eastAsia"/>
        </w:rPr>
      </w:lvl>
    </w:lvlOverride>
    <w:lvlOverride w:ilvl="1">
      <w:lvl w:ilvl="1" w:tentative="1">
        <w:start w:val="1"/>
        <w:numFmt w:val="decimal"/>
        <w:lvlText w:val="%1.%2"/>
        <w:lvlJc w:val="left"/>
        <w:pPr>
          <w:ind w:left="4370" w:hanging="400"/>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tentative="1">
        <w:start w:val="1"/>
        <w:numFmt w:val="decimal"/>
        <w:suff w:val="space"/>
        <w:lvlText w:val="%1.%2.%3"/>
        <w:lvlJc w:val="left"/>
        <w:pPr>
          <w:ind w:left="1985" w:hanging="1418"/>
        </w:pPr>
        <w:rPr>
          <w:rFonts w:hint="eastAsia"/>
        </w:rPr>
      </w:lvl>
    </w:lvlOverride>
    <w:lvlOverride w:ilvl="3">
      <w:lvl w:ilvl="3" w:tentative="1">
        <w:start w:val="1"/>
        <w:numFmt w:val="decimal"/>
        <w:lvlText w:val="%1.%2.%3.%4"/>
        <w:lvlJc w:val="left"/>
        <w:pPr>
          <w:ind w:left="1984" w:hanging="1984"/>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7">
    <w:abstractNumId w:val="45"/>
    <w:lvlOverride w:ilvl="0">
      <w:lvl w:ilvl="0" w:tentative="1">
        <w:start w:val="1"/>
        <w:numFmt w:val="decimal"/>
        <w:lvlText w:val="第%1章 "/>
        <w:lvlJc w:val="left"/>
        <w:pPr>
          <w:ind w:left="4677" w:hanging="425"/>
        </w:pPr>
        <w:rPr>
          <w:rFonts w:hint="eastAsia"/>
        </w:rPr>
      </w:lvl>
    </w:lvlOverride>
    <w:lvlOverride w:ilvl="1">
      <w:lvl w:ilvl="1" w:tentative="1">
        <w:start w:val="1"/>
        <w:numFmt w:val="decimal"/>
        <w:lvlText w:val="%1.%2"/>
        <w:lvlJc w:val="left"/>
        <w:pPr>
          <w:ind w:left="4370" w:hanging="400"/>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tentative="1">
        <w:start w:val="1"/>
        <w:numFmt w:val="decimal"/>
        <w:suff w:val="space"/>
        <w:lvlText w:val="%1.%2.%3"/>
        <w:lvlJc w:val="left"/>
        <w:pPr>
          <w:ind w:left="1985" w:hanging="1418"/>
        </w:pPr>
        <w:rPr>
          <w:rFonts w:hint="eastAsia"/>
        </w:rPr>
      </w:lvl>
    </w:lvlOverride>
    <w:lvlOverride w:ilvl="3">
      <w:lvl w:ilvl="3" w:tentative="1">
        <w:start w:val="1"/>
        <w:numFmt w:val="decimal"/>
        <w:lvlText w:val="%1.%2.%3.%4"/>
        <w:lvlJc w:val="left"/>
        <w:pPr>
          <w:ind w:left="1984" w:hanging="1984"/>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56"/>
  </w:num>
  <w:num w:numId="31">
    <w:abstractNumId w:val="39"/>
  </w:num>
  <w:num w:numId="32">
    <w:abstractNumId w:val="38"/>
  </w:num>
  <w:num w:numId="33">
    <w:abstractNumId w:val="55"/>
  </w:num>
  <w:num w:numId="34">
    <w:abstractNumId w:val="41"/>
  </w:num>
  <w:num w:numId="35">
    <w:abstractNumId w:val="45"/>
    <w:lvlOverride w:ilvl="0">
      <w:lvl w:ilvl="0" w:tentative="1">
        <w:start w:val="1"/>
        <w:numFmt w:val="decimal"/>
        <w:lvlText w:val="第%1章 "/>
        <w:lvlJc w:val="left"/>
        <w:pPr>
          <w:ind w:left="4677" w:hanging="425"/>
        </w:pPr>
        <w:rPr>
          <w:rFonts w:hint="eastAsia"/>
        </w:rPr>
      </w:lvl>
    </w:lvlOverride>
    <w:lvlOverride w:ilvl="1">
      <w:lvl w:ilvl="1" w:tentative="1">
        <w:start w:val="1"/>
        <w:numFmt w:val="decimal"/>
        <w:lvlText w:val="%1.%2"/>
        <w:lvlJc w:val="left"/>
        <w:pPr>
          <w:ind w:left="4370" w:hanging="400"/>
        </w:pPr>
        <w:rPr>
          <w:rFonts w:hint="eastAsia" w:ascii="Times New Roman" w:hAnsi="Times New Roman"/>
          <w:b w:val="0"/>
          <w:bCs w:val="0"/>
          <w:i w:val="0"/>
          <w:iCs w:val="0"/>
          <w:caps w:val="0"/>
          <w:smallCaps w:val="0"/>
          <w:strike w:val="0"/>
          <w:dstrike w:val="0"/>
          <w:vanish w:val="0"/>
          <w:spacing w:val="0"/>
          <w:position w:val="0"/>
          <w:u w:val="none"/>
          <w:vertAlign w:val="baseline"/>
        </w:rPr>
      </w:lvl>
    </w:lvlOverride>
    <w:lvlOverride w:ilvl="2">
      <w:lvl w:ilvl="2" w:tentative="1">
        <w:start w:val="1"/>
        <w:numFmt w:val="decimal"/>
        <w:suff w:val="space"/>
        <w:lvlText w:val="%1.%2.%3"/>
        <w:lvlJc w:val="left"/>
        <w:pPr>
          <w:ind w:left="1985" w:hanging="1418"/>
        </w:pPr>
        <w:rPr>
          <w:rFonts w:hint="eastAsia"/>
        </w:rPr>
      </w:lvl>
    </w:lvlOverride>
    <w:lvlOverride w:ilvl="3">
      <w:lvl w:ilvl="3" w:tentative="1">
        <w:start w:val="1"/>
        <w:numFmt w:val="decimal"/>
        <w:lvlText w:val="%1.%2.%3.%4"/>
        <w:lvlJc w:val="left"/>
        <w:pPr>
          <w:ind w:left="1984" w:hanging="1984"/>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6">
    <w:abstractNumId w:val="45"/>
    <w:lvlOverride w:ilvl="0">
      <w:lvl w:ilvl="0" w:tentative="1">
        <w:start w:val="1"/>
        <w:numFmt w:val="decimal"/>
        <w:lvlText w:val="第%1章 "/>
        <w:lvlJc w:val="left"/>
        <w:pPr>
          <w:ind w:left="4677" w:hanging="425"/>
        </w:pPr>
        <w:rPr>
          <w:rFonts w:hint="eastAsia"/>
        </w:rPr>
      </w:lvl>
    </w:lvlOverride>
    <w:lvlOverride w:ilvl="1">
      <w:lvl w:ilvl="1" w:tentative="1">
        <w:start w:val="1"/>
        <w:numFmt w:val="decimal"/>
        <w:lvlText w:val="%1.%2"/>
        <w:lvlJc w:val="left"/>
        <w:pPr>
          <w:ind w:left="4370" w:hanging="400"/>
        </w:pPr>
        <w:rPr>
          <w:rFonts w:hint="eastAsia" w:ascii="Times New Roman" w:hAnsi="Times New Roman"/>
          <w:b w:val="0"/>
          <w:bCs w:val="0"/>
          <w:i w:val="0"/>
          <w:iCs w:val="0"/>
          <w:caps w:val="0"/>
          <w:smallCaps w:val="0"/>
          <w:strike w:val="0"/>
          <w:dstrike w:val="0"/>
          <w:outline w:val="0"/>
          <w:shadow w:val="0"/>
          <w:emboss w:val="0"/>
          <w:imprint w:val="0"/>
          <w:vanish w:val="0"/>
          <w:spacing w:val="0"/>
          <w:position w:val="0"/>
          <w:u w:val="none"/>
          <w:vertAlign w:val="baseline"/>
        </w:rPr>
      </w:lvl>
    </w:lvlOverride>
    <w:lvlOverride w:ilvl="2">
      <w:lvl w:ilvl="2" w:tentative="1">
        <w:start w:val="1"/>
        <w:numFmt w:val="decimal"/>
        <w:suff w:val="space"/>
        <w:lvlText w:val="%1.%2.%3"/>
        <w:lvlJc w:val="left"/>
        <w:pPr>
          <w:ind w:left="1985" w:hanging="1418"/>
        </w:pPr>
        <w:rPr>
          <w:rFonts w:hint="eastAsia"/>
        </w:rPr>
      </w:lvl>
    </w:lvlOverride>
    <w:lvlOverride w:ilvl="3">
      <w:lvl w:ilvl="3" w:tentative="1">
        <w:start w:val="1"/>
        <w:numFmt w:val="decimal"/>
        <w:lvlText w:val="%1.%2.%3.%4"/>
        <w:lvlJc w:val="left"/>
        <w:pPr>
          <w:ind w:left="1984" w:hanging="1984"/>
        </w:pPr>
        <w:rPr>
          <w:rFonts w:hint="eastAsia"/>
        </w:rPr>
      </w:lvl>
    </w:lvlOverride>
    <w:lvlOverride w:ilvl="4">
      <w:lvl w:ilvl="4" w:tentative="1">
        <w:start w:val="1"/>
        <w:numFmt w:val="decimal"/>
        <w:lvlText w:val="%1.%2.%3.%4.%5"/>
        <w:lvlJc w:val="left"/>
        <w:pPr>
          <w:ind w:left="2551" w:hanging="850"/>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7">
    <w:abstractNumId w:val="8"/>
  </w:num>
  <w:num w:numId="38">
    <w:abstractNumId w:val="28"/>
  </w:num>
  <w:num w:numId="39">
    <w:abstractNumId w:val="4"/>
  </w:num>
  <w:num w:numId="40">
    <w:abstractNumId w:val="6"/>
  </w:num>
  <w:num w:numId="41">
    <w:abstractNumId w:val="54"/>
  </w:num>
  <w:num w:numId="42">
    <w:abstractNumId w:val="58"/>
  </w:num>
  <w:num w:numId="43">
    <w:abstractNumId w:val="13"/>
  </w:num>
  <w:num w:numId="44">
    <w:abstractNumId w:val="29"/>
  </w:num>
  <w:num w:numId="45">
    <w:abstractNumId w:val="9"/>
  </w:num>
  <w:num w:numId="46">
    <w:abstractNumId w:val="48"/>
  </w:num>
  <w:num w:numId="47">
    <w:abstractNumId w:val="53"/>
  </w:num>
  <w:num w:numId="48">
    <w:abstractNumId w:val="14"/>
  </w:num>
  <w:num w:numId="49">
    <w:abstractNumId w:val="1"/>
  </w:num>
  <w:num w:numId="50">
    <w:abstractNumId w:val="3"/>
  </w:num>
  <w:num w:numId="51">
    <w:abstractNumId w:val="7"/>
  </w:num>
  <w:num w:numId="52">
    <w:abstractNumId w:val="21"/>
  </w:num>
  <w:num w:numId="53">
    <w:abstractNumId w:val="17"/>
  </w:num>
  <w:num w:numId="54">
    <w:abstractNumId w:val="18"/>
  </w:num>
  <w:num w:numId="55">
    <w:abstractNumId w:val="49"/>
  </w:num>
  <w:num w:numId="56">
    <w:abstractNumId w:val="40"/>
  </w:num>
  <w:num w:numId="57">
    <w:abstractNumId w:val="25"/>
  </w:num>
  <w:num w:numId="58">
    <w:abstractNumId w:val="52"/>
  </w:num>
  <w:num w:numId="59">
    <w:abstractNumId w:val="57"/>
  </w:num>
  <w:num w:numId="60">
    <w:abstractNumId w:val="36"/>
  </w:num>
  <w:num w:numId="61">
    <w:abstractNumId w:val="22"/>
  </w:num>
  <w:num w:numId="62">
    <w:abstractNumId w:val="35"/>
  </w:num>
  <w:num w:numId="63">
    <w:abstractNumId w:val="19"/>
  </w:num>
  <w:num w:numId="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true"/>
  <w:bordersDoNotSurroundFooter w:val="true"/>
  <w:documentProtection w:enforcement="0"/>
  <w:defaultTabStop w:val="5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hmNTFmYTE4ZDgyNjc4NzI0YTMwYzk0ZTliYTljN2IifQ=="/>
  </w:docVars>
  <w:rsids>
    <w:rsidRoot w:val="00CA1238"/>
    <w:rsid w:val="000033DF"/>
    <w:rsid w:val="000041B2"/>
    <w:rsid w:val="00004960"/>
    <w:rsid w:val="00004A44"/>
    <w:rsid w:val="000067B4"/>
    <w:rsid w:val="00010AC0"/>
    <w:rsid w:val="00014E72"/>
    <w:rsid w:val="000302EA"/>
    <w:rsid w:val="00041467"/>
    <w:rsid w:val="00043803"/>
    <w:rsid w:val="0004409E"/>
    <w:rsid w:val="00044B6B"/>
    <w:rsid w:val="00045BF3"/>
    <w:rsid w:val="00047298"/>
    <w:rsid w:val="0004754A"/>
    <w:rsid w:val="00072E9B"/>
    <w:rsid w:val="00076539"/>
    <w:rsid w:val="00080C62"/>
    <w:rsid w:val="00081C0E"/>
    <w:rsid w:val="0008418B"/>
    <w:rsid w:val="000844A1"/>
    <w:rsid w:val="00091ED9"/>
    <w:rsid w:val="00097B4F"/>
    <w:rsid w:val="000A2750"/>
    <w:rsid w:val="000A55B8"/>
    <w:rsid w:val="000A5E99"/>
    <w:rsid w:val="000B2DA7"/>
    <w:rsid w:val="000B3910"/>
    <w:rsid w:val="000C5149"/>
    <w:rsid w:val="000C676F"/>
    <w:rsid w:val="000D0F5F"/>
    <w:rsid w:val="000D3509"/>
    <w:rsid w:val="000D69A2"/>
    <w:rsid w:val="000E58D9"/>
    <w:rsid w:val="000E7C23"/>
    <w:rsid w:val="0010656B"/>
    <w:rsid w:val="0011504C"/>
    <w:rsid w:val="00115927"/>
    <w:rsid w:val="00117852"/>
    <w:rsid w:val="001231BC"/>
    <w:rsid w:val="001237B9"/>
    <w:rsid w:val="001308DD"/>
    <w:rsid w:val="00131853"/>
    <w:rsid w:val="00132898"/>
    <w:rsid w:val="001361DD"/>
    <w:rsid w:val="00136B27"/>
    <w:rsid w:val="00141661"/>
    <w:rsid w:val="00142D90"/>
    <w:rsid w:val="00143E5C"/>
    <w:rsid w:val="001448E0"/>
    <w:rsid w:val="001450B9"/>
    <w:rsid w:val="00152C45"/>
    <w:rsid w:val="00152EBF"/>
    <w:rsid w:val="00153932"/>
    <w:rsid w:val="0015485A"/>
    <w:rsid w:val="00155D20"/>
    <w:rsid w:val="00171D28"/>
    <w:rsid w:val="00181A40"/>
    <w:rsid w:val="00184666"/>
    <w:rsid w:val="00184918"/>
    <w:rsid w:val="00186095"/>
    <w:rsid w:val="00187AF4"/>
    <w:rsid w:val="001908B9"/>
    <w:rsid w:val="00190A13"/>
    <w:rsid w:val="00190D4A"/>
    <w:rsid w:val="00190E19"/>
    <w:rsid w:val="00193723"/>
    <w:rsid w:val="00193896"/>
    <w:rsid w:val="00196B87"/>
    <w:rsid w:val="0019727C"/>
    <w:rsid w:val="001A38DD"/>
    <w:rsid w:val="001A4273"/>
    <w:rsid w:val="001B2605"/>
    <w:rsid w:val="001B4229"/>
    <w:rsid w:val="001C0FDF"/>
    <w:rsid w:val="001C3DB7"/>
    <w:rsid w:val="001C54A9"/>
    <w:rsid w:val="001C5CB2"/>
    <w:rsid w:val="001C7A88"/>
    <w:rsid w:val="001D7B8F"/>
    <w:rsid w:val="001E7F42"/>
    <w:rsid w:val="001F03A6"/>
    <w:rsid w:val="001F2076"/>
    <w:rsid w:val="001F2BEF"/>
    <w:rsid w:val="00200951"/>
    <w:rsid w:val="00200B55"/>
    <w:rsid w:val="0020293E"/>
    <w:rsid w:val="00204A1C"/>
    <w:rsid w:val="00205D90"/>
    <w:rsid w:val="00212A64"/>
    <w:rsid w:val="002222C8"/>
    <w:rsid w:val="002228F6"/>
    <w:rsid w:val="002235C8"/>
    <w:rsid w:val="00223C80"/>
    <w:rsid w:val="002356DF"/>
    <w:rsid w:val="00246E1E"/>
    <w:rsid w:val="00252973"/>
    <w:rsid w:val="00257234"/>
    <w:rsid w:val="00260C45"/>
    <w:rsid w:val="00263B07"/>
    <w:rsid w:val="002642B6"/>
    <w:rsid w:val="002650FC"/>
    <w:rsid w:val="002722AA"/>
    <w:rsid w:val="00282165"/>
    <w:rsid w:val="00287F69"/>
    <w:rsid w:val="00291576"/>
    <w:rsid w:val="00292A7B"/>
    <w:rsid w:val="00295FB1"/>
    <w:rsid w:val="002A0784"/>
    <w:rsid w:val="002A1334"/>
    <w:rsid w:val="002A2F16"/>
    <w:rsid w:val="002A3BB9"/>
    <w:rsid w:val="002A3C68"/>
    <w:rsid w:val="002A4BF7"/>
    <w:rsid w:val="002B22CA"/>
    <w:rsid w:val="002B24C4"/>
    <w:rsid w:val="002B2BA7"/>
    <w:rsid w:val="002B597E"/>
    <w:rsid w:val="002C50AC"/>
    <w:rsid w:val="002C55CA"/>
    <w:rsid w:val="002D6723"/>
    <w:rsid w:val="002E6204"/>
    <w:rsid w:val="002F4D19"/>
    <w:rsid w:val="00303ADB"/>
    <w:rsid w:val="00304A55"/>
    <w:rsid w:val="003054E4"/>
    <w:rsid w:val="00305600"/>
    <w:rsid w:val="00305716"/>
    <w:rsid w:val="00310D03"/>
    <w:rsid w:val="0031244F"/>
    <w:rsid w:val="00312C13"/>
    <w:rsid w:val="003136AD"/>
    <w:rsid w:val="00315FEE"/>
    <w:rsid w:val="003200C5"/>
    <w:rsid w:val="00323529"/>
    <w:rsid w:val="00326B26"/>
    <w:rsid w:val="00327F09"/>
    <w:rsid w:val="0033128D"/>
    <w:rsid w:val="003336A8"/>
    <w:rsid w:val="003343B5"/>
    <w:rsid w:val="00337503"/>
    <w:rsid w:val="0034251F"/>
    <w:rsid w:val="00343FE8"/>
    <w:rsid w:val="00355058"/>
    <w:rsid w:val="003567AF"/>
    <w:rsid w:val="003607C0"/>
    <w:rsid w:val="0036176D"/>
    <w:rsid w:val="00362D39"/>
    <w:rsid w:val="003710DB"/>
    <w:rsid w:val="00372A3F"/>
    <w:rsid w:val="0037524B"/>
    <w:rsid w:val="00375973"/>
    <w:rsid w:val="00377DCF"/>
    <w:rsid w:val="003849F7"/>
    <w:rsid w:val="00391B8C"/>
    <w:rsid w:val="00393938"/>
    <w:rsid w:val="00397EAF"/>
    <w:rsid w:val="003A4C09"/>
    <w:rsid w:val="003A4CCD"/>
    <w:rsid w:val="003A72C6"/>
    <w:rsid w:val="003B2974"/>
    <w:rsid w:val="003B6BC4"/>
    <w:rsid w:val="003C312E"/>
    <w:rsid w:val="003C3C18"/>
    <w:rsid w:val="003C57E3"/>
    <w:rsid w:val="003C7886"/>
    <w:rsid w:val="003D0777"/>
    <w:rsid w:val="003D7723"/>
    <w:rsid w:val="003E19E2"/>
    <w:rsid w:val="003E1C53"/>
    <w:rsid w:val="003E23AE"/>
    <w:rsid w:val="003E309E"/>
    <w:rsid w:val="003E4AB7"/>
    <w:rsid w:val="003E7F40"/>
    <w:rsid w:val="003F2525"/>
    <w:rsid w:val="003F5CB1"/>
    <w:rsid w:val="003F63F3"/>
    <w:rsid w:val="004020F4"/>
    <w:rsid w:val="00414118"/>
    <w:rsid w:val="00416937"/>
    <w:rsid w:val="00421257"/>
    <w:rsid w:val="004226B4"/>
    <w:rsid w:val="0042526C"/>
    <w:rsid w:val="004257D1"/>
    <w:rsid w:val="004274A2"/>
    <w:rsid w:val="00431353"/>
    <w:rsid w:val="0043688A"/>
    <w:rsid w:val="00441AF7"/>
    <w:rsid w:val="004455B4"/>
    <w:rsid w:val="00445C54"/>
    <w:rsid w:val="00446C9B"/>
    <w:rsid w:val="00447EF6"/>
    <w:rsid w:val="00450B6A"/>
    <w:rsid w:val="0045317B"/>
    <w:rsid w:val="0045504B"/>
    <w:rsid w:val="00463110"/>
    <w:rsid w:val="0046469B"/>
    <w:rsid w:val="00464785"/>
    <w:rsid w:val="00467E7B"/>
    <w:rsid w:val="00470F17"/>
    <w:rsid w:val="004723C2"/>
    <w:rsid w:val="00472CB3"/>
    <w:rsid w:val="00474365"/>
    <w:rsid w:val="004770B1"/>
    <w:rsid w:val="00477CE9"/>
    <w:rsid w:val="00484104"/>
    <w:rsid w:val="004968F6"/>
    <w:rsid w:val="00497D81"/>
    <w:rsid w:val="004A1CD5"/>
    <w:rsid w:val="004B6100"/>
    <w:rsid w:val="004C0440"/>
    <w:rsid w:val="004C28B9"/>
    <w:rsid w:val="004C59D9"/>
    <w:rsid w:val="004D19F4"/>
    <w:rsid w:val="004D2AE9"/>
    <w:rsid w:val="004D5938"/>
    <w:rsid w:val="004D5D93"/>
    <w:rsid w:val="004E08E8"/>
    <w:rsid w:val="004E6C1D"/>
    <w:rsid w:val="004E7064"/>
    <w:rsid w:val="004F7C77"/>
    <w:rsid w:val="00501A88"/>
    <w:rsid w:val="00507027"/>
    <w:rsid w:val="00514F1A"/>
    <w:rsid w:val="005151A8"/>
    <w:rsid w:val="005167EF"/>
    <w:rsid w:val="00517DA1"/>
    <w:rsid w:val="00520CA5"/>
    <w:rsid w:val="00524101"/>
    <w:rsid w:val="00524B65"/>
    <w:rsid w:val="00525AD3"/>
    <w:rsid w:val="00526712"/>
    <w:rsid w:val="00531631"/>
    <w:rsid w:val="00532C71"/>
    <w:rsid w:val="00532D78"/>
    <w:rsid w:val="0054124A"/>
    <w:rsid w:val="00545AC2"/>
    <w:rsid w:val="00546847"/>
    <w:rsid w:val="00547D84"/>
    <w:rsid w:val="0055182E"/>
    <w:rsid w:val="00553624"/>
    <w:rsid w:val="00555795"/>
    <w:rsid w:val="005563AC"/>
    <w:rsid w:val="00562C32"/>
    <w:rsid w:val="00562C4D"/>
    <w:rsid w:val="00563CAF"/>
    <w:rsid w:val="005647BD"/>
    <w:rsid w:val="00566858"/>
    <w:rsid w:val="00573BAB"/>
    <w:rsid w:val="00575AC7"/>
    <w:rsid w:val="00576D45"/>
    <w:rsid w:val="00581305"/>
    <w:rsid w:val="00581D87"/>
    <w:rsid w:val="00583E87"/>
    <w:rsid w:val="005843F3"/>
    <w:rsid w:val="00586999"/>
    <w:rsid w:val="005914C1"/>
    <w:rsid w:val="00595D82"/>
    <w:rsid w:val="005A3158"/>
    <w:rsid w:val="005A3261"/>
    <w:rsid w:val="005A34A5"/>
    <w:rsid w:val="005A3CEA"/>
    <w:rsid w:val="005A3FF6"/>
    <w:rsid w:val="005A5E0C"/>
    <w:rsid w:val="005A5FBE"/>
    <w:rsid w:val="005B19E5"/>
    <w:rsid w:val="005B3ED9"/>
    <w:rsid w:val="005B5E93"/>
    <w:rsid w:val="005B7D39"/>
    <w:rsid w:val="005C0A7A"/>
    <w:rsid w:val="005C45C3"/>
    <w:rsid w:val="005C5079"/>
    <w:rsid w:val="005C58FA"/>
    <w:rsid w:val="005D4C43"/>
    <w:rsid w:val="005D5597"/>
    <w:rsid w:val="005D61C0"/>
    <w:rsid w:val="005E0113"/>
    <w:rsid w:val="005E2B12"/>
    <w:rsid w:val="005E2C52"/>
    <w:rsid w:val="005E4604"/>
    <w:rsid w:val="005F1C41"/>
    <w:rsid w:val="005F20BA"/>
    <w:rsid w:val="005F2E78"/>
    <w:rsid w:val="005F3589"/>
    <w:rsid w:val="005F5474"/>
    <w:rsid w:val="00601150"/>
    <w:rsid w:val="00605A21"/>
    <w:rsid w:val="00610824"/>
    <w:rsid w:val="006149A2"/>
    <w:rsid w:val="0061689B"/>
    <w:rsid w:val="00621AF2"/>
    <w:rsid w:val="00622193"/>
    <w:rsid w:val="006226A9"/>
    <w:rsid w:val="00622E6A"/>
    <w:rsid w:val="00624BA9"/>
    <w:rsid w:val="00626227"/>
    <w:rsid w:val="00635BDF"/>
    <w:rsid w:val="0064069D"/>
    <w:rsid w:val="00640CB4"/>
    <w:rsid w:val="00641C01"/>
    <w:rsid w:val="006457BB"/>
    <w:rsid w:val="00646F47"/>
    <w:rsid w:val="00665205"/>
    <w:rsid w:val="00671D02"/>
    <w:rsid w:val="00672A39"/>
    <w:rsid w:val="006770EF"/>
    <w:rsid w:val="00680415"/>
    <w:rsid w:val="006804E0"/>
    <w:rsid w:val="006811C3"/>
    <w:rsid w:val="00686FC3"/>
    <w:rsid w:val="00690D77"/>
    <w:rsid w:val="0069119D"/>
    <w:rsid w:val="00697C4D"/>
    <w:rsid w:val="006A00C3"/>
    <w:rsid w:val="006A07E2"/>
    <w:rsid w:val="006A2458"/>
    <w:rsid w:val="006A36CF"/>
    <w:rsid w:val="006A493F"/>
    <w:rsid w:val="006A7949"/>
    <w:rsid w:val="006B3378"/>
    <w:rsid w:val="006B3384"/>
    <w:rsid w:val="006B552B"/>
    <w:rsid w:val="006B7112"/>
    <w:rsid w:val="006C111C"/>
    <w:rsid w:val="006C1C42"/>
    <w:rsid w:val="006C2308"/>
    <w:rsid w:val="006C2781"/>
    <w:rsid w:val="006C30A9"/>
    <w:rsid w:val="006C3D4D"/>
    <w:rsid w:val="006C585A"/>
    <w:rsid w:val="006C6DBF"/>
    <w:rsid w:val="006C7714"/>
    <w:rsid w:val="006D083C"/>
    <w:rsid w:val="006D3BCB"/>
    <w:rsid w:val="006D51AF"/>
    <w:rsid w:val="006D70E7"/>
    <w:rsid w:val="006E0D26"/>
    <w:rsid w:val="006E103D"/>
    <w:rsid w:val="006F0678"/>
    <w:rsid w:val="006F1944"/>
    <w:rsid w:val="006F43B9"/>
    <w:rsid w:val="006F6AA6"/>
    <w:rsid w:val="006F7C7E"/>
    <w:rsid w:val="00701AFE"/>
    <w:rsid w:val="00702E3A"/>
    <w:rsid w:val="00702F57"/>
    <w:rsid w:val="00707F86"/>
    <w:rsid w:val="007116E3"/>
    <w:rsid w:val="00715D2C"/>
    <w:rsid w:val="00716009"/>
    <w:rsid w:val="00722AEF"/>
    <w:rsid w:val="007252C2"/>
    <w:rsid w:val="0072709C"/>
    <w:rsid w:val="00744042"/>
    <w:rsid w:val="00744982"/>
    <w:rsid w:val="00746B28"/>
    <w:rsid w:val="00752098"/>
    <w:rsid w:val="00757A1F"/>
    <w:rsid w:val="00760C28"/>
    <w:rsid w:val="00762689"/>
    <w:rsid w:val="007745F4"/>
    <w:rsid w:val="00775A1D"/>
    <w:rsid w:val="007801AA"/>
    <w:rsid w:val="007810E6"/>
    <w:rsid w:val="0078299E"/>
    <w:rsid w:val="00783F42"/>
    <w:rsid w:val="00793155"/>
    <w:rsid w:val="0079401F"/>
    <w:rsid w:val="00794BD2"/>
    <w:rsid w:val="007A166F"/>
    <w:rsid w:val="007A1BC5"/>
    <w:rsid w:val="007A2562"/>
    <w:rsid w:val="007A337E"/>
    <w:rsid w:val="007A4181"/>
    <w:rsid w:val="007A47E6"/>
    <w:rsid w:val="007A7C99"/>
    <w:rsid w:val="007B0BEA"/>
    <w:rsid w:val="007B2627"/>
    <w:rsid w:val="007B6396"/>
    <w:rsid w:val="007C055F"/>
    <w:rsid w:val="007C1FAA"/>
    <w:rsid w:val="007C44CD"/>
    <w:rsid w:val="007D2074"/>
    <w:rsid w:val="007D6411"/>
    <w:rsid w:val="007D6CC5"/>
    <w:rsid w:val="007D72F6"/>
    <w:rsid w:val="007E24EC"/>
    <w:rsid w:val="007E3F6F"/>
    <w:rsid w:val="007F01FC"/>
    <w:rsid w:val="007F0E4F"/>
    <w:rsid w:val="007F20EE"/>
    <w:rsid w:val="007F2518"/>
    <w:rsid w:val="00802D83"/>
    <w:rsid w:val="00803067"/>
    <w:rsid w:val="008044E4"/>
    <w:rsid w:val="0080636A"/>
    <w:rsid w:val="008076AE"/>
    <w:rsid w:val="00813931"/>
    <w:rsid w:val="008146C6"/>
    <w:rsid w:val="00816516"/>
    <w:rsid w:val="008175F5"/>
    <w:rsid w:val="0082137F"/>
    <w:rsid w:val="008220AE"/>
    <w:rsid w:val="0083308A"/>
    <w:rsid w:val="00835070"/>
    <w:rsid w:val="00837018"/>
    <w:rsid w:val="008435B1"/>
    <w:rsid w:val="008518CB"/>
    <w:rsid w:val="008521B6"/>
    <w:rsid w:val="00853401"/>
    <w:rsid w:val="0085409D"/>
    <w:rsid w:val="00854B39"/>
    <w:rsid w:val="00855FC9"/>
    <w:rsid w:val="0085733D"/>
    <w:rsid w:val="0085745B"/>
    <w:rsid w:val="00873CBF"/>
    <w:rsid w:val="00877083"/>
    <w:rsid w:val="00877D45"/>
    <w:rsid w:val="0088017C"/>
    <w:rsid w:val="00882969"/>
    <w:rsid w:val="008857CB"/>
    <w:rsid w:val="00891FBA"/>
    <w:rsid w:val="0089600B"/>
    <w:rsid w:val="00897A21"/>
    <w:rsid w:val="008A765F"/>
    <w:rsid w:val="008B08BD"/>
    <w:rsid w:val="008B7299"/>
    <w:rsid w:val="008C200D"/>
    <w:rsid w:val="008C222D"/>
    <w:rsid w:val="008C63D4"/>
    <w:rsid w:val="008D09A8"/>
    <w:rsid w:val="008D0A2E"/>
    <w:rsid w:val="008D15C0"/>
    <w:rsid w:val="008D3D01"/>
    <w:rsid w:val="008D5A76"/>
    <w:rsid w:val="008E297E"/>
    <w:rsid w:val="008F44E7"/>
    <w:rsid w:val="008F69E3"/>
    <w:rsid w:val="009017F4"/>
    <w:rsid w:val="0090361E"/>
    <w:rsid w:val="0090385A"/>
    <w:rsid w:val="0090698A"/>
    <w:rsid w:val="00910085"/>
    <w:rsid w:val="00910B5F"/>
    <w:rsid w:val="00912D36"/>
    <w:rsid w:val="00913532"/>
    <w:rsid w:val="00914BE3"/>
    <w:rsid w:val="00916A8A"/>
    <w:rsid w:val="00920D12"/>
    <w:rsid w:val="00922C76"/>
    <w:rsid w:val="00926FFE"/>
    <w:rsid w:val="00930EAF"/>
    <w:rsid w:val="00931606"/>
    <w:rsid w:val="00934FF6"/>
    <w:rsid w:val="00935769"/>
    <w:rsid w:val="00936C78"/>
    <w:rsid w:val="009431B7"/>
    <w:rsid w:val="009438BF"/>
    <w:rsid w:val="00943E5D"/>
    <w:rsid w:val="00944CD2"/>
    <w:rsid w:val="00947BF1"/>
    <w:rsid w:val="009504AB"/>
    <w:rsid w:val="0095143F"/>
    <w:rsid w:val="009603F2"/>
    <w:rsid w:val="00961205"/>
    <w:rsid w:val="00965411"/>
    <w:rsid w:val="00965673"/>
    <w:rsid w:val="00967219"/>
    <w:rsid w:val="00967492"/>
    <w:rsid w:val="00973629"/>
    <w:rsid w:val="00974DC4"/>
    <w:rsid w:val="00975531"/>
    <w:rsid w:val="00980BC9"/>
    <w:rsid w:val="00980C39"/>
    <w:rsid w:val="00981E2E"/>
    <w:rsid w:val="00984C7D"/>
    <w:rsid w:val="009921F6"/>
    <w:rsid w:val="009958BA"/>
    <w:rsid w:val="009966B3"/>
    <w:rsid w:val="009A0305"/>
    <w:rsid w:val="009A0ACF"/>
    <w:rsid w:val="009A2457"/>
    <w:rsid w:val="009A3B7D"/>
    <w:rsid w:val="009A69F9"/>
    <w:rsid w:val="009B6000"/>
    <w:rsid w:val="009C162D"/>
    <w:rsid w:val="009C4977"/>
    <w:rsid w:val="009D4690"/>
    <w:rsid w:val="009E3A04"/>
    <w:rsid w:val="009E59FF"/>
    <w:rsid w:val="00A020D2"/>
    <w:rsid w:val="00A0399F"/>
    <w:rsid w:val="00A043D1"/>
    <w:rsid w:val="00A05941"/>
    <w:rsid w:val="00A16810"/>
    <w:rsid w:val="00A16CC1"/>
    <w:rsid w:val="00A2129C"/>
    <w:rsid w:val="00A21533"/>
    <w:rsid w:val="00A217F9"/>
    <w:rsid w:val="00A25141"/>
    <w:rsid w:val="00A2598D"/>
    <w:rsid w:val="00A25C8C"/>
    <w:rsid w:val="00A34FC0"/>
    <w:rsid w:val="00A361E6"/>
    <w:rsid w:val="00A36915"/>
    <w:rsid w:val="00A42A64"/>
    <w:rsid w:val="00A46D61"/>
    <w:rsid w:val="00A5206B"/>
    <w:rsid w:val="00A56AC1"/>
    <w:rsid w:val="00A57030"/>
    <w:rsid w:val="00A60D21"/>
    <w:rsid w:val="00A6412C"/>
    <w:rsid w:val="00A725F5"/>
    <w:rsid w:val="00A75400"/>
    <w:rsid w:val="00A76CD0"/>
    <w:rsid w:val="00A77094"/>
    <w:rsid w:val="00A85A21"/>
    <w:rsid w:val="00A877CF"/>
    <w:rsid w:val="00A923E5"/>
    <w:rsid w:val="00A92E1B"/>
    <w:rsid w:val="00A93DE6"/>
    <w:rsid w:val="00A970D6"/>
    <w:rsid w:val="00A9712A"/>
    <w:rsid w:val="00AA6686"/>
    <w:rsid w:val="00AA6A40"/>
    <w:rsid w:val="00AB2075"/>
    <w:rsid w:val="00AB2BC0"/>
    <w:rsid w:val="00AB60DE"/>
    <w:rsid w:val="00AC2D1F"/>
    <w:rsid w:val="00AC2EDF"/>
    <w:rsid w:val="00AC6B08"/>
    <w:rsid w:val="00AD5EF7"/>
    <w:rsid w:val="00AD6F20"/>
    <w:rsid w:val="00AE0236"/>
    <w:rsid w:val="00AE1DD5"/>
    <w:rsid w:val="00AE64F7"/>
    <w:rsid w:val="00AF3FEB"/>
    <w:rsid w:val="00B04A47"/>
    <w:rsid w:val="00B13857"/>
    <w:rsid w:val="00B139A4"/>
    <w:rsid w:val="00B14A46"/>
    <w:rsid w:val="00B17A6A"/>
    <w:rsid w:val="00B24D9F"/>
    <w:rsid w:val="00B24F7E"/>
    <w:rsid w:val="00B260DF"/>
    <w:rsid w:val="00B26FF2"/>
    <w:rsid w:val="00B35151"/>
    <w:rsid w:val="00B4019B"/>
    <w:rsid w:val="00B40FAC"/>
    <w:rsid w:val="00B428C8"/>
    <w:rsid w:val="00B43F27"/>
    <w:rsid w:val="00B46E61"/>
    <w:rsid w:val="00B518CC"/>
    <w:rsid w:val="00B5659D"/>
    <w:rsid w:val="00B57EAB"/>
    <w:rsid w:val="00B62AF6"/>
    <w:rsid w:val="00B62F03"/>
    <w:rsid w:val="00B6512E"/>
    <w:rsid w:val="00B74805"/>
    <w:rsid w:val="00B77CCD"/>
    <w:rsid w:val="00B8515C"/>
    <w:rsid w:val="00B918CD"/>
    <w:rsid w:val="00B931F5"/>
    <w:rsid w:val="00BA1229"/>
    <w:rsid w:val="00BA130A"/>
    <w:rsid w:val="00BA2C13"/>
    <w:rsid w:val="00BA380A"/>
    <w:rsid w:val="00BA488C"/>
    <w:rsid w:val="00BA72A8"/>
    <w:rsid w:val="00BB0DA1"/>
    <w:rsid w:val="00BB40F1"/>
    <w:rsid w:val="00BC0ED1"/>
    <w:rsid w:val="00BC354E"/>
    <w:rsid w:val="00BC60C2"/>
    <w:rsid w:val="00BC73C4"/>
    <w:rsid w:val="00BD0D5B"/>
    <w:rsid w:val="00BD206D"/>
    <w:rsid w:val="00BE49E8"/>
    <w:rsid w:val="00BE5B99"/>
    <w:rsid w:val="00BE7F8F"/>
    <w:rsid w:val="00C013AD"/>
    <w:rsid w:val="00C02411"/>
    <w:rsid w:val="00C06155"/>
    <w:rsid w:val="00C06514"/>
    <w:rsid w:val="00C07D6F"/>
    <w:rsid w:val="00C2608D"/>
    <w:rsid w:val="00C2651A"/>
    <w:rsid w:val="00C26ECF"/>
    <w:rsid w:val="00C33EB8"/>
    <w:rsid w:val="00C34F15"/>
    <w:rsid w:val="00C368E4"/>
    <w:rsid w:val="00C420C7"/>
    <w:rsid w:val="00C42719"/>
    <w:rsid w:val="00C428DA"/>
    <w:rsid w:val="00C440D5"/>
    <w:rsid w:val="00C453E8"/>
    <w:rsid w:val="00C47315"/>
    <w:rsid w:val="00C5491E"/>
    <w:rsid w:val="00C60A0E"/>
    <w:rsid w:val="00C60D2D"/>
    <w:rsid w:val="00C61578"/>
    <w:rsid w:val="00C6177A"/>
    <w:rsid w:val="00C66286"/>
    <w:rsid w:val="00C830A0"/>
    <w:rsid w:val="00C85ABD"/>
    <w:rsid w:val="00C86770"/>
    <w:rsid w:val="00C914BC"/>
    <w:rsid w:val="00C92373"/>
    <w:rsid w:val="00C94394"/>
    <w:rsid w:val="00C94604"/>
    <w:rsid w:val="00C95669"/>
    <w:rsid w:val="00C96E0E"/>
    <w:rsid w:val="00CA1238"/>
    <w:rsid w:val="00CB4DBA"/>
    <w:rsid w:val="00CC024E"/>
    <w:rsid w:val="00CC053F"/>
    <w:rsid w:val="00CC1A93"/>
    <w:rsid w:val="00CD29F9"/>
    <w:rsid w:val="00CD315E"/>
    <w:rsid w:val="00CD54AE"/>
    <w:rsid w:val="00CD743F"/>
    <w:rsid w:val="00CE16E2"/>
    <w:rsid w:val="00CE2D90"/>
    <w:rsid w:val="00CE7D96"/>
    <w:rsid w:val="00CF2102"/>
    <w:rsid w:val="00CF68CF"/>
    <w:rsid w:val="00CF798D"/>
    <w:rsid w:val="00D03997"/>
    <w:rsid w:val="00D04500"/>
    <w:rsid w:val="00D17D10"/>
    <w:rsid w:val="00D20F73"/>
    <w:rsid w:val="00D2333A"/>
    <w:rsid w:val="00D24146"/>
    <w:rsid w:val="00D244E6"/>
    <w:rsid w:val="00D246C9"/>
    <w:rsid w:val="00D26990"/>
    <w:rsid w:val="00D26DCA"/>
    <w:rsid w:val="00D2727B"/>
    <w:rsid w:val="00D34748"/>
    <w:rsid w:val="00D35F3B"/>
    <w:rsid w:val="00D3616E"/>
    <w:rsid w:val="00D36FEA"/>
    <w:rsid w:val="00D40B10"/>
    <w:rsid w:val="00D41BD5"/>
    <w:rsid w:val="00D424C0"/>
    <w:rsid w:val="00D42ACE"/>
    <w:rsid w:val="00D433C7"/>
    <w:rsid w:val="00D43AAF"/>
    <w:rsid w:val="00D4467E"/>
    <w:rsid w:val="00D47083"/>
    <w:rsid w:val="00D51B6A"/>
    <w:rsid w:val="00D54245"/>
    <w:rsid w:val="00D60D78"/>
    <w:rsid w:val="00D62021"/>
    <w:rsid w:val="00D674C5"/>
    <w:rsid w:val="00D67977"/>
    <w:rsid w:val="00D73115"/>
    <w:rsid w:val="00D744F6"/>
    <w:rsid w:val="00D75109"/>
    <w:rsid w:val="00D75947"/>
    <w:rsid w:val="00D75CE8"/>
    <w:rsid w:val="00D76488"/>
    <w:rsid w:val="00D8272C"/>
    <w:rsid w:val="00D87665"/>
    <w:rsid w:val="00D87FF9"/>
    <w:rsid w:val="00D921AB"/>
    <w:rsid w:val="00D937D9"/>
    <w:rsid w:val="00D93809"/>
    <w:rsid w:val="00DA09EA"/>
    <w:rsid w:val="00DA5367"/>
    <w:rsid w:val="00DB1B7B"/>
    <w:rsid w:val="00DB309B"/>
    <w:rsid w:val="00DB7202"/>
    <w:rsid w:val="00DC1784"/>
    <w:rsid w:val="00DC3E99"/>
    <w:rsid w:val="00DC4B1C"/>
    <w:rsid w:val="00DD0A3E"/>
    <w:rsid w:val="00DD2DAA"/>
    <w:rsid w:val="00DD4C84"/>
    <w:rsid w:val="00DD6366"/>
    <w:rsid w:val="00DE3C98"/>
    <w:rsid w:val="00DF0333"/>
    <w:rsid w:val="00DF06AF"/>
    <w:rsid w:val="00DF6643"/>
    <w:rsid w:val="00E029D4"/>
    <w:rsid w:val="00E05B45"/>
    <w:rsid w:val="00E05CCB"/>
    <w:rsid w:val="00E068D8"/>
    <w:rsid w:val="00E1017E"/>
    <w:rsid w:val="00E11385"/>
    <w:rsid w:val="00E118AF"/>
    <w:rsid w:val="00E13FA1"/>
    <w:rsid w:val="00E20584"/>
    <w:rsid w:val="00E30624"/>
    <w:rsid w:val="00E3078E"/>
    <w:rsid w:val="00E349BD"/>
    <w:rsid w:val="00E36340"/>
    <w:rsid w:val="00E373E8"/>
    <w:rsid w:val="00E42331"/>
    <w:rsid w:val="00E510FA"/>
    <w:rsid w:val="00E576A8"/>
    <w:rsid w:val="00E60B2A"/>
    <w:rsid w:val="00E63B18"/>
    <w:rsid w:val="00E741A8"/>
    <w:rsid w:val="00E858DB"/>
    <w:rsid w:val="00E969B9"/>
    <w:rsid w:val="00EA12CD"/>
    <w:rsid w:val="00EA451A"/>
    <w:rsid w:val="00EB0C7E"/>
    <w:rsid w:val="00EB2326"/>
    <w:rsid w:val="00EB279A"/>
    <w:rsid w:val="00EB351D"/>
    <w:rsid w:val="00EB3583"/>
    <w:rsid w:val="00EC17DE"/>
    <w:rsid w:val="00EC4B16"/>
    <w:rsid w:val="00EC7D9F"/>
    <w:rsid w:val="00ED2497"/>
    <w:rsid w:val="00ED74C5"/>
    <w:rsid w:val="00EE24C2"/>
    <w:rsid w:val="00EE3794"/>
    <w:rsid w:val="00EF248A"/>
    <w:rsid w:val="00EF42C2"/>
    <w:rsid w:val="00EF5801"/>
    <w:rsid w:val="00EF60D5"/>
    <w:rsid w:val="00EF6C9A"/>
    <w:rsid w:val="00EF7135"/>
    <w:rsid w:val="00F00E7E"/>
    <w:rsid w:val="00F0135B"/>
    <w:rsid w:val="00F016CE"/>
    <w:rsid w:val="00F02C0D"/>
    <w:rsid w:val="00F05BB2"/>
    <w:rsid w:val="00F07C25"/>
    <w:rsid w:val="00F07FFC"/>
    <w:rsid w:val="00F10869"/>
    <w:rsid w:val="00F2284C"/>
    <w:rsid w:val="00F22A5D"/>
    <w:rsid w:val="00F2476E"/>
    <w:rsid w:val="00F26335"/>
    <w:rsid w:val="00F30625"/>
    <w:rsid w:val="00F345C0"/>
    <w:rsid w:val="00F355FD"/>
    <w:rsid w:val="00F370B1"/>
    <w:rsid w:val="00F4334A"/>
    <w:rsid w:val="00F45C4E"/>
    <w:rsid w:val="00F47CA1"/>
    <w:rsid w:val="00F47ECB"/>
    <w:rsid w:val="00F50F3F"/>
    <w:rsid w:val="00F54F56"/>
    <w:rsid w:val="00F55536"/>
    <w:rsid w:val="00F5660E"/>
    <w:rsid w:val="00F56EFA"/>
    <w:rsid w:val="00F60786"/>
    <w:rsid w:val="00F60C43"/>
    <w:rsid w:val="00F60D1C"/>
    <w:rsid w:val="00F611BD"/>
    <w:rsid w:val="00F63131"/>
    <w:rsid w:val="00F6338B"/>
    <w:rsid w:val="00F655CE"/>
    <w:rsid w:val="00F7030A"/>
    <w:rsid w:val="00F7180D"/>
    <w:rsid w:val="00F721A4"/>
    <w:rsid w:val="00F72AAD"/>
    <w:rsid w:val="00F74A02"/>
    <w:rsid w:val="00F7600D"/>
    <w:rsid w:val="00F8013D"/>
    <w:rsid w:val="00F80D61"/>
    <w:rsid w:val="00F81785"/>
    <w:rsid w:val="00F8383D"/>
    <w:rsid w:val="00F864F8"/>
    <w:rsid w:val="00F9104D"/>
    <w:rsid w:val="00F92851"/>
    <w:rsid w:val="00F93B14"/>
    <w:rsid w:val="00F948B5"/>
    <w:rsid w:val="00F953B1"/>
    <w:rsid w:val="00FA09C4"/>
    <w:rsid w:val="00FA55F7"/>
    <w:rsid w:val="00FB14A7"/>
    <w:rsid w:val="00FB20F2"/>
    <w:rsid w:val="00FB279F"/>
    <w:rsid w:val="00FB2D86"/>
    <w:rsid w:val="00FB71E8"/>
    <w:rsid w:val="00FC3CD5"/>
    <w:rsid w:val="00FC3DF7"/>
    <w:rsid w:val="00FC52DC"/>
    <w:rsid w:val="00FC536E"/>
    <w:rsid w:val="00FC7DF4"/>
    <w:rsid w:val="00FD0276"/>
    <w:rsid w:val="00FD1257"/>
    <w:rsid w:val="00FD1522"/>
    <w:rsid w:val="00FD40F1"/>
    <w:rsid w:val="00FE3133"/>
    <w:rsid w:val="00FE3795"/>
    <w:rsid w:val="00FE41EF"/>
    <w:rsid w:val="00FE677C"/>
    <w:rsid w:val="00FF19C9"/>
    <w:rsid w:val="00FF1F82"/>
    <w:rsid w:val="00FF5C70"/>
    <w:rsid w:val="00FF7683"/>
    <w:rsid w:val="00FF773F"/>
    <w:rsid w:val="1DF56710"/>
    <w:rsid w:val="3CCC63A1"/>
    <w:rsid w:val="3FBDC47C"/>
    <w:rsid w:val="776B00EA"/>
    <w:rsid w:val="7D420076"/>
    <w:rsid w:val="9DFEA616"/>
    <w:rsid w:val="B5FF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43"/>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unhideWhenUsed/>
    <w:qFormat/>
    <w:uiPriority w:val="99"/>
    <w:pPr>
      <w:keepNext/>
      <w:keepLines/>
      <w:spacing w:before="260" w:after="260" w:line="416" w:lineRule="auto"/>
      <w:outlineLvl w:val="2"/>
    </w:pPr>
    <w:rPr>
      <w:b/>
      <w:bCs/>
      <w:sz w:val="32"/>
      <w:szCs w:val="32"/>
    </w:rPr>
  </w:style>
  <w:style w:type="paragraph" w:styleId="5">
    <w:name w:val="heading 4"/>
    <w:basedOn w:val="1"/>
    <w:next w:val="1"/>
    <w:link w:val="45"/>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46"/>
    <w:qFormat/>
    <w:uiPriority w:val="99"/>
    <w:pPr>
      <w:keepNext/>
      <w:keepLines/>
      <w:numPr>
        <w:ilvl w:val="4"/>
        <w:numId w:val="1"/>
      </w:numPr>
      <w:adjustRightInd w:val="0"/>
      <w:snapToGrid w:val="0"/>
      <w:spacing w:before="280" w:after="290" w:line="376" w:lineRule="auto"/>
      <w:textAlignment w:val="baseline"/>
      <w:outlineLvl w:val="4"/>
    </w:pPr>
    <w:rPr>
      <w:rFonts w:ascii="Times New Roman" w:hAnsi="Times New Roman" w:eastAsia="宋体" w:cs="Times New Roman"/>
      <w:b/>
      <w:bCs/>
      <w:sz w:val="28"/>
      <w:szCs w:val="28"/>
    </w:rPr>
  </w:style>
  <w:style w:type="paragraph" w:styleId="7">
    <w:name w:val="heading 6"/>
    <w:basedOn w:val="1"/>
    <w:next w:val="1"/>
    <w:link w:val="47"/>
    <w:qFormat/>
    <w:uiPriority w:val="99"/>
    <w:pPr>
      <w:keepNext/>
      <w:keepLines/>
      <w:numPr>
        <w:ilvl w:val="5"/>
        <w:numId w:val="1"/>
      </w:numPr>
      <w:adjustRightInd w:val="0"/>
      <w:snapToGrid w:val="0"/>
      <w:spacing w:before="240" w:after="64" w:line="320" w:lineRule="auto"/>
      <w:textAlignment w:val="baseline"/>
      <w:outlineLvl w:val="5"/>
    </w:pPr>
    <w:rPr>
      <w:rFonts w:ascii="等线 Light" w:hAnsi="等线 Light" w:eastAsia="等线 Light" w:cs="等线 Light"/>
      <w:b/>
      <w:bCs/>
      <w:sz w:val="24"/>
      <w:szCs w:val="24"/>
    </w:rPr>
  </w:style>
  <w:style w:type="paragraph" w:styleId="8">
    <w:name w:val="heading 7"/>
    <w:basedOn w:val="1"/>
    <w:next w:val="1"/>
    <w:link w:val="48"/>
    <w:qFormat/>
    <w:uiPriority w:val="99"/>
    <w:pPr>
      <w:keepNext/>
      <w:keepLines/>
      <w:numPr>
        <w:ilvl w:val="6"/>
        <w:numId w:val="1"/>
      </w:numPr>
      <w:adjustRightInd w:val="0"/>
      <w:snapToGrid w:val="0"/>
      <w:spacing w:before="240" w:after="64" w:line="320" w:lineRule="auto"/>
      <w:textAlignment w:val="baseline"/>
      <w:outlineLvl w:val="6"/>
    </w:pPr>
    <w:rPr>
      <w:rFonts w:ascii="Times New Roman" w:hAnsi="Times New Roman" w:eastAsia="宋体" w:cs="Times New Roman"/>
      <w:b/>
      <w:bCs/>
      <w:sz w:val="24"/>
      <w:szCs w:val="24"/>
    </w:rPr>
  </w:style>
  <w:style w:type="paragraph" w:styleId="9">
    <w:name w:val="heading 8"/>
    <w:basedOn w:val="1"/>
    <w:next w:val="1"/>
    <w:link w:val="49"/>
    <w:qFormat/>
    <w:uiPriority w:val="99"/>
    <w:pPr>
      <w:keepNext/>
      <w:keepLines/>
      <w:numPr>
        <w:ilvl w:val="7"/>
        <w:numId w:val="1"/>
      </w:numPr>
      <w:adjustRightInd w:val="0"/>
      <w:snapToGrid w:val="0"/>
      <w:spacing w:before="240" w:after="64" w:line="320" w:lineRule="auto"/>
      <w:textAlignment w:val="baseline"/>
      <w:outlineLvl w:val="7"/>
    </w:pPr>
    <w:rPr>
      <w:rFonts w:ascii="等线 Light" w:hAnsi="等线 Light" w:eastAsia="等线 Light" w:cs="等线 Light"/>
      <w:sz w:val="24"/>
      <w:szCs w:val="24"/>
    </w:rPr>
  </w:style>
  <w:style w:type="paragraph" w:styleId="10">
    <w:name w:val="heading 9"/>
    <w:basedOn w:val="1"/>
    <w:next w:val="1"/>
    <w:link w:val="50"/>
    <w:qFormat/>
    <w:uiPriority w:val="99"/>
    <w:pPr>
      <w:keepNext/>
      <w:keepLines/>
      <w:numPr>
        <w:ilvl w:val="8"/>
        <w:numId w:val="1"/>
      </w:numPr>
      <w:adjustRightInd w:val="0"/>
      <w:snapToGrid w:val="0"/>
      <w:spacing w:before="240" w:after="64" w:line="320" w:lineRule="auto"/>
      <w:textAlignment w:val="baseline"/>
      <w:outlineLvl w:val="8"/>
    </w:pPr>
    <w:rPr>
      <w:rFonts w:ascii="等线 Light" w:hAnsi="等线 Light" w:eastAsia="等线 Light" w:cs="等线 Light"/>
      <w:szCs w:val="21"/>
    </w:rPr>
  </w:style>
  <w:style w:type="character" w:default="1" w:styleId="31">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99"/>
    <w:pPr>
      <w:adjustRightInd w:val="0"/>
      <w:snapToGrid w:val="0"/>
      <w:spacing w:line="360" w:lineRule="atLeast"/>
      <w:ind w:left="100" w:leftChars="400" w:hanging="200" w:hangingChars="200"/>
      <w:textAlignment w:val="baseline"/>
    </w:pPr>
    <w:rPr>
      <w:rFonts w:ascii="Times New Roman" w:hAnsi="Times New Roman" w:eastAsia="宋体" w:cs="Times New Roman"/>
      <w:sz w:val="28"/>
      <w:szCs w:val="28"/>
    </w:rPr>
  </w:style>
  <w:style w:type="paragraph" w:styleId="12">
    <w:name w:val="toc 7"/>
    <w:basedOn w:val="1"/>
    <w:next w:val="1"/>
    <w:qFormat/>
    <w:uiPriority w:val="39"/>
    <w:pPr>
      <w:ind w:left="1050"/>
      <w:jc w:val="left"/>
    </w:pPr>
    <w:rPr>
      <w:rFonts w:cstheme="minorHAnsi"/>
      <w:sz w:val="20"/>
      <w:szCs w:val="20"/>
    </w:rPr>
  </w:style>
  <w:style w:type="paragraph" w:styleId="13">
    <w:name w:val="annotation text"/>
    <w:basedOn w:val="1"/>
    <w:link w:val="60"/>
    <w:semiHidden/>
    <w:qFormat/>
    <w:uiPriority w:val="99"/>
    <w:pPr>
      <w:adjustRightInd w:val="0"/>
      <w:snapToGrid w:val="0"/>
      <w:spacing w:line="360" w:lineRule="atLeast"/>
      <w:jc w:val="left"/>
      <w:textAlignment w:val="baseline"/>
    </w:pPr>
    <w:rPr>
      <w:rFonts w:ascii="Times New Roman" w:hAnsi="Times New Roman" w:eastAsia="宋体" w:cs="Times New Roman"/>
      <w:kern w:val="0"/>
      <w:sz w:val="20"/>
      <w:szCs w:val="20"/>
    </w:rPr>
  </w:style>
  <w:style w:type="paragraph" w:styleId="14">
    <w:name w:val="toc 5"/>
    <w:basedOn w:val="1"/>
    <w:next w:val="1"/>
    <w:qFormat/>
    <w:uiPriority w:val="39"/>
    <w:pPr>
      <w:ind w:left="630"/>
      <w:jc w:val="left"/>
    </w:pPr>
    <w:rPr>
      <w:rFonts w:cstheme="minorHAnsi"/>
      <w:sz w:val="20"/>
      <w:szCs w:val="20"/>
    </w:rPr>
  </w:style>
  <w:style w:type="paragraph" w:styleId="15">
    <w:name w:val="toc 3"/>
    <w:basedOn w:val="1"/>
    <w:next w:val="1"/>
    <w:qFormat/>
    <w:uiPriority w:val="39"/>
    <w:pPr>
      <w:ind w:left="210"/>
      <w:jc w:val="left"/>
    </w:pPr>
    <w:rPr>
      <w:rFonts w:cstheme="minorHAnsi"/>
      <w:sz w:val="20"/>
      <w:szCs w:val="20"/>
    </w:rPr>
  </w:style>
  <w:style w:type="paragraph" w:styleId="16">
    <w:name w:val="toc 8"/>
    <w:basedOn w:val="1"/>
    <w:next w:val="1"/>
    <w:qFormat/>
    <w:uiPriority w:val="39"/>
    <w:pPr>
      <w:ind w:left="1260"/>
      <w:jc w:val="left"/>
    </w:pPr>
    <w:rPr>
      <w:rFonts w:cstheme="minorHAnsi"/>
      <w:sz w:val="20"/>
      <w:szCs w:val="20"/>
    </w:rPr>
  </w:style>
  <w:style w:type="paragraph" w:styleId="17">
    <w:name w:val="Date"/>
    <w:basedOn w:val="1"/>
    <w:next w:val="1"/>
    <w:link w:val="58"/>
    <w:qFormat/>
    <w:uiPriority w:val="99"/>
    <w:pPr>
      <w:adjustRightInd w:val="0"/>
      <w:snapToGrid w:val="0"/>
      <w:spacing w:line="360" w:lineRule="atLeast"/>
      <w:ind w:left="100" w:leftChars="2500"/>
      <w:textAlignment w:val="baseline"/>
    </w:pPr>
    <w:rPr>
      <w:rFonts w:ascii="Times New Roman" w:hAnsi="Times New Roman" w:eastAsia="宋体" w:cs="Times New Roman"/>
      <w:kern w:val="0"/>
      <w:sz w:val="20"/>
      <w:szCs w:val="20"/>
    </w:rPr>
  </w:style>
  <w:style w:type="paragraph" w:styleId="18">
    <w:name w:val="Balloon Text"/>
    <w:basedOn w:val="1"/>
    <w:link w:val="64"/>
    <w:semiHidden/>
    <w:qFormat/>
    <w:uiPriority w:val="99"/>
    <w:pPr>
      <w:adjustRightInd w:val="0"/>
      <w:snapToGrid w:val="0"/>
      <w:spacing w:line="360" w:lineRule="atLeast"/>
      <w:textAlignment w:val="baseline"/>
    </w:pPr>
    <w:rPr>
      <w:rFonts w:ascii="Times New Roman" w:hAnsi="Times New Roman" w:eastAsia="宋体" w:cs="Times New Roman"/>
      <w:kern w:val="0"/>
      <w:sz w:val="18"/>
      <w:szCs w:val="18"/>
    </w:rPr>
  </w:style>
  <w:style w:type="paragraph" w:styleId="19">
    <w:name w:val="footer"/>
    <w:basedOn w:val="1"/>
    <w:link w:val="39"/>
    <w:unhideWhenUsed/>
    <w:qFormat/>
    <w:uiPriority w:val="99"/>
    <w:pPr>
      <w:tabs>
        <w:tab w:val="center" w:pos="4153"/>
        <w:tab w:val="right" w:pos="8306"/>
      </w:tabs>
      <w:snapToGrid w:val="0"/>
      <w:jc w:val="left"/>
    </w:pPr>
    <w:rPr>
      <w:sz w:val="18"/>
      <w:szCs w:val="18"/>
    </w:rPr>
  </w:style>
  <w:style w:type="paragraph" w:styleId="20">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360"/>
      <w:jc w:val="left"/>
    </w:pPr>
    <w:rPr>
      <w:rFonts w:asciiTheme="majorHAnsi" w:hAnsiTheme="majorHAnsi"/>
      <w:b/>
      <w:bCs/>
      <w:caps/>
      <w:sz w:val="20"/>
      <w:szCs w:val="24"/>
    </w:rPr>
  </w:style>
  <w:style w:type="paragraph" w:styleId="22">
    <w:name w:val="toc 4"/>
    <w:basedOn w:val="1"/>
    <w:next w:val="1"/>
    <w:qFormat/>
    <w:uiPriority w:val="39"/>
    <w:pPr>
      <w:ind w:left="420"/>
      <w:jc w:val="left"/>
    </w:pPr>
    <w:rPr>
      <w:rFonts w:cstheme="minorHAnsi"/>
      <w:sz w:val="20"/>
      <w:szCs w:val="20"/>
    </w:rPr>
  </w:style>
  <w:style w:type="paragraph" w:styleId="23">
    <w:name w:val="Subtitle"/>
    <w:basedOn w:val="1"/>
    <w:next w:val="1"/>
    <w:link w:val="56"/>
    <w:qFormat/>
    <w:uiPriority w:val="99"/>
    <w:pPr>
      <w:adjustRightInd w:val="0"/>
      <w:snapToGrid w:val="0"/>
      <w:spacing w:before="240" w:after="60" w:line="312" w:lineRule="auto"/>
      <w:jc w:val="center"/>
      <w:textAlignment w:val="baseline"/>
      <w:outlineLvl w:val="1"/>
    </w:pPr>
    <w:rPr>
      <w:rFonts w:ascii="Calibri Light" w:hAnsi="Calibri Light" w:eastAsia="宋体" w:cs="Calibri Light"/>
      <w:b/>
      <w:bCs/>
      <w:kern w:val="28"/>
      <w:sz w:val="32"/>
      <w:szCs w:val="32"/>
    </w:rPr>
  </w:style>
  <w:style w:type="paragraph" w:styleId="24">
    <w:name w:val="toc 6"/>
    <w:basedOn w:val="1"/>
    <w:next w:val="1"/>
    <w:qFormat/>
    <w:uiPriority w:val="39"/>
    <w:pPr>
      <w:ind w:left="840"/>
      <w:jc w:val="left"/>
    </w:pPr>
    <w:rPr>
      <w:rFonts w:cstheme="minorHAnsi"/>
      <w:sz w:val="20"/>
      <w:szCs w:val="20"/>
    </w:rPr>
  </w:style>
  <w:style w:type="paragraph" w:styleId="25">
    <w:name w:val="toc 2"/>
    <w:basedOn w:val="1"/>
    <w:next w:val="1"/>
    <w:qFormat/>
    <w:uiPriority w:val="39"/>
    <w:pPr>
      <w:spacing w:before="240"/>
      <w:jc w:val="left"/>
    </w:pPr>
    <w:rPr>
      <w:rFonts w:cstheme="minorHAnsi"/>
      <w:b/>
      <w:bCs/>
      <w:sz w:val="20"/>
      <w:szCs w:val="20"/>
    </w:rPr>
  </w:style>
  <w:style w:type="paragraph" w:styleId="26">
    <w:name w:val="toc 9"/>
    <w:basedOn w:val="1"/>
    <w:next w:val="1"/>
    <w:qFormat/>
    <w:uiPriority w:val="39"/>
    <w:pPr>
      <w:ind w:left="1470"/>
      <w:jc w:val="left"/>
    </w:pPr>
    <w:rPr>
      <w:rFonts w:cstheme="minorHAnsi"/>
      <w:sz w:val="20"/>
      <w:szCs w:val="20"/>
    </w:rPr>
  </w:style>
  <w:style w:type="paragraph" w:styleId="27">
    <w:name w:val="Normal (Web)"/>
    <w:basedOn w:val="1"/>
    <w:qFormat/>
    <w:uiPriority w:val="99"/>
    <w:pPr>
      <w:widowControl/>
      <w:adjustRightInd w:val="0"/>
      <w:snapToGrid w:val="0"/>
      <w:spacing w:before="100" w:beforeAutospacing="1" w:after="100" w:afterAutospacing="1" w:line="360" w:lineRule="atLeast"/>
      <w:jc w:val="left"/>
      <w:textAlignment w:val="baseline"/>
    </w:pPr>
    <w:rPr>
      <w:rFonts w:ascii="Times New Roman" w:hAnsi="Times New Roman" w:eastAsia="等线" w:cs="Times New Roman"/>
      <w:kern w:val="0"/>
      <w:sz w:val="24"/>
      <w:szCs w:val="24"/>
    </w:rPr>
  </w:style>
  <w:style w:type="paragraph" w:styleId="28">
    <w:name w:val="Title"/>
    <w:basedOn w:val="1"/>
    <w:next w:val="1"/>
    <w:link w:val="54"/>
    <w:qFormat/>
    <w:uiPriority w:val="99"/>
    <w:pPr>
      <w:numPr>
        <w:ilvl w:val="0"/>
        <w:numId w:val="2"/>
      </w:numPr>
      <w:adjustRightInd w:val="0"/>
      <w:snapToGrid w:val="0"/>
      <w:spacing w:before="240" w:after="60" w:line="360" w:lineRule="atLeast"/>
      <w:jc w:val="center"/>
      <w:textAlignment w:val="baseline"/>
      <w:outlineLvl w:val="0"/>
    </w:pPr>
    <w:rPr>
      <w:rFonts w:ascii="Calibri Light" w:hAnsi="Calibri Light" w:eastAsia="宋体" w:cs="Calibri Light"/>
      <w:b/>
      <w:bCs/>
      <w:kern w:val="0"/>
      <w:sz w:val="32"/>
      <w:szCs w:val="32"/>
    </w:rPr>
  </w:style>
  <w:style w:type="paragraph" w:styleId="29">
    <w:name w:val="annotation subject"/>
    <w:basedOn w:val="13"/>
    <w:next w:val="13"/>
    <w:link w:val="62"/>
    <w:semiHidden/>
    <w:qFormat/>
    <w:uiPriority w:val="99"/>
    <w:rPr>
      <w:b/>
      <w:bCs/>
    </w:rPr>
  </w:style>
  <w:style w:type="character" w:styleId="32">
    <w:name w:val="Strong"/>
    <w:qFormat/>
    <w:uiPriority w:val="22"/>
    <w:rPr>
      <w:b/>
      <w:bCs/>
    </w:rPr>
  </w:style>
  <w:style w:type="character" w:styleId="33">
    <w:name w:val="page number"/>
    <w:basedOn w:val="31"/>
    <w:qFormat/>
    <w:uiPriority w:val="99"/>
  </w:style>
  <w:style w:type="character" w:styleId="34">
    <w:name w:val="FollowedHyperlink"/>
    <w:basedOn w:val="31"/>
    <w:semiHidden/>
    <w:unhideWhenUsed/>
    <w:qFormat/>
    <w:uiPriority w:val="99"/>
    <w:rPr>
      <w:color w:val="800080" w:themeColor="followedHyperlink"/>
      <w:u w:val="single"/>
      <w14:textFill>
        <w14:solidFill>
          <w14:schemeClr w14:val="folHlink"/>
        </w14:solidFill>
      </w14:textFill>
    </w:rPr>
  </w:style>
  <w:style w:type="character" w:styleId="35">
    <w:name w:val="Emphasis"/>
    <w:qFormat/>
    <w:uiPriority w:val="99"/>
    <w:rPr>
      <w:i/>
      <w:iCs/>
    </w:rPr>
  </w:style>
  <w:style w:type="character" w:styleId="36">
    <w:name w:val="Hyperlink"/>
    <w:qFormat/>
    <w:uiPriority w:val="99"/>
    <w:rPr>
      <w:color w:val="0563C1"/>
      <w:u w:val="single"/>
    </w:rPr>
  </w:style>
  <w:style w:type="character" w:styleId="37">
    <w:name w:val="annotation reference"/>
    <w:semiHidden/>
    <w:qFormat/>
    <w:uiPriority w:val="99"/>
    <w:rPr>
      <w:sz w:val="21"/>
      <w:szCs w:val="21"/>
    </w:rPr>
  </w:style>
  <w:style w:type="character" w:customStyle="1" w:styleId="38">
    <w:name w:val="页眉 Char"/>
    <w:basedOn w:val="31"/>
    <w:link w:val="20"/>
    <w:qFormat/>
    <w:uiPriority w:val="99"/>
    <w:rPr>
      <w:sz w:val="18"/>
      <w:szCs w:val="18"/>
    </w:rPr>
  </w:style>
  <w:style w:type="character" w:customStyle="1" w:styleId="39">
    <w:name w:val="页脚 Char1"/>
    <w:basedOn w:val="31"/>
    <w:link w:val="19"/>
    <w:qFormat/>
    <w:uiPriority w:val="99"/>
    <w:rPr>
      <w:sz w:val="18"/>
      <w:szCs w:val="18"/>
    </w:rPr>
  </w:style>
  <w:style w:type="paragraph" w:customStyle="1" w:styleId="4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41">
    <w:name w:val="标题 1 Char"/>
    <w:basedOn w:val="31"/>
    <w:link w:val="2"/>
    <w:qFormat/>
    <w:uiPriority w:val="99"/>
    <w:rPr>
      <w:b/>
      <w:bCs/>
      <w:kern w:val="44"/>
      <w:sz w:val="44"/>
      <w:szCs w:val="44"/>
    </w:rPr>
  </w:style>
  <w:style w:type="paragraph" w:styleId="42">
    <w:name w:val="List Paragraph"/>
    <w:basedOn w:val="1"/>
    <w:qFormat/>
    <w:uiPriority w:val="99"/>
    <w:pPr>
      <w:ind w:firstLine="420" w:firstLineChars="200"/>
    </w:pPr>
  </w:style>
  <w:style w:type="character" w:customStyle="1" w:styleId="43">
    <w:name w:val="标题 2 Char"/>
    <w:basedOn w:val="31"/>
    <w:link w:val="3"/>
    <w:qFormat/>
    <w:uiPriority w:val="99"/>
    <w:rPr>
      <w:rFonts w:asciiTheme="majorHAnsi" w:hAnsiTheme="majorHAnsi" w:eastAsiaTheme="majorEastAsia" w:cstheme="majorBidi"/>
      <w:b/>
      <w:bCs/>
      <w:sz w:val="32"/>
      <w:szCs w:val="32"/>
    </w:rPr>
  </w:style>
  <w:style w:type="character" w:customStyle="1" w:styleId="44">
    <w:name w:val="标题 3 Char"/>
    <w:basedOn w:val="31"/>
    <w:link w:val="4"/>
    <w:qFormat/>
    <w:uiPriority w:val="99"/>
    <w:rPr>
      <w:b/>
      <w:bCs/>
      <w:sz w:val="32"/>
      <w:szCs w:val="32"/>
    </w:rPr>
  </w:style>
  <w:style w:type="character" w:customStyle="1" w:styleId="45">
    <w:name w:val="标题 4 Char"/>
    <w:basedOn w:val="31"/>
    <w:link w:val="5"/>
    <w:qFormat/>
    <w:uiPriority w:val="99"/>
    <w:rPr>
      <w:rFonts w:asciiTheme="majorHAnsi" w:hAnsiTheme="majorHAnsi" w:eastAsiaTheme="majorEastAsia" w:cstheme="majorBidi"/>
      <w:b/>
      <w:bCs/>
      <w:sz w:val="28"/>
      <w:szCs w:val="28"/>
    </w:rPr>
  </w:style>
  <w:style w:type="character" w:customStyle="1" w:styleId="46">
    <w:name w:val="标题 5 Char"/>
    <w:basedOn w:val="31"/>
    <w:link w:val="6"/>
    <w:qFormat/>
    <w:uiPriority w:val="99"/>
    <w:rPr>
      <w:rFonts w:ascii="Times New Roman" w:hAnsi="Times New Roman" w:eastAsia="宋体" w:cs="Times New Roman"/>
      <w:b/>
      <w:bCs/>
      <w:sz w:val="28"/>
      <w:szCs w:val="28"/>
    </w:rPr>
  </w:style>
  <w:style w:type="character" w:customStyle="1" w:styleId="47">
    <w:name w:val="标题 6 Char"/>
    <w:basedOn w:val="31"/>
    <w:link w:val="7"/>
    <w:qFormat/>
    <w:uiPriority w:val="99"/>
    <w:rPr>
      <w:rFonts w:ascii="等线 Light" w:hAnsi="等线 Light" w:eastAsia="等线 Light" w:cs="等线 Light"/>
      <w:b/>
      <w:bCs/>
      <w:sz w:val="24"/>
      <w:szCs w:val="24"/>
    </w:rPr>
  </w:style>
  <w:style w:type="character" w:customStyle="1" w:styleId="48">
    <w:name w:val="标题 7 Char"/>
    <w:basedOn w:val="31"/>
    <w:link w:val="8"/>
    <w:qFormat/>
    <w:uiPriority w:val="99"/>
    <w:rPr>
      <w:rFonts w:ascii="Times New Roman" w:hAnsi="Times New Roman" w:eastAsia="宋体" w:cs="Times New Roman"/>
      <w:b/>
      <w:bCs/>
      <w:sz w:val="24"/>
      <w:szCs w:val="24"/>
    </w:rPr>
  </w:style>
  <w:style w:type="character" w:customStyle="1" w:styleId="49">
    <w:name w:val="标题 8 Char"/>
    <w:basedOn w:val="31"/>
    <w:link w:val="9"/>
    <w:qFormat/>
    <w:uiPriority w:val="99"/>
    <w:rPr>
      <w:rFonts w:ascii="等线 Light" w:hAnsi="等线 Light" w:eastAsia="等线 Light" w:cs="等线 Light"/>
      <w:sz w:val="24"/>
      <w:szCs w:val="24"/>
    </w:rPr>
  </w:style>
  <w:style w:type="character" w:customStyle="1" w:styleId="50">
    <w:name w:val="标题 9 Char"/>
    <w:basedOn w:val="31"/>
    <w:link w:val="10"/>
    <w:qFormat/>
    <w:uiPriority w:val="99"/>
    <w:rPr>
      <w:rFonts w:ascii="等线 Light" w:hAnsi="等线 Light" w:eastAsia="等线 Light" w:cs="等线 Light"/>
      <w:szCs w:val="21"/>
    </w:rPr>
  </w:style>
  <w:style w:type="paragraph" w:customStyle="1" w:styleId="51">
    <w:name w:val="Table"/>
    <w:basedOn w:val="1"/>
    <w:next w:val="1"/>
    <w:qFormat/>
    <w:uiPriority w:val="99"/>
    <w:pPr>
      <w:widowControl/>
      <w:adjustRightInd w:val="0"/>
      <w:snapToGrid w:val="0"/>
      <w:spacing w:line="360" w:lineRule="atLeast"/>
      <w:jc w:val="center"/>
      <w:textAlignment w:val="baseline"/>
    </w:pPr>
    <w:rPr>
      <w:rFonts w:ascii="Times New Roman" w:hAnsi="Times New Roman" w:eastAsia="宋体" w:cs="Times New Roman"/>
      <w:kern w:val="0"/>
      <w:sz w:val="20"/>
      <w:szCs w:val="20"/>
      <w:lang w:val="en-GB" w:eastAsia="en-US"/>
    </w:rPr>
  </w:style>
  <w:style w:type="paragraph" w:customStyle="1" w:styleId="52">
    <w:name w:val="TOC 标题2"/>
    <w:basedOn w:val="2"/>
    <w:next w:val="1"/>
    <w:qFormat/>
    <w:uiPriority w:val="39"/>
    <w:pPr>
      <w:widowControl/>
      <w:adjustRightInd w:val="0"/>
      <w:snapToGrid w:val="0"/>
      <w:spacing w:before="240" w:beforeLines="50" w:after="0" w:afterLines="50" w:line="259" w:lineRule="auto"/>
      <w:ind w:left="4677" w:hanging="425"/>
      <w:jc w:val="left"/>
      <w:textAlignment w:val="baseline"/>
      <w:outlineLvl w:val="9"/>
    </w:pPr>
    <w:rPr>
      <w:rFonts w:ascii="Calibri Light" w:hAnsi="Calibri Light" w:eastAsia="黑体" w:cs="Calibri Light"/>
      <w:b w:val="0"/>
      <w:bCs w:val="0"/>
      <w:color w:val="2E74B5"/>
      <w:kern w:val="0"/>
      <w:sz w:val="32"/>
      <w:szCs w:val="32"/>
    </w:rPr>
  </w:style>
  <w:style w:type="character" w:customStyle="1" w:styleId="53">
    <w:name w:val="标题 字符"/>
    <w:basedOn w:val="31"/>
    <w:qFormat/>
    <w:uiPriority w:val="99"/>
    <w:rPr>
      <w:rFonts w:asciiTheme="majorHAnsi" w:hAnsiTheme="majorHAnsi" w:eastAsiaTheme="majorEastAsia" w:cstheme="majorBidi"/>
      <w:b/>
      <w:bCs/>
      <w:sz w:val="32"/>
      <w:szCs w:val="32"/>
    </w:rPr>
  </w:style>
  <w:style w:type="character" w:customStyle="1" w:styleId="54">
    <w:name w:val="标题 Char1"/>
    <w:link w:val="28"/>
    <w:qFormat/>
    <w:locked/>
    <w:uiPriority w:val="99"/>
    <w:rPr>
      <w:rFonts w:ascii="Calibri Light" w:hAnsi="Calibri Light" w:eastAsia="宋体" w:cs="Calibri Light"/>
      <w:b/>
      <w:bCs/>
      <w:kern w:val="0"/>
      <w:sz w:val="32"/>
      <w:szCs w:val="32"/>
    </w:rPr>
  </w:style>
  <w:style w:type="character" w:customStyle="1" w:styleId="55">
    <w:name w:val="副标题 字符"/>
    <w:basedOn w:val="31"/>
    <w:qFormat/>
    <w:uiPriority w:val="99"/>
    <w:rPr>
      <w:b/>
      <w:bCs/>
      <w:kern w:val="28"/>
      <w:sz w:val="32"/>
      <w:szCs w:val="32"/>
    </w:rPr>
  </w:style>
  <w:style w:type="character" w:customStyle="1" w:styleId="56">
    <w:name w:val="副标题 Char"/>
    <w:link w:val="23"/>
    <w:qFormat/>
    <w:locked/>
    <w:uiPriority w:val="99"/>
    <w:rPr>
      <w:rFonts w:ascii="Calibri Light" w:hAnsi="Calibri Light" w:eastAsia="宋体" w:cs="Calibri Light"/>
      <w:b/>
      <w:bCs/>
      <w:kern w:val="28"/>
      <w:sz w:val="32"/>
      <w:szCs w:val="32"/>
    </w:rPr>
  </w:style>
  <w:style w:type="character" w:customStyle="1" w:styleId="57">
    <w:name w:val="日期 字符"/>
    <w:basedOn w:val="31"/>
    <w:semiHidden/>
    <w:qFormat/>
    <w:uiPriority w:val="99"/>
  </w:style>
  <w:style w:type="character" w:customStyle="1" w:styleId="58">
    <w:name w:val="日期 Char"/>
    <w:link w:val="17"/>
    <w:qFormat/>
    <w:locked/>
    <w:uiPriority w:val="99"/>
    <w:rPr>
      <w:rFonts w:ascii="Times New Roman" w:hAnsi="Times New Roman" w:eastAsia="宋体" w:cs="Times New Roman"/>
      <w:kern w:val="0"/>
      <w:sz w:val="20"/>
      <w:szCs w:val="20"/>
    </w:rPr>
  </w:style>
  <w:style w:type="character" w:customStyle="1" w:styleId="59">
    <w:name w:val="批注文字 字符"/>
    <w:basedOn w:val="31"/>
    <w:semiHidden/>
    <w:qFormat/>
    <w:uiPriority w:val="99"/>
  </w:style>
  <w:style w:type="character" w:customStyle="1" w:styleId="60">
    <w:name w:val="批注文字 Char"/>
    <w:link w:val="13"/>
    <w:semiHidden/>
    <w:qFormat/>
    <w:locked/>
    <w:uiPriority w:val="99"/>
    <w:rPr>
      <w:rFonts w:ascii="Times New Roman" w:hAnsi="Times New Roman" w:eastAsia="宋体" w:cs="Times New Roman"/>
      <w:kern w:val="0"/>
      <w:sz w:val="20"/>
      <w:szCs w:val="20"/>
    </w:rPr>
  </w:style>
  <w:style w:type="character" w:customStyle="1" w:styleId="61">
    <w:name w:val="批注主题 字符"/>
    <w:basedOn w:val="59"/>
    <w:semiHidden/>
    <w:qFormat/>
    <w:uiPriority w:val="99"/>
    <w:rPr>
      <w:b/>
      <w:bCs/>
    </w:rPr>
  </w:style>
  <w:style w:type="character" w:customStyle="1" w:styleId="62">
    <w:name w:val="批注主题 Char"/>
    <w:link w:val="29"/>
    <w:semiHidden/>
    <w:qFormat/>
    <w:locked/>
    <w:uiPriority w:val="99"/>
    <w:rPr>
      <w:rFonts w:ascii="Times New Roman" w:hAnsi="Times New Roman" w:eastAsia="宋体" w:cs="Times New Roman"/>
      <w:b/>
      <w:bCs/>
      <w:kern w:val="0"/>
      <w:sz w:val="20"/>
      <w:szCs w:val="20"/>
    </w:rPr>
  </w:style>
  <w:style w:type="character" w:customStyle="1" w:styleId="63">
    <w:name w:val="批注框文本 字符"/>
    <w:basedOn w:val="31"/>
    <w:semiHidden/>
    <w:qFormat/>
    <w:uiPriority w:val="99"/>
    <w:rPr>
      <w:sz w:val="18"/>
      <w:szCs w:val="18"/>
    </w:rPr>
  </w:style>
  <w:style w:type="character" w:customStyle="1" w:styleId="64">
    <w:name w:val="批注框文本 Char"/>
    <w:link w:val="18"/>
    <w:semiHidden/>
    <w:qFormat/>
    <w:locked/>
    <w:uiPriority w:val="99"/>
    <w:rPr>
      <w:rFonts w:ascii="Times New Roman" w:hAnsi="Times New Roman" w:eastAsia="宋体" w:cs="Times New Roman"/>
      <w:kern w:val="0"/>
      <w:sz w:val="18"/>
      <w:szCs w:val="18"/>
    </w:rPr>
  </w:style>
  <w:style w:type="character" w:customStyle="1" w:styleId="65">
    <w:name w:val="页脚 Char"/>
    <w:qFormat/>
    <w:uiPriority w:val="99"/>
    <w:rPr>
      <w:kern w:val="2"/>
      <w:sz w:val="18"/>
      <w:szCs w:val="18"/>
    </w:rPr>
  </w:style>
  <w:style w:type="paragraph" w:customStyle="1" w:styleId="66">
    <w:name w:val="修订1"/>
    <w:hidden/>
    <w:semiHidden/>
    <w:qFormat/>
    <w:uiPriority w:val="99"/>
    <w:pPr>
      <w:widowControl w:val="0"/>
      <w:adjustRightInd w:val="0"/>
      <w:spacing w:line="360" w:lineRule="atLeast"/>
      <w:jc w:val="both"/>
      <w:textAlignment w:val="baseline"/>
    </w:pPr>
    <w:rPr>
      <w:rFonts w:ascii="Times New Roman" w:hAnsi="Times New Roman" w:eastAsia="宋体" w:cs="Times New Roman"/>
      <w:kern w:val="2"/>
      <w:sz w:val="21"/>
      <w:szCs w:val="21"/>
      <w:lang w:val="en-US" w:eastAsia="zh-CN" w:bidi="ar-SA"/>
    </w:rPr>
  </w:style>
  <w:style w:type="character" w:customStyle="1" w:styleId="67">
    <w:name w:val="标题 Char"/>
    <w:qFormat/>
    <w:uiPriority w:val="99"/>
    <w:rPr>
      <w:rFonts w:ascii="Calibri Light" w:hAnsi="Calibri Light" w:cs="Calibri Light"/>
      <w:b/>
      <w:bCs/>
      <w:kern w:val="2"/>
      <w:sz w:val="32"/>
      <w:szCs w:val="32"/>
    </w:rPr>
  </w:style>
  <w:style w:type="paragraph" w:customStyle="1" w:styleId="68">
    <w:name w:val="一级标题"/>
    <w:basedOn w:val="2"/>
    <w:link w:val="70"/>
    <w:qFormat/>
    <w:uiPriority w:val="99"/>
    <w:pPr>
      <w:keepLines w:val="0"/>
      <w:adjustRightInd w:val="0"/>
      <w:snapToGrid w:val="0"/>
      <w:spacing w:before="0" w:beforeLines="50" w:after="0" w:afterLines="50" w:line="360" w:lineRule="atLeast"/>
      <w:ind w:left="4677" w:hanging="425"/>
      <w:jc w:val="center"/>
      <w:textAlignment w:val="baseline"/>
    </w:pPr>
    <w:rPr>
      <w:rFonts w:ascii="Times New Roman" w:hAnsi="Times New Roman" w:eastAsia="黑体" w:cs="Times New Roman"/>
      <w:color w:val="000000"/>
      <w:kern w:val="2"/>
      <w:sz w:val="32"/>
      <w:szCs w:val="32"/>
    </w:rPr>
  </w:style>
  <w:style w:type="paragraph" w:customStyle="1" w:styleId="69">
    <w:name w:val="二级标题"/>
    <w:next w:val="4"/>
    <w:link w:val="72"/>
    <w:qFormat/>
    <w:uiPriority w:val="99"/>
    <w:pPr>
      <w:widowControl w:val="0"/>
      <w:adjustRightInd w:val="0"/>
      <w:spacing w:beforeLines="50" w:afterLines="50" w:line="360" w:lineRule="atLeast"/>
      <w:jc w:val="both"/>
      <w:textAlignment w:val="baseline"/>
      <w:outlineLvl w:val="1"/>
    </w:pPr>
    <w:rPr>
      <w:rFonts w:ascii="Times New Roman" w:hAnsi="Times New Roman" w:eastAsia="黑体" w:cs="Times New Roman"/>
      <w:b/>
      <w:bCs/>
      <w:color w:val="000000"/>
      <w:kern w:val="2"/>
      <w:sz w:val="28"/>
      <w:szCs w:val="28"/>
      <w:lang w:val="en-US" w:eastAsia="zh-CN" w:bidi="ar-SA"/>
    </w:rPr>
  </w:style>
  <w:style w:type="character" w:customStyle="1" w:styleId="70">
    <w:name w:val="一级标题 字符"/>
    <w:link w:val="68"/>
    <w:qFormat/>
    <w:locked/>
    <w:uiPriority w:val="99"/>
    <w:rPr>
      <w:rFonts w:ascii="Times New Roman" w:hAnsi="Times New Roman" w:eastAsia="黑体" w:cs="Times New Roman"/>
      <w:b/>
      <w:bCs/>
      <w:color w:val="000000"/>
      <w:sz w:val="32"/>
      <w:szCs w:val="32"/>
    </w:rPr>
  </w:style>
  <w:style w:type="paragraph" w:customStyle="1" w:styleId="71">
    <w:name w:val="三级标题"/>
    <w:next w:val="1"/>
    <w:link w:val="73"/>
    <w:qFormat/>
    <w:uiPriority w:val="99"/>
    <w:pPr>
      <w:widowControl w:val="0"/>
      <w:adjustRightInd w:val="0"/>
      <w:spacing w:line="360" w:lineRule="atLeast"/>
      <w:jc w:val="both"/>
      <w:textAlignment w:val="baseline"/>
      <w:outlineLvl w:val="2"/>
    </w:pPr>
    <w:rPr>
      <w:rFonts w:ascii="Times New Roman" w:hAnsi="Times New Roman" w:eastAsia="宋体" w:cs="Times New Roman"/>
      <w:b/>
      <w:bCs/>
      <w:color w:val="000000"/>
      <w:kern w:val="2"/>
      <w:sz w:val="28"/>
      <w:szCs w:val="28"/>
      <w:lang w:val="en-US" w:eastAsia="zh-CN" w:bidi="ar-SA"/>
    </w:rPr>
  </w:style>
  <w:style w:type="character" w:customStyle="1" w:styleId="72">
    <w:name w:val="二级标题 字符"/>
    <w:link w:val="69"/>
    <w:qFormat/>
    <w:locked/>
    <w:uiPriority w:val="99"/>
    <w:rPr>
      <w:rFonts w:ascii="Times New Roman" w:hAnsi="Times New Roman" w:eastAsia="黑体" w:cs="Times New Roman"/>
      <w:b/>
      <w:bCs/>
      <w:color w:val="000000"/>
      <w:sz w:val="28"/>
      <w:szCs w:val="28"/>
    </w:rPr>
  </w:style>
  <w:style w:type="character" w:customStyle="1" w:styleId="73">
    <w:name w:val="三级标题 字符"/>
    <w:link w:val="71"/>
    <w:qFormat/>
    <w:locked/>
    <w:uiPriority w:val="99"/>
    <w:rPr>
      <w:rFonts w:ascii="Times New Roman" w:hAnsi="Times New Roman" w:eastAsia="宋体" w:cs="Times New Roman"/>
      <w:b/>
      <w:bCs/>
      <w:color w:val="000000"/>
      <w:sz w:val="28"/>
      <w:szCs w:val="28"/>
    </w:rPr>
  </w:style>
  <w:style w:type="paragraph" w:customStyle="1" w:styleId="74">
    <w:name w:val="章"/>
    <w:basedOn w:val="1"/>
    <w:qFormat/>
    <w:uiPriority w:val="0"/>
    <w:pPr>
      <w:spacing w:beforeLines="100" w:afterLines="100" w:line="300" w:lineRule="auto"/>
      <w:jc w:val="center"/>
      <w:outlineLvl w:val="0"/>
    </w:pPr>
    <w:rPr>
      <w:rFonts w:ascii="Times New Roman" w:hAnsi="Times New Roman" w:eastAsia="宋体" w:cs="Times New Roman"/>
      <w:b/>
      <w:bCs/>
      <w:sz w:val="28"/>
      <w:szCs w:val="28"/>
    </w:rPr>
  </w:style>
  <w:style w:type="paragraph" w:customStyle="1" w:styleId="75">
    <w:name w:val="目录 11"/>
    <w:basedOn w:val="1"/>
    <w:next w:val="1"/>
    <w:unhideWhenUsed/>
    <w:qFormat/>
    <w:uiPriority w:val="39"/>
    <w:pPr>
      <w:tabs>
        <w:tab w:val="left" w:pos="400"/>
        <w:tab w:val="right" w:leader="dot" w:pos="8302"/>
      </w:tabs>
      <w:adjustRightInd w:val="0"/>
      <w:snapToGrid w:val="0"/>
      <w:spacing w:after="50" w:afterLines="50" w:line="440" w:lineRule="exact"/>
      <w:jc w:val="left"/>
      <w:outlineLvl w:val="0"/>
    </w:pPr>
    <w:rPr>
      <w:rFonts w:ascii="宋体" w:hAnsi="宋体" w:eastAsia="宋体" w:cs="Times New Roman"/>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3220</Words>
  <Characters>18354</Characters>
  <Lines>152</Lines>
  <Paragraphs>43</Paragraphs>
  <TotalTime>627</TotalTime>
  <ScaleCrop>false</ScaleCrop>
  <LinksUpToDate>false</LinksUpToDate>
  <CharactersWithSpaces>21531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2023-10-10T07:15:00Z</dcterms:created>
  <dc:creator>bmn</dc:creator>
  <cp:lastModifiedBy>luoxy</cp:lastModifiedBy>
  <cp:lastPrinted>2023-11-03T17:51:00Z</cp:lastPrinted>
  <dcterms:modified xsi:type="dcterms:W3CDTF">2023-11-15T16:23:59Z</dcterms:modified>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4DA5C6324EF945C39807F69695562D93</vt:lpwstr>
  </property>
  <property fmtid="{D5CDD505-2E9C-101B-9397-08002B2CF9AE}" pid="4" name="ContentTypeId">
    <vt:lpwstr>0x010100E663FA80FCA76D45B15089B05059BA34</vt:lpwstr>
  </property>
</Properties>
</file>