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黑体" w:hAnsi="黑体" w:eastAsia="黑体"/>
          <w:bCs/>
          <w:kern w:val="0"/>
          <w:sz w:val="30"/>
          <w:szCs w:val="30"/>
        </w:rPr>
      </w:pPr>
      <w:r>
        <w:rPr>
          <w:rFonts w:ascii="黑体" w:hAnsi="黑体" w:eastAsia="黑体"/>
          <w:bCs/>
          <w:kern w:val="0"/>
          <w:sz w:val="30"/>
          <w:szCs w:val="30"/>
        </w:rPr>
        <w:t>UDC</w:t>
      </w:r>
    </w:p>
    <w:p>
      <w:pPr>
        <w:wordWrap w:val="0"/>
        <w:autoSpaceDE w:val="0"/>
        <w:autoSpaceDN w:val="0"/>
        <w:adjustRightInd w:val="0"/>
        <w:jc w:val="right"/>
        <w:rPr>
          <w:rFonts w:ascii="黑体" w:hAnsi="黑体" w:eastAsia="黑体"/>
          <w:kern w:val="0"/>
          <w:sz w:val="30"/>
          <w:szCs w:val="30"/>
        </w:rPr>
      </w:pPr>
      <w:r>
        <w:rPr>
          <w:rFonts w:hint="eastAsia" w:ascii="黑体" w:hAnsi="黑体" w:eastAsia="黑体"/>
          <w:kern w:val="0"/>
          <w:sz w:val="30"/>
          <w:szCs w:val="30"/>
        </w:rPr>
        <w:t>中华人民共和国国家标准</w:t>
      </w:r>
      <w:r>
        <w:rPr>
          <w:rFonts w:ascii="黑体" w:hAnsi="黑体" w:eastAsia="黑体"/>
          <w:kern w:val="0"/>
          <w:sz w:val="30"/>
          <w:szCs w:val="30"/>
        </w:rPr>
        <w:t xml:space="preserve">    </w:t>
      </w:r>
      <w:r>
        <w:rPr>
          <w:rFonts w:ascii="黑体" w:hAnsi="黑体" w:eastAsia="黑体"/>
          <w:kern w:val="0"/>
          <w:sz w:val="30"/>
          <w:szCs w:val="30"/>
        </w:rPr>
        <w:drawing>
          <wp:inline distT="0" distB="0" distL="0" distR="0">
            <wp:extent cx="1078230" cy="586740"/>
            <wp:effectExtent l="0" t="0" r="7620" b="381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22">
                      <a:extLst>
                        <a:ext uri="{28A0092B-C50C-407E-A947-70E740481C1C}">
                          <a14:useLocalDpi xmlns:a14="http://schemas.microsoft.com/office/drawing/2010/main" val="false"/>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rFonts w:ascii="黑体" w:hAnsi="黑体" w:eastAsia="黑体"/>
          <w:bCs/>
          <w:kern w:val="0"/>
          <w:sz w:val="30"/>
          <w:szCs w:val="30"/>
        </w:rPr>
      </w:pPr>
      <w:r>
        <w:rPr>
          <w:rFonts w:ascii="黑体" w:hAnsi="黑体" w:eastAsia="黑体"/>
          <w:bCs/>
          <w:kern w:val="0"/>
          <w:sz w:val="30"/>
          <w:szCs w:val="30"/>
        </w:rPr>
        <w:t>P                                        GB 55</w:t>
      </w:r>
      <w:r>
        <w:rPr>
          <w:rFonts w:ascii="黑体" w:hAnsi="黑体" w:eastAsia="黑体"/>
          <w:color w:val="FF0000"/>
          <w:kern w:val="0"/>
          <w:sz w:val="30"/>
          <w:szCs w:val="30"/>
        </w:rPr>
        <w:t>XXX</w:t>
      </w:r>
      <w:r>
        <w:rPr>
          <w:rFonts w:hint="eastAsia" w:ascii="黑体" w:hAnsi="黑体" w:eastAsia="黑体"/>
          <w:color w:val="FF0000"/>
          <w:kern w:val="0"/>
          <w:sz w:val="30"/>
          <w:szCs w:val="30"/>
        </w:rPr>
        <w:t>－</w:t>
      </w:r>
      <w:r>
        <w:rPr>
          <w:rFonts w:ascii="黑体" w:hAnsi="黑体" w:eastAsia="黑体"/>
          <w:bCs/>
          <w:kern w:val="0"/>
          <w:sz w:val="30"/>
          <w:szCs w:val="30"/>
        </w:rPr>
        <w:t>202X</w:t>
      </w:r>
    </w:p>
    <w:p>
      <w:pPr>
        <w:autoSpaceDE w:val="0"/>
        <w:autoSpaceDN w:val="0"/>
        <w:adjustRightInd w:val="0"/>
        <w:rPr>
          <w:rFonts w:ascii="黑体" w:hAnsi="黑体" w:eastAsia="黑体"/>
          <w:bCs/>
          <w:kern w:val="0"/>
          <w:sz w:val="30"/>
          <w:szCs w:val="30"/>
        </w:rPr>
      </w:pPr>
      <w:r>
        <w:rPr>
          <w:rFonts w:ascii="黑体" w:hAnsi="黑体" w:eastAsia="黑体"/>
          <w:sz w:val="30"/>
          <w:szCs w:val="30"/>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17145" t="17145" r="12065" b="1143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9pt;margin-top:4.35pt;height:0pt;width:446.2pt;z-index:251659264;mso-width-relative:page;mso-height-relative:page;" filled="f" stroked="t" coordsize="21600,21600" o:gfxdata="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vCTd/UAAAA&#10;BwEAAA8AAAAAAAAAAQAgAAAAOAAAAGRycy9kb3ducmV2LnhtbFBLAQIUABQAAAAIAIdO4kDY8BWy&#10;0gEAAG0DAAAOAAAAAAAAAAEAIAAAADkBAABkcnMvZTJvRG9jLnhtbFBLBQYAAAAABgAGAFkBAAB9&#10;BQAAAAA=&#10;">
                <v:fill on="f" focussize="0,0"/>
                <v:stroke weight="1.5pt" color="#000000" joinstyle="round"/>
                <v:imagedata o:title=""/>
                <o:lock v:ext="edit" aspectratio="f"/>
              </v:line>
            </w:pict>
          </mc:Fallback>
        </mc:AlternateContent>
      </w:r>
    </w:p>
    <w:p>
      <w:pPr>
        <w:autoSpaceDE w:val="0"/>
        <w:autoSpaceDN w:val="0"/>
        <w:adjustRightInd w:val="0"/>
        <w:rPr>
          <w:rFonts w:ascii="黑体" w:hAnsi="黑体" w:eastAsia="黑体"/>
          <w:bCs/>
          <w:kern w:val="0"/>
          <w:sz w:val="30"/>
          <w:szCs w:val="30"/>
        </w:rPr>
      </w:pPr>
    </w:p>
    <w:p>
      <w:pPr>
        <w:spacing w:before="312" w:after="312"/>
        <w:jc w:val="center"/>
        <w:rPr>
          <w:rFonts w:ascii="黑体" w:hAnsi="黑体" w:eastAsia="黑体"/>
          <w:w w:val="95"/>
          <w:sz w:val="36"/>
          <w:szCs w:val="36"/>
        </w:rPr>
      </w:pPr>
      <w:r>
        <w:rPr>
          <w:rFonts w:hint="eastAsia" w:ascii="黑体" w:hAnsi="黑体" w:eastAsia="黑体"/>
          <w:w w:val="95"/>
          <w:sz w:val="36"/>
          <w:szCs w:val="36"/>
        </w:rPr>
        <w:t>炼油化工工程项目规范</w:t>
      </w:r>
    </w:p>
    <w:p>
      <w:pPr>
        <w:autoSpaceDE w:val="0"/>
        <w:autoSpaceDN w:val="0"/>
        <w:adjustRightInd w:val="0"/>
        <w:jc w:val="center"/>
        <w:rPr>
          <w:rFonts w:ascii="Times New Roman" w:hAnsi="Times New Roman" w:eastAsia="黑体" w:cs="Times New Roman"/>
          <w:kern w:val="0"/>
          <w:sz w:val="30"/>
          <w:szCs w:val="30"/>
        </w:rPr>
      </w:pPr>
      <w:r>
        <w:rPr>
          <w:rFonts w:ascii="Times New Roman" w:hAnsi="Times New Roman" w:eastAsia="黑体" w:cs="Times New Roman"/>
          <w:w w:val="95"/>
          <w:sz w:val="30"/>
          <w:szCs w:val="30"/>
        </w:rPr>
        <w:t>Project code for refining and petrochemical engineering</w:t>
      </w:r>
    </w:p>
    <w:p>
      <w:pPr>
        <w:spacing w:before="312" w:after="312"/>
        <w:jc w:val="center"/>
        <w:rPr>
          <w:rFonts w:ascii="黑体" w:hAnsi="黑体" w:eastAsia="黑体"/>
          <w:w w:val="95"/>
          <w:sz w:val="32"/>
          <w:szCs w:val="32"/>
        </w:rPr>
      </w:pPr>
      <w:r>
        <w:rPr>
          <w:rFonts w:hint="eastAsia" w:ascii="黑体" w:hAnsi="黑体" w:eastAsia="黑体"/>
          <w:w w:val="95"/>
          <w:sz w:val="32"/>
          <w:szCs w:val="32"/>
        </w:rPr>
        <w:t>（征求意见稿）</w:t>
      </w:r>
    </w:p>
    <w:p>
      <w:pPr>
        <w:autoSpaceDE w:val="0"/>
        <w:autoSpaceDN w:val="0"/>
        <w:adjustRightInd w:val="0"/>
        <w:jc w:val="center"/>
        <w:rPr>
          <w:rFonts w:ascii="黑体" w:hAnsi="黑体" w:eastAsia="黑体"/>
          <w:kern w:val="0"/>
          <w:sz w:val="30"/>
          <w:szCs w:val="30"/>
        </w:rPr>
      </w:pPr>
    </w:p>
    <w:p>
      <w:pPr>
        <w:autoSpaceDE w:val="0"/>
        <w:autoSpaceDN w:val="0"/>
        <w:adjustRightInd w:val="0"/>
        <w:rPr>
          <w:rFonts w:ascii="黑体" w:hAnsi="黑体" w:eastAsia="黑体"/>
          <w:kern w:val="0"/>
          <w:sz w:val="30"/>
          <w:szCs w:val="30"/>
        </w:rPr>
      </w:pPr>
    </w:p>
    <w:p>
      <w:pPr>
        <w:autoSpaceDE w:val="0"/>
        <w:autoSpaceDN w:val="0"/>
        <w:adjustRightInd w:val="0"/>
        <w:rPr>
          <w:rFonts w:ascii="黑体" w:hAnsi="黑体" w:eastAsia="黑体"/>
          <w:kern w:val="0"/>
          <w:sz w:val="30"/>
          <w:szCs w:val="30"/>
        </w:rPr>
      </w:pPr>
    </w:p>
    <w:p>
      <w:pPr>
        <w:autoSpaceDE w:val="0"/>
        <w:autoSpaceDN w:val="0"/>
        <w:adjustRightInd w:val="0"/>
        <w:rPr>
          <w:rFonts w:ascii="黑体" w:hAnsi="黑体" w:eastAsia="黑体"/>
          <w:kern w:val="0"/>
          <w:sz w:val="30"/>
          <w:szCs w:val="30"/>
        </w:rPr>
      </w:pPr>
    </w:p>
    <w:p>
      <w:pPr>
        <w:autoSpaceDE w:val="0"/>
        <w:autoSpaceDN w:val="0"/>
        <w:adjustRightInd w:val="0"/>
        <w:rPr>
          <w:rFonts w:ascii="黑体" w:hAnsi="黑体" w:eastAsia="黑体"/>
          <w:kern w:val="0"/>
          <w:sz w:val="30"/>
          <w:szCs w:val="30"/>
        </w:rPr>
      </w:pPr>
    </w:p>
    <w:p>
      <w:pPr>
        <w:autoSpaceDE w:val="0"/>
        <w:autoSpaceDN w:val="0"/>
        <w:adjustRightInd w:val="0"/>
        <w:rPr>
          <w:rFonts w:ascii="黑体" w:hAnsi="黑体" w:eastAsia="黑体"/>
          <w:kern w:val="0"/>
          <w:sz w:val="30"/>
          <w:szCs w:val="30"/>
        </w:rPr>
      </w:pPr>
    </w:p>
    <w:p>
      <w:pPr>
        <w:autoSpaceDE w:val="0"/>
        <w:autoSpaceDN w:val="0"/>
        <w:adjustRightInd w:val="0"/>
        <w:rPr>
          <w:rFonts w:ascii="黑体" w:hAnsi="黑体" w:eastAsia="黑体"/>
          <w:kern w:val="0"/>
          <w:sz w:val="30"/>
          <w:szCs w:val="30"/>
        </w:rPr>
      </w:pPr>
    </w:p>
    <w:p>
      <w:pPr>
        <w:autoSpaceDE w:val="0"/>
        <w:autoSpaceDN w:val="0"/>
        <w:adjustRightInd w:val="0"/>
        <w:rPr>
          <w:rFonts w:ascii="黑体" w:hAnsi="黑体" w:eastAsia="黑体"/>
          <w:kern w:val="0"/>
          <w:sz w:val="30"/>
          <w:szCs w:val="30"/>
        </w:rPr>
      </w:pPr>
    </w:p>
    <w:p>
      <w:pPr>
        <w:autoSpaceDE w:val="0"/>
        <w:autoSpaceDN w:val="0"/>
        <w:adjustRightInd w:val="0"/>
        <w:spacing w:after="435" w:afterLines="100"/>
        <w:jc w:val="left"/>
        <w:rPr>
          <w:rFonts w:ascii="黑体" w:hAnsi="黑体" w:eastAsia="黑体"/>
          <w:kern w:val="0"/>
          <w:sz w:val="30"/>
          <w:szCs w:val="30"/>
        </w:rPr>
      </w:pPr>
      <w:r>
        <w:rPr>
          <w:rFonts w:ascii="黑体" w:hAnsi="黑体" w:eastAsia="黑体"/>
          <w:sz w:val="30"/>
          <w:szCs w:val="30"/>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369570</wp:posOffset>
                </wp:positionV>
                <wp:extent cx="5666740" cy="0"/>
                <wp:effectExtent l="18415" t="17145" r="10795" b="1143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3360;mso-width-relative:page;mso-height-relative:page;" filled="f" stroked="t" coordsize="21600,21600" o:gfxdata="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9CZvnX&#10;AAAACQEAAA8AAAAAAAAAAQAgAAAAOAAAAGRycy9kb3ducmV2LnhtbFBLAQIUABQAAAAIAIdO4kDn&#10;v4Pv0gEAAG0DAAAOAAAAAAAAAAEAIAAAADwBAABkcnMvZTJvRG9jLnhtbFBLBQYAAAAABgAGAFkB&#10;AACABQAAAAA=&#10;">
                <v:fill on="f" focussize="0,0"/>
                <v:stroke weight="1.5pt" color="#000000" joinstyle="round"/>
                <v:imagedata o:title=""/>
                <o:lock v:ext="edit" aspectratio="f"/>
              </v:line>
            </w:pict>
          </mc:Fallback>
        </mc:AlternateContent>
      </w:r>
      <w:r>
        <w:rPr>
          <w:rFonts w:ascii="黑体" w:hAnsi="黑体" w:eastAsia="黑体"/>
          <w:kern w:val="0"/>
          <w:sz w:val="30"/>
          <w:szCs w:val="30"/>
        </w:rPr>
        <w:t>2</w:t>
      </w:r>
      <w:r>
        <w:rPr>
          <w:rFonts w:ascii="黑体" w:hAnsi="黑体" w:eastAsia="黑体"/>
          <w:color w:val="000000" w:themeColor="text1"/>
          <w:kern w:val="0"/>
          <w:sz w:val="30"/>
          <w:szCs w:val="30"/>
          <w14:textFill>
            <w14:solidFill>
              <w14:schemeClr w14:val="tx1"/>
            </w14:solidFill>
          </w14:textFill>
        </w:rPr>
        <w:t>02</w:t>
      </w:r>
      <w:r>
        <w:rPr>
          <w:rFonts w:ascii="黑体" w:hAnsi="黑体" w:eastAsia="黑体"/>
          <w:kern w:val="0"/>
          <w:sz w:val="30"/>
          <w:szCs w:val="30"/>
        </w:rPr>
        <w:t xml:space="preserve">X– XX –XX </w:t>
      </w:r>
      <w:r>
        <w:rPr>
          <w:rFonts w:hint="eastAsia" w:ascii="黑体" w:hAnsi="黑体" w:eastAsia="黑体"/>
          <w:kern w:val="0"/>
          <w:sz w:val="30"/>
          <w:szCs w:val="30"/>
        </w:rPr>
        <w:t>发布</w:t>
      </w:r>
      <w:r>
        <w:rPr>
          <w:rFonts w:ascii="黑体" w:hAnsi="黑体" w:eastAsia="黑体"/>
          <w:kern w:val="0"/>
          <w:sz w:val="30"/>
          <w:szCs w:val="30"/>
        </w:rPr>
        <w:t xml:space="preserve">                202X – XX –01 </w:t>
      </w:r>
      <w:r>
        <w:rPr>
          <w:rFonts w:hint="eastAsia" w:ascii="黑体" w:hAnsi="黑体" w:eastAsia="黑体"/>
          <w:kern w:val="0"/>
          <w:sz w:val="30"/>
          <w:szCs w:val="30"/>
        </w:rPr>
        <w:t>实施</w:t>
      </w:r>
    </w:p>
    <w:tbl>
      <w:tblPr>
        <w:tblStyle w:val="35"/>
        <w:tblW w:w="8764" w:type="dxa"/>
        <w:tblInd w:w="0" w:type="dxa"/>
        <w:tblLayout w:type="fixed"/>
        <w:tblCellMar>
          <w:top w:w="0" w:type="dxa"/>
          <w:left w:w="10" w:type="dxa"/>
          <w:bottom w:w="0" w:type="dxa"/>
          <w:right w:w="10" w:type="dxa"/>
        </w:tblCellMar>
      </w:tblPr>
      <w:tblGrid>
        <w:gridCol w:w="5958"/>
        <w:gridCol w:w="2806"/>
      </w:tblGrid>
      <w:tr>
        <w:tblPrEx>
          <w:tblCellMar>
            <w:top w:w="0" w:type="dxa"/>
            <w:left w:w="10" w:type="dxa"/>
            <w:bottom w:w="0" w:type="dxa"/>
            <w:right w:w="10" w:type="dxa"/>
          </w:tblCellMar>
        </w:tblPrEx>
        <w:tc>
          <w:tcPr>
            <w:tcW w:w="5958" w:type="dxa"/>
          </w:tcPr>
          <w:p>
            <w:pPr>
              <w:autoSpaceDE w:val="0"/>
              <w:autoSpaceDN w:val="0"/>
              <w:adjustRightInd w:val="0"/>
              <w:jc w:val="distribute"/>
              <w:rPr>
                <w:rFonts w:ascii="黑体" w:hAnsi="黑体" w:eastAsia="黑体"/>
                <w:spacing w:val="40"/>
                <w:kern w:val="0"/>
                <w:sz w:val="30"/>
                <w:szCs w:val="30"/>
              </w:rPr>
            </w:pPr>
            <w:r>
              <w:rPr>
                <w:rFonts w:hint="eastAsia" w:ascii="黑体" w:hAnsi="黑体" w:eastAsia="黑体"/>
                <w:spacing w:val="40"/>
                <w:kern w:val="0"/>
                <w:sz w:val="30"/>
                <w:szCs w:val="30"/>
              </w:rPr>
              <w:t>中华人民共和国住房和城乡建设部</w:t>
            </w:r>
          </w:p>
        </w:tc>
        <w:tc>
          <w:tcPr>
            <w:tcW w:w="2806" w:type="dxa"/>
            <w:vMerge w:val="restart"/>
            <w:vAlign w:val="center"/>
          </w:tcPr>
          <w:p>
            <w:pPr>
              <w:autoSpaceDE w:val="0"/>
              <w:autoSpaceDN w:val="0"/>
              <w:adjustRightInd w:val="0"/>
              <w:jc w:val="center"/>
              <w:rPr>
                <w:rFonts w:ascii="黑体" w:hAnsi="黑体" w:eastAsia="黑体"/>
                <w:kern w:val="0"/>
                <w:sz w:val="30"/>
                <w:szCs w:val="30"/>
              </w:rPr>
            </w:pPr>
            <w:r>
              <w:rPr>
                <w:rFonts w:hint="eastAsia" w:ascii="黑体" w:hAnsi="黑体" w:eastAsia="黑体"/>
                <w:kern w:val="0"/>
                <w:sz w:val="30"/>
                <w:szCs w:val="30"/>
              </w:rPr>
              <w:t>联合发布</w:t>
            </w:r>
          </w:p>
        </w:tc>
      </w:tr>
      <w:tr>
        <w:tblPrEx>
          <w:tblCellMar>
            <w:top w:w="0" w:type="dxa"/>
            <w:left w:w="10" w:type="dxa"/>
            <w:bottom w:w="0" w:type="dxa"/>
            <w:right w:w="10" w:type="dxa"/>
          </w:tblCellMar>
        </w:tblPrEx>
        <w:tc>
          <w:tcPr>
            <w:tcW w:w="5958" w:type="dxa"/>
          </w:tcPr>
          <w:p>
            <w:pPr>
              <w:autoSpaceDE w:val="0"/>
              <w:autoSpaceDN w:val="0"/>
              <w:adjustRightInd w:val="0"/>
              <w:jc w:val="distribute"/>
              <w:rPr>
                <w:rFonts w:ascii="黑体" w:hAnsi="黑体" w:eastAsia="黑体"/>
                <w:kern w:val="0"/>
                <w:sz w:val="30"/>
                <w:szCs w:val="30"/>
              </w:rPr>
            </w:pPr>
            <w:r>
              <w:rPr>
                <w:rFonts w:hint="eastAsia" w:ascii="黑体" w:hAnsi="黑体" w:eastAsia="黑体"/>
                <w:kern w:val="0"/>
                <w:sz w:val="30"/>
                <w:szCs w:val="30"/>
              </w:rPr>
              <w:t>国家市场监督管理总局</w:t>
            </w:r>
          </w:p>
        </w:tc>
        <w:tc>
          <w:tcPr>
            <w:tcW w:w="2806" w:type="dxa"/>
            <w:vMerge w:val="continue"/>
            <w:vAlign w:val="center"/>
          </w:tcPr>
          <w:p>
            <w:pPr>
              <w:widowControl/>
              <w:jc w:val="left"/>
              <w:rPr>
                <w:rFonts w:ascii="黑体" w:hAnsi="黑体" w:eastAsia="黑体"/>
                <w:kern w:val="0"/>
                <w:sz w:val="30"/>
                <w:szCs w:val="30"/>
              </w:rPr>
            </w:pPr>
          </w:p>
        </w:tc>
      </w:tr>
    </w:tbl>
    <w:p>
      <w:pPr>
        <w:rPr>
          <w:rFonts w:ascii="黑体" w:hAnsi="黑体" w:eastAsia="黑体"/>
          <w:sz w:val="30"/>
          <w:szCs w:val="30"/>
        </w:rPr>
        <w:sectPr>
          <w:headerReference r:id="rId5" w:type="first"/>
          <w:footerReference r:id="rId8" w:type="first"/>
          <w:headerReference r:id="rId3" w:type="default"/>
          <w:footerReference r:id="rId6" w:type="default"/>
          <w:headerReference r:id="rId4" w:type="even"/>
          <w:footerReference r:id="rId7" w:type="even"/>
          <w:type w:val="oddPage"/>
          <w:pgSz w:w="11906" w:h="16838"/>
          <w:pgMar w:top="1440" w:right="1800" w:bottom="1440" w:left="1800" w:header="851" w:footer="992" w:gutter="0"/>
          <w:pgNumType w:start="1"/>
          <w:cols w:space="425" w:num="1"/>
          <w:docGrid w:type="lines" w:linePitch="435" w:charSpace="0"/>
        </w:sectPr>
      </w:pPr>
    </w:p>
    <w:p>
      <w:pPr>
        <w:spacing w:line="360" w:lineRule="auto"/>
        <w:jc w:val="center"/>
        <w:rPr>
          <w:rFonts w:ascii="黑体" w:hAnsi="Times New Roman" w:eastAsia="黑体" w:cs="Times New Roman"/>
          <w:sz w:val="32"/>
          <w:szCs w:val="24"/>
        </w:rPr>
      </w:pPr>
      <w:r>
        <w:rPr>
          <w:rFonts w:hint="eastAsia" w:ascii="黑体" w:hAnsi="Times New Roman" w:eastAsia="黑体" w:cs="Times New Roman"/>
          <w:sz w:val="32"/>
          <w:szCs w:val="24"/>
        </w:rPr>
        <w:t>前</w:t>
      </w:r>
      <w:r>
        <w:rPr>
          <w:rFonts w:ascii="黑体" w:hAnsi="Times New Roman" w:eastAsia="黑体" w:cs="Times New Roman"/>
          <w:sz w:val="32"/>
          <w:szCs w:val="24"/>
        </w:rPr>
        <w:t xml:space="preserve">    </w:t>
      </w:r>
      <w:r>
        <w:rPr>
          <w:rFonts w:hint="eastAsia" w:ascii="黑体" w:hAnsi="Times New Roman" w:eastAsia="黑体" w:cs="Times New Roman"/>
          <w:sz w:val="32"/>
          <w:szCs w:val="24"/>
        </w:rPr>
        <w:t>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为适应国际技术法规与技术标准通行规则，</w:t>
      </w:r>
      <w:r>
        <w:rPr>
          <w:rFonts w:asciiTheme="minorEastAsia" w:hAnsiTheme="minorEastAsia"/>
          <w:sz w:val="24"/>
          <w:szCs w:val="24"/>
        </w:rPr>
        <w:t>2016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技术法规”体系。</w:t>
      </w:r>
    </w:p>
    <w:p>
      <w:pPr>
        <w:spacing w:line="360" w:lineRule="auto"/>
        <w:ind w:firstLine="640"/>
        <w:rPr>
          <w:rFonts w:asciiTheme="minorEastAsia" w:hAnsiTheme="minorEastAsia"/>
          <w:sz w:val="24"/>
          <w:szCs w:val="24"/>
        </w:rPr>
      </w:pPr>
      <w:r>
        <w:rPr>
          <w:rFonts w:hint="eastAsia" w:asciiTheme="minorEastAsia" w:hAnsiTheme="minorEastAsia"/>
          <w:sz w:val="24"/>
          <w:szCs w:val="24"/>
        </w:rPr>
        <w:t>关于规范种类。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w:t>
      </w:r>
      <w:r>
        <w:rPr>
          <w:rFonts w:asciiTheme="minorEastAsia" w:hAnsiTheme="minorEastAsia"/>
          <w:sz w:val="24"/>
          <w:szCs w:val="24"/>
        </w:rPr>
        <w:t>工程</w:t>
      </w:r>
      <w:r>
        <w:rPr>
          <w:rFonts w:hint="eastAsia" w:asciiTheme="minorEastAsia" w:hAnsiTheme="minorEastAsia"/>
          <w:sz w:val="24"/>
          <w:szCs w:val="24"/>
        </w:rPr>
        <w:t>建设</w:t>
      </w:r>
      <w:r>
        <w:rPr>
          <w:rFonts w:asciiTheme="minorEastAsia" w:hAnsiTheme="minorEastAsia"/>
          <w:sz w:val="24"/>
          <w:szCs w:val="24"/>
        </w:rPr>
        <w:t>规范体系中</w:t>
      </w:r>
      <w:r>
        <w:rPr>
          <w:rFonts w:hint="eastAsia" w:asciiTheme="minorEastAsia" w:hAnsiTheme="minorEastAsia"/>
          <w:sz w:val="24"/>
          <w:szCs w:val="24"/>
        </w:rPr>
        <w:t>，</w:t>
      </w:r>
      <w:r>
        <w:rPr>
          <w:rFonts w:asciiTheme="minorEastAsia" w:hAnsiTheme="minorEastAsia"/>
          <w:sz w:val="24"/>
          <w:szCs w:val="24"/>
        </w:rPr>
        <w:t>项目规范为</w:t>
      </w:r>
      <w:r>
        <w:rPr>
          <w:rFonts w:hint="eastAsia" w:asciiTheme="minorEastAsia" w:hAnsiTheme="minorEastAsia"/>
          <w:sz w:val="24"/>
          <w:szCs w:val="24"/>
        </w:rPr>
        <w:t>主干</w:t>
      </w:r>
      <w:r>
        <w:rPr>
          <w:rFonts w:asciiTheme="minorEastAsia" w:hAnsiTheme="minorEastAsia"/>
          <w:sz w:val="24"/>
          <w:szCs w:val="24"/>
        </w:rPr>
        <w:t>，通用规范</w:t>
      </w:r>
      <w:r>
        <w:rPr>
          <w:rFonts w:hint="eastAsia" w:asciiTheme="minorEastAsia" w:hAnsiTheme="minorEastAsia"/>
          <w:sz w:val="24"/>
          <w:szCs w:val="24"/>
        </w:rPr>
        <w:t>是对各类项目共性的、通用的专业性关键技术措施的规定</w:t>
      </w:r>
      <w:r>
        <w:rPr>
          <w:rFonts w:asciiTheme="minorEastAsia" w:hAnsiTheme="minorEastAsia"/>
          <w:sz w:val="24"/>
          <w:szCs w:val="24"/>
        </w:rPr>
        <w:t>。</w:t>
      </w:r>
    </w:p>
    <w:p>
      <w:pPr>
        <w:spacing w:line="360" w:lineRule="auto"/>
        <w:ind w:firstLine="570"/>
        <w:rPr>
          <w:rFonts w:asciiTheme="minorEastAsia" w:hAnsiTheme="minorEastAsia"/>
          <w:sz w:val="24"/>
          <w:szCs w:val="24"/>
        </w:rPr>
      </w:pPr>
      <w:r>
        <w:rPr>
          <w:rFonts w:hint="eastAsia" w:asciiTheme="minorEastAsia" w:hAnsiTheme="minorEastAsia"/>
          <w:sz w:val="24"/>
          <w:szCs w:val="24"/>
        </w:rPr>
        <w:t>关于五大要素指标。强制性工程建设规范中各项要素是保障工程建设体系化和效率提升的基本规定，是支撑工程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工程建设安全、绿色、韧性、智慧、宜居、公平、有效率等发展目标的基本保障。</w:t>
      </w:r>
    </w:p>
    <w:p>
      <w:pPr>
        <w:spacing w:line="360" w:lineRule="auto"/>
        <w:ind w:firstLine="641"/>
        <w:rPr>
          <w:rFonts w:asciiTheme="minorEastAsia" w:hAnsiTheme="minorEastAsia"/>
          <w:sz w:val="24"/>
          <w:szCs w:val="24"/>
        </w:rPr>
      </w:pPr>
      <w:r>
        <w:rPr>
          <w:rFonts w:hint="eastAsia" w:asciiTheme="minorEastAsia" w:hAnsiTheme="minorEastAsia"/>
          <w:sz w:val="24"/>
          <w:szCs w:val="24"/>
        </w:rPr>
        <w:t>关于规范实施。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w:t>
      </w:r>
      <w:r>
        <w:rPr>
          <w:rFonts w:hint="eastAsia" w:asciiTheme="minorEastAsia" w:hAnsiTheme="minorEastAsia"/>
          <w:color w:val="000000" w:themeColor="text1"/>
          <w:sz w:val="24"/>
          <w:szCs w:val="24"/>
          <w14:textFill>
            <w14:solidFill>
              <w14:schemeClr w14:val="tx1"/>
            </w14:solidFill>
          </w14:textFill>
        </w:rPr>
        <w:t>其中，对于既有建筑改造项目（指不改变现有使用功能），当条件不具备，执行现行规范确有困难时，应不低于原建造时的标准。与强制性工程建设规范配套的推荐性工程建设标准是经过实</w:t>
      </w:r>
      <w:r>
        <w:rPr>
          <w:rFonts w:hint="eastAsia" w:asciiTheme="minorEastAsia" w:hAnsiTheme="minorEastAsia"/>
          <w:sz w:val="24"/>
          <w:szCs w:val="24"/>
        </w:rPr>
        <w:t>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spacing w:line="360" w:lineRule="auto"/>
        <w:ind w:firstLine="640"/>
        <w:rPr>
          <w:rFonts w:ascii="黑体" w:hAnsi="黑体" w:eastAsia="黑体"/>
          <w:sz w:val="30"/>
          <w:szCs w:val="30"/>
        </w:rPr>
      </w:pPr>
      <w:r>
        <w:rPr>
          <w:rFonts w:hint="eastAsia" w:asciiTheme="minorEastAsia" w:hAnsiTheme="minorEastAsia"/>
          <w:sz w:val="24"/>
          <w:szCs w:val="24"/>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pStyle w:val="28"/>
        <w:tabs>
          <w:tab w:val="right" w:leader="dot" w:pos="8494"/>
        </w:tabs>
        <w:spacing w:line="360" w:lineRule="auto"/>
        <w:ind w:left="0" w:firstLine="450" w:firstLineChars="150"/>
        <w:rPr>
          <w:rFonts w:ascii="黑体" w:hAnsi="黑体" w:eastAsia="黑体"/>
          <w:smallCaps w:val="0"/>
          <w:color w:val="FF0000"/>
          <w:sz w:val="30"/>
          <w:szCs w:val="30"/>
        </w:rPr>
        <w:sectPr>
          <w:footerReference r:id="rId9" w:type="default"/>
          <w:footerReference r:id="rId10" w:type="even"/>
          <w:pgSz w:w="11906" w:h="16838"/>
          <w:pgMar w:top="1440" w:right="1800" w:bottom="1440" w:left="1800" w:header="851" w:footer="992" w:gutter="0"/>
          <w:pgNumType w:start="1"/>
          <w:cols w:space="425" w:num="1"/>
          <w:docGrid w:type="lines" w:linePitch="435" w:charSpace="0"/>
        </w:sectPr>
      </w:pPr>
    </w:p>
    <w:p>
      <w:pPr>
        <w:adjustRightInd w:val="0"/>
        <w:snapToGrid w:val="0"/>
        <w:spacing w:line="360" w:lineRule="auto"/>
        <w:jc w:val="center"/>
        <w:rPr>
          <w:rFonts w:ascii="黑体" w:hAnsi="Times New Roman" w:eastAsia="黑体" w:cs="Times New Roman"/>
          <w:bCs/>
          <w:sz w:val="32"/>
          <w:szCs w:val="32"/>
        </w:rPr>
      </w:pPr>
      <w:r>
        <w:rPr>
          <w:rFonts w:hint="eastAsia" w:ascii="黑体" w:hAnsi="Times New Roman" w:eastAsia="黑体" w:cs="Times New Roman"/>
          <w:bCs/>
          <w:sz w:val="32"/>
          <w:szCs w:val="32"/>
        </w:rPr>
        <w:t>目</w:t>
      </w:r>
      <w:r>
        <w:rPr>
          <w:rFonts w:ascii="黑体" w:hAnsi="Times New Roman" w:eastAsia="黑体" w:cs="Times New Roman"/>
          <w:bCs/>
          <w:sz w:val="32"/>
          <w:szCs w:val="32"/>
        </w:rPr>
        <w:t xml:space="preserve">    </w:t>
      </w:r>
      <w:r>
        <w:rPr>
          <w:rFonts w:hint="eastAsia" w:ascii="黑体" w:hAnsi="Times New Roman" w:eastAsia="黑体" w:cs="Times New Roman"/>
          <w:bCs/>
          <w:sz w:val="32"/>
          <w:szCs w:val="32"/>
        </w:rPr>
        <w:t>次</w:t>
      </w:r>
    </w:p>
    <w:p>
      <w:pPr>
        <w:pStyle w:val="25"/>
        <w:tabs>
          <w:tab w:val="right" w:leader="dot" w:pos="8296"/>
        </w:tabs>
        <w:spacing w:before="0" w:after="0" w:line="360" w:lineRule="auto"/>
        <w:rPr>
          <w:rStyle w:val="40"/>
          <w:rFonts w:ascii="Times New Roman" w:hAnsi="Times New Roman"/>
          <w:color w:val="auto"/>
          <w:sz w:val="24"/>
          <w:szCs w:val="24"/>
          <w:u w:val="none"/>
        </w:rPr>
      </w:pPr>
      <w:r>
        <w:rPr>
          <w:rFonts w:ascii="Times New Roman" w:hAnsi="Times New Roman"/>
          <w:b w:val="0"/>
          <w:bCs w:val="0"/>
          <w:caps w:val="0"/>
          <w:sz w:val="24"/>
          <w:szCs w:val="24"/>
        </w:rPr>
        <w:fldChar w:fldCharType="begin"/>
      </w:r>
      <w:r>
        <w:rPr>
          <w:rFonts w:ascii="Times New Roman" w:hAnsi="Times New Roman"/>
          <w:b w:val="0"/>
          <w:bCs w:val="0"/>
          <w:caps w:val="0"/>
          <w:sz w:val="24"/>
          <w:szCs w:val="24"/>
        </w:rPr>
        <w:instrText xml:space="preserve"> TOC \o "1-2" \h \z \u </w:instrText>
      </w:r>
      <w:r>
        <w:rPr>
          <w:rFonts w:ascii="Times New Roman" w:hAnsi="Times New Roman"/>
          <w:b w:val="0"/>
          <w:bCs w:val="0"/>
          <w:caps w:val="0"/>
          <w:sz w:val="24"/>
          <w:szCs w:val="24"/>
        </w:rPr>
        <w:fldChar w:fldCharType="separate"/>
      </w:r>
      <w:r>
        <w:fldChar w:fldCharType="begin"/>
      </w:r>
      <w:r>
        <w:instrText xml:space="preserve"> HYPERLINK \l "_Toc146639845" </w:instrText>
      </w:r>
      <w:r>
        <w:fldChar w:fldCharType="separate"/>
      </w:r>
      <w:r>
        <w:rPr>
          <w:rStyle w:val="40"/>
          <w:rFonts w:ascii="Times New Roman" w:hAnsi="Times New Roman"/>
          <w:b w:val="0"/>
          <w:color w:val="auto"/>
          <w:sz w:val="24"/>
          <w:szCs w:val="24"/>
          <w:u w:val="none"/>
        </w:rPr>
        <w:t xml:space="preserve">1  </w:t>
      </w:r>
      <w:r>
        <w:rPr>
          <w:rStyle w:val="40"/>
          <w:rFonts w:hint="eastAsia" w:ascii="Times New Roman" w:hAnsi="Times New Roman"/>
          <w:b w:val="0"/>
          <w:color w:val="auto"/>
          <w:sz w:val="24"/>
          <w:szCs w:val="24"/>
          <w:u w:val="none"/>
        </w:rPr>
        <w:t>总</w:t>
      </w:r>
      <w:r>
        <w:rPr>
          <w:rStyle w:val="40"/>
          <w:rFonts w:ascii="Times New Roman" w:hAnsi="Times New Roman"/>
          <w:b w:val="0"/>
          <w:color w:val="auto"/>
          <w:sz w:val="24"/>
          <w:szCs w:val="24"/>
          <w:u w:val="none"/>
        </w:rPr>
        <w:t xml:space="preserve">    </w:t>
      </w:r>
      <w:r>
        <w:rPr>
          <w:rStyle w:val="40"/>
          <w:rFonts w:hint="eastAsia" w:ascii="Times New Roman" w:hAnsi="Times New Roman"/>
          <w:b w:val="0"/>
          <w:color w:val="auto"/>
          <w:sz w:val="24"/>
          <w:szCs w:val="24"/>
          <w:u w:val="none"/>
        </w:rPr>
        <w:t>则</w:t>
      </w:r>
      <w:r>
        <w:rPr>
          <w:rStyle w:val="40"/>
          <w:rFonts w:ascii="Times New Roman" w:hAnsi="Times New Roman"/>
          <w:b w:val="0"/>
          <w:color w:val="auto"/>
          <w:sz w:val="24"/>
          <w:szCs w:val="24"/>
          <w:u w:val="none"/>
        </w:rPr>
        <w:tab/>
      </w:r>
      <w:r>
        <w:rPr>
          <w:rStyle w:val="40"/>
          <w:rFonts w:ascii="Times New Roman" w:hAnsi="Times New Roman"/>
          <w:b w:val="0"/>
          <w:color w:val="auto"/>
          <w:sz w:val="24"/>
          <w:szCs w:val="24"/>
          <w:u w:val="none"/>
        </w:rPr>
        <w:fldChar w:fldCharType="begin"/>
      </w:r>
      <w:r>
        <w:rPr>
          <w:rStyle w:val="40"/>
          <w:rFonts w:ascii="Times New Roman" w:hAnsi="Times New Roman"/>
          <w:b w:val="0"/>
          <w:color w:val="auto"/>
          <w:sz w:val="24"/>
          <w:szCs w:val="24"/>
          <w:u w:val="none"/>
        </w:rPr>
        <w:instrText xml:space="preserve"> PAGEREF _Toc146639845 \h </w:instrText>
      </w:r>
      <w:r>
        <w:rPr>
          <w:rStyle w:val="40"/>
          <w:rFonts w:ascii="Times New Roman" w:hAnsi="Times New Roman"/>
          <w:b w:val="0"/>
          <w:color w:val="auto"/>
          <w:sz w:val="24"/>
          <w:szCs w:val="24"/>
          <w:u w:val="none"/>
        </w:rPr>
        <w:fldChar w:fldCharType="separate"/>
      </w:r>
      <w:r>
        <w:rPr>
          <w:rStyle w:val="40"/>
          <w:rFonts w:ascii="Times New Roman" w:hAnsi="Times New Roman"/>
          <w:b w:val="0"/>
          <w:color w:val="auto"/>
          <w:sz w:val="24"/>
          <w:szCs w:val="24"/>
          <w:u w:val="none"/>
        </w:rPr>
        <w:t>1</w:t>
      </w:r>
      <w:r>
        <w:rPr>
          <w:rStyle w:val="40"/>
          <w:rFonts w:ascii="Times New Roman" w:hAnsi="Times New Roman"/>
          <w:b w:val="0"/>
          <w:color w:val="auto"/>
          <w:sz w:val="24"/>
          <w:szCs w:val="24"/>
          <w:u w:val="none"/>
        </w:rPr>
        <w:fldChar w:fldCharType="end"/>
      </w:r>
      <w:r>
        <w:rPr>
          <w:rStyle w:val="40"/>
          <w:rFonts w:ascii="Times New Roman" w:hAnsi="Times New Roman"/>
          <w:b w:val="0"/>
          <w:color w:val="auto"/>
          <w:sz w:val="24"/>
          <w:szCs w:val="24"/>
          <w:u w:val="none"/>
        </w:rPr>
        <w:fldChar w:fldCharType="end"/>
      </w:r>
    </w:p>
    <w:p>
      <w:pPr>
        <w:pStyle w:val="25"/>
        <w:tabs>
          <w:tab w:val="right" w:leader="dot" w:pos="8296"/>
        </w:tabs>
        <w:spacing w:before="0" w:after="0" w:line="360" w:lineRule="auto"/>
        <w:rPr>
          <w:rStyle w:val="40"/>
          <w:rFonts w:ascii="Times New Roman" w:hAnsi="Times New Roman"/>
          <w:color w:val="auto"/>
          <w:sz w:val="24"/>
          <w:szCs w:val="24"/>
          <w:u w:val="none"/>
        </w:rPr>
      </w:pPr>
      <w:r>
        <w:fldChar w:fldCharType="begin"/>
      </w:r>
      <w:r>
        <w:instrText xml:space="preserve"> HYPERLINK \l "_Toc146639846" </w:instrText>
      </w:r>
      <w:r>
        <w:fldChar w:fldCharType="separate"/>
      </w:r>
      <w:r>
        <w:rPr>
          <w:rStyle w:val="40"/>
          <w:rFonts w:ascii="Times New Roman" w:hAnsi="Times New Roman"/>
          <w:b w:val="0"/>
          <w:color w:val="auto"/>
          <w:sz w:val="24"/>
          <w:szCs w:val="24"/>
          <w:u w:val="none"/>
        </w:rPr>
        <w:t xml:space="preserve">2  </w:t>
      </w:r>
      <w:r>
        <w:rPr>
          <w:rStyle w:val="40"/>
          <w:rFonts w:hint="eastAsia" w:ascii="Times New Roman" w:hAnsi="Times New Roman"/>
          <w:b w:val="0"/>
          <w:color w:val="auto"/>
          <w:sz w:val="24"/>
          <w:szCs w:val="24"/>
          <w:u w:val="none"/>
        </w:rPr>
        <w:t>基本规定</w:t>
      </w:r>
      <w:r>
        <w:rPr>
          <w:rStyle w:val="40"/>
          <w:rFonts w:ascii="Times New Roman" w:hAnsi="Times New Roman"/>
          <w:b w:val="0"/>
          <w:color w:val="auto"/>
          <w:sz w:val="24"/>
          <w:szCs w:val="24"/>
          <w:u w:val="none"/>
        </w:rPr>
        <w:tab/>
      </w:r>
      <w:r>
        <w:rPr>
          <w:rStyle w:val="40"/>
          <w:rFonts w:ascii="Times New Roman" w:hAnsi="Times New Roman"/>
          <w:b w:val="0"/>
          <w:color w:val="auto"/>
          <w:sz w:val="24"/>
          <w:szCs w:val="24"/>
          <w:u w:val="none"/>
        </w:rPr>
        <w:fldChar w:fldCharType="begin"/>
      </w:r>
      <w:r>
        <w:rPr>
          <w:rStyle w:val="40"/>
          <w:rFonts w:ascii="Times New Roman" w:hAnsi="Times New Roman"/>
          <w:b w:val="0"/>
          <w:color w:val="auto"/>
          <w:sz w:val="24"/>
          <w:szCs w:val="24"/>
          <w:u w:val="none"/>
        </w:rPr>
        <w:instrText xml:space="preserve"> PAGEREF _Toc146639846 \h </w:instrText>
      </w:r>
      <w:r>
        <w:rPr>
          <w:rStyle w:val="40"/>
          <w:rFonts w:ascii="Times New Roman" w:hAnsi="Times New Roman"/>
          <w:b w:val="0"/>
          <w:color w:val="auto"/>
          <w:sz w:val="24"/>
          <w:szCs w:val="24"/>
          <w:u w:val="none"/>
        </w:rPr>
        <w:fldChar w:fldCharType="separate"/>
      </w:r>
      <w:r>
        <w:rPr>
          <w:rStyle w:val="40"/>
          <w:rFonts w:ascii="Times New Roman" w:hAnsi="Times New Roman"/>
          <w:b w:val="0"/>
          <w:color w:val="auto"/>
          <w:sz w:val="24"/>
          <w:szCs w:val="24"/>
          <w:u w:val="none"/>
        </w:rPr>
        <w:t>2</w:t>
      </w:r>
      <w:r>
        <w:rPr>
          <w:rStyle w:val="40"/>
          <w:rFonts w:ascii="Times New Roman" w:hAnsi="Times New Roman"/>
          <w:b w:val="0"/>
          <w:color w:val="auto"/>
          <w:sz w:val="24"/>
          <w:szCs w:val="24"/>
          <w:u w:val="none"/>
        </w:rPr>
        <w:fldChar w:fldCharType="end"/>
      </w:r>
      <w:r>
        <w:rPr>
          <w:rStyle w:val="40"/>
          <w:rFonts w:ascii="Times New Roman" w:hAnsi="Times New Roman"/>
          <w:b w:val="0"/>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"_Toc146639847" </w:instrText>
      </w:r>
      <w:r>
        <w:fldChar w:fldCharType="separate"/>
      </w:r>
      <w:r>
        <w:rPr>
          <w:rStyle w:val="40"/>
          <w:rFonts w:ascii="Times New Roman" w:hAnsi="Times New Roman"/>
          <w:color w:val="auto"/>
          <w:sz w:val="24"/>
          <w:szCs w:val="24"/>
          <w:u w:val="none"/>
        </w:rPr>
        <w:t xml:space="preserve">2.1  </w:t>
      </w:r>
      <w:r>
        <w:rPr>
          <w:rStyle w:val="40"/>
          <w:rFonts w:hint="eastAsia" w:ascii="Times New Roman" w:hAnsi="Times New Roman"/>
          <w:color w:val="auto"/>
          <w:sz w:val="24"/>
          <w:szCs w:val="24"/>
          <w:u w:val="none"/>
        </w:rPr>
        <w:t>目标与功能</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_Toc146639847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2</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"_Toc146639848" </w:instrText>
      </w:r>
      <w:r>
        <w:fldChar w:fldCharType="separate"/>
      </w:r>
      <w:r>
        <w:rPr>
          <w:rStyle w:val="40"/>
          <w:rFonts w:ascii="Times New Roman" w:hAnsi="Times New Roman"/>
          <w:color w:val="auto"/>
          <w:sz w:val="24"/>
          <w:szCs w:val="24"/>
          <w:u w:val="none"/>
        </w:rPr>
        <w:t xml:space="preserve">2.2  </w:t>
      </w:r>
      <w:r>
        <w:rPr>
          <w:rStyle w:val="40"/>
          <w:rFonts w:hint="eastAsia" w:ascii="Times New Roman" w:hAnsi="Times New Roman"/>
          <w:color w:val="auto"/>
          <w:sz w:val="24"/>
          <w:szCs w:val="24"/>
          <w:u w:val="none"/>
        </w:rPr>
        <w:t>通用要求</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_Toc146639848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3</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"_Toc146639849" </w:instrText>
      </w:r>
      <w:r>
        <w:fldChar w:fldCharType="separate"/>
      </w:r>
      <w:r>
        <w:rPr>
          <w:rStyle w:val="40"/>
          <w:rFonts w:ascii="Times New Roman" w:hAnsi="Times New Roman"/>
          <w:color w:val="auto"/>
          <w:sz w:val="24"/>
          <w:szCs w:val="24"/>
          <w:u w:val="none"/>
        </w:rPr>
        <w:t xml:space="preserve">2.3  </w:t>
      </w:r>
      <w:r>
        <w:rPr>
          <w:rStyle w:val="40"/>
          <w:rFonts w:hint="eastAsia" w:ascii="Times New Roman" w:hAnsi="Times New Roman"/>
          <w:color w:val="auto"/>
          <w:sz w:val="24"/>
          <w:szCs w:val="24"/>
          <w:u w:val="none"/>
        </w:rPr>
        <w:t>环境保护</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_Toc146639849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5</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"_Toc146639850" </w:instrText>
      </w:r>
      <w:r>
        <w:fldChar w:fldCharType="separate"/>
      </w:r>
      <w:r>
        <w:rPr>
          <w:rStyle w:val="40"/>
          <w:rFonts w:ascii="Times New Roman" w:hAnsi="Times New Roman"/>
          <w:color w:val="auto"/>
          <w:sz w:val="24"/>
          <w:szCs w:val="24"/>
          <w:u w:val="none"/>
        </w:rPr>
        <w:t xml:space="preserve">2.4  </w:t>
      </w:r>
      <w:r>
        <w:rPr>
          <w:rStyle w:val="40"/>
          <w:rFonts w:hint="eastAsia" w:ascii="Times New Roman" w:hAnsi="Times New Roman"/>
          <w:color w:val="auto"/>
          <w:sz w:val="24"/>
          <w:szCs w:val="24"/>
          <w:u w:val="none"/>
        </w:rPr>
        <w:t>职业安全卫生</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_Toc146639850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7</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5"/>
        <w:tabs>
          <w:tab w:val="right" w:leader="dot" w:pos="8296"/>
        </w:tabs>
        <w:spacing w:before="0" w:after="0" w:line="360" w:lineRule="auto"/>
        <w:rPr>
          <w:rStyle w:val="40"/>
          <w:rFonts w:ascii="Times New Roman" w:hAnsi="Times New Roman"/>
          <w:color w:val="auto"/>
          <w:sz w:val="24"/>
          <w:szCs w:val="24"/>
          <w:u w:val="none"/>
        </w:rPr>
      </w:pPr>
      <w:r>
        <w:fldChar w:fldCharType="begin"/>
      </w:r>
      <w:r>
        <w:instrText xml:space="preserve"> HYPERLINK \l "_Toc146639851" </w:instrText>
      </w:r>
      <w:r>
        <w:fldChar w:fldCharType="separate"/>
      </w:r>
      <w:r>
        <w:rPr>
          <w:rStyle w:val="40"/>
          <w:rFonts w:ascii="Times New Roman" w:hAnsi="Times New Roman"/>
          <w:b w:val="0"/>
          <w:color w:val="auto"/>
          <w:sz w:val="24"/>
          <w:szCs w:val="24"/>
          <w:u w:val="none"/>
        </w:rPr>
        <w:t>3  选址布局与总平面布置</w:t>
      </w:r>
      <w:r>
        <w:rPr>
          <w:rStyle w:val="40"/>
          <w:rFonts w:ascii="Times New Roman" w:hAnsi="Times New Roman"/>
          <w:b w:val="0"/>
          <w:color w:val="auto"/>
          <w:sz w:val="24"/>
          <w:szCs w:val="24"/>
          <w:u w:val="none"/>
        </w:rPr>
        <w:tab/>
      </w:r>
      <w:r>
        <w:rPr>
          <w:rStyle w:val="40"/>
          <w:rFonts w:ascii="Times New Roman" w:hAnsi="Times New Roman"/>
          <w:b w:val="0"/>
          <w:color w:val="auto"/>
          <w:sz w:val="24"/>
          <w:szCs w:val="24"/>
          <w:u w:val="none"/>
        </w:rPr>
        <w:fldChar w:fldCharType="begin"/>
      </w:r>
      <w:r>
        <w:rPr>
          <w:rStyle w:val="40"/>
          <w:rFonts w:ascii="Times New Roman" w:hAnsi="Times New Roman"/>
          <w:b w:val="0"/>
          <w:color w:val="auto"/>
          <w:sz w:val="24"/>
          <w:szCs w:val="24"/>
          <w:u w:val="none"/>
        </w:rPr>
        <w:instrText xml:space="preserve"> PAGEREF _Toc146639851 \h </w:instrText>
      </w:r>
      <w:r>
        <w:rPr>
          <w:rStyle w:val="40"/>
          <w:rFonts w:ascii="Times New Roman" w:hAnsi="Times New Roman"/>
          <w:b w:val="0"/>
          <w:color w:val="auto"/>
          <w:sz w:val="24"/>
          <w:szCs w:val="24"/>
          <w:u w:val="none"/>
        </w:rPr>
        <w:fldChar w:fldCharType="separate"/>
      </w:r>
      <w:r>
        <w:rPr>
          <w:rStyle w:val="40"/>
          <w:rFonts w:ascii="Times New Roman" w:hAnsi="Times New Roman"/>
          <w:b w:val="0"/>
          <w:color w:val="auto"/>
          <w:sz w:val="24"/>
          <w:szCs w:val="24"/>
          <w:u w:val="none"/>
        </w:rPr>
        <w:t>9</w:t>
      </w:r>
      <w:r>
        <w:rPr>
          <w:rStyle w:val="40"/>
          <w:rFonts w:ascii="Times New Roman" w:hAnsi="Times New Roman"/>
          <w:b w:val="0"/>
          <w:color w:val="auto"/>
          <w:sz w:val="24"/>
          <w:szCs w:val="24"/>
          <w:u w:val="none"/>
        </w:rPr>
        <w:fldChar w:fldCharType="end"/>
      </w:r>
      <w:r>
        <w:rPr>
          <w:rStyle w:val="40"/>
          <w:rFonts w:ascii="Times New Roman" w:hAnsi="Times New Roman"/>
          <w:b w:val="0"/>
          <w:color w:val="auto"/>
          <w:sz w:val="24"/>
          <w:szCs w:val="24"/>
          <w:u w:val="none"/>
        </w:rPr>
        <w:fldChar w:fldCharType="end"/>
      </w:r>
    </w:p>
    <w:p>
      <w:pPr>
        <w:pStyle w:val="25"/>
        <w:tabs>
          <w:tab w:val="right" w:leader="dot" w:pos="8296"/>
        </w:tabs>
        <w:spacing w:before="0" w:after="0" w:line="360" w:lineRule="auto"/>
        <w:rPr>
          <w:rStyle w:val="40"/>
          <w:rFonts w:ascii="Times New Roman" w:hAnsi="Times New Roman"/>
          <w:color w:val="auto"/>
          <w:sz w:val="24"/>
          <w:szCs w:val="24"/>
          <w:u w:val="none"/>
        </w:rPr>
      </w:pPr>
      <w:r>
        <w:fldChar w:fldCharType="begin"/>
      </w:r>
      <w:r>
        <w:instrText xml:space="preserve"> HYPERLINK \l "_Toc146639852" </w:instrText>
      </w:r>
      <w:r>
        <w:fldChar w:fldCharType="separate"/>
      </w:r>
      <w:r>
        <w:rPr>
          <w:rStyle w:val="40"/>
          <w:rFonts w:ascii="Times New Roman" w:hAnsi="Times New Roman"/>
          <w:b w:val="0"/>
          <w:color w:val="auto"/>
          <w:sz w:val="24"/>
          <w:szCs w:val="24"/>
          <w:u w:val="none"/>
        </w:rPr>
        <w:t>4  生产装置及系统单元</w:t>
      </w:r>
      <w:r>
        <w:rPr>
          <w:rStyle w:val="40"/>
          <w:rFonts w:ascii="Times New Roman" w:hAnsi="Times New Roman"/>
          <w:b w:val="0"/>
          <w:color w:val="auto"/>
          <w:sz w:val="24"/>
          <w:szCs w:val="24"/>
          <w:u w:val="none"/>
        </w:rPr>
        <w:tab/>
      </w:r>
      <w:r>
        <w:rPr>
          <w:rStyle w:val="40"/>
          <w:rFonts w:ascii="Times New Roman" w:hAnsi="Times New Roman"/>
          <w:b w:val="0"/>
          <w:color w:val="auto"/>
          <w:sz w:val="24"/>
          <w:szCs w:val="24"/>
          <w:u w:val="none"/>
        </w:rPr>
        <w:fldChar w:fldCharType="begin"/>
      </w:r>
      <w:r>
        <w:rPr>
          <w:rStyle w:val="40"/>
          <w:rFonts w:ascii="Times New Roman" w:hAnsi="Times New Roman"/>
          <w:b w:val="0"/>
          <w:color w:val="auto"/>
          <w:sz w:val="24"/>
          <w:szCs w:val="24"/>
          <w:u w:val="none"/>
        </w:rPr>
        <w:instrText xml:space="preserve"> PAGEREF _Toc146639852 \h </w:instrText>
      </w:r>
      <w:r>
        <w:rPr>
          <w:rStyle w:val="40"/>
          <w:rFonts w:ascii="Times New Roman" w:hAnsi="Times New Roman"/>
          <w:b w:val="0"/>
          <w:color w:val="auto"/>
          <w:sz w:val="24"/>
          <w:szCs w:val="24"/>
          <w:u w:val="none"/>
        </w:rPr>
        <w:fldChar w:fldCharType="separate"/>
      </w:r>
      <w:r>
        <w:rPr>
          <w:rStyle w:val="40"/>
          <w:rFonts w:ascii="Times New Roman" w:hAnsi="Times New Roman"/>
          <w:b w:val="0"/>
          <w:color w:val="auto"/>
          <w:sz w:val="24"/>
          <w:szCs w:val="24"/>
          <w:u w:val="none"/>
        </w:rPr>
        <w:t>14</w:t>
      </w:r>
      <w:r>
        <w:rPr>
          <w:rStyle w:val="40"/>
          <w:rFonts w:ascii="Times New Roman" w:hAnsi="Times New Roman"/>
          <w:b w:val="0"/>
          <w:color w:val="auto"/>
          <w:sz w:val="24"/>
          <w:szCs w:val="24"/>
          <w:u w:val="none"/>
        </w:rPr>
        <w:fldChar w:fldCharType="end"/>
      </w:r>
      <w:r>
        <w:rPr>
          <w:rStyle w:val="40"/>
          <w:rFonts w:ascii="Times New Roman" w:hAnsi="Times New Roman"/>
          <w:b w:val="0"/>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"_Toc146639853" </w:instrText>
      </w:r>
      <w:r>
        <w:fldChar w:fldCharType="separate"/>
      </w:r>
      <w:r>
        <w:rPr>
          <w:rStyle w:val="40"/>
          <w:rFonts w:ascii="Times New Roman" w:hAnsi="Times New Roman"/>
          <w:color w:val="auto"/>
          <w:sz w:val="24"/>
          <w:szCs w:val="24"/>
          <w:u w:val="none"/>
        </w:rPr>
        <w:t xml:space="preserve">4.1  </w:t>
      </w:r>
      <w:r>
        <w:rPr>
          <w:rStyle w:val="40"/>
          <w:rFonts w:hint="eastAsia" w:ascii="Times New Roman" w:hAnsi="Times New Roman"/>
          <w:color w:val="auto"/>
          <w:sz w:val="24"/>
          <w:szCs w:val="24"/>
          <w:u w:val="none"/>
        </w:rPr>
        <w:t>一般规定</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_Toc146639853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14</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"_Toc146639854" </w:instrText>
      </w:r>
      <w:r>
        <w:fldChar w:fldCharType="separate"/>
      </w:r>
      <w:r>
        <w:rPr>
          <w:rStyle w:val="40"/>
          <w:rFonts w:ascii="Times New Roman" w:hAnsi="Times New Roman"/>
          <w:color w:val="auto"/>
          <w:sz w:val="24"/>
          <w:szCs w:val="24"/>
          <w:u w:val="none"/>
        </w:rPr>
        <w:t xml:space="preserve">4.2  </w:t>
      </w:r>
      <w:r>
        <w:rPr>
          <w:rStyle w:val="40"/>
          <w:rFonts w:hint="eastAsia" w:ascii="Times New Roman" w:hAnsi="Times New Roman"/>
          <w:color w:val="auto"/>
          <w:sz w:val="24"/>
          <w:szCs w:val="24"/>
          <w:u w:val="none"/>
        </w:rPr>
        <w:t>装置布置及管道</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_Toc146639854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14</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"_Toc146639855" </w:instrText>
      </w:r>
      <w:r>
        <w:fldChar w:fldCharType="separate"/>
      </w:r>
      <w:r>
        <w:rPr>
          <w:rStyle w:val="40"/>
          <w:rFonts w:ascii="Times New Roman" w:hAnsi="Times New Roman"/>
          <w:color w:val="auto"/>
          <w:sz w:val="24"/>
          <w:szCs w:val="24"/>
          <w:u w:val="none"/>
        </w:rPr>
        <w:t xml:space="preserve">4.3  </w:t>
      </w:r>
      <w:r>
        <w:rPr>
          <w:rStyle w:val="40"/>
          <w:rFonts w:hint="eastAsia" w:ascii="Times New Roman" w:hAnsi="Times New Roman"/>
          <w:color w:val="auto"/>
          <w:sz w:val="24"/>
          <w:szCs w:val="24"/>
          <w:u w:val="none"/>
        </w:rPr>
        <w:t>泄压排放系统</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_Toc146639855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18</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"_Toc146639856" </w:instrText>
      </w:r>
      <w:r>
        <w:fldChar w:fldCharType="separate"/>
      </w:r>
      <w:r>
        <w:rPr>
          <w:rStyle w:val="40"/>
          <w:rFonts w:ascii="Times New Roman" w:hAnsi="Times New Roman"/>
          <w:color w:val="auto"/>
          <w:sz w:val="24"/>
          <w:szCs w:val="24"/>
          <w:u w:val="none"/>
        </w:rPr>
        <w:t xml:space="preserve">4.4  </w:t>
      </w:r>
      <w:r>
        <w:rPr>
          <w:rStyle w:val="40"/>
          <w:rFonts w:hint="eastAsia" w:ascii="Times New Roman" w:hAnsi="Times New Roman"/>
          <w:color w:val="auto"/>
          <w:sz w:val="24"/>
          <w:szCs w:val="24"/>
          <w:u w:val="none"/>
        </w:rPr>
        <w:t>控制系统</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_Toc146639856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18</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"_Toc146639857" </w:instrText>
      </w:r>
      <w:r>
        <w:fldChar w:fldCharType="separate"/>
      </w:r>
      <w:r>
        <w:rPr>
          <w:rStyle w:val="40"/>
          <w:rFonts w:ascii="Times New Roman" w:hAnsi="Times New Roman"/>
          <w:color w:val="auto"/>
          <w:sz w:val="24"/>
          <w:szCs w:val="24"/>
          <w:u w:val="none"/>
        </w:rPr>
        <w:t xml:space="preserve">4.5  </w:t>
      </w:r>
      <w:r>
        <w:rPr>
          <w:rStyle w:val="40"/>
          <w:rFonts w:hint="eastAsia" w:ascii="Times New Roman" w:hAnsi="Times New Roman"/>
          <w:color w:val="auto"/>
          <w:sz w:val="24"/>
          <w:szCs w:val="24"/>
          <w:u w:val="none"/>
        </w:rPr>
        <w:t>给排水系统</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_Toc146639857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19</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"_Toc146639858" </w:instrText>
      </w:r>
      <w:r>
        <w:fldChar w:fldCharType="separate"/>
      </w:r>
      <w:r>
        <w:rPr>
          <w:rStyle w:val="40"/>
          <w:rFonts w:ascii="Times New Roman" w:hAnsi="Times New Roman"/>
          <w:color w:val="auto"/>
          <w:sz w:val="24"/>
          <w:szCs w:val="24"/>
          <w:u w:val="none"/>
        </w:rPr>
        <w:t xml:space="preserve">4.6  </w:t>
      </w:r>
      <w:r>
        <w:rPr>
          <w:rStyle w:val="40"/>
          <w:rFonts w:hint="eastAsia" w:ascii="Times New Roman" w:hAnsi="Times New Roman"/>
          <w:color w:val="auto"/>
          <w:sz w:val="24"/>
          <w:szCs w:val="24"/>
          <w:u w:val="none"/>
        </w:rPr>
        <w:t>电气系统</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_Toc146639858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19</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"_Toc146639859" </w:instrText>
      </w:r>
      <w:r>
        <w:fldChar w:fldCharType="separate"/>
      </w:r>
      <w:r>
        <w:rPr>
          <w:rStyle w:val="40"/>
          <w:rFonts w:ascii="Times New Roman" w:hAnsi="Times New Roman"/>
          <w:color w:val="auto"/>
          <w:sz w:val="24"/>
          <w:szCs w:val="24"/>
          <w:u w:val="none"/>
        </w:rPr>
        <w:t xml:space="preserve">4.7  </w:t>
      </w:r>
      <w:r>
        <w:rPr>
          <w:rStyle w:val="40"/>
          <w:rFonts w:hint="eastAsia" w:ascii="Times New Roman" w:hAnsi="Times New Roman"/>
          <w:color w:val="auto"/>
          <w:sz w:val="24"/>
          <w:szCs w:val="24"/>
          <w:u w:val="none"/>
        </w:rPr>
        <w:t>热力系统</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_Toc146639859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21</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"_Toc146639860" </w:instrText>
      </w:r>
      <w:r>
        <w:fldChar w:fldCharType="separate"/>
      </w:r>
      <w:r>
        <w:rPr>
          <w:rStyle w:val="40"/>
          <w:rFonts w:ascii="Times New Roman" w:hAnsi="Times New Roman"/>
          <w:color w:val="auto"/>
          <w:sz w:val="24"/>
          <w:szCs w:val="24"/>
          <w:u w:val="none"/>
        </w:rPr>
        <w:t xml:space="preserve">4.8  </w:t>
      </w:r>
      <w:r>
        <w:rPr>
          <w:rStyle w:val="40"/>
          <w:rFonts w:hint="eastAsia" w:ascii="Times New Roman" w:hAnsi="Times New Roman"/>
          <w:color w:val="auto"/>
          <w:sz w:val="24"/>
          <w:szCs w:val="24"/>
          <w:u w:val="none"/>
        </w:rPr>
        <w:t>其他</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_Toc146639860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21</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5"/>
        <w:tabs>
          <w:tab w:val="right" w:leader="dot" w:pos="8296"/>
        </w:tabs>
        <w:spacing w:before="0" w:after="0" w:line="360" w:lineRule="auto"/>
        <w:rPr>
          <w:rStyle w:val="40"/>
          <w:rFonts w:ascii="Times New Roman" w:hAnsi="Times New Roman"/>
          <w:color w:val="auto"/>
          <w:sz w:val="24"/>
          <w:szCs w:val="24"/>
          <w:u w:val="none"/>
        </w:rPr>
      </w:pPr>
      <w:r>
        <w:fldChar w:fldCharType="begin"/>
      </w:r>
      <w:r>
        <w:instrText xml:space="preserve"> HYPERLINK \l "_Toc146639861" </w:instrText>
      </w:r>
      <w:r>
        <w:fldChar w:fldCharType="separate"/>
      </w:r>
      <w:r>
        <w:rPr>
          <w:rStyle w:val="40"/>
          <w:rFonts w:ascii="Times New Roman" w:hAnsi="Times New Roman"/>
          <w:b w:val="0"/>
          <w:color w:val="auto"/>
          <w:sz w:val="24"/>
          <w:szCs w:val="24"/>
          <w:u w:val="none"/>
        </w:rPr>
        <w:t>5  储运设施</w:t>
      </w:r>
      <w:r>
        <w:rPr>
          <w:rStyle w:val="40"/>
          <w:rFonts w:ascii="Times New Roman" w:hAnsi="Times New Roman"/>
          <w:b w:val="0"/>
          <w:color w:val="auto"/>
          <w:sz w:val="24"/>
          <w:szCs w:val="24"/>
          <w:u w:val="none"/>
        </w:rPr>
        <w:tab/>
      </w:r>
      <w:r>
        <w:rPr>
          <w:rStyle w:val="40"/>
          <w:rFonts w:ascii="Times New Roman" w:hAnsi="Times New Roman"/>
          <w:b w:val="0"/>
          <w:color w:val="auto"/>
          <w:sz w:val="24"/>
          <w:szCs w:val="24"/>
          <w:u w:val="none"/>
        </w:rPr>
        <w:fldChar w:fldCharType="begin"/>
      </w:r>
      <w:r>
        <w:rPr>
          <w:rStyle w:val="40"/>
          <w:rFonts w:ascii="Times New Roman" w:hAnsi="Times New Roman"/>
          <w:b w:val="0"/>
          <w:color w:val="auto"/>
          <w:sz w:val="24"/>
          <w:szCs w:val="24"/>
          <w:u w:val="none"/>
        </w:rPr>
        <w:instrText xml:space="preserve"> PAGEREF _Toc146639861 \h </w:instrText>
      </w:r>
      <w:r>
        <w:rPr>
          <w:rStyle w:val="40"/>
          <w:rFonts w:ascii="Times New Roman" w:hAnsi="Times New Roman"/>
          <w:b w:val="0"/>
          <w:color w:val="auto"/>
          <w:sz w:val="24"/>
          <w:szCs w:val="24"/>
          <w:u w:val="none"/>
        </w:rPr>
        <w:fldChar w:fldCharType="separate"/>
      </w:r>
      <w:r>
        <w:rPr>
          <w:rStyle w:val="40"/>
          <w:rFonts w:ascii="Times New Roman" w:hAnsi="Times New Roman"/>
          <w:b w:val="0"/>
          <w:color w:val="auto"/>
          <w:sz w:val="24"/>
          <w:szCs w:val="24"/>
          <w:u w:val="none"/>
        </w:rPr>
        <w:t>23</w:t>
      </w:r>
      <w:r>
        <w:rPr>
          <w:rStyle w:val="40"/>
          <w:rFonts w:ascii="Times New Roman" w:hAnsi="Times New Roman"/>
          <w:b w:val="0"/>
          <w:color w:val="auto"/>
          <w:sz w:val="24"/>
          <w:szCs w:val="24"/>
          <w:u w:val="none"/>
        </w:rPr>
        <w:fldChar w:fldCharType="end"/>
      </w:r>
      <w:r>
        <w:rPr>
          <w:rStyle w:val="40"/>
          <w:rFonts w:ascii="Times New Roman" w:hAnsi="Times New Roman"/>
          <w:b w:val="0"/>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"_Toc146639862" </w:instrText>
      </w:r>
      <w:r>
        <w:fldChar w:fldCharType="separate"/>
      </w:r>
      <w:r>
        <w:rPr>
          <w:rStyle w:val="40"/>
          <w:rFonts w:ascii="Times New Roman" w:hAnsi="Times New Roman"/>
          <w:color w:val="auto"/>
          <w:sz w:val="24"/>
          <w:szCs w:val="24"/>
          <w:u w:val="none"/>
        </w:rPr>
        <w:t xml:space="preserve">5.1  </w:t>
      </w:r>
      <w:r>
        <w:rPr>
          <w:rStyle w:val="40"/>
          <w:rFonts w:hint="eastAsia" w:ascii="Times New Roman" w:hAnsi="Times New Roman"/>
          <w:color w:val="auto"/>
          <w:sz w:val="24"/>
          <w:szCs w:val="24"/>
          <w:u w:val="none"/>
        </w:rPr>
        <w:t>罐区一般规定</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_Toc146639862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23</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Style w:val="40"/>
          <w:rFonts w:ascii="Times New Roman" w:hAnsi="Times New Roman"/>
          <w:color w:val="auto"/>
          <w:sz w:val="24"/>
          <w:szCs w:val="24"/>
          <w:u w:val="none"/>
        </w:rPr>
      </w:pPr>
      <w:r>
        <w:fldChar w:fldCharType="begin"/>
      </w:r>
      <w:r>
        <w:instrText xml:space="preserve"> HYPERLINK \l "_Toc146639863" </w:instrText>
      </w:r>
      <w:r>
        <w:fldChar w:fldCharType="separate"/>
      </w:r>
      <w:r>
        <w:rPr>
          <w:rStyle w:val="40"/>
          <w:rFonts w:ascii="Times New Roman" w:hAnsi="Times New Roman"/>
          <w:color w:val="auto"/>
          <w:sz w:val="24"/>
          <w:szCs w:val="24"/>
          <w:u w:val="none"/>
        </w:rPr>
        <w:t xml:space="preserve">5.2  </w:t>
      </w:r>
      <w:r>
        <w:rPr>
          <w:rStyle w:val="40"/>
          <w:rFonts w:hint="eastAsia" w:ascii="Times New Roman" w:hAnsi="Times New Roman"/>
          <w:color w:val="auto"/>
          <w:sz w:val="24"/>
          <w:szCs w:val="24"/>
          <w:u w:val="none"/>
        </w:rPr>
        <w:t>可燃液体储罐区</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_Toc146639863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23</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"_Toc146639864" </w:instrText>
      </w:r>
      <w:r>
        <w:fldChar w:fldCharType="separate"/>
      </w:r>
      <w:r>
        <w:rPr>
          <w:rStyle w:val="40"/>
          <w:rFonts w:ascii="Times New Roman" w:hAnsi="Times New Roman"/>
          <w:color w:val="auto"/>
          <w:sz w:val="24"/>
          <w:szCs w:val="24"/>
          <w:u w:val="none"/>
        </w:rPr>
        <w:t xml:space="preserve">5.3  </w:t>
      </w:r>
      <w:r>
        <w:rPr>
          <w:rStyle w:val="40"/>
          <w:rFonts w:hint="eastAsia" w:ascii="Times New Roman" w:hAnsi="Times New Roman"/>
          <w:color w:val="auto"/>
          <w:sz w:val="24"/>
          <w:szCs w:val="24"/>
          <w:u w:val="none"/>
        </w:rPr>
        <w:t>液化烃、可燃气体、助燃气体储罐罐区</w:t>
      </w:r>
      <w:r>
        <w:rPr>
          <w:rStyle w:val="40"/>
          <w:rFonts w:ascii="Times New Roman" w:hAnsi="Times New Roman"/>
          <w:color w:val="auto"/>
          <w:sz w:val="24"/>
          <w:szCs w:val="24"/>
          <w:u w:val="none"/>
        </w:rPr>
        <w:tab/>
      </w:r>
      <w:r>
        <w:rPr>
          <w:rStyle w:val="40"/>
          <w:rFonts w:ascii="Times New Roman" w:hAnsi="Times New Roman"/>
          <w:color w:val="auto"/>
          <w:sz w:val="24"/>
          <w:szCs w:val="24"/>
          <w:u w:val="none"/>
        </w:rPr>
        <w:fldChar w:fldCharType="begin"/>
      </w:r>
      <w:r>
        <w:rPr>
          <w:rStyle w:val="40"/>
          <w:rFonts w:ascii="Times New Roman" w:hAnsi="Times New Roman"/>
          <w:color w:val="auto"/>
          <w:sz w:val="24"/>
          <w:szCs w:val="24"/>
          <w:u w:val="none"/>
        </w:rPr>
        <w:instrText xml:space="preserve"> PAGEREF _Toc146639864 \h </w:instrText>
      </w:r>
      <w:r>
        <w:rPr>
          <w:rStyle w:val="40"/>
          <w:rFonts w:ascii="Times New Roman" w:hAnsi="Times New Roman"/>
          <w:color w:val="auto"/>
          <w:sz w:val="24"/>
          <w:szCs w:val="24"/>
          <w:u w:val="none"/>
        </w:rPr>
        <w:fldChar w:fldCharType="separate"/>
      </w:r>
      <w:r>
        <w:rPr>
          <w:rStyle w:val="40"/>
          <w:rFonts w:ascii="Times New Roman" w:hAnsi="Times New Roman"/>
          <w:color w:val="auto"/>
          <w:sz w:val="24"/>
          <w:szCs w:val="24"/>
          <w:u w:val="none"/>
        </w:rPr>
        <w:t>25</w:t>
      </w:r>
      <w:r>
        <w:rPr>
          <w:rStyle w:val="40"/>
          <w:rFonts w:ascii="Times New Roman" w:hAnsi="Times New Roman"/>
          <w:color w:val="auto"/>
          <w:sz w:val="24"/>
          <w:szCs w:val="24"/>
          <w:u w:val="none"/>
        </w:rPr>
        <w:fldChar w:fldCharType="end"/>
      </w:r>
      <w:r>
        <w:rPr>
          <w:rStyle w:val="40"/>
          <w:rFonts w:ascii="Times New Roman" w:hAnsi="Times New Roman"/>
          <w:color w:val="auto"/>
          <w:sz w:val="24"/>
          <w:szCs w:val="24"/>
          <w:u w:val="none"/>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"_Toc146639865" </w:instrText>
      </w:r>
      <w:r>
        <w:fldChar w:fldCharType="separate"/>
      </w:r>
      <w:r>
        <w:rPr>
          <w:rStyle w:val="40"/>
          <w:rFonts w:ascii="Times New Roman" w:hAnsi="Times New Roman"/>
          <w:color w:val="auto"/>
          <w:sz w:val="24"/>
          <w:szCs w:val="24"/>
          <w:u w:val="none"/>
        </w:rPr>
        <w:t xml:space="preserve">5.4  </w:t>
      </w:r>
      <w:r>
        <w:rPr>
          <w:rStyle w:val="40"/>
          <w:rFonts w:hint="eastAsia" w:ascii="Times New Roman" w:hAnsi="Times New Roman"/>
          <w:color w:val="auto"/>
          <w:sz w:val="24"/>
          <w:szCs w:val="24"/>
          <w:u w:val="none"/>
        </w:rPr>
        <w:t>可燃液体、液化烃装卸车设施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_Toc146639865 \h </w:instrText>
      </w:r>
      <w:r>
        <w:rPr>
          <w:rFonts w:ascii="Times New Roman" w:hAnsi="Times New Roman"/>
          <w:sz w:val="24"/>
          <w:szCs w:val="24"/>
        </w:rPr>
        <w:fldChar w:fldCharType="separate"/>
      </w:r>
      <w:r>
        <w:rPr>
          <w:rFonts w:ascii="Times New Roman" w:hAnsi="Times New Roman"/>
          <w:sz w:val="24"/>
          <w:szCs w:val="24"/>
        </w:rPr>
        <w:t>26</w:t>
      </w:r>
      <w:r>
        <w:rPr>
          <w:rFonts w:ascii="Times New Roman" w:hAnsi="Times New Roman"/>
          <w:sz w:val="24"/>
          <w:szCs w:val="24"/>
        </w:rPr>
        <w:fldChar w:fldCharType="end"/>
      </w:r>
      <w:r>
        <w:rPr>
          <w:rFonts w:ascii="Times New Roman" w:hAnsi="Times New Roman"/>
          <w:sz w:val="24"/>
          <w:szCs w:val="24"/>
        </w:rPr>
        <w:fldChar w:fldCharType="end"/>
      </w:r>
    </w:p>
    <w:p>
      <w:pPr>
        <w:pStyle w:val="25"/>
        <w:tabs>
          <w:tab w:val="right" w:leader="dot" w:pos="8296"/>
        </w:tabs>
        <w:spacing w:before="0" w:after="0" w:line="360" w:lineRule="auto"/>
        <w:rPr>
          <w:rFonts w:ascii="Times New Roman" w:hAnsi="Times New Roman" w:cstheme="minorBidi"/>
          <w:b w:val="0"/>
          <w:bCs w:val="0"/>
          <w:caps w:val="0"/>
          <w:sz w:val="24"/>
          <w:szCs w:val="24"/>
        </w:rPr>
      </w:pPr>
      <w:r>
        <w:fldChar w:fldCharType="begin"/>
      </w:r>
      <w:r>
        <w:instrText xml:space="preserve"> HYPERLINK \l "_Toc146639866" </w:instrText>
      </w:r>
      <w:r>
        <w:fldChar w:fldCharType="separate"/>
      </w:r>
      <w:r>
        <w:rPr>
          <w:rStyle w:val="40"/>
          <w:rFonts w:ascii="Times New Roman" w:hAnsi="Times New Roman" w:cs="Times New Roman"/>
          <w:b w:val="0"/>
          <w:color w:val="auto"/>
          <w:sz w:val="24"/>
          <w:szCs w:val="24"/>
          <w:u w:val="none"/>
          <w:lang w:bidi="ar"/>
        </w:rPr>
        <w:t>6  辅助生产设施</w:t>
      </w:r>
      <w:r>
        <w:rPr>
          <w:rFonts w:ascii="Times New Roman" w:hAnsi="Times New Roman"/>
          <w:b w:val="0"/>
          <w:sz w:val="24"/>
          <w:szCs w:val="24"/>
        </w:rPr>
        <w:tab/>
      </w:r>
      <w:r>
        <w:rPr>
          <w:rFonts w:ascii="Times New Roman" w:hAnsi="Times New Roman"/>
          <w:b w:val="0"/>
          <w:sz w:val="24"/>
          <w:szCs w:val="24"/>
        </w:rPr>
        <w:fldChar w:fldCharType="begin"/>
      </w:r>
      <w:r>
        <w:rPr>
          <w:rFonts w:ascii="Times New Roman" w:hAnsi="Times New Roman"/>
          <w:b w:val="0"/>
          <w:sz w:val="24"/>
          <w:szCs w:val="24"/>
        </w:rPr>
        <w:instrText xml:space="preserve"> PAGEREF _Toc146639866 \h </w:instrText>
      </w:r>
      <w:r>
        <w:rPr>
          <w:rFonts w:ascii="Times New Roman" w:hAnsi="Times New Roman"/>
          <w:b w:val="0"/>
          <w:sz w:val="24"/>
          <w:szCs w:val="24"/>
        </w:rPr>
        <w:fldChar w:fldCharType="separate"/>
      </w:r>
      <w:r>
        <w:rPr>
          <w:rFonts w:ascii="Times New Roman" w:hAnsi="Times New Roman"/>
          <w:b w:val="0"/>
          <w:sz w:val="24"/>
          <w:szCs w:val="24"/>
        </w:rPr>
        <w:t>27</w:t>
      </w:r>
      <w:r>
        <w:rPr>
          <w:rFonts w:ascii="Times New Roman" w:hAnsi="Times New Roman"/>
          <w:b w:val="0"/>
          <w:sz w:val="24"/>
          <w:szCs w:val="24"/>
        </w:rPr>
        <w:fldChar w:fldCharType="end"/>
      </w:r>
      <w:r>
        <w:rPr>
          <w:rFonts w:ascii="Times New Roman" w:hAnsi="Times New Roman"/>
          <w:b w:val="0"/>
          <w:sz w:val="24"/>
          <w:szCs w:val="24"/>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"_Toc146639867" </w:instrText>
      </w:r>
      <w:r>
        <w:fldChar w:fldCharType="separate"/>
      </w:r>
      <w:r>
        <w:rPr>
          <w:rStyle w:val="40"/>
          <w:rFonts w:ascii="Times New Roman" w:hAnsi="Times New Roman"/>
          <w:color w:val="auto"/>
          <w:sz w:val="24"/>
          <w:szCs w:val="24"/>
          <w:u w:val="none"/>
        </w:rPr>
        <w:t xml:space="preserve">6.1  </w:t>
      </w:r>
      <w:r>
        <w:rPr>
          <w:rStyle w:val="40"/>
          <w:rFonts w:hint="eastAsia" w:ascii="Times New Roman" w:hAnsi="Times New Roman"/>
          <w:color w:val="auto"/>
          <w:sz w:val="24"/>
          <w:szCs w:val="24"/>
          <w:u w:val="none"/>
        </w:rPr>
        <w:t>一般规定</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_Toc146639867 \h </w:instrText>
      </w:r>
      <w:r>
        <w:rPr>
          <w:rFonts w:ascii="Times New Roman" w:hAnsi="Times New Roman"/>
          <w:sz w:val="24"/>
          <w:szCs w:val="24"/>
        </w:rPr>
        <w:fldChar w:fldCharType="separate"/>
      </w:r>
      <w:r>
        <w:rPr>
          <w:rFonts w:ascii="Times New Roman" w:hAnsi="Times New Roman"/>
          <w:sz w:val="24"/>
          <w:szCs w:val="24"/>
        </w:rPr>
        <w:t>27</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"_Toc146639868" </w:instrText>
      </w:r>
      <w:r>
        <w:fldChar w:fldCharType="separate"/>
      </w:r>
      <w:r>
        <w:rPr>
          <w:rStyle w:val="40"/>
          <w:rFonts w:ascii="Times New Roman" w:hAnsi="Times New Roman"/>
          <w:color w:val="auto"/>
          <w:sz w:val="24"/>
          <w:szCs w:val="24"/>
          <w:u w:val="none"/>
        </w:rPr>
        <w:t xml:space="preserve">6.2  </w:t>
      </w:r>
      <w:r>
        <w:rPr>
          <w:rStyle w:val="40"/>
          <w:rFonts w:hint="eastAsia" w:ascii="Times New Roman" w:hAnsi="Times New Roman"/>
          <w:color w:val="auto"/>
          <w:sz w:val="24"/>
          <w:szCs w:val="24"/>
          <w:u w:val="none"/>
        </w:rPr>
        <w:t>中心控制室</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_Toc146639868 \h </w:instrText>
      </w:r>
      <w:r>
        <w:rPr>
          <w:rFonts w:ascii="Times New Roman" w:hAnsi="Times New Roman"/>
          <w:sz w:val="24"/>
          <w:szCs w:val="24"/>
        </w:rPr>
        <w:fldChar w:fldCharType="separate"/>
      </w:r>
      <w:r>
        <w:rPr>
          <w:rFonts w:ascii="Times New Roman" w:hAnsi="Times New Roman"/>
          <w:sz w:val="24"/>
          <w:szCs w:val="24"/>
        </w:rPr>
        <w:t>28</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"_Toc146639869" </w:instrText>
      </w:r>
      <w:r>
        <w:fldChar w:fldCharType="separate"/>
      </w:r>
      <w:r>
        <w:rPr>
          <w:rStyle w:val="40"/>
          <w:rFonts w:ascii="Times New Roman" w:hAnsi="Times New Roman"/>
          <w:color w:val="auto"/>
          <w:sz w:val="24"/>
          <w:szCs w:val="24"/>
          <w:u w:val="none"/>
        </w:rPr>
        <w:t xml:space="preserve">6.3  </w:t>
      </w:r>
      <w:r>
        <w:rPr>
          <w:rStyle w:val="40"/>
          <w:rFonts w:hint="eastAsia" w:ascii="Times New Roman" w:hAnsi="Times New Roman"/>
          <w:color w:val="auto"/>
          <w:sz w:val="24"/>
          <w:szCs w:val="24"/>
          <w:u w:val="none"/>
        </w:rPr>
        <w:t>中心化验室与环境监测站</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_Toc146639869 \h </w:instrText>
      </w:r>
      <w:r>
        <w:rPr>
          <w:rFonts w:ascii="Times New Roman" w:hAnsi="Times New Roman"/>
          <w:sz w:val="24"/>
          <w:szCs w:val="24"/>
        </w:rPr>
        <w:fldChar w:fldCharType="separate"/>
      </w:r>
      <w:r>
        <w:rPr>
          <w:rFonts w:ascii="Times New Roman" w:hAnsi="Times New Roman"/>
          <w:sz w:val="24"/>
          <w:szCs w:val="24"/>
        </w:rPr>
        <w:t>29</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"_Toc146639870" </w:instrText>
      </w:r>
      <w:r>
        <w:fldChar w:fldCharType="separate"/>
      </w:r>
      <w:r>
        <w:rPr>
          <w:rStyle w:val="40"/>
          <w:rFonts w:ascii="Times New Roman" w:hAnsi="Times New Roman"/>
          <w:color w:val="auto"/>
          <w:sz w:val="24"/>
          <w:szCs w:val="24"/>
          <w:u w:val="none"/>
        </w:rPr>
        <w:t xml:space="preserve">6.4  </w:t>
      </w:r>
      <w:r>
        <w:rPr>
          <w:rStyle w:val="40"/>
          <w:rFonts w:hint="eastAsia" w:ascii="Times New Roman" w:hAnsi="Times New Roman"/>
          <w:color w:val="auto"/>
          <w:sz w:val="24"/>
          <w:szCs w:val="24"/>
          <w:u w:val="none"/>
        </w:rPr>
        <w:t>厂房与仓库</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_Toc146639870 \h </w:instrText>
      </w:r>
      <w:r>
        <w:rPr>
          <w:rFonts w:ascii="Times New Roman" w:hAnsi="Times New Roman"/>
          <w:sz w:val="24"/>
          <w:szCs w:val="24"/>
        </w:rPr>
        <w:fldChar w:fldCharType="separate"/>
      </w:r>
      <w:r>
        <w:rPr>
          <w:rFonts w:ascii="Times New Roman" w:hAnsi="Times New Roman"/>
          <w:sz w:val="24"/>
          <w:szCs w:val="24"/>
        </w:rPr>
        <w:t>29</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"_Toc146639871" </w:instrText>
      </w:r>
      <w:r>
        <w:fldChar w:fldCharType="separate"/>
      </w:r>
      <w:r>
        <w:rPr>
          <w:rStyle w:val="40"/>
          <w:rFonts w:ascii="Times New Roman" w:hAnsi="Times New Roman"/>
          <w:color w:val="auto"/>
          <w:sz w:val="24"/>
          <w:szCs w:val="24"/>
          <w:u w:val="none"/>
        </w:rPr>
        <w:t xml:space="preserve">6.5  </w:t>
      </w:r>
      <w:r>
        <w:rPr>
          <w:rStyle w:val="40"/>
          <w:rFonts w:hint="eastAsia" w:ascii="Times New Roman" w:hAnsi="Times New Roman"/>
          <w:color w:val="auto"/>
          <w:sz w:val="24"/>
          <w:szCs w:val="24"/>
          <w:u w:val="none"/>
        </w:rPr>
        <w:t>三废处理设施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_Toc146639871 \h </w:instrText>
      </w:r>
      <w:r>
        <w:rPr>
          <w:rFonts w:ascii="Times New Roman" w:hAnsi="Times New Roman"/>
          <w:sz w:val="24"/>
          <w:szCs w:val="24"/>
        </w:rPr>
        <w:fldChar w:fldCharType="separate"/>
      </w:r>
      <w:r>
        <w:rPr>
          <w:rFonts w:ascii="Times New Roman" w:hAnsi="Times New Roman"/>
          <w:sz w:val="24"/>
          <w:szCs w:val="24"/>
        </w:rPr>
        <w:t>29</w:t>
      </w:r>
      <w:r>
        <w:rPr>
          <w:rFonts w:ascii="Times New Roman" w:hAnsi="Times New Roman"/>
          <w:sz w:val="24"/>
          <w:szCs w:val="24"/>
        </w:rPr>
        <w:fldChar w:fldCharType="end"/>
      </w:r>
      <w:r>
        <w:rPr>
          <w:rFonts w:ascii="Times New Roman" w:hAnsi="Times New Roman"/>
          <w:sz w:val="24"/>
          <w:szCs w:val="24"/>
        </w:rPr>
        <w:fldChar w:fldCharType="end"/>
      </w:r>
    </w:p>
    <w:p>
      <w:pPr>
        <w:pStyle w:val="25"/>
        <w:tabs>
          <w:tab w:val="right" w:leader="dot" w:pos="8296"/>
        </w:tabs>
        <w:spacing w:before="0" w:after="0" w:line="360" w:lineRule="auto"/>
        <w:rPr>
          <w:rFonts w:ascii="Times New Roman" w:hAnsi="Times New Roman" w:cstheme="minorBidi"/>
          <w:b w:val="0"/>
          <w:bCs w:val="0"/>
          <w:caps w:val="0"/>
          <w:sz w:val="24"/>
          <w:szCs w:val="24"/>
        </w:rPr>
      </w:pPr>
      <w:r>
        <w:fldChar w:fldCharType="begin"/>
      </w:r>
      <w:r>
        <w:instrText xml:space="preserve"> HYPERLINK \l "_Toc146639872" </w:instrText>
      </w:r>
      <w:r>
        <w:fldChar w:fldCharType="separate"/>
      </w:r>
      <w:r>
        <w:rPr>
          <w:rStyle w:val="40"/>
          <w:rFonts w:ascii="Times New Roman" w:hAnsi="Times New Roman" w:cs="Times New Roman"/>
          <w:b w:val="0"/>
          <w:color w:val="auto"/>
          <w:sz w:val="24"/>
          <w:szCs w:val="24"/>
          <w:u w:val="none"/>
        </w:rPr>
        <w:t>7  应急救援设施</w:t>
      </w:r>
      <w:r>
        <w:rPr>
          <w:rFonts w:ascii="Times New Roman" w:hAnsi="Times New Roman"/>
          <w:b w:val="0"/>
          <w:sz w:val="24"/>
          <w:szCs w:val="24"/>
        </w:rPr>
        <w:tab/>
      </w:r>
      <w:r>
        <w:rPr>
          <w:rFonts w:ascii="Times New Roman" w:hAnsi="Times New Roman"/>
          <w:b w:val="0"/>
          <w:sz w:val="24"/>
          <w:szCs w:val="24"/>
        </w:rPr>
        <w:fldChar w:fldCharType="begin"/>
      </w:r>
      <w:r>
        <w:rPr>
          <w:rFonts w:ascii="Times New Roman" w:hAnsi="Times New Roman"/>
          <w:b w:val="0"/>
          <w:sz w:val="24"/>
          <w:szCs w:val="24"/>
        </w:rPr>
        <w:instrText xml:space="preserve"> PAGEREF _Toc146639872 \h </w:instrText>
      </w:r>
      <w:r>
        <w:rPr>
          <w:rFonts w:ascii="Times New Roman" w:hAnsi="Times New Roman"/>
          <w:b w:val="0"/>
          <w:sz w:val="24"/>
          <w:szCs w:val="24"/>
        </w:rPr>
        <w:fldChar w:fldCharType="separate"/>
      </w:r>
      <w:r>
        <w:rPr>
          <w:rFonts w:ascii="Times New Roman" w:hAnsi="Times New Roman"/>
          <w:b w:val="0"/>
          <w:sz w:val="24"/>
          <w:szCs w:val="24"/>
        </w:rPr>
        <w:t>31</w:t>
      </w:r>
      <w:r>
        <w:rPr>
          <w:rFonts w:ascii="Times New Roman" w:hAnsi="Times New Roman"/>
          <w:b w:val="0"/>
          <w:sz w:val="24"/>
          <w:szCs w:val="24"/>
        </w:rPr>
        <w:fldChar w:fldCharType="end"/>
      </w:r>
      <w:r>
        <w:rPr>
          <w:rFonts w:ascii="Times New Roman" w:hAnsi="Times New Roman"/>
          <w:b w:val="0"/>
          <w:sz w:val="24"/>
          <w:szCs w:val="24"/>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"_Toc146639873" </w:instrText>
      </w:r>
      <w:r>
        <w:fldChar w:fldCharType="separate"/>
      </w:r>
      <w:r>
        <w:rPr>
          <w:rStyle w:val="40"/>
          <w:rFonts w:ascii="Times New Roman" w:hAnsi="Times New Roman"/>
          <w:color w:val="auto"/>
          <w:sz w:val="24"/>
          <w:szCs w:val="24"/>
          <w:u w:val="none"/>
        </w:rPr>
        <w:t xml:space="preserve">7.1  </w:t>
      </w:r>
      <w:r>
        <w:rPr>
          <w:rStyle w:val="40"/>
          <w:rFonts w:hint="eastAsia" w:ascii="Times New Roman" w:hAnsi="Times New Roman"/>
          <w:color w:val="auto"/>
          <w:sz w:val="24"/>
          <w:szCs w:val="24"/>
          <w:u w:val="none"/>
        </w:rPr>
        <w:t>消防系统</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_Toc146639873 \h </w:instrText>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"_Toc146639874" </w:instrText>
      </w:r>
      <w:r>
        <w:fldChar w:fldCharType="separate"/>
      </w:r>
      <w:r>
        <w:rPr>
          <w:rStyle w:val="40"/>
          <w:rFonts w:ascii="Times New Roman" w:hAnsi="Times New Roman"/>
          <w:color w:val="auto"/>
          <w:sz w:val="24"/>
          <w:szCs w:val="24"/>
          <w:u w:val="none"/>
        </w:rPr>
        <w:t xml:space="preserve">7.2  </w:t>
      </w:r>
      <w:r>
        <w:rPr>
          <w:rStyle w:val="40"/>
          <w:rFonts w:hint="eastAsia" w:ascii="Times New Roman" w:hAnsi="Times New Roman"/>
          <w:color w:val="auto"/>
          <w:sz w:val="24"/>
          <w:szCs w:val="24"/>
          <w:u w:val="none"/>
        </w:rPr>
        <w:t>消防站及气体防护站</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_Toc146639874 \h </w:instrText>
      </w:r>
      <w:r>
        <w:rPr>
          <w:rFonts w:ascii="Times New Roman" w:hAnsi="Times New Roman"/>
          <w:sz w:val="24"/>
          <w:szCs w:val="24"/>
        </w:rPr>
        <w:fldChar w:fldCharType="separate"/>
      </w:r>
      <w:r>
        <w:rPr>
          <w:rFonts w:ascii="Times New Roman" w:hAnsi="Times New Roman"/>
          <w:sz w:val="24"/>
          <w:szCs w:val="24"/>
        </w:rPr>
        <w:t>33</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8296"/>
        </w:tabs>
        <w:spacing w:line="360" w:lineRule="auto"/>
        <w:ind w:left="315" w:leftChars="150"/>
        <w:rPr>
          <w:rFonts w:ascii="Times New Roman" w:hAnsi="Times New Roman" w:cstheme="minorBidi"/>
          <w:smallCaps w:val="0"/>
          <w:sz w:val="24"/>
          <w:szCs w:val="24"/>
        </w:rPr>
      </w:pPr>
      <w:r>
        <w:fldChar w:fldCharType="begin"/>
      </w:r>
      <w:r>
        <w:instrText xml:space="preserve"> HYPERLINK \l "_Toc146639875" </w:instrText>
      </w:r>
      <w:r>
        <w:fldChar w:fldCharType="separate"/>
      </w:r>
      <w:r>
        <w:rPr>
          <w:rStyle w:val="40"/>
          <w:rFonts w:ascii="Times New Roman" w:hAnsi="Times New Roman"/>
          <w:color w:val="auto"/>
          <w:sz w:val="24"/>
          <w:szCs w:val="24"/>
          <w:u w:val="none"/>
        </w:rPr>
        <w:t xml:space="preserve">7.3  </w:t>
      </w:r>
      <w:r>
        <w:rPr>
          <w:rStyle w:val="40"/>
          <w:rFonts w:hint="eastAsia" w:ascii="Times New Roman" w:hAnsi="Times New Roman"/>
          <w:color w:val="auto"/>
          <w:sz w:val="24"/>
          <w:szCs w:val="24"/>
          <w:u w:val="none"/>
        </w:rPr>
        <w:t>应急救援物资及人员防护装备</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_Toc146639875 \h </w:instrText>
      </w:r>
      <w:r>
        <w:rPr>
          <w:rFonts w:ascii="Times New Roman" w:hAnsi="Times New Roman"/>
          <w:sz w:val="24"/>
          <w:szCs w:val="24"/>
        </w:rPr>
        <w:fldChar w:fldCharType="separate"/>
      </w:r>
      <w:r>
        <w:rPr>
          <w:rFonts w:ascii="Times New Roman" w:hAnsi="Times New Roman"/>
          <w:sz w:val="24"/>
          <w:szCs w:val="24"/>
        </w:rPr>
        <w:t>33</w:t>
      </w:r>
      <w:r>
        <w:rPr>
          <w:rFonts w:ascii="Times New Roman" w:hAnsi="Times New Roman"/>
          <w:sz w:val="24"/>
          <w:szCs w:val="24"/>
        </w:rPr>
        <w:fldChar w:fldCharType="end"/>
      </w:r>
      <w:r>
        <w:rPr>
          <w:rFonts w:ascii="Times New Roman" w:hAnsi="Times New Roman"/>
          <w:sz w:val="24"/>
          <w:szCs w:val="24"/>
        </w:rPr>
        <w:fldChar w:fldCharType="end"/>
      </w:r>
    </w:p>
    <w:p>
      <w:pPr>
        <w:widowControl/>
        <w:spacing w:line="360" w:lineRule="auto"/>
        <w:jc w:val="left"/>
        <w:rPr>
          <w:rFonts w:ascii="黑体" w:hAnsi="黑体" w:eastAsia="黑体"/>
          <w:bCs/>
          <w:sz w:val="30"/>
          <w:szCs w:val="30"/>
        </w:rPr>
      </w:pPr>
      <w:r>
        <w:rPr>
          <w:rFonts w:ascii="Times New Roman" w:hAnsi="Times New Roman" w:cstheme="minorHAnsi"/>
          <w:bCs/>
          <w:caps/>
          <w:sz w:val="24"/>
          <w:szCs w:val="24"/>
        </w:rPr>
        <w:fldChar w:fldCharType="end"/>
      </w:r>
    </w:p>
    <w:p>
      <w:pPr>
        <w:widowControl/>
        <w:jc w:val="left"/>
        <w:rPr>
          <w:rFonts w:ascii="黑体" w:hAnsi="黑体" w:eastAsia="黑体"/>
          <w:bCs/>
          <w:sz w:val="30"/>
          <w:szCs w:val="30"/>
        </w:rPr>
        <w:sectPr>
          <w:footerReference r:id="rId11" w:type="default"/>
          <w:footerReference r:id="rId12" w:type="even"/>
          <w:pgSz w:w="11906" w:h="16838"/>
          <w:pgMar w:top="1440" w:right="1800" w:bottom="1440" w:left="1800" w:header="851" w:footer="992" w:gutter="0"/>
          <w:pgNumType w:start="1"/>
          <w:cols w:space="425" w:num="1"/>
          <w:docGrid w:type="lines" w:linePitch="435" w:charSpace="0"/>
        </w:sectPr>
      </w:pPr>
    </w:p>
    <w:p>
      <w:pPr>
        <w:pStyle w:val="2"/>
        <w:spacing w:before="0" w:after="217" w:afterLines="50" w:line="360" w:lineRule="auto"/>
        <w:jc w:val="center"/>
        <w:rPr>
          <w:rFonts w:ascii="Times New Roman" w:hAnsi="Times New Roman" w:eastAsia="黑体"/>
          <w:sz w:val="28"/>
          <w:szCs w:val="28"/>
        </w:rPr>
      </w:pPr>
      <w:bookmarkStart w:id="0" w:name="_Toc146639845"/>
      <w:bookmarkStart w:id="1" w:name="_Toc91770088"/>
      <w:r>
        <w:rPr>
          <w:rFonts w:ascii="Times New Roman" w:hAnsi="Times New Roman" w:eastAsia="黑体"/>
          <w:b w:val="0"/>
          <w:sz w:val="28"/>
          <w:szCs w:val="28"/>
        </w:rPr>
        <w:t xml:space="preserve">1  </w:t>
      </w:r>
      <w:r>
        <w:rPr>
          <w:rFonts w:hint="eastAsia" w:ascii="Times New Roman" w:hAnsi="Times New Roman" w:eastAsia="黑体"/>
          <w:b w:val="0"/>
          <w:sz w:val="28"/>
          <w:szCs w:val="28"/>
        </w:rPr>
        <w:t>总</w:t>
      </w:r>
      <w:r>
        <w:rPr>
          <w:rFonts w:ascii="Times New Roman" w:hAnsi="Times New Roman" w:eastAsia="黑体"/>
          <w:b w:val="0"/>
          <w:sz w:val="28"/>
          <w:szCs w:val="28"/>
        </w:rPr>
        <w:t xml:space="preserve">    </w:t>
      </w:r>
      <w:r>
        <w:rPr>
          <w:rFonts w:hint="eastAsia" w:ascii="Times New Roman" w:hAnsi="Times New Roman" w:eastAsia="黑体"/>
          <w:b w:val="0"/>
          <w:sz w:val="28"/>
          <w:szCs w:val="28"/>
        </w:rPr>
        <w:t>则</w:t>
      </w:r>
      <w:bookmarkEnd w:id="0"/>
      <w:bookmarkEnd w:id="1"/>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sz w:val="24"/>
          <w:szCs w:val="21"/>
        </w:rPr>
        <w:t xml:space="preserve">1.0.1  </w:t>
      </w:r>
      <w:r>
        <w:rPr>
          <w:rFonts w:hint="eastAsia" w:ascii="Times New Roman" w:hAnsi="Times New Roman" w:eastAsia="宋体" w:cs="Times New Roman"/>
          <w:sz w:val="24"/>
          <w:szCs w:val="21"/>
        </w:rPr>
        <w:t>为在炼油化工工程项目建设中保障人身健康和生命财产安全、工程安全、生态环境安全、促进能源资源节约利用以及满足经济社会管理等基本需要，制定本规范。</w:t>
      </w:r>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sz w:val="24"/>
          <w:szCs w:val="21"/>
        </w:rPr>
        <w:t xml:space="preserve">1.0.2  </w:t>
      </w:r>
      <w:r>
        <w:rPr>
          <w:rFonts w:hint="eastAsia" w:ascii="Times New Roman" w:hAnsi="Times New Roman" w:eastAsia="宋体" w:cs="Times New Roman"/>
          <w:sz w:val="24"/>
          <w:szCs w:val="21"/>
        </w:rPr>
        <w:t>以石油、天然气、煤及其产品为原料，生产、储运各种炼油化工产品的工程项目规划、建设、维修及拆除，必须执行本规范。本规范未做规定的应符合国家现行有关通用规范的规定。</w:t>
      </w:r>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sz w:val="24"/>
          <w:szCs w:val="21"/>
        </w:rPr>
        <w:t xml:space="preserve">1.0.3  </w:t>
      </w:r>
      <w:r>
        <w:rPr>
          <w:rFonts w:hint="eastAsia" w:ascii="Times New Roman" w:hAnsi="Times New Roman" w:eastAsia="宋体" w:cs="Times New Roman"/>
          <w:sz w:val="24"/>
          <w:szCs w:val="21"/>
        </w:rPr>
        <w:t>工程建设所采用的技术方法和措施是否符合本规范要求，由相关责任主体判定。其中，创新性的技术方法和措施，应进行论证并符合本规范中有关性能的要求。</w:t>
      </w:r>
    </w:p>
    <w:p>
      <w:pPr>
        <w:widowControl/>
        <w:jc w:val="left"/>
        <w:rPr>
          <w:rFonts w:asciiTheme="minorEastAsia" w:hAnsiTheme="minorEastAsia"/>
          <w:color w:val="000000" w:themeColor="text1"/>
          <w:szCs w:val="21"/>
          <w14:textFill>
            <w14:solidFill>
              <w14:schemeClr w14:val="tx1"/>
            </w14:solidFill>
          </w14:textFill>
        </w:rPr>
      </w:pPr>
    </w:p>
    <w:p>
      <w:pPr>
        <w:widowControl/>
        <w:jc w:val="left"/>
        <w:rPr>
          <w:rFonts w:ascii="黑体" w:hAnsi="黑体" w:eastAsia="黑体"/>
          <w:bCs/>
          <w:sz w:val="30"/>
          <w:szCs w:val="30"/>
        </w:rPr>
      </w:pPr>
      <w:r>
        <w:rPr>
          <w:rFonts w:ascii="黑体" w:hAnsi="黑体" w:eastAsia="黑体"/>
          <w:bCs/>
          <w:sz w:val="30"/>
          <w:szCs w:val="30"/>
        </w:rPr>
        <w:br w:type="page"/>
      </w:r>
    </w:p>
    <w:p>
      <w:pPr>
        <w:pStyle w:val="2"/>
        <w:spacing w:before="0" w:after="0" w:line="360" w:lineRule="auto"/>
        <w:jc w:val="center"/>
        <w:rPr>
          <w:rFonts w:ascii="Times New Roman" w:hAnsi="Times New Roman" w:eastAsia="黑体"/>
          <w:sz w:val="28"/>
          <w:szCs w:val="28"/>
        </w:rPr>
      </w:pPr>
      <w:bookmarkStart w:id="2" w:name="_Toc146639846"/>
      <w:bookmarkStart w:id="3" w:name="_Toc91770089"/>
      <w:r>
        <w:rPr>
          <w:rFonts w:ascii="Times New Roman" w:hAnsi="Times New Roman" w:eastAsia="黑体"/>
          <w:b w:val="0"/>
          <w:sz w:val="28"/>
          <w:szCs w:val="28"/>
        </w:rPr>
        <w:t xml:space="preserve">2  </w:t>
      </w:r>
      <w:r>
        <w:rPr>
          <w:rFonts w:hint="eastAsia" w:ascii="Times New Roman" w:hAnsi="Times New Roman" w:eastAsia="黑体"/>
          <w:b w:val="0"/>
          <w:sz w:val="28"/>
          <w:szCs w:val="28"/>
        </w:rPr>
        <w:t>基本规定</w:t>
      </w:r>
      <w:bookmarkEnd w:id="2"/>
      <w:bookmarkEnd w:id="3"/>
    </w:p>
    <w:p>
      <w:pPr>
        <w:pStyle w:val="3"/>
        <w:spacing w:line="360" w:lineRule="auto"/>
        <w:jc w:val="center"/>
        <w:rPr>
          <w:rFonts w:ascii="Times New Roman" w:hAnsi="Times New Roman" w:eastAsia="黑体"/>
          <w:b w:val="0"/>
        </w:rPr>
      </w:pPr>
      <w:bookmarkStart w:id="4" w:name="_Toc146639847"/>
      <w:r>
        <w:rPr>
          <w:rFonts w:ascii="Times New Roman" w:hAnsi="Times New Roman" w:eastAsia="黑体"/>
          <w:b w:val="0"/>
          <w:bCs w:val="0"/>
        </w:rPr>
        <w:t xml:space="preserve">2.1  </w:t>
      </w:r>
      <w:r>
        <w:rPr>
          <w:rFonts w:hint="eastAsia" w:ascii="Times New Roman" w:hAnsi="Times New Roman" w:eastAsia="黑体"/>
          <w:b w:val="0"/>
          <w:bCs w:val="0"/>
        </w:rPr>
        <w:t>目标与功能</w:t>
      </w:r>
      <w:bookmarkEnd w:id="4"/>
    </w:p>
    <w:p>
      <w:pPr>
        <w:pStyle w:val="310"/>
        <w:spacing w:line="360" w:lineRule="auto"/>
        <w:rPr>
          <w:rFonts w:ascii="Times New Roman"/>
        </w:rPr>
      </w:pPr>
      <w:r>
        <w:rPr>
          <w:rFonts w:ascii="Times New Roman"/>
        </w:rPr>
        <w:t xml:space="preserve">2.1.1  </w:t>
      </w:r>
      <w:r>
        <w:rPr>
          <w:rFonts w:hint="eastAsia" w:ascii="Times New Roman"/>
        </w:rPr>
        <w:t>炼油化工工程项目应符合下列目标要求：</w:t>
      </w:r>
    </w:p>
    <w:p>
      <w:pPr>
        <w:pStyle w:val="310"/>
        <w:spacing w:line="360" w:lineRule="auto"/>
        <w:ind w:firstLine="480" w:firstLineChars="200"/>
        <w:rPr>
          <w:rFonts w:ascii="Times New Roman"/>
          <w:bCs/>
        </w:rPr>
      </w:pPr>
      <w:r>
        <w:rPr>
          <w:rFonts w:ascii="Times New Roman"/>
          <w:bCs/>
        </w:rPr>
        <w:t xml:space="preserve">1  </w:t>
      </w:r>
      <w:r>
        <w:rPr>
          <w:rFonts w:hint="eastAsia" w:ascii="Times New Roman"/>
          <w:bCs/>
        </w:rPr>
        <w:t>符合国家技术经济发展战略与能源发展规划；</w:t>
      </w:r>
    </w:p>
    <w:p>
      <w:pPr>
        <w:pStyle w:val="310"/>
        <w:spacing w:line="360" w:lineRule="auto"/>
        <w:ind w:firstLine="480" w:firstLineChars="200"/>
        <w:rPr>
          <w:rFonts w:ascii="Times New Roman"/>
          <w:bCs/>
        </w:rPr>
      </w:pPr>
      <w:r>
        <w:rPr>
          <w:rFonts w:ascii="Times New Roman"/>
          <w:bCs/>
        </w:rPr>
        <w:t xml:space="preserve">2  </w:t>
      </w:r>
      <w:r>
        <w:rPr>
          <w:rFonts w:hint="eastAsia" w:ascii="Times New Roman"/>
          <w:bCs/>
        </w:rPr>
        <w:t>保障人身健康和生命财产安全，保障社会公共安全，将个人风险和社会风险控制在可接受范围内；</w:t>
      </w:r>
    </w:p>
    <w:p>
      <w:pPr>
        <w:pStyle w:val="310"/>
        <w:spacing w:line="360" w:lineRule="auto"/>
        <w:ind w:firstLine="480" w:firstLineChars="200"/>
        <w:rPr>
          <w:rFonts w:ascii="Times New Roman"/>
          <w:bCs/>
        </w:rPr>
      </w:pPr>
      <w:r>
        <w:rPr>
          <w:rFonts w:ascii="Times New Roman"/>
          <w:bCs/>
        </w:rPr>
        <w:t xml:space="preserve">3  </w:t>
      </w:r>
      <w:r>
        <w:rPr>
          <w:rFonts w:hint="eastAsia" w:ascii="Times New Roman"/>
          <w:bCs/>
        </w:rPr>
        <w:t>以本质安全为主导，将事故风险控制到尽可能低的合理水平；</w:t>
      </w:r>
    </w:p>
    <w:p>
      <w:pPr>
        <w:pStyle w:val="310"/>
        <w:spacing w:line="360" w:lineRule="auto"/>
        <w:ind w:firstLine="480" w:firstLineChars="200"/>
        <w:rPr>
          <w:rFonts w:ascii="Times New Roman"/>
          <w:bCs/>
        </w:rPr>
      </w:pPr>
      <w:r>
        <w:rPr>
          <w:rFonts w:ascii="Times New Roman"/>
          <w:bCs/>
        </w:rPr>
        <w:t xml:space="preserve">4  </w:t>
      </w:r>
      <w:r>
        <w:rPr>
          <w:rFonts w:hint="eastAsia" w:ascii="Times New Roman"/>
          <w:bCs/>
        </w:rPr>
        <w:t>维护生态环境安全，促进清洁生产，有效控制大气、水体、土壤、噪声等污染，符合污染物排放和环境质量要求；</w:t>
      </w:r>
    </w:p>
    <w:p>
      <w:pPr>
        <w:pStyle w:val="310"/>
        <w:spacing w:line="360" w:lineRule="auto"/>
        <w:ind w:firstLine="480" w:firstLineChars="200"/>
        <w:rPr>
          <w:rFonts w:ascii="Times New Roman"/>
          <w:bCs/>
        </w:rPr>
      </w:pPr>
      <w:r>
        <w:rPr>
          <w:rFonts w:ascii="Times New Roman"/>
          <w:bCs/>
        </w:rPr>
        <w:t xml:space="preserve">5  </w:t>
      </w:r>
      <w:r>
        <w:rPr>
          <w:rFonts w:hint="eastAsia" w:ascii="Times New Roman"/>
          <w:bCs/>
        </w:rPr>
        <w:t>合理利用资源，促进低碳循环经济和可持续发展。</w:t>
      </w:r>
    </w:p>
    <w:p>
      <w:pPr>
        <w:pStyle w:val="310"/>
        <w:spacing w:line="360" w:lineRule="auto"/>
        <w:rPr>
          <w:rFonts w:ascii="Times New Roman"/>
        </w:rPr>
      </w:pPr>
      <w:r>
        <w:rPr>
          <w:rFonts w:ascii="Times New Roman"/>
        </w:rPr>
        <w:t xml:space="preserve">2.1.2  </w:t>
      </w:r>
      <w:r>
        <w:rPr>
          <w:rFonts w:hint="eastAsia" w:ascii="Times New Roman"/>
        </w:rPr>
        <w:t>生产装置及设施应具备下列功能：</w:t>
      </w:r>
    </w:p>
    <w:p>
      <w:pPr>
        <w:pStyle w:val="310"/>
        <w:spacing w:line="360" w:lineRule="auto"/>
        <w:ind w:firstLine="480" w:firstLineChars="200"/>
        <w:rPr>
          <w:rFonts w:ascii="Times New Roman"/>
          <w:bCs/>
        </w:rPr>
      </w:pPr>
      <w:r>
        <w:rPr>
          <w:rFonts w:ascii="Times New Roman"/>
          <w:bCs/>
        </w:rPr>
        <w:t xml:space="preserve">1  </w:t>
      </w:r>
      <w:r>
        <w:rPr>
          <w:rFonts w:hint="eastAsia" w:ascii="Times New Roman"/>
          <w:bCs/>
        </w:rPr>
        <w:t>在正常工况下，稳定生产合格产品；</w:t>
      </w:r>
    </w:p>
    <w:p>
      <w:pPr>
        <w:pStyle w:val="310"/>
        <w:spacing w:line="360" w:lineRule="auto"/>
        <w:ind w:firstLine="480" w:firstLineChars="200"/>
        <w:rPr>
          <w:rFonts w:ascii="Times New Roman"/>
          <w:bCs/>
        </w:rPr>
      </w:pPr>
      <w:r>
        <w:rPr>
          <w:rFonts w:ascii="Times New Roman"/>
          <w:bCs/>
        </w:rPr>
        <w:t xml:space="preserve">2  </w:t>
      </w:r>
      <w:r>
        <w:rPr>
          <w:rFonts w:hint="eastAsia" w:ascii="Times New Roman"/>
          <w:bCs/>
        </w:rPr>
        <w:t>在非正常工况下，保持系统的完整性；</w:t>
      </w:r>
    </w:p>
    <w:p>
      <w:pPr>
        <w:pStyle w:val="310"/>
        <w:spacing w:line="360" w:lineRule="auto"/>
        <w:ind w:firstLine="480" w:firstLineChars="200"/>
        <w:rPr>
          <w:rFonts w:ascii="Times New Roman"/>
          <w:bCs/>
        </w:rPr>
      </w:pPr>
      <w:r>
        <w:rPr>
          <w:rFonts w:ascii="Times New Roman"/>
          <w:bCs/>
        </w:rPr>
        <w:t xml:space="preserve">3  </w:t>
      </w:r>
      <w:r>
        <w:rPr>
          <w:rFonts w:hint="eastAsia" w:ascii="Times New Roman"/>
          <w:bCs/>
        </w:rPr>
        <w:t>在事故状况下，防止发生严重灾害及次生灾害。</w:t>
      </w:r>
    </w:p>
    <w:p>
      <w:pPr>
        <w:pStyle w:val="310"/>
        <w:spacing w:line="360" w:lineRule="auto"/>
        <w:rPr>
          <w:rFonts w:ascii="Times New Roman"/>
        </w:rPr>
      </w:pPr>
      <w:r>
        <w:rPr>
          <w:rFonts w:ascii="Times New Roman"/>
        </w:rPr>
        <w:t xml:space="preserve">2.1.3  </w:t>
      </w:r>
      <w:r>
        <w:rPr>
          <w:rFonts w:hint="eastAsia" w:ascii="Times New Roman"/>
        </w:rPr>
        <w:t>公用工程及辅助设施应具备下列功能：</w:t>
      </w:r>
    </w:p>
    <w:p>
      <w:pPr>
        <w:pStyle w:val="310"/>
        <w:spacing w:line="360" w:lineRule="auto"/>
        <w:ind w:firstLine="480" w:firstLineChars="200"/>
        <w:rPr>
          <w:rFonts w:ascii="Times New Roman"/>
          <w:bCs/>
        </w:rPr>
      </w:pPr>
      <w:r>
        <w:rPr>
          <w:rFonts w:ascii="Times New Roman"/>
          <w:bCs/>
        </w:rPr>
        <w:t xml:space="preserve">1  </w:t>
      </w:r>
      <w:r>
        <w:rPr>
          <w:rFonts w:hint="eastAsia" w:ascii="Times New Roman"/>
          <w:bCs/>
        </w:rPr>
        <w:t>满足生产装置及设施稳定可靠、连续运行的需求；</w:t>
      </w:r>
    </w:p>
    <w:p>
      <w:pPr>
        <w:pStyle w:val="310"/>
        <w:spacing w:line="360" w:lineRule="auto"/>
        <w:ind w:firstLine="480" w:firstLineChars="200"/>
        <w:rPr>
          <w:rFonts w:ascii="Times New Roman"/>
          <w:bCs/>
        </w:rPr>
      </w:pPr>
      <w:r>
        <w:rPr>
          <w:rFonts w:ascii="Times New Roman"/>
          <w:bCs/>
        </w:rPr>
        <w:t xml:space="preserve">2  </w:t>
      </w:r>
      <w:r>
        <w:rPr>
          <w:rFonts w:hint="eastAsia" w:ascii="Times New Roman"/>
          <w:bCs/>
        </w:rPr>
        <w:t>满足生产装置开、停车等特殊工况的需求；</w:t>
      </w:r>
    </w:p>
    <w:p>
      <w:pPr>
        <w:pStyle w:val="310"/>
        <w:spacing w:line="360" w:lineRule="auto"/>
        <w:ind w:firstLine="480" w:firstLineChars="200"/>
        <w:rPr>
          <w:rFonts w:ascii="Times New Roman"/>
          <w:bCs/>
        </w:rPr>
      </w:pPr>
      <w:r>
        <w:rPr>
          <w:rFonts w:ascii="Times New Roman"/>
          <w:bCs/>
        </w:rPr>
        <w:t xml:space="preserve">3  </w:t>
      </w:r>
      <w:r>
        <w:rPr>
          <w:rFonts w:hint="eastAsia" w:ascii="Times New Roman"/>
          <w:bCs/>
        </w:rPr>
        <w:t>当发生意外时，确保重要设备在预定的时间范围内维持运行或安全停车。</w:t>
      </w:r>
    </w:p>
    <w:p>
      <w:pPr>
        <w:pStyle w:val="310"/>
        <w:spacing w:line="360" w:lineRule="auto"/>
        <w:rPr>
          <w:rFonts w:ascii="Times New Roman"/>
        </w:rPr>
      </w:pPr>
      <w:r>
        <w:rPr>
          <w:rFonts w:ascii="Times New Roman"/>
        </w:rPr>
        <w:t xml:space="preserve">2.1.4  </w:t>
      </w:r>
      <w:r>
        <w:rPr>
          <w:rFonts w:hint="eastAsia" w:ascii="Times New Roman"/>
        </w:rPr>
        <w:t>炼油化工工程项目设置的安全、环保及职业卫生设施应能够预防、控制、消除和减轻危险有害因素和环境因素的不利影响。</w:t>
      </w:r>
    </w:p>
    <w:p>
      <w:pPr>
        <w:pStyle w:val="310"/>
        <w:spacing w:line="360" w:lineRule="auto"/>
        <w:rPr>
          <w:rFonts w:ascii="Times New Roman"/>
        </w:rPr>
      </w:pPr>
      <w:r>
        <w:rPr>
          <w:rFonts w:ascii="Times New Roman"/>
        </w:rPr>
        <w:t xml:space="preserve">2.1.5  </w:t>
      </w:r>
      <w:r>
        <w:rPr>
          <w:rFonts w:hint="eastAsia" w:ascii="Times New Roman"/>
        </w:rPr>
        <w:t>应急救援设施应具备炼油化工工程项目突发火灾爆炸及人员中毒事件的应急响应能力。</w:t>
      </w:r>
    </w:p>
    <w:p>
      <w:pPr>
        <w:pStyle w:val="3"/>
        <w:spacing w:line="360" w:lineRule="auto"/>
        <w:jc w:val="center"/>
        <w:rPr>
          <w:rFonts w:ascii="Times New Roman" w:hAnsi="Times New Roman" w:eastAsia="黑体"/>
          <w:b w:val="0"/>
        </w:rPr>
      </w:pPr>
      <w:bookmarkStart w:id="5" w:name="_Toc146639848"/>
      <w:r>
        <w:rPr>
          <w:rFonts w:ascii="Times New Roman" w:hAnsi="Times New Roman" w:eastAsia="黑体"/>
          <w:b w:val="0"/>
          <w:bCs w:val="0"/>
        </w:rPr>
        <w:t xml:space="preserve">2.2  </w:t>
      </w:r>
      <w:r>
        <w:rPr>
          <w:rFonts w:hint="eastAsia" w:ascii="Times New Roman" w:hAnsi="Times New Roman" w:eastAsia="黑体"/>
          <w:b w:val="0"/>
          <w:bCs w:val="0"/>
        </w:rPr>
        <w:t>通用要求</w:t>
      </w:r>
      <w:bookmarkEnd w:id="5"/>
    </w:p>
    <w:p>
      <w:pPr>
        <w:pStyle w:val="310"/>
        <w:spacing w:line="360" w:lineRule="auto"/>
        <w:rPr>
          <w:rFonts w:ascii="Times New Roman"/>
        </w:rPr>
      </w:pPr>
      <w:r>
        <w:rPr>
          <w:rFonts w:ascii="Times New Roman"/>
        </w:rPr>
        <w:t xml:space="preserve">2.2.1  </w:t>
      </w:r>
      <w:r>
        <w:rPr>
          <w:rFonts w:hint="eastAsia" w:ascii="Times New Roman"/>
        </w:rPr>
        <w:t>炼油化工工程项目的规模应符合国家产业发展规划、安全和环境的约束条件和节能低碳要求，应统筹考虑资源条件、市场需求、经济效益、周边环境、地域人口及经济发展等因素。</w:t>
      </w:r>
    </w:p>
    <w:p>
      <w:pPr>
        <w:pStyle w:val="310"/>
        <w:spacing w:line="360" w:lineRule="auto"/>
        <w:rPr>
          <w:rFonts w:ascii="Times New Roman"/>
        </w:rPr>
      </w:pPr>
      <w:r>
        <w:rPr>
          <w:rFonts w:ascii="Times New Roman"/>
        </w:rPr>
        <w:t xml:space="preserve">2.2.2  </w:t>
      </w:r>
      <w:r>
        <w:rPr>
          <w:rFonts w:hint="eastAsia" w:ascii="Times New Roman"/>
        </w:rPr>
        <w:t>炼油化工工程项目的安全设施、消防设施、水土保持设施、节水设施、防治污染设施、职业病防护设施应与主体工程同时投入生产和使用。</w:t>
      </w:r>
    </w:p>
    <w:p>
      <w:pPr>
        <w:pStyle w:val="310"/>
        <w:spacing w:line="360" w:lineRule="auto"/>
        <w:rPr>
          <w:rFonts w:ascii="Times New Roman"/>
        </w:rPr>
      </w:pPr>
      <w:r>
        <w:rPr>
          <w:rFonts w:ascii="Times New Roman"/>
        </w:rPr>
        <w:t xml:space="preserve">2.2.3  </w:t>
      </w:r>
      <w:r>
        <w:rPr>
          <w:rFonts w:hint="eastAsia" w:ascii="Times New Roman"/>
        </w:rPr>
        <w:t>炼油化工工程项目在设计之前，应进行相应设计阶段的工程勘察和设计。</w:t>
      </w:r>
    </w:p>
    <w:p>
      <w:pPr>
        <w:pStyle w:val="310"/>
        <w:spacing w:line="360" w:lineRule="auto"/>
        <w:rPr>
          <w:rFonts w:ascii="Times New Roman"/>
        </w:rPr>
      </w:pPr>
      <w:r>
        <w:rPr>
          <w:rFonts w:ascii="Times New Roman"/>
        </w:rPr>
        <w:t>2.2.4  炼油化工工程项目施工安装应符合工程设计文件和施工技术标准要求，应执行验收程序规定，确保满足工程功能和性能要求。施工安装过程应满足安全、绿色环保要求。</w:t>
      </w:r>
    </w:p>
    <w:p>
      <w:pPr>
        <w:pStyle w:val="310"/>
        <w:spacing w:line="360" w:lineRule="auto"/>
        <w:rPr>
          <w:rFonts w:ascii="Times New Roman"/>
        </w:rPr>
      </w:pPr>
      <w:r>
        <w:rPr>
          <w:rFonts w:ascii="Times New Roman"/>
        </w:rPr>
        <w:t xml:space="preserve">2.2.5  </w:t>
      </w:r>
      <w:r>
        <w:rPr>
          <w:rFonts w:hint="eastAsia" w:ascii="Times New Roman"/>
        </w:rPr>
        <w:t>炼油化工工程项目的检维修应针对工作过程可能存在的危险性采取相应的安全环保措施。检维修过程产生的含有挥发性有机物、恶臭物质应回收或妥善处理。</w:t>
      </w:r>
    </w:p>
    <w:p>
      <w:pPr>
        <w:pStyle w:val="310"/>
        <w:spacing w:line="360" w:lineRule="auto"/>
        <w:rPr>
          <w:rFonts w:ascii="Times New Roman"/>
        </w:rPr>
      </w:pPr>
      <w:r>
        <w:rPr>
          <w:rFonts w:ascii="Times New Roman"/>
        </w:rPr>
        <w:t>2.2.6  炼油化工改造项目应根据项目现状和改造后的项目规模、生产危险性和周围设施情况等因素确定相应的技术要求，</w:t>
      </w:r>
      <w:r>
        <w:rPr>
          <w:rFonts w:hint="eastAsia" w:ascii="Times New Roman"/>
        </w:rPr>
        <w:t>并达到本规范规定的目标、功能和性能要求。当条件不具备或受条件限制执行现行规范确有困难，且不改变现有使用功能时，改造项目应不低于原建造时的标准要求。</w:t>
      </w:r>
    </w:p>
    <w:p>
      <w:pPr>
        <w:pStyle w:val="310"/>
        <w:spacing w:line="360" w:lineRule="auto"/>
        <w:rPr>
          <w:rFonts w:ascii="Times New Roman"/>
        </w:rPr>
      </w:pPr>
      <w:r>
        <w:rPr>
          <w:rFonts w:ascii="Times New Roman"/>
        </w:rPr>
        <w:t xml:space="preserve">2.2.7  </w:t>
      </w:r>
      <w:r>
        <w:rPr>
          <w:rFonts w:hint="eastAsia" w:ascii="Times New Roman"/>
        </w:rPr>
        <w:t>废弃装置或设施应安全拆除，对残存的危险化学品及废弃设备设施应进行安全环保处置。按照减量化、资源化和再生利用原则，对可能二次利用的设备设施采取保护性拆除，拆除垃圾应妥善处理。</w:t>
      </w:r>
    </w:p>
    <w:p>
      <w:pPr>
        <w:pStyle w:val="310"/>
        <w:spacing w:line="360" w:lineRule="auto"/>
        <w:rPr>
          <w:rFonts w:ascii="Times New Roman"/>
        </w:rPr>
      </w:pPr>
      <w:r>
        <w:rPr>
          <w:rFonts w:ascii="Times New Roman"/>
        </w:rPr>
        <w:t>2.2.8  钢制静设备、加热炉、电气设备、建</w:t>
      </w:r>
      <w:r>
        <w:rPr>
          <w:rFonts w:hint="eastAsia" w:ascii="Times New Roman"/>
        </w:rPr>
        <w:t>（构）筑物应满足抗震设防要求。</w:t>
      </w:r>
    </w:p>
    <w:p>
      <w:pPr>
        <w:pStyle w:val="310"/>
        <w:spacing w:line="360" w:lineRule="auto"/>
        <w:rPr>
          <w:rFonts w:ascii="Times New Roman"/>
        </w:rPr>
      </w:pPr>
      <w:r>
        <w:rPr>
          <w:rFonts w:ascii="Times New Roman"/>
        </w:rPr>
        <w:t xml:space="preserve">2.2.9  </w:t>
      </w:r>
      <w:r>
        <w:rPr>
          <w:rFonts w:hint="eastAsia" w:ascii="Times New Roman"/>
        </w:rPr>
        <w:t>属于特种设备的锅炉、压力容器、压力管道、电梯、起重机械等的设计、制造、安装、改造、修理、使用和检验、检测等应符合国家有关规定。</w:t>
      </w:r>
    </w:p>
    <w:p>
      <w:pPr>
        <w:pStyle w:val="310"/>
        <w:spacing w:line="360" w:lineRule="auto"/>
        <w:rPr>
          <w:rFonts w:ascii="Times New Roman"/>
        </w:rPr>
      </w:pPr>
      <w:r>
        <w:rPr>
          <w:rFonts w:ascii="Times New Roman"/>
        </w:rPr>
        <w:t>2.2.10  人员集中建筑物应远离爆炸</w:t>
      </w:r>
      <w:r>
        <w:rPr>
          <w:rFonts w:hint="eastAsia" w:ascii="Times New Roman"/>
        </w:rPr>
        <w:t>危险</w:t>
      </w:r>
      <w:r>
        <w:rPr>
          <w:rFonts w:ascii="Times New Roman"/>
        </w:rPr>
        <w:t>源，并</w:t>
      </w:r>
      <w:r>
        <w:rPr>
          <w:rFonts w:hint="eastAsia" w:ascii="Times New Roman"/>
        </w:rPr>
        <w:t>应进行爆炸风险评估，</w:t>
      </w:r>
      <w:r>
        <w:rPr>
          <w:rFonts w:ascii="Times New Roman"/>
        </w:rPr>
        <w:t>确定</w:t>
      </w:r>
      <w:r>
        <w:rPr>
          <w:rFonts w:hint="eastAsia" w:ascii="Times New Roman"/>
        </w:rPr>
        <w:t>采取</w:t>
      </w:r>
      <w:r>
        <w:rPr>
          <w:rFonts w:ascii="Times New Roman"/>
        </w:rPr>
        <w:t>的安全防护措施。</w:t>
      </w:r>
    </w:p>
    <w:p>
      <w:pPr>
        <w:pStyle w:val="310"/>
        <w:spacing w:line="360" w:lineRule="auto"/>
        <w:rPr>
          <w:rFonts w:ascii="Times New Roman"/>
        </w:rPr>
      </w:pPr>
      <w:r>
        <w:rPr>
          <w:rFonts w:ascii="Times New Roman"/>
        </w:rPr>
        <w:t>2.2.11  对存在爆炸性粉尘环境的场所，应采取防止粉尘扩散、飞扬和积聚的措施。</w:t>
      </w:r>
    </w:p>
    <w:p>
      <w:pPr>
        <w:pStyle w:val="310"/>
        <w:spacing w:line="360" w:lineRule="auto"/>
        <w:rPr>
          <w:rFonts w:ascii="Times New Roman"/>
        </w:rPr>
      </w:pPr>
      <w:r>
        <w:rPr>
          <w:rFonts w:ascii="Times New Roman"/>
        </w:rPr>
        <w:t xml:space="preserve">2.2.12  </w:t>
      </w:r>
      <w:r>
        <w:rPr>
          <w:rFonts w:hint="eastAsia" w:ascii="Times New Roman"/>
        </w:rPr>
        <w:t>炼油化工工程项目的火灾危险性分类应符合下列规定：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可燃气体的火灾危险性分类应符合表</w:t>
      </w:r>
      <w:r>
        <w:rPr>
          <w:rFonts w:ascii="Times New Roman"/>
          <w:bCs/>
        </w:rPr>
        <w:t>2.2.12-1</w:t>
      </w:r>
      <w:r>
        <w:rPr>
          <w:rFonts w:hint="eastAsia" w:ascii="Times New Roman"/>
          <w:bCs/>
        </w:rPr>
        <w:t>的规定。</w:t>
      </w:r>
    </w:p>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表</w:t>
      </w:r>
      <w:r>
        <w:rPr>
          <w:rFonts w:ascii="Times New Roman" w:hAnsi="Times New Roman" w:cs="Times New Roman"/>
          <w:color w:val="000000" w:themeColor="text1"/>
          <w:sz w:val="24"/>
          <w:szCs w:val="24"/>
          <w14:textFill>
            <w14:solidFill>
              <w14:schemeClr w14:val="tx1"/>
            </w14:solidFill>
          </w14:textFill>
        </w:rPr>
        <w:t xml:space="preserve">2.2.12-1  </w:t>
      </w:r>
      <w:r>
        <w:rPr>
          <w:rFonts w:hint="eastAsia" w:ascii="Times New Roman" w:hAnsi="Times New Roman" w:cs="Times New Roman"/>
          <w:color w:val="000000" w:themeColor="text1"/>
          <w:sz w:val="24"/>
          <w:szCs w:val="24"/>
          <w14:textFill>
            <w14:solidFill>
              <w14:schemeClr w14:val="tx1"/>
            </w14:solidFill>
          </w14:textFill>
        </w:rPr>
        <w:t>可燃气体的火灾危险性分类</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pStyle w:val="53"/>
              <w:tabs>
                <w:tab w:val="left" w:pos="993"/>
              </w:tabs>
              <w:adjustRightInd w:val="0"/>
              <w:snapToGrid w:val="0"/>
              <w:spacing w:before="87" w:beforeLines="20" w:after="87" w:afterLines="20" w:line="240" w:lineRule="auto"/>
              <w:jc w:val="center"/>
              <w:rPr>
                <w:rFonts w:cs="Arial" w:asciiTheme="minorEastAsia" w:hAnsiTheme="minorEastAsia" w:eastAsiaTheme="minorEastAsia"/>
                <w:b w:val="0"/>
                <w:color w:val="000000" w:themeColor="text1"/>
                <w:spacing w:val="-4"/>
                <w:sz w:val="21"/>
                <w:szCs w:val="21"/>
                <w14:textFill>
                  <w14:solidFill>
                    <w14:schemeClr w14:val="tx1"/>
                  </w14:solidFill>
                </w14:textFill>
              </w:rPr>
            </w:pPr>
            <w:r>
              <w:rPr>
                <w:rFonts w:hint="eastAsia" w:cs="Arial" w:asciiTheme="minorEastAsia" w:hAnsiTheme="minorEastAsia" w:eastAsiaTheme="minorEastAsia"/>
                <w:b w:val="0"/>
                <w:color w:val="000000" w:themeColor="text1"/>
                <w:sz w:val="21"/>
                <w:szCs w:val="21"/>
                <w14:textFill>
                  <w14:solidFill>
                    <w14:schemeClr w14:val="tx1"/>
                  </w14:solidFill>
                </w14:textFill>
              </w:rPr>
              <w:t>类</w:t>
            </w:r>
            <w:r>
              <w:rPr>
                <w:rFonts w:cs="Arial" w:asciiTheme="minorEastAsia" w:hAnsiTheme="minorEastAsia" w:eastAsiaTheme="minorEastAsia"/>
                <w:b w:val="0"/>
                <w:color w:val="000000" w:themeColor="text1"/>
                <w:sz w:val="21"/>
                <w:szCs w:val="21"/>
                <w14:textFill>
                  <w14:solidFill>
                    <w14:schemeClr w14:val="tx1"/>
                  </w14:solidFill>
                </w14:textFill>
              </w:rPr>
              <w:t xml:space="preserve">    </w:t>
            </w:r>
            <w:r>
              <w:rPr>
                <w:rFonts w:hint="eastAsia" w:cs="Arial" w:asciiTheme="minorEastAsia" w:hAnsiTheme="minorEastAsia" w:eastAsiaTheme="minorEastAsia"/>
                <w:b w:val="0"/>
                <w:color w:val="000000" w:themeColor="text1"/>
                <w:sz w:val="21"/>
                <w:szCs w:val="21"/>
                <w14:textFill>
                  <w14:solidFill>
                    <w14:schemeClr w14:val="tx1"/>
                  </w14:solidFill>
                </w14:textFill>
              </w:rPr>
              <w:t>别</w:t>
            </w:r>
          </w:p>
        </w:tc>
        <w:tc>
          <w:tcPr>
            <w:tcW w:w="6095" w:type="dxa"/>
            <w:vAlign w:val="center"/>
          </w:tcPr>
          <w:p>
            <w:pPr>
              <w:pStyle w:val="53"/>
              <w:tabs>
                <w:tab w:val="left" w:pos="993"/>
              </w:tabs>
              <w:adjustRightInd w:val="0"/>
              <w:snapToGrid w:val="0"/>
              <w:spacing w:before="87" w:beforeLines="20" w:after="87" w:afterLines="20" w:line="240" w:lineRule="auto"/>
              <w:jc w:val="center"/>
              <w:rPr>
                <w:rFonts w:cs="Arial" w:asciiTheme="minorEastAsia" w:hAnsiTheme="minorEastAsia" w:eastAsiaTheme="minorEastAsia"/>
                <w:b w:val="0"/>
                <w:color w:val="000000" w:themeColor="text1"/>
                <w:spacing w:val="-4"/>
                <w:sz w:val="21"/>
                <w:szCs w:val="21"/>
                <w14:textFill>
                  <w14:solidFill>
                    <w14:schemeClr w14:val="tx1"/>
                  </w14:solidFill>
                </w14:textFill>
              </w:rPr>
            </w:pPr>
            <w:r>
              <w:rPr>
                <w:rFonts w:hint="eastAsia" w:cs="Arial" w:asciiTheme="minorEastAsia" w:hAnsiTheme="minorEastAsia" w:eastAsiaTheme="minorEastAsia"/>
                <w:b w:val="0"/>
                <w:color w:val="000000" w:themeColor="text1"/>
                <w:sz w:val="21"/>
                <w:szCs w:val="21"/>
                <w14:textFill>
                  <w14:solidFill>
                    <w14:schemeClr w14:val="tx1"/>
                  </w14:solidFill>
                </w14:textFill>
              </w:rPr>
              <w:t>可燃气体与空气混合物的爆炸下限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pStyle w:val="53"/>
              <w:tabs>
                <w:tab w:val="left" w:pos="993"/>
              </w:tabs>
              <w:adjustRightInd w:val="0"/>
              <w:snapToGrid w:val="0"/>
              <w:spacing w:before="87" w:beforeLines="20" w:after="87" w:afterLines="20" w:line="240" w:lineRule="auto"/>
              <w:jc w:val="center"/>
              <w:rPr>
                <w:rFonts w:cs="Arial" w:asciiTheme="minorEastAsia" w:hAnsiTheme="minorEastAsia" w:eastAsiaTheme="minorEastAsia"/>
                <w:b w:val="0"/>
                <w:color w:val="000000" w:themeColor="text1"/>
                <w:spacing w:val="-4"/>
                <w:sz w:val="21"/>
                <w:szCs w:val="21"/>
                <w14:textFill>
                  <w14:solidFill>
                    <w14:schemeClr w14:val="tx1"/>
                  </w14:solidFill>
                </w14:textFill>
              </w:rPr>
            </w:pPr>
            <w:r>
              <w:rPr>
                <w:rFonts w:hint="eastAsia" w:cs="Arial" w:asciiTheme="minorEastAsia" w:hAnsiTheme="minorEastAsia" w:eastAsiaTheme="minorEastAsia"/>
                <w:b w:val="0"/>
                <w:color w:val="000000" w:themeColor="text1"/>
                <w:sz w:val="21"/>
                <w:szCs w:val="21"/>
                <w14:textFill>
                  <w14:solidFill>
                    <w14:schemeClr w14:val="tx1"/>
                  </w14:solidFill>
                </w14:textFill>
              </w:rPr>
              <w:t>甲</w:t>
            </w:r>
          </w:p>
        </w:tc>
        <w:tc>
          <w:tcPr>
            <w:tcW w:w="6095" w:type="dxa"/>
            <w:vAlign w:val="center"/>
          </w:tcPr>
          <w:p>
            <w:pPr>
              <w:pStyle w:val="53"/>
              <w:tabs>
                <w:tab w:val="left" w:pos="993"/>
              </w:tabs>
              <w:adjustRightInd w:val="0"/>
              <w:snapToGrid w:val="0"/>
              <w:spacing w:before="87" w:beforeLines="20" w:after="87" w:afterLines="20" w:line="240" w:lineRule="auto"/>
              <w:jc w:val="center"/>
              <w:rPr>
                <w:rFonts w:cs="Arial" w:asciiTheme="minorEastAsia" w:hAnsiTheme="minorEastAsia" w:eastAsiaTheme="minorEastAsia"/>
                <w:b w:val="0"/>
                <w:color w:val="000000" w:themeColor="text1"/>
                <w:spacing w:val="-4"/>
                <w:sz w:val="21"/>
                <w:szCs w:val="21"/>
                <w14:textFill>
                  <w14:solidFill>
                    <w14:schemeClr w14:val="tx1"/>
                  </w14:solidFill>
                </w14:textFill>
              </w:rPr>
            </w:pPr>
            <w:r>
              <w:rPr>
                <w:rFonts w:hint="eastAsia" w:cs="Arial" w:asciiTheme="minorEastAsia" w:hAnsiTheme="minorEastAsia" w:eastAsiaTheme="minorEastAsia"/>
                <w:b w:val="0"/>
                <w:color w:val="000000" w:themeColor="text1"/>
                <w:sz w:val="21"/>
                <w:szCs w:val="21"/>
                <w14:textFill>
                  <w14:solidFill>
                    <w14:schemeClr w14:val="tx1"/>
                  </w14:solidFill>
                </w14:textFill>
              </w:rPr>
              <w:t>＜</w:t>
            </w:r>
            <w:r>
              <w:rPr>
                <w:rFonts w:cs="Arial" w:asciiTheme="minorEastAsia" w:hAnsiTheme="minorEastAsia" w:eastAsiaTheme="minorEastAsia"/>
                <w:b w:val="0"/>
                <w:color w:val="000000" w:themeColor="text1"/>
                <w:sz w:val="21"/>
                <w:szCs w:val="21"/>
                <w14:textFill>
                  <w14:solidFill>
                    <w14:schemeClr w14:val="tx1"/>
                  </w14:solidFill>
                </w14:textFill>
              </w:rPr>
              <w:t>10</w:t>
            </w:r>
            <w:r>
              <w:rPr>
                <w:rFonts w:hint="eastAsia" w:cs="Arial" w:asciiTheme="minorEastAsia" w:hAnsiTheme="minorEastAsia" w:eastAsiaTheme="minorEastAsia"/>
                <w:b w:val="0"/>
                <w:color w:val="000000" w:themeColor="text1"/>
                <w:sz w:val="21"/>
                <w:szCs w:val="21"/>
                <w14:textFill>
                  <w14:solidFill>
                    <w14:schemeClr w14:val="tx1"/>
                  </w14:solidFill>
                </w14:textFill>
              </w:rPr>
              <w:t>％</w:t>
            </w:r>
            <w:r>
              <w:rPr>
                <w:rFonts w:cs="Arial" w:asciiTheme="minorEastAsia" w:hAnsiTheme="minorEastAsia" w:eastAsiaTheme="minorEastAsia"/>
                <w:b w:val="0"/>
                <w:color w:val="000000" w:themeColor="text1"/>
                <w:sz w:val="21"/>
                <w:szCs w:val="21"/>
                <w14:textFill>
                  <w14:solidFill>
                    <w14:schemeClr w14:val="tx1"/>
                  </w14:solidFill>
                </w14:textFill>
              </w:rPr>
              <w:t>（体积）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pStyle w:val="53"/>
              <w:tabs>
                <w:tab w:val="left" w:pos="993"/>
              </w:tabs>
              <w:adjustRightInd w:val="0"/>
              <w:snapToGrid w:val="0"/>
              <w:spacing w:before="87" w:beforeLines="20" w:after="87" w:afterLines="20" w:line="240" w:lineRule="auto"/>
              <w:jc w:val="center"/>
              <w:rPr>
                <w:rFonts w:cs="Arial" w:asciiTheme="minorEastAsia" w:hAnsiTheme="minorEastAsia" w:eastAsiaTheme="minorEastAsia"/>
                <w:b w:val="0"/>
                <w:color w:val="000000" w:themeColor="text1"/>
                <w:spacing w:val="-4"/>
                <w:sz w:val="21"/>
                <w:szCs w:val="21"/>
                <w14:textFill>
                  <w14:solidFill>
                    <w14:schemeClr w14:val="tx1"/>
                  </w14:solidFill>
                </w14:textFill>
              </w:rPr>
            </w:pPr>
            <w:r>
              <w:rPr>
                <w:rFonts w:hint="eastAsia" w:cs="Arial" w:asciiTheme="minorEastAsia" w:hAnsiTheme="minorEastAsia" w:eastAsiaTheme="minorEastAsia"/>
                <w:b w:val="0"/>
                <w:color w:val="000000" w:themeColor="text1"/>
                <w:sz w:val="21"/>
                <w:szCs w:val="21"/>
                <w14:textFill>
                  <w14:solidFill>
                    <w14:schemeClr w14:val="tx1"/>
                  </w14:solidFill>
                </w14:textFill>
              </w:rPr>
              <w:t>乙</w:t>
            </w:r>
          </w:p>
        </w:tc>
        <w:tc>
          <w:tcPr>
            <w:tcW w:w="6095" w:type="dxa"/>
            <w:vAlign w:val="center"/>
          </w:tcPr>
          <w:p>
            <w:pPr>
              <w:pStyle w:val="53"/>
              <w:tabs>
                <w:tab w:val="left" w:pos="993"/>
              </w:tabs>
              <w:adjustRightInd w:val="0"/>
              <w:snapToGrid w:val="0"/>
              <w:spacing w:before="87" w:beforeLines="20" w:after="87" w:afterLines="20" w:line="240" w:lineRule="auto"/>
              <w:jc w:val="center"/>
              <w:rPr>
                <w:rFonts w:cs="Arial" w:asciiTheme="minorEastAsia" w:hAnsiTheme="minorEastAsia" w:eastAsiaTheme="minorEastAsia"/>
                <w:b w:val="0"/>
                <w:color w:val="000000" w:themeColor="text1"/>
                <w:spacing w:val="-4"/>
                <w:sz w:val="21"/>
                <w:szCs w:val="21"/>
                <w14:textFill>
                  <w14:solidFill>
                    <w14:schemeClr w14:val="tx1"/>
                  </w14:solidFill>
                </w14:textFill>
              </w:rPr>
            </w:pPr>
            <w:r>
              <w:rPr>
                <w:rFonts w:hint="eastAsia" w:cs="Arial" w:asciiTheme="minorEastAsia" w:hAnsiTheme="minorEastAsia" w:eastAsiaTheme="minorEastAsia"/>
                <w:b w:val="0"/>
                <w:color w:val="000000" w:themeColor="text1"/>
                <w:sz w:val="21"/>
                <w:szCs w:val="21"/>
                <w14:textFill>
                  <w14:solidFill>
                    <w14:schemeClr w14:val="tx1"/>
                  </w14:solidFill>
                </w14:textFill>
              </w:rPr>
              <w:t>≥</w:t>
            </w:r>
            <w:r>
              <w:rPr>
                <w:rFonts w:cs="Arial" w:asciiTheme="minorEastAsia" w:hAnsiTheme="minorEastAsia" w:eastAsiaTheme="minorEastAsia"/>
                <w:b w:val="0"/>
                <w:color w:val="000000" w:themeColor="text1"/>
                <w:sz w:val="21"/>
                <w:szCs w:val="21"/>
                <w14:textFill>
                  <w14:solidFill>
                    <w14:schemeClr w14:val="tx1"/>
                  </w14:solidFill>
                </w14:textFill>
              </w:rPr>
              <w:t>10</w:t>
            </w:r>
            <w:r>
              <w:rPr>
                <w:rFonts w:hint="eastAsia" w:cs="Arial" w:asciiTheme="minorEastAsia" w:hAnsiTheme="minorEastAsia" w:eastAsiaTheme="minorEastAsia"/>
                <w:b w:val="0"/>
                <w:color w:val="000000" w:themeColor="text1"/>
                <w:sz w:val="21"/>
                <w:szCs w:val="21"/>
                <w14:textFill>
                  <w14:solidFill>
                    <w14:schemeClr w14:val="tx1"/>
                  </w14:solidFill>
                </w14:textFill>
              </w:rPr>
              <w:t>％</w:t>
            </w:r>
            <w:r>
              <w:rPr>
                <w:rFonts w:cs="Arial" w:asciiTheme="minorEastAsia" w:hAnsiTheme="minorEastAsia" w:eastAsiaTheme="minorEastAsia"/>
                <w:b w:val="0"/>
                <w:color w:val="000000" w:themeColor="text1"/>
                <w:sz w:val="21"/>
                <w:szCs w:val="21"/>
                <w14:textFill>
                  <w14:solidFill>
                    <w14:schemeClr w14:val="tx1"/>
                  </w14:solidFill>
                </w14:textFill>
              </w:rPr>
              <w:t>（体积）</w:t>
            </w:r>
          </w:p>
        </w:tc>
      </w:tr>
    </w:tbl>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液化烃、可燃液体的火灾危险性分类应符合表</w:t>
      </w:r>
      <w:r>
        <w:rPr>
          <w:rFonts w:ascii="Times New Roman"/>
          <w:bCs/>
        </w:rPr>
        <w:t>2.2.12-2</w:t>
      </w:r>
      <w:r>
        <w:rPr>
          <w:rFonts w:hint="eastAsia" w:ascii="Times New Roman"/>
          <w:bCs/>
        </w:rPr>
        <w:t>的规定，并应符合下列规定：</w:t>
      </w:r>
    </w:p>
    <w:p>
      <w:pPr>
        <w:spacing w:line="360" w:lineRule="auto"/>
        <w:ind w:left="1215" w:leftChars="350" w:hanging="480" w:hanging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1） </w:t>
      </w:r>
      <w:r>
        <w:rPr>
          <w:rFonts w:hint="eastAsia" w:ascii="Times New Roman" w:hAnsi="Times New Roman"/>
          <w:color w:val="000000" w:themeColor="text1"/>
          <w:sz w:val="24"/>
          <w:szCs w:val="24"/>
          <w14:textFill>
            <w14:solidFill>
              <w14:schemeClr w14:val="tx1"/>
            </w14:solidFill>
          </w14:textFill>
        </w:rPr>
        <w:t>操作温度超过其闪点的乙类液体应视为甲</w:t>
      </w:r>
      <w:r>
        <w:rPr>
          <w:rFonts w:ascii="Times New Roman" w:hAnsi="Times New Roman"/>
          <w:color w:val="000000" w:themeColor="text1"/>
          <w:sz w:val="24"/>
          <w:szCs w:val="24"/>
          <w:vertAlign w:val="subscript"/>
          <w14:textFill>
            <w14:solidFill>
              <w14:schemeClr w14:val="tx1"/>
            </w14:solidFill>
          </w14:textFill>
        </w:rPr>
        <w:t>B</w:t>
      </w:r>
      <w:r>
        <w:rPr>
          <w:rFonts w:hint="eastAsia" w:ascii="Times New Roman" w:hAnsi="Times New Roman"/>
          <w:color w:val="000000" w:themeColor="text1"/>
          <w:sz w:val="24"/>
          <w:szCs w:val="24"/>
          <w14:textFill>
            <w14:solidFill>
              <w14:schemeClr w14:val="tx1"/>
            </w14:solidFill>
          </w14:textFill>
        </w:rPr>
        <w:t>类液体；</w:t>
      </w:r>
    </w:p>
    <w:p>
      <w:pPr>
        <w:spacing w:line="360" w:lineRule="auto"/>
        <w:ind w:left="1215" w:leftChars="350" w:hanging="480" w:hanging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2） </w:t>
      </w:r>
      <w:r>
        <w:rPr>
          <w:rFonts w:hint="eastAsia" w:ascii="Times New Roman" w:hAnsi="Times New Roman"/>
          <w:color w:val="000000" w:themeColor="text1"/>
          <w:sz w:val="24"/>
          <w:szCs w:val="24"/>
          <w14:textFill>
            <w14:solidFill>
              <w14:schemeClr w14:val="tx1"/>
            </w14:solidFill>
          </w14:textFill>
        </w:rPr>
        <w:t>操作温度超过其闪点的丙</w:t>
      </w:r>
      <w:r>
        <w:rPr>
          <w:rFonts w:ascii="Times New Roman" w:hAnsi="Times New Roman"/>
          <w:color w:val="000000" w:themeColor="text1"/>
          <w:sz w:val="24"/>
          <w:szCs w:val="24"/>
          <w:vertAlign w:val="subscript"/>
          <w14:textFill>
            <w14:solidFill>
              <w14:schemeClr w14:val="tx1"/>
            </w14:solidFill>
          </w14:textFill>
        </w:rPr>
        <w:t>A</w:t>
      </w:r>
      <w:r>
        <w:rPr>
          <w:rFonts w:hint="eastAsia" w:ascii="Times New Roman" w:hAnsi="Times New Roman"/>
          <w:color w:val="000000" w:themeColor="text1"/>
          <w:sz w:val="24"/>
          <w:szCs w:val="24"/>
          <w14:textFill>
            <w14:solidFill>
              <w14:schemeClr w14:val="tx1"/>
            </w14:solidFill>
          </w14:textFill>
        </w:rPr>
        <w:t>类液体应视为乙</w:t>
      </w:r>
      <w:r>
        <w:rPr>
          <w:rFonts w:ascii="Times New Roman" w:hAnsi="Times New Roman"/>
          <w:color w:val="000000" w:themeColor="text1"/>
          <w:sz w:val="24"/>
          <w:szCs w:val="24"/>
          <w:vertAlign w:val="subscript"/>
          <w14:textFill>
            <w14:solidFill>
              <w14:schemeClr w14:val="tx1"/>
            </w14:solidFill>
          </w14:textFill>
        </w:rPr>
        <w:t>A</w:t>
      </w:r>
      <w:r>
        <w:rPr>
          <w:rFonts w:hint="eastAsia" w:ascii="Times New Roman" w:hAnsi="Times New Roman"/>
          <w:color w:val="000000" w:themeColor="text1"/>
          <w:sz w:val="24"/>
          <w:szCs w:val="24"/>
          <w14:textFill>
            <w14:solidFill>
              <w14:schemeClr w14:val="tx1"/>
            </w14:solidFill>
          </w14:textFill>
        </w:rPr>
        <w:t>类液体；</w:t>
      </w:r>
    </w:p>
    <w:p>
      <w:pPr>
        <w:spacing w:line="360" w:lineRule="auto"/>
        <w:ind w:left="1215" w:leftChars="350" w:hanging="480" w:hanging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3） </w:t>
      </w:r>
      <w:r>
        <w:rPr>
          <w:rFonts w:hint="eastAsia" w:ascii="Times New Roman" w:hAnsi="Times New Roman"/>
          <w:color w:val="000000" w:themeColor="text1"/>
          <w:sz w:val="24"/>
          <w:szCs w:val="24"/>
          <w14:textFill>
            <w14:solidFill>
              <w14:schemeClr w14:val="tx1"/>
            </w14:solidFill>
          </w14:textFill>
        </w:rPr>
        <w:t>操作温度超过其闪点的丙</w:t>
      </w:r>
      <w:r>
        <w:rPr>
          <w:rFonts w:ascii="Times New Roman" w:hAnsi="Times New Roman"/>
          <w:color w:val="000000" w:themeColor="text1"/>
          <w:sz w:val="24"/>
          <w:szCs w:val="24"/>
          <w:vertAlign w:val="subscript"/>
          <w14:textFill>
            <w14:solidFill>
              <w14:schemeClr w14:val="tx1"/>
            </w14:solidFill>
          </w14:textFill>
        </w:rPr>
        <w:t>B</w:t>
      </w:r>
      <w:r>
        <w:rPr>
          <w:rFonts w:hint="eastAsia" w:ascii="Times New Roman" w:hAnsi="Times New Roman"/>
          <w:color w:val="000000" w:themeColor="text1"/>
          <w:sz w:val="24"/>
          <w:szCs w:val="24"/>
          <w14:textFill>
            <w14:solidFill>
              <w14:schemeClr w14:val="tx1"/>
            </w14:solidFill>
          </w14:textFill>
        </w:rPr>
        <w:t>类液体应视为乙</w:t>
      </w:r>
      <w:r>
        <w:rPr>
          <w:rFonts w:ascii="Times New Roman" w:hAnsi="Times New Roman"/>
          <w:color w:val="000000" w:themeColor="text1"/>
          <w:sz w:val="24"/>
          <w:szCs w:val="24"/>
          <w:vertAlign w:val="subscript"/>
          <w14:textFill>
            <w14:solidFill>
              <w14:schemeClr w14:val="tx1"/>
            </w14:solidFill>
          </w14:textFill>
        </w:rPr>
        <w:t>B</w:t>
      </w:r>
      <w:r>
        <w:rPr>
          <w:rFonts w:hint="eastAsia" w:ascii="Times New Roman" w:hAnsi="Times New Roman"/>
          <w:color w:val="000000" w:themeColor="text1"/>
          <w:sz w:val="24"/>
          <w:szCs w:val="24"/>
          <w14:textFill>
            <w14:solidFill>
              <w14:schemeClr w14:val="tx1"/>
            </w14:solidFill>
          </w14:textFill>
        </w:rPr>
        <w:t>类液体</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操作温度超过其沸点的丙</w:t>
      </w:r>
      <w:r>
        <w:rPr>
          <w:rFonts w:ascii="Times New Roman" w:hAnsi="Times New Roman"/>
          <w:color w:val="000000" w:themeColor="text1"/>
          <w:sz w:val="24"/>
          <w:szCs w:val="24"/>
          <w:vertAlign w:val="subscript"/>
          <w14:textFill>
            <w14:solidFill>
              <w14:schemeClr w14:val="tx1"/>
            </w14:solidFill>
          </w14:textFill>
        </w:rPr>
        <w:t>B</w:t>
      </w:r>
      <w:r>
        <w:rPr>
          <w:rFonts w:hint="eastAsia" w:ascii="Times New Roman" w:hAnsi="Times New Roman"/>
          <w:color w:val="000000" w:themeColor="text1"/>
          <w:sz w:val="24"/>
          <w:szCs w:val="24"/>
          <w14:textFill>
            <w14:solidFill>
              <w14:schemeClr w14:val="tx1"/>
            </w14:solidFill>
          </w14:textFill>
        </w:rPr>
        <w:t>类液体应视为乙</w:t>
      </w:r>
      <w:r>
        <w:rPr>
          <w:rFonts w:ascii="Times New Roman" w:hAnsi="Times New Roman"/>
          <w:color w:val="000000" w:themeColor="text1"/>
          <w:sz w:val="24"/>
          <w:szCs w:val="24"/>
          <w:vertAlign w:val="subscript"/>
          <w14:textFill>
            <w14:solidFill>
              <w14:schemeClr w14:val="tx1"/>
            </w14:solidFill>
          </w14:textFill>
        </w:rPr>
        <w:t>A</w:t>
      </w:r>
      <w:r>
        <w:rPr>
          <w:rFonts w:hint="eastAsia" w:ascii="Times New Roman" w:hAnsi="Times New Roman"/>
          <w:color w:val="000000" w:themeColor="text1"/>
          <w:sz w:val="24"/>
          <w:szCs w:val="24"/>
          <w14:textFill>
            <w14:solidFill>
              <w14:schemeClr w14:val="tx1"/>
            </w14:solidFill>
          </w14:textFill>
        </w:rPr>
        <w:t>类液体。</w:t>
      </w:r>
    </w:p>
    <w:p>
      <w:pPr>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表</w:t>
      </w:r>
      <w:r>
        <w:rPr>
          <w:rFonts w:ascii="Times New Roman" w:hAnsi="Times New Roman"/>
          <w:color w:val="000000" w:themeColor="text1"/>
          <w:sz w:val="24"/>
          <w:szCs w:val="24"/>
          <w14:textFill>
            <w14:solidFill>
              <w14:schemeClr w14:val="tx1"/>
            </w14:solidFill>
          </w14:textFill>
        </w:rPr>
        <w:t xml:space="preserve">2.2.12-2  </w:t>
      </w:r>
      <w:r>
        <w:rPr>
          <w:rFonts w:hint="eastAsia" w:ascii="Times New Roman" w:hAnsi="Times New Roman"/>
          <w:color w:val="000000" w:themeColor="text1"/>
          <w:sz w:val="24"/>
          <w:szCs w:val="24"/>
          <w14:textFill>
            <w14:solidFill>
              <w14:schemeClr w14:val="tx1"/>
            </w14:solidFill>
          </w14:textFill>
        </w:rPr>
        <w:t>液化烃、可燃液体的火灾危险性分类</w:t>
      </w:r>
    </w:p>
    <w:tbl>
      <w:tblPr>
        <w:tblStyle w:val="35"/>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68"/>
        <w:gridCol w:w="851"/>
        <w:gridCol w:w="708"/>
        <w:gridCol w:w="68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2" w:hRule="atLeast"/>
        </w:trPr>
        <w:tc>
          <w:tcPr>
            <w:tcW w:w="1268" w:type="dxa"/>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名称</w:t>
            </w:r>
          </w:p>
        </w:tc>
        <w:tc>
          <w:tcPr>
            <w:tcW w:w="1559" w:type="dxa"/>
            <w:gridSpan w:val="2"/>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类别</w:t>
            </w:r>
          </w:p>
        </w:tc>
        <w:tc>
          <w:tcPr>
            <w:tcW w:w="6804"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特</w:t>
            </w: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 xml:space="preserve">    </w:t>
            </w: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9" w:hRule="atLeast"/>
        </w:trPr>
        <w:tc>
          <w:tcPr>
            <w:tcW w:w="1268"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液化烃</w:t>
            </w:r>
          </w:p>
        </w:tc>
        <w:tc>
          <w:tcPr>
            <w:tcW w:w="851" w:type="dxa"/>
            <w:vMerge w:val="restart"/>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b w:val="0"/>
                <w:color w:val="000000" w:themeColor="text1"/>
                <w:sz w:val="21"/>
                <w:szCs w:val="21"/>
                <w:shd w:val="clear" w:color="auto" w:fill="FFFFFF" w:themeFill="background1"/>
                <w14:textFill>
                  <w14:solidFill>
                    <w14:schemeClr w14:val="tx1"/>
                  </w14:solidFill>
                </w14:textFill>
              </w:rPr>
              <w:t>甲</w:t>
            </w:r>
          </w:p>
        </w:tc>
        <w:tc>
          <w:tcPr>
            <w:tcW w:w="708"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A</w:t>
            </w:r>
          </w:p>
        </w:tc>
        <w:tc>
          <w:tcPr>
            <w:tcW w:w="6804" w:type="dxa"/>
            <w:vAlign w:val="center"/>
          </w:tcPr>
          <w:p>
            <w:pPr>
              <w:pStyle w:val="53"/>
              <w:tabs>
                <w:tab w:val="left" w:pos="993"/>
              </w:tabs>
              <w:adjustRightInd w:val="0"/>
              <w:snapToGrid w:val="0"/>
              <w:spacing w:before="87" w:beforeLines="20" w:after="87" w:afterLines="20" w:line="240" w:lineRule="auto"/>
              <w:ind w:firstLine="210" w:firstLineChars="100"/>
              <w:jc w:val="left"/>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常温常压条件下为气态或气液混合物，经压缩或（和）冷却后为液态，且</w:t>
            </w: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15℃时蒸气压大于0.1MPa的烃类液体及其他类似的液体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8" w:hRule="atLeast"/>
        </w:trPr>
        <w:tc>
          <w:tcPr>
            <w:tcW w:w="1268" w:type="dxa"/>
            <w:vMerge w:val="restart"/>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可燃液体</w:t>
            </w:r>
          </w:p>
        </w:tc>
        <w:tc>
          <w:tcPr>
            <w:tcW w:w="851" w:type="dxa"/>
            <w:vMerge w:val="continue"/>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p>
        </w:tc>
        <w:tc>
          <w:tcPr>
            <w:tcW w:w="708"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B</w:t>
            </w:r>
          </w:p>
        </w:tc>
        <w:tc>
          <w:tcPr>
            <w:tcW w:w="6804"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甲</w:t>
            </w:r>
            <w:r>
              <w:rPr>
                <w:rFonts w:hint="eastAsia" w:asciiTheme="minorEastAsia" w:hAnsiTheme="minorEastAsia" w:eastAsiaTheme="minorEastAsia"/>
                <w:b w:val="0"/>
                <w:color w:val="000000" w:themeColor="text1"/>
                <w:sz w:val="21"/>
                <w:szCs w:val="21"/>
                <w:shd w:val="clear" w:color="auto" w:fill="FFFFFF" w:themeFill="background1"/>
                <w:vertAlign w:val="subscript"/>
                <w14:textFill>
                  <w14:solidFill>
                    <w14:schemeClr w14:val="tx1"/>
                  </w14:solidFill>
                </w14:textFill>
              </w:rPr>
              <w:t>Ａ</w:t>
            </w: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类以外，闪点＜</w:t>
            </w: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28</w:t>
            </w: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6" w:hRule="atLeast"/>
        </w:trPr>
        <w:tc>
          <w:tcPr>
            <w:tcW w:w="1268" w:type="dxa"/>
            <w:vMerge w:val="continue"/>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p>
        </w:tc>
        <w:tc>
          <w:tcPr>
            <w:tcW w:w="851" w:type="dxa"/>
            <w:vMerge w:val="restart"/>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乙</w:t>
            </w:r>
          </w:p>
        </w:tc>
        <w:tc>
          <w:tcPr>
            <w:tcW w:w="708"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A</w:t>
            </w:r>
          </w:p>
        </w:tc>
        <w:tc>
          <w:tcPr>
            <w:tcW w:w="6804"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28℃≤闪点≤45℃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1268" w:type="dxa"/>
            <w:vMerge w:val="continue"/>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p>
        </w:tc>
        <w:tc>
          <w:tcPr>
            <w:tcW w:w="851" w:type="dxa"/>
            <w:vMerge w:val="continue"/>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p>
        </w:tc>
        <w:tc>
          <w:tcPr>
            <w:tcW w:w="708"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B</w:t>
            </w:r>
          </w:p>
        </w:tc>
        <w:tc>
          <w:tcPr>
            <w:tcW w:w="6804"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45℃＜闪点＜60℃</w:t>
            </w:r>
          </w:p>
        </w:tc>
      </w:tr>
    </w:tbl>
    <w:p>
      <w:pPr>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续表</w:t>
      </w:r>
      <w:r>
        <w:rPr>
          <w:rFonts w:ascii="Times New Roman" w:hAnsi="Times New Roman"/>
          <w:color w:val="000000" w:themeColor="text1"/>
          <w:sz w:val="24"/>
          <w:szCs w:val="24"/>
          <w14:textFill>
            <w14:solidFill>
              <w14:schemeClr w14:val="tx1"/>
            </w14:solidFill>
          </w14:textFill>
        </w:rPr>
        <w:t>2.2.12-2</w:t>
      </w:r>
    </w:p>
    <w:tbl>
      <w:tblPr>
        <w:tblStyle w:val="35"/>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68"/>
        <w:gridCol w:w="851"/>
        <w:gridCol w:w="708"/>
        <w:gridCol w:w="68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2" w:hRule="atLeast"/>
        </w:trPr>
        <w:tc>
          <w:tcPr>
            <w:tcW w:w="1268" w:type="dxa"/>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名称</w:t>
            </w:r>
          </w:p>
        </w:tc>
        <w:tc>
          <w:tcPr>
            <w:tcW w:w="1559" w:type="dxa"/>
            <w:gridSpan w:val="2"/>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类别</w:t>
            </w:r>
          </w:p>
        </w:tc>
        <w:tc>
          <w:tcPr>
            <w:tcW w:w="6804"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 xml:space="preserve">特 </w:t>
            </w: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 xml:space="preserve">   </w:t>
            </w: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1268" w:type="dxa"/>
            <w:vMerge w:val="restart"/>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p>
        </w:tc>
        <w:tc>
          <w:tcPr>
            <w:tcW w:w="851" w:type="dxa"/>
            <w:vMerge w:val="restart"/>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丙</w:t>
            </w:r>
          </w:p>
        </w:tc>
        <w:tc>
          <w:tcPr>
            <w:tcW w:w="708"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A</w:t>
            </w:r>
          </w:p>
        </w:tc>
        <w:tc>
          <w:tcPr>
            <w:tcW w:w="6804"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60℃≤闪点≤120℃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1268" w:type="dxa"/>
            <w:vMerge w:val="continue"/>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p>
        </w:tc>
        <w:tc>
          <w:tcPr>
            <w:tcW w:w="851" w:type="dxa"/>
            <w:vMerge w:val="continue"/>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p>
        </w:tc>
        <w:tc>
          <w:tcPr>
            <w:tcW w:w="708"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B</w:t>
            </w:r>
          </w:p>
        </w:tc>
        <w:tc>
          <w:tcPr>
            <w:tcW w:w="6804" w:type="dxa"/>
            <w:vAlign w:val="center"/>
          </w:tcPr>
          <w:p>
            <w:pPr>
              <w:pStyle w:val="53"/>
              <w:tabs>
                <w:tab w:val="left" w:pos="993"/>
              </w:tabs>
              <w:adjustRightInd w:val="0"/>
              <w:snapToGrid w:val="0"/>
              <w:spacing w:before="87" w:beforeLines="20" w:after="87" w:afterLines="20" w:line="240" w:lineRule="auto"/>
              <w:jc w:val="center"/>
              <w:rPr>
                <w:rFonts w:asciiTheme="minorEastAsia" w:hAnsi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闪点＞</w:t>
            </w: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120</w:t>
            </w: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w:t>
            </w:r>
          </w:p>
        </w:tc>
      </w:tr>
    </w:tbl>
    <w:p>
      <w:pPr>
        <w:pStyle w:val="310"/>
        <w:spacing w:line="360" w:lineRule="auto"/>
        <w:rPr>
          <w:rFonts w:ascii="Times New Roman"/>
        </w:rPr>
      </w:pPr>
      <w:r>
        <w:rPr>
          <w:rFonts w:ascii="Times New Roman"/>
        </w:rPr>
        <w:t xml:space="preserve">2.2.13  </w:t>
      </w:r>
      <w:r>
        <w:rPr>
          <w:rFonts w:hint="eastAsia" w:ascii="Times New Roman"/>
        </w:rPr>
        <w:t>区域规划、工厂总平面布置，以及生产装置或设施内平面布置的防火间距起止点应按表</w:t>
      </w:r>
      <w:r>
        <w:rPr>
          <w:rFonts w:ascii="Times New Roman"/>
        </w:rPr>
        <w:t>2.2.13</w:t>
      </w:r>
      <w:r>
        <w:rPr>
          <w:rFonts w:hint="eastAsia" w:ascii="Times New Roman"/>
        </w:rPr>
        <w:t>确定。</w:t>
      </w:r>
    </w:p>
    <w:p>
      <w:pPr>
        <w:pStyle w:val="310"/>
        <w:spacing w:line="360" w:lineRule="auto"/>
        <w:jc w:val="center"/>
        <w:rPr>
          <w:rFonts w:ascii="Times New Roman"/>
        </w:rPr>
      </w:pPr>
      <w:r>
        <w:rPr>
          <w:rFonts w:hint="eastAsia" w:ascii="Times New Roman"/>
        </w:rPr>
        <w:t>表</w:t>
      </w:r>
      <w:r>
        <w:rPr>
          <w:rFonts w:ascii="Times New Roman"/>
        </w:rPr>
        <w:t xml:space="preserve">2.2.13  </w:t>
      </w:r>
      <w:r>
        <w:rPr>
          <w:rFonts w:hint="eastAsia" w:ascii="Times New Roman"/>
        </w:rPr>
        <w:t>防火间距起止点</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7"/>
        <w:gridCol w:w="4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建（筑）构物、设施和设备</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计算间距的起止点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道路</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车行道路边（含路肩、辅路）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铁路</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铁路中心线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管道</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管道中心（指明者除外）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设备</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设备外缘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pacing w:val="-2"/>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pacing w:val="-2"/>
                <w:sz w:val="21"/>
                <w:szCs w:val="21"/>
                <w:shd w:val="clear" w:color="auto" w:fill="FFFFFF" w:themeFill="background1"/>
                <w14:textFill>
                  <w14:solidFill>
                    <w14:schemeClr w14:val="tx1"/>
                  </w14:solidFill>
                </w14:textFill>
              </w:rPr>
              <w:t>建筑物（敞开或半敞开式厂房除外）</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最外侧轴线</w:t>
            </w: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 xml:space="preserve"> </w:t>
            </w:r>
            <w:r>
              <w:rPr>
                <w:rFonts w:hint="eastAsia" w:asciiTheme="minorEastAsia" w:hAnsiTheme="minorEastAsia" w:eastAsiaTheme="minorEastAsia"/>
                <w:b w:val="0"/>
                <w:color w:val="000000" w:themeColor="text1"/>
                <w:sz w:val="21"/>
                <w:szCs w:val="21"/>
                <w:shd w:val="clear" w:color="auto" w:fill="FFFFFF" w:themeFill="background1"/>
                <w:vertAlign w:val="superscript"/>
                <w14:textFill>
                  <w14:solidFill>
                    <w14:schemeClr w14:val="tx1"/>
                  </w14:solidFill>
                </w14:textFill>
              </w:rPr>
              <w:t>注</w:t>
            </w:r>
            <w:r>
              <w:rPr>
                <w:rFonts w:asciiTheme="minorEastAsia" w:hAnsiTheme="minorEastAsia" w:eastAsiaTheme="minorEastAsia"/>
                <w:b w:val="0"/>
                <w:color w:val="000000" w:themeColor="text1"/>
                <w:sz w:val="21"/>
                <w:szCs w:val="21"/>
                <w:shd w:val="clear" w:color="auto" w:fill="FFFFFF" w:themeFill="background1"/>
                <w:vertAlign w:val="superscript"/>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敞开式厂房</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设备外缘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半敞开式厂房</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设备外缘或最外侧轴线</w:t>
            </w:r>
            <w: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 xml:space="preserve"> </w:t>
            </w:r>
            <w:r>
              <w:rPr>
                <w:rFonts w:hint="eastAsia" w:asciiTheme="minorEastAsia" w:hAnsiTheme="minorEastAsia" w:eastAsiaTheme="minorEastAsia"/>
                <w:b w:val="0"/>
                <w:color w:val="000000" w:themeColor="text1"/>
                <w:sz w:val="21"/>
                <w:szCs w:val="21"/>
                <w:shd w:val="clear" w:color="auto" w:fill="FFFFFF" w:themeFill="background1"/>
                <w:vertAlign w:val="superscript"/>
                <w14:textFill>
                  <w14:solidFill>
                    <w14:schemeClr w14:val="tx1"/>
                  </w14:solidFill>
                </w14:textFill>
              </w:rPr>
              <w:t>注</w:t>
            </w:r>
            <w:r>
              <w:rPr>
                <w:rFonts w:asciiTheme="minorEastAsia" w:hAnsiTheme="minorEastAsia" w:eastAsiaTheme="minorEastAsia"/>
                <w:b w:val="0"/>
                <w:color w:val="000000" w:themeColor="text1"/>
                <w:sz w:val="21"/>
                <w:szCs w:val="21"/>
                <w:shd w:val="clear" w:color="auto" w:fill="FFFFFF" w:themeFill="background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码头</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输油臂中心及泊位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铁路装卸鹤管</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铁路中心线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汽车装卸鹤位</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鹤管立管中心线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储罐或罐组</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罐外壁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高架火炬</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火炬筒中心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架空通信、电力线</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线路中心线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生产装置</w:t>
            </w:r>
          </w:p>
        </w:tc>
        <w:tc>
          <w:tcPr>
            <w:tcW w:w="4817" w:type="dxa"/>
          </w:tcPr>
          <w:p>
            <w:pPr>
              <w:pStyle w:val="53"/>
              <w:tabs>
                <w:tab w:val="left" w:pos="993"/>
              </w:tabs>
              <w:adjustRightInd w:val="0"/>
              <w:snapToGrid w:val="0"/>
              <w:spacing w:before="87" w:beforeLines="20" w:after="87" w:afterLines="20" w:line="240" w:lineRule="auto"/>
              <w:jc w:val="center"/>
              <w:rPr>
                <w:rFonts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pPr>
            <w:r>
              <w:rPr>
                <w:rFonts w:hint="eastAsia" w:asciiTheme="minorEastAsia" w:hAnsiTheme="minorEastAsia" w:eastAsiaTheme="minorEastAsia"/>
                <w:b w:val="0"/>
                <w:color w:val="000000" w:themeColor="text1"/>
                <w:sz w:val="21"/>
                <w:szCs w:val="21"/>
                <w:shd w:val="clear" w:color="auto" w:fill="FFFFFF" w:themeFill="background1"/>
                <w14:textFill>
                  <w14:solidFill>
                    <w14:schemeClr w14:val="tx1"/>
                  </w14:solidFill>
                </w14:textFill>
              </w:rPr>
              <w:t>最外侧的设备外缘、建筑物的最外侧轴线</w:t>
            </w:r>
          </w:p>
        </w:tc>
      </w:tr>
    </w:tbl>
    <w:p>
      <w:pPr>
        <w:ind w:left="735" w:leftChars="200" w:hanging="315" w:hangingChars="150"/>
        <w:rPr>
          <w:rFonts w:asciiTheme="minorEastAsia" w:hAnsiTheme="minorEastAsia"/>
          <w:szCs w:val="21"/>
          <w:shd w:val="clear" w:color="auto" w:fill="FFFFFF" w:themeFill="background1"/>
        </w:rPr>
      </w:pPr>
      <w:r>
        <w:rPr>
          <w:rFonts w:hint="eastAsia" w:asciiTheme="minorEastAsia" w:hAnsiTheme="minorEastAsia"/>
          <w:szCs w:val="21"/>
          <w:shd w:val="clear" w:color="auto" w:fill="FFFFFF" w:themeFill="background1"/>
        </w:rPr>
        <w:t>注：</w:t>
      </w:r>
      <w:r>
        <w:rPr>
          <w:rFonts w:asciiTheme="minorEastAsia" w:hAnsiTheme="minorEastAsia"/>
          <w:szCs w:val="21"/>
          <w:shd w:val="clear" w:color="auto" w:fill="FFFFFF" w:themeFill="background1"/>
        </w:rPr>
        <w:t xml:space="preserve">1  </w:t>
      </w:r>
      <w:r>
        <w:rPr>
          <w:rFonts w:hint="eastAsia" w:cs="Arial" w:asciiTheme="minorEastAsia" w:hAnsiTheme="minorEastAsia"/>
          <w:szCs w:val="21"/>
        </w:rPr>
        <w:t>当外围护结构表面积大于该建筑物外围护结构总表面积的</w:t>
      </w:r>
      <w:r>
        <w:rPr>
          <w:rFonts w:cs="Arial" w:asciiTheme="minorEastAsia" w:hAnsiTheme="minorEastAsia"/>
          <w:szCs w:val="21"/>
        </w:rPr>
        <w:t>1/2</w:t>
      </w:r>
      <w:r>
        <w:rPr>
          <w:rFonts w:hint="eastAsia" w:cs="Arial" w:asciiTheme="minorEastAsia" w:hAnsiTheme="minorEastAsia"/>
          <w:szCs w:val="21"/>
        </w:rPr>
        <w:t>时，按厂房最外侧轴线确定；</w:t>
      </w:r>
    </w:p>
    <w:p>
      <w:pPr>
        <w:ind w:left="1134" w:leftChars="390" w:hanging="315" w:hangingChars="150"/>
        <w:jc w:val="left"/>
        <w:rPr>
          <w:rFonts w:asciiTheme="minorEastAsia" w:hAnsiTheme="minorEastAsia"/>
          <w:szCs w:val="21"/>
        </w:rPr>
      </w:pPr>
      <w:r>
        <w:rPr>
          <w:rFonts w:asciiTheme="minorEastAsia" w:hAnsiTheme="minorEastAsia"/>
          <w:szCs w:val="21"/>
          <w:shd w:val="clear" w:color="auto" w:fill="FFFFFF" w:themeFill="background1"/>
        </w:rPr>
        <w:t xml:space="preserve">2  </w:t>
      </w:r>
      <w:r>
        <w:rPr>
          <w:rFonts w:hint="eastAsia" w:cs="Arial" w:asciiTheme="minorEastAsia" w:hAnsiTheme="minorEastAsia"/>
          <w:szCs w:val="21"/>
        </w:rPr>
        <w:t>当外围护结构不利于可燃气体扩散时，按厂房最外侧轴线确定；当外围护结构有利于可燃气体扩散时，按厂房内设备外缘确定</w:t>
      </w:r>
      <w:r>
        <w:rPr>
          <w:rFonts w:hint="eastAsia" w:asciiTheme="minorEastAsia" w:hAnsiTheme="minorEastAsia"/>
          <w:szCs w:val="21"/>
        </w:rPr>
        <w:t>。</w:t>
      </w:r>
    </w:p>
    <w:p>
      <w:pPr>
        <w:pStyle w:val="3"/>
        <w:spacing w:line="360" w:lineRule="auto"/>
        <w:jc w:val="center"/>
        <w:rPr>
          <w:rFonts w:ascii="Times New Roman" w:hAnsi="Times New Roman" w:eastAsia="黑体"/>
          <w:b w:val="0"/>
        </w:rPr>
      </w:pPr>
      <w:bookmarkStart w:id="6" w:name="_Toc146639849"/>
      <w:r>
        <w:rPr>
          <w:rFonts w:ascii="Times New Roman" w:hAnsi="Times New Roman" w:eastAsia="黑体"/>
          <w:b w:val="0"/>
          <w:bCs w:val="0"/>
        </w:rPr>
        <w:t xml:space="preserve">2.3  </w:t>
      </w:r>
      <w:r>
        <w:rPr>
          <w:rFonts w:hint="eastAsia" w:ascii="Times New Roman" w:hAnsi="Times New Roman" w:eastAsia="黑体"/>
          <w:b w:val="0"/>
          <w:bCs w:val="0"/>
        </w:rPr>
        <w:t>环境保护</w:t>
      </w:r>
      <w:bookmarkEnd w:id="6"/>
    </w:p>
    <w:p>
      <w:pPr>
        <w:pStyle w:val="310"/>
        <w:spacing w:line="360" w:lineRule="auto"/>
        <w:rPr>
          <w:rFonts w:ascii="Times New Roman"/>
        </w:rPr>
      </w:pPr>
      <w:r>
        <w:rPr>
          <w:rFonts w:ascii="Times New Roman"/>
        </w:rPr>
        <w:t xml:space="preserve">2.3.1  </w:t>
      </w:r>
      <w:r>
        <w:rPr>
          <w:rFonts w:hint="eastAsia" w:ascii="Times New Roman"/>
        </w:rPr>
        <w:t>炼油化工工程项目排放的废水、废气应达标排放，并应满足污染物总量控制要求。</w:t>
      </w:r>
    </w:p>
    <w:p>
      <w:pPr>
        <w:pStyle w:val="310"/>
        <w:spacing w:line="360" w:lineRule="auto"/>
        <w:rPr>
          <w:rFonts w:ascii="Times New Roman"/>
        </w:rPr>
      </w:pPr>
      <w:r>
        <w:rPr>
          <w:rFonts w:ascii="Times New Roman"/>
        </w:rPr>
        <w:t xml:space="preserve">2.3.2  </w:t>
      </w:r>
      <w:r>
        <w:rPr>
          <w:rFonts w:hint="eastAsia" w:ascii="Times New Roman"/>
        </w:rPr>
        <w:t>苯并</w:t>
      </w:r>
      <w:r>
        <w:rPr>
          <w:rFonts w:ascii="Times New Roman"/>
        </w:rPr>
        <w:t>(a)芘、总铅、总镉、总砷、总镍、总汞、烷基汞、总铬、六价铬等第一类污染物应在生产装置或设施废水排放口达标。</w:t>
      </w:r>
    </w:p>
    <w:p>
      <w:pPr>
        <w:pStyle w:val="310"/>
        <w:spacing w:line="360" w:lineRule="auto"/>
        <w:rPr>
          <w:rFonts w:ascii="Times New Roman"/>
        </w:rPr>
      </w:pPr>
      <w:r>
        <w:rPr>
          <w:rFonts w:ascii="Times New Roman"/>
        </w:rPr>
        <w:t xml:space="preserve">2.3.3  </w:t>
      </w:r>
      <w:r>
        <w:rPr>
          <w:rFonts w:hint="eastAsia" w:ascii="Times New Roman"/>
        </w:rPr>
        <w:t>挥发性有机液体的储存、装卸设施及含挥发性有机物、恶臭物质废水的集输、储存、处理过程中，应采取控制挥发性有机物、恶臭物质逸散到大气中的措施。</w:t>
      </w:r>
    </w:p>
    <w:p>
      <w:pPr>
        <w:pStyle w:val="310"/>
        <w:spacing w:line="360" w:lineRule="auto"/>
        <w:rPr>
          <w:rFonts w:ascii="Times New Roman"/>
        </w:rPr>
      </w:pPr>
      <w:r>
        <w:rPr>
          <w:rFonts w:ascii="Times New Roman"/>
        </w:rPr>
        <w:t xml:space="preserve">2.3.4  </w:t>
      </w:r>
      <w:r>
        <w:rPr>
          <w:rFonts w:hint="eastAsia" w:ascii="Times New Roman"/>
        </w:rPr>
        <w:t>炼油化工企业应进行挥发性有机物泄漏检测与修复。</w:t>
      </w:r>
    </w:p>
    <w:p>
      <w:pPr>
        <w:pStyle w:val="310"/>
        <w:spacing w:line="360" w:lineRule="auto"/>
        <w:rPr>
          <w:rFonts w:ascii="Times New Roman"/>
        </w:rPr>
      </w:pPr>
      <w:r>
        <w:rPr>
          <w:rFonts w:ascii="Times New Roman"/>
        </w:rPr>
        <w:t xml:space="preserve">2.3.5  </w:t>
      </w:r>
      <w:r>
        <w:rPr>
          <w:rFonts w:hint="eastAsia" w:ascii="Times New Roman"/>
        </w:rPr>
        <w:t>含有挥发性有机物、恶臭物质物料的采样口应采用密闭采样或等效设施。</w:t>
      </w:r>
    </w:p>
    <w:p>
      <w:pPr>
        <w:pStyle w:val="310"/>
        <w:spacing w:line="360" w:lineRule="auto"/>
        <w:rPr>
          <w:rFonts w:ascii="Times New Roman"/>
        </w:rPr>
      </w:pPr>
      <w:r>
        <w:rPr>
          <w:rFonts w:ascii="Times New Roman"/>
        </w:rPr>
        <w:t xml:space="preserve">2.3.6  </w:t>
      </w:r>
      <w:r>
        <w:rPr>
          <w:rFonts w:hint="eastAsia" w:ascii="Times New Roman"/>
        </w:rPr>
        <w:t>正常工况下，有组织排放或无组织排放大气污染物的炼油化工工程项目应设置环境防护距离，防护距离内不应有居民区、学校、医院等敏感区。</w:t>
      </w:r>
    </w:p>
    <w:p>
      <w:pPr>
        <w:pStyle w:val="310"/>
        <w:spacing w:line="360" w:lineRule="auto"/>
        <w:rPr>
          <w:rFonts w:ascii="Times New Roman"/>
        </w:rPr>
      </w:pPr>
      <w:r>
        <w:rPr>
          <w:rFonts w:ascii="Times New Roman"/>
        </w:rPr>
        <w:t xml:space="preserve">2.3.7  </w:t>
      </w:r>
      <w:r>
        <w:rPr>
          <w:rFonts w:hint="eastAsia" w:ascii="Times New Roman"/>
        </w:rPr>
        <w:t>炼油化工工程项目应根据国家危险废物名录和国家规定的固体废物鉴别标准，对固体废物进行分类，并应分别采取对应的处理处置措施。</w:t>
      </w:r>
    </w:p>
    <w:p>
      <w:pPr>
        <w:pStyle w:val="310"/>
        <w:spacing w:line="360" w:lineRule="auto"/>
        <w:rPr>
          <w:rFonts w:ascii="Times New Roman"/>
        </w:rPr>
      </w:pPr>
      <w:r>
        <w:rPr>
          <w:rFonts w:ascii="Times New Roman"/>
        </w:rPr>
        <w:t xml:space="preserve">2.3.8  </w:t>
      </w:r>
      <w:r>
        <w:rPr>
          <w:rFonts w:hint="eastAsia" w:ascii="Times New Roman"/>
        </w:rPr>
        <w:t>炼油化工工程项目应根据物料、废液、污水的性质和发现泄漏的难易程度划分污染防治区等级，并应根据其污染防治区等级采取相应的防渗措施。</w:t>
      </w:r>
    </w:p>
    <w:p>
      <w:pPr>
        <w:pStyle w:val="310"/>
        <w:spacing w:line="360" w:lineRule="auto"/>
        <w:rPr>
          <w:rFonts w:ascii="Times New Roman"/>
        </w:rPr>
      </w:pPr>
      <w:r>
        <w:rPr>
          <w:rFonts w:ascii="Times New Roman"/>
        </w:rPr>
        <w:t xml:space="preserve">2.3.9  </w:t>
      </w:r>
      <w:r>
        <w:rPr>
          <w:rFonts w:hint="eastAsia" w:ascii="Times New Roman"/>
        </w:rPr>
        <w:t>炼油化工工程项目应采取措施，满足厂界噪声限值要求。</w:t>
      </w:r>
    </w:p>
    <w:p>
      <w:pPr>
        <w:pStyle w:val="310"/>
        <w:spacing w:line="360" w:lineRule="auto"/>
        <w:rPr>
          <w:rFonts w:ascii="Times New Roman"/>
        </w:rPr>
      </w:pPr>
      <w:r>
        <w:rPr>
          <w:rFonts w:ascii="Times New Roman"/>
        </w:rPr>
        <w:t xml:space="preserve">2.3.10  </w:t>
      </w:r>
      <w:r>
        <w:rPr>
          <w:rFonts w:hint="eastAsia" w:ascii="Times New Roman"/>
        </w:rPr>
        <w:t>催化裂化再生烟气、硫磺回收尾气处理烟气、热电锅炉烟气（单台锅炉额定功率大于或等于</w:t>
      </w:r>
      <w:r>
        <w:rPr>
          <w:rFonts w:ascii="Times New Roman"/>
        </w:rPr>
        <w:t>14MW或额定蒸发量大于或等于20t/h）和危险废物焚烧炉烟气、工艺加热炉烟气（单台额定功率大于或等于14MW）排气筒</w:t>
      </w:r>
      <w:r>
        <w:rPr>
          <w:rFonts w:hint="eastAsia" w:ascii="Times New Roman"/>
        </w:rPr>
        <w:t>，应设置烟气排放连续监测系统。</w:t>
      </w:r>
    </w:p>
    <w:p>
      <w:pPr>
        <w:pStyle w:val="310"/>
        <w:spacing w:line="360" w:lineRule="auto"/>
        <w:rPr>
          <w:rFonts w:ascii="Times New Roman"/>
        </w:rPr>
      </w:pPr>
      <w:r>
        <w:rPr>
          <w:rFonts w:ascii="Times New Roman"/>
        </w:rPr>
        <w:t xml:space="preserve">2.3.11  </w:t>
      </w:r>
      <w:r>
        <w:rPr>
          <w:rFonts w:hint="eastAsia" w:ascii="Times New Roman"/>
        </w:rPr>
        <w:t>炼油化工企业废水总排放口应设置自动监测系统。</w:t>
      </w:r>
    </w:p>
    <w:p>
      <w:pPr>
        <w:pStyle w:val="310"/>
        <w:spacing w:line="360" w:lineRule="auto"/>
        <w:rPr>
          <w:rFonts w:ascii="Times New Roman"/>
        </w:rPr>
      </w:pPr>
      <w:r>
        <w:rPr>
          <w:rFonts w:ascii="Times New Roman"/>
        </w:rPr>
        <w:t xml:space="preserve">2.3.12  </w:t>
      </w:r>
      <w:r>
        <w:rPr>
          <w:rFonts w:hint="eastAsia" w:ascii="Times New Roman"/>
        </w:rPr>
        <w:t>终止的炼油化工企业，工业固体废物贮存或处置的设施及场所应采取合规有效处置，进入后续用地程序的土地应采取措施使其符合规划用地土壤环境质量要求。</w:t>
      </w:r>
    </w:p>
    <w:p>
      <w:pPr>
        <w:pStyle w:val="3"/>
        <w:spacing w:line="360" w:lineRule="auto"/>
        <w:jc w:val="center"/>
        <w:rPr>
          <w:rFonts w:ascii="Times New Roman" w:hAnsi="Times New Roman" w:eastAsia="黑体"/>
          <w:b w:val="0"/>
        </w:rPr>
      </w:pPr>
      <w:bookmarkStart w:id="7" w:name="_Toc146639850"/>
      <w:r>
        <w:rPr>
          <w:rFonts w:ascii="Times New Roman" w:hAnsi="Times New Roman" w:eastAsia="黑体"/>
          <w:b w:val="0"/>
          <w:bCs w:val="0"/>
        </w:rPr>
        <w:t xml:space="preserve">2.4  </w:t>
      </w:r>
      <w:r>
        <w:rPr>
          <w:rFonts w:hint="eastAsia" w:ascii="Times New Roman" w:hAnsi="Times New Roman" w:eastAsia="黑体"/>
          <w:b w:val="0"/>
          <w:bCs w:val="0"/>
        </w:rPr>
        <w:t>职业安全卫生</w:t>
      </w:r>
      <w:bookmarkEnd w:id="7"/>
    </w:p>
    <w:p>
      <w:pPr>
        <w:pStyle w:val="310"/>
        <w:spacing w:line="360" w:lineRule="auto"/>
        <w:rPr>
          <w:rFonts w:ascii="Times New Roman"/>
        </w:rPr>
      </w:pPr>
      <w:r>
        <w:rPr>
          <w:rFonts w:ascii="Times New Roman"/>
        </w:rPr>
        <w:t xml:space="preserve">2.4.1  </w:t>
      </w:r>
      <w:r>
        <w:rPr>
          <w:rFonts w:hint="eastAsia" w:ascii="Times New Roman"/>
        </w:rPr>
        <w:t>炼油化工工程项目的工作场所应符合下列职业卫生要求：</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职业病危害因素的强度或浓度应符合国家相关要求；</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贮存可能产生职业病危害的化学品应设置危险物品标识；</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应配备与职业病危害防护相适应的设施；</w:t>
      </w:r>
    </w:p>
    <w:p>
      <w:pPr>
        <w:pStyle w:val="310"/>
        <w:spacing w:line="360" w:lineRule="auto"/>
        <w:ind w:firstLine="420" w:firstLineChars="175"/>
        <w:rPr>
          <w:rFonts w:ascii="Times New Roman"/>
          <w:bCs/>
        </w:rPr>
      </w:pPr>
      <w:r>
        <w:rPr>
          <w:rFonts w:ascii="Times New Roman"/>
          <w:bCs/>
        </w:rPr>
        <w:t xml:space="preserve">4  </w:t>
      </w:r>
      <w:r>
        <w:rPr>
          <w:rFonts w:hint="eastAsia" w:ascii="Times New Roman"/>
          <w:bCs/>
        </w:rPr>
        <w:t>设备、工具、用具等设施应符合保护操作人员生理、心理健康的要求。</w:t>
      </w:r>
    </w:p>
    <w:p>
      <w:pPr>
        <w:pStyle w:val="310"/>
        <w:spacing w:line="360" w:lineRule="auto"/>
        <w:rPr>
          <w:rFonts w:ascii="Times New Roman"/>
        </w:rPr>
      </w:pPr>
      <w:r>
        <w:rPr>
          <w:rFonts w:ascii="Times New Roman"/>
        </w:rPr>
        <w:t xml:space="preserve">2.4.2  </w:t>
      </w:r>
      <w:r>
        <w:rPr>
          <w:rFonts w:hint="eastAsia" w:ascii="Times New Roman"/>
        </w:rPr>
        <w:t>对可能发生急性职业损伤的有毒、有害工作场所，应设置有毒气体检测系统和报警装置，且应配置现场急救用品、冲洗设备、应急撤离通道和必要的泄险区。</w:t>
      </w:r>
    </w:p>
    <w:p>
      <w:pPr>
        <w:pStyle w:val="310"/>
        <w:spacing w:line="360" w:lineRule="auto"/>
        <w:rPr>
          <w:rFonts w:ascii="Times New Roman"/>
        </w:rPr>
      </w:pPr>
      <w:r>
        <w:rPr>
          <w:rFonts w:ascii="Times New Roman"/>
        </w:rPr>
        <w:t xml:space="preserve">2.4.3  </w:t>
      </w:r>
      <w:r>
        <w:rPr>
          <w:rFonts w:hint="eastAsia" w:ascii="Times New Roman"/>
        </w:rPr>
        <w:t>贮存和使用放射性同位素及含有放射性物质的场所，应在规定的部位设置放射性警示标识。放射工作场所和放射性同位素的运输、贮存应配置防护设备和报警装置，接触放射线的工作人员应佩戴个人剂量计。</w:t>
      </w:r>
    </w:p>
    <w:p>
      <w:pPr>
        <w:pStyle w:val="310"/>
        <w:spacing w:line="360" w:lineRule="auto"/>
        <w:rPr>
          <w:rFonts w:ascii="Times New Roman"/>
        </w:rPr>
      </w:pPr>
      <w:r>
        <w:rPr>
          <w:rFonts w:ascii="Times New Roman"/>
        </w:rPr>
        <w:t xml:space="preserve">2.4.4  </w:t>
      </w:r>
      <w:r>
        <w:rPr>
          <w:rFonts w:hint="eastAsia" w:ascii="Times New Roman"/>
        </w:rPr>
        <w:t>对产生粉尘、毒物的生产过程和设备应优先采用机械化和自动化，避免直接人工操作，其设备和管道应采取有效的密闭措施。</w:t>
      </w:r>
    </w:p>
    <w:p>
      <w:pPr>
        <w:pStyle w:val="310"/>
        <w:spacing w:line="360" w:lineRule="auto"/>
        <w:rPr>
          <w:rFonts w:cs="宋体" w:asciiTheme="minorEastAsia" w:hAnsiTheme="minorEastAsia"/>
          <w:color w:val="000000" w:themeColor="text1"/>
          <w:szCs w:val="21"/>
          <w14:textFill>
            <w14:solidFill>
              <w14:schemeClr w14:val="tx1"/>
            </w14:solidFill>
          </w14:textFill>
        </w:rPr>
      </w:pPr>
      <w:r>
        <w:rPr>
          <w:rFonts w:ascii="Times New Roman"/>
        </w:rPr>
        <w:t xml:space="preserve">2.4.5  </w:t>
      </w:r>
      <w:r>
        <w:rPr>
          <w:rFonts w:hint="eastAsia" w:ascii="Times New Roman"/>
        </w:rPr>
        <w:t>可能突然逸出大量有毒、有害或易燃易爆气体及可能放散粉尘或气溶胶物质的室内工作场所，应</w:t>
      </w:r>
      <w:r>
        <w:rPr>
          <w:rFonts w:hint="eastAsia" w:cs="宋体" w:asciiTheme="minorEastAsia" w:hAnsiTheme="minorEastAsia"/>
          <w:color w:val="000000" w:themeColor="text1"/>
          <w:szCs w:val="21"/>
          <w14:textFill>
            <w14:solidFill>
              <w14:schemeClr w14:val="tx1"/>
            </w14:solidFill>
          </w14:textFill>
        </w:rPr>
        <w:t>设置事故通风装置。</w:t>
      </w:r>
    </w:p>
    <w:p>
      <w:pPr>
        <w:pStyle w:val="310"/>
        <w:spacing w:line="360" w:lineRule="auto"/>
        <w:rPr>
          <w:rFonts w:ascii="Times New Roman"/>
        </w:rPr>
      </w:pPr>
      <w:r>
        <w:rPr>
          <w:rFonts w:ascii="Times New Roman"/>
        </w:rPr>
        <w:t xml:space="preserve">2.4.6  </w:t>
      </w:r>
      <w:r>
        <w:rPr>
          <w:rFonts w:hint="eastAsia" w:ascii="Times New Roman"/>
        </w:rPr>
        <w:t>对生产过程和设备产生的噪声应首先控制声源，并应采取有效的噪声控制措施及采取个人防护措施，以满足国家规定的工作场所噪声限值要求。</w:t>
      </w:r>
    </w:p>
    <w:p>
      <w:pPr>
        <w:pStyle w:val="310"/>
        <w:spacing w:line="360" w:lineRule="auto"/>
        <w:rPr>
          <w:rFonts w:ascii="Times New Roman"/>
        </w:rPr>
      </w:pPr>
      <w:r>
        <w:rPr>
          <w:rFonts w:ascii="Times New Roman"/>
        </w:rPr>
        <w:t xml:space="preserve">2.4.7  </w:t>
      </w:r>
      <w:r>
        <w:rPr>
          <w:rFonts w:hint="eastAsia" w:ascii="Times New Roman"/>
        </w:rPr>
        <w:t>下列场所应设置事故淋浴器及洗眼器：</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生产过程中可能发生化学性灼伤和</w:t>
      </w:r>
      <w:r>
        <w:rPr>
          <w:rFonts w:ascii="Times New Roman"/>
          <w:bCs/>
        </w:rPr>
        <w:t>冻伤</w:t>
      </w:r>
      <w:r>
        <w:rPr>
          <w:rFonts w:hint="eastAsia" w:ascii="Times New Roman"/>
          <w:bCs/>
        </w:rPr>
        <w:t>，包括可能接触到酸碱强腐蚀性物质；</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存在经皮肤吸收引起急性中毒的物质。</w:t>
      </w:r>
    </w:p>
    <w:p>
      <w:pPr>
        <w:pStyle w:val="310"/>
        <w:spacing w:line="360" w:lineRule="auto"/>
        <w:rPr>
          <w:rFonts w:ascii="Times New Roman"/>
        </w:rPr>
      </w:pPr>
      <w:r>
        <w:rPr>
          <w:rFonts w:ascii="Times New Roman"/>
        </w:rPr>
        <w:t xml:space="preserve">2.4.8  </w:t>
      </w:r>
      <w:r>
        <w:rPr>
          <w:rFonts w:hint="eastAsia" w:ascii="Times New Roman"/>
        </w:rPr>
        <w:t>应根据防止职业性危害的需要为现场操作人员配备相应的个体防护装备。</w:t>
      </w:r>
    </w:p>
    <w:p>
      <w:pPr>
        <w:pStyle w:val="310"/>
        <w:spacing w:line="360" w:lineRule="auto"/>
        <w:rPr>
          <w:rFonts w:ascii="Times New Roman"/>
        </w:rPr>
      </w:pPr>
      <w:r>
        <w:rPr>
          <w:rFonts w:ascii="Times New Roman"/>
        </w:rPr>
        <w:t xml:space="preserve">2.4.9  </w:t>
      </w:r>
      <w:r>
        <w:rPr>
          <w:rFonts w:hint="eastAsia" w:ascii="Times New Roman"/>
        </w:rPr>
        <w:t>生产装置区、高大框架及建筑物应规划布置安全出口及疏散逃生通道，并应设置安全提示标志。</w:t>
      </w:r>
    </w:p>
    <w:p>
      <w:pPr>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br w:type="page"/>
      </w:r>
    </w:p>
    <w:p>
      <w:pPr>
        <w:spacing w:before="435" w:beforeLines="100" w:after="435" w:afterLines="100"/>
        <w:jc w:val="center"/>
        <w:outlineLvl w:val="0"/>
        <w:rPr>
          <w:rFonts w:asciiTheme="minorEastAsia" w:hAnsiTheme="minorEastAsia"/>
          <w:sz w:val="28"/>
          <w:szCs w:val="28"/>
        </w:rPr>
      </w:pPr>
      <w:bookmarkStart w:id="8" w:name="_Toc91770090"/>
      <w:bookmarkStart w:id="9" w:name="_Toc146639851"/>
      <w:r>
        <w:rPr>
          <w:rFonts w:ascii="Times New Roman" w:hAnsi="Times New Roman" w:cs="Times New Roman"/>
          <w:sz w:val="28"/>
          <w:szCs w:val="28"/>
        </w:rPr>
        <w:t xml:space="preserve">3  </w:t>
      </w:r>
      <w:bookmarkEnd w:id="8"/>
      <w:r>
        <w:rPr>
          <w:rFonts w:hint="eastAsia" w:ascii="黑体" w:hAnsi="黑体" w:eastAsia="黑体"/>
          <w:sz w:val="28"/>
          <w:szCs w:val="28"/>
        </w:rPr>
        <w:t>选址布局与总平面布置</w:t>
      </w:r>
      <w:bookmarkEnd w:id="9"/>
    </w:p>
    <w:p>
      <w:pPr>
        <w:pStyle w:val="310"/>
        <w:spacing w:line="360" w:lineRule="auto"/>
        <w:rPr>
          <w:rFonts w:ascii="Times New Roman"/>
        </w:rPr>
      </w:pPr>
      <w:r>
        <w:rPr>
          <w:rFonts w:ascii="Times New Roman"/>
        </w:rPr>
        <w:t xml:space="preserve">3.0.1  </w:t>
      </w:r>
      <w:r>
        <w:rPr>
          <w:rFonts w:hint="eastAsia" w:ascii="Times New Roman"/>
        </w:rPr>
        <w:t>炼油化工工程</w:t>
      </w:r>
      <w:r>
        <w:rPr>
          <w:rFonts w:ascii="Times New Roman"/>
        </w:rPr>
        <w:t>项目规划布局和选址应与国家的炼油化工产业布局、国土空间规划一致。</w:t>
      </w:r>
    </w:p>
    <w:p>
      <w:pPr>
        <w:pStyle w:val="310"/>
        <w:spacing w:line="360" w:lineRule="auto"/>
        <w:rPr>
          <w:rFonts w:ascii="Times New Roman"/>
        </w:rPr>
      </w:pPr>
      <w:r>
        <w:rPr>
          <w:rFonts w:ascii="Times New Roman"/>
        </w:rPr>
        <w:t xml:space="preserve">3.0.2  </w:t>
      </w:r>
      <w:r>
        <w:rPr>
          <w:rFonts w:hint="eastAsia" w:ascii="Times New Roman"/>
        </w:rPr>
        <w:t>新建炼油化工工程项目选址应位于合规设立的园区内。</w:t>
      </w:r>
    </w:p>
    <w:p>
      <w:pPr>
        <w:pStyle w:val="310"/>
        <w:spacing w:line="360" w:lineRule="auto"/>
        <w:rPr>
          <w:rFonts w:ascii="Times New Roman"/>
        </w:rPr>
      </w:pPr>
      <w:r>
        <w:rPr>
          <w:rFonts w:ascii="Times New Roman"/>
        </w:rPr>
        <w:t xml:space="preserve">3.0.3  </w:t>
      </w:r>
      <w:r>
        <w:rPr>
          <w:rFonts w:hint="eastAsia" w:ascii="Times New Roman"/>
        </w:rPr>
        <w:t>厂址选择应根据拟建炼油化工工程项目所在地区的自然环境、社会环境和大气、水体（含海洋、地表水、地下水等）、土壤等基本环境要素，通过环境影响评价论证，最终确定。</w:t>
      </w:r>
    </w:p>
    <w:p>
      <w:pPr>
        <w:pStyle w:val="310"/>
        <w:spacing w:line="360" w:lineRule="auto"/>
        <w:rPr>
          <w:rFonts w:ascii="Times New Roman"/>
        </w:rPr>
      </w:pPr>
      <w:r>
        <w:rPr>
          <w:rFonts w:ascii="Times New Roman"/>
        </w:rPr>
        <w:t xml:space="preserve">3.0.4  </w:t>
      </w:r>
      <w:r>
        <w:rPr>
          <w:rFonts w:hint="eastAsia" w:ascii="Times New Roman"/>
        </w:rPr>
        <w:t>下列地区或地段不应选为厂址：</w:t>
      </w:r>
    </w:p>
    <w:p>
      <w:pPr>
        <w:pStyle w:val="310"/>
        <w:spacing w:line="360" w:lineRule="auto"/>
        <w:ind w:firstLine="480" w:firstLineChars="200"/>
        <w:rPr>
          <w:rFonts w:ascii="Times New Roman"/>
          <w:bCs/>
        </w:rPr>
      </w:pPr>
      <w:r>
        <w:rPr>
          <w:rFonts w:ascii="Times New Roman"/>
          <w:bCs/>
        </w:rPr>
        <w:t xml:space="preserve">1  </w:t>
      </w:r>
      <w:r>
        <w:rPr>
          <w:rFonts w:hint="eastAsia" w:ascii="Times New Roman"/>
          <w:bCs/>
        </w:rPr>
        <w:t>发震断层和抗震设防烈度为</w:t>
      </w:r>
      <w:r>
        <w:rPr>
          <w:rFonts w:ascii="Times New Roman"/>
          <w:bCs/>
        </w:rPr>
        <w:t>9度及以上的地区</w:t>
      </w:r>
      <w:r>
        <w:rPr>
          <w:rFonts w:hint="eastAsia" w:ascii="Times New Roman"/>
          <w:bCs/>
        </w:rPr>
        <w:t>；</w:t>
      </w:r>
    </w:p>
    <w:p>
      <w:pPr>
        <w:pStyle w:val="310"/>
        <w:spacing w:line="360" w:lineRule="auto"/>
        <w:ind w:firstLine="480" w:firstLineChars="200"/>
        <w:rPr>
          <w:rFonts w:ascii="Times New Roman"/>
          <w:bCs/>
        </w:rPr>
      </w:pPr>
      <w:r>
        <w:rPr>
          <w:rFonts w:ascii="Times New Roman"/>
          <w:bCs/>
        </w:rPr>
        <w:t xml:space="preserve">2  </w:t>
      </w:r>
      <w:r>
        <w:rPr>
          <w:rFonts w:hint="eastAsia" w:ascii="Times New Roman"/>
          <w:bCs/>
        </w:rPr>
        <w:t>生活饮用水源保护区，国家划定的森林、农业保护及发展规划区，自然保护区、风景名胜区和历史文物单位的保护范围；</w:t>
      </w:r>
    </w:p>
    <w:p>
      <w:pPr>
        <w:pStyle w:val="310"/>
        <w:spacing w:line="360" w:lineRule="auto"/>
        <w:ind w:firstLine="480" w:firstLineChars="200"/>
        <w:rPr>
          <w:rFonts w:ascii="Times New Roman"/>
          <w:bCs/>
        </w:rPr>
      </w:pPr>
      <w:r>
        <w:rPr>
          <w:rFonts w:ascii="Times New Roman"/>
          <w:bCs/>
        </w:rPr>
        <w:t xml:space="preserve">3  </w:t>
      </w:r>
      <w:r>
        <w:rPr>
          <w:rFonts w:hint="eastAsia" w:ascii="Times New Roman"/>
          <w:bCs/>
        </w:rPr>
        <w:t>山体崩塌、滑坡、泥石流、流沙、地面严重沉降或塌陷等地质灾害易发区和重点防治区，采矿塌落、错动区的地表界限内；</w:t>
      </w:r>
    </w:p>
    <w:p>
      <w:pPr>
        <w:pStyle w:val="310"/>
        <w:spacing w:line="360" w:lineRule="auto"/>
        <w:ind w:firstLine="480" w:firstLineChars="200"/>
        <w:rPr>
          <w:rFonts w:ascii="Times New Roman"/>
          <w:bCs/>
        </w:rPr>
      </w:pPr>
      <w:r>
        <w:rPr>
          <w:rFonts w:ascii="Times New Roman"/>
          <w:bCs/>
        </w:rPr>
        <w:t xml:space="preserve">4  </w:t>
      </w:r>
      <w:r>
        <w:rPr>
          <w:rFonts w:hint="eastAsia" w:ascii="Times New Roman"/>
          <w:bCs/>
        </w:rPr>
        <w:t>蓄滞洪区、坝或堤决溃后可能淹没的地区；</w:t>
      </w:r>
    </w:p>
    <w:p>
      <w:pPr>
        <w:pStyle w:val="310"/>
        <w:spacing w:line="360" w:lineRule="auto"/>
        <w:ind w:firstLine="480" w:firstLineChars="200"/>
        <w:rPr>
          <w:rFonts w:ascii="Times New Roman"/>
          <w:bCs/>
        </w:rPr>
      </w:pPr>
      <w:r>
        <w:rPr>
          <w:rFonts w:ascii="Times New Roman"/>
          <w:bCs/>
        </w:rPr>
        <w:t xml:space="preserve">5  </w:t>
      </w:r>
      <w:r>
        <w:rPr>
          <w:rFonts w:hint="eastAsia" w:ascii="Times New Roman"/>
          <w:bCs/>
        </w:rPr>
        <w:t>危及到机场净空保护区的区域。</w:t>
      </w:r>
    </w:p>
    <w:p>
      <w:pPr>
        <w:pStyle w:val="310"/>
        <w:spacing w:line="360" w:lineRule="auto"/>
        <w:rPr>
          <w:rFonts w:ascii="Times New Roman"/>
        </w:rPr>
      </w:pPr>
      <w:r>
        <w:rPr>
          <w:rFonts w:ascii="Times New Roman"/>
        </w:rPr>
        <w:t xml:space="preserve">3.0.5  </w:t>
      </w:r>
      <w:r>
        <w:rPr>
          <w:rFonts w:hint="eastAsia" w:ascii="Times New Roman"/>
        </w:rPr>
        <w:t>炼油化工工程项目与外部防护目标之间应通过安全风险评估确定外部安全防护距离。</w:t>
      </w:r>
    </w:p>
    <w:p>
      <w:pPr>
        <w:widowControl/>
        <w:jc w:val="left"/>
        <w:rPr>
          <w:rFonts w:ascii="黑体" w:hAnsi="黑体" w:eastAsia="黑体"/>
          <w:color w:val="000000" w:themeColor="text1"/>
          <w:sz w:val="30"/>
          <w:szCs w:val="30"/>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br w:type="page"/>
      </w:r>
    </w:p>
    <w:p>
      <w:pPr>
        <w:pStyle w:val="310"/>
        <w:spacing w:line="360" w:lineRule="auto"/>
        <w:rPr>
          <w:rFonts w:ascii="Times New Roman"/>
        </w:rPr>
      </w:pPr>
      <w:r>
        <w:rPr>
          <w:rFonts w:ascii="Times New Roman"/>
        </w:rPr>
        <w:t xml:space="preserve">3.0.6  </w:t>
      </w:r>
      <w:r>
        <w:rPr>
          <w:rFonts w:hint="eastAsia" w:ascii="Times New Roman"/>
        </w:rPr>
        <w:t>炼油化工工程项目与相邻工厂或设施的防火间距，除特殊情况下可按照风险评估确定外，不应小于表</w:t>
      </w:r>
      <w:r>
        <w:rPr>
          <w:rFonts w:ascii="Times New Roman"/>
        </w:rPr>
        <w:t>3.0.6</w:t>
      </w:r>
      <w:r>
        <w:rPr>
          <w:rFonts w:hint="eastAsia" w:ascii="Times New Roman"/>
        </w:rPr>
        <w:t>的规定。</w:t>
      </w:r>
    </w:p>
    <w:p>
      <w:pPr>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表</w:t>
      </w:r>
      <w:r>
        <w:rPr>
          <w:rFonts w:ascii="Times New Roman" w:hAnsi="Times New Roman" w:cs="Times New Roman"/>
          <w:color w:val="000000" w:themeColor="text1"/>
          <w:sz w:val="24"/>
          <w:szCs w:val="24"/>
          <w14:textFill>
            <w14:solidFill>
              <w14:schemeClr w14:val="tx1"/>
            </w14:solidFill>
          </w14:textFill>
        </w:rPr>
        <w:t xml:space="preserve">3.0.6  </w:t>
      </w:r>
      <w:r>
        <w:rPr>
          <w:rFonts w:hint="eastAsia" w:ascii="Times New Roman" w:hAnsi="Times New Roman" w:cs="Times New Roman"/>
          <w:color w:val="000000" w:themeColor="text1"/>
          <w:sz w:val="24"/>
          <w:szCs w:val="24"/>
          <w14:textFill>
            <w14:solidFill>
              <w14:schemeClr w14:val="tx1"/>
            </w14:solidFill>
          </w14:textFill>
        </w:rPr>
        <w:t>炼油化工企业与相邻工厂或设施的防火间距</w:t>
      </w:r>
    </w:p>
    <w:tbl>
      <w:tblPr>
        <w:tblStyle w:val="35"/>
        <w:tblW w:w="9639"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284"/>
        <w:gridCol w:w="1984"/>
        <w:gridCol w:w="1134"/>
        <w:gridCol w:w="992"/>
        <w:gridCol w:w="1276"/>
        <w:gridCol w:w="1247"/>
        <w:gridCol w:w="1305"/>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2977" w:type="dxa"/>
            <w:gridSpan w:val="3"/>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相邻工厂或设施</w:t>
            </w:r>
          </w:p>
        </w:tc>
        <w:tc>
          <w:tcPr>
            <w:tcW w:w="5954" w:type="dxa"/>
            <w:gridSpan w:val="5"/>
            <w:vAlign w:val="center"/>
          </w:tcPr>
          <w:p>
            <w:pPr>
              <w:jc w:val="center"/>
              <w:rPr>
                <w:rFonts w:cs="Times New Roman" w:asciiTheme="minorEastAsia" w:hAnsiTheme="minorEastAsia"/>
                <w:szCs w:val="21"/>
              </w:rPr>
            </w:pPr>
            <w:r>
              <w:rPr>
                <w:rFonts w:hint="eastAsia" w:cs="Times New Roman" w:asciiTheme="minorEastAsia" w:hAnsiTheme="minorEastAsia"/>
                <w:szCs w:val="21"/>
              </w:rPr>
              <w:t>防火间距（</w:t>
            </w:r>
            <w:r>
              <w:rPr>
                <w:rFonts w:cs="Times New Roman" w:asciiTheme="minorEastAsia" w:hAnsiTheme="minorEastAsia"/>
                <w:szCs w:val="21"/>
              </w:rPr>
              <w:t>m</w:t>
            </w:r>
            <w:r>
              <w:rPr>
                <w:rFonts w:hint="eastAsia" w:cs="Times New Roman" w:asciiTheme="minorEastAsia" w:hAnsiTheme="minorEastAsia"/>
                <w:szCs w:val="21"/>
              </w:rPr>
              <w:t>）</w:t>
            </w:r>
          </w:p>
        </w:tc>
        <w:tc>
          <w:tcPr>
            <w:tcW w:w="708" w:type="dxa"/>
            <w:vMerge w:val="restart"/>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6" w:hRule="atLeast"/>
        </w:trPr>
        <w:tc>
          <w:tcPr>
            <w:tcW w:w="2977" w:type="dxa"/>
            <w:gridSpan w:val="3"/>
            <w:vMerge w:val="continue"/>
            <w:vAlign w:val="center"/>
          </w:tcPr>
          <w:p>
            <w:pPr>
              <w:jc w:val="center"/>
              <w:rPr>
                <w:rFonts w:cs="Times New Roman" w:asciiTheme="minorEastAsia" w:hAnsiTheme="minorEastAsia"/>
                <w:szCs w:val="21"/>
              </w:rPr>
            </w:pPr>
          </w:p>
        </w:tc>
        <w:tc>
          <w:tcPr>
            <w:tcW w:w="1134" w:type="dxa"/>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液化烃罐组</w:t>
            </w:r>
          </w:p>
        </w:tc>
        <w:tc>
          <w:tcPr>
            <w:tcW w:w="992" w:type="dxa"/>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甲、乙类液体罐组</w:t>
            </w:r>
            <w:r>
              <w:rPr>
                <w:rFonts w:cs="Times New Roman" w:asciiTheme="minorEastAsia" w:hAnsiTheme="minorEastAsia"/>
                <w:szCs w:val="21"/>
              </w:rPr>
              <w:t xml:space="preserve"> </w:t>
            </w:r>
            <w:r>
              <w:rPr>
                <w:rFonts w:hint="eastAsia" w:cs="Times New Roman" w:asciiTheme="minorEastAsia" w:hAnsiTheme="minorEastAsia"/>
                <w:szCs w:val="21"/>
                <w:vertAlign w:val="superscript"/>
              </w:rPr>
              <w:t>注</w:t>
            </w:r>
            <w:r>
              <w:rPr>
                <w:rFonts w:cs="Times New Roman" w:asciiTheme="minorEastAsia" w:hAnsiTheme="minorEastAsia"/>
                <w:szCs w:val="21"/>
                <w:vertAlign w:val="superscript"/>
              </w:rPr>
              <w:t>6</w:t>
            </w:r>
          </w:p>
        </w:tc>
        <w:tc>
          <w:tcPr>
            <w:tcW w:w="1276" w:type="dxa"/>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可能携带可燃液体的高架火炬</w:t>
            </w:r>
          </w:p>
        </w:tc>
        <w:tc>
          <w:tcPr>
            <w:tcW w:w="1247" w:type="dxa"/>
            <w:vAlign w:val="center"/>
          </w:tcPr>
          <w:p>
            <w:pPr>
              <w:snapToGrid w:val="0"/>
              <w:jc w:val="center"/>
              <w:rPr>
                <w:rFonts w:cs="Times New Roman" w:asciiTheme="minorEastAsia" w:hAnsiTheme="minorEastAsia"/>
                <w:szCs w:val="21"/>
                <w:vertAlign w:val="superscript"/>
              </w:rPr>
            </w:pPr>
            <w:r>
              <w:rPr>
                <w:rFonts w:hint="eastAsia" w:cs="Times New Roman" w:asciiTheme="minorEastAsia" w:hAnsiTheme="minorEastAsia"/>
                <w:szCs w:val="21"/>
              </w:rPr>
              <w:t>甲、乙类生产装置或设施</w:t>
            </w:r>
            <w:r>
              <w:rPr>
                <w:rFonts w:hint="eastAsia" w:cs="Times New Roman" w:asciiTheme="minorEastAsia" w:hAnsiTheme="minorEastAsia"/>
                <w:szCs w:val="21"/>
                <w:vertAlign w:val="superscript"/>
              </w:rPr>
              <w:t>注</w:t>
            </w:r>
            <w:r>
              <w:rPr>
                <w:rFonts w:cs="Times New Roman" w:asciiTheme="minorEastAsia" w:hAnsiTheme="minorEastAsia"/>
                <w:szCs w:val="21"/>
                <w:vertAlign w:val="superscript"/>
              </w:rPr>
              <w:t>7</w:t>
            </w:r>
          </w:p>
        </w:tc>
        <w:tc>
          <w:tcPr>
            <w:tcW w:w="1305" w:type="dxa"/>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全厂性或区域性重要设施</w:t>
            </w:r>
          </w:p>
        </w:tc>
        <w:tc>
          <w:tcPr>
            <w:tcW w:w="708" w:type="dxa"/>
            <w:vMerge w:val="continue"/>
            <w:vAlign w:val="center"/>
          </w:tcPr>
          <w:p>
            <w:pPr>
              <w:snapToGrid w:val="0"/>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977" w:type="dxa"/>
            <w:gridSpan w:val="3"/>
          </w:tcPr>
          <w:p>
            <w:pPr>
              <w:jc w:val="left"/>
              <w:rPr>
                <w:rFonts w:cs="Times New Roman" w:asciiTheme="minorEastAsia" w:hAnsiTheme="minorEastAsia"/>
                <w:szCs w:val="21"/>
              </w:rPr>
            </w:pPr>
            <w:r>
              <w:rPr>
                <w:rFonts w:hint="eastAsia" w:cs="Times New Roman" w:asciiTheme="minorEastAsia" w:hAnsiTheme="minorEastAsia"/>
                <w:szCs w:val="21"/>
              </w:rPr>
              <w:t>居民区、公共福利设施、村庄（围墙或建筑物最外侧轴线）</w:t>
            </w:r>
          </w:p>
        </w:tc>
        <w:tc>
          <w:tcPr>
            <w:tcW w:w="1134" w:type="dxa"/>
            <w:vAlign w:val="center"/>
          </w:tcPr>
          <w:p>
            <w:pPr>
              <w:jc w:val="center"/>
              <w:rPr>
                <w:rFonts w:cs="Times New Roman" w:asciiTheme="minorEastAsia" w:hAnsiTheme="minorEastAsia"/>
                <w:szCs w:val="21"/>
                <w:u w:val="single"/>
              </w:rPr>
            </w:pPr>
            <w:r>
              <w:rPr>
                <w:rFonts w:cs="Times New Roman" w:asciiTheme="minorEastAsia" w:hAnsiTheme="minorEastAsia"/>
                <w:szCs w:val="21"/>
              </w:rPr>
              <w:t>300</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 xml:space="preserve">100 </w:t>
            </w:r>
            <w:r>
              <w:rPr>
                <w:rFonts w:hint="eastAsia" w:cs="Times New Roman" w:asciiTheme="minorEastAsia" w:hAnsiTheme="minorEastAsia"/>
                <w:szCs w:val="21"/>
                <w:vertAlign w:val="superscript"/>
              </w:rPr>
              <w:t>注</w:t>
            </w:r>
            <w:r>
              <w:rPr>
                <w:rFonts w:cs="Times New Roman" w:asciiTheme="minorEastAsia" w:hAnsiTheme="minorEastAsia"/>
                <w:szCs w:val="21"/>
                <w:vertAlign w:val="superscript"/>
              </w:rPr>
              <w:t>5</w:t>
            </w:r>
          </w:p>
        </w:tc>
        <w:tc>
          <w:tcPr>
            <w:tcW w:w="1276" w:type="dxa"/>
            <w:vAlign w:val="center"/>
          </w:tcPr>
          <w:p>
            <w:pPr>
              <w:snapToGrid w:val="0"/>
              <w:jc w:val="center"/>
              <w:rPr>
                <w:rFonts w:cs="Times New Roman" w:asciiTheme="minorEastAsia" w:hAnsiTheme="minorEastAsia"/>
                <w:szCs w:val="21"/>
              </w:rPr>
            </w:pPr>
            <w:r>
              <w:rPr>
                <w:rFonts w:cs="Times New Roman" w:asciiTheme="minorEastAsia" w:hAnsiTheme="minorEastAsia"/>
                <w:szCs w:val="21"/>
              </w:rPr>
              <w:t>120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100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25</w:t>
            </w:r>
          </w:p>
        </w:tc>
        <w:tc>
          <w:tcPr>
            <w:tcW w:w="708"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注</w:t>
            </w:r>
            <w:r>
              <w:rPr>
                <w:rFonts w:cs="Times New Roman" w:asciiTheme="minorEastAsia" w:hAnsiTheme="minorEastAsia"/>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977" w:type="dxa"/>
            <w:gridSpan w:val="3"/>
          </w:tcPr>
          <w:p>
            <w:pPr>
              <w:jc w:val="left"/>
              <w:rPr>
                <w:rFonts w:cs="Times New Roman" w:asciiTheme="minorEastAsia" w:hAnsiTheme="minorEastAsia"/>
                <w:szCs w:val="21"/>
              </w:rPr>
            </w:pPr>
            <w:r>
              <w:rPr>
                <w:rFonts w:hint="eastAsia" w:cs="Times New Roman" w:asciiTheme="minorEastAsia" w:hAnsiTheme="minorEastAsia"/>
                <w:szCs w:val="21"/>
              </w:rPr>
              <w:t>相邻工厂（围墙或用地边界线）</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120</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70</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120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50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 xml:space="preserve">70 </w:t>
            </w:r>
            <w:r>
              <w:rPr>
                <w:rFonts w:hint="eastAsia" w:cs="Times New Roman" w:asciiTheme="minorEastAsia" w:hAnsiTheme="minorEastAsia"/>
                <w:szCs w:val="21"/>
                <w:vertAlign w:val="superscript"/>
              </w:rPr>
              <w:t>注</w:t>
            </w:r>
            <w:r>
              <w:rPr>
                <w:rFonts w:cs="Times New Roman" w:asciiTheme="minorEastAsia" w:hAnsiTheme="minorEastAsia"/>
                <w:szCs w:val="21"/>
                <w:vertAlign w:val="superscript"/>
              </w:rPr>
              <w:t>9</w:t>
            </w:r>
          </w:p>
        </w:tc>
        <w:tc>
          <w:tcPr>
            <w:tcW w:w="708" w:type="dxa"/>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注</w:t>
            </w:r>
            <w:r>
              <w:rPr>
                <w:rFonts w:cs="Times New Roman" w:asciiTheme="minorEastAsia" w:hAnsiTheme="minorEastAsia"/>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9" w:type="dxa"/>
            <w:vMerge w:val="restart"/>
          </w:tcPr>
          <w:p>
            <w:pPr>
              <w:jc w:val="center"/>
              <w:rPr>
                <w:rFonts w:cs="Times New Roman" w:asciiTheme="minorEastAsia" w:hAnsiTheme="minorEastAsia"/>
                <w:szCs w:val="21"/>
              </w:rPr>
            </w:pPr>
            <w:r>
              <w:rPr>
                <w:rFonts w:hint="eastAsia" w:cs="Times New Roman" w:asciiTheme="minorEastAsia" w:hAnsiTheme="minorEastAsia"/>
                <w:szCs w:val="21"/>
              </w:rPr>
              <w:t>厂外铁路</w:t>
            </w:r>
          </w:p>
        </w:tc>
        <w:tc>
          <w:tcPr>
            <w:tcW w:w="2268" w:type="dxa"/>
            <w:gridSpan w:val="2"/>
          </w:tcPr>
          <w:p>
            <w:pPr>
              <w:jc w:val="center"/>
              <w:rPr>
                <w:rFonts w:cs="Times New Roman" w:asciiTheme="minorEastAsia" w:hAnsiTheme="minorEastAsia"/>
                <w:szCs w:val="21"/>
              </w:rPr>
            </w:pPr>
            <w:r>
              <w:rPr>
                <w:rFonts w:hint="eastAsia" w:cs="Times New Roman" w:asciiTheme="minorEastAsia" w:hAnsiTheme="minorEastAsia"/>
                <w:szCs w:val="21"/>
              </w:rPr>
              <w:t>国家铁路线</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55</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45</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80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35</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w:t>
            </w:r>
          </w:p>
        </w:tc>
        <w:tc>
          <w:tcPr>
            <w:tcW w:w="708" w:type="dxa"/>
            <w:vAlign w:val="center"/>
          </w:tcPr>
          <w:p>
            <w:pPr>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9" w:type="dxa"/>
            <w:vMerge w:val="continue"/>
          </w:tcPr>
          <w:p>
            <w:pPr>
              <w:jc w:val="center"/>
              <w:rPr>
                <w:rFonts w:cs="Times New Roman" w:asciiTheme="minorEastAsia" w:hAnsiTheme="minorEastAsia"/>
                <w:szCs w:val="21"/>
              </w:rPr>
            </w:pPr>
          </w:p>
        </w:tc>
        <w:tc>
          <w:tcPr>
            <w:tcW w:w="2268" w:type="dxa"/>
            <w:gridSpan w:val="2"/>
          </w:tcPr>
          <w:p>
            <w:pPr>
              <w:jc w:val="center"/>
              <w:rPr>
                <w:rFonts w:cs="Times New Roman" w:asciiTheme="minorEastAsia" w:hAnsiTheme="minorEastAsia"/>
                <w:szCs w:val="21"/>
              </w:rPr>
            </w:pPr>
            <w:r>
              <w:rPr>
                <w:rFonts w:hint="eastAsia" w:cs="Times New Roman" w:asciiTheme="minorEastAsia" w:hAnsiTheme="minorEastAsia"/>
                <w:szCs w:val="21"/>
              </w:rPr>
              <w:t>厂外企业铁路线</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45</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35</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80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w:t>
            </w:r>
          </w:p>
        </w:tc>
        <w:tc>
          <w:tcPr>
            <w:tcW w:w="708" w:type="dxa"/>
            <w:vAlign w:val="center"/>
          </w:tcPr>
          <w:p>
            <w:pPr>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977" w:type="dxa"/>
            <w:gridSpan w:val="3"/>
          </w:tcPr>
          <w:p>
            <w:pPr>
              <w:jc w:val="center"/>
              <w:rPr>
                <w:rFonts w:cs="Times New Roman" w:asciiTheme="minorEastAsia" w:hAnsiTheme="minorEastAsia"/>
                <w:szCs w:val="21"/>
              </w:rPr>
            </w:pPr>
            <w:r>
              <w:rPr>
                <w:rFonts w:hint="eastAsia" w:cs="Times New Roman" w:asciiTheme="minorEastAsia" w:hAnsiTheme="minorEastAsia"/>
                <w:szCs w:val="21"/>
              </w:rPr>
              <w:t>国家或工业区铁路编组站</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55</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45</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80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35</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25</w:t>
            </w:r>
          </w:p>
        </w:tc>
        <w:tc>
          <w:tcPr>
            <w:tcW w:w="708" w:type="dxa"/>
            <w:vAlign w:val="center"/>
          </w:tcPr>
          <w:p>
            <w:pPr>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9" w:type="dxa"/>
            <w:vMerge w:val="restart"/>
          </w:tcPr>
          <w:p>
            <w:pPr>
              <w:jc w:val="center"/>
              <w:rPr>
                <w:rFonts w:cs="Times New Roman" w:asciiTheme="minorEastAsia" w:hAnsiTheme="minorEastAsia"/>
                <w:szCs w:val="21"/>
              </w:rPr>
            </w:pPr>
            <w:r>
              <w:rPr>
                <w:rFonts w:hint="eastAsia" w:cs="Times New Roman" w:asciiTheme="minorEastAsia" w:hAnsiTheme="minorEastAsia"/>
                <w:szCs w:val="21"/>
              </w:rPr>
              <w:t>厂外公路</w:t>
            </w:r>
          </w:p>
        </w:tc>
        <w:tc>
          <w:tcPr>
            <w:tcW w:w="2268" w:type="dxa"/>
            <w:gridSpan w:val="2"/>
          </w:tcPr>
          <w:p>
            <w:pPr>
              <w:jc w:val="left"/>
              <w:rPr>
                <w:rFonts w:cs="Times New Roman" w:asciiTheme="minorEastAsia" w:hAnsiTheme="minorEastAsia"/>
                <w:szCs w:val="21"/>
              </w:rPr>
            </w:pPr>
            <w:r>
              <w:rPr>
                <w:rFonts w:hint="eastAsia" w:cs="Times New Roman" w:asciiTheme="minorEastAsia" w:hAnsiTheme="minorEastAsia"/>
                <w:szCs w:val="21"/>
              </w:rPr>
              <w:t>高速公路、一级公路</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35</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80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w:t>
            </w:r>
          </w:p>
        </w:tc>
        <w:tc>
          <w:tcPr>
            <w:tcW w:w="708" w:type="dxa"/>
            <w:vAlign w:val="center"/>
          </w:tcPr>
          <w:p>
            <w:pPr>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9" w:type="dxa"/>
            <w:vMerge w:val="continue"/>
          </w:tcPr>
          <w:p>
            <w:pPr>
              <w:jc w:val="center"/>
              <w:rPr>
                <w:rFonts w:cs="Times New Roman" w:asciiTheme="minorEastAsia" w:hAnsiTheme="minorEastAsia"/>
                <w:szCs w:val="21"/>
              </w:rPr>
            </w:pPr>
          </w:p>
        </w:tc>
        <w:tc>
          <w:tcPr>
            <w:tcW w:w="2268" w:type="dxa"/>
            <w:gridSpan w:val="2"/>
          </w:tcPr>
          <w:p>
            <w:pPr>
              <w:jc w:val="center"/>
              <w:rPr>
                <w:rFonts w:cs="Times New Roman" w:asciiTheme="minorEastAsia" w:hAnsiTheme="minorEastAsia"/>
                <w:szCs w:val="21"/>
              </w:rPr>
            </w:pPr>
            <w:r>
              <w:rPr>
                <w:rFonts w:hint="eastAsia" w:cs="Times New Roman" w:asciiTheme="minorEastAsia" w:hAnsiTheme="minorEastAsia"/>
                <w:szCs w:val="21"/>
              </w:rPr>
              <w:t>其他公路</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25</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20</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20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w:t>
            </w:r>
          </w:p>
        </w:tc>
        <w:tc>
          <w:tcPr>
            <w:tcW w:w="708" w:type="dxa"/>
            <w:vAlign w:val="center"/>
          </w:tcPr>
          <w:p>
            <w:pPr>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977" w:type="dxa"/>
            <w:gridSpan w:val="3"/>
          </w:tcPr>
          <w:p>
            <w:pPr>
              <w:jc w:val="center"/>
              <w:rPr>
                <w:rFonts w:cs="Times New Roman" w:asciiTheme="minorEastAsia" w:hAnsiTheme="minorEastAsia"/>
                <w:szCs w:val="21"/>
              </w:rPr>
            </w:pPr>
            <w:r>
              <w:rPr>
                <w:rFonts w:hint="eastAsia" w:cs="Times New Roman" w:asciiTheme="minorEastAsia" w:hAnsiTheme="minorEastAsia"/>
                <w:szCs w:val="21"/>
              </w:rPr>
              <w:t>变电站（围墙）</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80</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50</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120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40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25</w:t>
            </w:r>
          </w:p>
        </w:tc>
        <w:tc>
          <w:tcPr>
            <w:tcW w:w="708" w:type="dxa"/>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注</w:t>
            </w:r>
            <w:r>
              <w:rPr>
                <w:rFonts w:cs="Times New Roman" w:asciiTheme="minorEastAsia" w:hAnsiTheme="minorEastAsia"/>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977" w:type="dxa"/>
            <w:gridSpan w:val="3"/>
            <w:vAlign w:val="center"/>
          </w:tcPr>
          <w:p>
            <w:pPr>
              <w:jc w:val="center"/>
              <w:rPr>
                <w:rFonts w:cs="Times New Roman" w:asciiTheme="minorEastAsia" w:hAnsiTheme="minorEastAsia"/>
                <w:szCs w:val="21"/>
              </w:rPr>
            </w:pPr>
            <w:r>
              <w:rPr>
                <w:rFonts w:hint="eastAsia" w:cs="Times New Roman" w:asciiTheme="minorEastAsia" w:hAnsiTheme="minorEastAsia"/>
                <w:szCs w:val="21"/>
              </w:rPr>
              <w:t>架空电力线路</w:t>
            </w:r>
          </w:p>
        </w:tc>
        <w:tc>
          <w:tcPr>
            <w:tcW w:w="1134" w:type="dxa"/>
            <w:vAlign w:val="center"/>
          </w:tcPr>
          <w:p>
            <w:pPr>
              <w:jc w:val="left"/>
              <w:rPr>
                <w:rFonts w:cs="Times New Roman" w:asciiTheme="minorEastAsia" w:hAnsiTheme="minorEastAsia"/>
                <w:szCs w:val="21"/>
              </w:rPr>
            </w:pPr>
            <w:r>
              <w:rPr>
                <w:rFonts w:cs="Times New Roman" w:asciiTheme="minorEastAsia" w:hAnsiTheme="minorEastAsia"/>
                <w:szCs w:val="21"/>
              </w:rPr>
              <w:t>1.5</w:t>
            </w:r>
            <w:r>
              <w:rPr>
                <w:rFonts w:hint="eastAsia" w:cs="Times New Roman" w:asciiTheme="minorEastAsia" w:hAnsiTheme="minorEastAsia"/>
                <w:szCs w:val="21"/>
              </w:rPr>
              <w:t>倍塔杆高度且不应小于</w:t>
            </w:r>
            <w:r>
              <w:rPr>
                <w:rFonts w:cs="Times New Roman" w:asciiTheme="minorEastAsia" w:hAnsiTheme="minorEastAsia"/>
                <w:szCs w:val="21"/>
              </w:rPr>
              <w:t>40m</w:t>
            </w:r>
            <w:r>
              <w:rPr>
                <w:rFonts w:cs="Times New Roman" w:asciiTheme="minorEastAsia" w:hAnsiTheme="minorEastAsia"/>
                <w:szCs w:val="21"/>
              </w:rPr>
              <w:br w:type="textWrapping"/>
            </w:r>
            <w:r>
              <w:rPr>
                <w:rFonts w:hint="eastAsia" w:cs="Times New Roman" w:asciiTheme="minorEastAsia" w:hAnsiTheme="minorEastAsia"/>
                <w:szCs w:val="21"/>
                <w:vertAlign w:val="superscript"/>
              </w:rPr>
              <w:t>注</w:t>
            </w:r>
            <w:r>
              <w:rPr>
                <w:rFonts w:cs="Times New Roman" w:asciiTheme="minorEastAsia" w:hAnsiTheme="minorEastAsia"/>
                <w:szCs w:val="21"/>
                <w:vertAlign w:val="superscript"/>
              </w:rPr>
              <w:t>4</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1.5</w:t>
            </w:r>
            <w:r>
              <w:rPr>
                <w:rFonts w:hint="eastAsia" w:cs="Times New Roman" w:asciiTheme="minorEastAsia" w:hAnsiTheme="minorEastAsia"/>
                <w:szCs w:val="21"/>
              </w:rPr>
              <w:t>倍塔杆高度</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80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1.5</w:t>
            </w:r>
            <w:r>
              <w:rPr>
                <w:rFonts w:hint="eastAsia" w:cs="Times New Roman" w:asciiTheme="minorEastAsia" w:hAnsiTheme="minorEastAsia"/>
                <w:szCs w:val="21"/>
              </w:rPr>
              <w:t>倍塔杆</w:t>
            </w:r>
            <w:r>
              <w:rPr>
                <w:rFonts w:cs="Times New Roman" w:asciiTheme="minorEastAsia" w:hAnsiTheme="minorEastAsia"/>
                <w:szCs w:val="21"/>
              </w:rPr>
              <w:br w:type="textWrapping"/>
            </w:r>
            <w:r>
              <w:rPr>
                <w:rFonts w:hint="eastAsia" w:cs="Times New Roman" w:asciiTheme="minorEastAsia" w:hAnsiTheme="minorEastAsia"/>
                <w:szCs w:val="21"/>
              </w:rPr>
              <w:t>高度</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w:t>
            </w:r>
          </w:p>
        </w:tc>
        <w:tc>
          <w:tcPr>
            <w:tcW w:w="708" w:type="dxa"/>
            <w:vAlign w:val="center"/>
          </w:tcPr>
          <w:p>
            <w:pPr>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977" w:type="dxa"/>
            <w:gridSpan w:val="3"/>
          </w:tcPr>
          <w:p>
            <w:pPr>
              <w:jc w:val="center"/>
              <w:rPr>
                <w:rFonts w:cs="Times New Roman" w:asciiTheme="minorEastAsia" w:hAnsiTheme="minorEastAsia"/>
                <w:szCs w:val="21"/>
              </w:rPr>
            </w:pPr>
            <w:r>
              <w:rPr>
                <w:rFonts w:hint="eastAsia" w:cs="Times New Roman" w:asciiTheme="minorEastAsia" w:hAnsiTheme="minorEastAsia"/>
                <w:szCs w:val="21"/>
              </w:rPr>
              <w:t>Ι、Ⅱ级国家架空通信线路</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50</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40</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80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40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w:t>
            </w:r>
          </w:p>
        </w:tc>
        <w:tc>
          <w:tcPr>
            <w:tcW w:w="708" w:type="dxa"/>
            <w:vAlign w:val="center"/>
          </w:tcPr>
          <w:p>
            <w:pPr>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977" w:type="dxa"/>
            <w:gridSpan w:val="3"/>
          </w:tcPr>
          <w:p>
            <w:pPr>
              <w:jc w:val="center"/>
              <w:rPr>
                <w:rFonts w:cs="Times New Roman" w:asciiTheme="minorEastAsia" w:hAnsiTheme="minorEastAsia"/>
                <w:szCs w:val="21"/>
              </w:rPr>
            </w:pPr>
            <w:r>
              <w:rPr>
                <w:rFonts w:hint="eastAsia" w:cs="Times New Roman" w:asciiTheme="minorEastAsia" w:hAnsiTheme="minorEastAsia"/>
                <w:szCs w:val="21"/>
              </w:rPr>
              <w:t>通航江、河、海岸边</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25</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25</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80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20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w:t>
            </w:r>
          </w:p>
        </w:tc>
        <w:tc>
          <w:tcPr>
            <w:tcW w:w="708" w:type="dxa"/>
            <w:vAlign w:val="center"/>
          </w:tcPr>
          <w:p>
            <w:pPr>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993" w:type="dxa"/>
            <w:gridSpan w:val="2"/>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地区埋地输油管道</w:t>
            </w:r>
          </w:p>
        </w:tc>
        <w:tc>
          <w:tcPr>
            <w:tcW w:w="1984"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原油及成品油</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708" w:type="dxa"/>
            <w:vMerge w:val="restart"/>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注</w:t>
            </w:r>
            <w:r>
              <w:rPr>
                <w:rFonts w:cs="Times New Roman" w:asciiTheme="minorEastAsia" w:hAnsiTheme="minorEastAsia"/>
                <w:szCs w:val="21"/>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993" w:type="dxa"/>
            <w:gridSpan w:val="2"/>
            <w:vMerge w:val="continue"/>
            <w:vAlign w:val="center"/>
          </w:tcPr>
          <w:p>
            <w:pPr>
              <w:jc w:val="center"/>
              <w:rPr>
                <w:rFonts w:cs="Times New Roman" w:asciiTheme="minorEastAsia" w:hAnsiTheme="minorEastAsia"/>
                <w:szCs w:val="21"/>
              </w:rPr>
            </w:pPr>
          </w:p>
        </w:tc>
        <w:tc>
          <w:tcPr>
            <w:tcW w:w="1984"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液化烃</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80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708" w:type="dxa"/>
            <w:vMerge w:val="continue"/>
            <w:vAlign w:val="center"/>
          </w:tcPr>
          <w:p>
            <w:pPr>
              <w:jc w:val="center"/>
              <w:rPr>
                <w:rFonts w:cs="Times New Roman"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977" w:type="dxa"/>
            <w:gridSpan w:val="3"/>
          </w:tcPr>
          <w:p>
            <w:pPr>
              <w:jc w:val="center"/>
              <w:rPr>
                <w:rFonts w:cs="Times New Roman" w:asciiTheme="minorEastAsia" w:hAnsiTheme="minorEastAsia"/>
                <w:szCs w:val="21"/>
              </w:rPr>
            </w:pPr>
            <w:r>
              <w:rPr>
                <w:rFonts w:hint="eastAsia" w:cs="Times New Roman" w:asciiTheme="minorEastAsia" w:hAnsiTheme="minorEastAsia"/>
                <w:szCs w:val="21"/>
              </w:rPr>
              <w:t>地区埋地输气管道</w:t>
            </w:r>
          </w:p>
        </w:tc>
        <w:tc>
          <w:tcPr>
            <w:tcW w:w="1134"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992"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1276" w:type="dxa"/>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1247"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1305" w:type="dxa"/>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708" w:type="dxa"/>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注</w:t>
            </w:r>
            <w:r>
              <w:rPr>
                <w:rFonts w:cs="Times New Roman" w:asciiTheme="minorEastAsia" w:hAnsiTheme="minorEastAsia"/>
                <w:szCs w:val="21"/>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977" w:type="dxa"/>
            <w:gridSpan w:val="3"/>
            <w:tcBorders>
              <w:bottom w:val="single" w:color="auto" w:sz="6" w:space="0"/>
            </w:tcBorders>
          </w:tcPr>
          <w:p>
            <w:pPr>
              <w:jc w:val="center"/>
              <w:rPr>
                <w:rFonts w:cs="Times New Roman" w:asciiTheme="minorEastAsia" w:hAnsiTheme="minorEastAsia"/>
                <w:szCs w:val="21"/>
              </w:rPr>
            </w:pPr>
            <w:r>
              <w:rPr>
                <w:rFonts w:hint="eastAsia" w:cs="Times New Roman" w:asciiTheme="minorEastAsia" w:hAnsiTheme="minorEastAsia"/>
                <w:szCs w:val="21"/>
              </w:rPr>
              <w:t>装卸油品码头（码头前沿）</w:t>
            </w:r>
          </w:p>
        </w:tc>
        <w:tc>
          <w:tcPr>
            <w:tcW w:w="1134" w:type="dxa"/>
            <w:tcBorders>
              <w:bottom w:val="single" w:color="auto" w:sz="6" w:space="0"/>
            </w:tcBorders>
            <w:vAlign w:val="center"/>
          </w:tcPr>
          <w:p>
            <w:pPr>
              <w:jc w:val="center"/>
              <w:rPr>
                <w:rFonts w:cs="Times New Roman" w:asciiTheme="minorEastAsia" w:hAnsiTheme="minorEastAsia"/>
                <w:szCs w:val="21"/>
              </w:rPr>
            </w:pPr>
            <w:r>
              <w:rPr>
                <w:rFonts w:cs="Times New Roman" w:asciiTheme="minorEastAsia" w:hAnsiTheme="minorEastAsia"/>
                <w:szCs w:val="21"/>
              </w:rPr>
              <w:t>70</w:t>
            </w:r>
          </w:p>
        </w:tc>
        <w:tc>
          <w:tcPr>
            <w:tcW w:w="992" w:type="dxa"/>
            <w:tcBorders>
              <w:bottom w:val="single" w:color="auto" w:sz="6" w:space="0"/>
            </w:tcBorders>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1276" w:type="dxa"/>
            <w:tcBorders>
              <w:bottom w:val="single" w:color="auto" w:sz="6" w:space="0"/>
            </w:tcBorders>
            <w:vAlign w:val="center"/>
          </w:tcPr>
          <w:p>
            <w:pPr>
              <w:jc w:val="center"/>
              <w:rPr>
                <w:rFonts w:cs="Times New Roman" w:asciiTheme="minorEastAsia" w:hAnsiTheme="minorEastAsia"/>
                <w:szCs w:val="21"/>
              </w:rPr>
            </w:pPr>
            <w:r>
              <w:rPr>
                <w:rFonts w:cs="Times New Roman" w:asciiTheme="minorEastAsia" w:hAnsiTheme="minorEastAsia"/>
                <w:szCs w:val="21"/>
              </w:rPr>
              <w:t>120</w:t>
            </w:r>
          </w:p>
        </w:tc>
        <w:tc>
          <w:tcPr>
            <w:tcW w:w="1247" w:type="dxa"/>
            <w:tcBorders>
              <w:bottom w:val="single" w:color="auto" w:sz="6" w:space="0"/>
            </w:tcBorders>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1305" w:type="dxa"/>
            <w:tcBorders>
              <w:bottom w:val="single" w:color="auto" w:sz="6" w:space="0"/>
            </w:tcBorders>
            <w:vAlign w:val="center"/>
          </w:tcPr>
          <w:p>
            <w:pPr>
              <w:jc w:val="center"/>
              <w:rPr>
                <w:rFonts w:cs="Times New Roman" w:asciiTheme="minorEastAsia" w:hAnsiTheme="minorEastAsia"/>
                <w:szCs w:val="21"/>
              </w:rPr>
            </w:pPr>
            <w:r>
              <w:rPr>
                <w:rFonts w:cs="Times New Roman" w:asciiTheme="minorEastAsia" w:hAnsiTheme="minorEastAsia"/>
                <w:szCs w:val="21"/>
              </w:rPr>
              <w:t>60</w:t>
            </w:r>
          </w:p>
        </w:tc>
        <w:tc>
          <w:tcPr>
            <w:tcW w:w="708" w:type="dxa"/>
            <w:tcBorders>
              <w:bottom w:val="single" w:color="auto" w:sz="6" w:space="0"/>
            </w:tcBorders>
            <w:vAlign w:val="center"/>
          </w:tcPr>
          <w:p>
            <w:pPr>
              <w:snapToGrid w:val="0"/>
              <w:jc w:val="center"/>
              <w:rPr>
                <w:rFonts w:cs="Times New Roman" w:asciiTheme="minorEastAsia" w:hAnsiTheme="minorEastAsia"/>
                <w:szCs w:val="21"/>
              </w:rPr>
            </w:pPr>
            <w:r>
              <w:rPr>
                <w:rFonts w:hint="eastAsia" w:cs="Times New Roman" w:asciiTheme="minorEastAsia" w:hAnsiTheme="minorEastAsia"/>
                <w:szCs w:val="21"/>
              </w:rPr>
              <w:t>注</w:t>
            </w:r>
            <w:r>
              <w:rPr>
                <w:rFonts w:cs="Times New Roman" w:asciiTheme="minorEastAsia" w:hAnsiTheme="minorEastAsia"/>
                <w:szCs w:val="21"/>
              </w:rPr>
              <w:t>2</w:t>
            </w:r>
          </w:p>
        </w:tc>
      </w:tr>
    </w:tbl>
    <w:p>
      <w:pPr>
        <w:ind w:left="840" w:leftChars="200" w:hanging="420" w:hangingChars="200"/>
        <w:rPr>
          <w:rFonts w:cs="Times New Roman" w:asciiTheme="minorEastAsia" w:hAnsiTheme="minorEastAsia"/>
          <w:szCs w:val="21"/>
        </w:rPr>
      </w:pPr>
      <w:r>
        <w:rPr>
          <w:rFonts w:hint="eastAsia" w:cs="Times New Roman" w:asciiTheme="minorEastAsia" w:hAnsiTheme="minorEastAsia"/>
          <w:szCs w:val="21"/>
        </w:rPr>
        <w:t>注：</w:t>
      </w:r>
      <w:r>
        <w:rPr>
          <w:rFonts w:cs="Times New Roman" w:asciiTheme="minorEastAsia" w:hAnsiTheme="minorEastAsia"/>
          <w:szCs w:val="21"/>
        </w:rPr>
        <w:t xml:space="preserve">1  </w:t>
      </w:r>
      <w:r>
        <w:rPr>
          <w:rFonts w:hint="eastAsia" w:cs="Times New Roman" w:asciiTheme="minorEastAsia" w:hAnsiTheme="minorEastAsia"/>
          <w:szCs w:val="21"/>
        </w:rPr>
        <w:t>本表中相邻工厂指除炼油化工企业和油库以外的工厂；</w:t>
      </w:r>
    </w:p>
    <w:p>
      <w:pPr>
        <w:ind w:left="1197" w:leftChars="400" w:hanging="357" w:hangingChars="170"/>
        <w:rPr>
          <w:rFonts w:cs="Times New Roman" w:asciiTheme="minorEastAsia" w:hAnsiTheme="minorEastAsia"/>
          <w:szCs w:val="21"/>
        </w:rPr>
      </w:pPr>
      <w:r>
        <w:rPr>
          <w:rFonts w:cs="Times New Roman" w:asciiTheme="minorEastAsia" w:hAnsiTheme="minorEastAsia"/>
          <w:szCs w:val="21"/>
        </w:rPr>
        <w:t xml:space="preserve">2  </w:t>
      </w:r>
      <w:r>
        <w:rPr>
          <w:rFonts w:hint="eastAsia" w:cs="Times New Roman" w:asciiTheme="minorEastAsia" w:hAnsiTheme="minorEastAsia"/>
          <w:szCs w:val="21"/>
        </w:rPr>
        <w:t>括号内指防火间距起止点；</w:t>
      </w:r>
    </w:p>
    <w:p>
      <w:pPr>
        <w:ind w:left="1197" w:leftChars="400" w:hanging="357" w:hangingChars="170"/>
        <w:rPr>
          <w:rFonts w:cs="Times New Roman" w:asciiTheme="minorEastAsia" w:hAnsiTheme="minorEastAsia"/>
          <w:szCs w:val="21"/>
        </w:rPr>
      </w:pPr>
      <w:r>
        <w:rPr>
          <w:rFonts w:cs="Times New Roman" w:asciiTheme="minorEastAsia" w:hAnsiTheme="minorEastAsia"/>
          <w:szCs w:val="21"/>
        </w:rPr>
        <w:t xml:space="preserve">3  </w:t>
      </w:r>
      <w:r>
        <w:rPr>
          <w:rFonts w:hint="eastAsia" w:cs="Times New Roman" w:asciiTheme="minorEastAsia" w:hAnsiTheme="minorEastAsia"/>
          <w:szCs w:val="21"/>
        </w:rPr>
        <w:t>当相邻设施为港区陆域、重要物品仓库和堆场、军事设施、机场等，对炼油化工企业的安全距离有特殊要求时，应按有关规定执行；</w:t>
      </w:r>
    </w:p>
    <w:p>
      <w:pPr>
        <w:ind w:left="1197" w:leftChars="400" w:hanging="357" w:hangingChars="170"/>
        <w:rPr>
          <w:rFonts w:cs="Times New Roman" w:asciiTheme="minorEastAsia" w:hAnsiTheme="minorEastAsia"/>
          <w:szCs w:val="21"/>
        </w:rPr>
      </w:pPr>
      <w:r>
        <w:rPr>
          <w:rFonts w:cs="Times New Roman" w:asciiTheme="minorEastAsia" w:hAnsiTheme="minorEastAsia"/>
          <w:szCs w:val="21"/>
        </w:rPr>
        <w:t>4  液化烃罐组与电压等级330kV～1000kV的架空电力线路的防火间距不应小于100m；</w:t>
      </w:r>
    </w:p>
    <w:p>
      <w:pPr>
        <w:ind w:left="1197" w:leftChars="400" w:hanging="357" w:hangingChars="170"/>
        <w:rPr>
          <w:rFonts w:cs="Times New Roman" w:asciiTheme="minorEastAsia" w:hAnsiTheme="minorEastAsia"/>
          <w:szCs w:val="21"/>
        </w:rPr>
      </w:pPr>
      <w:r>
        <w:rPr>
          <w:rFonts w:cs="Times New Roman" w:asciiTheme="minorEastAsia" w:hAnsiTheme="minorEastAsia"/>
          <w:szCs w:val="21"/>
        </w:rPr>
        <w:t xml:space="preserve">5  </w:t>
      </w:r>
      <w:r>
        <w:rPr>
          <w:rFonts w:hint="eastAsia" w:cs="Times New Roman" w:asciiTheme="minorEastAsia" w:hAnsiTheme="minorEastAsia"/>
          <w:szCs w:val="21"/>
        </w:rPr>
        <w:t>单罐容积大于或等于</w:t>
      </w:r>
      <w:r>
        <w:rPr>
          <w:rFonts w:cs="Times New Roman" w:asciiTheme="minorEastAsia" w:hAnsiTheme="minorEastAsia"/>
          <w:szCs w:val="21"/>
        </w:rPr>
        <w:t>50000m</w:t>
      </w:r>
      <w:r>
        <w:rPr>
          <w:rFonts w:cs="Times New Roman" w:asciiTheme="minorEastAsia" w:hAnsiTheme="minorEastAsia"/>
          <w:szCs w:val="21"/>
          <w:vertAlign w:val="superscript"/>
        </w:rPr>
        <w:t>3</w:t>
      </w:r>
      <w:r>
        <w:rPr>
          <w:rFonts w:hint="eastAsia" w:cs="Times New Roman" w:asciiTheme="minorEastAsia" w:hAnsiTheme="minorEastAsia"/>
          <w:szCs w:val="21"/>
        </w:rPr>
        <w:t>的甲、乙类可燃液体储罐与居民区、公共福利设施、村庄的防火间距不应小于</w:t>
      </w:r>
      <w:r>
        <w:rPr>
          <w:rFonts w:cs="Times New Roman" w:asciiTheme="minorEastAsia" w:hAnsiTheme="minorEastAsia"/>
          <w:szCs w:val="21"/>
        </w:rPr>
        <w:t>120m</w:t>
      </w:r>
      <w:r>
        <w:rPr>
          <w:rFonts w:hint="eastAsia" w:cs="Times New Roman" w:asciiTheme="minorEastAsia" w:hAnsiTheme="minorEastAsia"/>
          <w:szCs w:val="21"/>
        </w:rPr>
        <w:t>；</w:t>
      </w:r>
    </w:p>
    <w:p>
      <w:pPr>
        <w:ind w:left="1197" w:leftChars="400" w:hanging="357" w:hangingChars="170"/>
        <w:rPr>
          <w:rFonts w:cs="Times New Roman" w:asciiTheme="minorEastAsia" w:hAnsiTheme="minorEastAsia"/>
          <w:szCs w:val="21"/>
        </w:rPr>
      </w:pPr>
      <w:r>
        <w:rPr>
          <w:rFonts w:cs="Times New Roman" w:asciiTheme="minorEastAsia" w:hAnsiTheme="minorEastAsia"/>
          <w:szCs w:val="21"/>
        </w:rPr>
        <w:t xml:space="preserve">6  </w:t>
      </w:r>
      <w:r>
        <w:rPr>
          <w:rFonts w:hint="eastAsia" w:cs="Times New Roman" w:asciiTheme="minorEastAsia" w:hAnsiTheme="minorEastAsia"/>
          <w:szCs w:val="21"/>
        </w:rPr>
        <w:t>丙类可燃液体罐组的防火间距，</w:t>
      </w:r>
      <w:r>
        <w:rPr>
          <w:rFonts w:hint="eastAsia" w:asciiTheme="minorEastAsia" w:hAnsiTheme="minorEastAsia"/>
          <w:color w:val="000000" w:themeColor="text1"/>
          <w:szCs w:val="21"/>
          <w14:textFill>
            <w14:solidFill>
              <w14:schemeClr w14:val="tx1"/>
            </w14:solidFill>
          </w14:textFill>
        </w:rPr>
        <w:t>不应小于甲、乙类可燃液体罐组规定的</w:t>
      </w:r>
      <w:r>
        <w:rPr>
          <w:rFonts w:asciiTheme="minorEastAsia" w:hAnsiTheme="minorEastAsia"/>
          <w:color w:val="000000" w:themeColor="text1"/>
          <w:szCs w:val="21"/>
          <w14:textFill>
            <w14:solidFill>
              <w14:schemeClr w14:val="tx1"/>
            </w14:solidFill>
          </w14:textFill>
        </w:rPr>
        <w:t>75％</w:t>
      </w:r>
      <w:r>
        <w:rPr>
          <w:rFonts w:hint="eastAsia" w:cs="Times New Roman" w:asciiTheme="minorEastAsia" w:hAnsiTheme="minorEastAsia"/>
          <w:szCs w:val="21"/>
        </w:rPr>
        <w:t>；</w:t>
      </w:r>
    </w:p>
    <w:p>
      <w:pPr>
        <w:ind w:left="1197" w:leftChars="400" w:hanging="357" w:hangingChars="170"/>
        <w:rPr>
          <w:rFonts w:cs="Times New Roman" w:asciiTheme="minorEastAsia" w:hAnsiTheme="minorEastAsia"/>
          <w:szCs w:val="21"/>
        </w:rPr>
      </w:pPr>
      <w:r>
        <w:rPr>
          <w:rFonts w:cs="Times New Roman" w:asciiTheme="minorEastAsia" w:hAnsiTheme="minorEastAsia"/>
          <w:szCs w:val="21"/>
        </w:rPr>
        <w:t xml:space="preserve">7  </w:t>
      </w:r>
      <w:r>
        <w:rPr>
          <w:rFonts w:hint="eastAsia" w:cs="Times New Roman" w:asciiTheme="minorEastAsia" w:hAnsiTheme="minorEastAsia"/>
          <w:szCs w:val="21"/>
        </w:rPr>
        <w:t>丙类生产装置或设施的防火间距，不应小于甲、乙类生产装置或设施规定的</w:t>
      </w:r>
      <w:r>
        <w:rPr>
          <w:rFonts w:cs="Times New Roman" w:asciiTheme="minorEastAsia" w:hAnsiTheme="minorEastAsia"/>
          <w:szCs w:val="21"/>
        </w:rPr>
        <w:t>75</w:t>
      </w:r>
      <w:r>
        <w:rPr>
          <w:rFonts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szCs w:val="21"/>
        </w:rPr>
        <w:t>；</w:t>
      </w:r>
    </w:p>
    <w:p>
      <w:pPr>
        <w:ind w:left="1197" w:leftChars="400" w:hanging="357" w:hangingChars="170"/>
        <w:rPr>
          <w:rFonts w:cs="Times New Roman" w:asciiTheme="minorEastAsia" w:hAnsiTheme="minorEastAsia"/>
          <w:szCs w:val="21"/>
        </w:rPr>
      </w:pPr>
      <w:r>
        <w:rPr>
          <w:rFonts w:cs="Times New Roman" w:asciiTheme="minorEastAsia" w:hAnsiTheme="minorEastAsia"/>
          <w:szCs w:val="21"/>
        </w:rPr>
        <w:t>8  地面敷设的地区输油（输气）管道的防火间距，应按地区埋地输油（输气）管道的规定增加50</w:t>
      </w:r>
      <w:r>
        <w:rPr>
          <w:rFonts w:asciiTheme="minorEastAsia" w:hAnsiTheme="minorEastAsia"/>
          <w:color w:val="000000" w:themeColor="text1"/>
          <w:szCs w:val="21"/>
          <w14:textFill>
            <w14:solidFill>
              <w14:schemeClr w14:val="tx1"/>
            </w14:solidFill>
          </w14:textFill>
        </w:rPr>
        <w:t>％</w:t>
      </w:r>
      <w:r>
        <w:rPr>
          <w:rFonts w:cs="Times New Roman" w:asciiTheme="minorEastAsia" w:hAnsiTheme="minorEastAsia"/>
          <w:szCs w:val="21"/>
        </w:rPr>
        <w:t>；</w:t>
      </w:r>
    </w:p>
    <w:p>
      <w:pPr>
        <w:ind w:left="1197" w:leftChars="400" w:hanging="357" w:hangingChars="170"/>
        <w:rPr>
          <w:rFonts w:cs="Arial" w:asciiTheme="minorEastAsia" w:hAnsiTheme="minorEastAsia"/>
          <w:szCs w:val="21"/>
        </w:rPr>
      </w:pPr>
      <w:r>
        <w:rPr>
          <w:rFonts w:cs="Times New Roman" w:asciiTheme="minorEastAsia" w:hAnsiTheme="minorEastAsia"/>
          <w:szCs w:val="21"/>
        </w:rPr>
        <w:t>9  当相邻工厂围墙内为非火灾危险性设施时，其与全厂性或区域性重要设施防火间距最小可为25</w:t>
      </w:r>
      <w:r>
        <w:rPr>
          <w:rFonts w:cs="Arial" w:asciiTheme="minorEastAsia" w:hAnsiTheme="minorEastAsia"/>
          <w:szCs w:val="21"/>
        </w:rPr>
        <w:t>m</w:t>
      </w:r>
      <w:r>
        <w:rPr>
          <w:rFonts w:hint="eastAsia" w:cs="Arial" w:asciiTheme="minorEastAsia" w:hAnsiTheme="minorEastAsia"/>
          <w:szCs w:val="21"/>
        </w:rPr>
        <w:t>；</w:t>
      </w:r>
    </w:p>
    <w:p>
      <w:pPr>
        <w:ind w:left="1197" w:leftChars="400" w:hanging="357" w:hangingChars="170"/>
        <w:rPr>
          <w:szCs w:val="21"/>
        </w:rPr>
      </w:pPr>
      <w:r>
        <w:rPr>
          <w:rFonts w:cs="Times New Roman" w:asciiTheme="minorEastAsia" w:hAnsiTheme="minorEastAsia"/>
          <w:szCs w:val="21"/>
        </w:rPr>
        <w:t xml:space="preserve">10  </w:t>
      </w:r>
      <w:r>
        <w:rPr>
          <w:rFonts w:hint="eastAsia" w:cs="Times New Roman" w:asciiTheme="minorEastAsia" w:hAnsiTheme="minorEastAsia"/>
          <w:szCs w:val="21"/>
        </w:rPr>
        <w:t>表中“</w:t>
      </w:r>
      <w:r>
        <w:rPr>
          <w:rFonts w:cs="Times New Roman" w:asciiTheme="minorEastAsia" w:hAnsiTheme="minorEastAsia"/>
          <w:szCs w:val="21"/>
        </w:rPr>
        <w:t>—</w:t>
      </w:r>
      <w:r>
        <w:rPr>
          <w:rFonts w:hint="eastAsia" w:cs="Times New Roman" w:asciiTheme="minorEastAsia" w:hAnsiTheme="minorEastAsia"/>
          <w:szCs w:val="21"/>
        </w:rPr>
        <w:t>”表示本规范无防火间距的要求。</w:t>
      </w:r>
    </w:p>
    <w:p>
      <w:pPr>
        <w:pStyle w:val="310"/>
        <w:spacing w:line="360" w:lineRule="auto"/>
        <w:rPr>
          <w:rFonts w:ascii="Times New Roman"/>
        </w:rPr>
      </w:pPr>
      <w:r>
        <w:rPr>
          <w:rFonts w:ascii="Times New Roman"/>
        </w:rPr>
        <w:t xml:space="preserve">3.0.7  </w:t>
      </w:r>
      <w:r>
        <w:rPr>
          <w:rFonts w:hint="eastAsia" w:ascii="Times New Roman"/>
        </w:rPr>
        <w:t>公路、地区架空电力线路和地区输油（输气）管道不应穿越生产区。</w:t>
      </w:r>
    </w:p>
    <w:p>
      <w:pPr>
        <w:pStyle w:val="310"/>
        <w:spacing w:line="360" w:lineRule="auto"/>
        <w:rPr>
          <w:rFonts w:ascii="Times New Roman"/>
        </w:rPr>
      </w:pPr>
      <w:r>
        <w:rPr>
          <w:rFonts w:ascii="Times New Roman"/>
        </w:rPr>
        <w:t xml:space="preserve">3.0.8  </w:t>
      </w:r>
      <w:r>
        <w:rPr>
          <w:rFonts w:hint="eastAsia" w:ascii="Times New Roman"/>
        </w:rPr>
        <w:t>总平面布置的防火间距，除特殊情况下可按照风险评估确定外，不应小于表</w:t>
      </w:r>
      <w:r>
        <w:rPr>
          <w:rFonts w:ascii="Times New Roman"/>
        </w:rPr>
        <w:t>3.0.8</w:t>
      </w:r>
      <w:r>
        <w:rPr>
          <w:rFonts w:hint="eastAsia" w:ascii="Times New Roman"/>
        </w:rPr>
        <w:t>的规定。</w:t>
      </w:r>
    </w:p>
    <w:p>
      <w:pPr>
        <w:pStyle w:val="310"/>
        <w:spacing w:line="360" w:lineRule="auto"/>
        <w:rPr>
          <w:rFonts w:ascii="Times New Roman"/>
        </w:rPr>
        <w:sectPr>
          <w:footerReference r:id="rId13" w:type="default"/>
          <w:type w:val="oddPage"/>
          <w:pgSz w:w="11906" w:h="16838"/>
          <w:pgMar w:top="1440" w:right="1134" w:bottom="1440" w:left="1134" w:header="851" w:footer="992" w:gutter="0"/>
          <w:pgNumType w:start="1"/>
          <w:cols w:space="425" w:num="1"/>
          <w:docGrid w:type="lines" w:linePitch="435" w:charSpace="0"/>
        </w:sectPr>
      </w:pPr>
    </w:p>
    <w:p>
      <w:pPr>
        <w:spacing w:after="62" w:afterLines="20" w:line="360" w:lineRule="auto"/>
        <w:ind w:right="473" w:rightChars="225"/>
        <w:jc w:val="center"/>
        <w:rPr>
          <w:rFonts w:ascii="Times New Roman" w:hAnsi="Times New Roman" w:cs="Times New Roman"/>
          <w:color w:val="000000"/>
          <w:sz w:val="24"/>
          <w:szCs w:val="24"/>
        </w:rPr>
      </w:pPr>
      <w:r>
        <w:rPr>
          <w:rFonts w:hint="eastAsia" w:ascii="Times New Roman" w:hAnsi="Times New Roman"/>
          <w:color w:val="000000" w:themeColor="text1"/>
          <w:sz w:val="24"/>
          <w:szCs w:val="24"/>
          <w14:textFill>
            <w14:solidFill>
              <w14:schemeClr w14:val="tx1"/>
            </w14:solidFill>
          </w14:textFill>
        </w:rPr>
        <w:t>表</w:t>
      </w:r>
      <w:r>
        <w:rPr>
          <w:rFonts w:ascii="Times New Roman" w:hAnsi="Times New Roman"/>
          <w:color w:val="000000" w:themeColor="text1"/>
          <w:sz w:val="24"/>
          <w:szCs w:val="24"/>
          <w14:textFill>
            <w14:solidFill>
              <w14:schemeClr w14:val="tx1"/>
            </w14:solidFill>
          </w14:textFill>
        </w:rPr>
        <w:t xml:space="preserve"> 3.0.8  </w:t>
      </w:r>
      <w:r>
        <w:rPr>
          <w:rFonts w:hint="eastAsia" w:ascii="Times New Roman" w:hAnsi="Times New Roman"/>
          <w:color w:val="000000" w:themeColor="text1"/>
          <w:sz w:val="24"/>
          <w:szCs w:val="24"/>
          <w14:textFill>
            <w14:solidFill>
              <w14:schemeClr w14:val="tx1"/>
            </w14:solidFill>
          </w14:textFill>
        </w:rPr>
        <w:t>炼油化工厂总平面布置的防火间距（</w:t>
      </w:r>
      <w:r>
        <w:rPr>
          <w:rFonts w:ascii="Times New Roman" w:hAnsi="Times New Roman"/>
          <w:color w:val="000000" w:themeColor="text1"/>
          <w:sz w:val="24"/>
          <w:szCs w:val="24"/>
          <w14:textFill>
            <w14:solidFill>
              <w14:schemeClr w14:val="tx1"/>
            </w14:solidFill>
          </w14:textFill>
        </w:rPr>
        <w:t>m）</w:t>
      </w:r>
    </w:p>
    <w:tbl>
      <w:tblPr>
        <w:tblStyle w:val="35"/>
        <w:tblW w:w="22050" w:type="dxa"/>
        <w:tblInd w:w="20" w:type="dxa"/>
        <w:tblLayout w:type="fixed"/>
        <w:tblCellMar>
          <w:top w:w="0" w:type="dxa"/>
          <w:left w:w="0" w:type="dxa"/>
          <w:bottom w:w="0" w:type="dxa"/>
          <w:right w:w="0" w:type="dxa"/>
        </w:tblCellMar>
      </w:tblPr>
      <w:tblGrid>
        <w:gridCol w:w="1155"/>
        <w:gridCol w:w="1260"/>
        <w:gridCol w:w="2520"/>
        <w:gridCol w:w="630"/>
        <w:gridCol w:w="525"/>
        <w:gridCol w:w="525"/>
        <w:gridCol w:w="525"/>
        <w:gridCol w:w="525"/>
        <w:gridCol w:w="525"/>
        <w:gridCol w:w="525"/>
        <w:gridCol w:w="525"/>
        <w:gridCol w:w="525"/>
        <w:gridCol w:w="525"/>
        <w:gridCol w:w="525"/>
        <w:gridCol w:w="525"/>
        <w:gridCol w:w="525"/>
        <w:gridCol w:w="525"/>
        <w:gridCol w:w="525"/>
        <w:gridCol w:w="525"/>
        <w:gridCol w:w="420"/>
        <w:gridCol w:w="525"/>
        <w:gridCol w:w="525"/>
        <w:gridCol w:w="525"/>
        <w:gridCol w:w="525"/>
        <w:gridCol w:w="525"/>
        <w:gridCol w:w="315"/>
        <w:gridCol w:w="420"/>
        <w:gridCol w:w="525"/>
        <w:gridCol w:w="420"/>
        <w:gridCol w:w="735"/>
        <w:gridCol w:w="525"/>
        <w:gridCol w:w="840"/>
        <w:gridCol w:w="525"/>
        <w:gridCol w:w="630"/>
        <w:gridCol w:w="630"/>
      </w:tblGrid>
      <w:tr>
        <w:tblPrEx>
          <w:tblCellMar>
            <w:top w:w="0" w:type="dxa"/>
            <w:left w:w="0" w:type="dxa"/>
            <w:bottom w:w="0" w:type="dxa"/>
            <w:right w:w="0" w:type="dxa"/>
          </w:tblCellMar>
        </w:tblPrEx>
        <w:trPr>
          <w:cantSplit/>
          <w:trHeight w:val="20" w:hRule="atLeast"/>
        </w:trPr>
        <w:tc>
          <w:tcPr>
            <w:tcW w:w="4935" w:type="dxa"/>
            <w:gridSpan w:val="3"/>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项</w:t>
            </w:r>
            <w:r>
              <w:rPr>
                <w:rFonts w:cs="Times New Roman" w:asciiTheme="minorEastAsia" w:hAnsiTheme="minorEastAsia"/>
                <w:color w:val="000000"/>
                <w:sz w:val="18"/>
                <w:szCs w:val="18"/>
              </w:rPr>
              <w:t xml:space="preserve">           </w:t>
            </w:r>
            <w:r>
              <w:rPr>
                <w:rFonts w:hint="eastAsia" w:cs="Times New Roman" w:asciiTheme="minorEastAsia" w:hAnsiTheme="minorEastAsia"/>
                <w:color w:val="000000"/>
                <w:sz w:val="18"/>
                <w:szCs w:val="18"/>
              </w:rPr>
              <w:t>目</w:t>
            </w:r>
          </w:p>
        </w:tc>
        <w:tc>
          <w:tcPr>
            <w:tcW w:w="1680" w:type="dxa"/>
            <w:gridSpan w:val="3"/>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生产装置（单元）</w:t>
            </w:r>
          </w:p>
        </w:tc>
        <w:tc>
          <w:tcPr>
            <w:tcW w:w="1050" w:type="dxa"/>
            <w:gridSpan w:val="2"/>
            <w:vMerge w:val="restart"/>
            <w:tcBorders>
              <w:top w:val="single" w:color="auto" w:sz="4" w:space="0"/>
              <w:left w:val="single" w:color="auto" w:sz="4" w:space="0"/>
              <w:bottom w:val="nil"/>
              <w:right w:val="single" w:color="000000" w:sz="4" w:space="0"/>
            </w:tcBorders>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全厂性重要设施</w:t>
            </w:r>
          </w:p>
        </w:tc>
        <w:tc>
          <w:tcPr>
            <w:tcW w:w="525"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明火</w:t>
            </w:r>
          </w:p>
          <w:p>
            <w:pPr>
              <w:spacing w:line="0" w:lineRule="atLeast"/>
              <w:jc w:val="center"/>
              <w:rPr>
                <w:rFonts w:cs="Times New Roman" w:asciiTheme="minorEastAsia" w:hAnsiTheme="minorEastAsia"/>
                <w:color w:val="000000"/>
                <w:sz w:val="18"/>
                <w:szCs w:val="18"/>
                <w:u w:val="single"/>
              </w:rPr>
            </w:pPr>
            <w:r>
              <w:rPr>
                <w:rFonts w:cs="Times New Roman" w:asciiTheme="minorEastAsia" w:hAnsiTheme="minorEastAsia"/>
                <w:color w:val="000000"/>
                <w:sz w:val="18"/>
                <w:szCs w:val="18"/>
              </w:rPr>
              <w:t>地点</w:t>
            </w:r>
          </w:p>
        </w:tc>
        <w:tc>
          <w:tcPr>
            <w:tcW w:w="4725" w:type="dxa"/>
            <w:gridSpan w:val="9"/>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地上可燃液体储罐</w:t>
            </w:r>
          </w:p>
        </w:tc>
        <w:tc>
          <w:tcPr>
            <w:tcW w:w="525"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沸点低于</w:t>
            </w:r>
            <w:r>
              <w:rPr>
                <w:rFonts w:cs="Times New Roman" w:asciiTheme="minorEastAsia" w:hAnsiTheme="minorEastAsia"/>
                <w:color w:val="000000"/>
                <w:sz w:val="18"/>
                <w:szCs w:val="18"/>
              </w:rPr>
              <w:t>45℃的甲</w:t>
            </w:r>
            <w:r>
              <w:rPr>
                <w:rFonts w:cs="Arial" w:asciiTheme="minorEastAsia" w:hAnsiTheme="minorEastAsia"/>
                <w:color w:val="000000"/>
                <w:sz w:val="18"/>
                <w:szCs w:val="18"/>
                <w:vertAlign w:val="subscript"/>
              </w:rPr>
              <w:t>B</w:t>
            </w:r>
            <w:r>
              <w:rPr>
                <w:rFonts w:cs="Times New Roman" w:asciiTheme="minorEastAsia" w:hAnsiTheme="minorEastAsia"/>
                <w:color w:val="000000"/>
                <w:sz w:val="18"/>
                <w:szCs w:val="18"/>
              </w:rPr>
              <w:t>类液体全压力储</w:t>
            </w:r>
            <w:r>
              <w:rPr>
                <w:rFonts w:hint="eastAsia" w:cs="Times New Roman" w:asciiTheme="minorEastAsia" w:hAnsiTheme="minorEastAsia"/>
                <w:color w:val="000000"/>
                <w:sz w:val="18"/>
                <w:szCs w:val="18"/>
              </w:rPr>
              <w:t>罐</w:t>
            </w:r>
          </w:p>
        </w:tc>
        <w:tc>
          <w:tcPr>
            <w:tcW w:w="2520" w:type="dxa"/>
            <w:gridSpan w:val="5"/>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液化烃储罐</w:t>
            </w:r>
          </w:p>
        </w:tc>
        <w:tc>
          <w:tcPr>
            <w:tcW w:w="525" w:type="dxa"/>
            <w:vMerge w:val="restart"/>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可燃气</w:t>
            </w:r>
            <w:r>
              <w:rPr>
                <w:rFonts w:cs="Times New Roman" w:asciiTheme="minorEastAsia" w:hAnsiTheme="minorEastAsia"/>
                <w:color w:val="000000"/>
                <w:sz w:val="18"/>
                <w:szCs w:val="18"/>
              </w:rPr>
              <w:t>体储罐</w:t>
            </w:r>
          </w:p>
        </w:tc>
        <w:tc>
          <w:tcPr>
            <w:tcW w:w="1260" w:type="dxa"/>
            <w:gridSpan w:val="3"/>
            <w:vMerge w:val="restart"/>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液化烃及甲</w:t>
            </w:r>
            <w:r>
              <w:rPr>
                <w:rFonts w:cs="Arial" w:asciiTheme="minorEastAsia" w:hAnsiTheme="minorEastAsia"/>
                <w:color w:val="000000"/>
                <w:sz w:val="18"/>
                <w:szCs w:val="18"/>
                <w:vertAlign w:val="subscript"/>
              </w:rPr>
              <w:t>B</w:t>
            </w:r>
            <w:r>
              <w:rPr>
                <w:rFonts w:hint="eastAsia" w:cs="Times New Roman" w:asciiTheme="minorEastAsia" w:hAnsiTheme="minorEastAsia"/>
                <w:color w:val="000000"/>
                <w:sz w:val="18"/>
                <w:szCs w:val="18"/>
              </w:rPr>
              <w:t>、</w:t>
            </w:r>
          </w:p>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乙类液体</w:t>
            </w:r>
          </w:p>
        </w:tc>
        <w:tc>
          <w:tcPr>
            <w:tcW w:w="1155" w:type="dxa"/>
            <w:gridSpan w:val="2"/>
            <w:vMerge w:val="restart"/>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灌装站</w:t>
            </w:r>
          </w:p>
        </w:tc>
        <w:tc>
          <w:tcPr>
            <w:tcW w:w="525"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甲类物品仓库（库棚）或堆场</w:t>
            </w:r>
          </w:p>
        </w:tc>
        <w:tc>
          <w:tcPr>
            <w:tcW w:w="840"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罐区甲、乙类泵(房)、全冷冻式液化烃储存的压缩机（包括添加剂设施及其专用变配电室</w:t>
            </w:r>
            <w:r>
              <w:rPr>
                <w:rFonts w:cs="Times New Roman" w:asciiTheme="minorEastAsia" w:hAnsiTheme="minorEastAsia"/>
                <w:color w:val="000000"/>
                <w:kern w:val="0"/>
                <w:sz w:val="18"/>
                <w:szCs w:val="18"/>
              </w:rPr>
              <w:t>、控制室</w:t>
            </w:r>
            <w:r>
              <w:rPr>
                <w:rFonts w:cs="Times New Roman" w:asciiTheme="minorEastAsia" w:hAnsiTheme="minorEastAsia"/>
                <w:color w:val="000000"/>
                <w:sz w:val="18"/>
                <w:szCs w:val="18"/>
              </w:rPr>
              <w:t>）</w:t>
            </w:r>
          </w:p>
        </w:tc>
        <w:tc>
          <w:tcPr>
            <w:tcW w:w="525"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污水处理场（隔油池、污油罐）</w:t>
            </w:r>
          </w:p>
        </w:tc>
        <w:tc>
          <w:tcPr>
            <w:tcW w:w="630"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铁路走行线（中心线）、原料及产品运输道路（路面边）</w:t>
            </w:r>
          </w:p>
        </w:tc>
        <w:tc>
          <w:tcPr>
            <w:tcW w:w="630" w:type="dxa"/>
            <w:vMerge w:val="restart"/>
            <w:tcBorders>
              <w:top w:val="single" w:color="auto" w:sz="4" w:space="0"/>
              <w:left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备注</w:t>
            </w:r>
          </w:p>
        </w:tc>
      </w:tr>
      <w:tr>
        <w:tblPrEx>
          <w:tblCellMar>
            <w:top w:w="0" w:type="dxa"/>
            <w:left w:w="0" w:type="dxa"/>
            <w:bottom w:w="0" w:type="dxa"/>
            <w:right w:w="0" w:type="dxa"/>
          </w:tblCellMar>
        </w:tblPrEx>
        <w:trPr>
          <w:cantSplit/>
          <w:trHeight w:val="20" w:hRule="atLeast"/>
        </w:trPr>
        <w:tc>
          <w:tcPr>
            <w:tcW w:w="4935"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1680"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10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2100" w:type="dxa"/>
            <w:gridSpan w:val="4"/>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甲</w:t>
            </w:r>
            <w:r>
              <w:rPr>
                <w:rFonts w:cs="Arial" w:asciiTheme="minorEastAsia" w:hAnsiTheme="minorEastAsia"/>
                <w:color w:val="000000"/>
                <w:sz w:val="18"/>
                <w:szCs w:val="18"/>
                <w:vertAlign w:val="subscript"/>
              </w:rPr>
              <w:t>B</w:t>
            </w:r>
            <w:r>
              <w:rPr>
                <w:rFonts w:hint="eastAsia" w:cs="Times New Roman" w:asciiTheme="minorEastAsia" w:hAnsiTheme="minorEastAsia"/>
                <w:color w:val="000000"/>
                <w:sz w:val="18"/>
                <w:szCs w:val="18"/>
              </w:rPr>
              <w:t>、乙类固定顶</w:t>
            </w:r>
          </w:p>
        </w:tc>
        <w:tc>
          <w:tcPr>
            <w:tcW w:w="2625" w:type="dxa"/>
            <w:gridSpan w:val="5"/>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浮顶、内浮顶或丙</w:t>
            </w:r>
            <w:r>
              <w:rPr>
                <w:rFonts w:cs="Arial" w:asciiTheme="minorEastAsia" w:hAnsiTheme="minorEastAsia"/>
                <w:color w:val="000000"/>
                <w:sz w:val="18"/>
                <w:szCs w:val="18"/>
                <w:vertAlign w:val="subscript"/>
              </w:rPr>
              <w:t>A</w:t>
            </w:r>
            <w:r>
              <w:rPr>
                <w:rFonts w:hint="eastAsia" w:cs="Times New Roman" w:asciiTheme="minorEastAsia" w:hAnsiTheme="minorEastAsia"/>
                <w:color w:val="000000"/>
                <w:sz w:val="18"/>
                <w:szCs w:val="18"/>
              </w:rPr>
              <w:t>类固定顶</w:t>
            </w:r>
          </w:p>
        </w:tc>
        <w:tc>
          <w:tcPr>
            <w:tcW w:w="525" w:type="dxa"/>
            <w:vMerge w:val="continue"/>
            <w:tcBorders>
              <w:top w:val="single" w:color="auto" w:sz="4" w:space="0"/>
              <w:left w:val="single" w:color="auto" w:sz="4" w:space="0"/>
              <w:bottom w:val="single" w:color="000000" w:sz="4" w:space="0"/>
              <w:right w:val="single" w:color="auto" w:sz="4" w:space="0"/>
            </w:tcBorders>
          </w:tcPr>
          <w:p>
            <w:pPr>
              <w:spacing w:line="0" w:lineRule="atLeast"/>
              <w:jc w:val="center"/>
              <w:rPr>
                <w:rFonts w:cs="Times New Roman" w:asciiTheme="minorEastAsia" w:hAnsiTheme="minorEastAsia"/>
                <w:color w:val="000000"/>
                <w:sz w:val="18"/>
                <w:szCs w:val="18"/>
                <w:u w:val="single"/>
              </w:rPr>
            </w:pPr>
          </w:p>
        </w:tc>
        <w:tc>
          <w:tcPr>
            <w:tcW w:w="1470"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全压力式和半冷冻式</w:t>
            </w:r>
          </w:p>
        </w:tc>
        <w:tc>
          <w:tcPr>
            <w:tcW w:w="1050" w:type="dxa"/>
            <w:gridSpan w:val="2"/>
            <w:tcBorders>
              <w:top w:val="nil"/>
              <w:left w:val="nil"/>
              <w:bottom w:val="nil"/>
              <w:right w:val="nil"/>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全冷冻式</w:t>
            </w:r>
          </w:p>
        </w:tc>
        <w:tc>
          <w:tcPr>
            <w:tcW w:w="525"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gridSpan w:val="3"/>
            <w:vMerge w:val="continue"/>
            <w:tcBorders>
              <w:top w:val="nil"/>
              <w:left w:val="single" w:color="auto" w:sz="4" w:space="0"/>
              <w:bottom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1155" w:type="dxa"/>
            <w:gridSpan w:val="2"/>
            <w:vMerge w:val="continue"/>
            <w:tcBorders>
              <w:top w:val="nil"/>
              <w:left w:val="single" w:color="auto" w:sz="4" w:space="0"/>
              <w:bottom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63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389" w:hRule="atLeast"/>
        </w:trPr>
        <w:tc>
          <w:tcPr>
            <w:tcW w:w="4935"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1680"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10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或</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卧</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式</w:t>
            </w: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nil"/>
              <w:left w:val="nil"/>
              <w:right w:val="nil"/>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或</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卧</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式</w:t>
            </w: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420" w:type="dxa"/>
            <w:vMerge w:val="restart"/>
            <w:tcBorders>
              <w:top w:val="single" w:color="auto" w:sz="4" w:space="0"/>
              <w:left w:val="nil"/>
              <w:bottom w:val="single" w:color="auto" w:sz="4"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single" w:color="auto" w:sz="4" w:space="0"/>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single" w:color="auto" w:sz="4" w:space="0"/>
              <w:left w:val="nil"/>
              <w:right w:val="nil"/>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525" w:type="dxa"/>
            <w:vMerge w:val="restart"/>
            <w:tcBorders>
              <w:top w:val="single" w:color="auto" w:sz="4" w:space="0"/>
              <w:left w:val="single" w:color="auto" w:sz="4"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50000</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m</w:t>
            </w:r>
            <w:r>
              <w:rPr>
                <w:rFonts w:cs="Times New Roman" w:asciiTheme="minorEastAsia" w:hAnsiTheme="minorEastAsia"/>
                <w:color w:val="000000"/>
                <w:sz w:val="18"/>
                <w:szCs w:val="18"/>
                <w:vertAlign w:val="superscript"/>
              </w:rPr>
              <w:t>3</w:t>
            </w:r>
          </w:p>
        </w:tc>
        <w:tc>
          <w:tcPr>
            <w:tcW w:w="315" w:type="dxa"/>
            <w:vMerge w:val="restart"/>
            <w:tcBorders>
              <w:top w:val="single" w:color="auto" w:sz="4" w:space="0"/>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码</w:t>
            </w:r>
            <w:r>
              <w:rPr>
                <w:rFonts w:cs="Times New Roman" w:asciiTheme="minorEastAsia" w:hAnsiTheme="minorEastAsia"/>
                <w:color w:val="000000"/>
                <w:sz w:val="18"/>
                <w:szCs w:val="18"/>
              </w:rPr>
              <w:br w:type="textWrapping"/>
            </w:r>
            <w:r>
              <w:rPr>
                <w:rFonts w:cs="Times New Roman" w:asciiTheme="minorEastAsia" w:hAnsiTheme="minorEastAsia"/>
                <w:color w:val="000000"/>
                <w:sz w:val="18"/>
                <w:szCs w:val="18"/>
              </w:rPr>
              <w:t>头</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装</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卸</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区</w:t>
            </w:r>
          </w:p>
          <w:p>
            <w:pPr>
              <w:spacing w:line="0" w:lineRule="atLeast"/>
              <w:jc w:val="center"/>
              <w:rPr>
                <w:rFonts w:cs="Times New Roman" w:asciiTheme="minorEastAsia" w:hAnsiTheme="minorEastAsia"/>
                <w:color w:val="000000"/>
                <w:sz w:val="18"/>
                <w:szCs w:val="18"/>
              </w:rPr>
            </w:pPr>
          </w:p>
        </w:tc>
        <w:tc>
          <w:tcPr>
            <w:tcW w:w="420" w:type="dxa"/>
            <w:vMerge w:val="restart"/>
            <w:tcBorders>
              <w:top w:val="single" w:color="auto" w:sz="4" w:space="0"/>
              <w:left w:val="nil"/>
              <w:bottom w:val="single" w:color="auto" w:sz="4"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汽</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车</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装</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卸</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站</w:t>
            </w:r>
          </w:p>
        </w:tc>
        <w:tc>
          <w:tcPr>
            <w:tcW w:w="525" w:type="dxa"/>
            <w:vMerge w:val="restart"/>
            <w:tcBorders>
              <w:top w:val="single" w:color="auto" w:sz="4" w:space="0"/>
              <w:left w:val="nil"/>
              <w:right w:val="single" w:color="auto" w:sz="4" w:space="0"/>
            </w:tcBorders>
            <w:noWrap/>
            <w:tcMar>
              <w:top w:w="28" w:type="dxa"/>
              <w:left w:w="28" w:type="dxa"/>
              <w:bottom w:w="28" w:type="dxa"/>
              <w:right w:w="28"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铁路装卸设施槽车洗罐站</w:t>
            </w:r>
          </w:p>
        </w:tc>
        <w:tc>
          <w:tcPr>
            <w:tcW w:w="420" w:type="dxa"/>
            <w:vMerge w:val="restart"/>
            <w:tcBorders>
              <w:top w:val="single" w:color="auto" w:sz="4" w:space="0"/>
              <w:left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液</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化</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烃</w:t>
            </w:r>
          </w:p>
        </w:tc>
        <w:tc>
          <w:tcPr>
            <w:tcW w:w="735" w:type="dxa"/>
            <w:vMerge w:val="restart"/>
            <w:tcBorders>
              <w:top w:val="single" w:color="auto" w:sz="4" w:space="0"/>
              <w:left w:val="nil"/>
              <w:bottom w:val="single" w:color="auto" w:sz="4"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甲</w:t>
            </w:r>
            <w:r>
              <w:rPr>
                <w:rFonts w:cs="Arial" w:asciiTheme="minorEastAsia" w:hAnsiTheme="minorEastAsia"/>
                <w:color w:val="000000"/>
                <w:sz w:val="18"/>
                <w:szCs w:val="18"/>
                <w:vertAlign w:val="subscript"/>
              </w:rPr>
              <w:t>B</w:t>
            </w:r>
            <w:r>
              <w:rPr>
                <w:rFonts w:hint="eastAsia" w:cs="Times New Roman" w:asciiTheme="minorEastAsia" w:hAnsiTheme="minorEastAsia"/>
                <w:color w:val="000000"/>
                <w:sz w:val="18"/>
                <w:szCs w:val="18"/>
              </w:rPr>
              <w:t>、乙类液体及可燃与助燃气体</w:t>
            </w: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63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389" w:hRule="atLeast"/>
        </w:trPr>
        <w:tc>
          <w:tcPr>
            <w:tcW w:w="4935"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1680"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10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31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735"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63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389" w:hRule="atLeast"/>
        </w:trPr>
        <w:tc>
          <w:tcPr>
            <w:tcW w:w="4935"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1680"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10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31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735"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63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389" w:hRule="atLeast"/>
        </w:trPr>
        <w:tc>
          <w:tcPr>
            <w:tcW w:w="4935"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1680"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10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31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735"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63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389" w:hRule="atLeast"/>
        </w:trPr>
        <w:tc>
          <w:tcPr>
            <w:tcW w:w="4935"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1680"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10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31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735"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63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4935"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甲</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乙</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丙</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一类</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二类</w:t>
            </w: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525"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31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420"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735"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c>
          <w:tcPr>
            <w:tcW w:w="630"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2415" w:type="dxa"/>
            <w:gridSpan w:val="2"/>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生产装置（单元）</w:t>
            </w:r>
          </w:p>
        </w:tc>
        <w:tc>
          <w:tcPr>
            <w:tcW w:w="25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甲</w:t>
            </w:r>
          </w:p>
        </w:tc>
        <w:tc>
          <w:tcPr>
            <w:tcW w:w="630" w:type="dxa"/>
            <w:tcBorders>
              <w:top w:val="single" w:color="auto" w:sz="4" w:space="0"/>
              <w:left w:val="nil"/>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30/25</w:t>
            </w: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20/15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ind w:firstLine="180" w:firstLineChars="100"/>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vMerge w:val="restart"/>
            <w:tcBorders>
              <w:top w:val="nil"/>
              <w:left w:val="single" w:color="auto" w:sz="4" w:space="0"/>
              <w:bottom w:val="single" w:color="000000"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1</w:t>
            </w: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2</w:t>
            </w:r>
          </w:p>
        </w:tc>
      </w:tr>
      <w:tr>
        <w:tblPrEx>
          <w:tblCellMar>
            <w:top w:w="0" w:type="dxa"/>
            <w:left w:w="0" w:type="dxa"/>
            <w:bottom w:w="0" w:type="dxa"/>
            <w:right w:w="0" w:type="dxa"/>
          </w:tblCellMar>
        </w:tblPrEx>
        <w:trPr>
          <w:cantSplit/>
          <w:trHeight w:val="20" w:hRule="atLeast"/>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2520" w:type="dxa"/>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乙</w:t>
            </w:r>
          </w:p>
        </w:tc>
        <w:tc>
          <w:tcPr>
            <w:tcW w:w="630" w:type="dxa"/>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25/20</w:t>
            </w:r>
          </w:p>
        </w:tc>
        <w:tc>
          <w:tcPr>
            <w:tcW w:w="52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20/15</w:t>
            </w: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ind w:firstLine="180" w:firstLineChars="100"/>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vMerge w:val="continue"/>
            <w:tcBorders>
              <w:top w:val="nil"/>
              <w:left w:val="single" w:color="auto" w:sz="4" w:space="0"/>
              <w:bottom w:val="single" w:color="000000"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25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丙</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15/10</w:t>
            </w:r>
          </w:p>
        </w:tc>
        <w:tc>
          <w:tcPr>
            <w:tcW w:w="52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vMerge w:val="continue"/>
            <w:tcBorders>
              <w:top w:val="nil"/>
              <w:left w:val="single" w:color="auto" w:sz="4" w:space="0"/>
              <w:bottom w:val="single" w:color="auto" w:sz="6"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24" w:hRule="atLeast"/>
        </w:trPr>
        <w:tc>
          <w:tcPr>
            <w:tcW w:w="2415" w:type="dxa"/>
            <w:gridSpan w:val="2"/>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ascii="宋体" w:hAnsi="宋体" w:eastAsia="宋体" w:cs="Times New Roman"/>
                <w:sz w:val="18"/>
                <w:szCs w:val="18"/>
              </w:rPr>
              <w:t>全厂性重要设施</w:t>
            </w:r>
          </w:p>
        </w:tc>
        <w:tc>
          <w:tcPr>
            <w:tcW w:w="25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一类</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630" w:type="dxa"/>
            <w:tcBorders>
              <w:top w:val="nil"/>
              <w:left w:val="nil"/>
              <w:bottom w:val="single" w:color="auto" w:sz="4" w:space="0"/>
              <w:right w:val="single" w:color="auto" w:sz="6"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630" w:type="dxa"/>
            <w:vMerge w:val="restart"/>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3</w:t>
            </w:r>
          </w:p>
        </w:tc>
      </w:tr>
      <w:tr>
        <w:tblPrEx>
          <w:tblCellMar>
            <w:top w:w="0" w:type="dxa"/>
            <w:left w:w="0" w:type="dxa"/>
            <w:bottom w:w="0" w:type="dxa"/>
            <w:right w:w="0" w:type="dxa"/>
          </w:tblCellMar>
        </w:tblPrEx>
        <w:trPr>
          <w:cantSplit/>
          <w:trHeight w:val="20" w:hRule="atLeast"/>
        </w:trPr>
        <w:tc>
          <w:tcPr>
            <w:tcW w:w="2415" w:type="dxa"/>
            <w:gridSpan w:val="2"/>
            <w:vMerge w:val="continue"/>
            <w:tcBorders>
              <w:top w:val="single" w:color="auto" w:sz="4" w:space="0"/>
              <w:left w:val="single" w:color="auto" w:sz="4" w:space="0"/>
              <w:bottom w:val="single" w:color="auto" w:sz="4" w:space="0"/>
              <w:right w:val="single" w:color="000000" w:sz="4" w:space="0"/>
            </w:tcBorders>
            <w:vAlign w:val="center"/>
          </w:tcPr>
          <w:p>
            <w:pPr>
              <w:spacing w:line="0" w:lineRule="atLeast"/>
              <w:rPr>
                <w:rFonts w:cs="Times New Roman" w:asciiTheme="minorEastAsia" w:hAnsiTheme="minorEastAsia"/>
                <w:color w:val="000000"/>
                <w:sz w:val="18"/>
                <w:szCs w:val="18"/>
                <w:u w:val="single"/>
              </w:rPr>
            </w:pPr>
          </w:p>
        </w:tc>
        <w:tc>
          <w:tcPr>
            <w:tcW w:w="25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二类</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single" w:color="auto" w:sz="4" w:space="0"/>
              <w:left w:val="nil"/>
              <w:bottom w:val="single" w:color="auto" w:sz="4" w:space="0"/>
              <w:right w:val="single" w:color="auto" w:sz="6" w:space="0"/>
            </w:tcBorders>
            <w:noWrap/>
            <w:tcMar>
              <w:top w:w="20" w:type="dxa"/>
              <w:left w:w="20" w:type="dxa"/>
              <w:bottom w:w="0" w:type="dxa"/>
              <w:right w:w="20" w:type="dxa"/>
            </w:tcMar>
            <w:vAlign w:val="center"/>
          </w:tcPr>
          <w:p>
            <w:pPr>
              <w:spacing w:line="0" w:lineRule="atLeast"/>
              <w:ind w:firstLine="180" w:firstLineChars="100"/>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630" w:type="dxa"/>
            <w:vMerge w:val="continue"/>
            <w:tcBorders>
              <w:top w:val="single" w:color="auto" w:sz="6" w:space="0"/>
              <w:left w:val="single" w:color="auto" w:sz="6" w:space="0"/>
              <w:bottom w:val="single" w:color="auto" w:sz="6" w:space="0"/>
              <w:right w:val="single" w:color="auto" w:sz="6"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4935"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明火地点</w:t>
            </w:r>
          </w:p>
        </w:tc>
        <w:tc>
          <w:tcPr>
            <w:tcW w:w="63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single" w:color="auto" w:sz="4" w:space="0"/>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31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73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840"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single" w:color="auto" w:sz="4" w:space="0"/>
              <w:left w:val="nil"/>
              <w:bottom w:val="single" w:color="auto" w:sz="4" w:space="0"/>
              <w:right w:val="single" w:color="auto" w:sz="6"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630" w:type="dxa"/>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4</w:t>
            </w:r>
          </w:p>
        </w:tc>
      </w:tr>
      <w:tr>
        <w:tblPrEx>
          <w:tblCellMar>
            <w:top w:w="0" w:type="dxa"/>
            <w:left w:w="0" w:type="dxa"/>
            <w:bottom w:w="0" w:type="dxa"/>
            <w:right w:w="0" w:type="dxa"/>
          </w:tblCellMar>
        </w:tblPrEx>
        <w:trPr>
          <w:cantSplit/>
          <w:trHeight w:val="20" w:hRule="atLeast"/>
        </w:trPr>
        <w:tc>
          <w:tcPr>
            <w:tcW w:w="1155" w:type="dxa"/>
            <w:vMerge w:val="restart"/>
            <w:tcBorders>
              <w:top w:val="nil"/>
              <w:left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地上可燃</w:t>
            </w:r>
            <w:r>
              <w:rPr>
                <w:rFonts w:cs="Times New Roman" w:asciiTheme="minorEastAsia" w:hAnsiTheme="minorEastAsia"/>
                <w:color w:val="000000"/>
                <w:sz w:val="18"/>
                <w:szCs w:val="18"/>
              </w:rPr>
              <w:br w:type="textWrapping"/>
            </w:r>
            <w:r>
              <w:rPr>
                <w:rFonts w:hint="eastAsia" w:cs="Times New Roman" w:asciiTheme="minorEastAsia" w:hAnsiTheme="minorEastAsia"/>
                <w:color w:val="000000"/>
                <w:sz w:val="18"/>
                <w:szCs w:val="18"/>
              </w:rPr>
              <w:t>液体储罐</w:t>
            </w:r>
          </w:p>
        </w:tc>
        <w:tc>
          <w:tcPr>
            <w:tcW w:w="1260" w:type="dxa"/>
            <w:vMerge w:val="restart"/>
            <w:tcBorders>
              <w:top w:val="nil"/>
              <w:left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甲</w:t>
            </w:r>
            <w:r>
              <w:rPr>
                <w:rFonts w:cs="Arial" w:asciiTheme="minorEastAsia" w:hAnsiTheme="minorEastAsia"/>
                <w:color w:val="000000"/>
                <w:sz w:val="18"/>
                <w:szCs w:val="18"/>
                <w:vertAlign w:val="subscript"/>
              </w:rPr>
              <w:t>B</w:t>
            </w:r>
            <w:r>
              <w:rPr>
                <w:rFonts w:hint="eastAsia" w:cs="Times New Roman" w:asciiTheme="minorEastAsia" w:hAnsiTheme="minorEastAsia"/>
                <w:color w:val="000000"/>
                <w:sz w:val="18"/>
                <w:szCs w:val="18"/>
              </w:rPr>
              <w:t>、乙类</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固定顶</w:t>
            </w:r>
          </w:p>
        </w:tc>
        <w:tc>
          <w:tcPr>
            <w:tcW w:w="2520"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5000m</w:t>
            </w:r>
            <w:r>
              <w:rPr>
                <w:rFonts w:cs="Times New Roman" w:asciiTheme="minorEastAsia" w:hAnsiTheme="minorEastAsia"/>
                <w:color w:val="000000"/>
                <w:sz w:val="18"/>
                <w:szCs w:val="18"/>
                <w:vertAlign w:val="superscript"/>
              </w:rPr>
              <w:t>3</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FF0000" w:sz="12"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single" w:color="FF0000" w:sz="12"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FF0000" w:sz="12" w:space="0"/>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725" w:type="dxa"/>
            <w:gridSpan w:val="9"/>
            <w:vMerge w:val="restart"/>
            <w:tcBorders>
              <w:top w:val="single" w:color="FF0000" w:sz="12" w:space="0"/>
              <w:left w:val="single" w:color="auto" w:sz="4" w:space="0"/>
              <w:bottom w:val="single" w:color="000000" w:sz="4" w:space="0"/>
              <w:right w:val="single" w:color="FF0000" w:sz="12"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见表</w:t>
            </w:r>
            <w:r>
              <w:rPr>
                <w:rFonts w:cs="Times New Roman" w:asciiTheme="minorEastAsia" w:hAnsiTheme="minorEastAsia"/>
                <w:color w:val="000000"/>
                <w:sz w:val="18"/>
                <w:szCs w:val="18"/>
              </w:rPr>
              <w:t>5.2.10</w:t>
            </w: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vMerge w:val="restart"/>
            <w:tcBorders>
              <w:top w:val="single" w:color="auto" w:sz="6" w:space="0"/>
              <w:left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5、2</w:t>
            </w: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left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p>
        </w:tc>
        <w:tc>
          <w:tcPr>
            <w:tcW w:w="2520"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1000m</w:t>
            </w:r>
            <w:r>
              <w:rPr>
                <w:rFonts w:cs="Times New Roman" w:asciiTheme="minorEastAsia" w:hAnsiTheme="minorEastAsia"/>
                <w:color w:val="000000"/>
                <w:sz w:val="18"/>
                <w:szCs w:val="18"/>
                <w:vertAlign w:val="superscript"/>
              </w:rPr>
              <w:t>3</w:t>
            </w: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5000m</w:t>
            </w:r>
            <w:r>
              <w:rPr>
                <w:rFonts w:cs="Times New Roman" w:asciiTheme="minorEastAsia" w:hAnsiTheme="minorEastAsia"/>
                <w:color w:val="000000"/>
                <w:sz w:val="18"/>
                <w:szCs w:val="18"/>
                <w:vertAlign w:val="superscript"/>
              </w:rPr>
              <w:t>3</w:t>
            </w:r>
          </w:p>
        </w:tc>
        <w:tc>
          <w:tcPr>
            <w:tcW w:w="63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single" w:color="auto" w:sz="4" w:space="0"/>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725" w:type="dxa"/>
            <w:gridSpan w:val="9"/>
            <w:vMerge w:val="continue"/>
            <w:tcBorders>
              <w:top w:val="nil"/>
              <w:left w:val="single" w:color="auto" w:sz="4" w:space="0"/>
              <w:bottom w:val="nil"/>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73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left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p>
        </w:tc>
        <w:tc>
          <w:tcPr>
            <w:tcW w:w="2520"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500m</w:t>
            </w:r>
            <w:r>
              <w:rPr>
                <w:rFonts w:cs="Times New Roman" w:asciiTheme="minorEastAsia" w:hAnsiTheme="minorEastAsia"/>
                <w:color w:val="000000"/>
                <w:sz w:val="18"/>
                <w:szCs w:val="18"/>
                <w:vertAlign w:val="superscript"/>
              </w:rPr>
              <w:t>3</w:t>
            </w: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1000m</w:t>
            </w:r>
            <w:r>
              <w:rPr>
                <w:rFonts w:cs="Times New Roman" w:asciiTheme="minorEastAsia" w:hAnsiTheme="minorEastAsia"/>
                <w:color w:val="000000"/>
                <w:sz w:val="18"/>
                <w:szCs w:val="18"/>
                <w:vertAlign w:val="superscript"/>
              </w:rPr>
              <w:t>3</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725" w:type="dxa"/>
            <w:gridSpan w:val="9"/>
            <w:vMerge w:val="continue"/>
            <w:tcBorders>
              <w:top w:val="single" w:color="auto" w:sz="4" w:space="0"/>
              <w:left w:val="single" w:color="auto" w:sz="4" w:space="0"/>
              <w:bottom w:val="single" w:color="auto" w:sz="4" w:space="0"/>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FF0000"/>
                <w:sz w:val="18"/>
                <w:szCs w:val="18"/>
              </w:rPr>
            </w:pPr>
            <w:r>
              <w:rPr>
                <w:rFonts w:cs="Times New Roman" w:asciiTheme="minorEastAsia" w:hAnsiTheme="minorEastAsia"/>
                <w:color w:val="000000"/>
                <w:sz w:val="18"/>
                <w:szCs w:val="18"/>
              </w:rPr>
              <w:t>20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630" w:type="dxa"/>
            <w:vMerge w:val="continue"/>
            <w:tcBorders>
              <w:left w:val="single" w:color="auto" w:sz="4" w:space="0"/>
              <w:right w:val="single" w:color="auto" w:sz="4" w:space="0"/>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left w:val="single" w:color="auto" w:sz="4" w:space="0"/>
              <w:bottom w:val="nil"/>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p>
        </w:tc>
        <w:tc>
          <w:tcPr>
            <w:tcW w:w="2520"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500m</w:t>
            </w:r>
            <w:r>
              <w:rPr>
                <w:rFonts w:cs="Times New Roman" w:asciiTheme="minorEastAsia" w:hAnsiTheme="minorEastAsia"/>
                <w:color w:val="000000"/>
                <w:sz w:val="18"/>
                <w:szCs w:val="18"/>
                <w:vertAlign w:val="superscript"/>
              </w:rPr>
              <w:t>3</w:t>
            </w:r>
            <w:r>
              <w:rPr>
                <w:rFonts w:hint="eastAsia" w:cs="Times New Roman" w:asciiTheme="minorEastAsia" w:hAnsiTheme="minorEastAsia"/>
                <w:color w:val="000000"/>
                <w:sz w:val="18"/>
                <w:szCs w:val="18"/>
              </w:rPr>
              <w:t>或卧式罐</w:t>
            </w:r>
          </w:p>
        </w:tc>
        <w:tc>
          <w:tcPr>
            <w:tcW w:w="63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single" w:color="auto" w:sz="4" w:space="0"/>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725" w:type="dxa"/>
            <w:gridSpan w:val="9"/>
            <w:vMerge w:val="continue"/>
            <w:tcBorders>
              <w:top w:val="nil"/>
              <w:left w:val="single" w:color="auto" w:sz="4" w:space="0"/>
              <w:bottom w:val="nil"/>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73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restart"/>
            <w:tcBorders>
              <w:top w:val="single" w:color="auto" w:sz="4" w:space="0"/>
              <w:left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浮顶、内浮顶或</w:t>
            </w:r>
          </w:p>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丙</w:t>
            </w:r>
            <w:r>
              <w:rPr>
                <w:rFonts w:cs="Arial" w:asciiTheme="minorEastAsia" w:hAnsiTheme="minorEastAsia"/>
                <w:color w:val="000000"/>
                <w:sz w:val="18"/>
                <w:szCs w:val="18"/>
                <w:vertAlign w:val="subscript"/>
              </w:rPr>
              <w:t>A</w:t>
            </w:r>
            <w:r>
              <w:rPr>
                <w:rFonts w:hint="eastAsia" w:cs="Times New Roman" w:asciiTheme="minorEastAsia" w:hAnsiTheme="minorEastAsia"/>
                <w:color w:val="000000"/>
                <w:sz w:val="18"/>
                <w:szCs w:val="18"/>
              </w:rPr>
              <w:t>类固定顶</w:t>
            </w:r>
          </w:p>
        </w:tc>
        <w:tc>
          <w:tcPr>
            <w:tcW w:w="2520"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20000m</w:t>
            </w:r>
            <w:r>
              <w:rPr>
                <w:rFonts w:cs="Times New Roman" w:asciiTheme="minorEastAsia" w:hAnsiTheme="minorEastAsia"/>
                <w:color w:val="000000"/>
                <w:sz w:val="18"/>
                <w:szCs w:val="18"/>
                <w:vertAlign w:val="superscript"/>
              </w:rPr>
              <w:t>3</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725" w:type="dxa"/>
            <w:gridSpan w:val="9"/>
            <w:vMerge w:val="continue"/>
            <w:tcBorders>
              <w:top w:val="single" w:color="auto" w:sz="4" w:space="0"/>
              <w:left w:val="nil"/>
              <w:bottom w:val="single" w:color="auto" w:sz="4" w:space="0"/>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left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2520"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5000m</w:t>
            </w:r>
            <w:r>
              <w:rPr>
                <w:rFonts w:cs="Times New Roman" w:asciiTheme="minorEastAsia" w:hAnsiTheme="minorEastAsia"/>
                <w:color w:val="000000"/>
                <w:sz w:val="18"/>
                <w:szCs w:val="18"/>
                <w:vertAlign w:val="superscript"/>
              </w:rPr>
              <w:t>3</w:t>
            </w: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20000m</w:t>
            </w:r>
            <w:r>
              <w:rPr>
                <w:rFonts w:cs="Times New Roman" w:asciiTheme="minorEastAsia" w:hAnsiTheme="minorEastAsia"/>
                <w:color w:val="000000"/>
                <w:sz w:val="18"/>
                <w:szCs w:val="18"/>
                <w:vertAlign w:val="superscript"/>
              </w:rPr>
              <w:t>3</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725" w:type="dxa"/>
            <w:gridSpan w:val="9"/>
            <w:vMerge w:val="continue"/>
            <w:tcBorders>
              <w:top w:val="nil"/>
              <w:left w:val="single" w:color="auto" w:sz="4" w:space="0"/>
              <w:bottom w:val="single" w:color="auto" w:sz="4" w:space="0"/>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73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left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2520"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1000m</w:t>
            </w:r>
            <w:r>
              <w:rPr>
                <w:rFonts w:cs="Times New Roman" w:asciiTheme="minorEastAsia" w:hAnsiTheme="minorEastAsia"/>
                <w:color w:val="000000"/>
                <w:sz w:val="18"/>
                <w:szCs w:val="18"/>
                <w:vertAlign w:val="superscript"/>
              </w:rPr>
              <w:t>3</w:t>
            </w: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5000m</w:t>
            </w:r>
            <w:r>
              <w:rPr>
                <w:rFonts w:cs="Times New Roman" w:asciiTheme="minorEastAsia" w:hAnsiTheme="minorEastAsia"/>
                <w:color w:val="000000"/>
                <w:sz w:val="18"/>
                <w:szCs w:val="18"/>
                <w:vertAlign w:val="superscript"/>
              </w:rPr>
              <w:t>3</w:t>
            </w:r>
          </w:p>
        </w:tc>
        <w:tc>
          <w:tcPr>
            <w:tcW w:w="63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single" w:color="auto" w:sz="4" w:space="0"/>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725" w:type="dxa"/>
            <w:gridSpan w:val="9"/>
            <w:vMerge w:val="continue"/>
            <w:tcBorders>
              <w:top w:val="nil"/>
              <w:left w:val="single" w:color="auto" w:sz="4" w:space="0"/>
              <w:bottom w:val="single" w:color="auto" w:sz="4" w:space="0"/>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left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p>
        </w:tc>
        <w:tc>
          <w:tcPr>
            <w:tcW w:w="2520" w:type="dxa"/>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500m</w:t>
            </w:r>
            <w:r>
              <w:rPr>
                <w:rFonts w:cs="Times New Roman" w:asciiTheme="minorEastAsia" w:hAnsiTheme="minorEastAsia"/>
                <w:color w:val="000000"/>
                <w:sz w:val="18"/>
                <w:szCs w:val="18"/>
                <w:vertAlign w:val="superscript"/>
              </w:rPr>
              <w:t>3</w:t>
            </w: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1000m</w:t>
            </w:r>
            <w:r>
              <w:rPr>
                <w:rFonts w:cs="Times New Roman" w:asciiTheme="minorEastAsia" w:hAnsiTheme="minorEastAsia"/>
                <w:color w:val="000000"/>
                <w:sz w:val="18"/>
                <w:szCs w:val="18"/>
                <w:vertAlign w:val="superscript"/>
              </w:rPr>
              <w:t>3</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725" w:type="dxa"/>
            <w:gridSpan w:val="9"/>
            <w:vMerge w:val="continue"/>
            <w:tcBorders>
              <w:top w:val="nil"/>
              <w:left w:val="single" w:color="auto" w:sz="4" w:space="0"/>
              <w:bottom w:val="single" w:color="auto" w:sz="4" w:space="0"/>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31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17</w:t>
            </w:r>
          </w:p>
        </w:tc>
        <w:tc>
          <w:tcPr>
            <w:tcW w:w="73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50" w:hRule="atLeast"/>
        </w:trPr>
        <w:tc>
          <w:tcPr>
            <w:tcW w:w="1155" w:type="dxa"/>
            <w:vMerge w:val="continue"/>
            <w:tcBorders>
              <w:left w:val="single" w:color="auto" w:sz="4" w:space="0"/>
              <w:bottom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left w:val="single" w:color="auto" w:sz="4" w:space="0"/>
              <w:bottom w:val="nil"/>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2520" w:type="dxa"/>
            <w:tcBorders>
              <w:top w:val="single" w:color="000000"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500m</w:t>
            </w:r>
            <w:r>
              <w:rPr>
                <w:rFonts w:cs="Times New Roman" w:asciiTheme="minorEastAsia" w:hAnsiTheme="minorEastAsia"/>
                <w:color w:val="000000"/>
                <w:sz w:val="18"/>
                <w:szCs w:val="18"/>
                <w:vertAlign w:val="superscript"/>
              </w:rPr>
              <w:t>3</w:t>
            </w:r>
            <w:r>
              <w:rPr>
                <w:rFonts w:hint="eastAsia" w:cs="Times New Roman" w:asciiTheme="minorEastAsia" w:hAnsiTheme="minorEastAsia"/>
                <w:color w:val="000000"/>
                <w:sz w:val="18"/>
                <w:szCs w:val="18"/>
              </w:rPr>
              <w:t>或卧式罐</w:t>
            </w:r>
          </w:p>
        </w:tc>
        <w:tc>
          <w:tcPr>
            <w:tcW w:w="630"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nil"/>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single" w:color="auto" w:sz="4" w:space="0"/>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4725" w:type="dxa"/>
            <w:gridSpan w:val="9"/>
            <w:vMerge w:val="continue"/>
            <w:tcBorders>
              <w:top w:val="nil"/>
              <w:left w:val="single" w:color="auto" w:sz="4" w:space="0"/>
              <w:bottom w:val="nil"/>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420" w:type="dxa"/>
            <w:tcBorders>
              <w:top w:val="single" w:color="auto" w:sz="4" w:space="0"/>
              <w:left w:val="nil"/>
              <w:bottom w:val="single" w:color="FF0000" w:sz="12"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ind w:firstLine="90" w:firstLineChars="50"/>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4935" w:type="dxa"/>
            <w:gridSpan w:val="3"/>
            <w:tcBorders>
              <w:top w:val="single" w:color="auto" w:sz="4" w:space="0"/>
              <w:left w:val="single" w:color="auto" w:sz="4" w:space="0"/>
              <w:bottom w:val="single" w:color="auto" w:sz="4" w:space="0"/>
              <w:right w:val="nil"/>
            </w:tcBorders>
            <w:tcMar>
              <w:top w:w="20" w:type="dxa"/>
              <w:left w:w="20" w:type="dxa"/>
              <w:bottom w:w="0" w:type="dxa"/>
              <w:right w:w="20" w:type="dxa"/>
            </w:tcMar>
            <w:vAlign w:val="bottom"/>
          </w:tcPr>
          <w:p>
            <w:pPr>
              <w:spacing w:line="0" w:lineRule="atLeast"/>
              <w:ind w:firstLine="360" w:firstLineChars="200"/>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沸点低于</w:t>
            </w:r>
            <w:r>
              <w:rPr>
                <w:rFonts w:cs="Times New Roman" w:asciiTheme="minorEastAsia" w:hAnsiTheme="minorEastAsia"/>
                <w:color w:val="000000"/>
                <w:sz w:val="18"/>
                <w:szCs w:val="18"/>
              </w:rPr>
              <w:t>45℃</w:t>
            </w:r>
            <w:r>
              <w:rPr>
                <w:rFonts w:hint="eastAsia" w:cs="Times New Roman" w:asciiTheme="minorEastAsia" w:hAnsiTheme="minorEastAsia"/>
                <w:color w:val="000000"/>
                <w:sz w:val="18"/>
                <w:szCs w:val="18"/>
              </w:rPr>
              <w:t>的甲</w:t>
            </w:r>
            <w:r>
              <w:rPr>
                <w:rFonts w:cs="Arial" w:asciiTheme="minorEastAsia" w:hAnsiTheme="minorEastAsia"/>
                <w:color w:val="000000"/>
                <w:sz w:val="18"/>
                <w:szCs w:val="18"/>
                <w:vertAlign w:val="subscript"/>
              </w:rPr>
              <w:t>B</w:t>
            </w:r>
            <w:r>
              <w:rPr>
                <w:rFonts w:hint="eastAsia" w:cs="Times New Roman" w:asciiTheme="minorEastAsia" w:hAnsiTheme="minorEastAsia"/>
                <w:color w:val="000000"/>
                <w:sz w:val="18"/>
                <w:szCs w:val="18"/>
              </w:rPr>
              <w:t>类液体全压力储罐</w:t>
            </w:r>
          </w:p>
        </w:tc>
        <w:tc>
          <w:tcPr>
            <w:tcW w:w="63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bCs/>
                <w:color w:val="000000"/>
                <w:sz w:val="18"/>
                <w:szCs w:val="18"/>
              </w:rPr>
            </w:pPr>
            <w:r>
              <w:rPr>
                <w:rFonts w:cs="Times New Roman" w:asciiTheme="minorEastAsia" w:hAnsiTheme="minorEastAsia"/>
                <w:bCs/>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1995" w:type="dxa"/>
            <w:gridSpan w:val="4"/>
            <w:vMerge w:val="restart"/>
            <w:tcBorders>
              <w:top w:val="single" w:color="FF0000" w:sz="12" w:space="0"/>
              <w:left w:val="single" w:color="auto" w:sz="4" w:space="0"/>
              <w:bottom w:val="single" w:color="000000" w:sz="4" w:space="0"/>
              <w:right w:val="single" w:color="FF0000" w:sz="12"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见表</w:t>
            </w:r>
            <w:r>
              <w:rPr>
                <w:rFonts w:cs="Times New Roman" w:asciiTheme="minorEastAsia" w:hAnsiTheme="minorEastAsia"/>
                <w:color w:val="000000"/>
                <w:sz w:val="18"/>
                <w:szCs w:val="18"/>
              </w:rPr>
              <w:t>5.3.3</w:t>
            </w: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73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restart"/>
            <w:tcBorders>
              <w:top w:val="nil"/>
              <w:left w:val="single" w:color="auto" w:sz="4" w:space="0"/>
              <w:right w:val="single" w:color="auto" w:sz="6"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液化烃储罐</w:t>
            </w:r>
          </w:p>
        </w:tc>
        <w:tc>
          <w:tcPr>
            <w:tcW w:w="1260" w:type="dxa"/>
            <w:vMerge w:val="restart"/>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全压力和半冷冻式</w:t>
            </w:r>
          </w:p>
        </w:tc>
        <w:tc>
          <w:tcPr>
            <w:tcW w:w="2520"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1000m</w:t>
            </w:r>
            <w:r>
              <w:rPr>
                <w:rFonts w:cs="Times New Roman" w:asciiTheme="minorEastAsia" w:hAnsiTheme="minorEastAsia"/>
                <w:color w:val="000000"/>
                <w:sz w:val="18"/>
                <w:szCs w:val="18"/>
                <w:vertAlign w:val="superscript"/>
              </w:rPr>
              <w:t>3</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1995" w:type="dxa"/>
            <w:gridSpan w:val="4"/>
            <w:vMerge w:val="continue"/>
            <w:tcBorders>
              <w:top w:val="nil"/>
              <w:left w:val="single" w:color="auto" w:sz="4" w:space="0"/>
              <w:bottom w:val="nil"/>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single" w:color="auto" w:sz="6"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p>
        </w:tc>
        <w:tc>
          <w:tcPr>
            <w:tcW w:w="2520"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100m</w:t>
            </w:r>
            <w:r>
              <w:rPr>
                <w:rFonts w:cs="Times New Roman" w:asciiTheme="minorEastAsia" w:hAnsiTheme="minorEastAsia"/>
                <w:color w:val="000000"/>
                <w:sz w:val="18"/>
                <w:szCs w:val="18"/>
                <w:vertAlign w:val="superscript"/>
              </w:rPr>
              <w:t>3</w:t>
            </w: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1000m</w:t>
            </w:r>
            <w:r>
              <w:rPr>
                <w:rFonts w:cs="Times New Roman" w:asciiTheme="minorEastAsia" w:hAnsiTheme="minorEastAsia"/>
                <w:color w:val="000000"/>
                <w:sz w:val="18"/>
                <w:szCs w:val="18"/>
                <w:vertAlign w:val="superscript"/>
              </w:rPr>
              <w:t>3</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1995" w:type="dxa"/>
            <w:gridSpan w:val="4"/>
            <w:vMerge w:val="continue"/>
            <w:tcBorders>
              <w:top w:val="single" w:color="auto" w:sz="4" w:space="0"/>
              <w:left w:val="single" w:color="auto" w:sz="4" w:space="0"/>
              <w:bottom w:val="single" w:color="auto" w:sz="4" w:space="0"/>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31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73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single" w:color="auto" w:sz="6"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top w:val="single" w:color="auto" w:sz="6" w:space="0"/>
              <w:left w:val="single" w:color="auto" w:sz="6" w:space="0"/>
              <w:bottom w:val="single" w:color="auto" w:sz="6" w:space="0"/>
              <w:right w:val="single" w:color="auto" w:sz="6" w:space="0"/>
            </w:tcBorders>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u w:val="single"/>
              </w:rPr>
            </w:pPr>
          </w:p>
        </w:tc>
        <w:tc>
          <w:tcPr>
            <w:tcW w:w="2520"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100m</w:t>
            </w:r>
            <w:r>
              <w:rPr>
                <w:rFonts w:cs="Times New Roman" w:asciiTheme="minorEastAsia" w:hAnsiTheme="minorEastAsia"/>
                <w:color w:val="000000"/>
                <w:sz w:val="18"/>
                <w:szCs w:val="18"/>
                <w:vertAlign w:val="superscript"/>
              </w:rPr>
              <w:t>3</w:t>
            </w:r>
          </w:p>
        </w:tc>
        <w:tc>
          <w:tcPr>
            <w:tcW w:w="630"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nil"/>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single" w:color="auto" w:sz="4" w:space="0"/>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1995" w:type="dxa"/>
            <w:gridSpan w:val="4"/>
            <w:vMerge w:val="continue"/>
            <w:tcBorders>
              <w:top w:val="nil"/>
              <w:left w:val="single" w:color="auto" w:sz="4" w:space="0"/>
              <w:bottom w:val="single" w:color="auto" w:sz="4" w:space="0"/>
              <w:right w:val="single" w:color="FF0000" w:sz="12" w:space="0"/>
            </w:tcBorders>
            <w:vAlign w:val="center"/>
          </w:tcPr>
          <w:p>
            <w:pPr>
              <w:spacing w:line="0" w:lineRule="atLeast"/>
              <w:rPr>
                <w:rFonts w:cs="Times New Roman" w:asciiTheme="minorEastAsia" w:hAnsiTheme="minorEastAsia"/>
                <w:color w:val="000000"/>
                <w:sz w:val="18"/>
                <w:szCs w:val="18"/>
              </w:rPr>
            </w:pPr>
          </w:p>
        </w:tc>
        <w:tc>
          <w:tcPr>
            <w:tcW w:w="525" w:type="dxa"/>
            <w:tcBorders>
              <w:top w:val="single" w:color="auto" w:sz="4" w:space="0"/>
              <w:left w:val="single" w:color="FF0000" w:sz="12" w:space="0"/>
              <w:bottom w:val="single" w:color="FF0000" w:sz="12"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single" w:color="auto" w:sz="4" w:space="0"/>
              <w:bottom w:val="single" w:color="FF0000" w:sz="12" w:space="0"/>
              <w:right w:val="single" w:color="auto" w:sz="4" w:space="0"/>
            </w:tcBorders>
            <w:noWrap/>
            <w:tcMar>
              <w:top w:w="20" w:type="dxa"/>
              <w:left w:w="20" w:type="dxa"/>
              <w:bottom w:w="0" w:type="dxa"/>
              <w:right w:w="20" w:type="dxa"/>
            </w:tcMa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right w:val="single" w:color="auto" w:sz="6"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restart"/>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cs="Times New Roman" w:asciiTheme="minorEastAsia" w:hAnsiTheme="minorEastAsia"/>
                <w:color w:val="000000"/>
                <w:sz w:val="18"/>
                <w:szCs w:val="18"/>
                <w:u w:val="single"/>
              </w:rPr>
            </w:pPr>
            <w:r>
              <w:rPr>
                <w:rFonts w:cs="Times New Roman" w:asciiTheme="minorEastAsia" w:hAnsiTheme="minorEastAsia"/>
                <w:color w:val="000000"/>
                <w:sz w:val="18"/>
                <w:szCs w:val="18"/>
              </w:rPr>
              <w:t>全冷冻式</w:t>
            </w:r>
          </w:p>
        </w:tc>
        <w:tc>
          <w:tcPr>
            <w:tcW w:w="2520"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10000m</w:t>
            </w:r>
            <w:r>
              <w:rPr>
                <w:rFonts w:cs="Times New Roman" w:asciiTheme="minorEastAsia" w:hAnsiTheme="minorEastAsia"/>
                <w:color w:val="000000"/>
                <w:sz w:val="18"/>
                <w:szCs w:val="18"/>
                <w:vertAlign w:val="superscript"/>
              </w:rPr>
              <w:t>3</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1050" w:type="dxa"/>
            <w:gridSpan w:val="2"/>
            <w:vMerge w:val="restart"/>
            <w:tcBorders>
              <w:top w:val="single" w:color="FF0000" w:sz="12" w:space="0"/>
              <w:left w:val="single" w:color="auto" w:sz="4" w:space="0"/>
              <w:bottom w:val="single" w:color="000000" w:sz="4" w:space="0"/>
              <w:right w:val="single" w:color="FF0000" w:sz="12"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见表</w:t>
            </w:r>
            <w:r>
              <w:rPr>
                <w:rFonts w:cs="Times New Roman" w:asciiTheme="minorEastAsia" w:hAnsiTheme="minorEastAsia"/>
                <w:color w:val="000000"/>
                <w:sz w:val="18"/>
                <w:szCs w:val="18"/>
              </w:rPr>
              <w:t>5.3.3</w:t>
            </w:r>
          </w:p>
        </w:tc>
        <w:tc>
          <w:tcPr>
            <w:tcW w:w="5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vMerge w:val="continue"/>
            <w:tcBorders>
              <w:left w:val="single" w:color="auto" w:sz="4" w:space="0"/>
              <w:right w:val="single" w:color="auto" w:sz="4" w:space="0"/>
            </w:tcBorders>
            <w:vAlign w:val="center"/>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1155" w:type="dxa"/>
            <w:vMerge w:val="continue"/>
            <w:tcBorders>
              <w:left w:val="single" w:color="auto" w:sz="4" w:space="0"/>
              <w:bottom w:val="nil"/>
              <w:right w:val="single" w:color="auto" w:sz="6"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1260" w:type="dxa"/>
            <w:vMerge w:val="continue"/>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c>
          <w:tcPr>
            <w:tcW w:w="2520"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10000m</w:t>
            </w:r>
            <w:r>
              <w:rPr>
                <w:rFonts w:cs="Times New Roman" w:asciiTheme="minorEastAsia" w:hAnsiTheme="minorEastAsia"/>
                <w:color w:val="000000"/>
                <w:sz w:val="18"/>
                <w:szCs w:val="18"/>
                <w:vertAlign w:val="superscript"/>
              </w:rPr>
              <w:t>3</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1050" w:type="dxa"/>
            <w:gridSpan w:val="2"/>
            <w:vMerge w:val="continue"/>
            <w:tcBorders>
              <w:top w:val="nil"/>
              <w:left w:val="nil"/>
              <w:bottom w:val="single" w:color="auto" w:sz="4" w:space="0"/>
              <w:right w:val="single" w:color="FF0000" w:sz="12" w:space="0"/>
            </w:tcBorders>
            <w:vAlign w:val="center"/>
          </w:tcPr>
          <w:p>
            <w:pPr>
              <w:spacing w:line="0" w:lineRule="atLeast"/>
              <w:rPr>
                <w:rFonts w:cs="Times New Roman" w:asciiTheme="minorEastAsia" w:hAnsiTheme="minorEastAsia"/>
                <w:color w:val="000000"/>
                <w:sz w:val="18"/>
                <w:szCs w:val="18"/>
                <w:u w:val="single"/>
              </w:rPr>
            </w:pP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vMerge w:val="continue"/>
            <w:tcBorders>
              <w:left w:val="nil"/>
              <w:bottom w:val="nil"/>
              <w:right w:val="single" w:color="auto" w:sz="4" w:space="0"/>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2415" w:type="dxa"/>
            <w:gridSpan w:val="2"/>
            <w:tcBorders>
              <w:top w:val="single" w:color="auto" w:sz="4" w:space="0"/>
              <w:left w:val="single" w:color="auto" w:sz="4" w:space="0"/>
              <w:bottom w:val="single" w:color="auto" w:sz="4" w:space="0"/>
              <w:right w:val="nil"/>
            </w:tcBorders>
            <w:noWrap/>
            <w:tcMar>
              <w:top w:w="20" w:type="dxa"/>
              <w:left w:w="20" w:type="dxa"/>
              <w:bottom w:w="0" w:type="dxa"/>
              <w:right w:w="20" w:type="dxa"/>
            </w:tcMar>
            <w:vAlign w:val="center"/>
          </w:tcPr>
          <w:p>
            <w:pPr>
              <w:spacing w:line="0" w:lineRule="atLeast"/>
              <w:ind w:firstLine="180" w:firstLineChars="100"/>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可燃气体储罐</w:t>
            </w:r>
          </w:p>
        </w:tc>
        <w:tc>
          <w:tcPr>
            <w:tcW w:w="2520"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1000m</w:t>
            </w:r>
            <w:r>
              <w:rPr>
                <w:rFonts w:cs="Times New Roman" w:asciiTheme="minorEastAsia" w:hAnsiTheme="minorEastAsia"/>
                <w:color w:val="000000"/>
                <w:sz w:val="18"/>
                <w:szCs w:val="18"/>
                <w:vertAlign w:val="superscript"/>
              </w:rPr>
              <w:t>3</w:t>
            </w:r>
            <w:r>
              <w:rPr>
                <w:rFonts w:hint="eastAsia" w:cs="Times New Roman" w:asciiTheme="minorEastAsia" w:hAnsiTheme="minorEastAsia"/>
                <w:color w:val="000000"/>
                <w:sz w:val="18"/>
                <w:szCs w:val="18"/>
              </w:rPr>
              <w:t>～</w:t>
            </w:r>
            <w:r>
              <w:rPr>
                <w:rFonts w:cs="Times New Roman" w:asciiTheme="minorEastAsia" w:hAnsiTheme="minorEastAsia"/>
                <w:color w:val="000000"/>
                <w:sz w:val="18"/>
                <w:szCs w:val="18"/>
              </w:rPr>
              <w:t>50000m</w:t>
            </w:r>
            <w:r>
              <w:rPr>
                <w:rFonts w:cs="Times New Roman" w:asciiTheme="minorEastAsia" w:hAnsiTheme="minorEastAsia"/>
                <w:color w:val="000000"/>
                <w:sz w:val="18"/>
                <w:szCs w:val="18"/>
                <w:vertAlign w:val="superscript"/>
              </w:rPr>
              <w:t>3</w:t>
            </w:r>
          </w:p>
        </w:tc>
        <w:tc>
          <w:tcPr>
            <w:tcW w:w="63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见表</w:t>
            </w:r>
          </w:p>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5.3.3</w:t>
            </w:r>
          </w:p>
        </w:tc>
        <w:tc>
          <w:tcPr>
            <w:tcW w:w="315" w:type="dxa"/>
            <w:tcBorders>
              <w:top w:val="single" w:color="auto" w:sz="4" w:space="0"/>
              <w:left w:val="single" w:color="FF0000" w:sz="12" w:space="0"/>
              <w:bottom w:val="single" w:color="FF0000" w:sz="12" w:space="0"/>
              <w:right w:val="single" w:color="000000" w:sz="4" w:space="0"/>
            </w:tcBorders>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6、2</w:t>
            </w:r>
          </w:p>
        </w:tc>
      </w:tr>
      <w:tr>
        <w:tblPrEx>
          <w:tblCellMar>
            <w:top w:w="0" w:type="dxa"/>
            <w:left w:w="0" w:type="dxa"/>
            <w:bottom w:w="0" w:type="dxa"/>
            <w:right w:w="0" w:type="dxa"/>
          </w:tblCellMar>
        </w:tblPrEx>
        <w:trPr>
          <w:cantSplit/>
          <w:trHeight w:val="20" w:hRule="atLeast"/>
        </w:trPr>
        <w:tc>
          <w:tcPr>
            <w:tcW w:w="2415" w:type="dxa"/>
            <w:gridSpan w:val="2"/>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液化烃及甲</w:t>
            </w:r>
            <w:r>
              <w:rPr>
                <w:rFonts w:cs="Arial" w:asciiTheme="minorEastAsia" w:hAnsiTheme="minorEastAsia"/>
                <w:color w:val="000000"/>
                <w:sz w:val="18"/>
                <w:szCs w:val="18"/>
                <w:vertAlign w:val="subscript"/>
              </w:rPr>
              <w:t>B</w:t>
            </w:r>
            <w:r>
              <w:rPr>
                <w:rFonts w:hint="eastAsia" w:cs="Times New Roman" w:asciiTheme="minorEastAsia" w:hAnsiTheme="minorEastAsia"/>
                <w:color w:val="000000"/>
                <w:sz w:val="18"/>
                <w:szCs w:val="18"/>
              </w:rPr>
              <w:t>、乙类液体</w:t>
            </w:r>
          </w:p>
        </w:tc>
        <w:tc>
          <w:tcPr>
            <w:tcW w:w="2520" w:type="dxa"/>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码头装卸区</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31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w:t>
            </w:r>
          </w:p>
        </w:tc>
        <w:tc>
          <w:tcPr>
            <w:tcW w:w="420" w:type="dxa"/>
            <w:tcBorders>
              <w:top w:val="single" w:color="auto" w:sz="4" w:space="0"/>
              <w:left w:val="single" w:color="FF0000" w:sz="12" w:space="0"/>
              <w:bottom w:val="single" w:color="FF0000" w:sz="12"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73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vMerge w:val="restart"/>
            <w:tcBorders>
              <w:top w:val="nil"/>
              <w:left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7、2</w:t>
            </w:r>
          </w:p>
        </w:tc>
      </w:tr>
      <w:tr>
        <w:tblPrEx>
          <w:tblCellMar>
            <w:top w:w="0" w:type="dxa"/>
            <w:left w:w="0" w:type="dxa"/>
            <w:bottom w:w="0" w:type="dxa"/>
            <w:right w:w="0" w:type="dxa"/>
          </w:tblCellMar>
        </w:tblPrEx>
        <w:trPr>
          <w:cantSplit/>
          <w:trHeight w:val="20" w:hRule="atLeast"/>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2520" w:type="dxa"/>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汽车装卸站</w:t>
            </w:r>
          </w:p>
        </w:tc>
        <w:tc>
          <w:tcPr>
            <w:tcW w:w="63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single" w:color="auto" w:sz="4" w:space="0"/>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31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2520" w:type="dxa"/>
            <w:tcBorders>
              <w:top w:val="nil"/>
              <w:left w:val="single" w:color="auto" w:sz="4" w:space="0"/>
              <w:bottom w:val="single" w:color="auto" w:sz="4" w:space="0"/>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铁路装卸设施、槽车洗罐站</w:t>
            </w:r>
          </w:p>
        </w:tc>
        <w:tc>
          <w:tcPr>
            <w:tcW w:w="63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420" w:type="dxa"/>
            <w:tcBorders>
              <w:top w:val="single" w:color="auto" w:sz="4" w:space="0"/>
              <w:left w:val="single" w:color="FF0000" w:sz="12" w:space="0"/>
              <w:bottom w:val="single" w:color="FF0000" w:sz="12"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73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15(10)</w:t>
            </w: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2415" w:type="dxa"/>
            <w:gridSpan w:val="2"/>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灌装站</w:t>
            </w:r>
          </w:p>
        </w:tc>
        <w:tc>
          <w:tcPr>
            <w:tcW w:w="2520" w:type="dxa"/>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液化烃</w:t>
            </w:r>
          </w:p>
        </w:tc>
        <w:tc>
          <w:tcPr>
            <w:tcW w:w="63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single" w:color="auto" w:sz="4" w:space="0"/>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17</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55</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31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w:t>
            </w:r>
          </w:p>
        </w:tc>
        <w:tc>
          <w:tcPr>
            <w:tcW w:w="73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p>
        </w:tc>
      </w:tr>
      <w:tr>
        <w:tblPrEx>
          <w:tblCellMar>
            <w:top w:w="0" w:type="dxa"/>
            <w:left w:w="0" w:type="dxa"/>
            <w:bottom w:w="0" w:type="dxa"/>
            <w:right w:w="0" w:type="dxa"/>
          </w:tblCellMar>
        </w:tblPrEx>
        <w:trPr>
          <w:cantSplit/>
          <w:trHeight w:val="20" w:hRule="atLeast"/>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cs="Times New Roman" w:asciiTheme="minorEastAsia" w:hAnsiTheme="minorEastAsia"/>
                <w:color w:val="000000"/>
                <w:sz w:val="18"/>
                <w:szCs w:val="18"/>
              </w:rPr>
            </w:pPr>
          </w:p>
        </w:tc>
        <w:tc>
          <w:tcPr>
            <w:tcW w:w="2520" w:type="dxa"/>
            <w:tcBorders>
              <w:top w:val="single" w:color="auto" w:sz="4" w:space="0"/>
              <w:left w:val="single" w:color="auto" w:sz="4" w:space="0"/>
              <w:bottom w:val="single" w:color="auto" w:sz="4" w:space="0"/>
              <w:right w:val="nil"/>
            </w:tcBorders>
            <w:noWrap/>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甲</w:t>
            </w:r>
            <w:r>
              <w:rPr>
                <w:rFonts w:cs="Arial" w:asciiTheme="minorEastAsia" w:hAnsiTheme="minorEastAsia"/>
                <w:color w:val="000000"/>
                <w:sz w:val="18"/>
                <w:szCs w:val="18"/>
                <w:vertAlign w:val="subscript"/>
              </w:rPr>
              <w:t>B</w:t>
            </w:r>
            <w:r>
              <w:rPr>
                <w:rFonts w:hint="eastAsia" w:cs="Times New Roman" w:asciiTheme="minorEastAsia" w:hAnsiTheme="minorEastAsia"/>
                <w:color w:val="000000"/>
                <w:sz w:val="18"/>
                <w:szCs w:val="18"/>
              </w:rPr>
              <w:t>、乙类液体及可燃与助燃气体</w:t>
            </w:r>
          </w:p>
        </w:tc>
        <w:tc>
          <w:tcPr>
            <w:tcW w:w="63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73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vMerge w:val="continue"/>
            <w:tcBorders>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p>
        </w:tc>
      </w:tr>
      <w:tr>
        <w:tblPrEx>
          <w:tblCellMar>
            <w:top w:w="0" w:type="dxa"/>
            <w:left w:w="0" w:type="dxa"/>
            <w:bottom w:w="0" w:type="dxa"/>
            <w:right w:w="0" w:type="dxa"/>
          </w:tblCellMar>
        </w:tblPrEx>
        <w:trPr>
          <w:trHeight w:val="20" w:hRule="atLeast"/>
        </w:trPr>
        <w:tc>
          <w:tcPr>
            <w:tcW w:w="4935"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甲类物品仓库（库棚）</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nil"/>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70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840"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8、2</w:t>
            </w:r>
          </w:p>
        </w:tc>
      </w:tr>
      <w:tr>
        <w:tblPrEx>
          <w:tblCellMar>
            <w:top w:w="0" w:type="dxa"/>
            <w:left w:w="0" w:type="dxa"/>
            <w:bottom w:w="0" w:type="dxa"/>
            <w:right w:w="0" w:type="dxa"/>
          </w:tblCellMar>
        </w:tblPrEx>
        <w:trPr>
          <w:trHeight w:val="20" w:hRule="atLeast"/>
        </w:trPr>
        <w:tc>
          <w:tcPr>
            <w:tcW w:w="4935" w:type="dxa"/>
            <w:gridSpan w:val="3"/>
            <w:tcBorders>
              <w:top w:val="single" w:color="auto" w:sz="4" w:space="0"/>
              <w:left w:val="single" w:color="auto" w:sz="4" w:space="0"/>
              <w:bottom w:val="single" w:color="auto" w:sz="4" w:space="0"/>
              <w:right w:val="nil"/>
            </w:tcBorders>
            <w:tcMar>
              <w:top w:w="20" w:type="dxa"/>
              <w:left w:w="20" w:type="dxa"/>
              <w:bottom w:w="0" w:type="dxa"/>
              <w:right w:w="20" w:type="dxa"/>
            </w:tcMar>
            <w:vAlign w:val="bottom"/>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罐区甲、乙类泵</w:t>
            </w:r>
            <w:r>
              <w:rPr>
                <w:rFonts w:cs="Times New Roman" w:asciiTheme="minorEastAsia" w:hAnsiTheme="minorEastAsia"/>
                <w:color w:val="000000"/>
                <w:sz w:val="18"/>
                <w:szCs w:val="18"/>
              </w:rPr>
              <w:t>(房)</w:t>
            </w:r>
            <w:r>
              <w:rPr>
                <w:rFonts w:hint="eastAsia" w:cs="Times New Roman" w:asciiTheme="minorEastAsia" w:hAnsiTheme="minorEastAsia"/>
                <w:color w:val="000000"/>
                <w:sz w:val="18"/>
                <w:szCs w:val="18"/>
              </w:rPr>
              <w:t>、全冷冻式液化烃储存的压缩机（包括添加剂设施及其专用变配电室、控制室）</w:t>
            </w:r>
          </w:p>
        </w:tc>
        <w:tc>
          <w:tcPr>
            <w:tcW w:w="630"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8</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31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73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840" w:type="dxa"/>
            <w:tcBorders>
              <w:top w:val="nil"/>
              <w:left w:val="nil"/>
              <w:bottom w:val="nil"/>
              <w:right w:val="single" w:color="FF0000" w:sz="12"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w:t>
            </w: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9、2</w:t>
            </w:r>
          </w:p>
        </w:tc>
      </w:tr>
      <w:tr>
        <w:tblPrEx>
          <w:tblCellMar>
            <w:top w:w="0" w:type="dxa"/>
            <w:left w:w="0" w:type="dxa"/>
            <w:bottom w:w="0" w:type="dxa"/>
            <w:right w:w="0" w:type="dxa"/>
          </w:tblCellMar>
        </w:tblPrEx>
        <w:trPr>
          <w:trHeight w:val="20" w:hRule="atLeast"/>
        </w:trPr>
        <w:tc>
          <w:tcPr>
            <w:tcW w:w="4935"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污水处理场（隔油池、污油罐）</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bCs/>
                <w:color w:val="000000"/>
                <w:sz w:val="18"/>
                <w:szCs w:val="18"/>
              </w:rPr>
            </w:pPr>
            <w:r>
              <w:rPr>
                <w:rFonts w:cs="Times New Roman" w:asciiTheme="minorEastAsia" w:hAnsiTheme="minorEastAsia"/>
                <w:bCs/>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73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single" w:color="FF0000" w:sz="12" w:space="0"/>
              <w:left w:val="nil"/>
              <w:bottom w:val="nil"/>
              <w:right w:val="single" w:color="FF0000" w:sz="12"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630"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10、2</w:t>
            </w:r>
          </w:p>
        </w:tc>
      </w:tr>
      <w:tr>
        <w:tblPrEx>
          <w:tblCellMar>
            <w:top w:w="0" w:type="dxa"/>
            <w:left w:w="0" w:type="dxa"/>
            <w:bottom w:w="0" w:type="dxa"/>
            <w:right w:w="0" w:type="dxa"/>
          </w:tblCellMar>
        </w:tblPrEx>
        <w:trPr>
          <w:trHeight w:val="20" w:hRule="atLeast"/>
        </w:trPr>
        <w:tc>
          <w:tcPr>
            <w:tcW w:w="4935" w:type="dxa"/>
            <w:gridSpan w:val="3"/>
            <w:tcBorders>
              <w:top w:val="single" w:color="auto" w:sz="4" w:space="0"/>
              <w:left w:val="single" w:color="auto" w:sz="4" w:space="0"/>
              <w:bottom w:val="single" w:color="auto" w:sz="4" w:space="0"/>
              <w:right w:val="nil"/>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铁路走行线（中心线）、原料及产品运输道路（路面边）</w:t>
            </w:r>
          </w:p>
        </w:tc>
        <w:tc>
          <w:tcPr>
            <w:tcW w:w="630"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12</w:t>
            </w:r>
          </w:p>
        </w:tc>
        <w:tc>
          <w:tcPr>
            <w:tcW w:w="5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r>
              <w:rPr>
                <w:rFonts w:cs="Times New Roman" w:asciiTheme="minorEastAsia" w:hAnsiTheme="minorEastAsia"/>
                <w:color w:val="000000"/>
                <w:sz w:val="18"/>
                <w:szCs w:val="18"/>
              </w:rPr>
              <w:br w:type="textWrapping"/>
            </w:r>
            <w:r>
              <w:rPr>
                <w:rFonts w:cs="Times New Roman" w:asciiTheme="minorEastAsia" w:hAnsiTheme="minorEastAsia"/>
                <w:color w:val="000000"/>
                <w:sz w:val="18"/>
                <w:szCs w:val="18"/>
              </w:rPr>
              <w:t>(10)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10</w:t>
            </w:r>
          </w:p>
        </w:tc>
        <w:tc>
          <w:tcPr>
            <w:tcW w:w="630" w:type="dxa"/>
            <w:tcBorders>
              <w:top w:val="single" w:color="FF0000" w:sz="12"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注</w:t>
            </w:r>
            <w:r>
              <w:rPr>
                <w:rFonts w:cs="Times New Roman" w:asciiTheme="minorEastAsia" w:hAnsiTheme="minorEastAsia"/>
                <w:color w:val="000000"/>
                <w:sz w:val="18"/>
                <w:szCs w:val="18"/>
              </w:rPr>
              <w:t>11</w:t>
            </w:r>
          </w:p>
        </w:tc>
      </w:tr>
      <w:tr>
        <w:tblPrEx>
          <w:tblCellMar>
            <w:top w:w="0" w:type="dxa"/>
            <w:left w:w="0" w:type="dxa"/>
            <w:bottom w:w="0" w:type="dxa"/>
            <w:right w:w="0" w:type="dxa"/>
          </w:tblCellMar>
        </w:tblPrEx>
        <w:trPr>
          <w:trHeight w:val="20" w:hRule="atLeast"/>
        </w:trPr>
        <w:tc>
          <w:tcPr>
            <w:tcW w:w="4935"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可能携带可燃液体的高架火炬</w:t>
            </w:r>
          </w:p>
        </w:tc>
        <w:tc>
          <w:tcPr>
            <w:tcW w:w="63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42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42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420" w:type="dxa"/>
            <w:tcBorders>
              <w:top w:val="nil"/>
              <w:left w:val="nil"/>
              <w:bottom w:val="nil"/>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90</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50</w:t>
            </w:r>
          </w:p>
        </w:tc>
        <w:tc>
          <w:tcPr>
            <w:tcW w:w="63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p>
        </w:tc>
      </w:tr>
      <w:tr>
        <w:tblPrEx>
          <w:tblCellMar>
            <w:top w:w="0" w:type="dxa"/>
            <w:left w:w="0" w:type="dxa"/>
            <w:bottom w:w="0" w:type="dxa"/>
            <w:right w:w="0" w:type="dxa"/>
          </w:tblCellMar>
        </w:tblPrEx>
        <w:trPr>
          <w:trHeight w:val="20" w:hRule="atLeast"/>
        </w:trPr>
        <w:tc>
          <w:tcPr>
            <w:tcW w:w="4935"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厂区围墙（中心线）或用地边界线</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30</w:t>
            </w:r>
          </w:p>
        </w:tc>
        <w:tc>
          <w:tcPr>
            <w:tcW w:w="73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w:t>
            </w:r>
          </w:p>
        </w:tc>
        <w:tc>
          <w:tcPr>
            <w:tcW w:w="63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cs="Times New Roman" w:asciiTheme="minorEastAsia" w:hAnsiTheme="minorEastAsia"/>
                <w:color w:val="000000"/>
                <w:sz w:val="18"/>
                <w:szCs w:val="18"/>
              </w:rPr>
            </w:pPr>
          </w:p>
        </w:tc>
      </w:tr>
    </w:tbl>
    <w:p>
      <w:pPr>
        <w:rPr>
          <w:rFonts w:ascii="黑体" w:hAnsi="黑体" w:eastAsia="黑体"/>
          <w:color w:val="000000" w:themeColor="text1"/>
          <w:sz w:val="30"/>
          <w:szCs w:val="30"/>
          <w:highlight w:val="yellow"/>
          <w14:textFill>
            <w14:solidFill>
              <w14:schemeClr w14:val="tx1"/>
            </w14:solidFill>
          </w14:textFill>
        </w:rPr>
        <w:sectPr>
          <w:headerReference r:id="rId14" w:type="default"/>
          <w:headerReference r:id="rId15" w:type="even"/>
          <w:pgSz w:w="23811" w:h="16838" w:orient="landscape"/>
          <w:pgMar w:top="1134" w:right="1134" w:bottom="1134" w:left="1134" w:header="851" w:footer="992" w:gutter="0"/>
          <w:cols w:space="425" w:num="1"/>
          <w:docGrid w:type="lines" w:linePitch="312" w:charSpace="0"/>
        </w:sectPr>
      </w:pPr>
    </w:p>
    <w:p>
      <w:pPr>
        <w:spacing w:line="276" w:lineRule="auto"/>
        <w:ind w:left="1155" w:leftChars="200" w:hanging="735" w:hangingChars="350"/>
        <w:jc w:val="left"/>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注：</w:t>
      </w:r>
      <w:r>
        <w:rPr>
          <w:rFonts w:asciiTheme="minorEastAsia" w:hAnsiTheme="minorEastAsia"/>
          <w:szCs w:val="21"/>
        </w:rPr>
        <w:t xml:space="preserve">1  </w:t>
      </w:r>
      <w:r>
        <w:rPr>
          <w:rFonts w:hint="eastAsia" w:cs="Times New Roman" w:asciiTheme="minorEastAsia" w:hAnsiTheme="minorEastAsia"/>
          <w:color w:val="000000"/>
          <w:szCs w:val="21"/>
        </w:rPr>
        <w:t>生产装置（单元）中符号“</w:t>
      </w:r>
      <w:r>
        <w:rPr>
          <w:rFonts w:cs="Times New Roman" w:asciiTheme="minorEastAsia" w:hAnsiTheme="minorEastAsia"/>
          <w:color w:val="000000"/>
          <w:szCs w:val="21"/>
        </w:rPr>
        <w:t>/”</w:t>
      </w:r>
      <w:r>
        <w:rPr>
          <w:rFonts w:hint="eastAsia" w:cs="Times New Roman" w:asciiTheme="minorEastAsia" w:hAnsiTheme="minorEastAsia"/>
          <w:color w:val="000000"/>
          <w:szCs w:val="21"/>
        </w:rPr>
        <w:t>的左边数字</w:t>
      </w:r>
      <w:r>
        <w:rPr>
          <w:rFonts w:hint="eastAsia" w:asciiTheme="minorEastAsia" w:hAnsiTheme="minorEastAsia"/>
          <w:szCs w:val="21"/>
        </w:rPr>
        <w:t>适用于石油化工装置，右边数字适用于炼油装置。</w:t>
      </w:r>
    </w:p>
    <w:p>
      <w:pPr>
        <w:spacing w:line="276" w:lineRule="auto"/>
        <w:ind w:left="1155" w:leftChars="400" w:hanging="315" w:hangingChars="150"/>
        <w:jc w:val="left"/>
        <w:rPr>
          <w:rFonts w:asciiTheme="minorEastAsia" w:hAnsiTheme="minorEastAsia"/>
          <w:szCs w:val="21"/>
        </w:rPr>
      </w:pPr>
      <w:r>
        <w:rPr>
          <w:rFonts w:asciiTheme="minorEastAsia" w:hAnsiTheme="minorEastAsia"/>
          <w:szCs w:val="21"/>
        </w:rPr>
        <w:t xml:space="preserve">2  </w:t>
      </w:r>
      <w:r>
        <w:rPr>
          <w:rFonts w:hint="eastAsia" w:asciiTheme="minorEastAsia" w:hAnsiTheme="minorEastAsia"/>
          <w:szCs w:val="21"/>
        </w:rPr>
        <w:t>生产装置或可能散发可燃气体的设施与生产装置明火加热炉的防火间距应按明火地点的防火间距确定；</w:t>
      </w:r>
    </w:p>
    <w:p>
      <w:pPr>
        <w:spacing w:line="276" w:lineRule="auto"/>
        <w:ind w:left="1155" w:leftChars="400" w:hanging="315" w:hangingChars="150"/>
        <w:jc w:val="left"/>
        <w:rPr>
          <w:rFonts w:asciiTheme="minorEastAsia" w:hAnsiTheme="minorEastAsia"/>
          <w:szCs w:val="21"/>
        </w:rPr>
      </w:pPr>
      <w:r>
        <w:rPr>
          <w:rFonts w:asciiTheme="minorEastAsia" w:hAnsiTheme="minorEastAsia"/>
          <w:szCs w:val="21"/>
        </w:rPr>
        <w:t xml:space="preserve">3  </w:t>
      </w:r>
      <w:r>
        <w:rPr>
          <w:rFonts w:hint="eastAsia" w:asciiTheme="minorEastAsia" w:hAnsiTheme="minorEastAsia"/>
          <w:szCs w:val="21"/>
        </w:rPr>
        <w:t>全厂性消防站、全厂性消防水泵房与甲类生产装置的防火间距不应小于</w:t>
      </w:r>
      <w:r>
        <w:rPr>
          <w:rFonts w:asciiTheme="minorEastAsia" w:hAnsiTheme="minorEastAsia"/>
          <w:szCs w:val="21"/>
        </w:rPr>
        <w:t xml:space="preserve">50m。 </w:t>
      </w:r>
      <w:r>
        <w:rPr>
          <w:rFonts w:hint="eastAsia" w:asciiTheme="minorEastAsia" w:hAnsiTheme="minorEastAsia"/>
          <w:szCs w:val="21"/>
        </w:rPr>
        <w:t>区域性重要设施与相邻设施的防火间距，不应小于全厂性重要设施规定的</w:t>
      </w:r>
      <w:r>
        <w:rPr>
          <w:rFonts w:asciiTheme="minorEastAsia" w:hAnsiTheme="minorEastAsia"/>
          <w:szCs w:val="21"/>
        </w:rPr>
        <w:t>75％（火炬除外）；</w:t>
      </w:r>
    </w:p>
    <w:p>
      <w:pPr>
        <w:spacing w:line="276" w:lineRule="auto"/>
        <w:ind w:left="1155" w:leftChars="400" w:hanging="315" w:hangingChars="150"/>
        <w:jc w:val="left"/>
        <w:rPr>
          <w:rFonts w:asciiTheme="minorEastAsia" w:hAnsiTheme="minorEastAsia"/>
          <w:szCs w:val="21"/>
        </w:rPr>
      </w:pPr>
      <w:r>
        <w:rPr>
          <w:rFonts w:asciiTheme="minorEastAsia" w:hAnsiTheme="minorEastAsia"/>
          <w:szCs w:val="21"/>
        </w:rPr>
        <w:t xml:space="preserve">4  </w:t>
      </w:r>
      <w:r>
        <w:rPr>
          <w:rFonts w:hint="eastAsia" w:asciiTheme="minorEastAsia" w:hAnsiTheme="minorEastAsia"/>
          <w:szCs w:val="21"/>
        </w:rPr>
        <w:t>散发火花地点的防火间距，不应小于明火地点规定的</w:t>
      </w:r>
      <w:r>
        <w:rPr>
          <w:rFonts w:asciiTheme="minorEastAsia" w:hAnsiTheme="minorEastAsia"/>
          <w:szCs w:val="21"/>
        </w:rPr>
        <w:t>50％（火炬除外）。散发火花地点应布置在火灾爆炸危险区域之外；</w:t>
      </w:r>
    </w:p>
    <w:p>
      <w:pPr>
        <w:spacing w:line="276" w:lineRule="auto"/>
        <w:ind w:left="1155" w:leftChars="400" w:hanging="315" w:hangingChars="150"/>
        <w:jc w:val="left"/>
        <w:rPr>
          <w:rFonts w:asciiTheme="minorEastAsia" w:hAnsiTheme="minorEastAsia"/>
          <w:szCs w:val="21"/>
        </w:rPr>
      </w:pPr>
      <w:r>
        <w:rPr>
          <w:rFonts w:asciiTheme="minorEastAsia" w:hAnsiTheme="minorEastAsia"/>
          <w:szCs w:val="21"/>
        </w:rPr>
        <w:t xml:space="preserve">5  </w:t>
      </w:r>
      <w:r>
        <w:rPr>
          <w:rFonts w:hint="eastAsia" w:asciiTheme="minorEastAsia" w:hAnsiTheme="minorEastAsia"/>
          <w:szCs w:val="21"/>
        </w:rPr>
        <w:t>罐组与其他设施的防火间距按相邻最大罐容积确定；埋地储罐与其他设施的防火间距不应小于该规定的</w:t>
      </w:r>
      <w:r>
        <w:rPr>
          <w:rFonts w:asciiTheme="minorEastAsia" w:hAnsiTheme="minorEastAsia"/>
          <w:szCs w:val="21"/>
        </w:rPr>
        <w:t>50</w:t>
      </w:r>
      <w:r>
        <w:rPr>
          <w:rFonts w:hint="eastAsia" w:asciiTheme="minorEastAsia" w:hAnsiTheme="minorEastAsia"/>
          <w:szCs w:val="21"/>
        </w:rPr>
        <w:t>％（火炬除外）。当固定顶可燃液体罐采用氮气密封时，其与相邻设施的防火间距可按浮顶、内浮顶罐处理；</w:t>
      </w:r>
      <w:r>
        <w:rPr>
          <w:rFonts w:asciiTheme="minorEastAsia" w:hAnsiTheme="minorEastAsia"/>
          <w:szCs w:val="21"/>
        </w:rPr>
        <w:br w:type="textWrapping"/>
      </w:r>
      <w:r>
        <w:rPr>
          <w:rFonts w:hint="eastAsia" w:asciiTheme="minorEastAsia" w:hAnsiTheme="minorEastAsia"/>
          <w:szCs w:val="21"/>
        </w:rPr>
        <w:t>丙</w:t>
      </w:r>
      <w:r>
        <w:rPr>
          <w:rFonts w:hint="eastAsia" w:asciiTheme="minorEastAsia" w:hAnsiTheme="minorEastAsia"/>
          <w:szCs w:val="21"/>
          <w:vertAlign w:val="subscript"/>
        </w:rPr>
        <w:t>Ｂ</w:t>
      </w:r>
      <w:r>
        <w:rPr>
          <w:rFonts w:asciiTheme="minorEastAsia" w:hAnsiTheme="minorEastAsia"/>
          <w:szCs w:val="21"/>
        </w:rPr>
        <w:t>类固定顶罐与其他设施的防火间距不应小于丙</w:t>
      </w:r>
      <w:r>
        <w:rPr>
          <w:rFonts w:hint="eastAsia" w:asciiTheme="minorEastAsia" w:hAnsiTheme="minorEastAsia"/>
          <w:szCs w:val="21"/>
          <w:vertAlign w:val="subscript"/>
        </w:rPr>
        <w:t>Ａ</w:t>
      </w:r>
      <w:r>
        <w:rPr>
          <w:rFonts w:asciiTheme="minorEastAsia" w:hAnsiTheme="minorEastAsia"/>
          <w:szCs w:val="21"/>
        </w:rPr>
        <w:t>类固定顶罐规定的75</w:t>
      </w:r>
      <w:r>
        <w:rPr>
          <w:rFonts w:hint="eastAsia" w:asciiTheme="minorEastAsia" w:hAnsiTheme="minorEastAsia"/>
          <w:szCs w:val="21"/>
        </w:rPr>
        <w:t>％（火炬除外）；</w:t>
      </w:r>
    </w:p>
    <w:p>
      <w:pPr>
        <w:spacing w:line="276" w:lineRule="auto"/>
        <w:ind w:left="1155" w:leftChars="400" w:hanging="315" w:hangingChars="150"/>
        <w:jc w:val="left"/>
        <w:rPr>
          <w:rFonts w:asciiTheme="minorEastAsia" w:hAnsiTheme="minorEastAsia"/>
          <w:szCs w:val="21"/>
        </w:rPr>
      </w:pPr>
      <w:r>
        <w:rPr>
          <w:rFonts w:asciiTheme="minorEastAsia" w:hAnsiTheme="minorEastAsia"/>
          <w:szCs w:val="21"/>
        </w:rPr>
        <w:t xml:space="preserve">6  </w:t>
      </w:r>
      <w:r>
        <w:rPr>
          <w:rFonts w:hint="eastAsia" w:asciiTheme="minorEastAsia" w:hAnsiTheme="minorEastAsia"/>
          <w:szCs w:val="21"/>
        </w:rPr>
        <w:t>单罐容积小于或等于</w:t>
      </w:r>
      <w:r>
        <w:rPr>
          <w:rFonts w:asciiTheme="minorEastAsia" w:hAnsiTheme="minorEastAsia"/>
          <w:szCs w:val="21"/>
        </w:rPr>
        <w:t>1000m</w:t>
      </w:r>
      <w:r>
        <w:rPr>
          <w:rFonts w:asciiTheme="minorEastAsia" w:hAnsiTheme="minorEastAsia"/>
          <w:szCs w:val="21"/>
          <w:vertAlign w:val="superscript"/>
        </w:rPr>
        <w:t>3</w:t>
      </w:r>
      <w:r>
        <w:rPr>
          <w:rFonts w:hint="eastAsia" w:asciiTheme="minorEastAsia" w:hAnsiTheme="minorEastAsia"/>
          <w:szCs w:val="21"/>
        </w:rPr>
        <w:t>，防火间距不应小于规定的</w:t>
      </w:r>
      <w:r>
        <w:rPr>
          <w:rFonts w:asciiTheme="minorEastAsia" w:hAnsiTheme="minorEastAsia"/>
          <w:szCs w:val="21"/>
        </w:rPr>
        <w:t>75</w:t>
      </w:r>
      <w:r>
        <w:rPr>
          <w:rFonts w:hint="eastAsia" w:asciiTheme="minorEastAsia" w:hAnsiTheme="minorEastAsia"/>
          <w:szCs w:val="21"/>
        </w:rPr>
        <w:t>％（火炬除外）；大于</w:t>
      </w:r>
      <w:r>
        <w:rPr>
          <w:rFonts w:asciiTheme="minorEastAsia" w:hAnsiTheme="minorEastAsia"/>
          <w:szCs w:val="21"/>
        </w:rPr>
        <w:t>50000m</w:t>
      </w:r>
      <w:r>
        <w:rPr>
          <w:rFonts w:asciiTheme="minorEastAsia" w:hAnsiTheme="minorEastAsia"/>
          <w:szCs w:val="21"/>
          <w:vertAlign w:val="superscript"/>
        </w:rPr>
        <w:t>3</w:t>
      </w:r>
      <w:r>
        <w:rPr>
          <w:rFonts w:hint="eastAsia" w:asciiTheme="minorEastAsia" w:hAnsiTheme="minorEastAsia"/>
          <w:szCs w:val="21"/>
        </w:rPr>
        <w:t>，应增加</w:t>
      </w:r>
      <w:r>
        <w:rPr>
          <w:rFonts w:asciiTheme="minorEastAsia" w:hAnsiTheme="minorEastAsia"/>
          <w:szCs w:val="21"/>
        </w:rPr>
        <w:t>25</w:t>
      </w:r>
      <w:r>
        <w:rPr>
          <w:rFonts w:hint="eastAsia" w:asciiTheme="minorEastAsia" w:hAnsiTheme="minorEastAsia"/>
          <w:szCs w:val="21"/>
        </w:rPr>
        <w:t>％（火炬除外）；</w:t>
      </w:r>
    </w:p>
    <w:p>
      <w:pPr>
        <w:spacing w:line="276" w:lineRule="auto"/>
        <w:ind w:left="1155" w:leftChars="400" w:hanging="315" w:hangingChars="150"/>
        <w:jc w:val="left"/>
        <w:rPr>
          <w:rFonts w:asciiTheme="minorEastAsia" w:hAnsiTheme="minorEastAsia"/>
          <w:szCs w:val="21"/>
        </w:rPr>
      </w:pPr>
      <w:r>
        <w:rPr>
          <w:rFonts w:asciiTheme="minorEastAsia" w:hAnsiTheme="minorEastAsia"/>
          <w:szCs w:val="21"/>
        </w:rPr>
        <w:t xml:space="preserve">7  </w:t>
      </w:r>
      <w:r>
        <w:rPr>
          <w:rFonts w:hint="eastAsia" w:asciiTheme="minorEastAsia" w:hAnsiTheme="minorEastAsia"/>
          <w:szCs w:val="21"/>
        </w:rPr>
        <w:t>丙类液体，防火间距不应小于规定的</w:t>
      </w:r>
      <w:r>
        <w:rPr>
          <w:rFonts w:asciiTheme="minorEastAsia" w:hAnsiTheme="minorEastAsia"/>
          <w:szCs w:val="21"/>
        </w:rPr>
        <w:t>75</w:t>
      </w:r>
      <w:r>
        <w:rPr>
          <w:rFonts w:hint="eastAsia" w:asciiTheme="minorEastAsia" w:hAnsiTheme="minorEastAsia"/>
          <w:szCs w:val="21"/>
        </w:rPr>
        <w:t>％（火炬除外）。当甲</w:t>
      </w:r>
      <w:r>
        <w:rPr>
          <w:rFonts w:hint="eastAsia" w:asciiTheme="minorEastAsia" w:hAnsiTheme="minorEastAsia"/>
          <w:szCs w:val="21"/>
          <w:vertAlign w:val="subscript"/>
        </w:rPr>
        <w:t>Ｂ</w:t>
      </w:r>
      <w:r>
        <w:rPr>
          <w:rFonts w:asciiTheme="minorEastAsia" w:hAnsiTheme="minorEastAsia"/>
          <w:szCs w:val="21"/>
        </w:rPr>
        <w:t>、乙类液体铁路装卸采用全密闭装卸时，装卸设施的防火间距不应小于规定的75</w:t>
      </w:r>
      <w:r>
        <w:rPr>
          <w:rFonts w:hint="eastAsia" w:asciiTheme="minorEastAsia" w:hAnsiTheme="minorEastAsia"/>
          <w:szCs w:val="21"/>
        </w:rPr>
        <w:t>％，且不应小于</w:t>
      </w:r>
      <w:r>
        <w:rPr>
          <w:rFonts w:asciiTheme="minorEastAsia" w:hAnsiTheme="minorEastAsia"/>
          <w:szCs w:val="21"/>
        </w:rPr>
        <w:t>10m（火炬除外）；</w:t>
      </w:r>
    </w:p>
    <w:p>
      <w:pPr>
        <w:spacing w:line="276" w:lineRule="auto"/>
        <w:ind w:left="1155" w:leftChars="400" w:hanging="315" w:hangingChars="150"/>
        <w:jc w:val="left"/>
        <w:rPr>
          <w:rFonts w:asciiTheme="minorEastAsia" w:hAnsiTheme="minorEastAsia"/>
          <w:szCs w:val="21"/>
        </w:rPr>
      </w:pPr>
      <w:r>
        <w:rPr>
          <w:rFonts w:asciiTheme="minorEastAsia" w:hAnsiTheme="minorEastAsia"/>
          <w:szCs w:val="21"/>
        </w:rPr>
        <w:t xml:space="preserve">8  </w:t>
      </w:r>
      <w:r>
        <w:rPr>
          <w:rFonts w:hint="eastAsia" w:asciiTheme="minorEastAsia" w:hAnsiTheme="minorEastAsia"/>
          <w:szCs w:val="21"/>
        </w:rPr>
        <w:t>乙、丙类物品库（棚）防火间距不应小于规定的</w:t>
      </w:r>
      <w:r>
        <w:rPr>
          <w:rFonts w:asciiTheme="minorEastAsia" w:hAnsiTheme="minorEastAsia"/>
          <w:szCs w:val="21"/>
        </w:rPr>
        <w:t>75</w:t>
      </w:r>
      <w:r>
        <w:rPr>
          <w:rFonts w:hint="eastAsia" w:asciiTheme="minorEastAsia" w:hAnsiTheme="minorEastAsia"/>
          <w:szCs w:val="21"/>
        </w:rPr>
        <w:t>％（火炬除外）；</w:t>
      </w:r>
    </w:p>
    <w:p>
      <w:pPr>
        <w:spacing w:line="276" w:lineRule="auto"/>
        <w:ind w:left="1155" w:leftChars="400" w:hanging="315" w:hangingChars="150"/>
        <w:jc w:val="left"/>
        <w:rPr>
          <w:rFonts w:asciiTheme="minorEastAsia" w:hAnsiTheme="minorEastAsia"/>
          <w:szCs w:val="21"/>
        </w:rPr>
      </w:pPr>
      <w:r>
        <w:rPr>
          <w:rFonts w:asciiTheme="minorEastAsia" w:hAnsiTheme="minorEastAsia"/>
          <w:szCs w:val="21"/>
        </w:rPr>
        <w:t xml:space="preserve">9  </w:t>
      </w:r>
      <w:r>
        <w:rPr>
          <w:rFonts w:hint="eastAsia" w:asciiTheme="minorEastAsia" w:hAnsiTheme="minorEastAsia"/>
          <w:szCs w:val="21"/>
        </w:rPr>
        <w:t>丙类泵（房），防火间距不应小于规定的</w:t>
      </w:r>
      <w:r>
        <w:rPr>
          <w:rFonts w:asciiTheme="minorEastAsia" w:hAnsiTheme="minorEastAsia"/>
          <w:szCs w:val="21"/>
        </w:rPr>
        <w:t>75</w:t>
      </w:r>
      <w:r>
        <w:rPr>
          <w:rFonts w:hint="eastAsia" w:asciiTheme="minorEastAsia" w:hAnsiTheme="minorEastAsia"/>
          <w:szCs w:val="21"/>
        </w:rPr>
        <w:t>％（火炬除外），但当地上可燃液体储罐单罐容积大于</w:t>
      </w:r>
      <w:r>
        <w:rPr>
          <w:rFonts w:asciiTheme="minorEastAsia" w:hAnsiTheme="minorEastAsia"/>
          <w:szCs w:val="21"/>
        </w:rPr>
        <w:t>500m</w:t>
      </w:r>
      <w:r>
        <w:rPr>
          <w:rFonts w:asciiTheme="minorEastAsia" w:hAnsiTheme="minorEastAsia"/>
          <w:szCs w:val="21"/>
          <w:vertAlign w:val="superscript"/>
        </w:rPr>
        <w:t>3</w:t>
      </w:r>
      <w:r>
        <w:rPr>
          <w:rFonts w:hint="eastAsia" w:asciiTheme="minorEastAsia" w:hAnsiTheme="minorEastAsia"/>
          <w:szCs w:val="21"/>
        </w:rPr>
        <w:t>时，不应小于</w:t>
      </w:r>
      <w:r>
        <w:rPr>
          <w:rFonts w:asciiTheme="minorEastAsia" w:hAnsiTheme="minorEastAsia"/>
          <w:szCs w:val="21"/>
        </w:rPr>
        <w:t>10m；地上可燃液体储罐单罐容积小于或等于500m</w:t>
      </w:r>
      <w:r>
        <w:rPr>
          <w:rFonts w:asciiTheme="minorEastAsia" w:hAnsiTheme="minorEastAsia"/>
          <w:szCs w:val="21"/>
          <w:vertAlign w:val="superscript"/>
        </w:rPr>
        <w:t>3</w:t>
      </w:r>
      <w:r>
        <w:rPr>
          <w:rFonts w:hint="eastAsia" w:asciiTheme="minorEastAsia" w:hAnsiTheme="minorEastAsia"/>
          <w:szCs w:val="21"/>
        </w:rPr>
        <w:t>时，不应小于</w:t>
      </w:r>
      <w:r>
        <w:rPr>
          <w:rFonts w:asciiTheme="minorEastAsia" w:hAnsiTheme="minorEastAsia"/>
          <w:szCs w:val="21"/>
        </w:rPr>
        <w:t>8m；</w:t>
      </w:r>
    </w:p>
    <w:p>
      <w:pPr>
        <w:spacing w:line="276" w:lineRule="auto"/>
        <w:ind w:left="1260" w:leftChars="400" w:hanging="420" w:hangingChars="200"/>
        <w:jc w:val="left"/>
        <w:rPr>
          <w:rFonts w:asciiTheme="minorEastAsia" w:hAnsiTheme="minorEastAsia"/>
          <w:szCs w:val="21"/>
        </w:rPr>
      </w:pPr>
      <w:r>
        <w:rPr>
          <w:rFonts w:asciiTheme="minorEastAsia" w:hAnsiTheme="minorEastAsia"/>
          <w:szCs w:val="21"/>
        </w:rPr>
        <w:t xml:space="preserve">10  </w:t>
      </w:r>
      <w:r>
        <w:rPr>
          <w:rFonts w:hint="eastAsia" w:asciiTheme="minorEastAsia" w:hAnsiTheme="minorEastAsia"/>
          <w:szCs w:val="21"/>
        </w:rPr>
        <w:t>污油泵的防火间距不应小于隔油池防火间距的</w:t>
      </w:r>
      <w:r>
        <w:rPr>
          <w:rFonts w:asciiTheme="minorEastAsia" w:hAnsiTheme="minorEastAsia"/>
          <w:szCs w:val="21"/>
        </w:rPr>
        <w:t>75</w:t>
      </w:r>
      <w:r>
        <w:rPr>
          <w:rFonts w:hint="eastAsia" w:asciiTheme="minorEastAsia" w:hAnsiTheme="minorEastAsia"/>
          <w:szCs w:val="21"/>
        </w:rPr>
        <w:t>％（火炬除外）；其他设备或构筑物防火间距不限；</w:t>
      </w:r>
    </w:p>
    <w:p>
      <w:pPr>
        <w:spacing w:line="276" w:lineRule="auto"/>
        <w:ind w:left="1260" w:leftChars="400" w:hanging="420" w:hangingChars="200"/>
        <w:jc w:val="left"/>
        <w:rPr>
          <w:rFonts w:asciiTheme="minorEastAsia" w:hAnsiTheme="minorEastAsia"/>
          <w:szCs w:val="21"/>
        </w:rPr>
      </w:pPr>
      <w:r>
        <w:rPr>
          <w:rFonts w:asciiTheme="minorEastAsia" w:hAnsiTheme="minorEastAsia"/>
          <w:szCs w:val="21"/>
        </w:rPr>
        <w:t xml:space="preserve">11  </w:t>
      </w:r>
      <w:r>
        <w:rPr>
          <w:rFonts w:hint="eastAsia" w:asciiTheme="minorEastAsia" w:hAnsiTheme="minorEastAsia"/>
          <w:szCs w:val="21"/>
        </w:rPr>
        <w:t>铁路走行线和原料产品运输道路应布置在火灾爆炸危险区域之外。括号内的数字用于原料及产品运输道路；</w:t>
      </w:r>
    </w:p>
    <w:p>
      <w:pPr>
        <w:spacing w:line="276" w:lineRule="auto"/>
        <w:ind w:left="1155" w:leftChars="400" w:hanging="315" w:hangingChars="150"/>
        <w:jc w:val="left"/>
        <w:rPr>
          <w:rFonts w:asciiTheme="minorEastAsia" w:hAnsiTheme="minorEastAsia"/>
          <w:szCs w:val="21"/>
        </w:rPr>
      </w:pPr>
      <w:r>
        <w:rPr>
          <w:rFonts w:asciiTheme="minorEastAsia" w:hAnsiTheme="minorEastAsia"/>
          <w:szCs w:val="21"/>
        </w:rPr>
        <w:t xml:space="preserve">12  </w:t>
      </w:r>
      <w:r>
        <w:rPr>
          <w:rFonts w:hint="eastAsia" w:asciiTheme="minorEastAsia" w:hAnsiTheme="minorEastAsia"/>
          <w:szCs w:val="21"/>
        </w:rPr>
        <w:t>表中“－”表示本规范无防火间距的要求。</w:t>
      </w:r>
    </w:p>
    <w:p>
      <w:pPr>
        <w:pStyle w:val="310"/>
        <w:spacing w:line="360" w:lineRule="auto"/>
        <w:rPr>
          <w:rFonts w:ascii="Times New Roman"/>
        </w:rPr>
      </w:pPr>
      <w:r>
        <w:rPr>
          <w:rFonts w:ascii="Times New Roman"/>
        </w:rPr>
        <w:t xml:space="preserve">3.0.9  </w:t>
      </w:r>
      <w:r>
        <w:rPr>
          <w:rFonts w:hint="eastAsia" w:ascii="Times New Roman"/>
        </w:rPr>
        <w:t>下列场所四周应设环形消防车道：</w:t>
      </w:r>
    </w:p>
    <w:p>
      <w:pPr>
        <w:pStyle w:val="310"/>
        <w:spacing w:line="360" w:lineRule="auto"/>
        <w:ind w:left="420" w:leftChars="200"/>
        <w:rPr>
          <w:rFonts w:ascii="Times New Roman"/>
          <w:bCs/>
        </w:rPr>
      </w:pPr>
      <w:r>
        <w:rPr>
          <w:rFonts w:ascii="Times New Roman"/>
          <w:bCs/>
        </w:rPr>
        <w:t xml:space="preserve">1  </w:t>
      </w:r>
      <w:r>
        <w:rPr>
          <w:rFonts w:hint="eastAsia" w:ascii="Times New Roman"/>
          <w:bCs/>
        </w:rPr>
        <w:t>装置或联合装置；</w:t>
      </w:r>
    </w:p>
    <w:p>
      <w:pPr>
        <w:pStyle w:val="310"/>
        <w:spacing w:line="360" w:lineRule="auto"/>
        <w:ind w:left="420" w:leftChars="200"/>
        <w:rPr>
          <w:rFonts w:ascii="Times New Roman"/>
          <w:bCs/>
        </w:rPr>
      </w:pPr>
      <w:r>
        <w:rPr>
          <w:rFonts w:ascii="Times New Roman"/>
          <w:bCs/>
        </w:rPr>
        <w:t>2  液化烃罐组；</w:t>
      </w:r>
    </w:p>
    <w:p>
      <w:pPr>
        <w:pStyle w:val="310"/>
        <w:spacing w:line="360" w:lineRule="auto"/>
        <w:ind w:left="420" w:leftChars="200"/>
        <w:rPr>
          <w:rFonts w:ascii="Times New Roman"/>
          <w:bCs/>
        </w:rPr>
      </w:pPr>
      <w:r>
        <w:rPr>
          <w:rFonts w:ascii="Times New Roman"/>
          <w:bCs/>
        </w:rPr>
        <w:t xml:space="preserve">3  </w:t>
      </w:r>
      <w:r>
        <w:rPr>
          <w:rFonts w:hint="eastAsia" w:ascii="Times New Roman"/>
          <w:bCs/>
        </w:rPr>
        <w:t>总容积大于或等于</w:t>
      </w:r>
      <w:r>
        <w:rPr>
          <w:rFonts w:ascii="Times New Roman"/>
          <w:bCs/>
        </w:rPr>
        <w:t>120000m</w:t>
      </w:r>
      <w:r>
        <w:rPr>
          <w:rFonts w:ascii="Times New Roman"/>
          <w:bCs/>
          <w:vertAlign w:val="superscript"/>
        </w:rPr>
        <w:t>3</w:t>
      </w:r>
      <w:r>
        <w:rPr>
          <w:rFonts w:hint="eastAsia" w:ascii="Times New Roman"/>
          <w:bCs/>
        </w:rPr>
        <w:t>单个或多个可燃液体罐组。</w:t>
      </w:r>
    </w:p>
    <w:p>
      <w:pPr>
        <w:widowControl/>
        <w:jc w:val="left"/>
        <w:rPr>
          <w:rFonts w:ascii="黑体" w:hAnsi="黑体" w:eastAsia="黑体"/>
          <w:color w:val="000000" w:themeColor="text1"/>
          <w:sz w:val="30"/>
          <w:szCs w:val="30"/>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br w:type="page"/>
      </w:r>
    </w:p>
    <w:p>
      <w:pPr>
        <w:spacing w:line="360" w:lineRule="auto"/>
        <w:jc w:val="center"/>
        <w:outlineLvl w:val="0"/>
        <w:rPr>
          <w:rFonts w:asciiTheme="minorEastAsia" w:hAnsiTheme="minorEastAsia"/>
          <w:sz w:val="30"/>
          <w:szCs w:val="30"/>
        </w:rPr>
      </w:pPr>
      <w:bookmarkStart w:id="10" w:name="_Toc968320"/>
      <w:bookmarkEnd w:id="10"/>
      <w:bookmarkStart w:id="11" w:name="_Toc527967164"/>
      <w:bookmarkEnd w:id="11"/>
      <w:bookmarkStart w:id="12" w:name="_Toc970691"/>
      <w:bookmarkEnd w:id="12"/>
      <w:bookmarkStart w:id="13" w:name="_Toc536801315"/>
      <w:bookmarkEnd w:id="13"/>
      <w:bookmarkStart w:id="14" w:name="_Toc527710777"/>
      <w:bookmarkEnd w:id="14"/>
      <w:bookmarkStart w:id="15" w:name="_Toc967176"/>
      <w:bookmarkEnd w:id="15"/>
      <w:bookmarkStart w:id="16" w:name="_Toc970123"/>
      <w:bookmarkEnd w:id="16"/>
      <w:bookmarkStart w:id="17" w:name="_Toc969522"/>
      <w:bookmarkEnd w:id="17"/>
      <w:bookmarkStart w:id="18" w:name="_Toc968921"/>
      <w:bookmarkEnd w:id="18"/>
      <w:bookmarkStart w:id="19" w:name="_Toc536801314"/>
      <w:bookmarkEnd w:id="19"/>
      <w:bookmarkStart w:id="20" w:name="_Toc967177"/>
      <w:bookmarkEnd w:id="20"/>
      <w:bookmarkStart w:id="21" w:name="_Toc527728037"/>
      <w:bookmarkEnd w:id="21"/>
      <w:bookmarkStart w:id="22" w:name="_Toc970124"/>
      <w:bookmarkEnd w:id="22"/>
      <w:bookmarkStart w:id="23" w:name="_Toc970690"/>
      <w:bookmarkEnd w:id="23"/>
      <w:bookmarkStart w:id="24" w:name="_Toc969523"/>
      <w:bookmarkEnd w:id="24"/>
      <w:bookmarkStart w:id="25" w:name="_Toc968319"/>
      <w:bookmarkEnd w:id="25"/>
      <w:bookmarkStart w:id="26" w:name="_Toc968922"/>
      <w:bookmarkEnd w:id="26"/>
      <w:bookmarkStart w:id="27" w:name="_Toc536801080"/>
      <w:bookmarkEnd w:id="27"/>
      <w:bookmarkStart w:id="28" w:name="_Toc536801079"/>
      <w:bookmarkEnd w:id="28"/>
      <w:bookmarkStart w:id="29" w:name="_Toc44668315"/>
      <w:bookmarkStart w:id="30" w:name="_Toc91770091"/>
      <w:bookmarkStart w:id="31" w:name="_Toc146639852"/>
      <w:r>
        <w:rPr>
          <w:rFonts w:asciiTheme="minorEastAsia" w:hAnsiTheme="minorEastAsia"/>
          <w:sz w:val="30"/>
          <w:szCs w:val="30"/>
        </w:rPr>
        <w:t>4</w:t>
      </w:r>
      <w:bookmarkStart w:id="32" w:name="_Toc970140"/>
      <w:bookmarkEnd w:id="32"/>
      <w:bookmarkStart w:id="33" w:name="_Toc1480207"/>
      <w:bookmarkEnd w:id="33"/>
      <w:bookmarkStart w:id="34" w:name="_Toc1480209"/>
      <w:bookmarkEnd w:id="34"/>
      <w:bookmarkStart w:id="35" w:name="_Toc967190"/>
      <w:bookmarkEnd w:id="35"/>
      <w:bookmarkStart w:id="36" w:name="_Toc970706"/>
      <w:bookmarkEnd w:id="36"/>
      <w:bookmarkStart w:id="37" w:name="_Toc1374676"/>
      <w:bookmarkEnd w:id="37"/>
      <w:bookmarkStart w:id="38" w:name="_Toc1481525"/>
      <w:bookmarkEnd w:id="38"/>
      <w:bookmarkStart w:id="39" w:name="_Toc1298871"/>
      <w:bookmarkEnd w:id="39"/>
      <w:bookmarkStart w:id="40" w:name="_Toc970718"/>
      <w:bookmarkEnd w:id="40"/>
      <w:bookmarkStart w:id="41" w:name="_Toc970153"/>
      <w:bookmarkEnd w:id="41"/>
      <w:bookmarkStart w:id="42" w:name="_Toc970707"/>
      <w:bookmarkEnd w:id="42"/>
      <w:bookmarkStart w:id="43" w:name="_Toc969543"/>
      <w:bookmarkEnd w:id="43"/>
      <w:bookmarkStart w:id="44" w:name="_Toc1482851"/>
      <w:bookmarkEnd w:id="44"/>
      <w:bookmarkStart w:id="45" w:name="_Toc968336"/>
      <w:bookmarkEnd w:id="45"/>
      <w:bookmarkStart w:id="46" w:name="_Toc968951"/>
      <w:bookmarkEnd w:id="46"/>
      <w:bookmarkStart w:id="47" w:name="_Toc1298878"/>
      <w:bookmarkEnd w:id="47"/>
      <w:bookmarkStart w:id="48" w:name="_Toc1374671"/>
      <w:bookmarkEnd w:id="48"/>
      <w:bookmarkStart w:id="49" w:name="_Toc1480204"/>
      <w:bookmarkEnd w:id="49"/>
      <w:bookmarkStart w:id="50" w:name="_Toc1482857"/>
      <w:bookmarkEnd w:id="50"/>
      <w:bookmarkStart w:id="51" w:name="_Toc1481536"/>
      <w:bookmarkEnd w:id="51"/>
      <w:bookmarkStart w:id="52" w:name="_Toc967191"/>
      <w:bookmarkEnd w:id="52"/>
      <w:bookmarkStart w:id="53" w:name="_Toc1374674"/>
      <w:bookmarkEnd w:id="53"/>
      <w:bookmarkStart w:id="54" w:name="_Toc1298875"/>
      <w:bookmarkEnd w:id="54"/>
      <w:bookmarkStart w:id="55" w:name="_Toc968934"/>
      <w:bookmarkEnd w:id="55"/>
      <w:bookmarkStart w:id="56" w:name="_Toc969538"/>
      <w:bookmarkEnd w:id="56"/>
      <w:bookmarkStart w:id="57" w:name="_Toc970710"/>
      <w:bookmarkEnd w:id="57"/>
      <w:bookmarkStart w:id="58" w:name="_Toc1374688"/>
      <w:bookmarkEnd w:id="58"/>
      <w:bookmarkStart w:id="59" w:name="_Toc1481535"/>
      <w:bookmarkEnd w:id="59"/>
      <w:bookmarkStart w:id="60" w:name="_Toc967194"/>
      <w:bookmarkEnd w:id="60"/>
      <w:bookmarkStart w:id="61" w:name="_Toc969541"/>
      <w:bookmarkEnd w:id="61"/>
      <w:bookmarkStart w:id="62" w:name="_Toc969536"/>
      <w:bookmarkEnd w:id="62"/>
      <w:bookmarkStart w:id="63" w:name="_Toc1482858"/>
      <w:bookmarkEnd w:id="63"/>
      <w:bookmarkStart w:id="64" w:name="_Toc1482867"/>
      <w:bookmarkEnd w:id="64"/>
      <w:bookmarkStart w:id="65" w:name="_Toc1482855"/>
      <w:bookmarkEnd w:id="65"/>
      <w:bookmarkStart w:id="66" w:name="_Toc1481526"/>
      <w:bookmarkEnd w:id="66"/>
      <w:bookmarkStart w:id="67" w:name="_Toc970703"/>
      <w:bookmarkEnd w:id="67"/>
      <w:bookmarkStart w:id="68" w:name="_Toc969537"/>
      <w:bookmarkEnd w:id="68"/>
      <w:bookmarkStart w:id="69" w:name="_Toc1298873"/>
      <w:bookmarkEnd w:id="69"/>
      <w:bookmarkStart w:id="70" w:name="_Toc970135"/>
      <w:bookmarkEnd w:id="70"/>
      <w:bookmarkStart w:id="71" w:name="_Toc968938"/>
      <w:bookmarkEnd w:id="71"/>
      <w:bookmarkStart w:id="72" w:name="_Toc1482856"/>
      <w:bookmarkEnd w:id="72"/>
      <w:bookmarkStart w:id="73" w:name="_Toc969540"/>
      <w:bookmarkEnd w:id="73"/>
      <w:bookmarkStart w:id="74" w:name="_Toc1482866"/>
      <w:bookmarkEnd w:id="74"/>
      <w:bookmarkStart w:id="75" w:name="_Toc1298872"/>
      <w:bookmarkEnd w:id="75"/>
      <w:bookmarkStart w:id="76" w:name="_Toc970712"/>
      <w:bookmarkEnd w:id="76"/>
      <w:bookmarkStart w:id="77" w:name="_Toc1482850"/>
      <w:bookmarkEnd w:id="77"/>
      <w:bookmarkStart w:id="78" w:name="_Toc1480212"/>
      <w:bookmarkEnd w:id="78"/>
      <w:bookmarkStart w:id="79" w:name="_Toc970141"/>
      <w:bookmarkEnd w:id="79"/>
      <w:bookmarkStart w:id="80" w:name="_Toc1298864"/>
      <w:bookmarkEnd w:id="80"/>
      <w:bookmarkStart w:id="81" w:name="_Toc968338"/>
      <w:bookmarkEnd w:id="81"/>
      <w:bookmarkStart w:id="82" w:name="_Toc967195"/>
      <w:bookmarkEnd w:id="82"/>
      <w:bookmarkStart w:id="83" w:name="_Toc969544"/>
      <w:bookmarkEnd w:id="83"/>
      <w:bookmarkStart w:id="84" w:name="_Toc1298343"/>
      <w:bookmarkEnd w:id="84"/>
      <w:bookmarkStart w:id="85" w:name="_Toc1298870"/>
      <w:bookmarkEnd w:id="85"/>
      <w:bookmarkStart w:id="86" w:name="_Toc970708"/>
      <w:bookmarkEnd w:id="86"/>
      <w:bookmarkStart w:id="87" w:name="_Toc1480211"/>
      <w:bookmarkEnd w:id="87"/>
      <w:bookmarkStart w:id="88" w:name="_Toc1298339"/>
      <w:bookmarkEnd w:id="88"/>
      <w:bookmarkStart w:id="89" w:name="_Toc1481533"/>
      <w:bookmarkEnd w:id="89"/>
      <w:bookmarkStart w:id="90" w:name="_Toc968943"/>
      <w:bookmarkEnd w:id="90"/>
      <w:bookmarkStart w:id="91" w:name="_Toc968940"/>
      <w:bookmarkEnd w:id="91"/>
      <w:bookmarkStart w:id="92" w:name="_Toc970139"/>
      <w:bookmarkEnd w:id="92"/>
      <w:bookmarkStart w:id="93" w:name="_Toc970705"/>
      <w:bookmarkEnd w:id="93"/>
      <w:bookmarkStart w:id="94" w:name="_Toc967193"/>
      <w:bookmarkEnd w:id="94"/>
      <w:bookmarkStart w:id="95" w:name="_Toc968950"/>
      <w:bookmarkEnd w:id="95"/>
      <w:bookmarkStart w:id="96" w:name="_Toc968941"/>
      <w:bookmarkEnd w:id="96"/>
      <w:bookmarkStart w:id="97" w:name="_Toc1480210"/>
      <w:bookmarkEnd w:id="97"/>
      <w:bookmarkStart w:id="98" w:name="_Toc968337"/>
      <w:bookmarkEnd w:id="98"/>
      <w:bookmarkStart w:id="99" w:name="_Toc968937"/>
      <w:bookmarkEnd w:id="99"/>
      <w:bookmarkStart w:id="100" w:name="_Toc1374675"/>
      <w:bookmarkEnd w:id="100"/>
      <w:bookmarkStart w:id="101" w:name="_Toc1298340"/>
      <w:bookmarkEnd w:id="101"/>
      <w:bookmarkStart w:id="102" w:name="_Toc970143"/>
      <w:bookmarkEnd w:id="102"/>
      <w:bookmarkStart w:id="103" w:name="_Toc970704"/>
      <w:bookmarkEnd w:id="103"/>
      <w:bookmarkStart w:id="104" w:name="_Toc1298347"/>
      <w:bookmarkEnd w:id="104"/>
      <w:bookmarkStart w:id="105" w:name="_Toc967198"/>
      <w:bookmarkEnd w:id="105"/>
      <w:bookmarkStart w:id="106" w:name="_Toc970709"/>
      <w:bookmarkEnd w:id="106"/>
      <w:bookmarkStart w:id="107" w:name="_Toc1481530"/>
      <w:bookmarkEnd w:id="107"/>
      <w:bookmarkStart w:id="108" w:name="_Toc1481534"/>
      <w:bookmarkEnd w:id="108"/>
      <w:bookmarkStart w:id="109" w:name="_Toc967196"/>
      <w:bookmarkEnd w:id="109"/>
      <w:bookmarkStart w:id="110" w:name="_Toc1298346"/>
      <w:bookmarkEnd w:id="110"/>
      <w:bookmarkStart w:id="111" w:name="_Toc1374670"/>
      <w:bookmarkEnd w:id="111"/>
      <w:bookmarkStart w:id="112" w:name="_Toc970719"/>
      <w:bookmarkEnd w:id="112"/>
      <w:bookmarkStart w:id="113" w:name="_Toc1298342"/>
      <w:bookmarkEnd w:id="113"/>
      <w:bookmarkStart w:id="114" w:name="_Toc968340"/>
      <w:bookmarkEnd w:id="114"/>
      <w:bookmarkStart w:id="115" w:name="_Toc1374669"/>
      <w:bookmarkEnd w:id="115"/>
      <w:bookmarkStart w:id="116" w:name="_Toc1482854"/>
      <w:bookmarkEnd w:id="116"/>
      <w:bookmarkStart w:id="117" w:name="_Toc1298877"/>
      <w:bookmarkEnd w:id="117"/>
      <w:bookmarkStart w:id="118" w:name="_Toc968949"/>
      <w:bookmarkEnd w:id="118"/>
      <w:bookmarkStart w:id="119" w:name="_Toc970151"/>
      <w:bookmarkEnd w:id="119"/>
      <w:bookmarkStart w:id="120" w:name="_Toc968339"/>
      <w:bookmarkEnd w:id="120"/>
      <w:bookmarkStart w:id="121" w:name="_Toc968332"/>
      <w:bookmarkEnd w:id="121"/>
      <w:bookmarkStart w:id="122" w:name="_Toc968936"/>
      <w:bookmarkEnd w:id="122"/>
      <w:bookmarkStart w:id="123" w:name="_Toc1482862"/>
      <w:bookmarkEnd w:id="123"/>
      <w:bookmarkStart w:id="124" w:name="_Toc1481529"/>
      <w:bookmarkEnd w:id="124"/>
      <w:bookmarkStart w:id="125" w:name="_Toc1374667"/>
      <w:bookmarkEnd w:id="125"/>
      <w:bookmarkStart w:id="126" w:name="_Toc968324"/>
      <w:bookmarkEnd w:id="126"/>
      <w:bookmarkStart w:id="127" w:name="_Toc969530"/>
      <w:bookmarkEnd w:id="127"/>
      <w:bookmarkStart w:id="128" w:name="_Toc1482852"/>
      <w:bookmarkEnd w:id="128"/>
      <w:bookmarkStart w:id="129" w:name="_Toc1481528"/>
      <w:bookmarkEnd w:id="129"/>
      <w:bookmarkStart w:id="130" w:name="_Toc1374672"/>
      <w:bookmarkEnd w:id="130"/>
      <w:bookmarkStart w:id="131" w:name="_Toc1480202"/>
      <w:bookmarkEnd w:id="131"/>
      <w:bookmarkStart w:id="132" w:name="_Toc1480208"/>
      <w:bookmarkEnd w:id="132"/>
      <w:bookmarkStart w:id="133" w:name="_Toc968935"/>
      <w:bookmarkEnd w:id="133"/>
      <w:bookmarkStart w:id="134" w:name="_Toc968333"/>
      <w:bookmarkEnd w:id="134"/>
      <w:bookmarkStart w:id="135" w:name="_Toc1374663"/>
      <w:bookmarkEnd w:id="135"/>
      <w:bookmarkStart w:id="136" w:name="_Toc970699"/>
      <w:bookmarkEnd w:id="136"/>
      <w:bookmarkStart w:id="137" w:name="_Toc1482877"/>
      <w:bookmarkEnd w:id="137"/>
      <w:bookmarkStart w:id="138" w:name="_Toc1480216"/>
      <w:bookmarkEnd w:id="138"/>
      <w:bookmarkStart w:id="139" w:name="_Toc1298350"/>
      <w:bookmarkEnd w:id="139"/>
      <w:bookmarkStart w:id="140" w:name="_Toc1481538"/>
      <w:bookmarkEnd w:id="140"/>
      <w:bookmarkStart w:id="141" w:name="_Toc967199"/>
      <w:bookmarkEnd w:id="141"/>
      <w:bookmarkStart w:id="142" w:name="_Toc1480215"/>
      <w:bookmarkEnd w:id="142"/>
      <w:bookmarkStart w:id="143" w:name="_Toc970697"/>
      <w:bookmarkEnd w:id="143"/>
      <w:bookmarkStart w:id="144" w:name="_Toc1374681"/>
      <w:bookmarkEnd w:id="144"/>
      <w:bookmarkStart w:id="145" w:name="_Toc968329"/>
      <w:bookmarkEnd w:id="145"/>
      <w:bookmarkStart w:id="146" w:name="_Toc1481537"/>
      <w:bookmarkEnd w:id="146"/>
      <w:bookmarkStart w:id="147" w:name="_Toc967203"/>
      <w:bookmarkEnd w:id="147"/>
      <w:bookmarkStart w:id="148" w:name="_Toc970713"/>
      <w:bookmarkEnd w:id="148"/>
      <w:bookmarkStart w:id="149" w:name="_Toc970717"/>
      <w:bookmarkEnd w:id="149"/>
      <w:bookmarkStart w:id="150" w:name="_Toc1482863"/>
      <w:bookmarkEnd w:id="150"/>
      <w:bookmarkStart w:id="151" w:name="_Toc968342"/>
      <w:bookmarkEnd w:id="151"/>
      <w:bookmarkStart w:id="152" w:name="_Toc1374682"/>
      <w:bookmarkEnd w:id="152"/>
      <w:bookmarkStart w:id="153" w:name="_Toc1298882"/>
      <w:bookmarkEnd w:id="153"/>
      <w:bookmarkStart w:id="154" w:name="_Toc967183"/>
      <w:bookmarkEnd w:id="154"/>
      <w:bookmarkStart w:id="155" w:name="_Toc969526"/>
      <w:bookmarkEnd w:id="155"/>
      <w:bookmarkStart w:id="156" w:name="_Toc1482860"/>
      <w:bookmarkEnd w:id="156"/>
      <w:bookmarkStart w:id="157" w:name="_Toc1374683"/>
      <w:bookmarkEnd w:id="157"/>
      <w:bookmarkStart w:id="158" w:name="_Toc1481518"/>
      <w:bookmarkEnd w:id="158"/>
      <w:bookmarkStart w:id="159" w:name="_Toc970147"/>
      <w:bookmarkEnd w:id="159"/>
      <w:bookmarkStart w:id="160" w:name="_Toc1480214"/>
      <w:bookmarkEnd w:id="160"/>
      <w:bookmarkStart w:id="161" w:name="_Toc1298860"/>
      <w:bookmarkEnd w:id="161"/>
      <w:bookmarkStart w:id="162" w:name="_Toc970129"/>
      <w:bookmarkEnd w:id="162"/>
      <w:bookmarkStart w:id="163" w:name="_Toc968323"/>
      <w:bookmarkEnd w:id="163"/>
      <w:bookmarkStart w:id="164" w:name="_Toc969545"/>
      <w:bookmarkEnd w:id="164"/>
      <w:bookmarkStart w:id="165" w:name="_Toc970146"/>
      <w:bookmarkEnd w:id="165"/>
      <w:bookmarkStart w:id="166" w:name="_Toc970127"/>
      <w:bookmarkEnd w:id="166"/>
      <w:bookmarkStart w:id="167" w:name="_Toc1481539"/>
      <w:bookmarkEnd w:id="167"/>
      <w:bookmarkStart w:id="168" w:name="_Toc970148"/>
      <w:bookmarkEnd w:id="168"/>
      <w:bookmarkStart w:id="169" w:name="_Toc1374659"/>
      <w:bookmarkEnd w:id="169"/>
      <w:bookmarkStart w:id="170" w:name="_Toc1298881"/>
      <w:bookmarkEnd w:id="170"/>
      <w:bookmarkStart w:id="171" w:name="_Toc970126"/>
      <w:bookmarkEnd w:id="171"/>
      <w:bookmarkStart w:id="172" w:name="_Toc1481540"/>
      <w:bookmarkEnd w:id="172"/>
      <w:bookmarkStart w:id="173" w:name="_Toc1481542"/>
      <w:bookmarkEnd w:id="173"/>
      <w:bookmarkStart w:id="174" w:name="_Toc968925"/>
      <w:bookmarkEnd w:id="174"/>
      <w:bookmarkStart w:id="175" w:name="_Toc968947"/>
      <w:bookmarkEnd w:id="175"/>
      <w:bookmarkStart w:id="176" w:name="_Toc967204"/>
      <w:bookmarkEnd w:id="176"/>
      <w:bookmarkStart w:id="177" w:name="_Toc1298880"/>
      <w:bookmarkEnd w:id="177"/>
      <w:bookmarkStart w:id="178" w:name="_Toc970149"/>
      <w:bookmarkEnd w:id="178"/>
      <w:bookmarkStart w:id="179" w:name="_Toc1298330"/>
      <w:bookmarkEnd w:id="179"/>
      <w:bookmarkStart w:id="180" w:name="_Toc969531"/>
      <w:bookmarkEnd w:id="180"/>
      <w:bookmarkStart w:id="181" w:name="_Toc968322"/>
      <w:bookmarkEnd w:id="181"/>
      <w:bookmarkStart w:id="182" w:name="_Toc970714"/>
      <w:bookmarkEnd w:id="182"/>
      <w:bookmarkStart w:id="183" w:name="_Toc967200"/>
      <w:bookmarkEnd w:id="183"/>
      <w:bookmarkStart w:id="184" w:name="_Toc1298863"/>
      <w:bookmarkEnd w:id="184"/>
      <w:bookmarkStart w:id="185" w:name="_Toc969533"/>
      <w:bookmarkEnd w:id="185"/>
      <w:bookmarkStart w:id="186" w:name="_Toc1298349"/>
      <w:bookmarkEnd w:id="186"/>
      <w:bookmarkStart w:id="187" w:name="_Toc1298862"/>
      <w:bookmarkEnd w:id="187"/>
      <w:bookmarkStart w:id="188" w:name="_Toc1298332"/>
      <w:bookmarkEnd w:id="188"/>
      <w:bookmarkStart w:id="189" w:name="_Toc1298884"/>
      <w:bookmarkEnd w:id="189"/>
      <w:bookmarkStart w:id="190" w:name="_Toc1481521"/>
      <w:bookmarkEnd w:id="190"/>
      <w:bookmarkStart w:id="191" w:name="_Toc1480198"/>
      <w:bookmarkEnd w:id="191"/>
      <w:bookmarkStart w:id="192" w:name="_Toc1481523"/>
      <w:bookmarkEnd w:id="192"/>
      <w:bookmarkStart w:id="193" w:name="_Toc1482844"/>
      <w:bookmarkEnd w:id="193"/>
      <w:bookmarkStart w:id="194" w:name="_Toc1480196"/>
      <w:bookmarkEnd w:id="194"/>
      <w:bookmarkStart w:id="195" w:name="_Toc1374661"/>
      <w:bookmarkEnd w:id="195"/>
      <w:bookmarkStart w:id="196" w:name="_Toc968344"/>
      <w:bookmarkEnd w:id="196"/>
      <w:bookmarkStart w:id="197" w:name="_Toc968945"/>
      <w:bookmarkEnd w:id="197"/>
      <w:bookmarkStart w:id="198" w:name="_Toc967202"/>
      <w:bookmarkEnd w:id="198"/>
      <w:bookmarkStart w:id="199" w:name="_Toc968927"/>
      <w:bookmarkEnd w:id="199"/>
      <w:bookmarkStart w:id="200" w:name="_Toc1480205"/>
      <w:bookmarkEnd w:id="200"/>
      <w:bookmarkStart w:id="201" w:name="_Toc969525"/>
      <w:bookmarkEnd w:id="201"/>
      <w:bookmarkStart w:id="202" w:name="_Toc1481520"/>
      <w:bookmarkEnd w:id="202"/>
      <w:bookmarkStart w:id="203" w:name="_Toc1374679"/>
      <w:bookmarkEnd w:id="203"/>
      <w:bookmarkStart w:id="204" w:name="_Toc969546"/>
      <w:bookmarkEnd w:id="204"/>
      <w:bookmarkStart w:id="205" w:name="_Toc967189"/>
      <w:bookmarkEnd w:id="205"/>
      <w:bookmarkStart w:id="206" w:name="_Toc1482845"/>
      <w:bookmarkEnd w:id="206"/>
      <w:bookmarkStart w:id="207" w:name="_Toc968929"/>
      <w:bookmarkEnd w:id="207"/>
      <w:bookmarkStart w:id="208" w:name="_Toc970134"/>
      <w:bookmarkEnd w:id="208"/>
      <w:bookmarkStart w:id="209" w:name="_Toc1298329"/>
      <w:bookmarkEnd w:id="209"/>
      <w:bookmarkStart w:id="210" w:name="_Toc1374660"/>
      <w:bookmarkEnd w:id="210"/>
      <w:bookmarkStart w:id="211" w:name="_Toc1480195"/>
      <w:bookmarkEnd w:id="211"/>
      <w:bookmarkStart w:id="212" w:name="_Toc969529"/>
      <w:bookmarkEnd w:id="212"/>
      <w:bookmarkStart w:id="213" w:name="_Toc967181"/>
      <w:bookmarkEnd w:id="213"/>
      <w:bookmarkStart w:id="214" w:name="_Toc968343"/>
      <w:bookmarkEnd w:id="214"/>
      <w:bookmarkStart w:id="215" w:name="_Toc1374678"/>
      <w:bookmarkEnd w:id="215"/>
      <w:bookmarkStart w:id="216" w:name="_Toc968328"/>
      <w:bookmarkEnd w:id="216"/>
      <w:bookmarkStart w:id="217" w:name="_Toc970693"/>
      <w:bookmarkEnd w:id="217"/>
      <w:bookmarkStart w:id="218" w:name="_Toc1298861"/>
      <w:bookmarkEnd w:id="218"/>
      <w:bookmarkStart w:id="219" w:name="_Toc1480197"/>
      <w:bookmarkEnd w:id="219"/>
      <w:bookmarkStart w:id="220" w:name="_Toc1482842"/>
      <w:bookmarkEnd w:id="220"/>
      <w:bookmarkStart w:id="221" w:name="_Toc1482841"/>
      <w:bookmarkEnd w:id="221"/>
      <w:bookmarkStart w:id="222" w:name="_Toc970142"/>
      <w:bookmarkEnd w:id="222"/>
      <w:bookmarkStart w:id="223" w:name="_Toc969539"/>
      <w:bookmarkEnd w:id="223"/>
      <w:bookmarkStart w:id="224" w:name="_Toc1481532"/>
      <w:bookmarkEnd w:id="224"/>
      <w:bookmarkStart w:id="225" w:name="_Toc1374689"/>
      <w:bookmarkEnd w:id="225"/>
      <w:bookmarkStart w:id="226" w:name="_Toc1298361"/>
      <w:bookmarkEnd w:id="226"/>
      <w:bookmarkStart w:id="227" w:name="_Toc970727"/>
      <w:bookmarkEnd w:id="227"/>
      <w:bookmarkStart w:id="228" w:name="_Toc970723"/>
      <w:bookmarkEnd w:id="228"/>
      <w:bookmarkStart w:id="229" w:name="_Toc1482873"/>
      <w:bookmarkEnd w:id="229"/>
      <w:bookmarkStart w:id="230" w:name="_Toc1298891"/>
      <w:bookmarkEnd w:id="230"/>
      <w:bookmarkStart w:id="231" w:name="_Toc970722"/>
      <w:bookmarkEnd w:id="231"/>
      <w:bookmarkStart w:id="232" w:name="_Toc1374687"/>
      <w:bookmarkEnd w:id="232"/>
      <w:bookmarkStart w:id="233" w:name="_Toc969550"/>
      <w:bookmarkEnd w:id="233"/>
      <w:bookmarkStart w:id="234" w:name="_Toc970160"/>
      <w:bookmarkEnd w:id="234"/>
      <w:bookmarkStart w:id="235" w:name="_Toc969560"/>
      <w:bookmarkEnd w:id="235"/>
      <w:bookmarkStart w:id="236" w:name="_Toc967211"/>
      <w:bookmarkEnd w:id="236"/>
      <w:bookmarkStart w:id="237" w:name="_Toc1298360"/>
      <w:bookmarkEnd w:id="237"/>
      <w:bookmarkStart w:id="238" w:name="_Toc968958"/>
      <w:bookmarkEnd w:id="238"/>
      <w:bookmarkStart w:id="239" w:name="_Toc1480223"/>
      <w:bookmarkEnd w:id="239"/>
      <w:bookmarkStart w:id="240" w:name="_Toc968952"/>
      <w:bookmarkEnd w:id="240"/>
      <w:bookmarkStart w:id="241" w:name="_Toc1481550"/>
      <w:bookmarkEnd w:id="241"/>
      <w:bookmarkStart w:id="242" w:name="_Toc969559"/>
      <w:bookmarkEnd w:id="242"/>
      <w:bookmarkStart w:id="243" w:name="_Toc1481546"/>
      <w:bookmarkEnd w:id="243"/>
      <w:bookmarkStart w:id="244" w:name="_Toc968959"/>
      <w:bookmarkEnd w:id="244"/>
      <w:bookmarkStart w:id="245" w:name="_Toc1298897"/>
      <w:bookmarkEnd w:id="245"/>
      <w:bookmarkStart w:id="246" w:name="_Toc969558"/>
      <w:bookmarkEnd w:id="246"/>
      <w:bookmarkStart w:id="247" w:name="_Toc1482871"/>
      <w:bookmarkEnd w:id="247"/>
      <w:bookmarkStart w:id="248" w:name="_Toc970159"/>
      <w:bookmarkEnd w:id="248"/>
      <w:bookmarkStart w:id="249" w:name="_Toc968956"/>
      <w:bookmarkEnd w:id="249"/>
      <w:bookmarkStart w:id="250" w:name="_Toc1481544"/>
      <w:bookmarkEnd w:id="250"/>
      <w:bookmarkStart w:id="251" w:name="_Toc1481548"/>
      <w:bookmarkEnd w:id="251"/>
      <w:bookmarkStart w:id="252" w:name="_Toc968357"/>
      <w:bookmarkEnd w:id="252"/>
      <w:bookmarkStart w:id="253" w:name="_Toc970721"/>
      <w:bookmarkEnd w:id="253"/>
      <w:bookmarkStart w:id="254" w:name="_Toc1481554"/>
      <w:bookmarkEnd w:id="254"/>
      <w:bookmarkStart w:id="255" w:name="_Toc967208"/>
      <w:bookmarkEnd w:id="255"/>
      <w:bookmarkStart w:id="256" w:name="_Toc1480226"/>
      <w:bookmarkEnd w:id="256"/>
      <w:bookmarkStart w:id="257" w:name="_Toc1480227"/>
      <w:bookmarkEnd w:id="257"/>
      <w:bookmarkStart w:id="258" w:name="_Toc1298886"/>
      <w:bookmarkEnd w:id="258"/>
      <w:bookmarkStart w:id="259" w:name="_Toc970161"/>
      <w:bookmarkEnd w:id="259"/>
      <w:bookmarkStart w:id="260" w:name="_Toc1298357"/>
      <w:bookmarkEnd w:id="260"/>
      <w:bookmarkStart w:id="261" w:name="_Toc970158"/>
      <w:bookmarkEnd w:id="261"/>
      <w:bookmarkStart w:id="262" w:name="_Toc968353"/>
      <w:bookmarkEnd w:id="262"/>
      <w:bookmarkStart w:id="263" w:name="_Toc967210"/>
      <w:bookmarkEnd w:id="263"/>
      <w:bookmarkStart w:id="264" w:name="_Toc967214"/>
      <w:bookmarkEnd w:id="264"/>
      <w:bookmarkStart w:id="265" w:name="_Toc970724"/>
      <w:bookmarkEnd w:id="265"/>
      <w:bookmarkStart w:id="266" w:name="_Toc1480231"/>
      <w:bookmarkEnd w:id="266"/>
      <w:bookmarkStart w:id="267" w:name="_Toc1298362"/>
      <w:bookmarkEnd w:id="267"/>
      <w:bookmarkStart w:id="268" w:name="_Toc967213"/>
      <w:bookmarkEnd w:id="268"/>
      <w:bookmarkStart w:id="269" w:name="_Toc1481545"/>
      <w:bookmarkEnd w:id="269"/>
      <w:bookmarkStart w:id="270" w:name="_Toc1481552"/>
      <w:bookmarkEnd w:id="270"/>
      <w:bookmarkStart w:id="271" w:name="_Toc967206"/>
      <w:bookmarkEnd w:id="271"/>
      <w:bookmarkStart w:id="272" w:name="_Toc1482869"/>
      <w:bookmarkEnd w:id="272"/>
      <w:bookmarkStart w:id="273" w:name="_Toc1480232"/>
      <w:bookmarkEnd w:id="273"/>
      <w:bookmarkStart w:id="274" w:name="_Toc968350"/>
      <w:bookmarkEnd w:id="274"/>
      <w:bookmarkStart w:id="275" w:name="_Toc1298890"/>
      <w:bookmarkEnd w:id="275"/>
      <w:bookmarkStart w:id="276" w:name="_Toc1298358"/>
      <w:bookmarkEnd w:id="276"/>
      <w:bookmarkStart w:id="277" w:name="_Toc968349"/>
      <w:bookmarkEnd w:id="277"/>
      <w:bookmarkStart w:id="278" w:name="_Toc1374685"/>
      <w:bookmarkEnd w:id="278"/>
      <w:bookmarkStart w:id="279" w:name="_Toc970725"/>
      <w:bookmarkEnd w:id="279"/>
      <w:bookmarkStart w:id="280" w:name="_Toc1481541"/>
      <w:bookmarkEnd w:id="280"/>
      <w:bookmarkStart w:id="281" w:name="_Toc1374662"/>
      <w:bookmarkEnd w:id="281"/>
      <w:bookmarkStart w:id="282" w:name="_Toc1298341"/>
      <w:bookmarkEnd w:id="282"/>
      <w:bookmarkStart w:id="283" w:name="_Toc1481527"/>
      <w:bookmarkEnd w:id="283"/>
      <w:bookmarkStart w:id="284" w:name="_Toc1298866"/>
      <w:bookmarkEnd w:id="284"/>
      <w:bookmarkStart w:id="285" w:name="_Toc1482848"/>
      <w:bookmarkEnd w:id="285"/>
      <w:bookmarkStart w:id="286" w:name="_Toc1481531"/>
      <w:bookmarkEnd w:id="286"/>
      <w:bookmarkStart w:id="287" w:name="_Toc969535"/>
      <w:bookmarkEnd w:id="287"/>
      <w:bookmarkStart w:id="288" w:name="_Toc970138"/>
      <w:bookmarkEnd w:id="288"/>
      <w:bookmarkStart w:id="289" w:name="_Toc970700"/>
      <w:bookmarkEnd w:id="289"/>
      <w:bookmarkStart w:id="290" w:name="_Toc1298869"/>
      <w:bookmarkEnd w:id="290"/>
      <w:bookmarkStart w:id="291" w:name="_Toc969534"/>
      <w:bookmarkEnd w:id="291"/>
      <w:bookmarkStart w:id="292" w:name="_Toc968334"/>
      <w:bookmarkEnd w:id="292"/>
      <w:bookmarkStart w:id="293" w:name="_Toc1298334"/>
      <w:bookmarkEnd w:id="293"/>
      <w:bookmarkStart w:id="294" w:name="_Toc970131"/>
      <w:bookmarkEnd w:id="294"/>
      <w:bookmarkStart w:id="295" w:name="_Toc970137"/>
      <w:bookmarkEnd w:id="295"/>
      <w:bookmarkStart w:id="296" w:name="_Toc1298865"/>
      <w:bookmarkEnd w:id="296"/>
      <w:bookmarkStart w:id="297" w:name="_Toc1480201"/>
      <w:bookmarkEnd w:id="297"/>
      <w:bookmarkStart w:id="298" w:name="_Toc968330"/>
      <w:bookmarkEnd w:id="298"/>
      <w:bookmarkStart w:id="299" w:name="_Toc969527"/>
      <w:bookmarkEnd w:id="299"/>
      <w:bookmarkStart w:id="300" w:name="_Toc970136"/>
      <w:bookmarkEnd w:id="300"/>
      <w:bookmarkStart w:id="301" w:name="_Toc968932"/>
      <w:bookmarkEnd w:id="301"/>
      <w:bookmarkStart w:id="302" w:name="_Toc1374666"/>
      <w:bookmarkEnd w:id="302"/>
      <w:bookmarkStart w:id="303" w:name="_Toc1481522"/>
      <w:bookmarkEnd w:id="303"/>
      <w:bookmarkStart w:id="304" w:name="_Toc1374668"/>
      <w:bookmarkEnd w:id="304"/>
      <w:bookmarkStart w:id="305" w:name="_Toc967186"/>
      <w:bookmarkEnd w:id="305"/>
      <w:bookmarkStart w:id="306" w:name="_Toc1298336"/>
      <w:bookmarkEnd w:id="306"/>
      <w:bookmarkStart w:id="307" w:name="_Toc970698"/>
      <w:bookmarkEnd w:id="307"/>
      <w:bookmarkStart w:id="308" w:name="_Toc970695"/>
      <w:bookmarkEnd w:id="308"/>
      <w:bookmarkStart w:id="309" w:name="_Toc1482846"/>
      <w:bookmarkEnd w:id="309"/>
      <w:bookmarkStart w:id="310" w:name="_Toc1298338"/>
      <w:bookmarkEnd w:id="310"/>
      <w:bookmarkStart w:id="311" w:name="_Toc1298868"/>
      <w:bookmarkEnd w:id="311"/>
      <w:bookmarkStart w:id="312" w:name="_Toc968325"/>
      <w:bookmarkEnd w:id="312"/>
      <w:bookmarkStart w:id="313" w:name="_Toc970701"/>
      <w:bookmarkEnd w:id="313"/>
      <w:bookmarkStart w:id="314" w:name="_Toc967185"/>
      <w:bookmarkEnd w:id="314"/>
      <w:bookmarkStart w:id="315" w:name="_Toc968930"/>
      <w:bookmarkEnd w:id="315"/>
      <w:bookmarkStart w:id="316" w:name="_Toc969532"/>
      <w:bookmarkEnd w:id="316"/>
      <w:bookmarkStart w:id="317" w:name="_Toc1482853"/>
      <w:bookmarkEnd w:id="317"/>
      <w:bookmarkStart w:id="318" w:name="_Toc1298331"/>
      <w:bookmarkEnd w:id="318"/>
      <w:bookmarkStart w:id="319" w:name="_Toc1482849"/>
      <w:bookmarkEnd w:id="319"/>
      <w:bookmarkStart w:id="320" w:name="_Toc1480200"/>
      <w:bookmarkEnd w:id="320"/>
      <w:bookmarkStart w:id="321" w:name="_Toc967184"/>
      <w:bookmarkEnd w:id="321"/>
      <w:bookmarkStart w:id="322" w:name="_Toc968931"/>
      <w:bookmarkEnd w:id="322"/>
      <w:bookmarkStart w:id="323" w:name="_Toc1298867"/>
      <w:bookmarkEnd w:id="323"/>
      <w:bookmarkStart w:id="324" w:name="_Toc1298335"/>
      <w:bookmarkEnd w:id="324"/>
      <w:bookmarkStart w:id="325" w:name="_Toc1482843"/>
      <w:bookmarkEnd w:id="325"/>
      <w:bookmarkStart w:id="326" w:name="_Toc967182"/>
      <w:bookmarkEnd w:id="326"/>
      <w:bookmarkStart w:id="327" w:name="_Toc1480199"/>
      <w:bookmarkEnd w:id="327"/>
      <w:bookmarkStart w:id="328" w:name="_Toc1480203"/>
      <w:bookmarkEnd w:id="328"/>
      <w:bookmarkStart w:id="329" w:name="_Toc970132"/>
      <w:bookmarkEnd w:id="329"/>
      <w:bookmarkStart w:id="330" w:name="_Toc1298337"/>
      <w:bookmarkEnd w:id="330"/>
      <w:bookmarkStart w:id="331" w:name="_Toc968327"/>
      <w:bookmarkEnd w:id="331"/>
      <w:bookmarkStart w:id="332" w:name="_Toc1374665"/>
      <w:bookmarkEnd w:id="332"/>
      <w:bookmarkStart w:id="333" w:name="_Toc1482847"/>
      <w:bookmarkEnd w:id="333"/>
      <w:bookmarkStart w:id="334" w:name="_Toc968326"/>
      <w:bookmarkEnd w:id="334"/>
      <w:bookmarkStart w:id="335" w:name="_Toc970130"/>
      <w:bookmarkEnd w:id="335"/>
      <w:bookmarkStart w:id="336" w:name="_Toc1480206"/>
      <w:bookmarkEnd w:id="336"/>
      <w:bookmarkStart w:id="337" w:name="_Toc1481519"/>
      <w:bookmarkEnd w:id="337"/>
      <w:bookmarkStart w:id="338" w:name="_Toc968924"/>
      <w:bookmarkEnd w:id="338"/>
      <w:bookmarkStart w:id="339" w:name="_Toc1374680"/>
      <w:bookmarkEnd w:id="339"/>
      <w:bookmarkStart w:id="340" w:name="_Toc1374664"/>
      <w:bookmarkEnd w:id="340"/>
      <w:bookmarkStart w:id="341" w:name="_Toc968331"/>
      <w:bookmarkEnd w:id="341"/>
      <w:bookmarkStart w:id="342" w:name="_Toc970128"/>
      <w:bookmarkEnd w:id="342"/>
      <w:bookmarkStart w:id="343" w:name="_Toc967187"/>
      <w:bookmarkEnd w:id="343"/>
      <w:bookmarkStart w:id="344" w:name="_Toc969528"/>
      <w:bookmarkEnd w:id="344"/>
      <w:bookmarkStart w:id="345" w:name="_Toc967180"/>
      <w:bookmarkEnd w:id="345"/>
      <w:bookmarkStart w:id="346" w:name="_Toc970696"/>
      <w:bookmarkEnd w:id="346"/>
      <w:bookmarkStart w:id="347" w:name="_Toc1374673"/>
      <w:bookmarkEnd w:id="347"/>
      <w:bookmarkStart w:id="348" w:name="_Toc968928"/>
      <w:bookmarkEnd w:id="348"/>
      <w:bookmarkStart w:id="349" w:name="_Toc1481524"/>
      <w:bookmarkEnd w:id="349"/>
      <w:bookmarkStart w:id="350" w:name="_Toc1298333"/>
      <w:bookmarkEnd w:id="350"/>
      <w:bookmarkStart w:id="351" w:name="_Toc967179"/>
      <w:bookmarkEnd w:id="351"/>
      <w:bookmarkStart w:id="352" w:name="_Toc968933"/>
      <w:bookmarkEnd w:id="352"/>
      <w:bookmarkStart w:id="353" w:name="_Toc968926"/>
      <w:bookmarkEnd w:id="353"/>
      <w:bookmarkStart w:id="354" w:name="_Toc967188"/>
      <w:bookmarkEnd w:id="354"/>
      <w:bookmarkStart w:id="355" w:name="_Toc970133"/>
      <w:bookmarkEnd w:id="355"/>
      <w:bookmarkStart w:id="356" w:name="_Toc970702"/>
      <w:bookmarkEnd w:id="356"/>
      <w:bookmarkStart w:id="357" w:name="_Toc968335"/>
      <w:bookmarkEnd w:id="357"/>
      <w:bookmarkStart w:id="358" w:name="_Toc968955"/>
      <w:bookmarkEnd w:id="358"/>
      <w:bookmarkStart w:id="359" w:name="_Toc969554"/>
      <w:bookmarkEnd w:id="359"/>
      <w:bookmarkStart w:id="360" w:name="_Toc1480228"/>
      <w:bookmarkEnd w:id="360"/>
      <w:bookmarkStart w:id="361" w:name="_Toc970154"/>
      <w:bookmarkEnd w:id="361"/>
      <w:bookmarkStart w:id="362" w:name="_Toc970144"/>
      <w:bookmarkEnd w:id="362"/>
      <w:bookmarkStart w:id="363" w:name="_Toc1480224"/>
      <w:bookmarkEnd w:id="363"/>
      <w:bookmarkStart w:id="364" w:name="_Toc1374695"/>
      <w:bookmarkEnd w:id="364"/>
      <w:bookmarkStart w:id="365" w:name="_Toc969542"/>
      <w:bookmarkEnd w:id="365"/>
      <w:bookmarkStart w:id="366" w:name="_Toc970145"/>
      <w:bookmarkEnd w:id="366"/>
      <w:bookmarkStart w:id="367" w:name="_Toc1298355"/>
      <w:bookmarkEnd w:id="367"/>
      <w:bookmarkStart w:id="368" w:name="_Toc1481547"/>
      <w:bookmarkEnd w:id="368"/>
      <w:bookmarkStart w:id="369" w:name="_Toc967197"/>
      <w:bookmarkEnd w:id="369"/>
      <w:bookmarkStart w:id="370" w:name="_Toc1482868"/>
      <w:bookmarkEnd w:id="370"/>
      <w:bookmarkStart w:id="371" w:name="_Toc967209"/>
      <w:bookmarkEnd w:id="371"/>
      <w:bookmarkStart w:id="372" w:name="_Toc970157"/>
      <w:bookmarkEnd w:id="372"/>
      <w:bookmarkStart w:id="373" w:name="_Toc969551"/>
      <w:bookmarkEnd w:id="373"/>
      <w:bookmarkStart w:id="374" w:name="_Toc1482859"/>
      <w:bookmarkEnd w:id="374"/>
      <w:bookmarkStart w:id="375" w:name="_Toc1298356"/>
      <w:bookmarkEnd w:id="375"/>
      <w:bookmarkStart w:id="376" w:name="_Toc968347"/>
      <w:bookmarkEnd w:id="376"/>
      <w:bookmarkStart w:id="377" w:name="_Toc1298345"/>
      <w:bookmarkEnd w:id="377"/>
      <w:bookmarkStart w:id="378" w:name="_Toc1481549"/>
      <w:bookmarkEnd w:id="378"/>
      <w:bookmarkStart w:id="379" w:name="_Toc969557"/>
      <w:bookmarkEnd w:id="379"/>
      <w:bookmarkStart w:id="380" w:name="_Toc968351"/>
      <w:bookmarkEnd w:id="380"/>
      <w:bookmarkStart w:id="381" w:name="_Toc967207"/>
      <w:bookmarkEnd w:id="381"/>
      <w:bookmarkStart w:id="382" w:name="_Toc970730"/>
      <w:bookmarkEnd w:id="382"/>
      <w:bookmarkStart w:id="383" w:name="_Toc968341"/>
      <w:bookmarkEnd w:id="383"/>
      <w:bookmarkStart w:id="384" w:name="_Toc970720"/>
      <w:bookmarkEnd w:id="384"/>
      <w:bookmarkStart w:id="385" w:name="_Toc1480213"/>
      <w:bookmarkEnd w:id="385"/>
      <w:bookmarkStart w:id="386" w:name="_Toc967192"/>
      <w:bookmarkEnd w:id="386"/>
      <w:bookmarkStart w:id="387" w:name="_Toc1298359"/>
      <w:bookmarkEnd w:id="387"/>
      <w:bookmarkStart w:id="388" w:name="_Toc970711"/>
      <w:bookmarkEnd w:id="388"/>
      <w:bookmarkStart w:id="389" w:name="_Toc1374690"/>
      <w:bookmarkEnd w:id="389"/>
      <w:bookmarkStart w:id="390" w:name="_Toc1298876"/>
      <w:bookmarkEnd w:id="390"/>
      <w:bookmarkStart w:id="391" w:name="_Toc968942"/>
      <w:bookmarkEnd w:id="391"/>
      <w:bookmarkStart w:id="392" w:name="_Toc968954"/>
      <w:bookmarkEnd w:id="392"/>
      <w:bookmarkStart w:id="393" w:name="_Toc969553"/>
      <w:bookmarkEnd w:id="393"/>
      <w:bookmarkStart w:id="394" w:name="_Toc1480220"/>
      <w:bookmarkEnd w:id="394"/>
      <w:bookmarkStart w:id="395" w:name="_Toc1374684"/>
      <w:bookmarkEnd w:id="395"/>
      <w:bookmarkStart w:id="396" w:name="_Toc1374686"/>
      <w:bookmarkEnd w:id="396"/>
      <w:bookmarkStart w:id="397" w:name="_Toc1298879"/>
      <w:bookmarkEnd w:id="397"/>
      <w:bookmarkStart w:id="398" w:name="_Toc1480222"/>
      <w:bookmarkEnd w:id="398"/>
      <w:bookmarkStart w:id="399" w:name="_Toc968356"/>
      <w:bookmarkEnd w:id="399"/>
      <w:bookmarkStart w:id="400" w:name="_Toc1298885"/>
      <w:bookmarkEnd w:id="400"/>
      <w:bookmarkStart w:id="401" w:name="_Toc969555"/>
      <w:bookmarkEnd w:id="401"/>
      <w:bookmarkStart w:id="402" w:name="_Toc970152"/>
      <w:bookmarkEnd w:id="402"/>
      <w:bookmarkStart w:id="403" w:name="_Toc968348"/>
      <w:bookmarkEnd w:id="403"/>
      <w:bookmarkStart w:id="404" w:name="_Toc969552"/>
      <w:bookmarkEnd w:id="404"/>
      <w:bookmarkStart w:id="405" w:name="_Toc1298348"/>
      <w:bookmarkEnd w:id="405"/>
      <w:bookmarkStart w:id="406" w:name="_Toc1480221"/>
      <w:bookmarkEnd w:id="406"/>
      <w:bookmarkStart w:id="407" w:name="_Toc1298344"/>
      <w:bookmarkEnd w:id="407"/>
      <w:bookmarkStart w:id="408" w:name="_Toc1298889"/>
      <w:bookmarkEnd w:id="408"/>
      <w:bookmarkStart w:id="409" w:name="_Toc1298892"/>
      <w:bookmarkEnd w:id="409"/>
      <w:bookmarkStart w:id="410" w:name="_Toc968939"/>
      <w:bookmarkEnd w:id="410"/>
      <w:bookmarkStart w:id="411" w:name="_Toc1298874"/>
      <w:bookmarkEnd w:id="411"/>
      <w:bookmarkStart w:id="412" w:name="_Toc967205"/>
      <w:bookmarkEnd w:id="412"/>
      <w:bookmarkStart w:id="413" w:name="_Toc968953"/>
      <w:bookmarkEnd w:id="413"/>
      <w:bookmarkStart w:id="414" w:name="_Toc1298887"/>
      <w:bookmarkEnd w:id="414"/>
      <w:bookmarkStart w:id="415" w:name="_Toc1298354"/>
      <w:bookmarkEnd w:id="415"/>
      <w:bookmarkStart w:id="416" w:name="_Toc1480225"/>
      <w:bookmarkEnd w:id="416"/>
      <w:bookmarkStart w:id="417" w:name="_Toc1482870"/>
      <w:bookmarkEnd w:id="417"/>
      <w:bookmarkStart w:id="418" w:name="_Toc970155"/>
      <w:bookmarkEnd w:id="418"/>
      <w:bookmarkStart w:id="419" w:name="_Toc1298888"/>
      <w:bookmarkEnd w:id="419"/>
      <w:bookmarkStart w:id="420" w:name="_Toc1480229"/>
      <w:bookmarkEnd w:id="420"/>
      <w:bookmarkStart w:id="421" w:name="_Toc968352"/>
      <w:bookmarkEnd w:id="421"/>
      <w:bookmarkStart w:id="422" w:name="_Toc1374677"/>
      <w:bookmarkEnd w:id="422"/>
      <w:bookmarkStart w:id="423" w:name="_Toc970156"/>
      <w:bookmarkEnd w:id="423"/>
      <w:bookmarkStart w:id="424" w:name="_Toc1481543"/>
      <w:bookmarkEnd w:id="424"/>
      <w:bookmarkStart w:id="425" w:name="_Toc1482864"/>
      <w:bookmarkEnd w:id="425"/>
      <w:bookmarkStart w:id="426" w:name="_Toc1481556"/>
      <w:bookmarkEnd w:id="426"/>
      <w:bookmarkStart w:id="427" w:name="_Toc970694"/>
      <w:bookmarkEnd w:id="427"/>
      <w:bookmarkStart w:id="428" w:name="_Toc969547"/>
      <w:bookmarkEnd w:id="428"/>
      <w:bookmarkStart w:id="429" w:name="_Toc1480219"/>
      <w:bookmarkEnd w:id="429"/>
      <w:bookmarkStart w:id="430" w:name="_Toc1298352"/>
      <w:bookmarkEnd w:id="430"/>
      <w:bookmarkStart w:id="431" w:name="_Toc967201"/>
      <w:bookmarkEnd w:id="431"/>
      <w:bookmarkStart w:id="432" w:name="_Toc968346"/>
      <w:bookmarkEnd w:id="432"/>
      <w:bookmarkStart w:id="433" w:name="_Toc527728039"/>
      <w:bookmarkEnd w:id="433"/>
      <w:bookmarkStart w:id="434" w:name="_Toc969549"/>
      <w:bookmarkEnd w:id="434"/>
      <w:bookmarkStart w:id="435" w:name="_Toc1298353"/>
      <w:bookmarkEnd w:id="435"/>
      <w:bookmarkStart w:id="436" w:name="_Toc970731"/>
      <w:bookmarkEnd w:id="436"/>
      <w:bookmarkStart w:id="437" w:name="_Toc969561"/>
      <w:bookmarkEnd w:id="437"/>
      <w:bookmarkStart w:id="438" w:name="_Toc1480218"/>
      <w:bookmarkEnd w:id="438"/>
      <w:bookmarkStart w:id="439" w:name="_Toc1481555"/>
      <w:bookmarkEnd w:id="439"/>
      <w:bookmarkStart w:id="440" w:name="_Toc1480217"/>
      <w:bookmarkEnd w:id="440"/>
      <w:bookmarkStart w:id="441" w:name="_Toc1374698"/>
      <w:bookmarkEnd w:id="441"/>
      <w:bookmarkStart w:id="442" w:name="_Toc1298351"/>
      <w:bookmarkEnd w:id="442"/>
      <w:bookmarkStart w:id="443" w:name="_Toc527967167"/>
      <w:bookmarkEnd w:id="443"/>
      <w:bookmarkStart w:id="444" w:name="_Toc1482865"/>
      <w:bookmarkEnd w:id="444"/>
      <w:bookmarkStart w:id="445" w:name="_Toc968948"/>
      <w:bookmarkEnd w:id="445"/>
      <w:bookmarkStart w:id="446" w:name="_Toc970716"/>
      <w:bookmarkEnd w:id="446"/>
      <w:bookmarkStart w:id="447" w:name="_Toc969548"/>
      <w:bookmarkEnd w:id="447"/>
      <w:bookmarkStart w:id="448" w:name="_Toc967215"/>
      <w:bookmarkEnd w:id="448"/>
      <w:bookmarkStart w:id="449" w:name="_Toc970150"/>
      <w:bookmarkEnd w:id="449"/>
      <w:bookmarkStart w:id="450" w:name="_Toc1374696"/>
      <w:bookmarkEnd w:id="450"/>
      <w:bookmarkStart w:id="451" w:name="_Toc969556"/>
      <w:bookmarkEnd w:id="451"/>
      <w:bookmarkStart w:id="452" w:name="_Toc1374692"/>
      <w:bookmarkEnd w:id="452"/>
      <w:bookmarkStart w:id="453" w:name="_Toc527728043"/>
      <w:bookmarkEnd w:id="453"/>
      <w:bookmarkStart w:id="454" w:name="_Toc1298898"/>
      <w:bookmarkEnd w:id="454"/>
      <w:bookmarkStart w:id="455" w:name="_Toc1298895"/>
      <w:bookmarkEnd w:id="455"/>
      <w:bookmarkStart w:id="456" w:name="_Toc970163"/>
      <w:bookmarkEnd w:id="456"/>
      <w:bookmarkStart w:id="457" w:name="_Toc1481557"/>
      <w:bookmarkEnd w:id="457"/>
      <w:bookmarkStart w:id="458" w:name="_Toc968355"/>
      <w:bookmarkEnd w:id="458"/>
      <w:bookmarkStart w:id="459" w:name="_Toc1298366"/>
      <w:bookmarkEnd w:id="459"/>
      <w:bookmarkStart w:id="460" w:name="_Toc968960"/>
      <w:bookmarkEnd w:id="460"/>
      <w:bookmarkStart w:id="461" w:name="_Toc969563"/>
      <w:bookmarkEnd w:id="461"/>
      <w:bookmarkStart w:id="462" w:name="_Toc1374694"/>
      <w:bookmarkEnd w:id="462"/>
      <w:bookmarkStart w:id="463" w:name="_Toc970164"/>
      <w:bookmarkEnd w:id="463"/>
      <w:bookmarkStart w:id="464" w:name="_Toc968944"/>
      <w:bookmarkEnd w:id="464"/>
      <w:bookmarkStart w:id="465" w:name="_Toc968962"/>
      <w:bookmarkEnd w:id="465"/>
      <w:bookmarkStart w:id="466" w:name="_Toc1482874"/>
      <w:bookmarkEnd w:id="466"/>
      <w:bookmarkStart w:id="467" w:name="_Toc527710783"/>
      <w:bookmarkEnd w:id="467"/>
      <w:bookmarkStart w:id="468" w:name="_Toc1480233"/>
      <w:bookmarkEnd w:id="468"/>
      <w:bookmarkStart w:id="469" w:name="_Toc970162"/>
      <w:bookmarkEnd w:id="469"/>
      <w:bookmarkStart w:id="470" w:name="_Toc1298896"/>
      <w:bookmarkEnd w:id="470"/>
      <w:bookmarkStart w:id="471" w:name="_Toc1482876"/>
      <w:bookmarkEnd w:id="471"/>
      <w:bookmarkStart w:id="472" w:name="_Toc967217"/>
      <w:bookmarkEnd w:id="472"/>
      <w:bookmarkStart w:id="473" w:name="_Toc1298894"/>
      <w:bookmarkEnd w:id="473"/>
      <w:bookmarkStart w:id="474" w:name="_Toc1482872"/>
      <w:bookmarkEnd w:id="474"/>
      <w:bookmarkStart w:id="475" w:name="_Toc1482861"/>
      <w:bookmarkEnd w:id="475"/>
      <w:bookmarkStart w:id="476" w:name="_Toc1374693"/>
      <w:bookmarkEnd w:id="476"/>
      <w:bookmarkStart w:id="477" w:name="_Toc527967168"/>
      <w:bookmarkEnd w:id="477"/>
      <w:bookmarkStart w:id="478" w:name="_Toc1482875"/>
      <w:bookmarkEnd w:id="478"/>
      <w:bookmarkStart w:id="479" w:name="_Toc968354"/>
      <w:bookmarkEnd w:id="479"/>
      <w:bookmarkStart w:id="480" w:name="_Toc1480230"/>
      <w:bookmarkEnd w:id="480"/>
      <w:bookmarkStart w:id="481" w:name="_Toc527710779"/>
      <w:bookmarkEnd w:id="481"/>
      <w:bookmarkStart w:id="482" w:name="_Toc968360"/>
      <w:bookmarkEnd w:id="482"/>
      <w:bookmarkStart w:id="483" w:name="_Toc968358"/>
      <w:bookmarkEnd w:id="483"/>
      <w:bookmarkStart w:id="484" w:name="_Toc1298368"/>
      <w:bookmarkEnd w:id="484"/>
      <w:bookmarkStart w:id="485" w:name="_Toc1482878"/>
      <w:bookmarkEnd w:id="485"/>
      <w:bookmarkStart w:id="486" w:name="_Toc970165"/>
      <w:bookmarkEnd w:id="486"/>
      <w:bookmarkStart w:id="487" w:name="_Toc1481553"/>
      <w:bookmarkEnd w:id="487"/>
      <w:bookmarkStart w:id="488" w:name="_Toc970715"/>
      <w:bookmarkEnd w:id="488"/>
      <w:bookmarkStart w:id="489" w:name="_Toc1482880"/>
      <w:bookmarkEnd w:id="489"/>
      <w:bookmarkStart w:id="490" w:name="_Toc527728040"/>
      <w:bookmarkEnd w:id="490"/>
      <w:bookmarkStart w:id="491" w:name="_Toc970732"/>
      <w:bookmarkEnd w:id="491"/>
      <w:bookmarkStart w:id="492" w:name="_Toc967216"/>
      <w:bookmarkEnd w:id="492"/>
      <w:bookmarkStart w:id="493" w:name="_Toc527967170"/>
      <w:bookmarkEnd w:id="493"/>
      <w:bookmarkStart w:id="494" w:name="_Toc1482879"/>
      <w:bookmarkEnd w:id="494"/>
      <w:bookmarkStart w:id="495" w:name="_Toc968963"/>
      <w:bookmarkEnd w:id="495"/>
      <w:bookmarkStart w:id="496" w:name="_Toc527728041"/>
      <w:bookmarkEnd w:id="496"/>
      <w:bookmarkStart w:id="497" w:name="_Toc967218"/>
      <w:bookmarkEnd w:id="497"/>
      <w:bookmarkStart w:id="498" w:name="_Toc969562"/>
      <w:bookmarkEnd w:id="498"/>
      <w:bookmarkStart w:id="499" w:name="_Toc527710780"/>
      <w:bookmarkEnd w:id="499"/>
      <w:bookmarkStart w:id="500" w:name="_Toc1298883"/>
      <w:bookmarkEnd w:id="500"/>
      <w:bookmarkStart w:id="501" w:name="_Toc968345"/>
      <w:bookmarkEnd w:id="501"/>
      <w:bookmarkStart w:id="502" w:name="_Toc1298899"/>
      <w:bookmarkEnd w:id="502"/>
      <w:bookmarkStart w:id="503" w:name="_Toc969564"/>
      <w:bookmarkEnd w:id="503"/>
      <w:bookmarkStart w:id="504" w:name="_Toc1298367"/>
      <w:bookmarkEnd w:id="504"/>
      <w:bookmarkStart w:id="505" w:name="_Toc1480234"/>
      <w:bookmarkEnd w:id="505"/>
      <w:bookmarkStart w:id="506" w:name="_Toc527967166"/>
      <w:bookmarkEnd w:id="506"/>
      <w:bookmarkStart w:id="507" w:name="_Toc527710781"/>
      <w:bookmarkEnd w:id="507"/>
      <w:bookmarkStart w:id="508" w:name="_Toc1374697"/>
      <w:bookmarkEnd w:id="508"/>
      <w:bookmarkStart w:id="509" w:name="_Toc968946"/>
      <w:bookmarkEnd w:id="509"/>
      <w:bookmarkStart w:id="510" w:name="_Toc1298363"/>
      <w:bookmarkEnd w:id="510"/>
      <w:bookmarkStart w:id="511" w:name="_Toc1298893"/>
      <w:bookmarkEnd w:id="511"/>
      <w:bookmarkStart w:id="512" w:name="_Toc968359"/>
      <w:bookmarkEnd w:id="512"/>
      <w:bookmarkStart w:id="513" w:name="_Toc1298364"/>
      <w:bookmarkEnd w:id="513"/>
      <w:bookmarkStart w:id="514" w:name="_Toc1374691"/>
      <w:bookmarkEnd w:id="514"/>
      <w:bookmarkStart w:id="515" w:name="_Toc1298365"/>
      <w:bookmarkEnd w:id="515"/>
      <w:bookmarkStart w:id="516" w:name="_Toc968361"/>
      <w:bookmarkEnd w:id="516"/>
      <w:bookmarkStart w:id="517" w:name="_Toc970729"/>
      <w:bookmarkEnd w:id="517"/>
      <w:bookmarkStart w:id="518" w:name="_Toc970726"/>
      <w:bookmarkEnd w:id="518"/>
      <w:bookmarkStart w:id="519" w:name="_Toc970728"/>
      <w:bookmarkEnd w:id="519"/>
      <w:bookmarkStart w:id="520" w:name="_Toc968957"/>
      <w:bookmarkEnd w:id="520"/>
      <w:bookmarkStart w:id="521" w:name="_Toc967212"/>
      <w:bookmarkEnd w:id="521"/>
      <w:bookmarkStart w:id="522" w:name="_Toc968961"/>
      <w:bookmarkEnd w:id="522"/>
      <w:bookmarkStart w:id="523" w:name="_Toc1481551"/>
      <w:bookmarkEnd w:id="523"/>
      <w:r>
        <w:rPr>
          <w:rFonts w:asciiTheme="minorEastAsia" w:hAnsiTheme="minorEastAsia"/>
          <w:sz w:val="30"/>
          <w:szCs w:val="30"/>
        </w:rPr>
        <w:t xml:space="preserve">  </w:t>
      </w:r>
      <w:r>
        <w:fldChar w:fldCharType="begin"/>
      </w:r>
      <w:r>
        <w:instrText xml:space="preserve"> HYPERLINK \l "_Toc509327568" </w:instrText>
      </w:r>
      <w:r>
        <w:fldChar w:fldCharType="separate"/>
      </w:r>
      <w:r>
        <w:rPr>
          <w:rFonts w:hint="eastAsia" w:ascii="黑体" w:hAnsi="黑体" w:eastAsia="黑体"/>
          <w:sz w:val="30"/>
          <w:szCs w:val="30"/>
        </w:rPr>
        <w:t>生产装置</w:t>
      </w:r>
      <w:bookmarkEnd w:id="29"/>
      <w:bookmarkEnd w:id="30"/>
      <w:r>
        <w:rPr>
          <w:rFonts w:hint="eastAsia" w:ascii="黑体" w:hAnsi="黑体" w:eastAsia="黑体"/>
          <w:sz w:val="30"/>
          <w:szCs w:val="30"/>
        </w:rPr>
        <w:fldChar w:fldCharType="end"/>
      </w:r>
      <w:r>
        <w:rPr>
          <w:rFonts w:hint="eastAsia" w:ascii="黑体" w:hAnsi="黑体" w:eastAsia="黑体"/>
          <w:sz w:val="30"/>
          <w:szCs w:val="30"/>
        </w:rPr>
        <w:t>及系统单元</w:t>
      </w:r>
      <w:bookmarkEnd w:id="31"/>
    </w:p>
    <w:p>
      <w:pPr>
        <w:pStyle w:val="3"/>
        <w:spacing w:line="360" w:lineRule="auto"/>
        <w:jc w:val="center"/>
        <w:rPr>
          <w:rFonts w:ascii="Times New Roman" w:hAnsi="Times New Roman" w:eastAsia="黑体"/>
          <w:b w:val="0"/>
        </w:rPr>
      </w:pPr>
      <w:bookmarkStart w:id="524" w:name="_Toc970735"/>
      <w:bookmarkStart w:id="525" w:name="_Toc146639853"/>
      <w:bookmarkStart w:id="526" w:name="_Toc44668317"/>
      <w:r>
        <w:rPr>
          <w:rFonts w:ascii="Times New Roman" w:hAnsi="Times New Roman" w:eastAsia="黑体"/>
          <w:b w:val="0"/>
          <w:bCs w:val="0"/>
        </w:rPr>
        <w:t>4.</w:t>
      </w:r>
      <w:bookmarkEnd w:id="524"/>
      <w:bookmarkStart w:id="527" w:name="_Toc967233"/>
      <w:bookmarkEnd w:id="527"/>
      <w:bookmarkStart w:id="528" w:name="_Toc968378"/>
      <w:bookmarkEnd w:id="528"/>
      <w:bookmarkStart w:id="529" w:name="_Toc968969"/>
      <w:bookmarkEnd w:id="529"/>
      <w:bookmarkStart w:id="530" w:name="_Toc969577"/>
      <w:bookmarkEnd w:id="530"/>
      <w:bookmarkStart w:id="531" w:name="_Toc968372"/>
      <w:bookmarkEnd w:id="531"/>
      <w:bookmarkStart w:id="532" w:name="_Toc968377"/>
      <w:bookmarkEnd w:id="532"/>
      <w:bookmarkStart w:id="533" w:name="_Toc969576"/>
      <w:bookmarkEnd w:id="533"/>
      <w:bookmarkStart w:id="534" w:name="_Toc968986"/>
      <w:bookmarkEnd w:id="534"/>
      <w:bookmarkStart w:id="535" w:name="_Toc967229"/>
      <w:bookmarkEnd w:id="535"/>
      <w:bookmarkStart w:id="536" w:name="_Toc536801088"/>
      <w:bookmarkEnd w:id="536"/>
      <w:bookmarkStart w:id="537" w:name="_Toc969567"/>
      <w:bookmarkEnd w:id="537"/>
      <w:bookmarkStart w:id="538" w:name="_Toc967227"/>
      <w:bookmarkEnd w:id="538"/>
      <w:bookmarkStart w:id="539" w:name="_Toc967236"/>
      <w:bookmarkEnd w:id="539"/>
      <w:bookmarkStart w:id="540" w:name="_Toc968978"/>
      <w:bookmarkEnd w:id="540"/>
      <w:bookmarkStart w:id="541" w:name="_Toc968375"/>
      <w:bookmarkEnd w:id="541"/>
      <w:bookmarkStart w:id="542" w:name="_Toc969568"/>
      <w:bookmarkEnd w:id="542"/>
      <w:bookmarkStart w:id="543" w:name="_Toc968973"/>
      <w:bookmarkEnd w:id="543"/>
      <w:bookmarkStart w:id="544" w:name="_Toc968370"/>
      <w:bookmarkEnd w:id="544"/>
      <w:bookmarkStart w:id="545" w:name="_Toc968367"/>
      <w:bookmarkEnd w:id="545"/>
      <w:bookmarkStart w:id="546" w:name="_Toc968976"/>
      <w:bookmarkEnd w:id="546"/>
      <w:bookmarkStart w:id="547" w:name="_Toc969573"/>
      <w:bookmarkEnd w:id="547"/>
      <w:bookmarkStart w:id="548" w:name="_Toc968994"/>
      <w:bookmarkEnd w:id="548"/>
      <w:bookmarkStart w:id="549" w:name="_Toc536801319"/>
      <w:bookmarkEnd w:id="549"/>
      <w:bookmarkStart w:id="550" w:name="_Toc969581"/>
      <w:bookmarkEnd w:id="550"/>
      <w:bookmarkStart w:id="551" w:name="_Toc968991"/>
      <w:bookmarkEnd w:id="551"/>
      <w:bookmarkStart w:id="552" w:name="_Toc536801086"/>
      <w:bookmarkEnd w:id="552"/>
      <w:bookmarkStart w:id="553" w:name="_Toc968980"/>
      <w:bookmarkEnd w:id="553"/>
      <w:bookmarkStart w:id="554" w:name="_Toc536801322"/>
      <w:bookmarkEnd w:id="554"/>
      <w:bookmarkStart w:id="555" w:name="_Toc969572"/>
      <w:bookmarkEnd w:id="555"/>
      <w:bookmarkStart w:id="556" w:name="_Toc536801092"/>
      <w:bookmarkEnd w:id="556"/>
      <w:bookmarkStart w:id="557" w:name="_Toc536801085"/>
      <w:bookmarkEnd w:id="557"/>
      <w:bookmarkStart w:id="558" w:name="_Toc969579"/>
      <w:bookmarkEnd w:id="558"/>
      <w:bookmarkStart w:id="559" w:name="_Toc968967"/>
      <w:bookmarkEnd w:id="559"/>
      <w:bookmarkStart w:id="560" w:name="_Toc968983"/>
      <w:bookmarkEnd w:id="560"/>
      <w:bookmarkStart w:id="561" w:name="_Toc968984"/>
      <w:bookmarkEnd w:id="561"/>
      <w:bookmarkStart w:id="562" w:name="_Toc536801087"/>
      <w:bookmarkEnd w:id="562"/>
      <w:bookmarkStart w:id="563" w:name="_Toc969580"/>
      <w:bookmarkEnd w:id="563"/>
      <w:bookmarkStart w:id="564" w:name="_Toc536801104"/>
      <w:bookmarkEnd w:id="564"/>
      <w:bookmarkStart w:id="565" w:name="_Toc968970"/>
      <w:bookmarkEnd w:id="565"/>
      <w:bookmarkStart w:id="566" w:name="_Toc967228"/>
      <w:bookmarkEnd w:id="566"/>
      <w:bookmarkStart w:id="567" w:name="_Toc968974"/>
      <w:bookmarkEnd w:id="567"/>
      <w:bookmarkStart w:id="568" w:name="_Toc968975"/>
      <w:bookmarkEnd w:id="568"/>
      <w:bookmarkStart w:id="569" w:name="_Toc968968"/>
      <w:bookmarkEnd w:id="569"/>
      <w:bookmarkStart w:id="570" w:name="_Toc968382"/>
      <w:bookmarkEnd w:id="570"/>
      <w:bookmarkStart w:id="571" w:name="_Toc968365"/>
      <w:bookmarkEnd w:id="571"/>
      <w:bookmarkStart w:id="572" w:name="_Toc967224"/>
      <w:bookmarkEnd w:id="572"/>
      <w:bookmarkStart w:id="573" w:name="_Toc967226"/>
      <w:bookmarkEnd w:id="573"/>
      <w:bookmarkStart w:id="574" w:name="_Toc967221"/>
      <w:bookmarkEnd w:id="574"/>
      <w:bookmarkStart w:id="575" w:name="_Toc969574"/>
      <w:bookmarkEnd w:id="575"/>
      <w:bookmarkStart w:id="576" w:name="_Toc969571"/>
      <w:bookmarkEnd w:id="576"/>
      <w:bookmarkStart w:id="577" w:name="_Toc968376"/>
      <w:bookmarkEnd w:id="577"/>
      <w:bookmarkStart w:id="578" w:name="_Toc969587"/>
      <w:bookmarkEnd w:id="578"/>
      <w:bookmarkStart w:id="579" w:name="_Toc536801084"/>
      <w:bookmarkEnd w:id="579"/>
      <w:bookmarkStart w:id="580" w:name="_Toc968364"/>
      <w:bookmarkEnd w:id="580"/>
      <w:bookmarkStart w:id="581" w:name="_Toc536801099"/>
      <w:bookmarkEnd w:id="581"/>
      <w:bookmarkStart w:id="582" w:name="_Toc968977"/>
      <w:bookmarkEnd w:id="582"/>
      <w:bookmarkStart w:id="583" w:name="_Toc969570"/>
      <w:bookmarkEnd w:id="583"/>
      <w:bookmarkStart w:id="584" w:name="_Toc968966"/>
      <w:bookmarkEnd w:id="584"/>
      <w:bookmarkStart w:id="585" w:name="_Toc969596"/>
      <w:bookmarkEnd w:id="585"/>
      <w:bookmarkStart w:id="586" w:name="_Toc968395"/>
      <w:bookmarkEnd w:id="586"/>
      <w:bookmarkStart w:id="587" w:name="_Toc536801335"/>
      <w:bookmarkEnd w:id="587"/>
      <w:bookmarkStart w:id="588" w:name="_Toc968393"/>
      <w:bookmarkEnd w:id="588"/>
      <w:bookmarkStart w:id="589" w:name="_Toc536801102"/>
      <w:bookmarkEnd w:id="589"/>
      <w:bookmarkStart w:id="590" w:name="_Toc967239"/>
      <w:bookmarkEnd w:id="590"/>
      <w:bookmarkStart w:id="591" w:name="_Toc527710787"/>
      <w:bookmarkEnd w:id="591"/>
      <w:bookmarkStart w:id="592" w:name="_Toc536801331"/>
      <w:bookmarkEnd w:id="592"/>
      <w:bookmarkStart w:id="593" w:name="_Toc968374"/>
      <w:bookmarkEnd w:id="593"/>
      <w:bookmarkStart w:id="594" w:name="_Toc969593"/>
      <w:bookmarkEnd w:id="594"/>
      <w:bookmarkStart w:id="595" w:name="_Toc968366"/>
      <w:bookmarkEnd w:id="595"/>
      <w:bookmarkStart w:id="596" w:name="_Toc968995"/>
      <w:bookmarkEnd w:id="596"/>
      <w:bookmarkStart w:id="597" w:name="_Toc967222"/>
      <w:bookmarkEnd w:id="597"/>
      <w:bookmarkStart w:id="598" w:name="_Toc536801106"/>
      <w:bookmarkEnd w:id="598"/>
      <w:bookmarkStart w:id="599" w:name="_Toc536801337"/>
      <w:bookmarkEnd w:id="599"/>
      <w:bookmarkStart w:id="600" w:name="_Toc968391"/>
      <w:bookmarkEnd w:id="600"/>
      <w:bookmarkStart w:id="601" w:name="_Toc536801324"/>
      <w:bookmarkEnd w:id="601"/>
      <w:bookmarkStart w:id="602" w:name="_Toc967246"/>
      <w:bookmarkEnd w:id="602"/>
      <w:bookmarkStart w:id="603" w:name="_Toc968369"/>
      <w:bookmarkEnd w:id="603"/>
      <w:bookmarkStart w:id="604" w:name="_Toc967244"/>
      <w:bookmarkEnd w:id="604"/>
      <w:bookmarkStart w:id="605" w:name="_Toc968371"/>
      <w:bookmarkEnd w:id="605"/>
      <w:bookmarkStart w:id="606" w:name="_Toc967245"/>
      <w:bookmarkEnd w:id="606"/>
      <w:bookmarkStart w:id="607" w:name="_Toc967225"/>
      <w:bookmarkEnd w:id="607"/>
      <w:bookmarkStart w:id="608" w:name="_Toc536801339"/>
      <w:bookmarkEnd w:id="608"/>
      <w:bookmarkStart w:id="609" w:name="_Toc968971"/>
      <w:bookmarkEnd w:id="609"/>
      <w:bookmarkStart w:id="610" w:name="_Toc536801096"/>
      <w:bookmarkEnd w:id="610"/>
      <w:bookmarkStart w:id="611" w:name="_Toc536801330"/>
      <w:bookmarkEnd w:id="611"/>
      <w:bookmarkStart w:id="612" w:name="_Toc968993"/>
      <w:bookmarkEnd w:id="612"/>
      <w:bookmarkStart w:id="613" w:name="_Toc968392"/>
      <w:bookmarkEnd w:id="613"/>
      <w:bookmarkStart w:id="614" w:name="_Toc536801105"/>
      <w:bookmarkEnd w:id="614"/>
      <w:bookmarkStart w:id="615" w:name="_Toc536801338"/>
      <w:bookmarkEnd w:id="615"/>
      <w:bookmarkStart w:id="616" w:name="_Toc969586"/>
      <w:bookmarkEnd w:id="616"/>
      <w:bookmarkStart w:id="617" w:name="_Toc968396"/>
      <w:bookmarkEnd w:id="617"/>
      <w:bookmarkStart w:id="618" w:name="_Toc968384"/>
      <w:bookmarkEnd w:id="618"/>
      <w:bookmarkStart w:id="619" w:name="_Toc967250"/>
      <w:bookmarkEnd w:id="619"/>
      <w:bookmarkStart w:id="620" w:name="_Toc536801334"/>
      <w:bookmarkEnd w:id="620"/>
      <w:bookmarkStart w:id="621" w:name="_Toc969575"/>
      <w:bookmarkEnd w:id="621"/>
      <w:bookmarkStart w:id="622" w:name="_Toc968997"/>
      <w:bookmarkEnd w:id="622"/>
      <w:bookmarkStart w:id="623" w:name="_Toc527967174"/>
      <w:bookmarkEnd w:id="623"/>
      <w:bookmarkStart w:id="624" w:name="_Toc967230"/>
      <w:bookmarkEnd w:id="624"/>
      <w:bookmarkStart w:id="625" w:name="_Toc536801320"/>
      <w:bookmarkEnd w:id="625"/>
      <w:bookmarkStart w:id="626" w:name="_Toc969584"/>
      <w:bookmarkEnd w:id="626"/>
      <w:bookmarkStart w:id="627" w:name="_Toc536801095"/>
      <w:bookmarkEnd w:id="627"/>
      <w:bookmarkStart w:id="628" w:name="_Toc968373"/>
      <w:bookmarkEnd w:id="628"/>
      <w:bookmarkStart w:id="629" w:name="_Toc968982"/>
      <w:bookmarkEnd w:id="629"/>
      <w:bookmarkStart w:id="630" w:name="_Toc967241"/>
      <w:bookmarkEnd w:id="630"/>
      <w:bookmarkStart w:id="631" w:name="_Toc969598"/>
      <w:bookmarkEnd w:id="631"/>
      <w:bookmarkStart w:id="632" w:name="_Toc969594"/>
      <w:bookmarkEnd w:id="632"/>
      <w:bookmarkStart w:id="633" w:name="_Toc967247"/>
      <w:bookmarkEnd w:id="633"/>
      <w:bookmarkStart w:id="634" w:name="_Toc967223"/>
      <w:bookmarkEnd w:id="634"/>
      <w:bookmarkStart w:id="635" w:name="_Toc969578"/>
      <w:bookmarkEnd w:id="635"/>
      <w:bookmarkStart w:id="636" w:name="_Toc527642343"/>
      <w:bookmarkEnd w:id="636"/>
      <w:bookmarkStart w:id="637" w:name="_Toc536801327"/>
      <w:bookmarkEnd w:id="637"/>
      <w:bookmarkStart w:id="638" w:name="_Toc536801101"/>
      <w:bookmarkEnd w:id="638"/>
      <w:bookmarkStart w:id="639" w:name="_Toc969590"/>
      <w:bookmarkEnd w:id="639"/>
      <w:bookmarkStart w:id="640" w:name="_Toc968368"/>
      <w:bookmarkEnd w:id="640"/>
      <w:bookmarkStart w:id="641" w:name="_Toc969597"/>
      <w:bookmarkEnd w:id="641"/>
      <w:bookmarkStart w:id="642" w:name="_Toc968996"/>
      <w:bookmarkEnd w:id="642"/>
      <w:bookmarkStart w:id="643" w:name="_Toc968989"/>
      <w:bookmarkEnd w:id="643"/>
      <w:bookmarkStart w:id="644" w:name="_Toc536801091"/>
      <w:bookmarkEnd w:id="644"/>
      <w:bookmarkStart w:id="645" w:name="_Toc967243"/>
      <w:bookmarkEnd w:id="645"/>
      <w:bookmarkStart w:id="646" w:name="_Toc967249"/>
      <w:bookmarkEnd w:id="646"/>
      <w:bookmarkStart w:id="647" w:name="_Toc968972"/>
      <w:bookmarkEnd w:id="647"/>
      <w:bookmarkStart w:id="648" w:name="_Toc536801336"/>
      <w:bookmarkEnd w:id="648"/>
      <w:bookmarkStart w:id="649" w:name="_Toc536801333"/>
      <w:bookmarkEnd w:id="649"/>
      <w:bookmarkStart w:id="650" w:name="_Toc968979"/>
      <w:bookmarkEnd w:id="650"/>
      <w:bookmarkStart w:id="651" w:name="_Toc536801089"/>
      <w:bookmarkEnd w:id="651"/>
      <w:bookmarkStart w:id="652" w:name="_Toc969582"/>
      <w:bookmarkEnd w:id="652"/>
      <w:bookmarkStart w:id="653" w:name="_Toc968389"/>
      <w:bookmarkEnd w:id="653"/>
      <w:bookmarkStart w:id="654" w:name="_Toc527728047"/>
      <w:bookmarkEnd w:id="654"/>
      <w:bookmarkStart w:id="655" w:name="_Toc536801329"/>
      <w:bookmarkEnd w:id="655"/>
      <w:bookmarkStart w:id="656" w:name="_Toc536801326"/>
      <w:bookmarkEnd w:id="656"/>
      <w:bookmarkStart w:id="657" w:name="_Toc968388"/>
      <w:bookmarkEnd w:id="657"/>
      <w:bookmarkStart w:id="658" w:name="_Toc536801321"/>
      <w:bookmarkEnd w:id="658"/>
      <w:bookmarkStart w:id="659" w:name="_Toc967232"/>
      <w:bookmarkEnd w:id="659"/>
      <w:bookmarkStart w:id="660" w:name="_Toc968387"/>
      <w:bookmarkEnd w:id="660"/>
      <w:bookmarkStart w:id="661" w:name="_Toc967235"/>
      <w:bookmarkEnd w:id="661"/>
      <w:bookmarkStart w:id="662" w:name="_Toc969583"/>
      <w:bookmarkEnd w:id="662"/>
      <w:bookmarkStart w:id="663" w:name="_Toc969589"/>
      <w:bookmarkEnd w:id="663"/>
      <w:bookmarkStart w:id="664" w:name="_Toc536801093"/>
      <w:bookmarkEnd w:id="664"/>
      <w:bookmarkStart w:id="665" w:name="_Toc968988"/>
      <w:bookmarkEnd w:id="665"/>
      <w:bookmarkStart w:id="666" w:name="_Toc536801332"/>
      <w:bookmarkEnd w:id="666"/>
      <w:bookmarkStart w:id="667" w:name="_Toc536801323"/>
      <w:bookmarkEnd w:id="667"/>
      <w:bookmarkStart w:id="668" w:name="_Toc967238"/>
      <w:bookmarkEnd w:id="668"/>
      <w:bookmarkStart w:id="669" w:name="_Toc969591"/>
      <w:bookmarkEnd w:id="669"/>
      <w:bookmarkStart w:id="670" w:name="_Toc969569"/>
      <w:bookmarkEnd w:id="670"/>
      <w:bookmarkStart w:id="671" w:name="_Toc969599"/>
      <w:bookmarkEnd w:id="671"/>
      <w:bookmarkStart w:id="672" w:name="_Toc968992"/>
      <w:bookmarkEnd w:id="672"/>
      <w:bookmarkStart w:id="673" w:name="_Toc969585"/>
      <w:bookmarkEnd w:id="673"/>
      <w:bookmarkStart w:id="674" w:name="_Toc968990"/>
      <w:bookmarkEnd w:id="674"/>
      <w:bookmarkStart w:id="675" w:name="_Toc968390"/>
      <w:bookmarkEnd w:id="675"/>
      <w:bookmarkStart w:id="676" w:name="_Toc969588"/>
      <w:bookmarkEnd w:id="676"/>
      <w:bookmarkStart w:id="677" w:name="_Toc536801098"/>
      <w:bookmarkEnd w:id="677"/>
      <w:bookmarkStart w:id="678" w:name="_Toc969592"/>
      <w:bookmarkEnd w:id="678"/>
      <w:bookmarkStart w:id="679" w:name="_Toc967242"/>
      <w:bookmarkEnd w:id="679"/>
      <w:bookmarkStart w:id="680" w:name="_Toc967240"/>
      <w:bookmarkEnd w:id="680"/>
      <w:bookmarkStart w:id="681" w:name="_Toc536801103"/>
      <w:bookmarkEnd w:id="681"/>
      <w:bookmarkStart w:id="682" w:name="_Toc968998"/>
      <w:bookmarkEnd w:id="682"/>
      <w:bookmarkStart w:id="683" w:name="_Toc968386"/>
      <w:bookmarkEnd w:id="683"/>
      <w:bookmarkStart w:id="684" w:name="_Toc968987"/>
      <w:bookmarkEnd w:id="684"/>
      <w:bookmarkStart w:id="685" w:name="_Toc968381"/>
      <w:bookmarkEnd w:id="685"/>
      <w:bookmarkStart w:id="686" w:name="_Toc536801097"/>
      <w:bookmarkEnd w:id="686"/>
      <w:bookmarkStart w:id="687" w:name="_Toc968379"/>
      <w:bookmarkEnd w:id="687"/>
      <w:bookmarkStart w:id="688" w:name="_Toc969595"/>
      <w:bookmarkEnd w:id="688"/>
      <w:bookmarkStart w:id="689" w:name="_Toc968981"/>
      <w:bookmarkEnd w:id="689"/>
      <w:bookmarkStart w:id="690" w:name="_Toc536801325"/>
      <w:bookmarkEnd w:id="690"/>
      <w:bookmarkStart w:id="691" w:name="_Toc536801340"/>
      <w:bookmarkEnd w:id="691"/>
      <w:bookmarkStart w:id="692" w:name="_Toc968383"/>
      <w:bookmarkEnd w:id="692"/>
      <w:bookmarkStart w:id="693" w:name="_Toc536801100"/>
      <w:bookmarkEnd w:id="693"/>
      <w:bookmarkStart w:id="694" w:name="_Toc536801341"/>
      <w:bookmarkEnd w:id="694"/>
      <w:bookmarkStart w:id="695" w:name="_Toc968985"/>
      <w:bookmarkEnd w:id="695"/>
      <w:bookmarkStart w:id="696" w:name="_Toc968394"/>
      <w:bookmarkEnd w:id="696"/>
      <w:bookmarkStart w:id="697" w:name="_Toc536801328"/>
      <w:bookmarkEnd w:id="697"/>
      <w:bookmarkStart w:id="698" w:name="_Toc967248"/>
      <w:bookmarkEnd w:id="698"/>
      <w:bookmarkStart w:id="699" w:name="_Toc536801090"/>
      <w:bookmarkEnd w:id="699"/>
      <w:bookmarkStart w:id="700" w:name="_Toc536801094"/>
      <w:bookmarkEnd w:id="700"/>
      <w:bookmarkStart w:id="701" w:name="_Toc967231"/>
      <w:bookmarkEnd w:id="701"/>
      <w:bookmarkStart w:id="702" w:name="_Toc968380"/>
      <w:bookmarkEnd w:id="702"/>
      <w:bookmarkStart w:id="703" w:name="_Toc967234"/>
      <w:bookmarkEnd w:id="703"/>
      <w:bookmarkStart w:id="704" w:name="_Toc967237"/>
      <w:bookmarkEnd w:id="704"/>
      <w:bookmarkStart w:id="705" w:name="_Toc968385"/>
      <w:bookmarkEnd w:id="705"/>
      <w:r>
        <w:rPr>
          <w:rFonts w:ascii="Times New Roman" w:hAnsi="Times New Roman" w:eastAsia="黑体"/>
          <w:b w:val="0"/>
          <w:bCs w:val="0"/>
        </w:rPr>
        <w:t xml:space="preserve">1  </w:t>
      </w:r>
      <w:r>
        <w:rPr>
          <w:rFonts w:hint="eastAsia" w:ascii="Times New Roman" w:hAnsi="Times New Roman" w:eastAsia="黑体"/>
          <w:b w:val="0"/>
          <w:bCs w:val="0"/>
        </w:rPr>
        <w:t>一般规定</w:t>
      </w:r>
      <w:bookmarkEnd w:id="525"/>
    </w:p>
    <w:p>
      <w:pPr>
        <w:pStyle w:val="310"/>
        <w:spacing w:line="360" w:lineRule="auto"/>
        <w:rPr>
          <w:rFonts w:ascii="Times New Roman"/>
        </w:rPr>
      </w:pPr>
      <w:r>
        <w:rPr>
          <w:rFonts w:ascii="Times New Roman"/>
        </w:rPr>
        <w:t xml:space="preserve">4.1.1  </w:t>
      </w:r>
      <w:r>
        <w:rPr>
          <w:rFonts w:hint="eastAsia" w:ascii="Times New Roman"/>
        </w:rPr>
        <w:t>生产装置应满足安全、职业卫生、环保、节能及长周期连续稳定运行的要求，采用先进工艺生产合格产品，不得采用淘汰的、严重</w:t>
      </w:r>
      <w:r>
        <w:rPr>
          <w:rFonts w:ascii="Times New Roman"/>
        </w:rPr>
        <w:t>危及生产安全的</w:t>
      </w:r>
      <w:r>
        <w:rPr>
          <w:rFonts w:hint="eastAsia" w:ascii="Times New Roman"/>
        </w:rPr>
        <w:t>工艺及设备。</w:t>
      </w:r>
    </w:p>
    <w:p>
      <w:pPr>
        <w:pStyle w:val="310"/>
        <w:spacing w:line="360" w:lineRule="auto"/>
        <w:rPr>
          <w:rFonts w:ascii="Times New Roman"/>
        </w:rPr>
      </w:pPr>
      <w:r>
        <w:rPr>
          <w:rFonts w:ascii="Times New Roman"/>
        </w:rPr>
        <w:t xml:space="preserve">4.1.2  </w:t>
      </w:r>
      <w:r>
        <w:rPr>
          <w:rFonts w:hint="eastAsia" w:ascii="Times New Roman"/>
        </w:rPr>
        <w:t>生产装置可燃气体放空管道的凝结液应密闭回收，不应随意排放；极度危害介质管道的放空或放净应设置双阀，并应排入密闭回收系统；有毒气体的排放应符合环保的要求，有毒液体不应排入污水管道。</w:t>
      </w:r>
    </w:p>
    <w:p>
      <w:pPr>
        <w:pStyle w:val="3"/>
        <w:spacing w:line="360" w:lineRule="auto"/>
        <w:jc w:val="center"/>
        <w:rPr>
          <w:rFonts w:ascii="Times New Roman" w:hAnsi="Times New Roman" w:eastAsia="黑体"/>
          <w:b w:val="0"/>
        </w:rPr>
      </w:pPr>
      <w:bookmarkStart w:id="706" w:name="_Toc146639854"/>
      <w:r>
        <w:rPr>
          <w:rFonts w:ascii="Times New Roman" w:hAnsi="Times New Roman" w:eastAsia="黑体"/>
          <w:b w:val="0"/>
          <w:bCs w:val="0"/>
        </w:rPr>
        <w:t xml:space="preserve">4.2  </w:t>
      </w:r>
      <w:r>
        <w:rPr>
          <w:rFonts w:hint="eastAsia" w:ascii="Times New Roman" w:hAnsi="Times New Roman" w:eastAsia="黑体"/>
          <w:b w:val="0"/>
          <w:bCs w:val="0"/>
        </w:rPr>
        <w:t>装置</w:t>
      </w:r>
      <w:bookmarkEnd w:id="526"/>
      <w:r>
        <w:rPr>
          <w:rFonts w:hint="eastAsia" w:ascii="Times New Roman" w:hAnsi="Times New Roman" w:eastAsia="黑体"/>
          <w:b w:val="0"/>
          <w:bCs w:val="0"/>
        </w:rPr>
        <w:t>布置及管道</w:t>
      </w:r>
      <w:bookmarkEnd w:id="706"/>
    </w:p>
    <w:p>
      <w:pPr>
        <w:pStyle w:val="310"/>
        <w:spacing w:line="360" w:lineRule="auto"/>
        <w:rPr>
          <w:rFonts w:ascii="Times New Roman"/>
        </w:rPr>
      </w:pPr>
      <w:r>
        <w:rPr>
          <w:rFonts w:ascii="Times New Roman"/>
        </w:rPr>
        <w:t xml:space="preserve">4.2.1  </w:t>
      </w:r>
      <w:r>
        <w:rPr>
          <w:rFonts w:hint="eastAsia" w:ascii="Times New Roman"/>
        </w:rPr>
        <w:t>装置内设备、建（构）筑物平面布置的防火间距，除特殊情况下可按照风险评估确定外，不应小于表</w:t>
      </w:r>
      <w:r>
        <w:rPr>
          <w:rFonts w:ascii="Times New Roman"/>
        </w:rPr>
        <w:t>4.2.1</w:t>
      </w:r>
      <w:r>
        <w:rPr>
          <w:rFonts w:hint="eastAsia" w:ascii="Times New Roman"/>
        </w:rPr>
        <w:t>的规定。</w:t>
      </w:r>
    </w:p>
    <w:p>
      <w:pPr>
        <w:pStyle w:val="310"/>
        <w:spacing w:line="360" w:lineRule="auto"/>
        <w:rPr>
          <w:rFonts w:ascii="Times New Roman"/>
        </w:rPr>
        <w:sectPr>
          <w:pgSz w:w="11906" w:h="16838"/>
          <w:pgMar w:top="1440" w:right="1134" w:bottom="1440" w:left="1134" w:header="851" w:footer="992" w:gutter="0"/>
          <w:cols w:space="425" w:num="1"/>
          <w:docGrid w:type="lines" w:linePitch="312" w:charSpace="0"/>
        </w:sectPr>
      </w:pPr>
    </w:p>
    <w:p>
      <w:pPr>
        <w:spacing w:after="48" w:afterLines="20" w:line="360" w:lineRule="auto"/>
        <w:jc w:val="center"/>
        <w:rPr>
          <w:rFonts w:ascii="Times New Roman" w:hAnsi="Times New Roman" w:cs="Times New Roman"/>
          <w:sz w:val="24"/>
          <w:szCs w:val="24"/>
        </w:rPr>
      </w:pPr>
      <w:r>
        <w:rPr>
          <w:rFonts w:hint="eastAsia" w:ascii="Times New Roman" w:hAnsi="Times New Roman" w:cs="Times New Roman"/>
          <w:sz w:val="24"/>
          <w:szCs w:val="24"/>
        </w:rPr>
        <w:t>表</w:t>
      </w:r>
      <w:r>
        <w:rPr>
          <w:rFonts w:ascii="Times New Roman" w:hAnsi="Times New Roman" w:cs="Times New Roman"/>
          <w:sz w:val="24"/>
          <w:szCs w:val="24"/>
        </w:rPr>
        <w:t xml:space="preserve">4.2.1  </w:t>
      </w:r>
      <w:r>
        <w:rPr>
          <w:rFonts w:hint="eastAsia" w:ascii="黑体" w:hAnsi="黑体" w:eastAsia="黑体" w:cs="Times New Roman"/>
          <w:sz w:val="24"/>
          <w:szCs w:val="24"/>
        </w:rPr>
        <w:t>装置内设备、建</w:t>
      </w:r>
      <w:r>
        <w:rPr>
          <w:rFonts w:hint="eastAsia" w:ascii="黑体" w:hAnsi="黑体" w:eastAsia="黑体" w:cs="Times New Roman"/>
          <w:color w:val="000000" w:themeColor="text1"/>
          <w:sz w:val="24"/>
          <w:szCs w:val="24"/>
          <w14:textFill>
            <w14:solidFill>
              <w14:schemeClr w14:val="tx1"/>
            </w14:solidFill>
          </w14:textFill>
        </w:rPr>
        <w:t>（构）筑物平面布置的防火间距</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m）</w:t>
      </w:r>
    </w:p>
    <w:tbl>
      <w:tblPr>
        <w:tblStyle w:val="35"/>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705"/>
        <w:gridCol w:w="669"/>
        <w:gridCol w:w="876"/>
        <w:gridCol w:w="1147"/>
        <w:gridCol w:w="637"/>
        <w:gridCol w:w="584"/>
        <w:gridCol w:w="584"/>
        <w:gridCol w:w="554"/>
        <w:gridCol w:w="548"/>
        <w:gridCol w:w="554"/>
        <w:gridCol w:w="722"/>
        <w:gridCol w:w="551"/>
        <w:gridCol w:w="554"/>
        <w:gridCol w:w="551"/>
        <w:gridCol w:w="554"/>
        <w:gridCol w:w="584"/>
        <w:gridCol w:w="551"/>
        <w:gridCol w:w="572"/>
        <w:gridCol w:w="731"/>
        <w:gridCol w:w="749"/>
        <w:gridCol w:w="584"/>
        <w:gridCol w:w="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12" w:type="pct"/>
            <w:gridSpan w:val="5"/>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项</w:t>
            </w:r>
            <w:r>
              <w:rPr>
                <w:rFonts w:asciiTheme="minorEastAsia" w:hAnsiTheme="minorEastAsia"/>
                <w:sz w:val="18"/>
                <w:szCs w:val="18"/>
              </w:rPr>
              <w:t xml:space="preserve">  </w:t>
            </w:r>
            <w:r>
              <w:rPr>
                <w:rFonts w:hint="eastAsia" w:asciiTheme="minorEastAsia" w:hAnsiTheme="minorEastAsia"/>
                <w:sz w:val="18"/>
                <w:szCs w:val="18"/>
              </w:rPr>
              <w:t>目</w:t>
            </w:r>
          </w:p>
        </w:tc>
        <w:tc>
          <w:tcPr>
            <w:tcW w:w="216"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控制室、现场机柜室、变电所</w:t>
            </w:r>
          </w:p>
        </w:tc>
        <w:tc>
          <w:tcPr>
            <w:tcW w:w="198"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明火</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设备</w:t>
            </w:r>
          </w:p>
        </w:tc>
        <w:tc>
          <w:tcPr>
            <w:tcW w:w="2334" w:type="pct"/>
            <w:gridSpan w:val="12"/>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操作湿度低于自燃点的工艺设备</w:t>
            </w:r>
          </w:p>
        </w:tc>
        <w:tc>
          <w:tcPr>
            <w:tcW w:w="248"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操作温度高于或等于自燃点的工艺设备</w:t>
            </w:r>
          </w:p>
        </w:tc>
        <w:tc>
          <w:tcPr>
            <w:tcW w:w="254" w:type="pct"/>
            <w:vMerge w:val="restart"/>
            <w:vAlign w:val="center"/>
          </w:tcPr>
          <w:p>
            <w:pPr>
              <w:spacing w:before="24" w:beforeLines="10" w:after="24" w:afterLines="10"/>
              <w:ind w:left="-145" w:leftChars="-69" w:right="-40" w:rightChars="-19"/>
              <w:jc w:val="center"/>
              <w:rPr>
                <w:rFonts w:asciiTheme="minorEastAsia" w:hAnsiTheme="minorEastAsia"/>
                <w:sz w:val="18"/>
                <w:szCs w:val="18"/>
              </w:rPr>
            </w:pPr>
            <w:r>
              <w:rPr>
                <w:rFonts w:hint="eastAsia" w:asciiTheme="minorEastAsia" w:hAnsiTheme="minorEastAsia"/>
                <w:sz w:val="18"/>
                <w:szCs w:val="18"/>
              </w:rPr>
              <w:t>含可燃液体的污水池、隔油池、酸性污水罐、含油污水罐</w:t>
            </w:r>
          </w:p>
        </w:tc>
        <w:tc>
          <w:tcPr>
            <w:tcW w:w="198"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丙类仓库、乙类危险品库</w:t>
            </w:r>
          </w:p>
        </w:tc>
        <w:tc>
          <w:tcPr>
            <w:tcW w:w="139"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12" w:type="pct"/>
            <w:gridSpan w:val="5"/>
            <w:vMerge w:val="continue"/>
            <w:vAlign w:val="center"/>
          </w:tcPr>
          <w:p>
            <w:pPr>
              <w:spacing w:before="24" w:beforeLines="10" w:after="24" w:afterLines="10"/>
              <w:jc w:val="center"/>
              <w:rPr>
                <w:rFonts w:asciiTheme="minorEastAsia" w:hAnsiTheme="minorEastAsia"/>
                <w:sz w:val="18"/>
                <w:szCs w:val="18"/>
              </w:rPr>
            </w:pPr>
          </w:p>
        </w:tc>
        <w:tc>
          <w:tcPr>
            <w:tcW w:w="216"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386" w:type="pct"/>
            <w:gridSpan w:val="2"/>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可燃气体压缩机或压缩机房</w:t>
            </w:r>
          </w:p>
        </w:tc>
        <w:tc>
          <w:tcPr>
            <w:tcW w:w="994" w:type="pct"/>
            <w:gridSpan w:val="5"/>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装置储罐（总容积）</w:t>
            </w:r>
          </w:p>
        </w:tc>
        <w:tc>
          <w:tcPr>
            <w:tcW w:w="953" w:type="pct"/>
            <w:gridSpan w:val="5"/>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其他工艺设备或房间</w:t>
            </w:r>
          </w:p>
        </w:tc>
        <w:tc>
          <w:tcPr>
            <w:tcW w:w="248" w:type="pct"/>
            <w:vMerge w:val="continue"/>
            <w:vAlign w:val="center"/>
          </w:tcPr>
          <w:p>
            <w:pPr>
              <w:spacing w:before="24" w:beforeLines="10" w:after="24" w:afterLines="10"/>
              <w:jc w:val="center"/>
              <w:rPr>
                <w:rFonts w:asciiTheme="minorEastAsia" w:hAnsiTheme="minorEastAsia"/>
                <w:sz w:val="18"/>
                <w:szCs w:val="18"/>
              </w:rPr>
            </w:pPr>
          </w:p>
        </w:tc>
        <w:tc>
          <w:tcPr>
            <w:tcW w:w="254"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12" w:type="pct"/>
            <w:gridSpan w:val="5"/>
            <w:vMerge w:val="continue"/>
            <w:vAlign w:val="center"/>
          </w:tcPr>
          <w:p>
            <w:pPr>
              <w:spacing w:before="24" w:beforeLines="10" w:after="24" w:afterLines="10"/>
              <w:jc w:val="center"/>
              <w:rPr>
                <w:rFonts w:asciiTheme="minorEastAsia" w:hAnsiTheme="minorEastAsia"/>
                <w:sz w:val="18"/>
                <w:szCs w:val="18"/>
              </w:rPr>
            </w:pPr>
          </w:p>
        </w:tc>
        <w:tc>
          <w:tcPr>
            <w:tcW w:w="216"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386" w:type="pct"/>
            <w:gridSpan w:val="2"/>
            <w:vMerge w:val="continue"/>
            <w:vAlign w:val="center"/>
          </w:tcPr>
          <w:p>
            <w:pPr>
              <w:spacing w:before="24" w:beforeLines="10" w:after="24" w:afterLines="10"/>
              <w:jc w:val="center"/>
              <w:rPr>
                <w:rFonts w:asciiTheme="minorEastAsia" w:hAnsiTheme="minorEastAsia"/>
                <w:sz w:val="18"/>
                <w:szCs w:val="18"/>
              </w:rPr>
            </w:pPr>
          </w:p>
        </w:tc>
        <w:tc>
          <w:tcPr>
            <w:tcW w:w="374" w:type="pct"/>
            <w:gridSpan w:val="2"/>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可燃气体</w:t>
            </w:r>
          </w:p>
        </w:tc>
        <w:tc>
          <w:tcPr>
            <w:tcW w:w="245"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液化烃</w:t>
            </w:r>
          </w:p>
        </w:tc>
        <w:tc>
          <w:tcPr>
            <w:tcW w:w="375" w:type="pct"/>
            <w:gridSpan w:val="2"/>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可燃液体</w:t>
            </w:r>
          </w:p>
        </w:tc>
        <w:tc>
          <w:tcPr>
            <w:tcW w:w="375" w:type="pct"/>
            <w:gridSpan w:val="2"/>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可燃气体</w:t>
            </w:r>
          </w:p>
        </w:tc>
        <w:tc>
          <w:tcPr>
            <w:tcW w:w="198"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液化烃</w:t>
            </w:r>
          </w:p>
        </w:tc>
        <w:tc>
          <w:tcPr>
            <w:tcW w:w="380" w:type="pct"/>
            <w:gridSpan w:val="2"/>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可燃液体</w:t>
            </w:r>
          </w:p>
        </w:tc>
        <w:tc>
          <w:tcPr>
            <w:tcW w:w="248" w:type="pct"/>
            <w:vMerge w:val="continue"/>
            <w:vAlign w:val="center"/>
          </w:tcPr>
          <w:p>
            <w:pPr>
              <w:spacing w:before="24" w:beforeLines="10" w:after="24" w:afterLines="10"/>
              <w:jc w:val="center"/>
              <w:rPr>
                <w:rFonts w:asciiTheme="minorEastAsia" w:hAnsiTheme="minorEastAsia"/>
                <w:sz w:val="18"/>
                <w:szCs w:val="18"/>
              </w:rPr>
            </w:pPr>
          </w:p>
        </w:tc>
        <w:tc>
          <w:tcPr>
            <w:tcW w:w="254"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412" w:type="pct"/>
            <w:gridSpan w:val="5"/>
            <w:vMerge w:val="continue"/>
            <w:vAlign w:val="center"/>
          </w:tcPr>
          <w:p>
            <w:pPr>
              <w:spacing w:before="24" w:beforeLines="10" w:after="24" w:afterLines="10"/>
              <w:jc w:val="center"/>
              <w:rPr>
                <w:rFonts w:asciiTheme="minorEastAsia" w:hAnsiTheme="minorEastAsia"/>
                <w:sz w:val="18"/>
                <w:szCs w:val="18"/>
              </w:rPr>
            </w:pPr>
          </w:p>
        </w:tc>
        <w:tc>
          <w:tcPr>
            <w:tcW w:w="216"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386" w:type="pct"/>
            <w:gridSpan w:val="2"/>
            <w:vMerge w:val="continue"/>
            <w:vAlign w:val="center"/>
          </w:tcPr>
          <w:p>
            <w:pPr>
              <w:spacing w:before="24" w:beforeLines="10" w:after="24" w:afterLines="10"/>
              <w:jc w:val="center"/>
              <w:rPr>
                <w:rFonts w:asciiTheme="minorEastAsia" w:hAnsiTheme="minorEastAsia"/>
                <w:sz w:val="18"/>
                <w:szCs w:val="18"/>
              </w:rPr>
            </w:pPr>
          </w:p>
        </w:tc>
        <w:tc>
          <w:tcPr>
            <w:tcW w:w="374" w:type="pct"/>
            <w:gridSpan w:val="2"/>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1000m</w:t>
            </w:r>
            <w:r>
              <w:rPr>
                <w:rFonts w:asciiTheme="minorEastAsia" w:hAnsiTheme="minorEastAsia"/>
                <w:sz w:val="18"/>
                <w:szCs w:val="18"/>
                <w:vertAlign w:val="superscript"/>
              </w:rPr>
              <w:t>3</w:t>
            </w:r>
          </w:p>
        </w:tc>
        <w:tc>
          <w:tcPr>
            <w:tcW w:w="245" w:type="pct"/>
            <w:vAlign w:val="center"/>
          </w:tcPr>
          <w:p>
            <w:pPr>
              <w:spacing w:before="24" w:beforeLines="10" w:after="24" w:afterLines="10"/>
              <w:jc w:val="center"/>
              <w:rPr>
                <w:rFonts w:asciiTheme="minorEastAsia" w:hAnsiTheme="minorEastAsia"/>
                <w:sz w:val="18"/>
                <w:szCs w:val="18"/>
                <w:vertAlign w:val="superscript"/>
              </w:rPr>
            </w:pPr>
            <w:r>
              <w:rPr>
                <w:rFonts w:asciiTheme="minorEastAsia" w:hAnsiTheme="minorEastAsia"/>
                <w:sz w:val="18"/>
                <w:szCs w:val="18"/>
              </w:rPr>
              <w:t>50m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100m</w:t>
            </w:r>
            <w:r>
              <w:rPr>
                <w:rFonts w:asciiTheme="minorEastAsia" w:hAnsiTheme="minorEastAsia"/>
                <w:sz w:val="18"/>
                <w:szCs w:val="18"/>
                <w:vertAlign w:val="superscript"/>
              </w:rPr>
              <w:t>3</w:t>
            </w:r>
          </w:p>
        </w:tc>
        <w:tc>
          <w:tcPr>
            <w:tcW w:w="375" w:type="pct"/>
            <w:gridSpan w:val="2"/>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100m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1000m</w:t>
            </w:r>
            <w:r>
              <w:rPr>
                <w:rFonts w:asciiTheme="minorEastAsia" w:hAnsiTheme="minorEastAsia"/>
                <w:sz w:val="18"/>
                <w:szCs w:val="18"/>
                <w:vertAlign w:val="superscript"/>
              </w:rPr>
              <w:t>3</w:t>
            </w:r>
          </w:p>
        </w:tc>
        <w:tc>
          <w:tcPr>
            <w:tcW w:w="375" w:type="pct"/>
            <w:gridSpan w:val="2"/>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380" w:type="pct"/>
            <w:gridSpan w:val="2"/>
            <w:vMerge w:val="continue"/>
            <w:vAlign w:val="center"/>
          </w:tcPr>
          <w:p>
            <w:pPr>
              <w:spacing w:before="24" w:beforeLines="10" w:after="24" w:afterLines="10"/>
              <w:jc w:val="center"/>
              <w:rPr>
                <w:rFonts w:asciiTheme="minorEastAsia" w:hAnsiTheme="minorEastAsia"/>
                <w:sz w:val="18"/>
                <w:szCs w:val="18"/>
              </w:rPr>
            </w:pPr>
          </w:p>
        </w:tc>
        <w:tc>
          <w:tcPr>
            <w:tcW w:w="248" w:type="pct"/>
            <w:vMerge w:val="continue"/>
            <w:vAlign w:val="center"/>
          </w:tcPr>
          <w:p>
            <w:pPr>
              <w:spacing w:before="24" w:beforeLines="10" w:after="24" w:afterLines="10"/>
              <w:jc w:val="center"/>
              <w:rPr>
                <w:rFonts w:asciiTheme="minorEastAsia" w:hAnsiTheme="minorEastAsia"/>
                <w:sz w:val="18"/>
                <w:szCs w:val="18"/>
              </w:rPr>
            </w:pPr>
          </w:p>
        </w:tc>
        <w:tc>
          <w:tcPr>
            <w:tcW w:w="254"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12" w:type="pct"/>
            <w:gridSpan w:val="5"/>
            <w:vMerge w:val="continue"/>
            <w:vAlign w:val="center"/>
          </w:tcPr>
          <w:p>
            <w:pPr>
              <w:spacing w:before="24" w:beforeLines="10" w:after="24" w:afterLines="10"/>
              <w:jc w:val="center"/>
              <w:rPr>
                <w:rFonts w:asciiTheme="minorEastAsia" w:hAnsiTheme="minorEastAsia"/>
                <w:sz w:val="18"/>
                <w:szCs w:val="18"/>
              </w:rPr>
            </w:pPr>
          </w:p>
        </w:tc>
        <w:tc>
          <w:tcPr>
            <w:tcW w:w="216"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p>
        </w:tc>
        <w:tc>
          <w:tcPr>
            <w:tcW w:w="186"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p>
        </w:tc>
        <w:tc>
          <w:tcPr>
            <w:tcW w:w="245"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Ａ</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Ｂ</w:t>
            </w:r>
            <w:r>
              <w:rPr>
                <w:rFonts w:asciiTheme="minorEastAsia" w:hAnsiTheme="minorEastAsia"/>
                <w:sz w:val="18"/>
                <w:szCs w:val="18"/>
                <w:vertAlign w:val="subscript"/>
              </w:rPr>
              <w:br w:type="textWrapping"/>
            </w:r>
            <w:r>
              <w:rPr>
                <w:rFonts w:hint="eastAsia" w:asciiTheme="minorEastAsia" w:hAnsiTheme="minorEastAsia"/>
                <w:sz w:val="18"/>
                <w:szCs w:val="18"/>
              </w:rPr>
              <w:t>、</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Ａ</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Ｂ</w:t>
            </w:r>
            <w:r>
              <w:rPr>
                <w:rFonts w:asciiTheme="minorEastAsia" w:hAnsiTheme="minorEastAsia"/>
                <w:sz w:val="18"/>
                <w:szCs w:val="18"/>
                <w:vertAlign w:val="subscript"/>
              </w:rPr>
              <w:br w:type="textWrapping"/>
            </w:r>
            <w:r>
              <w:rPr>
                <w:rFonts w:hint="eastAsia" w:asciiTheme="minorEastAsia" w:hAnsiTheme="minorEastAsia"/>
                <w:sz w:val="18"/>
                <w:szCs w:val="18"/>
              </w:rPr>
              <w:t>、</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丙</w:t>
            </w:r>
            <w:r>
              <w:rPr>
                <w:rFonts w:hint="eastAsia" w:asciiTheme="minorEastAsia" w:hAnsiTheme="minorEastAsia"/>
                <w:sz w:val="18"/>
                <w:szCs w:val="18"/>
                <w:vertAlign w:val="subscript"/>
              </w:rPr>
              <w:t>Ａ</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Ａ</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Ｂ</w:t>
            </w:r>
            <w:r>
              <w:rPr>
                <w:rFonts w:asciiTheme="minorEastAsia" w:hAnsiTheme="minorEastAsia"/>
                <w:sz w:val="18"/>
                <w:szCs w:val="18"/>
                <w:vertAlign w:val="subscript"/>
              </w:rPr>
              <w:br w:type="textWrapping"/>
            </w:r>
            <w:r>
              <w:rPr>
                <w:rFonts w:hint="eastAsia" w:asciiTheme="minorEastAsia" w:hAnsiTheme="minorEastAsia"/>
                <w:sz w:val="18"/>
                <w:szCs w:val="18"/>
              </w:rPr>
              <w:t>、</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Ａ</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Ｂ</w:t>
            </w:r>
            <w:r>
              <w:rPr>
                <w:rFonts w:asciiTheme="minorEastAsia" w:hAnsiTheme="minorEastAsia"/>
                <w:sz w:val="18"/>
                <w:szCs w:val="18"/>
                <w:vertAlign w:val="subscript"/>
              </w:rPr>
              <w:br w:type="textWrapping"/>
            </w:r>
            <w:r>
              <w:rPr>
                <w:rFonts w:hint="eastAsia" w:asciiTheme="minorEastAsia" w:hAnsiTheme="minorEastAsia"/>
                <w:sz w:val="18"/>
                <w:szCs w:val="18"/>
              </w:rPr>
              <w:t>、</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丙</w:t>
            </w:r>
            <w:r>
              <w:rPr>
                <w:rFonts w:hint="eastAsia" w:asciiTheme="minorEastAsia" w:hAnsiTheme="minorEastAsia"/>
                <w:sz w:val="18"/>
                <w:szCs w:val="18"/>
                <w:vertAlign w:val="subscript"/>
              </w:rPr>
              <w:t>Ａ</w:t>
            </w:r>
          </w:p>
        </w:tc>
        <w:tc>
          <w:tcPr>
            <w:tcW w:w="248" w:type="pct"/>
            <w:vMerge w:val="continue"/>
            <w:vAlign w:val="center"/>
          </w:tcPr>
          <w:p>
            <w:pPr>
              <w:spacing w:before="24" w:beforeLines="10" w:after="24" w:afterLines="10"/>
              <w:jc w:val="center"/>
              <w:rPr>
                <w:rFonts w:asciiTheme="minorEastAsia" w:hAnsiTheme="minorEastAsia"/>
                <w:sz w:val="18"/>
                <w:szCs w:val="18"/>
              </w:rPr>
            </w:pPr>
          </w:p>
        </w:tc>
        <w:tc>
          <w:tcPr>
            <w:tcW w:w="254"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pct"/>
            <w:gridSpan w:val="5"/>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控制室、现场机柜室、变电所</w:t>
            </w:r>
          </w:p>
        </w:tc>
        <w:tc>
          <w:tcPr>
            <w:tcW w:w="216"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22.5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3"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39" w:type="pct"/>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pct"/>
            <w:gridSpan w:val="5"/>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明火设备</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22.5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22.5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22.5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3"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39" w:type="pct"/>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操作温度低于自燃点的工艺设备</w:t>
            </w:r>
          </w:p>
        </w:tc>
        <w:tc>
          <w:tcPr>
            <w:tcW w:w="762" w:type="pct"/>
            <w:gridSpan w:val="3"/>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可燃气体压缩机</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或压缩机房</w:t>
            </w: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22.5</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3"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39"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注</w:t>
            </w:r>
            <w:r>
              <w:rPr>
                <w:rFonts w:asciiTheme="minorEastAsia" w:hAnsi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762" w:type="pct"/>
            <w:gridSpan w:val="3"/>
            <w:vMerge w:val="continue"/>
            <w:vAlign w:val="center"/>
          </w:tcPr>
          <w:p>
            <w:pPr>
              <w:spacing w:before="24" w:beforeLines="10" w:after="24" w:afterLines="10"/>
              <w:jc w:val="center"/>
              <w:rPr>
                <w:rFonts w:asciiTheme="minorEastAsia" w:hAnsiTheme="minorEastAsia"/>
                <w:sz w:val="18"/>
                <w:szCs w:val="18"/>
              </w:rPr>
            </w:pP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254"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装置储罐（总容积）</w:t>
            </w:r>
          </w:p>
        </w:tc>
        <w:tc>
          <w:tcPr>
            <w:tcW w:w="227"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w:t>
            </w:r>
            <w:r>
              <w:rPr>
                <w:rFonts w:asciiTheme="minorEastAsia" w:hAnsiTheme="minorEastAsia"/>
                <w:sz w:val="18"/>
                <w:szCs w:val="18"/>
              </w:rPr>
              <w:br w:type="textWrapping"/>
            </w:r>
            <w:r>
              <w:rPr>
                <w:rFonts w:hint="eastAsia" w:asciiTheme="minorEastAsia" w:hAnsiTheme="minorEastAsia"/>
                <w:sz w:val="18"/>
                <w:szCs w:val="18"/>
              </w:rPr>
              <w:t>气体</w:t>
            </w:r>
          </w:p>
        </w:tc>
        <w:tc>
          <w:tcPr>
            <w:tcW w:w="297" w:type="pct"/>
            <w:vMerge w:val="restart"/>
            <w:vAlign w:val="center"/>
          </w:tcPr>
          <w:p>
            <w:pPr>
              <w:spacing w:before="24" w:beforeLines="10" w:after="24" w:afterLines="10"/>
              <w:jc w:val="center"/>
              <w:rPr>
                <w:rFonts w:asciiTheme="minorEastAsia" w:hAnsiTheme="minorEastAsia"/>
                <w:sz w:val="18"/>
                <w:szCs w:val="18"/>
                <w:vertAlign w:val="superscript"/>
              </w:rPr>
            </w:pPr>
            <w:r>
              <w:rPr>
                <w:rFonts w:asciiTheme="minorEastAsia" w:hAnsiTheme="minorEastAsia"/>
                <w:sz w:val="18"/>
                <w:szCs w:val="18"/>
              </w:rPr>
              <w:t>200m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1000m</w:t>
            </w:r>
            <w:r>
              <w:rPr>
                <w:rFonts w:asciiTheme="minorEastAsia" w:hAnsiTheme="minorEastAsia"/>
                <w:sz w:val="18"/>
                <w:szCs w:val="18"/>
                <w:vertAlign w:val="superscript"/>
              </w:rPr>
              <w:t>3</w:t>
            </w: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6"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5"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3"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39"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注</w:t>
            </w:r>
            <w:r>
              <w:rPr>
                <w:rFonts w:asciiTheme="minorEastAsia" w:hAnsi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continue"/>
            <w:vAlign w:val="center"/>
          </w:tcPr>
          <w:p>
            <w:pPr>
              <w:spacing w:before="24" w:beforeLines="10" w:after="24" w:afterLines="10"/>
              <w:jc w:val="center"/>
              <w:rPr>
                <w:rFonts w:asciiTheme="minorEastAsia" w:hAnsiTheme="minorEastAsia"/>
                <w:sz w:val="18"/>
                <w:szCs w:val="18"/>
              </w:rPr>
            </w:pPr>
          </w:p>
        </w:tc>
        <w:tc>
          <w:tcPr>
            <w:tcW w:w="227" w:type="pct"/>
            <w:vMerge w:val="continue"/>
            <w:vAlign w:val="center"/>
          </w:tcPr>
          <w:p>
            <w:pPr>
              <w:spacing w:before="24" w:beforeLines="10" w:after="24" w:afterLines="10"/>
              <w:jc w:val="center"/>
              <w:rPr>
                <w:rFonts w:asciiTheme="minorEastAsia" w:hAnsiTheme="minorEastAsia"/>
                <w:sz w:val="18"/>
                <w:szCs w:val="18"/>
              </w:rPr>
            </w:pPr>
          </w:p>
        </w:tc>
        <w:tc>
          <w:tcPr>
            <w:tcW w:w="297" w:type="pct"/>
            <w:vMerge w:val="continue"/>
            <w:vAlign w:val="center"/>
          </w:tcPr>
          <w:p>
            <w:pPr>
              <w:spacing w:before="24" w:beforeLines="10" w:after="24" w:afterLines="10"/>
              <w:jc w:val="center"/>
              <w:rPr>
                <w:rFonts w:asciiTheme="minorEastAsia" w:hAnsiTheme="minorEastAsia"/>
                <w:sz w:val="18"/>
                <w:szCs w:val="18"/>
              </w:rPr>
            </w:pP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6"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5"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continue"/>
            <w:vAlign w:val="center"/>
          </w:tcPr>
          <w:p>
            <w:pPr>
              <w:spacing w:before="24" w:beforeLines="10" w:after="24" w:afterLines="10"/>
              <w:jc w:val="center"/>
              <w:rPr>
                <w:rFonts w:asciiTheme="minorEastAsia" w:hAnsiTheme="minorEastAsia"/>
                <w:sz w:val="18"/>
                <w:szCs w:val="18"/>
              </w:rPr>
            </w:pPr>
          </w:p>
        </w:tc>
        <w:tc>
          <w:tcPr>
            <w:tcW w:w="22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液化烃</w:t>
            </w:r>
          </w:p>
        </w:tc>
        <w:tc>
          <w:tcPr>
            <w:tcW w:w="29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50m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100m</w:t>
            </w:r>
            <w:r>
              <w:rPr>
                <w:rFonts w:asciiTheme="minorEastAsia" w:hAnsiTheme="minorEastAsia"/>
                <w:sz w:val="18"/>
                <w:szCs w:val="18"/>
                <w:vertAlign w:val="superscript"/>
              </w:rPr>
              <w:t>3</w:t>
            </w: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Ａ</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22.5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22.5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6"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5"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3"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continue"/>
            <w:vAlign w:val="center"/>
          </w:tcPr>
          <w:p>
            <w:pPr>
              <w:spacing w:before="24" w:beforeLines="10" w:after="24" w:afterLines="10"/>
              <w:jc w:val="center"/>
              <w:rPr>
                <w:rFonts w:asciiTheme="minorEastAsia" w:hAnsiTheme="minorEastAsia"/>
                <w:sz w:val="18"/>
                <w:szCs w:val="18"/>
              </w:rPr>
            </w:pPr>
          </w:p>
        </w:tc>
        <w:tc>
          <w:tcPr>
            <w:tcW w:w="227"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w:t>
            </w:r>
            <w:r>
              <w:rPr>
                <w:rFonts w:asciiTheme="minorEastAsia" w:hAnsiTheme="minorEastAsia"/>
                <w:sz w:val="18"/>
                <w:szCs w:val="18"/>
              </w:rPr>
              <w:br w:type="textWrapping"/>
            </w:r>
            <w:r>
              <w:rPr>
                <w:rFonts w:hint="eastAsia" w:asciiTheme="minorEastAsia" w:hAnsiTheme="minorEastAsia"/>
                <w:sz w:val="18"/>
                <w:szCs w:val="18"/>
              </w:rPr>
              <w:t>液体</w:t>
            </w:r>
          </w:p>
        </w:tc>
        <w:tc>
          <w:tcPr>
            <w:tcW w:w="297" w:type="pct"/>
            <w:vMerge w:val="restar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100m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1000m</w:t>
            </w:r>
            <w:r>
              <w:rPr>
                <w:rFonts w:asciiTheme="minorEastAsia" w:hAnsiTheme="minorEastAsia"/>
                <w:sz w:val="18"/>
                <w:szCs w:val="18"/>
                <w:vertAlign w:val="superscript"/>
              </w:rPr>
              <w:t>3</w:t>
            </w: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Ｂ</w:t>
            </w:r>
            <w:r>
              <w:rPr>
                <w:rFonts w:hint="eastAsia" w:asciiTheme="minorEastAsia" w:hAnsiTheme="minorEastAsia"/>
                <w:sz w:val="18"/>
                <w:szCs w:val="18"/>
              </w:rPr>
              <w:t>、乙</w:t>
            </w:r>
            <w:r>
              <w:rPr>
                <w:rFonts w:hint="eastAsia" w:asciiTheme="minorEastAsia" w:hAnsiTheme="minorEastAsia"/>
                <w:sz w:val="18"/>
                <w:szCs w:val="18"/>
                <w:vertAlign w:val="subscript"/>
              </w:rPr>
              <w:t>Ａ</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6"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5"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3"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continue"/>
            <w:vAlign w:val="center"/>
          </w:tcPr>
          <w:p>
            <w:pPr>
              <w:spacing w:before="24" w:beforeLines="10" w:after="24" w:afterLines="10"/>
              <w:jc w:val="center"/>
              <w:rPr>
                <w:rFonts w:asciiTheme="minorEastAsia" w:hAnsiTheme="minorEastAsia"/>
                <w:sz w:val="18"/>
                <w:szCs w:val="18"/>
              </w:rPr>
            </w:pPr>
          </w:p>
        </w:tc>
        <w:tc>
          <w:tcPr>
            <w:tcW w:w="227" w:type="pct"/>
            <w:vMerge w:val="continue"/>
            <w:vAlign w:val="center"/>
          </w:tcPr>
          <w:p>
            <w:pPr>
              <w:spacing w:before="24" w:beforeLines="10" w:after="24" w:afterLines="10"/>
              <w:jc w:val="center"/>
              <w:rPr>
                <w:rFonts w:asciiTheme="minorEastAsia" w:hAnsiTheme="minorEastAsia"/>
                <w:sz w:val="18"/>
                <w:szCs w:val="18"/>
              </w:rPr>
            </w:pPr>
          </w:p>
        </w:tc>
        <w:tc>
          <w:tcPr>
            <w:tcW w:w="297" w:type="pct"/>
            <w:vMerge w:val="continue"/>
            <w:vAlign w:val="center"/>
          </w:tcPr>
          <w:p>
            <w:pPr>
              <w:spacing w:before="24" w:beforeLines="10" w:after="24" w:afterLines="10"/>
              <w:jc w:val="center"/>
              <w:rPr>
                <w:rFonts w:asciiTheme="minorEastAsia" w:hAnsiTheme="minorEastAsia"/>
                <w:sz w:val="18"/>
                <w:szCs w:val="18"/>
              </w:rPr>
            </w:pP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Ｂ</w:t>
            </w:r>
            <w:r>
              <w:rPr>
                <w:rFonts w:hint="eastAsia" w:asciiTheme="minorEastAsia" w:hAnsiTheme="minorEastAsia"/>
                <w:sz w:val="18"/>
                <w:szCs w:val="18"/>
              </w:rPr>
              <w:t>、丙</w:t>
            </w:r>
            <w:r>
              <w:rPr>
                <w:rFonts w:hint="eastAsia" w:asciiTheme="minorEastAsia" w:hAnsiTheme="minorEastAsia"/>
                <w:sz w:val="18"/>
                <w:szCs w:val="18"/>
                <w:vertAlign w:val="subscript"/>
              </w:rPr>
              <w:t>Ａ</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6"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5"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其他工艺设备或房间</w:t>
            </w:r>
          </w:p>
        </w:tc>
        <w:tc>
          <w:tcPr>
            <w:tcW w:w="523" w:type="pct"/>
            <w:gridSpan w:val="2"/>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可燃气体</w:t>
            </w: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254"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39" w:type="pct"/>
            <w:vMerge w:val="restart"/>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continue"/>
            <w:vAlign w:val="center"/>
          </w:tcPr>
          <w:p>
            <w:pPr>
              <w:spacing w:before="24" w:beforeLines="10" w:after="24" w:afterLines="10"/>
              <w:jc w:val="center"/>
              <w:rPr>
                <w:rFonts w:asciiTheme="minorEastAsia" w:hAnsiTheme="minorEastAsia"/>
                <w:sz w:val="18"/>
                <w:szCs w:val="18"/>
              </w:rPr>
            </w:pPr>
          </w:p>
        </w:tc>
        <w:tc>
          <w:tcPr>
            <w:tcW w:w="523" w:type="pct"/>
            <w:gridSpan w:val="2"/>
            <w:vMerge w:val="continue"/>
            <w:vAlign w:val="center"/>
          </w:tcPr>
          <w:p>
            <w:pPr>
              <w:spacing w:before="24" w:beforeLines="10" w:after="24" w:afterLines="10"/>
              <w:jc w:val="center"/>
              <w:rPr>
                <w:rFonts w:asciiTheme="minorEastAsia" w:hAnsiTheme="minorEastAsia"/>
                <w:sz w:val="18"/>
                <w:szCs w:val="18"/>
              </w:rPr>
            </w:pP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w:t>
            </w:r>
          </w:p>
        </w:tc>
        <w:tc>
          <w:tcPr>
            <w:tcW w:w="254"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continue"/>
            <w:vAlign w:val="center"/>
          </w:tcPr>
          <w:p>
            <w:pPr>
              <w:spacing w:before="24" w:beforeLines="10" w:after="24" w:afterLines="10"/>
              <w:jc w:val="center"/>
              <w:rPr>
                <w:rFonts w:asciiTheme="minorEastAsia" w:hAnsiTheme="minorEastAsia"/>
                <w:sz w:val="18"/>
                <w:szCs w:val="18"/>
              </w:rPr>
            </w:pPr>
          </w:p>
        </w:tc>
        <w:tc>
          <w:tcPr>
            <w:tcW w:w="523" w:type="pct"/>
            <w:gridSpan w:val="2"/>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液化烃</w:t>
            </w: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Ａ</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22.5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54"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continue"/>
            <w:vAlign w:val="center"/>
          </w:tcPr>
          <w:p>
            <w:pPr>
              <w:spacing w:before="24" w:beforeLines="10" w:after="24" w:afterLines="10"/>
              <w:jc w:val="center"/>
              <w:rPr>
                <w:rFonts w:asciiTheme="minorEastAsia" w:hAnsiTheme="minorEastAsia"/>
                <w:sz w:val="18"/>
                <w:szCs w:val="18"/>
              </w:rPr>
            </w:pPr>
          </w:p>
        </w:tc>
        <w:tc>
          <w:tcPr>
            <w:tcW w:w="523" w:type="pct"/>
            <w:gridSpan w:val="2"/>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可燃液体</w:t>
            </w: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Ｂ</w:t>
            </w:r>
            <w:r>
              <w:rPr>
                <w:rFonts w:hint="eastAsia" w:asciiTheme="minorEastAsia" w:hAnsiTheme="minorEastAsia"/>
                <w:sz w:val="18"/>
                <w:szCs w:val="18"/>
              </w:rPr>
              <w:t>、乙</w:t>
            </w:r>
            <w:r>
              <w:rPr>
                <w:rFonts w:hint="eastAsia" w:asciiTheme="minorEastAsia" w:hAnsiTheme="minorEastAsia"/>
                <w:sz w:val="18"/>
                <w:szCs w:val="18"/>
                <w:vertAlign w:val="subscript"/>
              </w:rPr>
              <w:t>Ａ</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254"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239" w:type="pct"/>
            <w:vMerge w:val="continue"/>
            <w:vAlign w:val="center"/>
          </w:tcPr>
          <w:p>
            <w:pPr>
              <w:spacing w:before="24" w:beforeLines="10" w:after="24" w:afterLines="10"/>
              <w:jc w:val="center"/>
              <w:rPr>
                <w:rFonts w:asciiTheme="minorEastAsia" w:hAnsiTheme="minorEastAsia"/>
                <w:sz w:val="18"/>
                <w:szCs w:val="18"/>
              </w:rPr>
            </w:pPr>
          </w:p>
        </w:tc>
        <w:tc>
          <w:tcPr>
            <w:tcW w:w="523" w:type="pct"/>
            <w:gridSpan w:val="2"/>
            <w:vMerge w:val="continue"/>
            <w:vAlign w:val="center"/>
          </w:tcPr>
          <w:p>
            <w:pPr>
              <w:spacing w:before="24" w:beforeLines="10" w:after="24" w:afterLines="10"/>
              <w:jc w:val="center"/>
              <w:rPr>
                <w:rFonts w:asciiTheme="minorEastAsia" w:hAnsiTheme="minorEastAsia"/>
                <w:sz w:val="18"/>
                <w:szCs w:val="18"/>
              </w:rPr>
            </w:pPr>
          </w:p>
        </w:tc>
        <w:tc>
          <w:tcPr>
            <w:tcW w:w="38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Ｂ</w:t>
            </w:r>
            <w:r>
              <w:rPr>
                <w:rFonts w:hint="eastAsia" w:asciiTheme="minorEastAsia" w:hAnsiTheme="minorEastAsia"/>
                <w:sz w:val="18"/>
                <w:szCs w:val="18"/>
              </w:rPr>
              <w:t>、丙</w:t>
            </w:r>
            <w:r>
              <w:rPr>
                <w:rFonts w:hint="eastAsia" w:asciiTheme="minorEastAsia" w:hAnsiTheme="minorEastAsia"/>
                <w:sz w:val="18"/>
                <w:szCs w:val="18"/>
                <w:vertAlign w:val="subscript"/>
              </w:rPr>
              <w:t>Ａ</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54"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39"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2" w:type="pct"/>
            <w:gridSpan w:val="5"/>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操作温度高于或等于自燃点的工艺设备</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39"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注</w:t>
            </w:r>
            <w:r>
              <w:rPr>
                <w:rFonts w:asciiTheme="minorEastAsia" w:hAnsi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pct"/>
            <w:gridSpan w:val="5"/>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含可燃液体的污水池、隔油池、酸性污水罐、含油污水罐</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7.5</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3"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4.5</w:t>
            </w:r>
          </w:p>
        </w:tc>
        <w:tc>
          <w:tcPr>
            <w:tcW w:w="254"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39" w:type="pct"/>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pct"/>
            <w:gridSpan w:val="5"/>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丙类仓库、乙类危险品库</w:t>
            </w:r>
          </w:p>
        </w:tc>
        <w:tc>
          <w:tcPr>
            <w:tcW w:w="216"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6"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45"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7"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7"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88"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7"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3"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248"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254"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9</w:t>
            </w:r>
          </w:p>
        </w:tc>
        <w:tc>
          <w:tcPr>
            <w:tcW w:w="198" w:type="pct"/>
            <w:tcBorders>
              <w:bottom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10</w:t>
            </w:r>
          </w:p>
        </w:tc>
        <w:tc>
          <w:tcPr>
            <w:tcW w:w="139" w:type="pct"/>
            <w:tcBorders>
              <w:bottom w:val="single" w:color="auto" w:sz="4" w:space="0"/>
            </w:tcBorders>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pct"/>
            <w:gridSpan w:val="5"/>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216"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98"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98"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88"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86"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88"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245"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87"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88"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87"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88"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98"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87"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93"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248"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254"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98"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c>
          <w:tcPr>
            <w:tcW w:w="139" w:type="pct"/>
            <w:tcBorders>
              <w:top w:val="single" w:color="auto" w:sz="4" w:space="0"/>
              <w:left w:val="nil"/>
              <w:bottom w:val="nil"/>
              <w:right w:val="nil"/>
            </w:tcBorders>
            <w:vAlign w:val="center"/>
          </w:tcPr>
          <w:p>
            <w:pPr>
              <w:spacing w:before="24" w:beforeLines="10" w:after="24" w:afterLines="10"/>
              <w:jc w:val="center"/>
              <w:rPr>
                <w:rFonts w:asciiTheme="minorEastAsia" w:hAnsiTheme="minorEastAsia"/>
                <w:sz w:val="18"/>
                <w:szCs w:val="18"/>
              </w:rPr>
            </w:pPr>
          </w:p>
        </w:tc>
      </w:tr>
    </w:tbl>
    <w:p/>
    <w:p>
      <w:pPr>
        <w:spacing w:after="48" w:afterLines="20" w:line="360" w:lineRule="auto"/>
        <w:jc w:val="center"/>
        <w:rPr>
          <w:rFonts w:ascii="Times New Roman" w:hAnsi="Times New Roman" w:eastAsia="黑体"/>
          <w:sz w:val="24"/>
          <w:szCs w:val="24"/>
        </w:rPr>
      </w:pPr>
      <w:r>
        <w:rPr>
          <w:rFonts w:hint="eastAsia" w:ascii="Times New Roman" w:hAnsi="Times New Roman" w:eastAsia="黑体"/>
          <w:sz w:val="24"/>
          <w:szCs w:val="24"/>
        </w:rPr>
        <w:t>续表</w:t>
      </w:r>
      <w:r>
        <w:rPr>
          <w:rFonts w:ascii="Times New Roman" w:hAnsi="Times New Roman" w:eastAsia="黑体"/>
          <w:sz w:val="24"/>
          <w:szCs w:val="24"/>
        </w:rPr>
        <w:t>4.2.1</w:t>
      </w:r>
    </w:p>
    <w:tbl>
      <w:tblPr>
        <w:tblStyle w:val="35"/>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917"/>
        <w:gridCol w:w="1495"/>
        <w:gridCol w:w="985"/>
        <w:gridCol w:w="637"/>
        <w:gridCol w:w="584"/>
        <w:gridCol w:w="584"/>
        <w:gridCol w:w="554"/>
        <w:gridCol w:w="548"/>
        <w:gridCol w:w="554"/>
        <w:gridCol w:w="722"/>
        <w:gridCol w:w="551"/>
        <w:gridCol w:w="554"/>
        <w:gridCol w:w="551"/>
        <w:gridCol w:w="554"/>
        <w:gridCol w:w="584"/>
        <w:gridCol w:w="551"/>
        <w:gridCol w:w="563"/>
        <w:gridCol w:w="731"/>
        <w:gridCol w:w="749"/>
        <w:gridCol w:w="584"/>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13" w:type="pct"/>
            <w:gridSpan w:val="4"/>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项</w:t>
            </w:r>
            <w:r>
              <w:rPr>
                <w:rFonts w:asciiTheme="minorEastAsia" w:hAnsiTheme="minorEastAsia"/>
                <w:sz w:val="18"/>
                <w:szCs w:val="18"/>
              </w:rPr>
              <w:t xml:space="preserve">  </w:t>
            </w:r>
            <w:r>
              <w:rPr>
                <w:rFonts w:hint="eastAsia" w:asciiTheme="minorEastAsia" w:hAnsiTheme="minorEastAsia"/>
                <w:sz w:val="18"/>
                <w:szCs w:val="18"/>
              </w:rPr>
              <w:t>目</w:t>
            </w:r>
          </w:p>
        </w:tc>
        <w:tc>
          <w:tcPr>
            <w:tcW w:w="216"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控制室、现场机柜室、变电所</w:t>
            </w:r>
          </w:p>
        </w:tc>
        <w:tc>
          <w:tcPr>
            <w:tcW w:w="198"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明火</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设备</w:t>
            </w:r>
          </w:p>
        </w:tc>
        <w:tc>
          <w:tcPr>
            <w:tcW w:w="2331" w:type="pct"/>
            <w:gridSpan w:val="12"/>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操作湿度低于自燃点的工艺设备</w:t>
            </w:r>
          </w:p>
        </w:tc>
        <w:tc>
          <w:tcPr>
            <w:tcW w:w="248"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操作温度高于或等于自燃点的工艺设备</w:t>
            </w:r>
          </w:p>
        </w:tc>
        <w:tc>
          <w:tcPr>
            <w:tcW w:w="254" w:type="pct"/>
            <w:vMerge w:val="restart"/>
            <w:vAlign w:val="center"/>
          </w:tcPr>
          <w:p>
            <w:pPr>
              <w:spacing w:before="24" w:beforeLines="10" w:after="24" w:afterLines="10"/>
              <w:ind w:left="-145" w:leftChars="-69" w:right="-40" w:rightChars="-19"/>
              <w:jc w:val="center"/>
              <w:rPr>
                <w:rFonts w:asciiTheme="minorEastAsia" w:hAnsiTheme="minorEastAsia"/>
                <w:sz w:val="18"/>
                <w:szCs w:val="18"/>
              </w:rPr>
            </w:pPr>
            <w:r>
              <w:rPr>
                <w:rFonts w:hint="eastAsia" w:asciiTheme="minorEastAsia" w:hAnsiTheme="minorEastAsia"/>
                <w:sz w:val="18"/>
                <w:szCs w:val="18"/>
              </w:rPr>
              <w:t>含可燃液体的污水池、隔油池、酸性污水罐、含油污水罐</w:t>
            </w:r>
          </w:p>
        </w:tc>
        <w:tc>
          <w:tcPr>
            <w:tcW w:w="198"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丙类仓库、乙类危险品库</w:t>
            </w:r>
          </w:p>
        </w:tc>
        <w:tc>
          <w:tcPr>
            <w:tcW w:w="141"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13" w:type="pct"/>
            <w:gridSpan w:val="4"/>
            <w:vMerge w:val="continue"/>
            <w:vAlign w:val="center"/>
          </w:tcPr>
          <w:p>
            <w:pPr>
              <w:spacing w:before="24" w:beforeLines="10" w:after="24" w:afterLines="10"/>
              <w:jc w:val="center"/>
              <w:rPr>
                <w:rFonts w:asciiTheme="minorEastAsia" w:hAnsiTheme="minorEastAsia"/>
                <w:sz w:val="18"/>
                <w:szCs w:val="18"/>
              </w:rPr>
            </w:pPr>
          </w:p>
        </w:tc>
        <w:tc>
          <w:tcPr>
            <w:tcW w:w="216"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386" w:type="pct"/>
            <w:gridSpan w:val="2"/>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可燃气体压缩机或压缩机房</w:t>
            </w:r>
          </w:p>
        </w:tc>
        <w:tc>
          <w:tcPr>
            <w:tcW w:w="994" w:type="pct"/>
            <w:gridSpan w:val="5"/>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装置储罐（总容积）</w:t>
            </w:r>
          </w:p>
        </w:tc>
        <w:tc>
          <w:tcPr>
            <w:tcW w:w="951" w:type="pct"/>
            <w:gridSpan w:val="5"/>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其他工艺设备或房间</w:t>
            </w:r>
          </w:p>
        </w:tc>
        <w:tc>
          <w:tcPr>
            <w:tcW w:w="248" w:type="pct"/>
            <w:vMerge w:val="continue"/>
            <w:vAlign w:val="center"/>
          </w:tcPr>
          <w:p>
            <w:pPr>
              <w:spacing w:before="24" w:beforeLines="10" w:after="24" w:afterLines="10"/>
              <w:jc w:val="center"/>
              <w:rPr>
                <w:rFonts w:asciiTheme="minorEastAsia" w:hAnsiTheme="minorEastAsia"/>
                <w:sz w:val="18"/>
                <w:szCs w:val="18"/>
              </w:rPr>
            </w:pPr>
          </w:p>
        </w:tc>
        <w:tc>
          <w:tcPr>
            <w:tcW w:w="254"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41"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13" w:type="pct"/>
            <w:gridSpan w:val="4"/>
            <w:vMerge w:val="continue"/>
            <w:vAlign w:val="center"/>
          </w:tcPr>
          <w:p>
            <w:pPr>
              <w:spacing w:before="24" w:beforeLines="10" w:after="24" w:afterLines="10"/>
              <w:jc w:val="center"/>
              <w:rPr>
                <w:rFonts w:asciiTheme="minorEastAsia" w:hAnsiTheme="minorEastAsia"/>
                <w:sz w:val="18"/>
                <w:szCs w:val="18"/>
              </w:rPr>
            </w:pPr>
          </w:p>
        </w:tc>
        <w:tc>
          <w:tcPr>
            <w:tcW w:w="216"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386" w:type="pct"/>
            <w:gridSpan w:val="2"/>
            <w:vMerge w:val="continue"/>
            <w:vAlign w:val="center"/>
          </w:tcPr>
          <w:p>
            <w:pPr>
              <w:spacing w:before="24" w:beforeLines="10" w:after="24" w:afterLines="10"/>
              <w:jc w:val="center"/>
              <w:rPr>
                <w:rFonts w:asciiTheme="minorEastAsia" w:hAnsiTheme="minorEastAsia"/>
                <w:sz w:val="18"/>
                <w:szCs w:val="18"/>
              </w:rPr>
            </w:pPr>
          </w:p>
        </w:tc>
        <w:tc>
          <w:tcPr>
            <w:tcW w:w="374" w:type="pct"/>
            <w:gridSpan w:val="2"/>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可燃气体</w:t>
            </w:r>
          </w:p>
        </w:tc>
        <w:tc>
          <w:tcPr>
            <w:tcW w:w="245"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液化烃</w:t>
            </w:r>
          </w:p>
        </w:tc>
        <w:tc>
          <w:tcPr>
            <w:tcW w:w="375" w:type="pct"/>
            <w:gridSpan w:val="2"/>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可燃液体</w:t>
            </w:r>
          </w:p>
        </w:tc>
        <w:tc>
          <w:tcPr>
            <w:tcW w:w="375" w:type="pct"/>
            <w:gridSpan w:val="2"/>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可燃气体</w:t>
            </w:r>
          </w:p>
        </w:tc>
        <w:tc>
          <w:tcPr>
            <w:tcW w:w="198"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液化烃</w:t>
            </w:r>
          </w:p>
        </w:tc>
        <w:tc>
          <w:tcPr>
            <w:tcW w:w="378" w:type="pct"/>
            <w:gridSpan w:val="2"/>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可燃液体</w:t>
            </w:r>
          </w:p>
        </w:tc>
        <w:tc>
          <w:tcPr>
            <w:tcW w:w="248" w:type="pct"/>
            <w:vMerge w:val="continue"/>
            <w:vAlign w:val="center"/>
          </w:tcPr>
          <w:p>
            <w:pPr>
              <w:spacing w:before="24" w:beforeLines="10" w:after="24" w:afterLines="10"/>
              <w:jc w:val="center"/>
              <w:rPr>
                <w:rFonts w:asciiTheme="minorEastAsia" w:hAnsiTheme="minorEastAsia"/>
                <w:sz w:val="18"/>
                <w:szCs w:val="18"/>
              </w:rPr>
            </w:pPr>
          </w:p>
        </w:tc>
        <w:tc>
          <w:tcPr>
            <w:tcW w:w="254"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41"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413" w:type="pct"/>
            <w:gridSpan w:val="4"/>
            <w:vMerge w:val="continue"/>
            <w:vAlign w:val="center"/>
          </w:tcPr>
          <w:p>
            <w:pPr>
              <w:spacing w:before="24" w:beforeLines="10" w:after="24" w:afterLines="10"/>
              <w:jc w:val="center"/>
              <w:rPr>
                <w:rFonts w:asciiTheme="minorEastAsia" w:hAnsiTheme="minorEastAsia"/>
                <w:sz w:val="18"/>
                <w:szCs w:val="18"/>
              </w:rPr>
            </w:pPr>
          </w:p>
        </w:tc>
        <w:tc>
          <w:tcPr>
            <w:tcW w:w="216"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386" w:type="pct"/>
            <w:gridSpan w:val="2"/>
            <w:vMerge w:val="continue"/>
            <w:vAlign w:val="center"/>
          </w:tcPr>
          <w:p>
            <w:pPr>
              <w:spacing w:before="24" w:beforeLines="10" w:after="24" w:afterLines="10"/>
              <w:jc w:val="center"/>
              <w:rPr>
                <w:rFonts w:asciiTheme="minorEastAsia" w:hAnsiTheme="minorEastAsia"/>
                <w:sz w:val="18"/>
                <w:szCs w:val="18"/>
              </w:rPr>
            </w:pPr>
          </w:p>
        </w:tc>
        <w:tc>
          <w:tcPr>
            <w:tcW w:w="374" w:type="pct"/>
            <w:gridSpan w:val="2"/>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1000m</w:t>
            </w:r>
            <w:r>
              <w:rPr>
                <w:rFonts w:asciiTheme="minorEastAsia" w:hAnsiTheme="minorEastAsia"/>
                <w:sz w:val="18"/>
                <w:szCs w:val="18"/>
                <w:vertAlign w:val="superscript"/>
              </w:rPr>
              <w:t>3</w:t>
            </w:r>
          </w:p>
        </w:tc>
        <w:tc>
          <w:tcPr>
            <w:tcW w:w="245" w:type="pct"/>
            <w:vAlign w:val="center"/>
          </w:tcPr>
          <w:p>
            <w:pPr>
              <w:spacing w:before="24" w:beforeLines="10" w:after="24" w:afterLines="10"/>
              <w:jc w:val="center"/>
              <w:rPr>
                <w:rFonts w:asciiTheme="minorEastAsia" w:hAnsiTheme="minorEastAsia"/>
                <w:sz w:val="18"/>
                <w:szCs w:val="18"/>
                <w:vertAlign w:val="superscript"/>
              </w:rPr>
            </w:pPr>
            <w:r>
              <w:rPr>
                <w:rFonts w:asciiTheme="minorEastAsia" w:hAnsiTheme="minorEastAsia"/>
                <w:sz w:val="18"/>
                <w:szCs w:val="18"/>
              </w:rPr>
              <w:t>50m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100m</w:t>
            </w:r>
            <w:r>
              <w:rPr>
                <w:rFonts w:asciiTheme="minorEastAsia" w:hAnsiTheme="minorEastAsia"/>
                <w:sz w:val="18"/>
                <w:szCs w:val="18"/>
                <w:vertAlign w:val="superscript"/>
              </w:rPr>
              <w:t>3</w:t>
            </w:r>
          </w:p>
        </w:tc>
        <w:tc>
          <w:tcPr>
            <w:tcW w:w="375" w:type="pct"/>
            <w:gridSpan w:val="2"/>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100m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1000m</w:t>
            </w:r>
            <w:r>
              <w:rPr>
                <w:rFonts w:asciiTheme="minorEastAsia" w:hAnsiTheme="minorEastAsia"/>
                <w:sz w:val="18"/>
                <w:szCs w:val="18"/>
                <w:vertAlign w:val="superscript"/>
              </w:rPr>
              <w:t>3</w:t>
            </w:r>
          </w:p>
        </w:tc>
        <w:tc>
          <w:tcPr>
            <w:tcW w:w="375" w:type="pct"/>
            <w:gridSpan w:val="2"/>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378" w:type="pct"/>
            <w:gridSpan w:val="2"/>
            <w:vMerge w:val="continue"/>
            <w:vAlign w:val="center"/>
          </w:tcPr>
          <w:p>
            <w:pPr>
              <w:spacing w:before="24" w:beforeLines="10" w:after="24" w:afterLines="10"/>
              <w:jc w:val="center"/>
              <w:rPr>
                <w:rFonts w:asciiTheme="minorEastAsia" w:hAnsiTheme="minorEastAsia"/>
                <w:sz w:val="18"/>
                <w:szCs w:val="18"/>
              </w:rPr>
            </w:pPr>
          </w:p>
        </w:tc>
        <w:tc>
          <w:tcPr>
            <w:tcW w:w="248" w:type="pct"/>
            <w:vMerge w:val="continue"/>
            <w:vAlign w:val="center"/>
          </w:tcPr>
          <w:p>
            <w:pPr>
              <w:spacing w:before="24" w:beforeLines="10" w:after="24" w:afterLines="10"/>
              <w:jc w:val="center"/>
              <w:rPr>
                <w:rFonts w:asciiTheme="minorEastAsia" w:hAnsiTheme="minorEastAsia"/>
                <w:sz w:val="18"/>
                <w:szCs w:val="18"/>
              </w:rPr>
            </w:pPr>
          </w:p>
        </w:tc>
        <w:tc>
          <w:tcPr>
            <w:tcW w:w="254"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41"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13" w:type="pct"/>
            <w:gridSpan w:val="4"/>
            <w:vMerge w:val="continue"/>
            <w:vAlign w:val="center"/>
          </w:tcPr>
          <w:p>
            <w:pPr>
              <w:spacing w:before="24" w:beforeLines="10" w:after="24" w:afterLines="10"/>
              <w:jc w:val="center"/>
              <w:rPr>
                <w:rFonts w:asciiTheme="minorEastAsia" w:hAnsiTheme="minorEastAsia"/>
                <w:sz w:val="18"/>
                <w:szCs w:val="18"/>
              </w:rPr>
            </w:pPr>
          </w:p>
        </w:tc>
        <w:tc>
          <w:tcPr>
            <w:tcW w:w="216"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p>
        </w:tc>
        <w:tc>
          <w:tcPr>
            <w:tcW w:w="186"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p>
        </w:tc>
        <w:tc>
          <w:tcPr>
            <w:tcW w:w="245"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Ａ</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Ｂ</w:t>
            </w:r>
            <w:r>
              <w:rPr>
                <w:rFonts w:asciiTheme="minorEastAsia" w:hAnsiTheme="minorEastAsia"/>
                <w:sz w:val="18"/>
                <w:szCs w:val="18"/>
                <w:vertAlign w:val="subscript"/>
              </w:rPr>
              <w:br w:type="textWrapping"/>
            </w:r>
            <w:r>
              <w:rPr>
                <w:rFonts w:hint="eastAsia" w:asciiTheme="minorEastAsia" w:hAnsiTheme="minorEastAsia"/>
                <w:sz w:val="18"/>
                <w:szCs w:val="18"/>
              </w:rPr>
              <w:t>、</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Ａ</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Ｂ</w:t>
            </w:r>
            <w:r>
              <w:rPr>
                <w:rFonts w:asciiTheme="minorEastAsia" w:hAnsiTheme="minorEastAsia"/>
                <w:sz w:val="18"/>
                <w:szCs w:val="18"/>
                <w:vertAlign w:val="subscript"/>
              </w:rPr>
              <w:br w:type="textWrapping"/>
            </w:r>
            <w:r>
              <w:rPr>
                <w:rFonts w:hint="eastAsia" w:asciiTheme="minorEastAsia" w:hAnsiTheme="minorEastAsia"/>
                <w:sz w:val="18"/>
                <w:szCs w:val="18"/>
              </w:rPr>
              <w:t>、</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丙</w:t>
            </w:r>
            <w:r>
              <w:rPr>
                <w:rFonts w:hint="eastAsia" w:asciiTheme="minorEastAsia" w:hAnsiTheme="minorEastAsia"/>
                <w:sz w:val="18"/>
                <w:szCs w:val="18"/>
                <w:vertAlign w:val="subscript"/>
              </w:rPr>
              <w:t>Ａ</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p>
        </w:tc>
        <w:tc>
          <w:tcPr>
            <w:tcW w:w="18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p>
        </w:tc>
        <w:tc>
          <w:tcPr>
            <w:tcW w:w="198"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Ａ</w:t>
            </w:r>
          </w:p>
        </w:tc>
        <w:tc>
          <w:tcPr>
            <w:tcW w:w="18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Ｂ</w:t>
            </w:r>
            <w:r>
              <w:rPr>
                <w:rFonts w:asciiTheme="minorEastAsia" w:hAnsiTheme="minorEastAsia"/>
                <w:sz w:val="18"/>
                <w:szCs w:val="18"/>
                <w:vertAlign w:val="subscript"/>
              </w:rPr>
              <w:br w:type="textWrapping"/>
            </w:r>
            <w:r>
              <w:rPr>
                <w:rFonts w:hint="eastAsia" w:asciiTheme="minorEastAsia" w:hAnsiTheme="minorEastAsia"/>
                <w:sz w:val="18"/>
                <w:szCs w:val="18"/>
              </w:rPr>
              <w:t>、</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Ａ</w:t>
            </w:r>
          </w:p>
        </w:tc>
        <w:tc>
          <w:tcPr>
            <w:tcW w:w="191"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Ｂ</w:t>
            </w:r>
            <w:r>
              <w:rPr>
                <w:rFonts w:asciiTheme="minorEastAsia" w:hAnsiTheme="minorEastAsia"/>
                <w:sz w:val="18"/>
                <w:szCs w:val="18"/>
                <w:vertAlign w:val="subscript"/>
              </w:rPr>
              <w:br w:type="textWrapping"/>
            </w:r>
            <w:r>
              <w:rPr>
                <w:rFonts w:hint="eastAsia" w:asciiTheme="minorEastAsia" w:hAnsiTheme="minorEastAsia"/>
                <w:sz w:val="18"/>
                <w:szCs w:val="18"/>
              </w:rPr>
              <w:t>、</w:t>
            </w:r>
          </w:p>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丙</w:t>
            </w:r>
            <w:r>
              <w:rPr>
                <w:rFonts w:hint="eastAsia" w:asciiTheme="minorEastAsia" w:hAnsiTheme="minorEastAsia"/>
                <w:sz w:val="18"/>
                <w:szCs w:val="18"/>
                <w:vertAlign w:val="subscript"/>
              </w:rPr>
              <w:t>Ａ</w:t>
            </w:r>
          </w:p>
        </w:tc>
        <w:tc>
          <w:tcPr>
            <w:tcW w:w="248" w:type="pct"/>
            <w:vMerge w:val="continue"/>
            <w:vAlign w:val="center"/>
          </w:tcPr>
          <w:p>
            <w:pPr>
              <w:spacing w:before="24" w:beforeLines="10" w:after="24" w:afterLines="10"/>
              <w:jc w:val="center"/>
              <w:rPr>
                <w:rFonts w:asciiTheme="minorEastAsia" w:hAnsiTheme="minorEastAsia"/>
                <w:sz w:val="18"/>
                <w:szCs w:val="18"/>
              </w:rPr>
            </w:pPr>
          </w:p>
        </w:tc>
        <w:tc>
          <w:tcPr>
            <w:tcW w:w="254" w:type="pct"/>
            <w:vMerge w:val="continue"/>
            <w:vAlign w:val="center"/>
          </w:tcPr>
          <w:p>
            <w:pPr>
              <w:spacing w:before="24" w:beforeLines="10" w:after="24" w:afterLines="10"/>
              <w:jc w:val="center"/>
              <w:rPr>
                <w:rFonts w:asciiTheme="minorEastAsia" w:hAnsiTheme="minorEastAsia"/>
                <w:sz w:val="18"/>
                <w:szCs w:val="18"/>
              </w:rPr>
            </w:pPr>
          </w:p>
        </w:tc>
        <w:tc>
          <w:tcPr>
            <w:tcW w:w="198" w:type="pct"/>
            <w:vMerge w:val="continue"/>
            <w:vAlign w:val="center"/>
          </w:tcPr>
          <w:p>
            <w:pPr>
              <w:spacing w:before="24" w:beforeLines="10" w:after="24" w:afterLines="10"/>
              <w:jc w:val="center"/>
              <w:rPr>
                <w:rFonts w:asciiTheme="minorEastAsia" w:hAnsiTheme="minorEastAsia"/>
                <w:sz w:val="18"/>
                <w:szCs w:val="18"/>
              </w:rPr>
            </w:pPr>
          </w:p>
        </w:tc>
        <w:tc>
          <w:tcPr>
            <w:tcW w:w="141"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restar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装置储罐组（总容积）</w:t>
            </w:r>
          </w:p>
        </w:tc>
        <w:tc>
          <w:tcPr>
            <w:tcW w:w="311"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可燃气体</w:t>
            </w:r>
          </w:p>
        </w:tc>
        <w:tc>
          <w:tcPr>
            <w:tcW w:w="507"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1000m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5000m</w:t>
            </w:r>
            <w:r>
              <w:rPr>
                <w:rFonts w:asciiTheme="minorEastAsia" w:hAnsiTheme="minorEastAsia"/>
                <w:sz w:val="18"/>
                <w:szCs w:val="18"/>
                <w:vertAlign w:val="superscript"/>
              </w:rPr>
              <w:t>3</w:t>
            </w:r>
          </w:p>
        </w:tc>
        <w:tc>
          <w:tcPr>
            <w:tcW w:w="334"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甲、乙</w:t>
            </w:r>
          </w:p>
        </w:tc>
        <w:tc>
          <w:tcPr>
            <w:tcW w:w="216"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98"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98"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6"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w:t>
            </w:r>
          </w:p>
        </w:tc>
        <w:tc>
          <w:tcPr>
            <w:tcW w:w="188"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w:t>
            </w:r>
          </w:p>
        </w:tc>
        <w:tc>
          <w:tcPr>
            <w:tcW w:w="245"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87"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7"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87"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1"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248"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254"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41" w:type="pct"/>
            <w:vMerge w:val="restart"/>
            <w:tcBorders>
              <w:top w:val="single" w:color="auto" w:sz="4" w:space="0"/>
            </w:tcBorders>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注</w:t>
            </w:r>
            <w:r>
              <w:rPr>
                <w:rFonts w:asciiTheme="minorEastAsia" w:hAnsi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311"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液化烃</w:t>
            </w:r>
          </w:p>
        </w:tc>
        <w:tc>
          <w:tcPr>
            <w:tcW w:w="507"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100m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500m</w:t>
            </w:r>
            <w:r>
              <w:rPr>
                <w:rFonts w:asciiTheme="minorEastAsia" w:hAnsiTheme="minorEastAsia"/>
                <w:sz w:val="18"/>
                <w:szCs w:val="18"/>
                <w:vertAlign w:val="superscript"/>
              </w:rPr>
              <w:t>3</w:t>
            </w:r>
          </w:p>
        </w:tc>
        <w:tc>
          <w:tcPr>
            <w:tcW w:w="334"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Ａ</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30</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30</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30</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30</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91"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30</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41"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 w:type="pct"/>
            <w:vMerge w:val="continue"/>
            <w:vAlign w:val="center"/>
          </w:tcPr>
          <w:p>
            <w:pPr>
              <w:spacing w:before="24" w:beforeLines="10" w:after="24" w:afterLines="10"/>
              <w:jc w:val="center"/>
              <w:rPr>
                <w:rFonts w:asciiTheme="minorEastAsia" w:hAnsiTheme="minorEastAsia"/>
                <w:sz w:val="18"/>
                <w:szCs w:val="18"/>
              </w:rPr>
            </w:pPr>
          </w:p>
        </w:tc>
        <w:tc>
          <w:tcPr>
            <w:tcW w:w="311"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可燃液体</w:t>
            </w:r>
          </w:p>
        </w:tc>
        <w:tc>
          <w:tcPr>
            <w:tcW w:w="507" w:type="pct"/>
            <w:vMerge w:val="restar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1000m</w:t>
            </w:r>
            <w:r>
              <w:rPr>
                <w:rFonts w:asciiTheme="minorEastAsia" w:hAnsiTheme="minorEastAsia"/>
                <w:sz w:val="18"/>
                <w:szCs w:val="18"/>
                <w:vertAlign w:val="superscript"/>
              </w:rPr>
              <w:t>3</w:t>
            </w:r>
            <w:r>
              <w:rPr>
                <w:rFonts w:hint="eastAsia" w:asciiTheme="minorEastAsia" w:hAnsiTheme="minorEastAsia"/>
                <w:sz w:val="18"/>
                <w:szCs w:val="18"/>
              </w:rPr>
              <w:t>～</w:t>
            </w:r>
            <w:r>
              <w:rPr>
                <w:rFonts w:asciiTheme="minorEastAsia" w:hAnsiTheme="minorEastAsia"/>
                <w:sz w:val="18"/>
                <w:szCs w:val="18"/>
              </w:rPr>
              <w:t>5000m</w:t>
            </w:r>
            <w:r>
              <w:rPr>
                <w:rFonts w:asciiTheme="minorEastAsia" w:hAnsiTheme="minorEastAsia"/>
                <w:sz w:val="18"/>
                <w:szCs w:val="18"/>
                <w:vertAlign w:val="superscript"/>
              </w:rPr>
              <w:t>3</w:t>
            </w:r>
          </w:p>
        </w:tc>
        <w:tc>
          <w:tcPr>
            <w:tcW w:w="334" w:type="pct"/>
            <w:vAlign w:val="center"/>
          </w:tcPr>
          <w:p>
            <w:pPr>
              <w:spacing w:before="24" w:beforeLines="10" w:after="24" w:afterLines="10"/>
              <w:jc w:val="center"/>
              <w:rPr>
                <w:rFonts w:asciiTheme="minorEastAsia" w:hAnsiTheme="minorEastAsia"/>
                <w:sz w:val="18"/>
                <w:szCs w:val="18"/>
              </w:rPr>
            </w:pPr>
            <w:r>
              <w:rPr>
                <w:rFonts w:hint="eastAsia" w:asciiTheme="minorEastAsia" w:hAnsiTheme="minorEastAsia"/>
                <w:sz w:val="18"/>
                <w:szCs w:val="18"/>
              </w:rPr>
              <w:t>甲</w:t>
            </w:r>
            <w:r>
              <w:rPr>
                <w:rFonts w:hint="eastAsia" w:asciiTheme="minorEastAsia" w:hAnsiTheme="minorEastAsia"/>
                <w:sz w:val="18"/>
                <w:szCs w:val="18"/>
                <w:vertAlign w:val="subscript"/>
              </w:rPr>
              <w:t>Ｂ</w:t>
            </w:r>
            <w:r>
              <w:rPr>
                <w:rFonts w:hint="eastAsia" w:asciiTheme="minorEastAsia" w:hAnsiTheme="minorEastAsia"/>
                <w:sz w:val="18"/>
                <w:szCs w:val="18"/>
              </w:rPr>
              <w:t>、乙</w:t>
            </w:r>
            <w:r>
              <w:rPr>
                <w:rFonts w:hint="eastAsia" w:asciiTheme="minorEastAsia" w:hAnsiTheme="minorEastAsia"/>
                <w:sz w:val="18"/>
                <w:szCs w:val="18"/>
                <w:vertAlign w:val="subscript"/>
              </w:rPr>
              <w:t>Ａ</w:t>
            </w:r>
          </w:p>
        </w:tc>
        <w:tc>
          <w:tcPr>
            <w:tcW w:w="21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86"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245"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8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187"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91"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15</w:t>
            </w:r>
          </w:p>
        </w:tc>
        <w:tc>
          <w:tcPr>
            <w:tcW w:w="24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25</w:t>
            </w:r>
          </w:p>
        </w:tc>
        <w:tc>
          <w:tcPr>
            <w:tcW w:w="254"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98" w:type="pct"/>
            <w:vAlign w:val="center"/>
          </w:tcPr>
          <w:p>
            <w:pPr>
              <w:spacing w:before="24" w:beforeLines="10" w:after="24" w:afterLines="10"/>
              <w:jc w:val="center"/>
              <w:rPr>
                <w:rFonts w:asciiTheme="minorEastAsia" w:hAnsiTheme="minorEastAsia"/>
                <w:sz w:val="18"/>
                <w:szCs w:val="18"/>
              </w:rPr>
            </w:pPr>
            <w:r>
              <w:rPr>
                <w:rFonts w:asciiTheme="minorEastAsia" w:hAnsiTheme="minorEastAsia"/>
                <w:sz w:val="18"/>
                <w:szCs w:val="18"/>
              </w:rPr>
              <w:t>20</w:t>
            </w:r>
          </w:p>
        </w:tc>
        <w:tc>
          <w:tcPr>
            <w:tcW w:w="141" w:type="pct"/>
            <w:vMerge w:val="continue"/>
            <w:vAlign w:val="center"/>
          </w:tcPr>
          <w:p>
            <w:pPr>
              <w:spacing w:before="24" w:beforeLines="10" w:after="24" w:afterLines="1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Merge w:val="continue"/>
            <w:vAlign w:val="center"/>
          </w:tcPr>
          <w:p>
            <w:pPr>
              <w:spacing w:before="120" w:beforeLines="50" w:after="24" w:afterLines="10"/>
              <w:jc w:val="center"/>
              <w:rPr>
                <w:rFonts w:asciiTheme="minorEastAsia" w:hAnsiTheme="minorEastAsia"/>
                <w:sz w:val="18"/>
                <w:szCs w:val="18"/>
              </w:rPr>
            </w:pPr>
          </w:p>
        </w:tc>
        <w:tc>
          <w:tcPr>
            <w:tcW w:w="311" w:type="pct"/>
            <w:vMerge w:val="continue"/>
            <w:vAlign w:val="center"/>
          </w:tcPr>
          <w:p>
            <w:pPr>
              <w:spacing w:before="120" w:beforeLines="50" w:after="24" w:afterLines="10"/>
              <w:jc w:val="center"/>
              <w:rPr>
                <w:rFonts w:asciiTheme="minorEastAsia" w:hAnsiTheme="minorEastAsia"/>
                <w:sz w:val="18"/>
                <w:szCs w:val="18"/>
              </w:rPr>
            </w:pPr>
          </w:p>
        </w:tc>
        <w:tc>
          <w:tcPr>
            <w:tcW w:w="507" w:type="pct"/>
            <w:vMerge w:val="continue"/>
            <w:vAlign w:val="center"/>
          </w:tcPr>
          <w:p>
            <w:pPr>
              <w:spacing w:before="120" w:beforeLines="50" w:after="24" w:afterLines="10"/>
              <w:jc w:val="center"/>
              <w:rPr>
                <w:rFonts w:asciiTheme="minorEastAsia" w:hAnsiTheme="minorEastAsia"/>
                <w:sz w:val="18"/>
                <w:szCs w:val="18"/>
              </w:rPr>
            </w:pPr>
          </w:p>
        </w:tc>
        <w:tc>
          <w:tcPr>
            <w:tcW w:w="334" w:type="pct"/>
            <w:vAlign w:val="center"/>
          </w:tcPr>
          <w:p>
            <w:pPr>
              <w:spacing w:before="120" w:beforeLines="50" w:after="24" w:afterLines="10"/>
              <w:jc w:val="center"/>
              <w:rPr>
                <w:rFonts w:asciiTheme="minorEastAsia" w:hAnsiTheme="minorEastAsia"/>
                <w:sz w:val="18"/>
                <w:szCs w:val="18"/>
              </w:rPr>
            </w:pPr>
            <w:r>
              <w:rPr>
                <w:rFonts w:hint="eastAsia" w:asciiTheme="minorEastAsia" w:hAnsiTheme="minorEastAsia"/>
                <w:sz w:val="18"/>
                <w:szCs w:val="18"/>
              </w:rPr>
              <w:t>乙</w:t>
            </w:r>
            <w:r>
              <w:rPr>
                <w:rFonts w:hint="eastAsia" w:asciiTheme="minorEastAsia" w:hAnsiTheme="minorEastAsia"/>
                <w:sz w:val="18"/>
                <w:szCs w:val="18"/>
                <w:vertAlign w:val="subscript"/>
              </w:rPr>
              <w:t>Ｂ</w:t>
            </w:r>
            <w:r>
              <w:rPr>
                <w:rFonts w:hint="eastAsia" w:asciiTheme="minorEastAsia" w:hAnsiTheme="minorEastAsia"/>
                <w:sz w:val="18"/>
                <w:szCs w:val="18"/>
              </w:rPr>
              <w:t>、丙</w:t>
            </w:r>
            <w:r>
              <w:rPr>
                <w:rFonts w:hint="eastAsia" w:asciiTheme="minorEastAsia" w:hAnsiTheme="minorEastAsia"/>
                <w:sz w:val="18"/>
                <w:szCs w:val="18"/>
                <w:vertAlign w:val="subscript"/>
              </w:rPr>
              <w:t>Ａ</w:t>
            </w:r>
          </w:p>
        </w:tc>
        <w:tc>
          <w:tcPr>
            <w:tcW w:w="216"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20</w:t>
            </w:r>
          </w:p>
        </w:tc>
        <w:tc>
          <w:tcPr>
            <w:tcW w:w="198"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20</w:t>
            </w:r>
          </w:p>
        </w:tc>
        <w:tc>
          <w:tcPr>
            <w:tcW w:w="198"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20</w:t>
            </w:r>
          </w:p>
        </w:tc>
        <w:tc>
          <w:tcPr>
            <w:tcW w:w="188"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15</w:t>
            </w:r>
          </w:p>
        </w:tc>
        <w:tc>
          <w:tcPr>
            <w:tcW w:w="186"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15</w:t>
            </w:r>
          </w:p>
        </w:tc>
        <w:tc>
          <w:tcPr>
            <w:tcW w:w="245"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20</w:t>
            </w:r>
          </w:p>
        </w:tc>
        <w:tc>
          <w:tcPr>
            <w:tcW w:w="187"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w:t>
            </w:r>
          </w:p>
        </w:tc>
        <w:tc>
          <w:tcPr>
            <w:tcW w:w="188"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w:t>
            </w:r>
          </w:p>
        </w:tc>
        <w:tc>
          <w:tcPr>
            <w:tcW w:w="187"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15</w:t>
            </w:r>
          </w:p>
        </w:tc>
        <w:tc>
          <w:tcPr>
            <w:tcW w:w="188"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20</w:t>
            </w:r>
          </w:p>
        </w:tc>
        <w:tc>
          <w:tcPr>
            <w:tcW w:w="187"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15</w:t>
            </w:r>
          </w:p>
        </w:tc>
        <w:tc>
          <w:tcPr>
            <w:tcW w:w="191"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15</w:t>
            </w:r>
          </w:p>
        </w:tc>
        <w:tc>
          <w:tcPr>
            <w:tcW w:w="248"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20</w:t>
            </w:r>
          </w:p>
        </w:tc>
        <w:tc>
          <w:tcPr>
            <w:tcW w:w="254"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15</w:t>
            </w:r>
          </w:p>
        </w:tc>
        <w:tc>
          <w:tcPr>
            <w:tcW w:w="198" w:type="pct"/>
            <w:vAlign w:val="center"/>
          </w:tcPr>
          <w:p>
            <w:pPr>
              <w:spacing w:before="120" w:beforeLines="50" w:after="24" w:afterLines="10"/>
              <w:jc w:val="center"/>
              <w:rPr>
                <w:rFonts w:asciiTheme="minorEastAsia" w:hAnsiTheme="minorEastAsia"/>
                <w:sz w:val="18"/>
                <w:szCs w:val="18"/>
              </w:rPr>
            </w:pPr>
            <w:r>
              <w:rPr>
                <w:rFonts w:asciiTheme="minorEastAsia" w:hAnsiTheme="minorEastAsia"/>
                <w:sz w:val="18"/>
                <w:szCs w:val="18"/>
              </w:rPr>
              <w:t>15</w:t>
            </w:r>
          </w:p>
        </w:tc>
        <w:tc>
          <w:tcPr>
            <w:tcW w:w="141" w:type="pct"/>
            <w:vMerge w:val="continue"/>
            <w:vAlign w:val="center"/>
          </w:tcPr>
          <w:p>
            <w:pPr>
              <w:spacing w:before="120" w:beforeLines="50" w:after="24" w:afterLines="10"/>
              <w:jc w:val="center"/>
              <w:rPr>
                <w:rFonts w:asciiTheme="minorEastAsia" w:hAnsiTheme="minorEastAsia"/>
                <w:sz w:val="18"/>
                <w:szCs w:val="18"/>
              </w:rPr>
            </w:pPr>
          </w:p>
        </w:tc>
      </w:tr>
    </w:tbl>
    <w:p>
      <w:pPr>
        <w:spacing w:before="48" w:beforeLines="20" w:after="48" w:afterLines="20"/>
        <w:ind w:left="840" w:leftChars="200" w:hanging="420" w:hangingChars="200"/>
        <w:jc w:val="left"/>
        <w:rPr>
          <w:rFonts w:ascii="Times New Roman" w:hAnsi="Times New Roman" w:eastAsia="新宋体"/>
          <w:color w:val="000000" w:themeColor="text1"/>
          <w:szCs w:val="21"/>
          <w14:textFill>
            <w14:solidFill>
              <w14:schemeClr w14:val="tx1"/>
            </w14:solidFill>
          </w14:textFill>
        </w:rPr>
      </w:pPr>
      <w:r>
        <w:rPr>
          <w:rFonts w:hint="eastAsia" w:ascii="Times New Roman" w:hAnsi="Times New Roman" w:eastAsia="新宋体"/>
          <w:szCs w:val="21"/>
        </w:rPr>
        <w:t>注：</w:t>
      </w:r>
      <w:r>
        <w:rPr>
          <w:rFonts w:ascii="Times New Roman" w:hAnsi="Times New Roman" w:eastAsia="新宋体"/>
          <w:color w:val="000000" w:themeColor="text1"/>
          <w:szCs w:val="21"/>
          <w14:textFill>
            <w14:solidFill>
              <w14:schemeClr w14:val="tx1"/>
            </w14:solidFill>
          </w14:textFill>
        </w:rPr>
        <w:t xml:space="preserve">1  </w:t>
      </w:r>
      <w:r>
        <w:rPr>
          <w:rFonts w:hint="eastAsia" w:ascii="Times New Roman" w:hAnsi="Times New Roman" w:eastAsia="新宋体"/>
          <w:color w:val="000000" w:themeColor="text1"/>
          <w:szCs w:val="21"/>
          <w14:textFill>
            <w14:solidFill>
              <w14:schemeClr w14:val="tx1"/>
            </w14:solidFill>
          </w14:textFill>
        </w:rPr>
        <w:t>单机轴功率小于</w:t>
      </w:r>
      <w:r>
        <w:rPr>
          <w:rFonts w:ascii="Times New Roman" w:hAnsi="Times New Roman" w:eastAsia="新宋体"/>
          <w:color w:val="000000" w:themeColor="text1"/>
          <w:szCs w:val="21"/>
          <w14:textFill>
            <w14:solidFill>
              <w14:schemeClr w14:val="tx1"/>
            </w14:solidFill>
          </w14:textFill>
        </w:rPr>
        <w:t>150kW</w:t>
      </w:r>
      <w:r>
        <w:rPr>
          <w:rFonts w:hint="eastAsia" w:ascii="Times New Roman" w:hAnsi="Times New Roman" w:eastAsia="新宋体"/>
          <w:color w:val="000000" w:themeColor="text1"/>
          <w:szCs w:val="21"/>
          <w14:textFill>
            <w14:solidFill>
              <w14:schemeClr w14:val="tx1"/>
            </w14:solidFill>
          </w14:textFill>
        </w:rPr>
        <w:t>的可燃气体压缩机，应按操作温度低于自燃点的“其他工艺设备”确定其防火间距；</w:t>
      </w:r>
    </w:p>
    <w:p>
      <w:pPr>
        <w:spacing w:before="48" w:beforeLines="20" w:after="48" w:afterLines="20"/>
        <w:ind w:left="1155" w:leftChars="400" w:hanging="315" w:hangingChars="150"/>
        <w:jc w:val="left"/>
        <w:rPr>
          <w:rFonts w:ascii="Times New Roman" w:hAnsi="Times New Roman" w:eastAsia="新宋体"/>
          <w:szCs w:val="21"/>
        </w:rPr>
      </w:pPr>
      <w:r>
        <w:rPr>
          <w:rFonts w:ascii="Times New Roman" w:hAnsi="Times New Roman" w:eastAsia="新宋体"/>
          <w:szCs w:val="21"/>
        </w:rPr>
        <w:t xml:space="preserve">2  </w:t>
      </w:r>
      <w:r>
        <w:rPr>
          <w:rFonts w:hint="eastAsia" w:ascii="Times New Roman" w:hAnsi="Times New Roman" w:eastAsia="新宋体"/>
          <w:szCs w:val="21"/>
        </w:rPr>
        <w:t>当装置储罐的总容积：液化烃储罐小于</w:t>
      </w:r>
      <w:r>
        <w:rPr>
          <w:rFonts w:ascii="Times New Roman" w:hAnsi="Times New Roman" w:eastAsia="新宋体"/>
          <w:szCs w:val="21"/>
        </w:rPr>
        <w:t>50m</w:t>
      </w:r>
      <w:r>
        <w:rPr>
          <w:rFonts w:ascii="Times New Roman" w:hAnsi="Times New Roman" w:eastAsia="新宋体"/>
          <w:szCs w:val="21"/>
          <w:vertAlign w:val="superscript"/>
        </w:rPr>
        <w:t>3</w:t>
      </w:r>
      <w:r>
        <w:rPr>
          <w:rFonts w:hint="eastAsia" w:ascii="Times New Roman" w:hAnsi="Times New Roman" w:eastAsia="新宋体"/>
          <w:szCs w:val="21"/>
        </w:rPr>
        <w:t>、可燃液体储罐小于</w:t>
      </w:r>
      <w:r>
        <w:rPr>
          <w:rFonts w:ascii="Times New Roman" w:hAnsi="Times New Roman" w:eastAsia="新宋体"/>
          <w:szCs w:val="21"/>
        </w:rPr>
        <w:t>100m</w:t>
      </w:r>
      <w:r>
        <w:rPr>
          <w:rFonts w:ascii="Times New Roman" w:hAnsi="Times New Roman" w:eastAsia="新宋体"/>
          <w:szCs w:val="21"/>
          <w:vertAlign w:val="superscript"/>
        </w:rPr>
        <w:t>3</w:t>
      </w:r>
      <w:r>
        <w:rPr>
          <w:rFonts w:hint="eastAsia" w:ascii="Times New Roman" w:hAnsi="Times New Roman" w:eastAsia="新宋体"/>
          <w:szCs w:val="21"/>
        </w:rPr>
        <w:t>、可燃气体储罐小于</w:t>
      </w:r>
      <w:r>
        <w:rPr>
          <w:rFonts w:ascii="Times New Roman" w:hAnsi="Times New Roman" w:eastAsia="新宋体"/>
          <w:szCs w:val="21"/>
        </w:rPr>
        <w:t>200m</w:t>
      </w:r>
      <w:r>
        <w:rPr>
          <w:rFonts w:ascii="Times New Roman" w:hAnsi="Times New Roman" w:eastAsia="新宋体"/>
          <w:szCs w:val="21"/>
          <w:vertAlign w:val="superscript"/>
        </w:rPr>
        <w:t>3</w:t>
      </w:r>
      <w:r>
        <w:rPr>
          <w:rFonts w:hint="eastAsia" w:ascii="Times New Roman" w:hAnsi="Times New Roman" w:eastAsia="新宋体"/>
          <w:szCs w:val="21"/>
        </w:rPr>
        <w:t>时，应按操作温度低于自燃点的“其他工艺设备”确定其防火间距；</w:t>
      </w:r>
    </w:p>
    <w:p>
      <w:pPr>
        <w:spacing w:before="48" w:beforeLines="20" w:after="48" w:afterLines="20"/>
        <w:ind w:left="1155" w:leftChars="400" w:hanging="315" w:hangingChars="150"/>
        <w:jc w:val="left"/>
        <w:rPr>
          <w:rFonts w:ascii="Times New Roman" w:hAnsi="Times New Roman" w:eastAsia="新宋体"/>
          <w:szCs w:val="21"/>
        </w:rPr>
      </w:pPr>
      <w:r>
        <w:rPr>
          <w:rFonts w:ascii="Times New Roman" w:hAnsi="Times New Roman" w:eastAsia="新宋体"/>
          <w:szCs w:val="21"/>
        </w:rPr>
        <w:t xml:space="preserve">3  </w:t>
      </w:r>
      <w:r>
        <w:rPr>
          <w:rFonts w:hint="eastAsia" w:ascii="Times New Roman" w:hAnsi="Times New Roman" w:eastAsia="新宋体"/>
          <w:szCs w:val="21"/>
        </w:rPr>
        <w:t>查不到自燃点时，应取</w:t>
      </w:r>
      <w:r>
        <w:rPr>
          <w:rFonts w:ascii="Times New Roman" w:hAnsi="Times New Roman" w:eastAsia="新宋体"/>
          <w:szCs w:val="21"/>
        </w:rPr>
        <w:t>250</w:t>
      </w:r>
      <w:r>
        <w:rPr>
          <w:rFonts w:hint="eastAsia" w:ascii="Times New Roman" w:hAnsi="Times New Roman" w:eastAsia="新宋体"/>
          <w:szCs w:val="21"/>
        </w:rPr>
        <w:t>℃；</w:t>
      </w:r>
    </w:p>
    <w:p>
      <w:pPr>
        <w:spacing w:before="48" w:beforeLines="20" w:after="48" w:afterLines="20"/>
        <w:ind w:left="1155" w:leftChars="400" w:hanging="315" w:hangingChars="150"/>
        <w:jc w:val="left"/>
        <w:rPr>
          <w:rFonts w:ascii="Times New Roman" w:hAnsi="Times New Roman" w:eastAsia="新宋体"/>
          <w:szCs w:val="21"/>
        </w:rPr>
      </w:pPr>
      <w:r>
        <w:rPr>
          <w:rFonts w:ascii="Times New Roman" w:hAnsi="Times New Roman" w:eastAsia="新宋体"/>
          <w:szCs w:val="21"/>
        </w:rPr>
        <w:t xml:space="preserve">4  </w:t>
      </w:r>
      <w:r>
        <w:rPr>
          <w:rFonts w:hint="eastAsia" w:ascii="Times New Roman" w:hAnsi="Times New Roman" w:eastAsia="新宋体"/>
          <w:szCs w:val="21"/>
        </w:rPr>
        <w:t>装置储罐组的防火设计应符合储运设施的有关规定；</w:t>
      </w:r>
    </w:p>
    <w:p>
      <w:pPr>
        <w:spacing w:before="48" w:beforeLines="20" w:after="48" w:afterLines="20"/>
        <w:ind w:left="1155" w:leftChars="400" w:hanging="315" w:hangingChars="150"/>
        <w:jc w:val="left"/>
        <w:rPr>
          <w:rFonts w:ascii="Times New Roman" w:hAnsi="Times New Roman" w:eastAsia="新宋体"/>
          <w:szCs w:val="21"/>
        </w:rPr>
      </w:pPr>
      <w:r>
        <w:rPr>
          <w:rFonts w:ascii="Times New Roman" w:hAnsi="Times New Roman" w:eastAsia="新宋体"/>
          <w:szCs w:val="21"/>
        </w:rPr>
        <w:t xml:space="preserve">5  </w:t>
      </w:r>
      <w:r>
        <w:rPr>
          <w:rFonts w:hint="eastAsia" w:ascii="Times New Roman" w:hAnsi="Times New Roman" w:eastAsia="新宋体"/>
          <w:szCs w:val="21"/>
        </w:rPr>
        <w:t>丙</w:t>
      </w:r>
      <w:r>
        <w:rPr>
          <w:rFonts w:hint="eastAsia" w:ascii="Times New Roman" w:hAnsi="Times New Roman" w:eastAsia="新宋体"/>
          <w:szCs w:val="21"/>
          <w:vertAlign w:val="subscript"/>
        </w:rPr>
        <w:t>Ｂ</w:t>
      </w:r>
      <w:r>
        <w:rPr>
          <w:rFonts w:hint="eastAsia" w:ascii="Times New Roman" w:hAnsi="Times New Roman" w:eastAsia="新宋体"/>
          <w:szCs w:val="21"/>
        </w:rPr>
        <w:t>类液体设备的防火间距不限；</w:t>
      </w:r>
    </w:p>
    <w:p>
      <w:pPr>
        <w:spacing w:before="48" w:beforeLines="20" w:after="48" w:afterLines="20"/>
        <w:ind w:left="1155" w:leftChars="400" w:hanging="315" w:hangingChars="150"/>
        <w:jc w:val="left"/>
        <w:rPr>
          <w:rFonts w:ascii="Times New Roman" w:hAnsi="Times New Roman" w:eastAsia="新宋体"/>
          <w:szCs w:val="21"/>
        </w:rPr>
      </w:pPr>
      <w:r>
        <w:rPr>
          <w:rFonts w:ascii="Times New Roman" w:hAnsi="Times New Roman" w:eastAsia="新宋体"/>
          <w:szCs w:val="21"/>
        </w:rPr>
        <w:t xml:space="preserve">6  </w:t>
      </w:r>
      <w:r>
        <w:rPr>
          <w:rFonts w:hint="eastAsia" w:ascii="Times New Roman" w:hAnsi="Times New Roman" w:eastAsia="新宋体"/>
          <w:szCs w:val="21"/>
        </w:rPr>
        <w:t>散发火花地点与其他设备防火间距同明火设备；</w:t>
      </w:r>
    </w:p>
    <w:p>
      <w:pPr>
        <w:spacing w:before="48" w:beforeLines="20" w:after="48" w:afterLines="20"/>
        <w:ind w:left="1155" w:leftChars="400" w:hanging="315" w:hangingChars="150"/>
        <w:jc w:val="left"/>
        <w:rPr>
          <w:rFonts w:ascii="Times New Roman" w:hAnsi="Times New Roman" w:eastAsia="新宋体"/>
          <w:szCs w:val="21"/>
        </w:rPr>
      </w:pPr>
      <w:r>
        <w:rPr>
          <w:rFonts w:ascii="Times New Roman" w:hAnsi="Times New Roman" w:eastAsia="新宋体"/>
          <w:szCs w:val="21"/>
        </w:rPr>
        <w:t>7  表中“－”表示</w:t>
      </w:r>
      <w:r>
        <w:rPr>
          <w:rFonts w:hint="eastAsia" w:ascii="Times New Roman" w:hAnsi="Times New Roman" w:eastAsia="新宋体"/>
          <w:szCs w:val="21"/>
        </w:rPr>
        <w:t>本规范</w:t>
      </w:r>
      <w:r>
        <w:rPr>
          <w:rFonts w:ascii="Times New Roman" w:hAnsi="Times New Roman" w:eastAsia="新宋体"/>
          <w:szCs w:val="21"/>
        </w:rPr>
        <w:t>无</w:t>
      </w:r>
      <w:r>
        <w:rPr>
          <w:rFonts w:hint="eastAsia" w:ascii="Times New Roman" w:hAnsi="Times New Roman" w:eastAsia="新宋体"/>
          <w:szCs w:val="21"/>
        </w:rPr>
        <w:t>防火间距的</w:t>
      </w:r>
      <w:r>
        <w:rPr>
          <w:rFonts w:ascii="Times New Roman" w:hAnsi="Times New Roman" w:eastAsia="新宋体"/>
          <w:szCs w:val="21"/>
        </w:rPr>
        <w:t>要求，“*”表示装置储罐集中成组</w:t>
      </w:r>
      <w:r>
        <w:rPr>
          <w:rFonts w:hint="eastAsia" w:ascii="Times New Roman" w:hAnsi="Times New Roman" w:eastAsia="新宋体"/>
          <w:szCs w:val="21"/>
        </w:rPr>
        <w:t>布置。</w:t>
      </w:r>
    </w:p>
    <w:p>
      <w:pPr>
        <w:ind w:left="1020" w:leftChars="200" w:hanging="600" w:hangingChars="200"/>
        <w:rPr>
          <w:rFonts w:ascii="Times New Roman" w:hAnsi="Times New Roman" w:eastAsia="新宋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sectPr>
          <w:headerReference r:id="rId16" w:type="default"/>
          <w:headerReference r:id="rId17" w:type="even"/>
          <w:footerReference r:id="rId18" w:type="even"/>
          <w:pgSz w:w="16840" w:h="11907" w:orient="landscape"/>
          <w:pgMar w:top="1418" w:right="1134" w:bottom="1418" w:left="1134" w:header="1134" w:footer="851" w:gutter="0"/>
          <w:cols w:space="720" w:num="1"/>
          <w:docGrid w:linePitch="286" w:charSpace="0"/>
        </w:sectPr>
      </w:pPr>
    </w:p>
    <w:p>
      <w:pPr>
        <w:pStyle w:val="310"/>
        <w:spacing w:line="360" w:lineRule="auto"/>
        <w:rPr>
          <w:rFonts w:ascii="Times New Roman"/>
        </w:rPr>
      </w:pPr>
      <w:r>
        <w:rPr>
          <w:rFonts w:ascii="Times New Roman"/>
        </w:rPr>
        <w:t xml:space="preserve">4.2.2  </w:t>
      </w:r>
      <w:r>
        <w:rPr>
          <w:rFonts w:hint="eastAsia" w:ascii="Times New Roman"/>
        </w:rPr>
        <w:t>明火加热炉附属的燃料气分液罐、燃料气加热器等与炉体的防火间距不应小于</w:t>
      </w:r>
      <w:r>
        <w:rPr>
          <w:rFonts w:ascii="Times New Roman"/>
        </w:rPr>
        <w:t>6m</w:t>
      </w:r>
      <w:r>
        <w:rPr>
          <w:rFonts w:hint="eastAsia" w:ascii="Times New Roman"/>
        </w:rPr>
        <w:t>。</w:t>
      </w:r>
    </w:p>
    <w:p>
      <w:pPr>
        <w:pStyle w:val="310"/>
        <w:spacing w:line="360" w:lineRule="auto"/>
        <w:rPr>
          <w:rFonts w:ascii="Times New Roman"/>
        </w:rPr>
      </w:pPr>
      <w:r>
        <w:rPr>
          <w:rFonts w:ascii="Times New Roman"/>
        </w:rPr>
        <w:t xml:space="preserve">4.2.3  </w:t>
      </w:r>
      <w:r>
        <w:rPr>
          <w:rFonts w:hint="eastAsia" w:ascii="Times New Roman"/>
        </w:rPr>
        <w:t>装置内消防道路的设置应符合下列规定：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当装置两侧消防道路间距大于</w:t>
      </w:r>
      <w:r>
        <w:rPr>
          <w:rFonts w:ascii="Times New Roman"/>
          <w:bCs/>
        </w:rPr>
        <w:t>120m</w:t>
      </w:r>
      <w:r>
        <w:rPr>
          <w:rFonts w:hint="eastAsia" w:ascii="Times New Roman"/>
          <w:bCs/>
        </w:rPr>
        <w:t>时，装置内应设贯通式消防道路，消防道路分割的设备、建筑区的宽度不应大于</w:t>
      </w:r>
      <w:r>
        <w:rPr>
          <w:rFonts w:ascii="Times New Roman"/>
          <w:bCs/>
        </w:rPr>
        <w:t>120m</w:t>
      </w:r>
      <w:r>
        <w:rPr>
          <w:rFonts w:hint="eastAsia" w:ascii="Times New Roman"/>
          <w:bCs/>
        </w:rPr>
        <w:t>，贯通式消防道路不应少于</w:t>
      </w:r>
      <w:r>
        <w:rPr>
          <w:rFonts w:ascii="Times New Roman"/>
          <w:bCs/>
        </w:rPr>
        <w:t>2</w:t>
      </w:r>
      <w:r>
        <w:rPr>
          <w:rFonts w:hint="eastAsia" w:ascii="Times New Roman"/>
          <w:bCs/>
        </w:rPr>
        <w:t>个出入口；</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消防道路的路面宽度不应小于</w:t>
      </w:r>
      <w:r>
        <w:rPr>
          <w:rFonts w:ascii="Times New Roman"/>
          <w:bCs/>
        </w:rPr>
        <w:t>6m</w:t>
      </w:r>
      <w:r>
        <w:rPr>
          <w:rFonts w:hint="eastAsia" w:ascii="Times New Roman"/>
          <w:bCs/>
        </w:rPr>
        <w:t>，消防道路路面上的净空高度不应小于</w:t>
      </w:r>
      <w:r>
        <w:rPr>
          <w:rFonts w:ascii="Times New Roman"/>
          <w:bCs/>
        </w:rPr>
        <w:t>4.5m</w:t>
      </w:r>
      <w:r>
        <w:rPr>
          <w:rFonts w:hint="eastAsia" w:ascii="Times New Roman"/>
          <w:bCs/>
        </w:rPr>
        <w:t>。</w:t>
      </w:r>
    </w:p>
    <w:p>
      <w:pPr>
        <w:pStyle w:val="310"/>
        <w:spacing w:line="360" w:lineRule="auto"/>
        <w:rPr>
          <w:rFonts w:ascii="Times New Roman"/>
        </w:rPr>
      </w:pPr>
      <w:r>
        <w:rPr>
          <w:rFonts w:ascii="Times New Roman"/>
        </w:rPr>
        <w:t xml:space="preserve">4.2.4  </w:t>
      </w:r>
      <w:r>
        <w:rPr>
          <w:rFonts w:hint="eastAsia" w:ascii="Times New Roman"/>
        </w:rPr>
        <w:t>当固体聚合物挤压造粒厂房满足下列条件时，该厂房应至少沿其</w:t>
      </w:r>
      <w:r>
        <w:rPr>
          <w:rFonts w:ascii="Times New Roman"/>
        </w:rPr>
        <w:t>1</w:t>
      </w:r>
      <w:r>
        <w:rPr>
          <w:rFonts w:hint="eastAsia" w:ascii="Times New Roman"/>
        </w:rPr>
        <w:t>条长边和</w:t>
      </w:r>
      <w:r>
        <w:rPr>
          <w:rFonts w:ascii="Times New Roman"/>
        </w:rPr>
        <w:t>1</w:t>
      </w:r>
      <w:r>
        <w:rPr>
          <w:rFonts w:hint="eastAsia" w:ascii="Times New Roman"/>
        </w:rPr>
        <w:t>条短边设置消防车道，该消防车道应保证消防车的救援作业范围能覆盖该厂房的全部消防扑救面；</w:t>
      </w:r>
      <w:r>
        <w:rPr>
          <w:rFonts w:ascii="Times New Roman"/>
        </w:rPr>
        <w:t>消防车登高操作场地应至少沿一个长边或周边长度的l/4的底边布置</w:t>
      </w:r>
      <w:r>
        <w:rPr>
          <w:rFonts w:hint="eastAsia" w:ascii="Times New Roman"/>
        </w:rPr>
        <w:t>，</w:t>
      </w:r>
      <w:r>
        <w:rPr>
          <w:rFonts w:ascii="Times New Roman"/>
        </w:rPr>
        <w:t>该范围内的裙房进深不应大于4m</w:t>
      </w:r>
      <w:r>
        <w:rPr>
          <w:rFonts w:hint="eastAsia" w:ascii="Times New Roman"/>
        </w:rPr>
        <w:t>：</w:t>
      </w:r>
    </w:p>
    <w:p>
      <w:pPr>
        <w:pStyle w:val="310"/>
        <w:spacing w:line="360" w:lineRule="auto"/>
        <w:ind w:firstLine="420" w:firstLineChars="175"/>
        <w:rPr>
          <w:rFonts w:ascii="Times New Roman"/>
          <w:bCs/>
        </w:rPr>
      </w:pPr>
      <w:r>
        <w:rPr>
          <w:rFonts w:ascii="Times New Roman"/>
          <w:bCs/>
        </w:rPr>
        <w:t>1  物料在设备内密闭操作、设有氮封系统</w:t>
      </w:r>
      <w:r>
        <w:rPr>
          <w:rFonts w:hint="eastAsia" w:ascii="Times New Roman"/>
          <w:bCs/>
        </w:rPr>
        <w:t>；</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无明火设备；</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无人值守，且现场操作人员不超过</w:t>
      </w:r>
      <w:r>
        <w:rPr>
          <w:rFonts w:ascii="Times New Roman"/>
          <w:bCs/>
        </w:rPr>
        <w:t>10</w:t>
      </w:r>
      <w:r>
        <w:rPr>
          <w:rFonts w:hint="eastAsia" w:ascii="Times New Roman"/>
          <w:bCs/>
        </w:rPr>
        <w:t>人；</w:t>
      </w:r>
    </w:p>
    <w:p>
      <w:pPr>
        <w:pStyle w:val="310"/>
        <w:spacing w:line="360" w:lineRule="auto"/>
        <w:ind w:firstLine="420" w:firstLineChars="175"/>
        <w:rPr>
          <w:rFonts w:ascii="Times New Roman"/>
          <w:bCs/>
        </w:rPr>
      </w:pPr>
      <w:r>
        <w:rPr>
          <w:rFonts w:ascii="Times New Roman"/>
          <w:bCs/>
        </w:rPr>
        <w:t xml:space="preserve">4  </w:t>
      </w:r>
      <w:r>
        <w:rPr>
          <w:rFonts w:hint="eastAsia" w:ascii="Times New Roman"/>
          <w:bCs/>
        </w:rPr>
        <w:t>厂房周围设有稳高压消防水系统。</w:t>
      </w:r>
    </w:p>
    <w:p>
      <w:pPr>
        <w:pStyle w:val="310"/>
        <w:spacing w:line="360" w:lineRule="auto"/>
        <w:rPr>
          <w:rFonts w:ascii="Times New Roman"/>
        </w:rPr>
      </w:pPr>
      <w:r>
        <w:rPr>
          <w:rFonts w:ascii="Times New Roman"/>
        </w:rPr>
        <w:t xml:space="preserve">4.2.5  </w:t>
      </w:r>
      <w:r>
        <w:rPr>
          <w:rFonts w:hint="eastAsia" w:ascii="Times New Roman"/>
        </w:rPr>
        <w:t>装置的控制室、现场机柜室、变电所等不应与设有甲、乙</w:t>
      </w:r>
      <w:r>
        <w:rPr>
          <w:rFonts w:hint="eastAsia" w:ascii="Times New Roman"/>
          <w:vertAlign w:val="subscript"/>
        </w:rPr>
        <w:t>Ａ</w:t>
      </w:r>
      <w:r>
        <w:rPr>
          <w:rFonts w:ascii="Times New Roman"/>
        </w:rPr>
        <w:t>类设备的房间布置在同一建筑物内。</w:t>
      </w:r>
    </w:p>
    <w:p>
      <w:pPr>
        <w:pStyle w:val="310"/>
        <w:spacing w:line="360" w:lineRule="auto"/>
        <w:rPr>
          <w:rFonts w:ascii="Times New Roman"/>
        </w:rPr>
      </w:pPr>
      <w:r>
        <w:rPr>
          <w:rFonts w:ascii="Times New Roman"/>
        </w:rPr>
        <w:t xml:space="preserve">4.2.6  </w:t>
      </w:r>
      <w:r>
        <w:rPr>
          <w:rFonts w:hint="eastAsia" w:ascii="Times New Roman"/>
        </w:rPr>
        <w:t>布置在装置内的控制室、现场机柜室、变电所应符合下列规定：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平面布置位于附加</w:t>
      </w:r>
      <w:r>
        <w:rPr>
          <w:rFonts w:ascii="Times New Roman"/>
          <w:bCs/>
        </w:rPr>
        <w:t>2区的</w:t>
      </w:r>
      <w:r>
        <w:rPr>
          <w:rFonts w:hint="eastAsia" w:ascii="Times New Roman"/>
          <w:bCs/>
        </w:rPr>
        <w:t>控制室、</w:t>
      </w:r>
      <w:r>
        <w:rPr>
          <w:rFonts w:ascii="Times New Roman"/>
          <w:bCs/>
        </w:rPr>
        <w:t>现场机柜室、变电所的设备层地面应高于室外地面，且高差不应小于0.6m；</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控制室、现场机柜室面向本装置有火灾危险性设备侧的外墙应为无门窗且耐火极限不低于</w:t>
      </w:r>
      <w:r>
        <w:rPr>
          <w:rFonts w:ascii="Times New Roman"/>
          <w:bCs/>
        </w:rPr>
        <w:t>3.00h</w:t>
      </w:r>
      <w:r>
        <w:rPr>
          <w:rFonts w:hint="eastAsia" w:ascii="Times New Roman"/>
          <w:bCs/>
        </w:rPr>
        <w:t>的不燃烧材料实体墙，实体墙上确需开设的洞口应采取防止火灾蔓延的措施；</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甲、乙类火灾危险性生产装置的控制室、</w:t>
      </w:r>
      <w:r>
        <w:rPr>
          <w:rFonts w:ascii="Times New Roman"/>
          <w:bCs/>
        </w:rPr>
        <w:t>现场机柜室</w:t>
      </w:r>
      <w:r>
        <w:rPr>
          <w:rFonts w:hint="eastAsia" w:ascii="Times New Roman"/>
          <w:bCs/>
        </w:rPr>
        <w:t>应按爆炸风险评估结果进行</w:t>
      </w:r>
      <w:r>
        <w:rPr>
          <w:rFonts w:ascii="Times New Roman"/>
          <w:bCs/>
        </w:rPr>
        <w:t>设计。</w:t>
      </w:r>
    </w:p>
    <w:p>
      <w:pPr>
        <w:pStyle w:val="310"/>
        <w:spacing w:line="360" w:lineRule="auto"/>
        <w:rPr>
          <w:rFonts w:ascii="Times New Roman"/>
        </w:rPr>
      </w:pPr>
      <w:r>
        <w:rPr>
          <w:rFonts w:ascii="Times New Roman"/>
        </w:rPr>
        <w:t xml:space="preserve">4.2.7  </w:t>
      </w:r>
      <w:r>
        <w:rPr>
          <w:rFonts w:hint="eastAsia" w:ascii="Times New Roman"/>
        </w:rPr>
        <w:t>布置在泵房内的液化烃泵、可燃液体泵应符合下列规定：</w:t>
      </w:r>
    </w:p>
    <w:p>
      <w:pPr>
        <w:pStyle w:val="310"/>
        <w:spacing w:line="360" w:lineRule="auto"/>
        <w:ind w:firstLine="420" w:firstLineChars="175"/>
        <w:rPr>
          <w:rFonts w:ascii="Times New Roman"/>
          <w:bCs/>
        </w:rPr>
      </w:pPr>
      <w:r>
        <w:rPr>
          <w:rFonts w:ascii="Times New Roman"/>
          <w:bCs/>
        </w:rPr>
        <w:t>1  液化烃泵、操作温度高于</w:t>
      </w:r>
      <w:r>
        <w:rPr>
          <w:rFonts w:hint="eastAsia" w:ascii="Times New Roman"/>
          <w:bCs/>
        </w:rPr>
        <w:t>或等于</w:t>
      </w:r>
      <w:r>
        <w:rPr>
          <w:rFonts w:ascii="Times New Roman"/>
          <w:bCs/>
        </w:rPr>
        <w:t>自燃点的可燃液体泵、操作温度低于自燃点的可燃液体泵</w:t>
      </w:r>
      <w:r>
        <w:rPr>
          <w:rFonts w:hint="eastAsia" w:ascii="Times New Roman"/>
          <w:bCs/>
        </w:rPr>
        <w:t>，应</w:t>
      </w:r>
      <w:r>
        <w:rPr>
          <w:rFonts w:ascii="Times New Roman"/>
          <w:bCs/>
        </w:rPr>
        <w:t>分别布置在不同房间内，各房间之间的隔墙</w:t>
      </w:r>
      <w:r>
        <w:rPr>
          <w:rFonts w:hint="eastAsia" w:ascii="Times New Roman"/>
          <w:bCs/>
        </w:rPr>
        <w:t>应</w:t>
      </w:r>
      <w:r>
        <w:rPr>
          <w:rFonts w:ascii="Times New Roman"/>
          <w:bCs/>
        </w:rPr>
        <w:t>为防火墙；</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操作温度</w:t>
      </w:r>
      <w:r>
        <w:rPr>
          <w:rFonts w:ascii="Times New Roman"/>
          <w:bCs/>
        </w:rPr>
        <w:t>高于</w:t>
      </w:r>
      <w:r>
        <w:rPr>
          <w:rFonts w:hint="eastAsia" w:ascii="Times New Roman"/>
          <w:bCs/>
        </w:rPr>
        <w:t>或等于自燃点的可燃液体泵房的门窗，与操作温度低于自燃点的甲</w:t>
      </w:r>
      <w:r>
        <w:rPr>
          <w:rFonts w:hint="eastAsia" w:ascii="Times New Roman"/>
          <w:bCs/>
          <w:vertAlign w:val="subscript"/>
        </w:rPr>
        <w:t>Ｂ</w:t>
      </w:r>
      <w:r>
        <w:rPr>
          <w:rFonts w:hint="eastAsia" w:ascii="Times New Roman"/>
          <w:bCs/>
        </w:rPr>
        <w:t>、乙</w:t>
      </w:r>
      <w:r>
        <w:rPr>
          <w:rFonts w:hint="eastAsia" w:ascii="Times New Roman"/>
          <w:bCs/>
          <w:vertAlign w:val="subscript"/>
        </w:rPr>
        <w:t>Ａ</w:t>
      </w:r>
      <w:r>
        <w:rPr>
          <w:rFonts w:hint="eastAsia" w:ascii="Times New Roman"/>
          <w:bCs/>
        </w:rPr>
        <w:t>类液体泵房的门窗或液化烃泵房的门窗的距离，不应小于</w:t>
      </w:r>
      <w:r>
        <w:rPr>
          <w:rFonts w:ascii="Times New Roman"/>
          <w:bCs/>
        </w:rPr>
        <w:t>4.5m</w:t>
      </w:r>
      <w:r>
        <w:rPr>
          <w:rFonts w:hint="eastAsia" w:ascii="Times New Roman"/>
          <w:bCs/>
        </w:rPr>
        <w:t>。</w:t>
      </w:r>
    </w:p>
    <w:p>
      <w:pPr>
        <w:pStyle w:val="310"/>
        <w:spacing w:line="360" w:lineRule="auto"/>
        <w:rPr>
          <w:rFonts w:ascii="Times New Roman"/>
        </w:rPr>
      </w:pPr>
      <w:r>
        <w:rPr>
          <w:rFonts w:ascii="Times New Roman"/>
        </w:rPr>
        <w:t xml:space="preserve">4.2.8  </w:t>
      </w:r>
      <w:r>
        <w:rPr>
          <w:rFonts w:hint="eastAsia" w:ascii="Times New Roman"/>
        </w:rPr>
        <w:t>进出装置的可燃气体、液化烃和可燃液体的管道，在装置的边界处应设隔断阀和</w:t>
      </w:r>
      <w:r>
        <w:rPr>
          <w:rFonts w:hint="eastAsia" w:hAnsi="宋体"/>
        </w:rPr>
        <w:t>８</w:t>
      </w:r>
      <w:r>
        <w:rPr>
          <w:rFonts w:hint="eastAsia" w:ascii="Times New Roman"/>
        </w:rPr>
        <w:t>字盲板。</w:t>
      </w:r>
      <w:r>
        <w:rPr>
          <w:rFonts w:ascii="Times New Roman"/>
        </w:rPr>
        <w:t>液化烃及操作温度高于</w:t>
      </w:r>
      <w:r>
        <w:rPr>
          <w:rFonts w:hint="eastAsia" w:ascii="Times New Roman"/>
        </w:rPr>
        <w:t>或等于</w:t>
      </w:r>
      <w:r>
        <w:rPr>
          <w:rFonts w:ascii="Times New Roman"/>
        </w:rPr>
        <w:t>自燃点的可燃液体设备</w:t>
      </w:r>
      <w:r>
        <w:rPr>
          <w:rFonts w:hint="eastAsia" w:ascii="Times New Roman"/>
        </w:rPr>
        <w:t>至泵的入口管道</w:t>
      </w:r>
      <w:r>
        <w:rPr>
          <w:rFonts w:ascii="Times New Roman"/>
        </w:rPr>
        <w:t>应在靠近设备根部设置切断阀</w:t>
      </w:r>
      <w:r>
        <w:rPr>
          <w:rFonts w:hint="eastAsia" w:ascii="Times New Roman"/>
        </w:rPr>
        <w:t>。</w:t>
      </w:r>
    </w:p>
    <w:p>
      <w:pPr>
        <w:pStyle w:val="3"/>
        <w:spacing w:line="360" w:lineRule="auto"/>
        <w:jc w:val="center"/>
        <w:rPr>
          <w:rFonts w:ascii="Times New Roman" w:hAnsi="Times New Roman" w:eastAsia="黑体"/>
          <w:b w:val="0"/>
        </w:rPr>
      </w:pPr>
      <w:bookmarkStart w:id="707" w:name="_Toc527967179"/>
      <w:bookmarkEnd w:id="707"/>
      <w:bookmarkStart w:id="708" w:name="_Toc527967177"/>
      <w:bookmarkEnd w:id="708"/>
      <w:bookmarkStart w:id="709" w:name="_Toc527967176"/>
      <w:bookmarkEnd w:id="709"/>
      <w:bookmarkStart w:id="710" w:name="_Toc44668318"/>
      <w:bookmarkStart w:id="711" w:name="_Toc146639855"/>
      <w:r>
        <w:rPr>
          <w:rFonts w:ascii="Times New Roman" w:hAnsi="Times New Roman" w:eastAsia="黑体"/>
          <w:b w:val="0"/>
          <w:bCs w:val="0"/>
        </w:rPr>
        <w:t xml:space="preserve">4.3  </w:t>
      </w:r>
      <w:r>
        <w:rPr>
          <w:rFonts w:hint="eastAsia" w:ascii="Times New Roman" w:hAnsi="Times New Roman" w:eastAsia="黑体"/>
          <w:b w:val="0"/>
          <w:bCs w:val="0"/>
        </w:rPr>
        <w:t>泄压排放系统</w:t>
      </w:r>
      <w:bookmarkEnd w:id="710"/>
      <w:bookmarkEnd w:id="711"/>
    </w:p>
    <w:p>
      <w:pPr>
        <w:pStyle w:val="310"/>
        <w:spacing w:line="360" w:lineRule="auto"/>
        <w:rPr>
          <w:rFonts w:ascii="Times New Roman"/>
        </w:rPr>
      </w:pPr>
      <w:r>
        <w:rPr>
          <w:rFonts w:ascii="Times New Roman"/>
        </w:rPr>
        <w:t xml:space="preserve">4.3.1  </w:t>
      </w:r>
      <w:r>
        <w:rPr>
          <w:rFonts w:hint="eastAsia" w:ascii="Times New Roman"/>
        </w:rPr>
        <w:t>可能超压并引起危险的独立压力系统应设置超压泄放设施。</w:t>
      </w:r>
    </w:p>
    <w:p>
      <w:pPr>
        <w:pStyle w:val="310"/>
        <w:spacing w:line="360" w:lineRule="auto"/>
        <w:rPr>
          <w:rFonts w:ascii="Times New Roman"/>
        </w:rPr>
      </w:pPr>
      <w:r>
        <w:rPr>
          <w:rFonts w:ascii="Times New Roman"/>
        </w:rPr>
        <w:t xml:space="preserve">4.3.2  </w:t>
      </w:r>
      <w:r>
        <w:rPr>
          <w:rFonts w:hint="eastAsia" w:ascii="Times New Roman"/>
        </w:rPr>
        <w:t>因物料爆聚、分解造成超温、超压，可能引起火灾、爆炸的反应设备应设置温度、压力报警信号和泄压排放设施，以及自动或手动遥控的紧急切断进料设施。</w:t>
      </w:r>
    </w:p>
    <w:p>
      <w:pPr>
        <w:pStyle w:val="310"/>
        <w:spacing w:line="360" w:lineRule="auto"/>
        <w:rPr>
          <w:rFonts w:ascii="Times New Roman"/>
        </w:rPr>
      </w:pPr>
      <w:r>
        <w:rPr>
          <w:rFonts w:ascii="Times New Roman"/>
        </w:rPr>
        <w:t xml:space="preserve">4.3.3  </w:t>
      </w:r>
      <w:r>
        <w:rPr>
          <w:rFonts w:hint="eastAsia" w:ascii="Times New Roman"/>
        </w:rPr>
        <w:t>混合后可能发生化学反应并形成爆炸性混合气体的气体不应混合排放。</w:t>
      </w:r>
    </w:p>
    <w:p>
      <w:pPr>
        <w:pStyle w:val="310"/>
        <w:spacing w:line="360" w:lineRule="auto"/>
        <w:rPr>
          <w:rFonts w:ascii="Times New Roman"/>
        </w:rPr>
      </w:pPr>
      <w:r>
        <w:rPr>
          <w:rFonts w:ascii="Times New Roman"/>
        </w:rPr>
        <w:t xml:space="preserve">4.3.4  </w:t>
      </w:r>
      <w:r>
        <w:rPr>
          <w:rFonts w:hint="eastAsia" w:ascii="Times New Roman"/>
        </w:rPr>
        <w:t>炼油化工企业设置的火炬设施应能收集和处理生产设备在生产波动状态、装置开（停）工和事故状态下排放的可燃性气体。</w:t>
      </w:r>
    </w:p>
    <w:p>
      <w:pPr>
        <w:pStyle w:val="310"/>
        <w:spacing w:line="360" w:lineRule="auto"/>
        <w:rPr>
          <w:rFonts w:ascii="Times New Roman"/>
        </w:rPr>
      </w:pPr>
      <w:r>
        <w:rPr>
          <w:rFonts w:ascii="Times New Roman"/>
        </w:rPr>
        <w:t xml:space="preserve">4.3.5  </w:t>
      </w:r>
      <w:r>
        <w:rPr>
          <w:rFonts w:hint="eastAsia" w:ascii="Times New Roman"/>
        </w:rPr>
        <w:t>炼油化工工程项目排入高架火炬的可燃气体不应携带可燃液体。</w:t>
      </w:r>
    </w:p>
    <w:p>
      <w:pPr>
        <w:pStyle w:val="310"/>
        <w:spacing w:line="360" w:lineRule="auto"/>
        <w:rPr>
          <w:rFonts w:ascii="Times New Roman"/>
        </w:rPr>
      </w:pPr>
      <w:r>
        <w:rPr>
          <w:rFonts w:ascii="Times New Roman"/>
        </w:rPr>
        <w:t>4.3.6  火炬系统应</w:t>
      </w:r>
      <w:r>
        <w:rPr>
          <w:rFonts w:hint="eastAsia" w:ascii="Times New Roman"/>
        </w:rPr>
        <w:t>有</w:t>
      </w:r>
      <w:r>
        <w:rPr>
          <w:rFonts w:ascii="Times New Roman"/>
        </w:rPr>
        <w:t>防止回火措施</w:t>
      </w:r>
      <w:r>
        <w:rPr>
          <w:rFonts w:hint="eastAsia" w:ascii="Times New Roman"/>
        </w:rPr>
        <w:t>。</w:t>
      </w:r>
    </w:p>
    <w:p>
      <w:pPr>
        <w:pStyle w:val="310"/>
        <w:spacing w:line="360" w:lineRule="auto"/>
        <w:rPr>
          <w:rFonts w:ascii="Times New Roman"/>
        </w:rPr>
      </w:pPr>
      <w:r>
        <w:rPr>
          <w:rFonts w:ascii="Times New Roman"/>
        </w:rPr>
        <w:t>4.3.7  地面火炬不</w:t>
      </w:r>
      <w:r>
        <w:rPr>
          <w:rFonts w:hint="eastAsia" w:ascii="Times New Roman"/>
        </w:rPr>
        <w:t>应</w:t>
      </w:r>
      <w:r>
        <w:rPr>
          <w:rFonts w:ascii="Times New Roman"/>
        </w:rPr>
        <w:t>用于处理急性毒性</w:t>
      </w:r>
      <w:r>
        <w:rPr>
          <w:rFonts w:hint="eastAsia" w:ascii="Times New Roman"/>
        </w:rPr>
        <w:t>为</w:t>
      </w:r>
      <w:r>
        <w:rPr>
          <w:rFonts w:ascii="Times New Roman"/>
        </w:rPr>
        <w:t>类别1</w:t>
      </w:r>
      <w:r>
        <w:rPr>
          <w:rFonts w:hint="eastAsia" w:ascii="Times New Roman"/>
        </w:rPr>
        <w:t>或</w:t>
      </w:r>
      <w:r>
        <w:rPr>
          <w:rFonts w:ascii="Times New Roman"/>
        </w:rPr>
        <w:t>类别2的有毒可燃性气体。</w:t>
      </w:r>
    </w:p>
    <w:p>
      <w:pPr>
        <w:pStyle w:val="3"/>
        <w:spacing w:line="360" w:lineRule="auto"/>
        <w:jc w:val="center"/>
        <w:rPr>
          <w:rFonts w:ascii="Times New Roman" w:hAnsi="Times New Roman" w:eastAsia="黑体"/>
          <w:b w:val="0"/>
        </w:rPr>
      </w:pPr>
      <w:bookmarkStart w:id="712" w:name="_Toc44668319"/>
      <w:bookmarkStart w:id="713" w:name="_Toc146639856"/>
      <w:r>
        <w:rPr>
          <w:rFonts w:ascii="Times New Roman" w:hAnsi="Times New Roman" w:eastAsia="黑体"/>
          <w:b w:val="0"/>
          <w:bCs w:val="0"/>
        </w:rPr>
        <w:t>4.4  控制系统</w:t>
      </w:r>
      <w:bookmarkEnd w:id="712"/>
      <w:bookmarkEnd w:id="713"/>
    </w:p>
    <w:p>
      <w:pPr>
        <w:pStyle w:val="310"/>
        <w:spacing w:line="360" w:lineRule="auto"/>
        <w:rPr>
          <w:rFonts w:ascii="Times New Roman"/>
        </w:rPr>
      </w:pPr>
      <w:r>
        <w:rPr>
          <w:rFonts w:ascii="Times New Roman"/>
        </w:rPr>
        <w:t xml:space="preserve">4.4.1  </w:t>
      </w:r>
      <w:r>
        <w:rPr>
          <w:rFonts w:hint="eastAsia" w:ascii="Times New Roman"/>
        </w:rPr>
        <w:t>炼油化工工程项目应配备满足安全生产要求的自动控制系统。自动控制系统应</w:t>
      </w:r>
      <w:r>
        <w:rPr>
          <w:rFonts w:ascii="Times New Roman"/>
        </w:rPr>
        <w:t>具备</w:t>
      </w:r>
      <w:r>
        <w:rPr>
          <w:rFonts w:hint="eastAsia" w:ascii="Times New Roman"/>
        </w:rPr>
        <w:t>对重大危险源的温度、压力、流量、物位、组分浓度等过程变量的连续</w:t>
      </w:r>
      <w:r>
        <w:rPr>
          <w:rFonts w:ascii="Times New Roman"/>
        </w:rPr>
        <w:t>测量、</w:t>
      </w:r>
      <w:r>
        <w:rPr>
          <w:rFonts w:hint="eastAsia" w:ascii="Times New Roman"/>
        </w:rPr>
        <w:t>监视、报警</w:t>
      </w:r>
      <w:r>
        <w:rPr>
          <w:rFonts w:ascii="Times New Roman"/>
        </w:rPr>
        <w:t>、控制</w:t>
      </w:r>
      <w:r>
        <w:rPr>
          <w:rFonts w:hint="eastAsia" w:ascii="Times New Roman"/>
        </w:rPr>
        <w:t>和</w:t>
      </w:r>
      <w:r>
        <w:rPr>
          <w:rFonts w:ascii="Times New Roman"/>
        </w:rPr>
        <w:t>联锁</w:t>
      </w:r>
      <w:r>
        <w:rPr>
          <w:rFonts w:hint="eastAsia" w:ascii="Times New Roman"/>
        </w:rPr>
        <w:t>功能，并应同时具备连续记录、生产</w:t>
      </w:r>
      <w:r>
        <w:rPr>
          <w:rFonts w:ascii="Times New Roman"/>
        </w:rPr>
        <w:t>数据报表</w:t>
      </w:r>
      <w:r>
        <w:rPr>
          <w:rFonts w:hint="eastAsia" w:ascii="Times New Roman"/>
        </w:rPr>
        <w:t>、数据远传通信、信息存储和信息</w:t>
      </w:r>
      <w:r>
        <w:rPr>
          <w:rFonts w:ascii="Times New Roman"/>
        </w:rPr>
        <w:t>集成</w:t>
      </w:r>
      <w:r>
        <w:rPr>
          <w:rFonts w:hint="eastAsia" w:ascii="Times New Roman"/>
        </w:rPr>
        <w:t>等功能。</w:t>
      </w:r>
    </w:p>
    <w:p>
      <w:pPr>
        <w:pStyle w:val="310"/>
        <w:spacing w:line="360" w:lineRule="auto"/>
        <w:rPr>
          <w:rFonts w:ascii="Times New Roman"/>
        </w:rPr>
      </w:pPr>
      <w:r>
        <w:rPr>
          <w:rFonts w:ascii="Times New Roman"/>
        </w:rPr>
        <w:t xml:space="preserve">4.4.2  </w:t>
      </w:r>
      <w:r>
        <w:rPr>
          <w:rFonts w:hint="eastAsia" w:ascii="Times New Roman"/>
        </w:rPr>
        <w:t>涉及毒性气体、液化气体、剧毒液体的一级和（或）二级重大危险源的生产装置、储运设施，应配备满足安全仪表功能并符合安全完整性</w:t>
      </w:r>
      <w:r>
        <w:rPr>
          <w:rFonts w:ascii="Times New Roman"/>
        </w:rPr>
        <w:t>等级</w:t>
      </w:r>
      <w:r>
        <w:rPr>
          <w:rFonts w:hint="eastAsia" w:ascii="Times New Roman"/>
        </w:rPr>
        <w:t>要求</w:t>
      </w:r>
      <w:r>
        <w:rPr>
          <w:rFonts w:ascii="Times New Roman"/>
        </w:rPr>
        <w:t>的</w:t>
      </w:r>
      <w:r>
        <w:rPr>
          <w:rFonts w:hint="eastAsia" w:ascii="Times New Roman"/>
        </w:rPr>
        <w:t>安全仪表系统，安全仪表系统应独立于基本过程控制系统。</w:t>
      </w:r>
    </w:p>
    <w:p>
      <w:pPr>
        <w:pStyle w:val="310"/>
        <w:spacing w:line="360" w:lineRule="auto"/>
        <w:rPr>
          <w:rFonts w:ascii="Times New Roman"/>
        </w:rPr>
      </w:pPr>
      <w:r>
        <w:rPr>
          <w:rFonts w:ascii="Times New Roman"/>
        </w:rPr>
        <w:t>4.4.3  在使用或产生</w:t>
      </w:r>
      <w:r>
        <w:rPr>
          <w:rFonts w:hint="eastAsia" w:ascii="Times New Roman"/>
        </w:rPr>
        <w:t>有毒气体</w:t>
      </w:r>
      <w:r>
        <w:rPr>
          <w:rFonts w:ascii="Times New Roman"/>
        </w:rPr>
        <w:t>、甲类</w:t>
      </w:r>
      <w:r>
        <w:rPr>
          <w:rFonts w:hint="eastAsia" w:ascii="Times New Roman"/>
        </w:rPr>
        <w:t>可燃</w:t>
      </w:r>
      <w:r>
        <w:rPr>
          <w:rFonts w:ascii="Times New Roman"/>
        </w:rPr>
        <w:t>气体或甲、乙</w:t>
      </w:r>
      <w:r>
        <w:rPr>
          <w:rFonts w:hint="eastAsia" w:ascii="Times New Roman"/>
        </w:rPr>
        <w:t>Ａ</w:t>
      </w:r>
      <w:r>
        <w:rPr>
          <w:rFonts w:ascii="Times New Roman"/>
        </w:rPr>
        <w:t>类</w:t>
      </w:r>
      <w:r>
        <w:rPr>
          <w:rFonts w:hint="eastAsia" w:ascii="Times New Roman"/>
        </w:rPr>
        <w:t>可燃</w:t>
      </w:r>
      <w:r>
        <w:rPr>
          <w:rFonts w:ascii="Times New Roman"/>
        </w:rPr>
        <w:t>液体的</w:t>
      </w:r>
      <w:r>
        <w:rPr>
          <w:rFonts w:hint="eastAsia" w:ascii="Times New Roman"/>
        </w:rPr>
        <w:t>生产</w:t>
      </w:r>
      <w:r>
        <w:rPr>
          <w:rFonts w:ascii="Times New Roman"/>
        </w:rPr>
        <w:t>装置</w:t>
      </w:r>
      <w:r>
        <w:rPr>
          <w:rFonts w:hint="eastAsia" w:ascii="Times New Roman"/>
        </w:rPr>
        <w:t>、</w:t>
      </w:r>
      <w:r>
        <w:rPr>
          <w:rFonts w:ascii="Times New Roman"/>
        </w:rPr>
        <w:t>储运设施</w:t>
      </w:r>
      <w:r>
        <w:rPr>
          <w:rFonts w:hint="eastAsia" w:ascii="Times New Roman"/>
        </w:rPr>
        <w:t>、</w:t>
      </w:r>
      <w:r>
        <w:rPr>
          <w:rFonts w:ascii="Times New Roman"/>
        </w:rPr>
        <w:t>公用工程</w:t>
      </w:r>
      <w:r>
        <w:rPr>
          <w:rFonts w:hint="eastAsia" w:ascii="Times New Roman"/>
        </w:rPr>
        <w:t>及辅助生产</w:t>
      </w:r>
      <w:r>
        <w:rPr>
          <w:rFonts w:ascii="Times New Roman"/>
        </w:rPr>
        <w:t>设施区内，应按区域控制和重点控制相结合的原则，设置可燃</w:t>
      </w:r>
      <w:r>
        <w:rPr>
          <w:rFonts w:hint="eastAsia" w:ascii="Times New Roman"/>
        </w:rPr>
        <w:t>和有毒</w:t>
      </w:r>
      <w:r>
        <w:rPr>
          <w:rFonts w:ascii="Times New Roman"/>
        </w:rPr>
        <w:t>气体</w:t>
      </w:r>
      <w:r>
        <w:rPr>
          <w:rFonts w:hint="eastAsia" w:ascii="Times New Roman"/>
        </w:rPr>
        <w:t>检测报警</w:t>
      </w:r>
      <w:r>
        <w:rPr>
          <w:rFonts w:ascii="Times New Roman"/>
        </w:rPr>
        <w:t>系统</w:t>
      </w:r>
      <w:r>
        <w:rPr>
          <w:rFonts w:hint="eastAsia" w:ascii="Times New Roman"/>
        </w:rPr>
        <w:t>，</w:t>
      </w:r>
      <w:r>
        <w:rPr>
          <w:rFonts w:ascii="Times New Roman"/>
        </w:rPr>
        <w:t>可燃</w:t>
      </w:r>
      <w:r>
        <w:rPr>
          <w:rFonts w:hint="eastAsia" w:ascii="Times New Roman"/>
        </w:rPr>
        <w:t>和有毒</w:t>
      </w:r>
      <w:r>
        <w:rPr>
          <w:rFonts w:ascii="Times New Roman"/>
        </w:rPr>
        <w:t>气体</w:t>
      </w:r>
      <w:r>
        <w:rPr>
          <w:rFonts w:hint="eastAsia" w:ascii="Times New Roman"/>
        </w:rPr>
        <w:t>检测报警系统应独立于基本过程控制系统</w:t>
      </w:r>
      <w:r>
        <w:rPr>
          <w:rFonts w:ascii="Times New Roman"/>
        </w:rPr>
        <w:t>。</w:t>
      </w:r>
    </w:p>
    <w:p>
      <w:pPr>
        <w:pStyle w:val="3"/>
        <w:spacing w:line="360" w:lineRule="auto"/>
        <w:jc w:val="center"/>
        <w:rPr>
          <w:rFonts w:ascii="Times New Roman" w:hAnsi="Times New Roman" w:eastAsia="黑体"/>
          <w:b w:val="0"/>
        </w:rPr>
      </w:pPr>
      <w:bookmarkStart w:id="714" w:name="_Toc146639857"/>
      <w:r>
        <w:rPr>
          <w:rFonts w:ascii="Times New Roman" w:hAnsi="Times New Roman" w:eastAsia="黑体"/>
          <w:b w:val="0"/>
          <w:bCs w:val="0"/>
        </w:rPr>
        <w:t xml:space="preserve">4.5  </w:t>
      </w:r>
      <w:r>
        <w:rPr>
          <w:rFonts w:hint="eastAsia" w:ascii="Times New Roman" w:hAnsi="Times New Roman" w:eastAsia="黑体"/>
          <w:b w:val="0"/>
          <w:bCs w:val="0"/>
        </w:rPr>
        <w:t>给排水系统</w:t>
      </w:r>
      <w:bookmarkEnd w:id="714"/>
    </w:p>
    <w:p>
      <w:pPr>
        <w:pStyle w:val="310"/>
        <w:spacing w:line="360" w:lineRule="auto"/>
        <w:rPr>
          <w:rFonts w:ascii="Times New Roman"/>
        </w:rPr>
      </w:pPr>
      <w:r>
        <w:rPr>
          <w:rFonts w:ascii="Times New Roman"/>
        </w:rPr>
        <w:t xml:space="preserve">4.5.1  </w:t>
      </w:r>
      <w:r>
        <w:rPr>
          <w:rFonts w:hint="eastAsia" w:ascii="Times New Roman"/>
        </w:rPr>
        <w:t>当炼油化工工程项目直接从江河、湖泊或地下取水，并需申请取水许可证时，应进行水资源论证。</w:t>
      </w:r>
    </w:p>
    <w:p>
      <w:pPr>
        <w:pStyle w:val="310"/>
        <w:spacing w:line="360" w:lineRule="auto"/>
        <w:rPr>
          <w:rFonts w:ascii="Times New Roman"/>
        </w:rPr>
      </w:pPr>
      <w:r>
        <w:rPr>
          <w:rFonts w:ascii="Times New Roman"/>
        </w:rPr>
        <w:t>4.5.2  炼油化工</w:t>
      </w:r>
      <w:r>
        <w:rPr>
          <w:rFonts w:hint="eastAsia" w:ascii="Times New Roman"/>
        </w:rPr>
        <w:t>工程</w:t>
      </w:r>
      <w:r>
        <w:rPr>
          <w:rFonts w:ascii="Times New Roman"/>
        </w:rPr>
        <w:t>项目应</w:t>
      </w:r>
      <w:r>
        <w:rPr>
          <w:rFonts w:hint="eastAsia" w:ascii="Times New Roman"/>
        </w:rPr>
        <w:t>采用可靠的供水水源和安全保障措施，确保生产装置和设施的安全生产。</w:t>
      </w:r>
    </w:p>
    <w:p>
      <w:pPr>
        <w:pStyle w:val="310"/>
        <w:spacing w:line="360" w:lineRule="auto"/>
        <w:rPr>
          <w:rFonts w:ascii="Times New Roman"/>
        </w:rPr>
      </w:pPr>
      <w:r>
        <w:rPr>
          <w:rFonts w:ascii="Times New Roman"/>
        </w:rPr>
        <w:t xml:space="preserve">4.5.3  </w:t>
      </w:r>
      <w:r>
        <w:rPr>
          <w:rFonts w:hint="eastAsia" w:ascii="Times New Roman"/>
        </w:rPr>
        <w:t>应根据工艺或设施生产用水水质、水压和水温的需求，制定和实施节水方案，加强水资源的重复利用。</w:t>
      </w:r>
    </w:p>
    <w:p>
      <w:pPr>
        <w:pStyle w:val="310"/>
        <w:spacing w:line="360" w:lineRule="auto"/>
        <w:rPr>
          <w:rFonts w:ascii="Times New Roman"/>
        </w:rPr>
      </w:pPr>
      <w:r>
        <w:rPr>
          <w:rFonts w:ascii="Times New Roman"/>
        </w:rPr>
        <w:t>4.5.4  炼油化工</w:t>
      </w:r>
      <w:r>
        <w:rPr>
          <w:rFonts w:hint="eastAsia" w:ascii="Times New Roman"/>
        </w:rPr>
        <w:t>工程</w:t>
      </w:r>
      <w:r>
        <w:rPr>
          <w:rFonts w:ascii="Times New Roman"/>
        </w:rPr>
        <w:t>项目应按照清污分流的原则划分排水系统。含可燃液体的污水及</w:t>
      </w:r>
      <w:r>
        <w:rPr>
          <w:rFonts w:hint="eastAsia" w:ascii="Times New Roman"/>
        </w:rPr>
        <w:t>污染雨水</w:t>
      </w:r>
      <w:r>
        <w:rPr>
          <w:rFonts w:ascii="Times New Roman"/>
        </w:rPr>
        <w:t>应排入生产污水管道</w:t>
      </w:r>
      <w:r>
        <w:rPr>
          <w:rFonts w:hint="eastAsia" w:ascii="Times New Roman"/>
        </w:rPr>
        <w:t>，雨水</w:t>
      </w:r>
      <w:r>
        <w:rPr>
          <w:rFonts w:ascii="Times New Roman"/>
        </w:rPr>
        <w:t>排出厂外前应设置水质监控设施。</w:t>
      </w:r>
    </w:p>
    <w:p>
      <w:pPr>
        <w:pStyle w:val="310"/>
        <w:spacing w:line="360" w:lineRule="auto"/>
        <w:rPr>
          <w:rFonts w:ascii="Times New Roman"/>
        </w:rPr>
      </w:pPr>
      <w:r>
        <w:rPr>
          <w:rFonts w:ascii="Times New Roman"/>
        </w:rPr>
        <w:t>4.5.5  生产污水管道的下列部位应设水封，水封高度不</w:t>
      </w:r>
      <w:r>
        <w:rPr>
          <w:rFonts w:hint="eastAsia" w:ascii="Times New Roman"/>
        </w:rPr>
        <w:t>应小于</w:t>
      </w:r>
      <w:r>
        <w:rPr>
          <w:rFonts w:ascii="Times New Roman"/>
        </w:rPr>
        <w:t>250mm</w:t>
      </w:r>
      <w:r>
        <w:rPr>
          <w:rFonts w:hint="eastAsia" w:ascii="Times New Roman"/>
        </w:rPr>
        <w:t>：</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生产装置内的塔、加热炉、泵、冷换设备等区围堰的排水出口；</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生产装置、罐组或其他设施及建筑物、构筑物、管沟等的排水出口；</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全厂性的支干管与干管交汇处的支干管上；</w:t>
      </w:r>
    </w:p>
    <w:p>
      <w:pPr>
        <w:pStyle w:val="310"/>
        <w:spacing w:line="360" w:lineRule="auto"/>
        <w:ind w:firstLine="420" w:firstLineChars="175"/>
        <w:rPr>
          <w:rFonts w:ascii="Times New Roman"/>
          <w:bCs/>
        </w:rPr>
      </w:pPr>
      <w:r>
        <w:rPr>
          <w:rFonts w:ascii="Times New Roman"/>
          <w:bCs/>
        </w:rPr>
        <w:t xml:space="preserve">4  </w:t>
      </w:r>
      <w:r>
        <w:rPr>
          <w:rFonts w:hint="eastAsia" w:ascii="Times New Roman"/>
          <w:bCs/>
        </w:rPr>
        <w:t>全厂性支干管、干管的管段长度超过</w:t>
      </w:r>
      <w:r>
        <w:rPr>
          <w:rFonts w:ascii="Times New Roman"/>
          <w:bCs/>
        </w:rPr>
        <w:t>300m</w:t>
      </w:r>
      <w:r>
        <w:rPr>
          <w:rFonts w:hint="eastAsia" w:ascii="Times New Roman"/>
          <w:bCs/>
        </w:rPr>
        <w:t>时，用水封井隔开。</w:t>
      </w:r>
    </w:p>
    <w:p>
      <w:pPr>
        <w:pStyle w:val="310"/>
        <w:spacing w:line="360" w:lineRule="auto"/>
        <w:rPr>
          <w:rFonts w:ascii="Times New Roman"/>
        </w:rPr>
      </w:pPr>
      <w:r>
        <w:rPr>
          <w:rFonts w:ascii="Times New Roman"/>
        </w:rPr>
        <w:t xml:space="preserve">4.5.6  </w:t>
      </w:r>
      <w:r>
        <w:rPr>
          <w:rFonts w:hint="eastAsia" w:ascii="Times New Roman"/>
        </w:rPr>
        <w:t>应有防止泄漏的可燃液体和受污染的消防水直接排出厂外的措施。</w:t>
      </w:r>
    </w:p>
    <w:p>
      <w:pPr>
        <w:pStyle w:val="310"/>
        <w:spacing w:line="360" w:lineRule="auto"/>
        <w:rPr>
          <w:rFonts w:ascii="Times New Roman"/>
        </w:rPr>
      </w:pPr>
      <w:r>
        <w:rPr>
          <w:rFonts w:ascii="Times New Roman"/>
        </w:rPr>
        <w:t xml:space="preserve">4.5.7  </w:t>
      </w:r>
      <w:r>
        <w:rPr>
          <w:rFonts w:hint="eastAsia" w:ascii="Times New Roman"/>
        </w:rPr>
        <w:t>达标排放的污水总排放口位置应符合区域规划的要求。</w:t>
      </w:r>
    </w:p>
    <w:p>
      <w:pPr>
        <w:pStyle w:val="3"/>
        <w:spacing w:line="360" w:lineRule="auto"/>
        <w:jc w:val="center"/>
        <w:rPr>
          <w:rFonts w:ascii="Times New Roman" w:hAnsi="Times New Roman" w:eastAsia="黑体"/>
          <w:b w:val="0"/>
        </w:rPr>
      </w:pPr>
      <w:bookmarkStart w:id="715" w:name="_Toc146639858"/>
      <w:r>
        <w:rPr>
          <w:rFonts w:ascii="Times New Roman" w:hAnsi="Times New Roman" w:eastAsia="黑体"/>
          <w:b w:val="0"/>
          <w:bCs w:val="0"/>
        </w:rPr>
        <w:t xml:space="preserve">4.6  </w:t>
      </w:r>
      <w:r>
        <w:rPr>
          <w:rFonts w:hint="eastAsia" w:ascii="Times New Roman" w:hAnsi="Times New Roman" w:eastAsia="黑体"/>
          <w:b w:val="0"/>
          <w:bCs w:val="0"/>
        </w:rPr>
        <w:t>电气系统</w:t>
      </w:r>
      <w:bookmarkEnd w:id="715"/>
    </w:p>
    <w:p>
      <w:pPr>
        <w:pStyle w:val="310"/>
        <w:spacing w:line="360" w:lineRule="auto"/>
        <w:rPr>
          <w:rFonts w:ascii="Times New Roman"/>
        </w:rPr>
      </w:pPr>
      <w:r>
        <w:rPr>
          <w:rFonts w:ascii="Times New Roman"/>
        </w:rPr>
        <w:t xml:space="preserve">4.6.1  </w:t>
      </w:r>
      <w:r>
        <w:rPr>
          <w:rFonts w:hint="eastAsia" w:ascii="Times New Roman"/>
        </w:rPr>
        <w:t>为炼油化工工程供电的外部电源及供电外线路应满足炼油化工工程负荷等级及供电容量要求。</w:t>
      </w:r>
    </w:p>
    <w:p>
      <w:pPr>
        <w:pStyle w:val="310"/>
        <w:spacing w:line="360" w:lineRule="auto"/>
        <w:rPr>
          <w:rFonts w:ascii="Times New Roman"/>
        </w:rPr>
      </w:pPr>
      <w:r>
        <w:rPr>
          <w:rFonts w:ascii="Times New Roman"/>
        </w:rPr>
        <w:t xml:space="preserve">4.6.2  </w:t>
      </w:r>
      <w:r>
        <w:rPr>
          <w:rFonts w:hint="eastAsia" w:ascii="Times New Roman"/>
        </w:rPr>
        <w:t>应根据生产需求、中断供电造成的后果和对安全环保的影响，确定合理的供配电方案。</w:t>
      </w:r>
    </w:p>
    <w:p>
      <w:pPr>
        <w:pStyle w:val="310"/>
        <w:spacing w:line="360" w:lineRule="auto"/>
        <w:rPr>
          <w:rFonts w:ascii="Times New Roman"/>
        </w:rPr>
      </w:pPr>
      <w:r>
        <w:rPr>
          <w:rFonts w:ascii="Times New Roman"/>
        </w:rPr>
        <w:t xml:space="preserve">4.6.3  </w:t>
      </w:r>
      <w:r>
        <w:rPr>
          <w:rFonts w:hint="eastAsia" w:ascii="Times New Roman"/>
        </w:rPr>
        <w:t>在额定输出功率状态下，电动机的效率应满足国家相关标准考核范围内的能效等级规定。</w:t>
      </w:r>
    </w:p>
    <w:p>
      <w:pPr>
        <w:pStyle w:val="310"/>
        <w:spacing w:line="360" w:lineRule="auto"/>
        <w:rPr>
          <w:rFonts w:ascii="Times New Roman"/>
        </w:rPr>
      </w:pPr>
      <w:r>
        <w:rPr>
          <w:rFonts w:ascii="Times New Roman"/>
        </w:rPr>
        <w:t xml:space="preserve">4.6.4  </w:t>
      </w:r>
      <w:r>
        <w:rPr>
          <w:rFonts w:hint="eastAsia" w:ascii="Times New Roman"/>
        </w:rPr>
        <w:t>消防用电设备的备用消防电源的供电时间和容量，应满足火灾延续时间内消防用电设备的持续用电要求。</w:t>
      </w:r>
    </w:p>
    <w:p>
      <w:pPr>
        <w:pStyle w:val="310"/>
        <w:spacing w:line="360" w:lineRule="auto"/>
        <w:rPr>
          <w:rFonts w:ascii="Times New Roman"/>
        </w:rPr>
      </w:pPr>
      <w:r>
        <w:rPr>
          <w:rFonts w:ascii="Times New Roman"/>
        </w:rPr>
        <w:t xml:space="preserve">4.6.5  </w:t>
      </w:r>
      <w:r>
        <w:rPr>
          <w:rFonts w:hint="eastAsia" w:ascii="Times New Roman"/>
        </w:rPr>
        <w:t>应根据电气爆炸危险区域的划分选用相应的电气设备。爆炸性环境内电气设备保护级别的选择应符合表</w:t>
      </w:r>
      <w:r>
        <w:rPr>
          <w:rFonts w:ascii="Times New Roman"/>
        </w:rPr>
        <w:t>4.6.5</w:t>
      </w:r>
      <w:r>
        <w:rPr>
          <w:rFonts w:hint="eastAsia" w:ascii="Times New Roman"/>
        </w:rPr>
        <w:t>的规定。</w:t>
      </w:r>
    </w:p>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表</w:t>
      </w:r>
      <w:r>
        <w:rPr>
          <w:rFonts w:ascii="Times New Roman" w:hAnsi="Times New Roman" w:cs="Times New Roman"/>
          <w:color w:val="000000" w:themeColor="text1"/>
          <w:sz w:val="24"/>
          <w:szCs w:val="24"/>
          <w14:textFill>
            <w14:solidFill>
              <w14:schemeClr w14:val="tx1"/>
            </w14:solidFill>
          </w14:textFill>
        </w:rPr>
        <w:t xml:space="preserve">4.6.5  </w:t>
      </w:r>
      <w:r>
        <w:rPr>
          <w:rFonts w:hint="eastAsia" w:ascii="Times New Roman" w:hAnsi="Times New Roman" w:cs="Times New Roman"/>
          <w:color w:val="000000" w:themeColor="text1"/>
          <w:sz w:val="24"/>
          <w:szCs w:val="24"/>
          <w14:textFill>
            <w14:solidFill>
              <w14:schemeClr w14:val="tx1"/>
            </w14:solidFill>
          </w14:textFill>
        </w:rPr>
        <w:t>爆炸性环境内电气设备保护级的选择</w:t>
      </w:r>
    </w:p>
    <w:tbl>
      <w:tblPr>
        <w:tblStyle w:val="3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8"/>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8" w:type="dxa"/>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危险区域</w:t>
            </w:r>
          </w:p>
        </w:tc>
        <w:tc>
          <w:tcPr>
            <w:tcW w:w="4109" w:type="dxa"/>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设备保护级别（</w:t>
            </w:r>
            <w:r>
              <w:rPr>
                <w:rFonts w:asciiTheme="minorEastAsia" w:hAnsiTheme="minorEastAsia"/>
                <w:color w:val="000000" w:themeColor="text1"/>
                <w:szCs w:val="21"/>
                <w14:textFill>
                  <w14:solidFill>
                    <w14:schemeClr w14:val="tx1"/>
                  </w14:solidFill>
                </w14:textFill>
              </w:rPr>
              <w:t>EPL</w:t>
            </w: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8" w:type="dxa"/>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w:t>
            </w:r>
            <w:r>
              <w:rPr>
                <w:rFonts w:hint="eastAsia" w:asciiTheme="minorEastAsia" w:hAnsiTheme="minorEastAsia"/>
                <w:color w:val="000000" w:themeColor="text1"/>
                <w:szCs w:val="21"/>
                <w14:textFill>
                  <w14:solidFill>
                    <w14:schemeClr w14:val="tx1"/>
                  </w14:solidFill>
                </w14:textFill>
              </w:rPr>
              <w:t>区</w:t>
            </w:r>
          </w:p>
        </w:tc>
        <w:tc>
          <w:tcPr>
            <w:tcW w:w="4109" w:type="dxa"/>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8" w:type="dxa"/>
            <w:shd w:val="clear" w:color="auto" w:fill="auto"/>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1</w:t>
            </w:r>
            <w:r>
              <w:rPr>
                <w:rFonts w:hint="eastAsia" w:asciiTheme="minorEastAsia" w:hAnsiTheme="minorEastAsia"/>
                <w:color w:val="000000" w:themeColor="text1"/>
                <w:szCs w:val="21"/>
                <w14:textFill>
                  <w14:solidFill>
                    <w14:schemeClr w14:val="tx1"/>
                  </w14:solidFill>
                </w14:textFill>
              </w:rPr>
              <w:t>区</w:t>
            </w:r>
          </w:p>
        </w:tc>
        <w:tc>
          <w:tcPr>
            <w:tcW w:w="4109" w:type="dxa"/>
            <w:shd w:val="clear" w:color="auto" w:fill="auto"/>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Ga</w:t>
            </w:r>
            <w:r>
              <w:rPr>
                <w:rFonts w:hint="eastAsia" w:asciiTheme="minorEastAsia" w:hAnsiTheme="minorEastAsia"/>
                <w:color w:val="000000" w:themeColor="text1"/>
                <w:szCs w:val="21"/>
                <w14:textFill>
                  <w14:solidFill>
                    <w14:schemeClr w14:val="tx1"/>
                  </w14:solidFill>
                </w14:textFill>
              </w:rPr>
              <w:t>或</w:t>
            </w:r>
            <w:r>
              <w:rPr>
                <w:rFonts w:asciiTheme="minorEastAsia" w:hAnsiTheme="minorEastAsia"/>
                <w:color w:val="000000" w:themeColor="text1"/>
                <w:szCs w:val="21"/>
                <w14:textFill>
                  <w14:solidFill>
                    <w14:schemeClr w14:val="tx1"/>
                  </w14:solidFill>
                </w14:textFill>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8" w:type="dxa"/>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2</w:t>
            </w:r>
            <w:r>
              <w:rPr>
                <w:rFonts w:hint="eastAsia" w:asciiTheme="minorEastAsia" w:hAnsiTheme="minorEastAsia"/>
                <w:color w:val="000000" w:themeColor="text1"/>
                <w:szCs w:val="21"/>
                <w14:textFill>
                  <w14:solidFill>
                    <w14:schemeClr w14:val="tx1"/>
                  </w14:solidFill>
                </w14:textFill>
              </w:rPr>
              <w:t>区</w:t>
            </w:r>
          </w:p>
        </w:tc>
        <w:tc>
          <w:tcPr>
            <w:tcW w:w="4109" w:type="dxa"/>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Ga</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Gb</w:t>
            </w:r>
            <w:r>
              <w:rPr>
                <w:rFonts w:hint="eastAsia" w:asciiTheme="minorEastAsia" w:hAnsiTheme="minorEastAsia"/>
                <w:color w:val="000000" w:themeColor="text1"/>
                <w:szCs w:val="21"/>
                <w14:textFill>
                  <w14:solidFill>
                    <w14:schemeClr w14:val="tx1"/>
                  </w14:solidFill>
                </w14:textFill>
              </w:rPr>
              <w:t>或</w:t>
            </w:r>
            <w:r>
              <w:rPr>
                <w:rFonts w:asciiTheme="minorEastAsia" w:hAnsiTheme="minorEastAsia"/>
                <w:color w:val="000000" w:themeColor="text1"/>
                <w:szCs w:val="21"/>
                <w14:textFill>
                  <w14:solidFill>
                    <w14:schemeClr w14:val="tx1"/>
                  </w14:solidFill>
                </w14:textFill>
              </w:rPr>
              <w:t>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8" w:type="dxa"/>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20</w:t>
            </w:r>
            <w:r>
              <w:rPr>
                <w:rFonts w:hint="eastAsia" w:asciiTheme="minorEastAsia" w:hAnsiTheme="minorEastAsia"/>
                <w:color w:val="000000" w:themeColor="text1"/>
                <w:szCs w:val="21"/>
                <w14:textFill>
                  <w14:solidFill>
                    <w14:schemeClr w14:val="tx1"/>
                  </w14:solidFill>
                </w14:textFill>
              </w:rPr>
              <w:t>区</w:t>
            </w:r>
          </w:p>
        </w:tc>
        <w:tc>
          <w:tcPr>
            <w:tcW w:w="4109" w:type="dxa"/>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8" w:type="dxa"/>
            <w:tcBorders>
              <w:bottom w:val="single" w:color="auto" w:sz="4" w:space="0"/>
            </w:tcBorders>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21</w:t>
            </w:r>
            <w:r>
              <w:rPr>
                <w:rFonts w:hint="eastAsia" w:asciiTheme="minorEastAsia" w:hAnsiTheme="minorEastAsia"/>
                <w:color w:val="000000" w:themeColor="text1"/>
                <w:szCs w:val="21"/>
                <w14:textFill>
                  <w14:solidFill>
                    <w14:schemeClr w14:val="tx1"/>
                  </w14:solidFill>
                </w14:textFill>
              </w:rPr>
              <w:t>区</w:t>
            </w:r>
          </w:p>
        </w:tc>
        <w:tc>
          <w:tcPr>
            <w:tcW w:w="4109" w:type="dxa"/>
            <w:tcBorders>
              <w:bottom w:val="single" w:color="auto" w:sz="4" w:space="0"/>
            </w:tcBorders>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Da</w:t>
            </w:r>
            <w:r>
              <w:rPr>
                <w:rFonts w:hint="eastAsia" w:asciiTheme="minorEastAsia" w:hAnsiTheme="minorEastAsia"/>
                <w:color w:val="000000" w:themeColor="text1"/>
                <w:szCs w:val="21"/>
                <w14:textFill>
                  <w14:solidFill>
                    <w14:schemeClr w14:val="tx1"/>
                  </w14:solidFill>
                </w14:textFill>
              </w:rPr>
              <w:t>或</w:t>
            </w:r>
            <w:r>
              <w:rPr>
                <w:rFonts w:asciiTheme="minorEastAsia" w:hAnsiTheme="minorEastAsia"/>
                <w:color w:val="000000" w:themeColor="text1"/>
                <w:szCs w:val="21"/>
                <w14:textFill>
                  <w14:solidFill>
                    <w14:schemeClr w14:val="tx1"/>
                  </w14:solidFill>
                </w14:textFill>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8" w:type="dxa"/>
            <w:tcBorders>
              <w:bottom w:val="single" w:color="auto" w:sz="4" w:space="0"/>
            </w:tcBorders>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22</w:t>
            </w:r>
            <w:r>
              <w:rPr>
                <w:rFonts w:hint="eastAsia" w:asciiTheme="minorEastAsia" w:hAnsiTheme="minorEastAsia"/>
                <w:color w:val="000000" w:themeColor="text1"/>
                <w:szCs w:val="21"/>
                <w14:textFill>
                  <w14:solidFill>
                    <w14:schemeClr w14:val="tx1"/>
                  </w14:solidFill>
                </w14:textFill>
              </w:rPr>
              <w:t>区</w:t>
            </w:r>
          </w:p>
        </w:tc>
        <w:tc>
          <w:tcPr>
            <w:tcW w:w="4109" w:type="dxa"/>
            <w:tcBorders>
              <w:bottom w:val="single" w:color="auto" w:sz="4" w:space="0"/>
            </w:tcBorders>
            <w:shd w:val="clear" w:color="auto" w:fill="auto"/>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Da</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Db</w:t>
            </w:r>
            <w:r>
              <w:rPr>
                <w:rFonts w:hint="eastAsia" w:asciiTheme="minorEastAsia" w:hAnsiTheme="minorEastAsia"/>
                <w:color w:val="000000" w:themeColor="text1"/>
                <w:szCs w:val="21"/>
                <w14:textFill>
                  <w14:solidFill>
                    <w14:schemeClr w14:val="tx1"/>
                  </w14:solidFill>
                </w14:textFill>
              </w:rPr>
              <w:t>或</w:t>
            </w:r>
            <w:r>
              <w:rPr>
                <w:rFonts w:asciiTheme="minorEastAsia" w:hAnsiTheme="minorEastAsia"/>
                <w:color w:val="000000" w:themeColor="text1"/>
                <w:szCs w:val="21"/>
                <w14:textFill>
                  <w14:solidFill>
                    <w14:schemeClr w14:val="tx1"/>
                  </w14:solidFill>
                </w14:textFill>
              </w:rPr>
              <w:t>Dc</w:t>
            </w:r>
          </w:p>
        </w:tc>
      </w:tr>
    </w:tbl>
    <w:p>
      <w:pPr>
        <w:pStyle w:val="310"/>
        <w:spacing w:line="360" w:lineRule="auto"/>
        <w:rPr>
          <w:rFonts w:ascii="Times New Roman"/>
        </w:rPr>
      </w:pPr>
      <w:r>
        <w:rPr>
          <w:rFonts w:ascii="Times New Roman"/>
        </w:rPr>
        <w:t xml:space="preserve">4.6.6  </w:t>
      </w:r>
      <w:r>
        <w:rPr>
          <w:rFonts w:hint="eastAsia" w:ascii="Times New Roman"/>
        </w:rPr>
        <w:t>当爆炸性环境电力系统接地设计时，</w:t>
      </w:r>
      <w:r>
        <w:rPr>
          <w:rFonts w:ascii="Times New Roman"/>
        </w:rPr>
        <w:t>1kV交流/1.5kV直流以下的电源系统接地应符合下列规定：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爆炸性环境中的</w:t>
      </w:r>
      <w:r>
        <w:rPr>
          <w:rFonts w:ascii="Times New Roman"/>
          <w:bCs/>
        </w:rPr>
        <w:t>TN系统应采用TN-S型；</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危险区中的</w:t>
      </w:r>
      <w:r>
        <w:rPr>
          <w:rFonts w:ascii="Times New Roman"/>
          <w:bCs/>
        </w:rPr>
        <w:t>TT型电源系统应采用剩余电流动作的保护电器；</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爆炸性环境中的</w:t>
      </w:r>
      <w:r>
        <w:rPr>
          <w:rFonts w:ascii="Times New Roman"/>
          <w:bCs/>
        </w:rPr>
        <w:t>IT型电源系统应设置绝缘监测装置。</w:t>
      </w:r>
    </w:p>
    <w:p>
      <w:pPr>
        <w:pStyle w:val="310"/>
        <w:spacing w:line="360" w:lineRule="auto"/>
        <w:rPr>
          <w:rFonts w:ascii="Times New Roman"/>
        </w:rPr>
      </w:pPr>
      <w:r>
        <w:rPr>
          <w:rFonts w:ascii="Times New Roman"/>
        </w:rPr>
        <w:t xml:space="preserve">4.6.7  </w:t>
      </w:r>
      <w:r>
        <w:rPr>
          <w:rFonts w:hint="eastAsia" w:ascii="Times New Roman"/>
        </w:rPr>
        <w:t>装置内的电缆沟应有防止可燃气体积聚或含有可燃液体的污水进入的措施。电缆沟通入变电所、控制室的墙洞处应填实、密封。</w:t>
      </w:r>
    </w:p>
    <w:p>
      <w:pPr>
        <w:pStyle w:val="310"/>
        <w:spacing w:line="360" w:lineRule="auto"/>
        <w:rPr>
          <w:rFonts w:ascii="Times New Roman"/>
        </w:rPr>
      </w:pPr>
      <w:r>
        <w:rPr>
          <w:rFonts w:ascii="Times New Roman"/>
        </w:rPr>
        <w:t xml:space="preserve">4.6.8  </w:t>
      </w:r>
      <w:r>
        <w:rPr>
          <w:rFonts w:hint="eastAsia" w:ascii="Times New Roman"/>
        </w:rPr>
        <w:t>在隧道、沟、浅槽、竖井、夹层等封闭式电缆通道中，不应布置热力管道，不应有可燃气体或可燃液体的管道穿越。</w:t>
      </w:r>
    </w:p>
    <w:p>
      <w:pPr>
        <w:pStyle w:val="310"/>
        <w:spacing w:line="360" w:lineRule="auto"/>
        <w:rPr>
          <w:rFonts w:ascii="Times New Roman"/>
        </w:rPr>
      </w:pPr>
      <w:r>
        <w:rPr>
          <w:rFonts w:ascii="Times New Roman"/>
        </w:rPr>
        <w:t xml:space="preserve">4.6.9  </w:t>
      </w:r>
      <w:r>
        <w:rPr>
          <w:rFonts w:hint="eastAsia" w:ascii="Times New Roman"/>
        </w:rPr>
        <w:t>建筑物的防雷措施应根据其防雷分类采取对应的防雷措施。</w:t>
      </w:r>
    </w:p>
    <w:p>
      <w:pPr>
        <w:pStyle w:val="310"/>
        <w:spacing w:line="360" w:lineRule="auto"/>
        <w:rPr>
          <w:rFonts w:ascii="Times New Roman"/>
        </w:rPr>
      </w:pPr>
      <w:r>
        <w:rPr>
          <w:rFonts w:ascii="Times New Roman"/>
        </w:rPr>
        <w:t xml:space="preserve">4.6.10  </w:t>
      </w:r>
      <w:r>
        <w:rPr>
          <w:rFonts w:hint="eastAsia" w:ascii="Times New Roman"/>
        </w:rPr>
        <w:t>可燃气体、液化烃、可燃液体的钢罐应设防雷接地。其中甲Ｂ</w:t>
      </w:r>
      <w:r>
        <w:rPr>
          <w:rFonts w:ascii="Times New Roman"/>
        </w:rPr>
        <w:t>、乙类可燃液体地上固定钢顶罐，当顶板厚度小于4mm时，应装设避雷针、线，其保护范围应包括整个储罐。</w:t>
      </w:r>
    </w:p>
    <w:p>
      <w:pPr>
        <w:pStyle w:val="310"/>
        <w:spacing w:line="360" w:lineRule="auto"/>
        <w:rPr>
          <w:rFonts w:ascii="Times New Roman"/>
        </w:rPr>
      </w:pPr>
      <w:r>
        <w:rPr>
          <w:rFonts w:ascii="Times New Roman"/>
        </w:rPr>
        <w:t xml:space="preserve">4.6.11  </w:t>
      </w:r>
      <w:r>
        <w:rPr>
          <w:rFonts w:hint="eastAsia" w:ascii="Times New Roman"/>
        </w:rPr>
        <w:t>对爆炸性环境内可能产生静电危险的设备和管道，应采取静电接地措施。</w:t>
      </w:r>
    </w:p>
    <w:p>
      <w:pPr>
        <w:pStyle w:val="310"/>
        <w:spacing w:line="360" w:lineRule="auto"/>
        <w:rPr>
          <w:rFonts w:ascii="Times New Roman"/>
        </w:rPr>
      </w:pPr>
      <w:r>
        <w:rPr>
          <w:rFonts w:ascii="Times New Roman"/>
        </w:rPr>
        <w:t xml:space="preserve">4.6.12  </w:t>
      </w:r>
      <w:r>
        <w:rPr>
          <w:rFonts w:hint="eastAsia" w:ascii="Times New Roman"/>
        </w:rPr>
        <w:t>炼油化工工程中的甲乙丙类厂房、丙类仓库、特殊建筑物应设置灯光疏散指示标志，疏散指示及其间距、照度应保证疏散路线指示明确、方向指示正确清晰、视觉连续。</w:t>
      </w:r>
    </w:p>
    <w:p>
      <w:pPr>
        <w:pStyle w:val="310"/>
        <w:spacing w:line="360" w:lineRule="auto"/>
        <w:rPr>
          <w:rFonts w:ascii="Times New Roman"/>
        </w:rPr>
      </w:pPr>
      <w:r>
        <w:rPr>
          <w:rFonts w:ascii="Times New Roman"/>
        </w:rPr>
        <w:t>4.6.13  炼油化工工程中的消防控制室、消防水泵房、变电所、防排烟机房以及发生火灾仍需正常工作的消防设备房应设置备用照明，其作业面的最低照度不</w:t>
      </w:r>
      <w:r>
        <w:rPr>
          <w:rFonts w:hint="eastAsia" w:ascii="Times New Roman"/>
        </w:rPr>
        <w:t>应</w:t>
      </w:r>
      <w:r>
        <w:rPr>
          <w:rFonts w:ascii="Times New Roman"/>
        </w:rPr>
        <w:t xml:space="preserve">低于正常照明的照度。 </w:t>
      </w:r>
    </w:p>
    <w:p>
      <w:pPr>
        <w:pStyle w:val="310"/>
        <w:spacing w:line="360" w:lineRule="auto"/>
        <w:rPr>
          <w:rFonts w:ascii="Times New Roman"/>
        </w:rPr>
      </w:pPr>
      <w:r>
        <w:rPr>
          <w:rFonts w:ascii="Times New Roman"/>
        </w:rPr>
        <w:t xml:space="preserve">4.6.14  </w:t>
      </w:r>
      <w:r>
        <w:rPr>
          <w:rFonts w:hint="eastAsia" w:ascii="Times New Roman"/>
        </w:rPr>
        <w:t>对于下列影响航空器飞行安全的烟囱和高架火炬应设置航空障碍灯和标志：</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在民用机场净空保护区域内修建的烟囱和高架火炬；</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在民用机场净空保护区域外，但在民用机场近管制区域内修建高出地表</w:t>
      </w:r>
      <w:r>
        <w:rPr>
          <w:rFonts w:ascii="Times New Roman"/>
          <w:bCs/>
        </w:rPr>
        <w:t>150m的烟囱和高架火炬。</w:t>
      </w:r>
    </w:p>
    <w:p>
      <w:pPr>
        <w:pStyle w:val="3"/>
        <w:spacing w:line="360" w:lineRule="auto"/>
        <w:jc w:val="center"/>
        <w:rPr>
          <w:rFonts w:ascii="Times New Roman" w:hAnsi="Times New Roman" w:eastAsia="黑体"/>
        </w:rPr>
      </w:pPr>
      <w:bookmarkStart w:id="716" w:name="_Toc146639859"/>
      <w:r>
        <w:rPr>
          <w:rFonts w:ascii="Times New Roman" w:hAnsi="Times New Roman" w:eastAsia="黑体"/>
          <w:b w:val="0"/>
          <w:bCs w:val="0"/>
        </w:rPr>
        <w:t xml:space="preserve">4.7  </w:t>
      </w:r>
      <w:r>
        <w:rPr>
          <w:rFonts w:hint="eastAsia" w:ascii="Times New Roman" w:hAnsi="Times New Roman" w:eastAsia="黑体"/>
          <w:b w:val="0"/>
          <w:bCs w:val="0"/>
        </w:rPr>
        <w:t>热力系统</w:t>
      </w:r>
      <w:bookmarkEnd w:id="716"/>
    </w:p>
    <w:p>
      <w:pPr>
        <w:pStyle w:val="310"/>
        <w:spacing w:line="360" w:lineRule="auto"/>
        <w:rPr>
          <w:rFonts w:ascii="Times New Roman"/>
        </w:rPr>
      </w:pPr>
      <w:r>
        <w:rPr>
          <w:rFonts w:ascii="Times New Roman"/>
        </w:rPr>
        <w:t xml:space="preserve">4.7.1  </w:t>
      </w:r>
      <w:r>
        <w:rPr>
          <w:rFonts w:hint="eastAsia" w:ascii="Times New Roman"/>
        </w:rPr>
        <w:t>热电联产应遵循“以热定电”的原则。当作为供热热源时，应保证工艺用热的可靠性。</w:t>
      </w:r>
    </w:p>
    <w:p>
      <w:pPr>
        <w:pStyle w:val="310"/>
        <w:spacing w:line="360" w:lineRule="auto"/>
        <w:rPr>
          <w:rFonts w:ascii="Times New Roman"/>
        </w:rPr>
      </w:pPr>
      <w:r>
        <w:rPr>
          <w:rFonts w:ascii="Times New Roman"/>
        </w:rPr>
        <w:t xml:space="preserve">4.7.2  </w:t>
      </w:r>
      <w:r>
        <w:rPr>
          <w:rFonts w:hint="eastAsia" w:ascii="Times New Roman"/>
        </w:rPr>
        <w:t>新建锅炉应同步建设脱硫、脱硝和除尘设施，烟气中的烟尘、二氧化硫、氮氧化物的排放浓度应符合国标、行标及地方标准的要求。</w:t>
      </w:r>
    </w:p>
    <w:p>
      <w:pPr>
        <w:pStyle w:val="310"/>
        <w:spacing w:line="360" w:lineRule="auto"/>
        <w:rPr>
          <w:rFonts w:ascii="Times New Roman"/>
        </w:rPr>
      </w:pPr>
      <w:r>
        <w:rPr>
          <w:rFonts w:ascii="Times New Roman"/>
        </w:rPr>
        <w:t xml:space="preserve">4.7.3  </w:t>
      </w:r>
      <w:r>
        <w:rPr>
          <w:rFonts w:hint="eastAsia" w:ascii="Times New Roman"/>
        </w:rPr>
        <w:t>蒸汽供热系统的凝结水应分级分类回收利用。</w:t>
      </w:r>
    </w:p>
    <w:p>
      <w:pPr>
        <w:pStyle w:val="3"/>
        <w:spacing w:line="360" w:lineRule="auto"/>
        <w:jc w:val="center"/>
        <w:rPr>
          <w:rFonts w:ascii="Times New Roman" w:hAnsi="Times New Roman" w:eastAsia="黑体"/>
          <w:b w:val="0"/>
        </w:rPr>
      </w:pPr>
      <w:bookmarkStart w:id="717" w:name="_Toc146639860"/>
      <w:r>
        <w:rPr>
          <w:rFonts w:ascii="Times New Roman" w:hAnsi="Times New Roman" w:eastAsia="黑体"/>
          <w:b w:val="0"/>
          <w:bCs w:val="0"/>
        </w:rPr>
        <w:t xml:space="preserve">4.8  </w:t>
      </w:r>
      <w:r>
        <w:rPr>
          <w:rFonts w:hint="eastAsia" w:ascii="Times New Roman" w:hAnsi="Times New Roman" w:eastAsia="黑体"/>
          <w:b w:val="0"/>
          <w:bCs w:val="0"/>
        </w:rPr>
        <w:t>其他</w:t>
      </w:r>
      <w:bookmarkEnd w:id="717"/>
    </w:p>
    <w:p>
      <w:pPr>
        <w:pStyle w:val="310"/>
        <w:spacing w:line="360" w:lineRule="auto"/>
        <w:rPr>
          <w:rFonts w:ascii="Times New Roman"/>
        </w:rPr>
      </w:pPr>
      <w:r>
        <w:rPr>
          <w:rFonts w:ascii="Times New Roman"/>
        </w:rPr>
        <w:t xml:space="preserve">4.8.1  </w:t>
      </w:r>
      <w:r>
        <w:rPr>
          <w:rFonts w:hint="eastAsia" w:ascii="Times New Roman"/>
        </w:rPr>
        <w:t>下列承重钢结构应采取耐火保护措施：</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支承单个容积大于或等于</w:t>
      </w:r>
      <w:r>
        <w:rPr>
          <w:rFonts w:ascii="Times New Roman"/>
          <w:bCs/>
        </w:rPr>
        <w:t>5m</w:t>
      </w:r>
      <w:r>
        <w:rPr>
          <w:rFonts w:ascii="Times New Roman"/>
          <w:bCs/>
          <w:vertAlign w:val="superscript"/>
        </w:rPr>
        <w:t>3</w:t>
      </w:r>
      <w:r>
        <w:rPr>
          <w:rFonts w:hint="eastAsia" w:ascii="Times New Roman"/>
          <w:bCs/>
        </w:rPr>
        <w:t>的甲、乙Ａ类液体设备的承重钢构架、支架、裙座；</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在爆炸危险区范围内，且毒性为极度和高度危害的物料设备的承重钢构架、支架、裙座；</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操作温度高于或等于自燃点且单个容积大于或等于</w:t>
      </w:r>
      <w:r>
        <w:rPr>
          <w:rFonts w:ascii="Times New Roman"/>
          <w:bCs/>
        </w:rPr>
        <w:t>5m</w:t>
      </w:r>
      <w:r>
        <w:rPr>
          <w:rFonts w:ascii="Times New Roman"/>
          <w:bCs/>
          <w:vertAlign w:val="superscript"/>
        </w:rPr>
        <w:t>3</w:t>
      </w:r>
      <w:r>
        <w:rPr>
          <w:rFonts w:hint="eastAsia" w:ascii="Times New Roman"/>
          <w:bCs/>
        </w:rPr>
        <w:t>的乙</w:t>
      </w:r>
      <w:r>
        <w:rPr>
          <w:rFonts w:hint="eastAsia" w:ascii="Times New Roman"/>
          <w:bCs/>
          <w:vertAlign w:val="subscript"/>
        </w:rPr>
        <w:t>Ｂ</w:t>
      </w:r>
      <w:r>
        <w:rPr>
          <w:rFonts w:ascii="Times New Roman"/>
          <w:bCs/>
        </w:rPr>
        <w:t>、丙类液体设备承重钢构架、支架、裙座；</w:t>
      </w:r>
    </w:p>
    <w:p>
      <w:pPr>
        <w:pStyle w:val="310"/>
        <w:spacing w:line="360" w:lineRule="auto"/>
        <w:ind w:firstLine="420" w:firstLineChars="175"/>
        <w:rPr>
          <w:rFonts w:ascii="Times New Roman"/>
          <w:bCs/>
        </w:rPr>
      </w:pPr>
      <w:r>
        <w:rPr>
          <w:rFonts w:ascii="Times New Roman"/>
          <w:bCs/>
        </w:rPr>
        <w:t xml:space="preserve">4  </w:t>
      </w:r>
      <w:r>
        <w:rPr>
          <w:rFonts w:hint="eastAsia" w:ascii="Times New Roman"/>
          <w:bCs/>
        </w:rPr>
        <w:t>加热炉炉底钢支架；</w:t>
      </w:r>
    </w:p>
    <w:p>
      <w:pPr>
        <w:pStyle w:val="310"/>
        <w:spacing w:line="360" w:lineRule="auto"/>
        <w:ind w:firstLine="420" w:firstLineChars="175"/>
        <w:rPr>
          <w:rFonts w:ascii="Times New Roman"/>
          <w:bCs/>
        </w:rPr>
      </w:pPr>
      <w:r>
        <w:rPr>
          <w:rFonts w:ascii="Times New Roman"/>
          <w:bCs/>
        </w:rPr>
        <w:t xml:space="preserve">5  </w:t>
      </w:r>
      <w:r>
        <w:rPr>
          <w:rFonts w:hint="eastAsia" w:ascii="Times New Roman"/>
          <w:bCs/>
        </w:rPr>
        <w:t>在爆炸危险区范围内的钢管架，跨越装置区、罐区消防车道的钢管架；</w:t>
      </w:r>
    </w:p>
    <w:p>
      <w:pPr>
        <w:pStyle w:val="310"/>
        <w:spacing w:line="360" w:lineRule="auto"/>
        <w:ind w:firstLine="420" w:firstLineChars="175"/>
        <w:rPr>
          <w:rFonts w:asciiTheme="minorEastAsia" w:hAnsiTheme="minorEastAsia"/>
          <w:color w:val="000000" w:themeColor="text1"/>
          <w:szCs w:val="21"/>
          <w14:textFill>
            <w14:solidFill>
              <w14:schemeClr w14:val="tx1"/>
            </w14:solidFill>
          </w14:textFill>
        </w:rPr>
      </w:pPr>
      <w:r>
        <w:rPr>
          <w:rFonts w:ascii="Times New Roman"/>
          <w:bCs/>
        </w:rPr>
        <w:t xml:space="preserve">6  </w:t>
      </w:r>
      <w:r>
        <w:rPr>
          <w:rFonts w:hint="eastAsia" w:ascii="Times New Roman"/>
          <w:bCs/>
        </w:rPr>
        <w:t>在爆炸危险区范围内的高径比大于或等于</w:t>
      </w:r>
      <w:r>
        <w:rPr>
          <w:rFonts w:ascii="Times New Roman"/>
          <w:bCs/>
        </w:rPr>
        <w:t>8</w:t>
      </w:r>
      <w:r>
        <w:rPr>
          <w:rFonts w:hint="eastAsia" w:ascii="Times New Roman"/>
          <w:bCs/>
        </w:rPr>
        <w:t>，且总重量大于或等于</w:t>
      </w:r>
      <w:r>
        <w:rPr>
          <w:rFonts w:ascii="Times New Roman"/>
          <w:bCs/>
        </w:rPr>
        <w:t>25t</w:t>
      </w:r>
      <w:r>
        <w:rPr>
          <w:rFonts w:hint="eastAsia" w:ascii="Times New Roman"/>
          <w:bCs/>
        </w:rPr>
        <w:t>的非可燃介</w:t>
      </w:r>
      <w:r>
        <w:rPr>
          <w:rFonts w:hint="eastAsia" w:asciiTheme="minorEastAsia" w:hAnsiTheme="minorEastAsia"/>
          <w:color w:val="000000" w:themeColor="text1"/>
          <w:szCs w:val="21"/>
          <w14:textFill>
            <w14:solidFill>
              <w14:schemeClr w14:val="tx1"/>
            </w14:solidFill>
          </w14:textFill>
        </w:rPr>
        <w:t>质设备的承重钢构架、支架、裙座。</w:t>
      </w:r>
    </w:p>
    <w:p>
      <w:pPr>
        <w:pStyle w:val="310"/>
        <w:spacing w:line="360" w:lineRule="auto"/>
        <w:rPr>
          <w:rFonts w:ascii="Times New Roman"/>
        </w:rPr>
      </w:pPr>
      <w:r>
        <w:rPr>
          <w:rFonts w:ascii="Times New Roman"/>
        </w:rPr>
        <w:t xml:space="preserve">4.8.2  </w:t>
      </w:r>
      <w:r>
        <w:rPr>
          <w:rFonts w:hint="eastAsia" w:ascii="Times New Roman"/>
        </w:rPr>
        <w:t>空压站应设置事故状态下仪表空气备用储罐，储存量应保证不小于</w:t>
      </w:r>
      <w:r>
        <w:rPr>
          <w:rFonts w:ascii="Times New Roman"/>
        </w:rPr>
        <w:t>15min</w:t>
      </w:r>
      <w:r>
        <w:rPr>
          <w:rFonts w:hint="eastAsia" w:ascii="Times New Roman"/>
        </w:rPr>
        <w:t>的正常连续用量。</w:t>
      </w:r>
    </w:p>
    <w:p>
      <w:pPr>
        <w:pStyle w:val="310"/>
        <w:spacing w:line="360" w:lineRule="auto"/>
        <w:rPr>
          <w:rFonts w:ascii="Times New Roman"/>
        </w:rPr>
      </w:pPr>
      <w:r>
        <w:rPr>
          <w:rFonts w:ascii="Times New Roman"/>
        </w:rPr>
        <w:t xml:space="preserve">4.8.3  </w:t>
      </w:r>
      <w:r>
        <w:rPr>
          <w:rFonts w:hint="eastAsia" w:ascii="Times New Roman"/>
        </w:rPr>
        <w:t>炼油化工工程项目应设置事故状态下氮气备用储罐，储存量应满足项目一次事故的最大氮气用量。</w:t>
      </w:r>
    </w:p>
    <w:p>
      <w:pPr>
        <w:widowControl/>
        <w:jc w:val="left"/>
        <w:rPr>
          <w:rFonts w:ascii="黑体" w:hAnsi="黑体" w:eastAsia="黑体" w:cs="宋体"/>
          <w:color w:val="000000"/>
          <w:kern w:val="0"/>
          <w:sz w:val="30"/>
          <w:szCs w:val="30"/>
        </w:rPr>
      </w:pPr>
      <w:r>
        <w:rPr>
          <w:rFonts w:ascii="黑体" w:hAnsi="黑体" w:eastAsia="黑体" w:cs="宋体"/>
          <w:color w:val="000000"/>
          <w:kern w:val="0"/>
          <w:sz w:val="30"/>
          <w:szCs w:val="30"/>
        </w:rPr>
        <w:br w:type="page"/>
      </w:r>
    </w:p>
    <w:p>
      <w:pPr>
        <w:spacing w:before="312" w:beforeLines="100" w:line="360" w:lineRule="auto"/>
        <w:jc w:val="center"/>
        <w:outlineLvl w:val="0"/>
        <w:rPr>
          <w:rFonts w:asciiTheme="minorEastAsia" w:hAnsiTheme="minorEastAsia"/>
          <w:sz w:val="28"/>
          <w:szCs w:val="28"/>
        </w:rPr>
      </w:pPr>
      <w:bookmarkStart w:id="718" w:name="_Toc146639861"/>
      <w:bookmarkStart w:id="719" w:name="_Toc91770092"/>
      <w:bookmarkStart w:id="720" w:name="_Toc44668320"/>
      <w:r>
        <w:rPr>
          <w:rFonts w:asciiTheme="minorEastAsia" w:hAnsiTheme="minorEastAsia"/>
          <w:sz w:val="28"/>
          <w:szCs w:val="28"/>
        </w:rPr>
        <w:t xml:space="preserve">5  </w:t>
      </w:r>
      <w:r>
        <w:fldChar w:fldCharType="begin"/>
      </w:r>
      <w:r>
        <w:instrText xml:space="preserve"> HYPERLINK \l "_Toc509327586" </w:instrText>
      </w:r>
      <w:r>
        <w:fldChar w:fldCharType="separate"/>
      </w:r>
      <w:r>
        <w:rPr>
          <w:rFonts w:hint="eastAsia" w:ascii="黑体" w:hAnsi="黑体" w:eastAsia="黑体"/>
          <w:sz w:val="28"/>
          <w:szCs w:val="28"/>
        </w:rPr>
        <w:t>储运设施</w:t>
      </w:r>
      <w:bookmarkEnd w:id="718"/>
      <w:bookmarkEnd w:id="719"/>
      <w:bookmarkEnd w:id="720"/>
      <w:r>
        <w:rPr>
          <w:rFonts w:hint="eastAsia" w:ascii="黑体" w:hAnsi="黑体" w:eastAsia="黑体"/>
          <w:sz w:val="28"/>
          <w:szCs w:val="28"/>
        </w:rPr>
        <w:fldChar w:fldCharType="end"/>
      </w:r>
    </w:p>
    <w:p>
      <w:pPr>
        <w:pStyle w:val="3"/>
        <w:spacing w:line="360" w:lineRule="auto"/>
        <w:jc w:val="center"/>
        <w:rPr>
          <w:rFonts w:ascii="Times New Roman" w:hAnsi="Times New Roman" w:eastAsia="黑体"/>
          <w:b w:val="0"/>
        </w:rPr>
      </w:pPr>
      <w:bookmarkStart w:id="721" w:name="_Toc969978"/>
      <w:bookmarkEnd w:id="721"/>
      <w:bookmarkStart w:id="722" w:name="_Toc969378"/>
      <w:bookmarkEnd w:id="722"/>
      <w:bookmarkStart w:id="723" w:name="_Toc967254"/>
      <w:bookmarkEnd w:id="723"/>
      <w:bookmarkStart w:id="724" w:name="_Toc969377"/>
      <w:bookmarkEnd w:id="724"/>
      <w:bookmarkStart w:id="725" w:name="_Toc969376"/>
      <w:bookmarkEnd w:id="725"/>
      <w:bookmarkStart w:id="726" w:name="_Toc969977"/>
      <w:bookmarkEnd w:id="726"/>
      <w:bookmarkStart w:id="727" w:name="_Toc967255"/>
      <w:bookmarkEnd w:id="727"/>
      <w:bookmarkStart w:id="728" w:name="_Toc968776"/>
      <w:bookmarkEnd w:id="728"/>
      <w:bookmarkStart w:id="729" w:name="_Toc968774"/>
      <w:bookmarkEnd w:id="729"/>
      <w:bookmarkStart w:id="730" w:name="_Toc969979"/>
      <w:bookmarkEnd w:id="730"/>
      <w:bookmarkStart w:id="731" w:name="_Toc968775"/>
      <w:bookmarkEnd w:id="731"/>
      <w:bookmarkStart w:id="732" w:name="_Toc967253"/>
      <w:bookmarkEnd w:id="732"/>
      <w:bookmarkStart w:id="733" w:name="_Toc44668321"/>
      <w:bookmarkStart w:id="734" w:name="_Toc146639862"/>
      <w:r>
        <w:rPr>
          <w:rFonts w:ascii="Times New Roman" w:hAnsi="Times New Roman" w:eastAsia="黑体"/>
          <w:b w:val="0"/>
          <w:bCs w:val="0"/>
        </w:rPr>
        <w:t xml:space="preserve">5.1  </w:t>
      </w:r>
      <w:r>
        <w:rPr>
          <w:rFonts w:hint="eastAsia" w:ascii="Times New Roman" w:hAnsi="Times New Roman" w:eastAsia="黑体"/>
          <w:b w:val="0"/>
          <w:bCs w:val="0"/>
        </w:rPr>
        <w:t>罐区一般规定</w:t>
      </w:r>
      <w:bookmarkEnd w:id="733"/>
      <w:bookmarkEnd w:id="734"/>
    </w:p>
    <w:p>
      <w:pPr>
        <w:pStyle w:val="310"/>
        <w:spacing w:line="360" w:lineRule="auto"/>
        <w:rPr>
          <w:rFonts w:ascii="Times New Roman"/>
        </w:rPr>
      </w:pPr>
      <w:bookmarkStart w:id="735" w:name="_Toc1298757"/>
      <w:bookmarkEnd w:id="735"/>
      <w:bookmarkStart w:id="736" w:name="_Toc971118"/>
      <w:bookmarkEnd w:id="736"/>
      <w:bookmarkStart w:id="737" w:name="_Toc970550"/>
      <w:bookmarkEnd w:id="737"/>
      <w:bookmarkStart w:id="738" w:name="_Toc1483264"/>
      <w:bookmarkEnd w:id="738"/>
      <w:bookmarkStart w:id="739" w:name="_Toc1299285"/>
      <w:bookmarkEnd w:id="739"/>
      <w:bookmarkStart w:id="740" w:name="_Toc969382"/>
      <w:bookmarkEnd w:id="740"/>
      <w:bookmarkStart w:id="741" w:name="_Toc969983"/>
      <w:bookmarkEnd w:id="741"/>
      <w:bookmarkStart w:id="742" w:name="_Toc1480618"/>
      <w:bookmarkEnd w:id="742"/>
      <w:bookmarkStart w:id="743" w:name="_Toc1298758"/>
      <w:bookmarkEnd w:id="743"/>
      <w:bookmarkStart w:id="744" w:name="_Toc1375084"/>
      <w:bookmarkEnd w:id="744"/>
      <w:bookmarkStart w:id="745" w:name="_Toc1483269"/>
      <w:bookmarkEnd w:id="745"/>
      <w:bookmarkStart w:id="746" w:name="_Toc970552"/>
      <w:bookmarkEnd w:id="746"/>
      <w:bookmarkStart w:id="747" w:name="_Toc1480622"/>
      <w:bookmarkEnd w:id="747"/>
      <w:bookmarkStart w:id="748" w:name="_Toc1481943"/>
      <w:bookmarkEnd w:id="748"/>
      <w:bookmarkStart w:id="749" w:name="_Toc969984"/>
      <w:bookmarkEnd w:id="749"/>
      <w:bookmarkStart w:id="750" w:name="_Toc968784"/>
      <w:bookmarkEnd w:id="750"/>
      <w:bookmarkStart w:id="751" w:name="_Toc969384"/>
      <w:bookmarkEnd w:id="751"/>
      <w:bookmarkStart w:id="752" w:name="_Toc971116"/>
      <w:bookmarkEnd w:id="752"/>
      <w:bookmarkStart w:id="753" w:name="_Toc968781"/>
      <w:bookmarkEnd w:id="753"/>
      <w:bookmarkStart w:id="754" w:name="_Toc1480619"/>
      <w:bookmarkEnd w:id="754"/>
      <w:bookmarkStart w:id="755" w:name="_Toc1483266"/>
      <w:bookmarkEnd w:id="755"/>
      <w:bookmarkStart w:id="756" w:name="_Toc968778"/>
      <w:bookmarkEnd w:id="756"/>
      <w:bookmarkStart w:id="757" w:name="_Toc968779"/>
      <w:bookmarkEnd w:id="757"/>
      <w:bookmarkStart w:id="758" w:name="_Toc969981"/>
      <w:bookmarkEnd w:id="758"/>
      <w:bookmarkStart w:id="759" w:name="_Toc1299287"/>
      <w:bookmarkEnd w:id="759"/>
      <w:bookmarkStart w:id="760" w:name="_Toc1480624"/>
      <w:bookmarkEnd w:id="760"/>
      <w:bookmarkStart w:id="761" w:name="_Toc1481941"/>
      <w:bookmarkEnd w:id="761"/>
      <w:bookmarkStart w:id="762" w:name="_Toc969385"/>
      <w:bookmarkEnd w:id="762"/>
      <w:bookmarkStart w:id="763" w:name="_Toc969982"/>
      <w:bookmarkEnd w:id="763"/>
      <w:bookmarkStart w:id="764" w:name="_Toc1375088"/>
      <w:bookmarkEnd w:id="764"/>
      <w:bookmarkStart w:id="765" w:name="_Toc1375086"/>
      <w:bookmarkEnd w:id="765"/>
      <w:bookmarkStart w:id="766" w:name="_Toc1480620"/>
      <w:bookmarkEnd w:id="766"/>
      <w:bookmarkStart w:id="767" w:name="_Toc1481944"/>
      <w:bookmarkEnd w:id="767"/>
      <w:bookmarkStart w:id="768" w:name="_Toc969386"/>
      <w:bookmarkEnd w:id="768"/>
      <w:bookmarkStart w:id="769" w:name="_Toc1483265"/>
      <w:bookmarkEnd w:id="769"/>
      <w:bookmarkStart w:id="770" w:name="_Toc1298753"/>
      <w:bookmarkEnd w:id="770"/>
      <w:bookmarkStart w:id="771" w:name="_Toc969987"/>
      <w:bookmarkEnd w:id="771"/>
      <w:bookmarkStart w:id="772" w:name="_Toc971115"/>
      <w:bookmarkEnd w:id="772"/>
      <w:bookmarkStart w:id="773" w:name="_Toc971117"/>
      <w:bookmarkEnd w:id="773"/>
      <w:bookmarkStart w:id="774" w:name="_Toc1375087"/>
      <w:bookmarkEnd w:id="774"/>
      <w:bookmarkStart w:id="775" w:name="_Toc1483270"/>
      <w:bookmarkEnd w:id="775"/>
      <w:bookmarkStart w:id="776" w:name="_Toc971121"/>
      <w:bookmarkEnd w:id="776"/>
      <w:bookmarkStart w:id="777" w:name="_Toc1298755"/>
      <w:bookmarkEnd w:id="777"/>
      <w:bookmarkStart w:id="778" w:name="_Toc1481945"/>
      <w:bookmarkEnd w:id="778"/>
      <w:bookmarkStart w:id="779" w:name="_Toc1299284"/>
      <w:bookmarkEnd w:id="779"/>
      <w:bookmarkStart w:id="780" w:name="_Toc1481946"/>
      <w:bookmarkEnd w:id="780"/>
      <w:bookmarkStart w:id="781" w:name="_Toc1481942"/>
      <w:bookmarkEnd w:id="781"/>
      <w:bookmarkStart w:id="782" w:name="_Toc969985"/>
      <w:bookmarkEnd w:id="782"/>
      <w:bookmarkStart w:id="783" w:name="_Toc1375085"/>
      <w:bookmarkEnd w:id="783"/>
      <w:bookmarkStart w:id="784" w:name="_Toc1299288"/>
      <w:bookmarkEnd w:id="784"/>
      <w:bookmarkStart w:id="785" w:name="_Toc968783"/>
      <w:bookmarkEnd w:id="785"/>
      <w:bookmarkStart w:id="786" w:name="_Toc968782"/>
      <w:bookmarkEnd w:id="786"/>
      <w:bookmarkStart w:id="787" w:name="_Toc970553"/>
      <w:bookmarkEnd w:id="787"/>
      <w:bookmarkStart w:id="788" w:name="_Toc1481947"/>
      <w:bookmarkEnd w:id="788"/>
      <w:bookmarkStart w:id="789" w:name="_Toc1299289"/>
      <w:bookmarkEnd w:id="789"/>
      <w:bookmarkStart w:id="790" w:name="_Toc1483268"/>
      <w:bookmarkEnd w:id="790"/>
      <w:bookmarkStart w:id="791" w:name="_Toc969986"/>
      <w:bookmarkEnd w:id="791"/>
      <w:bookmarkStart w:id="792" w:name="_Toc1483267"/>
      <w:bookmarkEnd w:id="792"/>
      <w:bookmarkStart w:id="793" w:name="_Toc1480623"/>
      <w:bookmarkEnd w:id="793"/>
      <w:bookmarkStart w:id="794" w:name="_Toc970554"/>
      <w:bookmarkEnd w:id="794"/>
      <w:bookmarkStart w:id="795" w:name="_Toc971119"/>
      <w:bookmarkEnd w:id="795"/>
      <w:bookmarkStart w:id="796" w:name="_Toc968780"/>
      <w:bookmarkEnd w:id="796"/>
      <w:bookmarkStart w:id="797" w:name="_Toc1299283"/>
      <w:bookmarkEnd w:id="797"/>
      <w:bookmarkStart w:id="798" w:name="_Toc1299286"/>
      <w:bookmarkEnd w:id="798"/>
      <w:bookmarkStart w:id="799" w:name="_Toc969381"/>
      <w:bookmarkEnd w:id="799"/>
      <w:bookmarkStart w:id="800" w:name="_Toc970551"/>
      <w:bookmarkEnd w:id="800"/>
      <w:bookmarkStart w:id="801" w:name="_Toc1480621"/>
      <w:bookmarkEnd w:id="801"/>
      <w:bookmarkStart w:id="802" w:name="_Toc969383"/>
      <w:bookmarkEnd w:id="802"/>
      <w:bookmarkStart w:id="803" w:name="_Toc1298754"/>
      <w:bookmarkEnd w:id="803"/>
      <w:bookmarkStart w:id="804" w:name="_Toc1375082"/>
      <w:bookmarkEnd w:id="804"/>
      <w:bookmarkStart w:id="805" w:name="_Toc970549"/>
      <w:bookmarkEnd w:id="805"/>
      <w:bookmarkStart w:id="806" w:name="_Toc1298752"/>
      <w:bookmarkEnd w:id="806"/>
      <w:bookmarkStart w:id="807" w:name="_Toc1375083"/>
      <w:bookmarkEnd w:id="807"/>
      <w:bookmarkStart w:id="808" w:name="_Toc969380"/>
      <w:bookmarkEnd w:id="808"/>
      <w:bookmarkStart w:id="809" w:name="_Toc971120"/>
      <w:bookmarkEnd w:id="809"/>
      <w:bookmarkStart w:id="810" w:name="_Toc970548"/>
      <w:bookmarkEnd w:id="810"/>
      <w:bookmarkStart w:id="811" w:name="_Toc1298756"/>
      <w:bookmarkEnd w:id="811"/>
      <w:r>
        <w:rPr>
          <w:rFonts w:ascii="Times New Roman"/>
        </w:rPr>
        <w:t xml:space="preserve">5.1.1  </w:t>
      </w:r>
      <w:r>
        <w:rPr>
          <w:rFonts w:hint="eastAsia" w:ascii="Times New Roman"/>
        </w:rPr>
        <w:t>储罐应按物料的火灾危险性类别、物料性质、储罐类型、操作参数成组布置。下列储罐不应同组布置：</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压力储罐与非压力储罐；</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全冷冻式储罐与其他储罐；</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可燃气体储罐与其他储罐；</w:t>
      </w:r>
    </w:p>
    <w:p>
      <w:pPr>
        <w:pStyle w:val="310"/>
        <w:spacing w:line="360" w:lineRule="auto"/>
        <w:ind w:firstLine="420" w:firstLineChars="175"/>
        <w:rPr>
          <w:rFonts w:ascii="Times New Roman"/>
          <w:bCs/>
        </w:rPr>
      </w:pPr>
      <w:r>
        <w:rPr>
          <w:rFonts w:ascii="Times New Roman"/>
          <w:bCs/>
        </w:rPr>
        <w:t xml:space="preserve">4  </w:t>
      </w:r>
      <w:r>
        <w:rPr>
          <w:rFonts w:hint="eastAsia" w:ascii="Times New Roman"/>
          <w:bCs/>
        </w:rPr>
        <w:t>助燃气体储罐与可燃液体储罐、可燃气体储罐。</w:t>
      </w:r>
    </w:p>
    <w:p>
      <w:pPr>
        <w:pStyle w:val="310"/>
        <w:spacing w:line="360" w:lineRule="auto"/>
        <w:rPr>
          <w:rFonts w:ascii="Times New Roman"/>
        </w:rPr>
      </w:pPr>
      <w:r>
        <w:rPr>
          <w:rFonts w:ascii="Times New Roman"/>
        </w:rPr>
        <w:t xml:space="preserve">5.1.2  </w:t>
      </w:r>
      <w:r>
        <w:rPr>
          <w:rFonts w:hint="eastAsia" w:ascii="Times New Roman"/>
        </w:rPr>
        <w:t>除侧壁上不开口的全冷冻式双防或全防罐罐组外，其他可燃液体和液化烃储罐罐组应设防火堤。防火堤应采用厚度不小于</w:t>
      </w:r>
      <w:r>
        <w:rPr>
          <w:rFonts w:ascii="Times New Roman"/>
        </w:rPr>
        <w:t>250mm的钢筋混凝土结构或其他耐火性能相当的结构形式。防火堤</w:t>
      </w:r>
      <w:r>
        <w:rPr>
          <w:rFonts w:hint="eastAsia" w:ascii="Times New Roman"/>
        </w:rPr>
        <w:t>应能承受所容纳液体的静压力且不应泄漏</w:t>
      </w:r>
      <w:r>
        <w:rPr>
          <w:rFonts w:ascii="Times New Roman"/>
        </w:rPr>
        <w:t>。</w:t>
      </w:r>
      <w:r>
        <w:rPr>
          <w:rFonts w:hint="eastAsia" w:ascii="Times New Roman"/>
        </w:rPr>
        <w:t>穿越防火堤的排水管应采取防止泄漏物料流出防火堤的措施。</w:t>
      </w:r>
    </w:p>
    <w:p>
      <w:pPr>
        <w:pStyle w:val="310"/>
        <w:spacing w:line="360" w:lineRule="auto"/>
        <w:rPr>
          <w:rFonts w:ascii="Times New Roman"/>
        </w:rPr>
      </w:pPr>
      <w:r>
        <w:rPr>
          <w:rFonts w:ascii="Times New Roman"/>
        </w:rPr>
        <w:t xml:space="preserve">5.1.3  </w:t>
      </w:r>
      <w:r>
        <w:rPr>
          <w:rFonts w:hint="eastAsia" w:ascii="Times New Roman"/>
        </w:rPr>
        <w:t>储罐应设液位和温度测量仪表，压力储罐尚应设压力测量仪表，测量信号应在控制室集中显示。液位和压力测量仪表应设置超限报警。有温度控制要求时，温度测量仪表应设置超限报警。</w:t>
      </w:r>
    </w:p>
    <w:p>
      <w:pPr>
        <w:pStyle w:val="310"/>
        <w:spacing w:line="360" w:lineRule="auto"/>
        <w:rPr>
          <w:rFonts w:ascii="Times New Roman"/>
        </w:rPr>
      </w:pPr>
      <w:r>
        <w:rPr>
          <w:rFonts w:ascii="Times New Roman"/>
        </w:rPr>
        <w:t xml:space="preserve">5.1.4  </w:t>
      </w:r>
      <w:r>
        <w:rPr>
          <w:rFonts w:hint="eastAsia" w:ascii="Times New Roman"/>
        </w:rPr>
        <w:t>属于一级或二级重大危险源的</w:t>
      </w:r>
      <w:r>
        <w:rPr>
          <w:rFonts w:ascii="Times New Roman"/>
        </w:rPr>
        <w:t>储罐</w:t>
      </w:r>
      <w:r>
        <w:rPr>
          <w:rFonts w:hint="eastAsia" w:ascii="Times New Roman"/>
        </w:rPr>
        <w:t>，其进出料管道上应设置可在控制室远程操作的自动控制阀。储罐进料管道上的自动控制阀应与储罐高高液位报警仪表联锁</w:t>
      </w:r>
      <w:r>
        <w:rPr>
          <w:rFonts w:ascii="Times New Roman"/>
        </w:rPr>
        <w:t>。</w:t>
      </w:r>
    </w:p>
    <w:p>
      <w:pPr>
        <w:pStyle w:val="310"/>
        <w:spacing w:line="360" w:lineRule="auto"/>
        <w:rPr>
          <w:rFonts w:ascii="Times New Roman"/>
        </w:rPr>
      </w:pPr>
      <w:r>
        <w:rPr>
          <w:rFonts w:ascii="Times New Roman"/>
        </w:rPr>
        <w:t xml:space="preserve">5.1.5  </w:t>
      </w:r>
      <w:r>
        <w:rPr>
          <w:rFonts w:hint="eastAsia" w:ascii="Times New Roman"/>
        </w:rPr>
        <w:t>应采取防止泄漏的可燃液体漫流至人员集中建筑物、重要设施和厂区外的措施。</w:t>
      </w:r>
    </w:p>
    <w:p>
      <w:pPr>
        <w:pStyle w:val="3"/>
        <w:spacing w:line="360" w:lineRule="auto"/>
        <w:jc w:val="center"/>
        <w:rPr>
          <w:rFonts w:ascii="Times New Roman" w:hAnsi="Times New Roman" w:eastAsia="黑体"/>
          <w:b w:val="0"/>
        </w:rPr>
      </w:pPr>
      <w:bookmarkStart w:id="812" w:name="_Toc146639863"/>
      <w:bookmarkStart w:id="813" w:name="_Toc1375081"/>
      <w:bookmarkStart w:id="814" w:name="_Toc44668322"/>
      <w:r>
        <w:rPr>
          <w:rFonts w:ascii="Times New Roman" w:hAnsi="Times New Roman" w:eastAsia="黑体"/>
          <w:b w:val="0"/>
          <w:bCs w:val="0"/>
        </w:rPr>
        <w:t xml:space="preserve">5.2  </w:t>
      </w:r>
      <w:r>
        <w:rPr>
          <w:rFonts w:hint="eastAsia" w:ascii="Times New Roman" w:hAnsi="Times New Roman" w:eastAsia="黑体"/>
          <w:b w:val="0"/>
          <w:bCs w:val="0"/>
        </w:rPr>
        <w:t>可燃液体储罐区</w:t>
      </w:r>
      <w:bookmarkEnd w:id="812"/>
      <w:bookmarkEnd w:id="813"/>
      <w:bookmarkEnd w:id="814"/>
    </w:p>
    <w:p>
      <w:pPr>
        <w:pStyle w:val="310"/>
        <w:spacing w:line="360" w:lineRule="auto"/>
        <w:rPr>
          <w:rFonts w:ascii="Times New Roman"/>
        </w:rPr>
      </w:pPr>
      <w:r>
        <w:rPr>
          <w:rFonts w:ascii="Times New Roman"/>
        </w:rPr>
        <w:t xml:space="preserve">5.2.1  </w:t>
      </w:r>
      <w:r>
        <w:rPr>
          <w:rFonts w:hint="eastAsia" w:ascii="Times New Roman"/>
        </w:rPr>
        <w:t>选用常压固定顶储罐储存可燃液体时，应满足下列条件：</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罐内气相空间烃类气体浓度不大于爆炸下限的</w:t>
      </w:r>
      <w:r>
        <w:rPr>
          <w:rFonts w:ascii="Times New Roman"/>
          <w:bCs/>
        </w:rPr>
        <w:t>50％</w:t>
      </w:r>
      <w:r>
        <w:rPr>
          <w:rFonts w:hint="eastAsia" w:ascii="Times New Roman"/>
          <w:bCs/>
        </w:rPr>
        <w:t>；</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储罐排放的气体中非甲烷总烃含量不大于</w:t>
      </w:r>
      <w:r>
        <w:rPr>
          <w:rFonts w:ascii="Times New Roman"/>
          <w:bCs/>
        </w:rPr>
        <w:t>25g/m</w:t>
      </w:r>
      <w:r>
        <w:rPr>
          <w:rFonts w:ascii="Times New Roman"/>
          <w:bCs/>
          <w:vertAlign w:val="superscript"/>
        </w:rPr>
        <w:t>3</w:t>
      </w:r>
      <w:r>
        <w:rPr>
          <w:rFonts w:ascii="Times New Roman"/>
          <w:bCs/>
        </w:rPr>
        <w:t>。</w:t>
      </w:r>
    </w:p>
    <w:p>
      <w:pPr>
        <w:pStyle w:val="310"/>
        <w:spacing w:line="360" w:lineRule="auto"/>
        <w:rPr>
          <w:rFonts w:ascii="Times New Roman"/>
        </w:rPr>
      </w:pPr>
      <w:r>
        <w:rPr>
          <w:rFonts w:ascii="Times New Roman"/>
        </w:rPr>
        <w:t xml:space="preserve">5.2.2  </w:t>
      </w:r>
      <w:r>
        <w:rPr>
          <w:rFonts w:hint="eastAsia" w:ascii="Times New Roman"/>
        </w:rPr>
        <w:t>选用內浮顶储罐储存可燃液体时，应符合下列规定：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罐内浮顶上部气相空间烃类气体浓度大于爆炸下限</w:t>
      </w:r>
      <w:r>
        <w:rPr>
          <w:rFonts w:ascii="Times New Roman"/>
          <w:bCs/>
        </w:rPr>
        <w:t>50％</w:t>
      </w:r>
      <w:r>
        <w:rPr>
          <w:rFonts w:hint="eastAsia" w:ascii="Times New Roman"/>
          <w:bCs/>
        </w:rPr>
        <w:t>时，</w:t>
      </w:r>
      <w:r>
        <w:rPr>
          <w:rFonts w:ascii="Times New Roman"/>
          <w:bCs/>
        </w:rPr>
        <w:t>应设置氮气密封保护系统；</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储罐排放的气体中非甲烷总烃含量大于</w:t>
      </w:r>
      <w:r>
        <w:rPr>
          <w:rFonts w:ascii="Times New Roman"/>
          <w:bCs/>
        </w:rPr>
        <w:t>25g/m</w:t>
      </w:r>
      <w:r>
        <w:rPr>
          <w:rFonts w:ascii="Times New Roman"/>
          <w:bCs/>
          <w:vertAlign w:val="superscript"/>
        </w:rPr>
        <w:t>3</w:t>
      </w:r>
      <w:r>
        <w:rPr>
          <w:rFonts w:hint="eastAsia" w:ascii="Times New Roman"/>
          <w:bCs/>
        </w:rPr>
        <w:t>时</w:t>
      </w:r>
      <w:r>
        <w:rPr>
          <w:rFonts w:ascii="Times New Roman"/>
          <w:bCs/>
        </w:rPr>
        <w:t>，</w:t>
      </w:r>
      <w:r>
        <w:rPr>
          <w:rFonts w:hint="eastAsia" w:ascii="Times New Roman"/>
          <w:bCs/>
        </w:rPr>
        <w:t>应</w:t>
      </w:r>
      <w:r>
        <w:rPr>
          <w:rFonts w:ascii="Times New Roman"/>
          <w:bCs/>
        </w:rPr>
        <w:t>密闭回收处理罐内排出的气体</w:t>
      </w:r>
      <w:r>
        <w:rPr>
          <w:rFonts w:hint="eastAsia" w:ascii="Times New Roman"/>
          <w:bCs/>
        </w:rPr>
        <w:t>，并应</w:t>
      </w:r>
      <w:r>
        <w:rPr>
          <w:rFonts w:ascii="Times New Roman"/>
          <w:bCs/>
        </w:rPr>
        <w:t>设置氮气密封保护系统。</w:t>
      </w:r>
    </w:p>
    <w:p>
      <w:pPr>
        <w:pStyle w:val="310"/>
        <w:spacing w:line="360" w:lineRule="auto"/>
        <w:rPr>
          <w:rFonts w:ascii="Times New Roman"/>
        </w:rPr>
      </w:pPr>
      <w:r>
        <w:rPr>
          <w:rFonts w:ascii="Times New Roman"/>
        </w:rPr>
        <w:t xml:space="preserve">5.2.3  </w:t>
      </w:r>
      <w:r>
        <w:rPr>
          <w:rFonts w:hint="eastAsia" w:ascii="Times New Roman"/>
        </w:rPr>
        <w:t>性质特殊的甲Ｂ</w:t>
      </w:r>
      <w:r>
        <w:rPr>
          <w:rFonts w:ascii="Times New Roman"/>
        </w:rPr>
        <w:t>和乙</w:t>
      </w:r>
      <w:r>
        <w:rPr>
          <w:rFonts w:hint="eastAsia" w:ascii="Times New Roman"/>
        </w:rPr>
        <w:t>Ａ</w:t>
      </w:r>
      <w:r>
        <w:rPr>
          <w:rFonts w:ascii="Times New Roman"/>
        </w:rPr>
        <w:t>类液体</w:t>
      </w:r>
      <w:r>
        <w:rPr>
          <w:rFonts w:hint="eastAsia" w:ascii="Times New Roman"/>
        </w:rPr>
        <w:t>需要选用常压固定顶储罐或低压储罐且不能满足本规范第</w:t>
      </w:r>
      <w:r>
        <w:rPr>
          <w:rFonts w:ascii="Times New Roman"/>
        </w:rPr>
        <w:t>5.2.1条要求</w:t>
      </w:r>
      <w:r>
        <w:rPr>
          <w:rFonts w:hint="eastAsia" w:ascii="Times New Roman"/>
        </w:rPr>
        <w:t>的条件时</w:t>
      </w:r>
      <w:r>
        <w:rPr>
          <w:rFonts w:ascii="Times New Roman"/>
        </w:rPr>
        <w:t>，应设置氮气密封保护系统，并应密闭回收处理罐内排出的气体。</w:t>
      </w:r>
    </w:p>
    <w:p>
      <w:pPr>
        <w:pStyle w:val="310"/>
        <w:spacing w:line="360" w:lineRule="auto"/>
        <w:rPr>
          <w:rFonts w:ascii="Times New Roman"/>
        </w:rPr>
      </w:pPr>
      <w:r>
        <w:rPr>
          <w:rFonts w:ascii="Times New Roman"/>
        </w:rPr>
        <w:t xml:space="preserve">5.2.4  </w:t>
      </w:r>
      <w:r>
        <w:rPr>
          <w:rFonts w:hint="eastAsia" w:ascii="Times New Roman"/>
        </w:rPr>
        <w:t>甲Ｂ、乙类液体的固定顶储罐应设阻火器和呼吸阀。</w:t>
      </w:r>
    </w:p>
    <w:p>
      <w:pPr>
        <w:pStyle w:val="310"/>
        <w:spacing w:line="360" w:lineRule="auto"/>
        <w:rPr>
          <w:rFonts w:ascii="Times New Roman"/>
        </w:rPr>
      </w:pPr>
      <w:r>
        <w:rPr>
          <w:rFonts w:ascii="Times New Roman"/>
        </w:rPr>
        <w:t xml:space="preserve">5.2.5  </w:t>
      </w:r>
      <w:r>
        <w:rPr>
          <w:rFonts w:hint="eastAsia" w:ascii="Times New Roman"/>
        </w:rPr>
        <w:t>单罐容积大于</w:t>
      </w:r>
      <w:r>
        <w:rPr>
          <w:rFonts w:ascii="Times New Roman"/>
        </w:rPr>
        <w:t>5000m</w:t>
      </w:r>
      <w:r>
        <w:rPr>
          <w:rFonts w:ascii="Times New Roman"/>
          <w:vertAlign w:val="superscript"/>
        </w:rPr>
        <w:t>3</w:t>
      </w:r>
      <w:r>
        <w:rPr>
          <w:rFonts w:hint="eastAsia" w:ascii="Times New Roman"/>
        </w:rPr>
        <w:t>的内浮顶储罐应采用耐火浮顶。</w:t>
      </w:r>
    </w:p>
    <w:p>
      <w:pPr>
        <w:pStyle w:val="310"/>
        <w:spacing w:line="360" w:lineRule="auto"/>
        <w:rPr>
          <w:rFonts w:ascii="Times New Roman"/>
        </w:rPr>
      </w:pPr>
      <w:r>
        <w:rPr>
          <w:rFonts w:ascii="Times New Roman"/>
        </w:rPr>
        <w:t xml:space="preserve">5.2.6  </w:t>
      </w:r>
      <w:r>
        <w:rPr>
          <w:rFonts w:hint="eastAsia" w:ascii="Times New Roman"/>
        </w:rPr>
        <w:t>火灾危险类别为甲Ｂ和</w:t>
      </w:r>
      <w:r>
        <w:rPr>
          <w:rFonts w:ascii="Times New Roman"/>
        </w:rPr>
        <w:t>乙</w:t>
      </w:r>
      <w:r>
        <w:rPr>
          <w:rFonts w:hint="eastAsia" w:ascii="Times New Roman"/>
        </w:rPr>
        <w:t>Ａ</w:t>
      </w:r>
      <w:r>
        <w:rPr>
          <w:rFonts w:ascii="Times New Roman"/>
        </w:rPr>
        <w:t>类</w:t>
      </w:r>
      <w:r>
        <w:rPr>
          <w:rFonts w:hint="eastAsia" w:ascii="Times New Roman"/>
        </w:rPr>
        <w:t>且毒性危害程度为极度和高度危害液体储罐，应设置氮气密封保护系统。</w:t>
      </w:r>
    </w:p>
    <w:p>
      <w:pPr>
        <w:pStyle w:val="310"/>
        <w:spacing w:line="360" w:lineRule="auto"/>
        <w:rPr>
          <w:rFonts w:ascii="Times New Roman"/>
        </w:rPr>
      </w:pPr>
      <w:r>
        <w:rPr>
          <w:rFonts w:ascii="Times New Roman"/>
        </w:rPr>
        <w:t xml:space="preserve">5.2.7  </w:t>
      </w:r>
      <w:r>
        <w:rPr>
          <w:rFonts w:hint="eastAsia" w:ascii="Times New Roman"/>
        </w:rPr>
        <w:t>当含油污水罐、酸性水罐不能满足本规范第</w:t>
      </w:r>
      <w:r>
        <w:rPr>
          <w:rFonts w:ascii="Times New Roman"/>
        </w:rPr>
        <w:t>5.2.1</w:t>
      </w:r>
      <w:r>
        <w:rPr>
          <w:rFonts w:hint="eastAsia" w:ascii="Times New Roman"/>
        </w:rPr>
        <w:t>条要求的条件时，应设置</w:t>
      </w:r>
      <w:r>
        <w:rPr>
          <w:rFonts w:ascii="Times New Roman"/>
        </w:rPr>
        <w:t>氮气密封保护系统</w:t>
      </w:r>
      <w:r>
        <w:rPr>
          <w:rFonts w:hint="eastAsia" w:ascii="Times New Roman"/>
        </w:rPr>
        <w:t>。</w:t>
      </w:r>
    </w:p>
    <w:p>
      <w:pPr>
        <w:pStyle w:val="310"/>
        <w:spacing w:line="360" w:lineRule="auto"/>
        <w:rPr>
          <w:rFonts w:ascii="Times New Roman"/>
        </w:rPr>
      </w:pPr>
      <w:r>
        <w:rPr>
          <w:rFonts w:ascii="Times New Roman"/>
        </w:rPr>
        <w:t xml:space="preserve">5.2.8  </w:t>
      </w:r>
      <w:r>
        <w:rPr>
          <w:rFonts w:hint="eastAsia" w:ascii="Times New Roman"/>
        </w:rPr>
        <w:t>可燃液体罐组的总容积应符合下列规定：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浮顶罐组的总容积不应大于</w:t>
      </w:r>
      <w:r>
        <w:rPr>
          <w:rFonts w:ascii="Times New Roman"/>
          <w:bCs/>
        </w:rPr>
        <w:t>600000m</w:t>
      </w:r>
      <w:r>
        <w:rPr>
          <w:rFonts w:ascii="Times New Roman"/>
          <w:bCs/>
          <w:vertAlign w:val="superscript"/>
        </w:rPr>
        <w:t>3</w:t>
      </w:r>
      <w:r>
        <w:rPr>
          <w:rFonts w:hint="eastAsia" w:ascii="Times New Roman"/>
          <w:bCs/>
        </w:rPr>
        <w:t>；</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采用耐火浮顶的内浮顶储罐罐组的总容积不应大于</w:t>
      </w:r>
      <w:r>
        <w:rPr>
          <w:rFonts w:ascii="Times New Roman"/>
          <w:bCs/>
        </w:rPr>
        <w:t>360000m</w:t>
      </w:r>
      <w:r>
        <w:rPr>
          <w:rFonts w:ascii="Times New Roman"/>
          <w:bCs/>
          <w:vertAlign w:val="superscript"/>
        </w:rPr>
        <w:t>3</w:t>
      </w:r>
      <w:r>
        <w:rPr>
          <w:rFonts w:hint="eastAsia" w:ascii="Times New Roman"/>
          <w:bCs/>
        </w:rPr>
        <w:t>，采用非耐火浮顶的内浮顶</w:t>
      </w:r>
      <w:r>
        <w:rPr>
          <w:rFonts w:ascii="Times New Roman"/>
          <w:bCs/>
        </w:rPr>
        <w:t>及其与</w:t>
      </w:r>
      <w:r>
        <w:rPr>
          <w:rFonts w:hint="eastAsia" w:ascii="Times New Roman"/>
          <w:bCs/>
        </w:rPr>
        <w:t>耐火浮顶</w:t>
      </w:r>
      <w:r>
        <w:rPr>
          <w:rFonts w:ascii="Times New Roman"/>
          <w:bCs/>
        </w:rPr>
        <w:t>内浮顶的混合罐组</w:t>
      </w:r>
      <w:r>
        <w:rPr>
          <w:rFonts w:hint="eastAsia" w:ascii="Times New Roman"/>
          <w:bCs/>
        </w:rPr>
        <w:t>不应大于</w:t>
      </w:r>
      <w:r>
        <w:rPr>
          <w:rFonts w:ascii="Times New Roman"/>
          <w:bCs/>
        </w:rPr>
        <w:t>240000m</w:t>
      </w:r>
      <w:r>
        <w:rPr>
          <w:rFonts w:ascii="Times New Roman"/>
          <w:bCs/>
          <w:vertAlign w:val="superscript"/>
        </w:rPr>
        <w:t>3</w:t>
      </w:r>
      <w:r>
        <w:rPr>
          <w:rFonts w:hint="eastAsia" w:ascii="Times New Roman"/>
          <w:bCs/>
        </w:rPr>
        <w:t>；</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固定顶罐组的总容积不应大于</w:t>
      </w:r>
      <w:r>
        <w:rPr>
          <w:rFonts w:ascii="Times New Roman"/>
          <w:bCs/>
        </w:rPr>
        <w:t>120000m</w:t>
      </w:r>
      <w:r>
        <w:rPr>
          <w:rFonts w:ascii="Times New Roman"/>
          <w:bCs/>
          <w:vertAlign w:val="superscript"/>
        </w:rPr>
        <w:t>3</w:t>
      </w:r>
      <w:r>
        <w:rPr>
          <w:rFonts w:hint="eastAsia" w:ascii="Times New Roman"/>
          <w:bCs/>
        </w:rPr>
        <w:t>；</w:t>
      </w:r>
    </w:p>
    <w:p>
      <w:pPr>
        <w:pStyle w:val="310"/>
        <w:spacing w:line="360" w:lineRule="auto"/>
        <w:ind w:firstLine="420" w:firstLineChars="175"/>
        <w:rPr>
          <w:rFonts w:ascii="Times New Roman"/>
          <w:bCs/>
        </w:rPr>
      </w:pPr>
      <w:r>
        <w:rPr>
          <w:rFonts w:ascii="Times New Roman"/>
          <w:bCs/>
        </w:rPr>
        <w:t xml:space="preserve">4  </w:t>
      </w:r>
      <w:r>
        <w:rPr>
          <w:rFonts w:hint="eastAsia" w:ascii="Times New Roman"/>
          <w:bCs/>
        </w:rPr>
        <w:t>固定顶储罐和浮顶、内浮顶储罐的混合罐组的总容积不应大于</w:t>
      </w:r>
      <w:r>
        <w:rPr>
          <w:rFonts w:ascii="Times New Roman"/>
          <w:bCs/>
        </w:rPr>
        <w:t>120000m</w:t>
      </w:r>
      <w:r>
        <w:rPr>
          <w:rFonts w:ascii="Times New Roman"/>
          <w:bCs/>
          <w:vertAlign w:val="superscript"/>
        </w:rPr>
        <w:t>3</w:t>
      </w:r>
      <w:r>
        <w:rPr>
          <w:rFonts w:hint="eastAsia" w:ascii="Times New Roman"/>
          <w:bCs/>
        </w:rPr>
        <w:t>；</w:t>
      </w:r>
    </w:p>
    <w:p>
      <w:pPr>
        <w:pStyle w:val="310"/>
        <w:spacing w:line="360" w:lineRule="auto"/>
        <w:ind w:firstLine="420" w:firstLineChars="175"/>
        <w:rPr>
          <w:rFonts w:ascii="Times New Roman"/>
          <w:bCs/>
        </w:rPr>
      </w:pPr>
      <w:r>
        <w:rPr>
          <w:rFonts w:ascii="Times New Roman"/>
          <w:bCs/>
        </w:rPr>
        <w:t xml:space="preserve">5  </w:t>
      </w:r>
      <w:r>
        <w:rPr>
          <w:rFonts w:hint="eastAsia" w:ascii="Times New Roman"/>
          <w:bCs/>
        </w:rPr>
        <w:t>固定顶罐和浮顶、内浮顶罐的混合罐组中浮顶、内浮顶罐的容积应折半计算。</w:t>
      </w:r>
    </w:p>
    <w:p>
      <w:pPr>
        <w:pStyle w:val="310"/>
        <w:spacing w:line="360" w:lineRule="auto"/>
        <w:rPr>
          <w:rFonts w:ascii="Times New Roman"/>
        </w:rPr>
      </w:pPr>
      <w:r>
        <w:rPr>
          <w:rFonts w:ascii="Times New Roman"/>
        </w:rPr>
        <w:t xml:space="preserve">5.2.9  </w:t>
      </w:r>
      <w:r>
        <w:rPr>
          <w:rFonts w:hint="eastAsia" w:ascii="Times New Roman"/>
        </w:rPr>
        <w:t>罐组内相邻可燃液体地上储罐的防火间距不应小于表</w:t>
      </w:r>
      <w:r>
        <w:rPr>
          <w:rFonts w:ascii="Times New Roman"/>
        </w:rPr>
        <w:t>5.2.9的规定。</w:t>
      </w:r>
    </w:p>
    <w:p>
      <w:pPr>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表</w:t>
      </w:r>
      <w:r>
        <w:rPr>
          <w:rFonts w:ascii="Times New Roman" w:hAnsi="Times New Roman"/>
          <w:color w:val="000000" w:themeColor="text1"/>
          <w:sz w:val="24"/>
          <w:szCs w:val="24"/>
          <w14:textFill>
            <w14:solidFill>
              <w14:schemeClr w14:val="tx1"/>
            </w14:solidFill>
          </w14:textFill>
        </w:rPr>
        <w:t xml:space="preserve">5.2.9  </w:t>
      </w:r>
      <w:r>
        <w:rPr>
          <w:rFonts w:hint="eastAsia" w:ascii="Times New Roman" w:hAnsi="Times New Roman"/>
          <w:color w:val="000000" w:themeColor="text1"/>
          <w:sz w:val="24"/>
          <w:szCs w:val="24"/>
          <w14:textFill>
            <w14:solidFill>
              <w14:schemeClr w14:val="tx1"/>
            </w14:solidFill>
          </w14:textFill>
        </w:rPr>
        <w:t>罐组内相邻可燃液体地上储罐的防火间距</w:t>
      </w:r>
    </w:p>
    <w:tbl>
      <w:tblPr>
        <w:tblStyle w:val="35"/>
        <w:tblW w:w="494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34"/>
        <w:gridCol w:w="1976"/>
        <w:gridCol w:w="1956"/>
        <w:gridCol w:w="2018"/>
        <w:gridCol w:w="11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91" w:type="pct"/>
            <w:vMerge w:val="restart"/>
            <w:vAlign w:val="center"/>
          </w:tcPr>
          <w:p>
            <w:pPr>
              <w:adjustRightInd w:val="0"/>
              <w:snapToGrid w:val="0"/>
              <w:spacing w:before="93" w:beforeLines="30" w:after="93" w:afterLines="30"/>
              <w:jc w:val="center"/>
              <w:rPr>
                <w:rFonts w:cs="Arial" w:asciiTheme="minorEastAsia" w:hAnsiTheme="minorEastAsia"/>
                <w:sz w:val="18"/>
                <w:szCs w:val="18"/>
              </w:rPr>
            </w:pPr>
            <w:r>
              <w:rPr>
                <w:rFonts w:hint="eastAsia" w:cs="Arial" w:asciiTheme="minorEastAsia" w:hAnsiTheme="minorEastAsia"/>
                <w:sz w:val="18"/>
                <w:szCs w:val="18"/>
              </w:rPr>
              <w:t>液体类别</w:t>
            </w:r>
          </w:p>
        </w:tc>
        <w:tc>
          <w:tcPr>
            <w:tcW w:w="4209" w:type="pct"/>
            <w:gridSpan w:val="4"/>
            <w:vAlign w:val="center"/>
          </w:tcPr>
          <w:p>
            <w:pPr>
              <w:adjustRightInd w:val="0"/>
              <w:snapToGrid w:val="0"/>
              <w:spacing w:before="93" w:beforeLines="30" w:after="93" w:afterLines="30"/>
              <w:jc w:val="center"/>
              <w:rPr>
                <w:rFonts w:cs="Arial" w:asciiTheme="minorEastAsia" w:hAnsiTheme="minorEastAsia"/>
                <w:sz w:val="18"/>
                <w:szCs w:val="18"/>
              </w:rPr>
            </w:pPr>
            <w:r>
              <w:rPr>
                <w:rFonts w:hint="eastAsia" w:cs="Arial" w:asciiTheme="minorEastAsia" w:hAnsiTheme="minorEastAsia"/>
                <w:sz w:val="18"/>
                <w:szCs w:val="18"/>
              </w:rPr>
              <w:t>储罐型式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91" w:type="pct"/>
            <w:vMerge w:val="continue"/>
            <w:vAlign w:val="center"/>
          </w:tcPr>
          <w:p>
            <w:pPr>
              <w:adjustRightInd w:val="0"/>
              <w:snapToGrid w:val="0"/>
              <w:spacing w:before="93" w:beforeLines="30" w:after="93" w:afterLines="30"/>
              <w:ind w:firstLine="420"/>
              <w:jc w:val="center"/>
              <w:rPr>
                <w:rFonts w:cs="Arial" w:asciiTheme="minorEastAsia" w:hAnsiTheme="minorEastAsia"/>
                <w:sz w:val="18"/>
                <w:szCs w:val="18"/>
              </w:rPr>
            </w:pPr>
          </w:p>
        </w:tc>
        <w:tc>
          <w:tcPr>
            <w:tcW w:w="2332" w:type="pct"/>
            <w:gridSpan w:val="2"/>
            <w:vAlign w:val="center"/>
          </w:tcPr>
          <w:p>
            <w:pPr>
              <w:adjustRightInd w:val="0"/>
              <w:snapToGrid w:val="0"/>
              <w:spacing w:before="93" w:beforeLines="30" w:after="93" w:afterLines="30"/>
              <w:jc w:val="center"/>
              <w:rPr>
                <w:rFonts w:cs="Arial" w:asciiTheme="minorEastAsia" w:hAnsiTheme="minorEastAsia"/>
                <w:sz w:val="18"/>
                <w:szCs w:val="18"/>
              </w:rPr>
            </w:pPr>
            <w:r>
              <w:rPr>
                <w:rFonts w:hint="eastAsia" w:cs="Arial" w:asciiTheme="minorEastAsia" w:hAnsiTheme="minorEastAsia"/>
                <w:sz w:val="18"/>
                <w:szCs w:val="18"/>
              </w:rPr>
              <w:t>固定顶罐</w:t>
            </w:r>
          </w:p>
        </w:tc>
        <w:tc>
          <w:tcPr>
            <w:tcW w:w="1197" w:type="pct"/>
            <w:vMerge w:val="restart"/>
            <w:vAlign w:val="center"/>
          </w:tcPr>
          <w:p>
            <w:pPr>
              <w:adjustRightInd w:val="0"/>
              <w:snapToGrid w:val="0"/>
              <w:spacing w:before="93" w:beforeLines="30" w:after="93" w:afterLines="30"/>
              <w:jc w:val="center"/>
              <w:rPr>
                <w:rFonts w:cs="Arial" w:asciiTheme="minorEastAsia" w:hAnsiTheme="minorEastAsia"/>
                <w:sz w:val="18"/>
                <w:szCs w:val="18"/>
              </w:rPr>
            </w:pPr>
            <w:r>
              <w:rPr>
                <w:rFonts w:hint="eastAsia" w:cs="Arial" w:asciiTheme="minorEastAsia" w:hAnsiTheme="minorEastAsia"/>
                <w:sz w:val="18"/>
                <w:szCs w:val="18"/>
              </w:rPr>
              <w:t>浮顶、内浮顶罐</w:t>
            </w:r>
          </w:p>
        </w:tc>
        <w:tc>
          <w:tcPr>
            <w:tcW w:w="680" w:type="pct"/>
            <w:vMerge w:val="restart"/>
            <w:vAlign w:val="center"/>
          </w:tcPr>
          <w:p>
            <w:pPr>
              <w:adjustRightInd w:val="0"/>
              <w:snapToGrid w:val="0"/>
              <w:spacing w:before="93" w:beforeLines="30" w:after="93" w:afterLines="30"/>
              <w:jc w:val="center"/>
              <w:rPr>
                <w:rFonts w:cs="Arial" w:asciiTheme="minorEastAsia" w:hAnsiTheme="minorEastAsia"/>
                <w:sz w:val="18"/>
                <w:szCs w:val="18"/>
              </w:rPr>
            </w:pPr>
            <w:r>
              <w:rPr>
                <w:rFonts w:hint="eastAsia" w:cs="Arial" w:asciiTheme="minorEastAsia" w:hAnsiTheme="minorEastAsia"/>
                <w:sz w:val="18"/>
                <w:szCs w:val="18"/>
              </w:rPr>
              <w:t>卧罐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91" w:type="pct"/>
            <w:vMerge w:val="continue"/>
            <w:vAlign w:val="center"/>
          </w:tcPr>
          <w:p>
            <w:pPr>
              <w:adjustRightInd w:val="0"/>
              <w:snapToGrid w:val="0"/>
              <w:spacing w:before="93" w:beforeLines="30" w:after="93" w:afterLines="30"/>
              <w:ind w:firstLine="420"/>
              <w:jc w:val="center"/>
              <w:rPr>
                <w:rFonts w:cs="Arial" w:asciiTheme="minorEastAsia" w:hAnsiTheme="minorEastAsia"/>
                <w:sz w:val="18"/>
                <w:szCs w:val="18"/>
              </w:rPr>
            </w:pPr>
          </w:p>
        </w:tc>
        <w:tc>
          <w:tcPr>
            <w:tcW w:w="1172" w:type="pct"/>
            <w:vAlign w:val="center"/>
          </w:tcPr>
          <w:p>
            <w:pPr>
              <w:adjustRightInd w:val="0"/>
              <w:snapToGrid w:val="0"/>
              <w:spacing w:before="93" w:beforeLines="30" w:after="93" w:afterLines="30"/>
              <w:jc w:val="center"/>
              <w:rPr>
                <w:rFonts w:cs="Arial" w:asciiTheme="minorEastAsia" w:hAnsiTheme="minorEastAsia"/>
                <w:sz w:val="18"/>
                <w:szCs w:val="18"/>
                <w:vertAlign w:val="superscript"/>
              </w:rPr>
            </w:pPr>
            <w:r>
              <w:rPr>
                <w:rFonts w:hint="eastAsia" w:cs="Arial" w:asciiTheme="minorEastAsia" w:hAnsiTheme="minorEastAsia"/>
                <w:sz w:val="18"/>
                <w:szCs w:val="18"/>
              </w:rPr>
              <w:t>≤</w:t>
            </w:r>
            <w:r>
              <w:rPr>
                <w:rFonts w:cs="Arial" w:asciiTheme="minorEastAsia" w:hAnsiTheme="minorEastAsia"/>
                <w:sz w:val="18"/>
                <w:szCs w:val="18"/>
              </w:rPr>
              <w:t>1000m</w:t>
            </w:r>
            <w:r>
              <w:rPr>
                <w:rFonts w:cs="Arial" w:asciiTheme="minorEastAsia" w:hAnsiTheme="minorEastAsia"/>
                <w:sz w:val="18"/>
                <w:szCs w:val="18"/>
                <w:vertAlign w:val="superscript"/>
              </w:rPr>
              <w:t>3</w:t>
            </w:r>
          </w:p>
        </w:tc>
        <w:tc>
          <w:tcPr>
            <w:tcW w:w="1160" w:type="pct"/>
            <w:vAlign w:val="center"/>
          </w:tcPr>
          <w:p>
            <w:pPr>
              <w:adjustRightInd w:val="0"/>
              <w:snapToGrid w:val="0"/>
              <w:spacing w:before="93" w:beforeLines="30" w:after="93" w:afterLines="30"/>
              <w:jc w:val="center"/>
              <w:rPr>
                <w:rFonts w:cs="Arial" w:asciiTheme="minorEastAsia" w:hAnsiTheme="minorEastAsia"/>
                <w:sz w:val="18"/>
                <w:szCs w:val="18"/>
              </w:rPr>
            </w:pPr>
            <w:r>
              <w:rPr>
                <w:rFonts w:cs="Arial" w:asciiTheme="minorEastAsia" w:hAnsiTheme="minorEastAsia"/>
                <w:sz w:val="18"/>
                <w:szCs w:val="18"/>
              </w:rPr>
              <w:t>＞1000m</w:t>
            </w:r>
            <w:r>
              <w:rPr>
                <w:rFonts w:cs="Arial" w:asciiTheme="minorEastAsia" w:hAnsiTheme="minorEastAsia"/>
                <w:sz w:val="18"/>
                <w:szCs w:val="18"/>
                <w:vertAlign w:val="superscript"/>
              </w:rPr>
              <w:t>3</w:t>
            </w:r>
          </w:p>
        </w:tc>
        <w:tc>
          <w:tcPr>
            <w:tcW w:w="1197" w:type="pct"/>
            <w:vMerge w:val="continue"/>
            <w:vAlign w:val="center"/>
          </w:tcPr>
          <w:p>
            <w:pPr>
              <w:adjustRightInd w:val="0"/>
              <w:snapToGrid w:val="0"/>
              <w:spacing w:before="93" w:beforeLines="30" w:after="93" w:afterLines="30"/>
              <w:ind w:firstLine="480"/>
              <w:jc w:val="center"/>
              <w:rPr>
                <w:rFonts w:cs="Arial" w:asciiTheme="minorEastAsia" w:hAnsiTheme="minorEastAsia"/>
                <w:sz w:val="18"/>
                <w:szCs w:val="18"/>
              </w:rPr>
            </w:pPr>
          </w:p>
        </w:tc>
        <w:tc>
          <w:tcPr>
            <w:tcW w:w="680" w:type="pct"/>
            <w:vMerge w:val="continue"/>
            <w:vAlign w:val="center"/>
          </w:tcPr>
          <w:p>
            <w:pPr>
              <w:adjustRightInd w:val="0"/>
              <w:snapToGrid w:val="0"/>
              <w:spacing w:before="93" w:beforeLines="30" w:after="93" w:afterLines="30"/>
              <w:ind w:firstLine="420"/>
              <w:jc w:val="center"/>
              <w:rPr>
                <w:rFonts w:cs="Arial"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91" w:type="pct"/>
            <w:vAlign w:val="center"/>
          </w:tcPr>
          <w:p>
            <w:pPr>
              <w:adjustRightInd w:val="0"/>
              <w:snapToGrid w:val="0"/>
              <w:spacing w:before="93" w:beforeLines="30" w:after="93" w:afterLines="30"/>
              <w:jc w:val="center"/>
              <w:rPr>
                <w:rFonts w:cs="Arial" w:asciiTheme="minorEastAsia" w:hAnsiTheme="minorEastAsia"/>
                <w:sz w:val="18"/>
                <w:szCs w:val="18"/>
              </w:rPr>
            </w:pPr>
            <w:r>
              <w:rPr>
                <w:rFonts w:hint="eastAsia" w:cs="Arial" w:asciiTheme="minorEastAsia" w:hAnsiTheme="minorEastAsia"/>
                <w:sz w:val="18"/>
                <w:szCs w:val="18"/>
              </w:rPr>
              <w:t>甲</w:t>
            </w:r>
            <w:r>
              <w:rPr>
                <w:rFonts w:hint="eastAsia" w:cs="Arial" w:asciiTheme="minorEastAsia" w:hAnsiTheme="minorEastAsia"/>
                <w:sz w:val="18"/>
                <w:szCs w:val="18"/>
                <w:vertAlign w:val="subscript"/>
              </w:rPr>
              <w:t>Ｂ</w:t>
            </w:r>
            <w:r>
              <w:rPr>
                <w:rFonts w:hint="eastAsia" w:cs="Arial" w:asciiTheme="minorEastAsia" w:hAnsiTheme="minorEastAsia"/>
                <w:sz w:val="18"/>
                <w:szCs w:val="18"/>
              </w:rPr>
              <w:t>、乙类</w:t>
            </w:r>
          </w:p>
        </w:tc>
        <w:tc>
          <w:tcPr>
            <w:tcW w:w="1172" w:type="pct"/>
            <w:vAlign w:val="center"/>
          </w:tcPr>
          <w:p>
            <w:pPr>
              <w:adjustRightInd w:val="0"/>
              <w:snapToGrid w:val="0"/>
              <w:spacing w:before="93" w:beforeLines="30" w:after="93" w:afterLines="30"/>
              <w:jc w:val="center"/>
              <w:rPr>
                <w:rFonts w:cs="Arial" w:asciiTheme="minorEastAsia" w:hAnsiTheme="minorEastAsia"/>
                <w:sz w:val="18"/>
                <w:szCs w:val="18"/>
              </w:rPr>
            </w:pPr>
            <w:r>
              <w:rPr>
                <w:rFonts w:cs="Arial" w:asciiTheme="minorEastAsia" w:hAnsiTheme="minorEastAsia"/>
                <w:sz w:val="18"/>
                <w:szCs w:val="18"/>
              </w:rPr>
              <w:t>0.75</w:t>
            </w:r>
            <w:r>
              <w:rPr>
                <w:rFonts w:cs="Arial" w:asciiTheme="minorEastAsia" w:hAnsiTheme="minorEastAsia"/>
                <w:i/>
                <w:sz w:val="18"/>
                <w:szCs w:val="18"/>
              </w:rPr>
              <w:t>D</w:t>
            </w:r>
          </w:p>
        </w:tc>
        <w:tc>
          <w:tcPr>
            <w:tcW w:w="1160" w:type="pct"/>
            <w:vAlign w:val="center"/>
          </w:tcPr>
          <w:p>
            <w:pPr>
              <w:adjustRightInd w:val="0"/>
              <w:snapToGrid w:val="0"/>
              <w:spacing w:before="93" w:beforeLines="30" w:after="93" w:afterLines="30"/>
              <w:jc w:val="center"/>
              <w:rPr>
                <w:rFonts w:cs="Arial" w:asciiTheme="minorEastAsia" w:hAnsiTheme="minorEastAsia"/>
                <w:sz w:val="18"/>
                <w:szCs w:val="18"/>
              </w:rPr>
            </w:pPr>
            <w:r>
              <w:rPr>
                <w:rFonts w:cs="Arial" w:asciiTheme="minorEastAsia" w:hAnsiTheme="minorEastAsia"/>
                <w:sz w:val="18"/>
                <w:szCs w:val="18"/>
              </w:rPr>
              <w:t>0.6</w:t>
            </w:r>
            <w:r>
              <w:rPr>
                <w:rFonts w:cs="Arial" w:asciiTheme="minorEastAsia" w:hAnsiTheme="minorEastAsia"/>
                <w:i/>
                <w:sz w:val="18"/>
                <w:szCs w:val="18"/>
              </w:rPr>
              <w:t>D</w:t>
            </w:r>
          </w:p>
        </w:tc>
        <w:tc>
          <w:tcPr>
            <w:tcW w:w="1197" w:type="pct"/>
            <w:vMerge w:val="restart"/>
            <w:vAlign w:val="center"/>
          </w:tcPr>
          <w:p>
            <w:pPr>
              <w:adjustRightInd w:val="0"/>
              <w:snapToGrid w:val="0"/>
              <w:spacing w:before="93" w:beforeLines="30" w:after="93" w:afterLines="30"/>
              <w:jc w:val="center"/>
              <w:rPr>
                <w:rFonts w:cs="Arial" w:asciiTheme="minorEastAsia" w:hAnsiTheme="minorEastAsia"/>
                <w:sz w:val="18"/>
                <w:szCs w:val="18"/>
              </w:rPr>
            </w:pPr>
            <w:r>
              <w:rPr>
                <w:rFonts w:cs="Arial" w:asciiTheme="minorEastAsia" w:hAnsiTheme="minorEastAsia"/>
                <w:sz w:val="18"/>
                <w:szCs w:val="18"/>
              </w:rPr>
              <w:t>0.4</w:t>
            </w:r>
            <w:r>
              <w:rPr>
                <w:rFonts w:cs="Arial" w:asciiTheme="minorEastAsia" w:hAnsiTheme="minorEastAsia"/>
                <w:i/>
                <w:sz w:val="18"/>
                <w:szCs w:val="18"/>
              </w:rPr>
              <w:t>D</w:t>
            </w:r>
          </w:p>
        </w:tc>
        <w:tc>
          <w:tcPr>
            <w:tcW w:w="680" w:type="pct"/>
            <w:vMerge w:val="restart"/>
            <w:vAlign w:val="center"/>
          </w:tcPr>
          <w:p>
            <w:pPr>
              <w:adjustRightInd w:val="0"/>
              <w:snapToGrid w:val="0"/>
              <w:spacing w:before="93" w:beforeLines="30" w:after="93" w:afterLines="30"/>
              <w:jc w:val="center"/>
              <w:rPr>
                <w:rFonts w:cs="Arial" w:asciiTheme="minorEastAsia" w:hAnsiTheme="minorEastAsia"/>
                <w:sz w:val="18"/>
                <w:szCs w:val="18"/>
              </w:rPr>
            </w:pPr>
            <w:r>
              <w:rPr>
                <w:rFonts w:cs="Arial" w:asciiTheme="minorEastAsia" w:hAnsiTheme="minorEastAsia"/>
                <w:sz w:val="18"/>
                <w:szCs w:val="18"/>
              </w:rPr>
              <w:t>0.8m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91" w:type="pct"/>
            <w:tcBorders>
              <w:bottom w:val="single" w:color="auto" w:sz="6" w:space="0"/>
            </w:tcBorders>
            <w:vAlign w:val="center"/>
          </w:tcPr>
          <w:p>
            <w:pPr>
              <w:adjustRightInd w:val="0"/>
              <w:snapToGrid w:val="0"/>
              <w:spacing w:before="93" w:beforeLines="30" w:after="93" w:afterLines="30"/>
              <w:jc w:val="center"/>
              <w:rPr>
                <w:rFonts w:cs="Arial" w:asciiTheme="minorEastAsia" w:hAnsiTheme="minorEastAsia"/>
                <w:sz w:val="18"/>
                <w:szCs w:val="18"/>
              </w:rPr>
            </w:pPr>
            <w:r>
              <w:rPr>
                <w:rFonts w:hint="eastAsia" w:cs="Arial" w:asciiTheme="minorEastAsia" w:hAnsiTheme="minorEastAsia"/>
                <w:sz w:val="18"/>
                <w:szCs w:val="18"/>
              </w:rPr>
              <w:t>丙</w:t>
            </w:r>
            <w:r>
              <w:rPr>
                <w:rFonts w:hint="eastAsia" w:cs="Arial" w:asciiTheme="minorEastAsia" w:hAnsiTheme="minorEastAsia"/>
                <w:sz w:val="18"/>
                <w:szCs w:val="18"/>
                <w:vertAlign w:val="subscript"/>
              </w:rPr>
              <w:t>Ａ</w:t>
            </w:r>
            <w:r>
              <w:rPr>
                <w:rFonts w:hint="eastAsia" w:cs="Arial" w:asciiTheme="minorEastAsia" w:hAnsiTheme="minorEastAsia"/>
                <w:sz w:val="18"/>
                <w:szCs w:val="18"/>
              </w:rPr>
              <w:t>类</w:t>
            </w:r>
          </w:p>
        </w:tc>
        <w:tc>
          <w:tcPr>
            <w:tcW w:w="2332" w:type="pct"/>
            <w:gridSpan w:val="2"/>
            <w:tcBorders>
              <w:bottom w:val="single" w:color="auto" w:sz="6" w:space="0"/>
            </w:tcBorders>
            <w:vAlign w:val="center"/>
          </w:tcPr>
          <w:p>
            <w:pPr>
              <w:adjustRightInd w:val="0"/>
              <w:snapToGrid w:val="0"/>
              <w:spacing w:before="93" w:beforeLines="30" w:after="93" w:afterLines="30"/>
              <w:jc w:val="center"/>
              <w:rPr>
                <w:rFonts w:cs="Arial" w:asciiTheme="minorEastAsia" w:hAnsiTheme="minorEastAsia"/>
                <w:sz w:val="18"/>
                <w:szCs w:val="18"/>
              </w:rPr>
            </w:pPr>
            <w:r>
              <w:rPr>
                <w:rFonts w:cs="Arial" w:asciiTheme="minorEastAsia" w:hAnsiTheme="minorEastAsia"/>
                <w:sz w:val="18"/>
                <w:szCs w:val="18"/>
              </w:rPr>
              <w:t>0.4</w:t>
            </w:r>
            <w:r>
              <w:rPr>
                <w:rFonts w:cs="Arial" w:asciiTheme="minorEastAsia" w:hAnsiTheme="minorEastAsia"/>
                <w:i/>
                <w:sz w:val="18"/>
                <w:szCs w:val="18"/>
              </w:rPr>
              <w:t>D</w:t>
            </w:r>
          </w:p>
        </w:tc>
        <w:tc>
          <w:tcPr>
            <w:tcW w:w="1197" w:type="pct"/>
            <w:vMerge w:val="continue"/>
            <w:tcBorders>
              <w:bottom w:val="single" w:color="auto" w:sz="4" w:space="0"/>
            </w:tcBorders>
            <w:vAlign w:val="center"/>
          </w:tcPr>
          <w:p>
            <w:pPr>
              <w:adjustRightInd w:val="0"/>
              <w:snapToGrid w:val="0"/>
              <w:spacing w:before="93" w:beforeLines="30" w:after="93" w:afterLines="30"/>
              <w:ind w:firstLine="480"/>
              <w:jc w:val="center"/>
              <w:rPr>
                <w:rFonts w:cs="Arial" w:asciiTheme="minorEastAsia" w:hAnsiTheme="minorEastAsia"/>
                <w:sz w:val="18"/>
                <w:szCs w:val="18"/>
              </w:rPr>
            </w:pPr>
          </w:p>
        </w:tc>
        <w:tc>
          <w:tcPr>
            <w:tcW w:w="680" w:type="pct"/>
            <w:vMerge w:val="continue"/>
            <w:tcBorders>
              <w:bottom w:val="single" w:color="auto" w:sz="6" w:space="0"/>
            </w:tcBorders>
          </w:tcPr>
          <w:p>
            <w:pPr>
              <w:adjustRightInd w:val="0"/>
              <w:snapToGrid w:val="0"/>
              <w:spacing w:before="93" w:beforeLines="30" w:after="93" w:afterLines="30"/>
              <w:ind w:firstLine="420"/>
              <w:rPr>
                <w:rFonts w:cs="Arial"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91" w:type="pct"/>
            <w:tcBorders>
              <w:bottom w:val="single" w:color="auto" w:sz="6" w:space="0"/>
            </w:tcBorders>
            <w:vAlign w:val="center"/>
          </w:tcPr>
          <w:p>
            <w:pPr>
              <w:adjustRightInd w:val="0"/>
              <w:snapToGrid w:val="0"/>
              <w:spacing w:before="93" w:beforeLines="30" w:after="93" w:afterLines="30"/>
              <w:jc w:val="center"/>
              <w:rPr>
                <w:rFonts w:cs="Arial" w:asciiTheme="minorEastAsia" w:hAnsiTheme="minorEastAsia"/>
                <w:sz w:val="18"/>
                <w:szCs w:val="18"/>
              </w:rPr>
            </w:pPr>
            <w:r>
              <w:rPr>
                <w:rFonts w:hint="eastAsia" w:cs="Arial" w:asciiTheme="minorEastAsia" w:hAnsiTheme="minorEastAsia"/>
                <w:sz w:val="18"/>
                <w:szCs w:val="18"/>
              </w:rPr>
              <w:t>丙</w:t>
            </w:r>
            <w:r>
              <w:rPr>
                <w:rFonts w:hint="eastAsia" w:cs="Arial" w:asciiTheme="minorEastAsia" w:hAnsiTheme="minorEastAsia"/>
                <w:sz w:val="18"/>
                <w:szCs w:val="18"/>
                <w:vertAlign w:val="subscript"/>
              </w:rPr>
              <w:t>Ｂ</w:t>
            </w:r>
            <w:r>
              <w:rPr>
                <w:rFonts w:hint="eastAsia" w:cs="Arial" w:asciiTheme="minorEastAsia" w:hAnsiTheme="minorEastAsia"/>
                <w:sz w:val="18"/>
                <w:szCs w:val="18"/>
              </w:rPr>
              <w:t>类</w:t>
            </w:r>
          </w:p>
        </w:tc>
        <w:tc>
          <w:tcPr>
            <w:tcW w:w="1172" w:type="pct"/>
            <w:tcBorders>
              <w:bottom w:val="single" w:color="auto" w:sz="6" w:space="0"/>
            </w:tcBorders>
            <w:vAlign w:val="center"/>
          </w:tcPr>
          <w:p>
            <w:pPr>
              <w:adjustRightInd w:val="0"/>
              <w:snapToGrid w:val="0"/>
              <w:spacing w:before="93" w:beforeLines="30" w:after="93" w:afterLines="30"/>
              <w:jc w:val="center"/>
              <w:rPr>
                <w:rFonts w:cs="Arial" w:asciiTheme="minorEastAsia" w:hAnsiTheme="minorEastAsia"/>
                <w:sz w:val="18"/>
                <w:szCs w:val="18"/>
              </w:rPr>
            </w:pPr>
            <w:r>
              <w:rPr>
                <w:rFonts w:cs="Arial" w:asciiTheme="minorEastAsia" w:hAnsiTheme="minorEastAsia"/>
                <w:sz w:val="18"/>
                <w:szCs w:val="18"/>
              </w:rPr>
              <w:t>2m</w:t>
            </w:r>
          </w:p>
        </w:tc>
        <w:tc>
          <w:tcPr>
            <w:tcW w:w="1160" w:type="pct"/>
            <w:tcBorders>
              <w:bottom w:val="single" w:color="auto" w:sz="6" w:space="0"/>
            </w:tcBorders>
            <w:vAlign w:val="center"/>
          </w:tcPr>
          <w:p>
            <w:pPr>
              <w:adjustRightInd w:val="0"/>
              <w:snapToGrid w:val="0"/>
              <w:spacing w:before="93" w:beforeLines="30" w:after="93" w:afterLines="30"/>
              <w:jc w:val="center"/>
              <w:rPr>
                <w:rFonts w:cs="Arial" w:asciiTheme="minorEastAsia" w:hAnsiTheme="minorEastAsia"/>
                <w:sz w:val="18"/>
                <w:szCs w:val="18"/>
              </w:rPr>
            </w:pPr>
            <w:r>
              <w:rPr>
                <w:rFonts w:cs="Arial" w:asciiTheme="minorEastAsia" w:hAnsiTheme="minorEastAsia"/>
                <w:sz w:val="18"/>
                <w:szCs w:val="18"/>
              </w:rPr>
              <w:t>5m</w:t>
            </w:r>
          </w:p>
        </w:tc>
        <w:tc>
          <w:tcPr>
            <w:tcW w:w="1197" w:type="pct"/>
            <w:tcBorders>
              <w:top w:val="single" w:color="auto" w:sz="4" w:space="0"/>
              <w:bottom w:val="single" w:color="auto" w:sz="6" w:space="0"/>
            </w:tcBorders>
          </w:tcPr>
          <w:p>
            <w:pPr>
              <w:adjustRightInd w:val="0"/>
              <w:snapToGrid w:val="0"/>
              <w:spacing w:before="93" w:beforeLines="30" w:after="93" w:afterLines="30"/>
              <w:jc w:val="center"/>
              <w:rPr>
                <w:rFonts w:cs="Arial" w:asciiTheme="minorEastAsia" w:hAnsiTheme="minorEastAsia"/>
                <w:sz w:val="18"/>
                <w:szCs w:val="18"/>
              </w:rPr>
            </w:pPr>
            <w:r>
              <w:rPr>
                <w:rFonts w:cs="Arial" w:asciiTheme="minorEastAsia" w:hAnsiTheme="minorEastAsia"/>
                <w:color w:val="000000" w:themeColor="text1"/>
                <w:sz w:val="18"/>
                <w:szCs w:val="18"/>
                <w14:textFill>
                  <w14:solidFill>
                    <w14:schemeClr w14:val="tx1"/>
                  </w14:solidFill>
                </w14:textFill>
              </w:rPr>
              <w:t>0.4D与15m</w:t>
            </w:r>
            <w:r>
              <w:rPr>
                <w:rFonts w:hint="eastAsia" w:cs="Arial" w:asciiTheme="minorEastAsia" w:hAnsiTheme="minorEastAsia"/>
                <w:color w:val="000000" w:themeColor="text1"/>
                <w:sz w:val="18"/>
                <w:szCs w:val="18"/>
                <w14:textFill>
                  <w14:solidFill>
                    <w14:schemeClr w14:val="tx1"/>
                  </w14:solidFill>
                </w14:textFill>
              </w:rPr>
              <w:t>的较小值</w:t>
            </w:r>
          </w:p>
        </w:tc>
        <w:tc>
          <w:tcPr>
            <w:tcW w:w="680" w:type="pct"/>
            <w:vMerge w:val="continue"/>
            <w:tcBorders>
              <w:bottom w:val="single" w:color="auto" w:sz="6" w:space="0"/>
            </w:tcBorders>
          </w:tcPr>
          <w:p>
            <w:pPr>
              <w:adjustRightInd w:val="0"/>
              <w:snapToGrid w:val="0"/>
              <w:spacing w:before="93" w:beforeLines="30" w:after="93" w:afterLines="30"/>
              <w:ind w:firstLine="420"/>
              <w:rPr>
                <w:rFonts w:cs="Arial" w:asciiTheme="minorEastAsia" w:hAnsiTheme="minorEastAsia"/>
                <w:sz w:val="18"/>
                <w:szCs w:val="18"/>
              </w:rPr>
            </w:pPr>
          </w:p>
        </w:tc>
      </w:tr>
    </w:tbl>
    <w:p>
      <w:pPr>
        <w:spacing w:before="62" w:beforeLines="20" w:after="62" w:afterLines="20"/>
        <w:ind w:left="780" w:leftChars="200" w:hanging="360" w:hangingChars="200"/>
        <w:jc w:val="left"/>
        <w:rPr>
          <w:rFonts w:cs="Arial" w:asciiTheme="minorEastAsia" w:hAnsiTheme="minorEastAsia"/>
          <w:sz w:val="18"/>
          <w:szCs w:val="18"/>
        </w:rPr>
      </w:pPr>
      <w:r>
        <w:rPr>
          <w:rFonts w:hint="eastAsia" w:asciiTheme="minorEastAsia" w:hAnsiTheme="minorEastAsia"/>
          <w:color w:val="000000" w:themeColor="text1"/>
          <w:sz w:val="18"/>
          <w:szCs w:val="18"/>
          <w14:textFill>
            <w14:solidFill>
              <w14:schemeClr w14:val="tx1"/>
            </w14:solidFill>
          </w14:textFill>
        </w:rPr>
        <w:t>注：</w:t>
      </w:r>
      <w:r>
        <w:rPr>
          <w:rFonts w:cs="Arial" w:asciiTheme="minorEastAsia" w:hAnsiTheme="minorEastAsia"/>
          <w:sz w:val="18"/>
          <w:szCs w:val="18"/>
        </w:rPr>
        <w:t xml:space="preserve">1  </w:t>
      </w:r>
      <w:r>
        <w:rPr>
          <w:rFonts w:hint="eastAsia" w:cs="Arial" w:asciiTheme="minorEastAsia" w:hAnsiTheme="minorEastAsia"/>
          <w:sz w:val="18"/>
          <w:szCs w:val="18"/>
        </w:rPr>
        <w:t>表中</w:t>
      </w:r>
      <w:r>
        <w:rPr>
          <w:rFonts w:cs="Arial" w:asciiTheme="minorEastAsia" w:hAnsiTheme="minorEastAsia"/>
          <w:i/>
          <w:sz w:val="18"/>
          <w:szCs w:val="18"/>
        </w:rPr>
        <w:t>D</w:t>
      </w:r>
      <w:r>
        <w:rPr>
          <w:rFonts w:hint="eastAsia" w:cs="Arial" w:asciiTheme="minorEastAsia" w:hAnsiTheme="minorEastAsia"/>
          <w:sz w:val="18"/>
          <w:szCs w:val="18"/>
        </w:rPr>
        <w:t>为相邻较大罐的直径，单罐容积大于</w:t>
      </w:r>
      <w:r>
        <w:rPr>
          <w:rFonts w:cs="Arial" w:asciiTheme="minorEastAsia" w:hAnsiTheme="minorEastAsia"/>
          <w:sz w:val="18"/>
          <w:szCs w:val="18"/>
        </w:rPr>
        <w:t>1000m</w:t>
      </w:r>
      <w:r>
        <w:rPr>
          <w:rFonts w:cs="Arial" w:asciiTheme="minorEastAsia" w:hAnsiTheme="minorEastAsia"/>
          <w:sz w:val="18"/>
          <w:szCs w:val="18"/>
          <w:vertAlign w:val="superscript"/>
        </w:rPr>
        <w:t>3</w:t>
      </w:r>
      <w:r>
        <w:rPr>
          <w:rFonts w:hint="eastAsia" w:cs="Arial" w:asciiTheme="minorEastAsia" w:hAnsiTheme="minorEastAsia"/>
          <w:sz w:val="18"/>
          <w:szCs w:val="18"/>
        </w:rPr>
        <w:t>的储罐应取直径或高度的较大值；</w:t>
      </w:r>
    </w:p>
    <w:p>
      <w:pPr>
        <w:spacing w:before="62" w:beforeLines="20" w:after="62" w:afterLines="20"/>
        <w:ind w:left="1133" w:leftChars="368" w:hanging="360" w:hangingChars="200"/>
        <w:jc w:val="left"/>
        <w:rPr>
          <w:rFonts w:cs="Arial" w:asciiTheme="minorEastAsia" w:hAnsiTheme="minorEastAsia"/>
          <w:sz w:val="18"/>
          <w:szCs w:val="18"/>
        </w:rPr>
      </w:pPr>
      <w:r>
        <w:rPr>
          <w:rFonts w:cs="Arial" w:asciiTheme="minorEastAsia" w:hAnsiTheme="minorEastAsia"/>
          <w:sz w:val="18"/>
          <w:szCs w:val="18"/>
        </w:rPr>
        <w:t xml:space="preserve">2  </w:t>
      </w:r>
      <w:r>
        <w:rPr>
          <w:rFonts w:hint="eastAsia" w:cs="Arial" w:asciiTheme="minorEastAsia" w:hAnsiTheme="minorEastAsia"/>
          <w:sz w:val="18"/>
          <w:szCs w:val="18"/>
        </w:rPr>
        <w:t>储存不同类别液体的或不同型式的相邻储罐的防火间距应采用本表规定的较大值；</w:t>
      </w:r>
    </w:p>
    <w:p>
      <w:pPr>
        <w:spacing w:before="62" w:beforeLines="20" w:after="62" w:afterLines="20"/>
        <w:ind w:left="1133" w:leftChars="368" w:hanging="360" w:hangingChars="200"/>
        <w:jc w:val="left"/>
        <w:rPr>
          <w:rFonts w:cs="Arial" w:asciiTheme="minorEastAsia" w:hAnsiTheme="minorEastAsia"/>
          <w:sz w:val="18"/>
          <w:szCs w:val="18"/>
        </w:rPr>
      </w:pPr>
      <w:r>
        <w:rPr>
          <w:rFonts w:cs="Arial" w:asciiTheme="minorEastAsia" w:hAnsiTheme="minorEastAsia"/>
          <w:sz w:val="18"/>
          <w:szCs w:val="18"/>
        </w:rPr>
        <w:t xml:space="preserve">3  </w:t>
      </w:r>
      <w:r>
        <w:rPr>
          <w:rFonts w:hint="eastAsia" w:cs="Arial" w:asciiTheme="minorEastAsia" w:hAnsiTheme="minorEastAsia"/>
          <w:sz w:val="18"/>
          <w:szCs w:val="18"/>
        </w:rPr>
        <w:t>甲</w:t>
      </w:r>
      <w:r>
        <w:rPr>
          <w:rFonts w:hint="eastAsia" w:cs="Arial" w:asciiTheme="minorEastAsia" w:hAnsiTheme="minorEastAsia"/>
          <w:sz w:val="18"/>
          <w:szCs w:val="18"/>
          <w:vertAlign w:val="subscript"/>
        </w:rPr>
        <w:t>Ｂ</w:t>
      </w:r>
      <w:r>
        <w:rPr>
          <w:rFonts w:hint="eastAsia" w:cs="Arial" w:asciiTheme="minorEastAsia" w:hAnsiTheme="minorEastAsia"/>
          <w:sz w:val="18"/>
          <w:szCs w:val="18"/>
        </w:rPr>
        <w:t>类液体压力储罐的防火间距应符合本规范表</w:t>
      </w:r>
      <w:r>
        <w:rPr>
          <w:rFonts w:cs="Arial" w:asciiTheme="minorEastAsia" w:hAnsiTheme="minorEastAsia"/>
          <w:sz w:val="18"/>
          <w:szCs w:val="18"/>
        </w:rPr>
        <w:t>5.3.3的规定</w:t>
      </w:r>
      <w:r>
        <w:rPr>
          <w:rFonts w:hint="eastAsia" w:cs="Arial" w:asciiTheme="minorEastAsia" w:hAnsiTheme="minorEastAsia"/>
          <w:sz w:val="18"/>
          <w:szCs w:val="18"/>
        </w:rPr>
        <w:t>。</w:t>
      </w:r>
    </w:p>
    <w:p>
      <w:pPr>
        <w:pStyle w:val="3"/>
        <w:spacing w:line="360" w:lineRule="auto"/>
        <w:jc w:val="center"/>
        <w:rPr>
          <w:rFonts w:ascii="Times New Roman" w:hAnsi="Times New Roman" w:eastAsia="黑体"/>
          <w:b w:val="0"/>
        </w:rPr>
      </w:pPr>
      <w:bookmarkStart w:id="815" w:name="_Toc146639864"/>
      <w:bookmarkStart w:id="816" w:name="_Toc44668323"/>
      <w:r>
        <w:rPr>
          <w:rFonts w:ascii="Times New Roman" w:hAnsi="Times New Roman" w:eastAsia="黑体"/>
          <w:b w:val="0"/>
          <w:bCs w:val="0"/>
        </w:rPr>
        <w:t xml:space="preserve">5.3  </w:t>
      </w:r>
      <w:r>
        <w:rPr>
          <w:rFonts w:hint="eastAsia" w:ascii="Times New Roman" w:hAnsi="Times New Roman" w:eastAsia="黑体"/>
          <w:b w:val="0"/>
          <w:bCs w:val="0"/>
        </w:rPr>
        <w:t>液化烃、可燃气体、助燃气体储罐罐区</w:t>
      </w:r>
      <w:bookmarkEnd w:id="815"/>
      <w:bookmarkEnd w:id="816"/>
    </w:p>
    <w:p>
      <w:pPr>
        <w:pStyle w:val="310"/>
        <w:spacing w:line="360" w:lineRule="auto"/>
        <w:rPr>
          <w:rFonts w:ascii="Times New Roman"/>
        </w:rPr>
      </w:pPr>
      <w:r>
        <w:rPr>
          <w:rFonts w:ascii="Times New Roman"/>
        </w:rPr>
        <w:t xml:space="preserve">5.3.1  </w:t>
      </w:r>
      <w:r>
        <w:rPr>
          <w:rFonts w:hint="eastAsia" w:ascii="Times New Roman"/>
        </w:rPr>
        <w:t>全压力式或半冷冻式储罐组的总容积不应大于</w:t>
      </w:r>
      <w:r>
        <w:rPr>
          <w:rFonts w:ascii="Times New Roman"/>
        </w:rPr>
        <w:t>40000m</w:t>
      </w:r>
      <w:r>
        <w:rPr>
          <w:rFonts w:ascii="Times New Roman"/>
          <w:vertAlign w:val="superscript"/>
        </w:rPr>
        <w:t>3</w:t>
      </w:r>
      <w:r>
        <w:rPr>
          <w:rFonts w:hint="eastAsia" w:ascii="Times New Roman"/>
        </w:rPr>
        <w:t>，全冷冻式单防储罐组的总容积不应大于</w:t>
      </w:r>
      <w:r>
        <w:rPr>
          <w:rFonts w:ascii="Times New Roman"/>
        </w:rPr>
        <w:t>200000m</w:t>
      </w:r>
      <w:r>
        <w:rPr>
          <w:rFonts w:ascii="Times New Roman"/>
          <w:vertAlign w:val="superscript"/>
        </w:rPr>
        <w:t>3</w:t>
      </w:r>
      <w:r>
        <w:rPr>
          <w:rFonts w:hint="eastAsia" w:ascii="Times New Roman"/>
        </w:rPr>
        <w:t>。</w:t>
      </w:r>
    </w:p>
    <w:p>
      <w:pPr>
        <w:pStyle w:val="310"/>
        <w:spacing w:line="360" w:lineRule="auto"/>
        <w:rPr>
          <w:rFonts w:ascii="Times New Roman"/>
        </w:rPr>
      </w:pPr>
      <w:r>
        <w:rPr>
          <w:rFonts w:ascii="Times New Roman"/>
        </w:rPr>
        <w:t xml:space="preserve">5.3.2  </w:t>
      </w:r>
      <w:r>
        <w:rPr>
          <w:rFonts w:hint="eastAsia" w:ascii="Times New Roman"/>
        </w:rPr>
        <w:t>全压力式或半冷冻式罐组储罐的个数不应多于</w:t>
      </w:r>
      <w:r>
        <w:rPr>
          <w:rFonts w:ascii="Times New Roman"/>
        </w:rPr>
        <w:t>12</w:t>
      </w:r>
      <w:r>
        <w:rPr>
          <w:rFonts w:hint="eastAsia" w:ascii="Times New Roman"/>
        </w:rPr>
        <w:t>个。</w:t>
      </w:r>
    </w:p>
    <w:p>
      <w:pPr>
        <w:pStyle w:val="310"/>
        <w:spacing w:line="360" w:lineRule="auto"/>
        <w:rPr>
          <w:rFonts w:ascii="Times New Roman"/>
        </w:rPr>
      </w:pPr>
      <w:r>
        <w:rPr>
          <w:rFonts w:ascii="Times New Roman"/>
        </w:rPr>
        <w:t xml:space="preserve">5.3.3  </w:t>
      </w:r>
      <w:r>
        <w:rPr>
          <w:rFonts w:hint="eastAsia" w:ascii="Times New Roman"/>
        </w:rPr>
        <w:t>液化烃、可燃气体、助燃气体的罐组内，储罐的防火间距不应小于表</w:t>
      </w:r>
      <w:r>
        <w:rPr>
          <w:rFonts w:ascii="Times New Roman"/>
        </w:rPr>
        <w:t>5.3.3的规定。</w:t>
      </w:r>
    </w:p>
    <w:p>
      <w:pPr>
        <w:spacing w:line="360" w:lineRule="auto"/>
        <w:jc w:val="center"/>
        <w:rPr>
          <w:rFonts w:cs="Arial" w:asciiTheme="minorEastAsia" w:hAnsiTheme="minorEastAsia"/>
          <w:szCs w:val="21"/>
        </w:rPr>
      </w:pPr>
      <w:r>
        <w:rPr>
          <w:rFonts w:hint="eastAsia" w:asciiTheme="minorEastAsia" w:hAnsiTheme="minorEastAsia"/>
          <w:szCs w:val="21"/>
        </w:rPr>
        <w:t>表</w:t>
      </w:r>
      <w:r>
        <w:rPr>
          <w:rFonts w:asciiTheme="minorEastAsia" w:hAnsiTheme="minorEastAsia"/>
          <w:szCs w:val="21"/>
        </w:rPr>
        <w:t xml:space="preserve">5.3.3  </w:t>
      </w:r>
      <w:r>
        <w:rPr>
          <w:rFonts w:hint="eastAsia" w:asciiTheme="minorEastAsia" w:hAnsiTheme="minorEastAsia"/>
          <w:szCs w:val="21"/>
        </w:rPr>
        <w:t>液化烃、可燃气体、助燃气体的罐组内储罐的防火间距</w:t>
      </w:r>
    </w:p>
    <w:tbl>
      <w:tblPr>
        <w:tblStyle w:val="3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993"/>
        <w:gridCol w:w="708"/>
        <w:gridCol w:w="851"/>
        <w:gridCol w:w="1417"/>
        <w:gridCol w:w="851"/>
        <w:gridCol w:w="85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4" w:type="dxa"/>
            <w:vMerge w:val="restart"/>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介质</w:t>
            </w:r>
          </w:p>
        </w:tc>
        <w:tc>
          <w:tcPr>
            <w:tcW w:w="1985" w:type="dxa"/>
            <w:gridSpan w:val="2"/>
            <w:vMerge w:val="restart"/>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储存方式或储罐型式</w:t>
            </w:r>
          </w:p>
        </w:tc>
        <w:tc>
          <w:tcPr>
            <w:tcW w:w="708" w:type="dxa"/>
            <w:vMerge w:val="restart"/>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球罐</w:t>
            </w:r>
          </w:p>
        </w:tc>
        <w:tc>
          <w:tcPr>
            <w:tcW w:w="851" w:type="dxa"/>
            <w:vMerge w:val="restart"/>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卧（立）罐</w:t>
            </w:r>
          </w:p>
        </w:tc>
        <w:tc>
          <w:tcPr>
            <w:tcW w:w="1417" w:type="dxa"/>
            <w:vMerge w:val="restart"/>
            <w:shd w:val="clear" w:color="auto" w:fill="auto"/>
            <w:vAlign w:val="center"/>
          </w:tcPr>
          <w:p>
            <w:pPr>
              <w:spacing w:before="62" w:beforeLines="20" w:after="62" w:afterLines="20"/>
              <w:jc w:val="center"/>
              <w:rPr>
                <w:rFonts w:asciiTheme="minorEastAsia" w:hAnsiTheme="minorEastAsia"/>
                <w:sz w:val="18"/>
                <w:szCs w:val="18"/>
              </w:rPr>
            </w:pPr>
            <w:r>
              <w:rPr>
                <w:rFonts w:hint="eastAsia" w:cs="Arial" w:asciiTheme="minorEastAsia" w:hAnsiTheme="minorEastAsia"/>
                <w:sz w:val="18"/>
                <w:szCs w:val="18"/>
              </w:rPr>
              <w:t>外罐为预应力混凝土的</w:t>
            </w:r>
            <w:r>
              <w:rPr>
                <w:rFonts w:hint="eastAsia" w:asciiTheme="minorEastAsia" w:hAnsiTheme="minorEastAsia"/>
                <w:sz w:val="18"/>
                <w:szCs w:val="18"/>
              </w:rPr>
              <w:t>全冷冻式</w:t>
            </w:r>
            <w:r>
              <w:rPr>
                <w:rFonts w:hint="eastAsia" w:cs="Arial" w:asciiTheme="minorEastAsia" w:hAnsiTheme="minorEastAsia"/>
                <w:sz w:val="18"/>
                <w:szCs w:val="18"/>
              </w:rPr>
              <w:t>全防</w:t>
            </w:r>
            <w:r>
              <w:rPr>
                <w:rFonts w:hint="eastAsia" w:asciiTheme="minorEastAsia" w:hAnsiTheme="minorEastAsia"/>
                <w:sz w:val="18"/>
                <w:szCs w:val="18"/>
              </w:rPr>
              <w:t>储罐</w:t>
            </w:r>
          </w:p>
        </w:tc>
        <w:tc>
          <w:tcPr>
            <w:tcW w:w="1701" w:type="dxa"/>
            <w:gridSpan w:val="2"/>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其他全冷冻式储罐</w:t>
            </w:r>
          </w:p>
        </w:tc>
        <w:tc>
          <w:tcPr>
            <w:tcW w:w="709" w:type="dxa"/>
            <w:vMerge w:val="restart"/>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水槽式气柜</w:t>
            </w:r>
          </w:p>
        </w:tc>
        <w:tc>
          <w:tcPr>
            <w:tcW w:w="709" w:type="dxa"/>
            <w:vMerge w:val="restart"/>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干式</w:t>
            </w:r>
          </w:p>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气柜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4" w:type="dxa"/>
            <w:vMerge w:val="continue"/>
            <w:shd w:val="clear" w:color="auto" w:fill="auto"/>
            <w:vAlign w:val="center"/>
          </w:tcPr>
          <w:p>
            <w:pPr>
              <w:spacing w:before="62" w:beforeLines="20" w:after="62" w:afterLines="20"/>
              <w:ind w:firstLine="420"/>
              <w:jc w:val="center"/>
              <w:rPr>
                <w:rFonts w:asciiTheme="minorEastAsia" w:hAnsiTheme="minorEastAsia"/>
                <w:sz w:val="18"/>
                <w:szCs w:val="18"/>
              </w:rPr>
            </w:pPr>
          </w:p>
        </w:tc>
        <w:tc>
          <w:tcPr>
            <w:tcW w:w="1985" w:type="dxa"/>
            <w:gridSpan w:val="2"/>
            <w:vMerge w:val="continue"/>
            <w:shd w:val="clear" w:color="auto" w:fill="auto"/>
            <w:vAlign w:val="center"/>
          </w:tcPr>
          <w:p>
            <w:pPr>
              <w:spacing w:before="62" w:beforeLines="20" w:after="62" w:afterLines="20"/>
              <w:ind w:firstLine="420"/>
              <w:jc w:val="center"/>
              <w:rPr>
                <w:rFonts w:asciiTheme="minorEastAsia" w:hAnsiTheme="minorEastAsia"/>
                <w:sz w:val="18"/>
                <w:szCs w:val="18"/>
              </w:rPr>
            </w:pPr>
          </w:p>
        </w:tc>
        <w:tc>
          <w:tcPr>
            <w:tcW w:w="708" w:type="dxa"/>
            <w:vMerge w:val="continue"/>
            <w:shd w:val="clear" w:color="auto" w:fill="auto"/>
            <w:vAlign w:val="center"/>
          </w:tcPr>
          <w:p>
            <w:pPr>
              <w:spacing w:before="62" w:beforeLines="20" w:after="62" w:afterLines="20"/>
              <w:ind w:firstLine="420"/>
              <w:jc w:val="center"/>
              <w:rPr>
                <w:rFonts w:asciiTheme="minorEastAsia" w:hAnsiTheme="minorEastAsia"/>
                <w:sz w:val="18"/>
                <w:szCs w:val="18"/>
              </w:rPr>
            </w:pPr>
          </w:p>
        </w:tc>
        <w:tc>
          <w:tcPr>
            <w:tcW w:w="851" w:type="dxa"/>
            <w:vMerge w:val="continue"/>
            <w:shd w:val="clear" w:color="auto" w:fill="auto"/>
          </w:tcPr>
          <w:p>
            <w:pPr>
              <w:spacing w:before="62" w:beforeLines="20" w:after="62" w:afterLines="20"/>
              <w:rPr>
                <w:rFonts w:asciiTheme="minorEastAsia" w:hAnsiTheme="minorEastAsia"/>
                <w:sz w:val="18"/>
                <w:szCs w:val="18"/>
              </w:rPr>
            </w:pPr>
          </w:p>
        </w:tc>
        <w:tc>
          <w:tcPr>
            <w:tcW w:w="1417" w:type="dxa"/>
            <w:vMerge w:val="continue"/>
            <w:shd w:val="clear" w:color="auto" w:fill="auto"/>
          </w:tcPr>
          <w:p>
            <w:pPr>
              <w:spacing w:before="62" w:beforeLines="20" w:after="62" w:afterLines="20"/>
              <w:rPr>
                <w:rFonts w:asciiTheme="minorEastAsia" w:hAnsiTheme="minorEastAsia"/>
                <w:sz w:val="18"/>
                <w:szCs w:val="18"/>
              </w:rPr>
            </w:pPr>
          </w:p>
        </w:tc>
        <w:tc>
          <w:tcPr>
            <w:tcW w:w="851" w:type="dxa"/>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100m</w:t>
            </w:r>
            <w:r>
              <w:rPr>
                <w:rFonts w:asciiTheme="minorEastAsia" w:hAnsiTheme="minorEastAsia"/>
                <w:sz w:val="18"/>
                <w:szCs w:val="18"/>
                <w:vertAlign w:val="superscript"/>
              </w:rPr>
              <w:t>3</w:t>
            </w:r>
          </w:p>
        </w:tc>
        <w:tc>
          <w:tcPr>
            <w:tcW w:w="850" w:type="dxa"/>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100m</w:t>
            </w:r>
            <w:r>
              <w:rPr>
                <w:rFonts w:asciiTheme="minorEastAsia" w:hAnsiTheme="minorEastAsia"/>
                <w:sz w:val="18"/>
                <w:szCs w:val="18"/>
                <w:vertAlign w:val="superscript"/>
              </w:rPr>
              <w:t>3</w:t>
            </w:r>
          </w:p>
        </w:tc>
        <w:tc>
          <w:tcPr>
            <w:tcW w:w="709" w:type="dxa"/>
            <w:vMerge w:val="continue"/>
            <w:shd w:val="clear" w:color="auto" w:fill="auto"/>
          </w:tcPr>
          <w:p>
            <w:pPr>
              <w:spacing w:before="62" w:beforeLines="20" w:after="62" w:afterLines="20"/>
              <w:ind w:firstLine="420"/>
              <w:jc w:val="center"/>
              <w:rPr>
                <w:rFonts w:asciiTheme="minorEastAsia" w:hAnsiTheme="minorEastAsia"/>
                <w:sz w:val="18"/>
                <w:szCs w:val="18"/>
              </w:rPr>
            </w:pPr>
          </w:p>
        </w:tc>
        <w:tc>
          <w:tcPr>
            <w:tcW w:w="709" w:type="dxa"/>
            <w:vMerge w:val="continue"/>
            <w:shd w:val="clear" w:color="auto" w:fill="auto"/>
            <w:vAlign w:val="center"/>
          </w:tcPr>
          <w:p>
            <w:pPr>
              <w:spacing w:before="62" w:beforeLines="20" w:after="62" w:afterLines="20"/>
              <w:ind w:firstLine="42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Merge w:val="restart"/>
            <w:shd w:val="clear" w:color="auto" w:fill="auto"/>
            <w:vAlign w:val="center"/>
          </w:tcPr>
          <w:p>
            <w:pPr>
              <w:spacing w:before="62" w:beforeLines="20" w:after="62" w:afterLines="20"/>
              <w:jc w:val="center"/>
              <w:rPr>
                <w:rFonts w:asciiTheme="minorEastAsia" w:hAnsiTheme="minorEastAsia"/>
                <w:sz w:val="18"/>
                <w:szCs w:val="18"/>
              </w:rPr>
            </w:pPr>
            <w:r>
              <w:rPr>
                <w:rFonts w:hint="eastAsia" w:asciiTheme="minorEastAsia" w:hAnsiTheme="minorEastAsia"/>
                <w:sz w:val="18"/>
                <w:szCs w:val="18"/>
              </w:rPr>
              <w:t>液化烃</w:t>
            </w:r>
          </w:p>
        </w:tc>
        <w:tc>
          <w:tcPr>
            <w:tcW w:w="992" w:type="dxa"/>
            <w:vMerge w:val="restart"/>
            <w:shd w:val="clear" w:color="auto" w:fill="auto"/>
            <w:vAlign w:val="center"/>
          </w:tcPr>
          <w:p>
            <w:pPr>
              <w:spacing w:before="62" w:beforeLines="20" w:after="62" w:afterLines="20"/>
              <w:rPr>
                <w:rFonts w:asciiTheme="minorEastAsia" w:hAnsiTheme="minorEastAsia"/>
                <w:sz w:val="18"/>
                <w:szCs w:val="18"/>
              </w:rPr>
            </w:pPr>
            <w:r>
              <w:rPr>
                <w:rFonts w:hint="eastAsia" w:asciiTheme="minorEastAsia" w:hAnsiTheme="minorEastAsia"/>
                <w:sz w:val="18"/>
                <w:szCs w:val="18"/>
              </w:rPr>
              <w:t>全压力式或半冷冻式储罐</w:t>
            </w:r>
          </w:p>
        </w:tc>
        <w:tc>
          <w:tcPr>
            <w:tcW w:w="993" w:type="dxa"/>
            <w:shd w:val="clear" w:color="auto" w:fill="auto"/>
            <w:vAlign w:val="center"/>
          </w:tcPr>
          <w:p>
            <w:pPr>
              <w:spacing w:before="62" w:beforeLines="20" w:after="62" w:afterLines="20"/>
              <w:rPr>
                <w:rFonts w:asciiTheme="minorEastAsia" w:hAnsiTheme="minorEastAsia"/>
                <w:sz w:val="18"/>
                <w:szCs w:val="18"/>
              </w:rPr>
            </w:pPr>
            <w:r>
              <w:rPr>
                <w:rFonts w:hint="eastAsia" w:asciiTheme="minorEastAsia" w:hAnsiTheme="minorEastAsia"/>
                <w:sz w:val="18"/>
                <w:szCs w:val="18"/>
              </w:rPr>
              <w:t>有事故排放至火炬的措施</w:t>
            </w:r>
          </w:p>
        </w:tc>
        <w:tc>
          <w:tcPr>
            <w:tcW w:w="708"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0.5</w:t>
            </w:r>
            <w:r>
              <w:rPr>
                <w:rFonts w:asciiTheme="minorEastAsia" w:hAnsiTheme="minorEastAsia"/>
                <w:i/>
                <w:sz w:val="18"/>
                <w:szCs w:val="18"/>
              </w:rPr>
              <w:t>D</w:t>
            </w:r>
          </w:p>
        </w:tc>
        <w:tc>
          <w:tcPr>
            <w:tcW w:w="851" w:type="dxa"/>
            <w:vMerge w:val="restart"/>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1.0</w:t>
            </w:r>
            <w:r>
              <w:rPr>
                <w:rFonts w:asciiTheme="minorEastAsia" w:hAnsiTheme="minorEastAsia"/>
                <w:i/>
                <w:sz w:val="18"/>
                <w:szCs w:val="18"/>
              </w:rPr>
              <w:t>D</w:t>
            </w:r>
          </w:p>
        </w:tc>
        <w:tc>
          <w:tcPr>
            <w:tcW w:w="1417"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c>
          <w:tcPr>
            <w:tcW w:w="851"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c>
          <w:tcPr>
            <w:tcW w:w="850"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c>
          <w:tcPr>
            <w:tcW w:w="709"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c>
          <w:tcPr>
            <w:tcW w:w="709"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04" w:type="dxa"/>
            <w:vMerge w:val="continue"/>
            <w:shd w:val="clear" w:color="auto" w:fill="auto"/>
          </w:tcPr>
          <w:p>
            <w:pPr>
              <w:spacing w:before="62" w:beforeLines="20" w:after="62" w:afterLines="20"/>
              <w:jc w:val="center"/>
              <w:rPr>
                <w:rFonts w:asciiTheme="minorEastAsia" w:hAnsiTheme="minorEastAsia"/>
                <w:sz w:val="18"/>
                <w:szCs w:val="18"/>
              </w:rPr>
            </w:pPr>
          </w:p>
        </w:tc>
        <w:tc>
          <w:tcPr>
            <w:tcW w:w="992" w:type="dxa"/>
            <w:vMerge w:val="continue"/>
            <w:shd w:val="clear" w:color="auto" w:fill="auto"/>
          </w:tcPr>
          <w:p>
            <w:pPr>
              <w:spacing w:before="62" w:beforeLines="20" w:after="62" w:afterLines="20"/>
              <w:rPr>
                <w:rFonts w:asciiTheme="minorEastAsia" w:hAnsiTheme="minorEastAsia"/>
                <w:sz w:val="18"/>
                <w:szCs w:val="18"/>
              </w:rPr>
            </w:pPr>
          </w:p>
        </w:tc>
        <w:tc>
          <w:tcPr>
            <w:tcW w:w="993" w:type="dxa"/>
            <w:shd w:val="clear" w:color="auto" w:fill="auto"/>
            <w:vAlign w:val="center"/>
          </w:tcPr>
          <w:p>
            <w:pPr>
              <w:spacing w:before="62" w:beforeLines="20" w:after="62" w:afterLines="20"/>
              <w:rPr>
                <w:rFonts w:asciiTheme="minorEastAsia" w:hAnsiTheme="minorEastAsia"/>
                <w:sz w:val="18"/>
                <w:szCs w:val="18"/>
              </w:rPr>
            </w:pPr>
            <w:r>
              <w:rPr>
                <w:rFonts w:hint="eastAsia" w:asciiTheme="minorEastAsia" w:hAnsiTheme="minorEastAsia"/>
                <w:sz w:val="18"/>
                <w:szCs w:val="18"/>
              </w:rPr>
              <w:t>无事故排放至火炬的措施</w:t>
            </w:r>
          </w:p>
        </w:tc>
        <w:tc>
          <w:tcPr>
            <w:tcW w:w="708"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1.0</w:t>
            </w:r>
            <w:r>
              <w:rPr>
                <w:rFonts w:asciiTheme="minorEastAsia" w:hAnsiTheme="minorEastAsia"/>
                <w:i/>
                <w:sz w:val="18"/>
                <w:szCs w:val="18"/>
              </w:rPr>
              <w:t>D</w:t>
            </w:r>
          </w:p>
        </w:tc>
        <w:tc>
          <w:tcPr>
            <w:tcW w:w="851" w:type="dxa"/>
            <w:vMerge w:val="continue"/>
            <w:shd w:val="clear" w:color="auto" w:fill="auto"/>
          </w:tcPr>
          <w:p>
            <w:pPr>
              <w:spacing w:before="62" w:beforeLines="20" w:after="62" w:afterLines="20"/>
              <w:jc w:val="center"/>
              <w:rPr>
                <w:rFonts w:asciiTheme="minorEastAsia" w:hAnsiTheme="minorEastAsia"/>
                <w:sz w:val="18"/>
                <w:szCs w:val="18"/>
              </w:rPr>
            </w:pPr>
          </w:p>
        </w:tc>
        <w:tc>
          <w:tcPr>
            <w:tcW w:w="1417"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c>
          <w:tcPr>
            <w:tcW w:w="851"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c>
          <w:tcPr>
            <w:tcW w:w="850"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c>
          <w:tcPr>
            <w:tcW w:w="709"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c>
          <w:tcPr>
            <w:tcW w:w="709" w:type="dxa"/>
            <w:shd w:val="clear" w:color="auto" w:fill="auto"/>
            <w:vAlign w:val="center"/>
          </w:tcPr>
          <w:p>
            <w:pPr>
              <w:spacing w:before="62" w:beforeLines="20" w:after="62" w:afterLines="20"/>
              <w:jc w:val="center"/>
              <w:rPr>
                <w:rFonts w:asciiTheme="minorEastAsia" w:hAnsiTheme="minorEastAsia"/>
                <w:sz w:val="18"/>
                <w:szCs w:val="18"/>
              </w:rPr>
            </w:pP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4" w:type="dxa"/>
            <w:vMerge w:val="restart"/>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液化烃</w:t>
            </w:r>
          </w:p>
        </w:tc>
        <w:tc>
          <w:tcPr>
            <w:tcW w:w="1985" w:type="dxa"/>
            <w:gridSpan w:val="2"/>
            <w:shd w:val="clear" w:color="auto" w:fill="auto"/>
          </w:tcPr>
          <w:p>
            <w:pPr>
              <w:spacing w:before="62" w:beforeLines="20" w:after="62" w:afterLines="20"/>
              <w:rPr>
                <w:rFonts w:asciiTheme="minorEastAsia" w:hAnsiTheme="minorEastAsia"/>
                <w:color w:val="000000" w:themeColor="text1"/>
                <w:sz w:val="18"/>
                <w:szCs w:val="18"/>
                <w14:textFill>
                  <w14:solidFill>
                    <w14:schemeClr w14:val="tx1"/>
                  </w14:solidFill>
                </w14:textFill>
              </w:rPr>
            </w:pPr>
            <w:r>
              <w:rPr>
                <w:rFonts w:hint="eastAsia" w:cs="Arial" w:asciiTheme="minorEastAsia" w:hAnsiTheme="minorEastAsia"/>
                <w:color w:val="000000" w:themeColor="text1"/>
                <w:sz w:val="18"/>
                <w:szCs w:val="18"/>
                <w14:textFill>
                  <w14:solidFill>
                    <w14:schemeClr w14:val="tx1"/>
                  </w14:solidFill>
                </w14:textFill>
              </w:rPr>
              <w:t>外罐为预应力混凝土的</w:t>
            </w:r>
            <w:r>
              <w:rPr>
                <w:rFonts w:hint="eastAsia" w:asciiTheme="minorEastAsia" w:hAnsiTheme="minorEastAsia"/>
                <w:color w:val="000000" w:themeColor="text1"/>
                <w:sz w:val="18"/>
                <w:szCs w:val="18"/>
                <w14:textFill>
                  <w14:solidFill>
                    <w14:schemeClr w14:val="tx1"/>
                  </w14:solidFill>
                </w14:textFill>
              </w:rPr>
              <w:t>全冷冻式</w:t>
            </w:r>
            <w:r>
              <w:rPr>
                <w:rFonts w:hint="eastAsia" w:cs="Arial" w:asciiTheme="minorEastAsia" w:hAnsiTheme="minorEastAsia"/>
                <w:color w:val="000000" w:themeColor="text1"/>
                <w:sz w:val="18"/>
                <w:szCs w:val="18"/>
                <w14:textFill>
                  <w14:solidFill>
                    <w14:schemeClr w14:val="tx1"/>
                  </w14:solidFill>
                </w14:textFill>
              </w:rPr>
              <w:t>全防</w:t>
            </w:r>
            <w:r>
              <w:rPr>
                <w:rFonts w:hint="eastAsia" w:asciiTheme="minorEastAsia" w:hAnsiTheme="minorEastAsia"/>
                <w:color w:val="000000" w:themeColor="text1"/>
                <w:sz w:val="18"/>
                <w:szCs w:val="18"/>
                <w14:textFill>
                  <w14:solidFill>
                    <w14:schemeClr w14:val="tx1"/>
                  </w14:solidFill>
                </w14:textFill>
              </w:rPr>
              <w:t>储罐</w:t>
            </w:r>
          </w:p>
        </w:tc>
        <w:tc>
          <w:tcPr>
            <w:tcW w:w="708"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1417"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0.4</w:t>
            </w:r>
            <w:r>
              <w:rPr>
                <w:rFonts w:asciiTheme="minorEastAsia" w:hAnsiTheme="minorEastAsia"/>
                <w:i/>
                <w:color w:val="000000" w:themeColor="text1"/>
                <w:sz w:val="18"/>
                <w:szCs w:val="18"/>
                <w14:textFill>
                  <w14:solidFill>
                    <w14:schemeClr w14:val="tx1"/>
                  </w14:solidFill>
                </w14:textFill>
              </w:rPr>
              <w:t>D</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pacing w:val="-4"/>
                <w:sz w:val="18"/>
                <w:szCs w:val="18"/>
                <w14:textFill>
                  <w14:solidFill>
                    <w14:schemeClr w14:val="tx1"/>
                  </w14:solidFill>
                </w14:textFill>
              </w:rPr>
            </w:pPr>
            <w:r>
              <w:rPr>
                <w:rFonts w:hint="eastAsia" w:asciiTheme="minorEastAsia" w:hAnsiTheme="minorEastAsia"/>
                <w:color w:val="000000" w:themeColor="text1"/>
                <w:spacing w:val="-4"/>
                <w:sz w:val="18"/>
                <w:szCs w:val="18"/>
                <w14:textFill>
                  <w14:solidFill>
                    <w14:schemeClr w14:val="tx1"/>
                  </w14:solidFill>
                </w14:textFill>
              </w:rPr>
              <w:t>见注</w:t>
            </w:r>
            <w:r>
              <w:rPr>
                <w:rFonts w:asciiTheme="minorEastAsia" w:hAnsiTheme="minorEastAsia"/>
                <w:color w:val="000000" w:themeColor="text1"/>
                <w:spacing w:val="-4"/>
                <w:sz w:val="18"/>
                <w:szCs w:val="18"/>
                <w14:textFill>
                  <w14:solidFill>
                    <w14:schemeClr w14:val="tx1"/>
                  </w14:solidFill>
                </w14:textFill>
              </w:rPr>
              <w:t>6</w:t>
            </w:r>
          </w:p>
        </w:tc>
        <w:tc>
          <w:tcPr>
            <w:tcW w:w="850" w:type="dxa"/>
            <w:shd w:val="clear" w:color="auto" w:fill="auto"/>
            <w:vAlign w:val="center"/>
          </w:tcPr>
          <w:p>
            <w:pPr>
              <w:spacing w:before="62" w:beforeLines="20" w:after="62" w:afterLines="20"/>
              <w:jc w:val="center"/>
              <w:rPr>
                <w:rFonts w:asciiTheme="minorEastAsia" w:hAnsiTheme="minorEastAsia"/>
                <w:color w:val="000000" w:themeColor="text1"/>
                <w:spacing w:val="-4"/>
                <w:sz w:val="18"/>
                <w:szCs w:val="18"/>
                <w14:textFill>
                  <w14:solidFill>
                    <w14:schemeClr w14:val="tx1"/>
                  </w14:solidFill>
                </w14:textFill>
              </w:rPr>
            </w:pPr>
            <w:r>
              <w:rPr>
                <w:rFonts w:hint="eastAsia" w:asciiTheme="minorEastAsia" w:hAnsiTheme="minorEastAsia"/>
                <w:color w:val="000000" w:themeColor="text1"/>
                <w:spacing w:val="-4"/>
                <w:sz w:val="18"/>
                <w:szCs w:val="18"/>
                <w14:textFill>
                  <w14:solidFill>
                    <w14:schemeClr w14:val="tx1"/>
                  </w14:solidFill>
                </w14:textFill>
              </w:rPr>
              <w:t>见注</w:t>
            </w:r>
            <w:r>
              <w:rPr>
                <w:rFonts w:asciiTheme="minorEastAsia" w:hAnsiTheme="minorEastAsia"/>
                <w:color w:val="000000" w:themeColor="text1"/>
                <w:spacing w:val="-4"/>
                <w:sz w:val="18"/>
                <w:szCs w:val="18"/>
                <w14:textFill>
                  <w14:solidFill>
                    <w14:schemeClr w14:val="tx1"/>
                  </w14:solidFill>
                </w14:textFill>
              </w:rPr>
              <w:t>6</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Merge w:val="continue"/>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p>
        </w:tc>
        <w:tc>
          <w:tcPr>
            <w:tcW w:w="992" w:type="dxa"/>
            <w:vMerge w:val="restart"/>
            <w:shd w:val="clear" w:color="auto" w:fill="auto"/>
          </w:tcPr>
          <w:p>
            <w:pPr>
              <w:spacing w:before="62" w:beforeLines="20" w:after="62" w:afterLines="2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其他全冷冻式储罐</w:t>
            </w:r>
          </w:p>
        </w:tc>
        <w:tc>
          <w:tcPr>
            <w:tcW w:w="993" w:type="dxa"/>
            <w:shd w:val="clear" w:color="auto" w:fill="auto"/>
            <w:vAlign w:val="center"/>
          </w:tcPr>
          <w:p>
            <w:pPr>
              <w:spacing w:before="62" w:beforeLines="20" w:after="62" w:afterLines="20"/>
              <w:jc w:val="center"/>
              <w:rPr>
                <w:rFonts w:asciiTheme="minorEastAsia" w:hAnsiTheme="minorEastAsia"/>
                <w:color w:val="000000" w:themeColor="text1"/>
                <w:sz w:val="18"/>
                <w:szCs w:val="18"/>
                <w:vertAlign w:val="superscript"/>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100m</w:t>
            </w:r>
            <w:r>
              <w:rPr>
                <w:rFonts w:asciiTheme="minorEastAsia" w:hAnsiTheme="minorEastAsia"/>
                <w:color w:val="000000" w:themeColor="text1"/>
                <w:sz w:val="18"/>
                <w:szCs w:val="18"/>
                <w:vertAlign w:val="superscript"/>
                <w14:textFill>
                  <w14:solidFill>
                    <w14:schemeClr w14:val="tx1"/>
                  </w14:solidFill>
                </w14:textFill>
              </w:rPr>
              <w:t>3</w:t>
            </w:r>
          </w:p>
        </w:tc>
        <w:tc>
          <w:tcPr>
            <w:tcW w:w="708"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1417" w:type="dxa"/>
            <w:shd w:val="clear" w:color="auto" w:fill="auto"/>
            <w:vAlign w:val="center"/>
          </w:tcPr>
          <w:p>
            <w:pPr>
              <w:spacing w:before="62" w:beforeLines="20" w:after="62" w:afterLines="20"/>
              <w:jc w:val="center"/>
              <w:rPr>
                <w:rFonts w:asciiTheme="minorEastAsia" w:hAnsiTheme="minorEastAsia"/>
                <w:color w:val="000000" w:themeColor="text1"/>
                <w:spacing w:val="-6"/>
                <w:sz w:val="18"/>
                <w:szCs w:val="18"/>
                <w14:textFill>
                  <w14:solidFill>
                    <w14:schemeClr w14:val="tx1"/>
                  </w14:solidFill>
                </w14:textFill>
              </w:rPr>
            </w:pPr>
            <w:r>
              <w:rPr>
                <w:rFonts w:hint="eastAsia" w:asciiTheme="minorEastAsia" w:hAnsiTheme="minorEastAsia"/>
                <w:color w:val="000000" w:themeColor="text1"/>
                <w:spacing w:val="-6"/>
                <w:sz w:val="18"/>
                <w:szCs w:val="18"/>
                <w14:textFill>
                  <w14:solidFill>
                    <w14:schemeClr w14:val="tx1"/>
                  </w14:solidFill>
                </w14:textFill>
              </w:rPr>
              <w:t>见注</w:t>
            </w:r>
            <w:r>
              <w:rPr>
                <w:rFonts w:asciiTheme="minorEastAsia" w:hAnsiTheme="minorEastAsia"/>
                <w:color w:val="000000" w:themeColor="text1"/>
                <w:spacing w:val="-6"/>
                <w:sz w:val="18"/>
                <w:szCs w:val="18"/>
                <w14:textFill>
                  <w14:solidFill>
                    <w14:schemeClr w14:val="tx1"/>
                  </w14:solidFill>
                </w14:textFill>
              </w:rPr>
              <w:t>6</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1.5m</w:t>
            </w:r>
          </w:p>
        </w:tc>
        <w:tc>
          <w:tcPr>
            <w:tcW w:w="850"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0.5</w:t>
            </w:r>
            <w:r>
              <w:rPr>
                <w:rFonts w:asciiTheme="minorEastAsia" w:hAnsiTheme="minorEastAsia"/>
                <w:i/>
                <w:color w:val="000000" w:themeColor="text1"/>
                <w:sz w:val="18"/>
                <w:szCs w:val="18"/>
                <w14:textFill>
                  <w14:solidFill>
                    <w14:schemeClr w14:val="tx1"/>
                  </w14:solidFill>
                </w14:textFill>
              </w:rPr>
              <w:t>D</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Merge w:val="continue"/>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p>
        </w:tc>
        <w:tc>
          <w:tcPr>
            <w:tcW w:w="992" w:type="dxa"/>
            <w:vMerge w:val="continue"/>
            <w:shd w:val="clear" w:color="auto" w:fill="auto"/>
          </w:tcPr>
          <w:p>
            <w:pPr>
              <w:spacing w:before="62" w:beforeLines="20" w:after="62" w:afterLines="20"/>
              <w:rPr>
                <w:rFonts w:asciiTheme="minorEastAsia" w:hAnsiTheme="minorEastAsia"/>
                <w:color w:val="000000" w:themeColor="text1"/>
                <w:sz w:val="18"/>
                <w:szCs w:val="18"/>
                <w14:textFill>
                  <w14:solidFill>
                    <w14:schemeClr w14:val="tx1"/>
                  </w14:solidFill>
                </w14:textFill>
              </w:rPr>
            </w:pPr>
          </w:p>
        </w:tc>
        <w:tc>
          <w:tcPr>
            <w:tcW w:w="993"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100m</w:t>
            </w:r>
            <w:r>
              <w:rPr>
                <w:rFonts w:asciiTheme="minorEastAsia" w:hAnsiTheme="minorEastAsia"/>
                <w:color w:val="000000" w:themeColor="text1"/>
                <w:sz w:val="18"/>
                <w:szCs w:val="18"/>
                <w:vertAlign w:val="superscript"/>
                <w14:textFill>
                  <w14:solidFill>
                    <w14:schemeClr w14:val="tx1"/>
                  </w14:solidFill>
                </w14:textFill>
              </w:rPr>
              <w:t>3</w:t>
            </w:r>
          </w:p>
        </w:tc>
        <w:tc>
          <w:tcPr>
            <w:tcW w:w="708"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1417" w:type="dxa"/>
            <w:shd w:val="clear" w:color="auto" w:fill="auto"/>
            <w:vAlign w:val="center"/>
          </w:tcPr>
          <w:p>
            <w:pPr>
              <w:spacing w:before="62" w:beforeLines="20" w:after="62" w:afterLines="20"/>
              <w:jc w:val="center"/>
              <w:rPr>
                <w:rFonts w:asciiTheme="minorEastAsia" w:hAnsiTheme="minorEastAsia"/>
                <w:color w:val="000000" w:themeColor="text1"/>
                <w:spacing w:val="-6"/>
                <w:sz w:val="18"/>
                <w:szCs w:val="18"/>
                <w14:textFill>
                  <w14:solidFill>
                    <w14:schemeClr w14:val="tx1"/>
                  </w14:solidFill>
                </w14:textFill>
              </w:rPr>
            </w:pPr>
            <w:r>
              <w:rPr>
                <w:rFonts w:hint="eastAsia" w:asciiTheme="minorEastAsia" w:hAnsiTheme="minorEastAsia"/>
                <w:color w:val="000000" w:themeColor="text1"/>
                <w:spacing w:val="-6"/>
                <w:sz w:val="18"/>
                <w:szCs w:val="18"/>
                <w14:textFill>
                  <w14:solidFill>
                    <w14:schemeClr w14:val="tx1"/>
                  </w14:solidFill>
                </w14:textFill>
              </w:rPr>
              <w:t>见注</w:t>
            </w:r>
            <w:r>
              <w:rPr>
                <w:rFonts w:asciiTheme="minorEastAsia" w:hAnsiTheme="minorEastAsia"/>
                <w:color w:val="000000" w:themeColor="text1"/>
                <w:spacing w:val="-6"/>
                <w:sz w:val="18"/>
                <w:szCs w:val="18"/>
                <w14:textFill>
                  <w14:solidFill>
                    <w14:schemeClr w14:val="tx1"/>
                  </w14:solidFill>
                </w14:textFill>
              </w:rPr>
              <w:t>6 *</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0.5</w:t>
            </w:r>
            <w:r>
              <w:rPr>
                <w:rFonts w:asciiTheme="minorEastAsia" w:hAnsiTheme="minorEastAsia"/>
                <w:i/>
                <w:color w:val="000000" w:themeColor="text1"/>
                <w:sz w:val="18"/>
                <w:szCs w:val="18"/>
                <w14:textFill>
                  <w14:solidFill>
                    <w14:schemeClr w14:val="tx1"/>
                  </w14:solidFill>
                </w14:textFill>
              </w:rPr>
              <w:t>D</w:t>
            </w:r>
          </w:p>
        </w:tc>
        <w:tc>
          <w:tcPr>
            <w:tcW w:w="850"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0.5</w:t>
            </w:r>
            <w:r>
              <w:rPr>
                <w:rFonts w:asciiTheme="minorEastAsia" w:hAnsiTheme="minorEastAsia"/>
                <w:i/>
                <w:color w:val="000000" w:themeColor="text1"/>
                <w:sz w:val="18"/>
                <w:szCs w:val="18"/>
                <w14:textFill>
                  <w14:solidFill>
                    <w14:schemeClr w14:val="tx1"/>
                  </w14:solidFill>
                </w14:textFill>
              </w:rPr>
              <w:t>D</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Merge w:val="restart"/>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助燃气体</w:t>
            </w:r>
          </w:p>
        </w:tc>
        <w:tc>
          <w:tcPr>
            <w:tcW w:w="1985" w:type="dxa"/>
            <w:gridSpan w:val="2"/>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球罐</w:t>
            </w:r>
          </w:p>
        </w:tc>
        <w:tc>
          <w:tcPr>
            <w:tcW w:w="708"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0.5</w:t>
            </w:r>
            <w:r>
              <w:rPr>
                <w:rFonts w:asciiTheme="minorEastAsia" w:hAnsiTheme="minorEastAsia"/>
                <w:i/>
                <w:color w:val="000000" w:themeColor="text1"/>
                <w:sz w:val="18"/>
                <w:szCs w:val="18"/>
                <w14:textFill>
                  <w14:solidFill>
                    <w14:schemeClr w14:val="tx1"/>
                  </w14:solidFill>
                </w14:textFill>
              </w:rPr>
              <w:t>D</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0.65</w:t>
            </w:r>
            <w:r>
              <w:rPr>
                <w:rFonts w:asciiTheme="minorEastAsia" w:hAnsiTheme="minorEastAsia"/>
                <w:i/>
                <w:color w:val="000000" w:themeColor="text1"/>
                <w:sz w:val="18"/>
                <w:szCs w:val="18"/>
                <w14:textFill>
                  <w14:solidFill>
                    <w14:schemeClr w14:val="tx1"/>
                  </w14:solidFill>
                </w14:textFill>
              </w:rPr>
              <w:t>D</w:t>
            </w:r>
          </w:p>
        </w:tc>
        <w:tc>
          <w:tcPr>
            <w:tcW w:w="1417"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0"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Merge w:val="continue"/>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p>
        </w:tc>
        <w:tc>
          <w:tcPr>
            <w:tcW w:w="1985" w:type="dxa"/>
            <w:gridSpan w:val="2"/>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卧（立）罐</w:t>
            </w:r>
          </w:p>
        </w:tc>
        <w:tc>
          <w:tcPr>
            <w:tcW w:w="708"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0.65</w:t>
            </w:r>
            <w:r>
              <w:rPr>
                <w:rFonts w:asciiTheme="minorEastAsia" w:hAnsiTheme="minorEastAsia"/>
                <w:i/>
                <w:color w:val="000000" w:themeColor="text1"/>
                <w:sz w:val="18"/>
                <w:szCs w:val="18"/>
                <w14:textFill>
                  <w14:solidFill>
                    <w14:schemeClr w14:val="tx1"/>
                  </w14:solidFill>
                </w14:textFill>
              </w:rPr>
              <w:t>D</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0.65</w:t>
            </w:r>
            <w:r>
              <w:rPr>
                <w:rFonts w:asciiTheme="minorEastAsia" w:hAnsiTheme="minorEastAsia"/>
                <w:i/>
                <w:color w:val="000000" w:themeColor="text1"/>
                <w:sz w:val="18"/>
                <w:szCs w:val="18"/>
                <w14:textFill>
                  <w14:solidFill>
                    <w14:schemeClr w14:val="tx1"/>
                  </w14:solidFill>
                </w14:textFill>
              </w:rPr>
              <w:t>D</w:t>
            </w:r>
          </w:p>
        </w:tc>
        <w:tc>
          <w:tcPr>
            <w:tcW w:w="1417"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0"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Merge w:val="restart"/>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可燃气体</w:t>
            </w:r>
          </w:p>
        </w:tc>
        <w:tc>
          <w:tcPr>
            <w:tcW w:w="1985" w:type="dxa"/>
            <w:gridSpan w:val="2"/>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水槽式气柜</w:t>
            </w:r>
          </w:p>
        </w:tc>
        <w:tc>
          <w:tcPr>
            <w:tcW w:w="708"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1417"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0"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0.5</w:t>
            </w:r>
            <w:r>
              <w:rPr>
                <w:rFonts w:asciiTheme="minorEastAsia" w:hAnsiTheme="minorEastAsia"/>
                <w:i/>
                <w:color w:val="000000" w:themeColor="text1"/>
                <w:sz w:val="18"/>
                <w:szCs w:val="18"/>
                <w14:textFill>
                  <w14:solidFill>
                    <w14:schemeClr w14:val="tx1"/>
                  </w14:solidFill>
                </w14:textFill>
              </w:rPr>
              <w:t>D</w:t>
            </w:r>
          </w:p>
        </w:tc>
        <w:tc>
          <w:tcPr>
            <w:tcW w:w="709" w:type="dxa"/>
            <w:shd w:val="clear" w:color="auto" w:fill="auto"/>
            <w:vAlign w:val="center"/>
          </w:tcPr>
          <w:p>
            <w:pPr>
              <w:spacing w:before="62" w:beforeLines="20" w:after="62" w:afterLines="20"/>
              <w:jc w:val="center"/>
              <w:rPr>
                <w:rFonts w:asciiTheme="minorEastAsia" w:hAnsiTheme="minorEastAsia"/>
                <w:i/>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0.65</w:t>
            </w:r>
            <w:r>
              <w:rPr>
                <w:rFonts w:asciiTheme="minorEastAsia" w:hAnsiTheme="minorEastAsia"/>
                <w:i/>
                <w:color w:val="000000" w:themeColor="text1"/>
                <w:sz w:val="18"/>
                <w:szCs w:val="18"/>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Merge w:val="continue"/>
            <w:shd w:val="clear" w:color="auto" w:fill="auto"/>
          </w:tcPr>
          <w:p>
            <w:pPr>
              <w:spacing w:before="62" w:beforeLines="20" w:after="62" w:afterLines="20"/>
              <w:rPr>
                <w:rFonts w:asciiTheme="minorEastAsia" w:hAnsiTheme="minorEastAsia"/>
                <w:color w:val="000000" w:themeColor="text1"/>
                <w:sz w:val="18"/>
                <w:szCs w:val="18"/>
                <w14:textFill>
                  <w14:solidFill>
                    <w14:schemeClr w14:val="tx1"/>
                  </w14:solidFill>
                </w14:textFill>
              </w:rPr>
            </w:pPr>
          </w:p>
        </w:tc>
        <w:tc>
          <w:tcPr>
            <w:tcW w:w="1985" w:type="dxa"/>
            <w:gridSpan w:val="2"/>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干式气柜</w:t>
            </w:r>
          </w:p>
        </w:tc>
        <w:tc>
          <w:tcPr>
            <w:tcW w:w="708"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1417"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0"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0.65</w:t>
            </w:r>
            <w:r>
              <w:rPr>
                <w:rFonts w:asciiTheme="minorEastAsia" w:hAnsiTheme="minorEastAsia"/>
                <w:i/>
                <w:color w:val="000000" w:themeColor="text1"/>
                <w:sz w:val="18"/>
                <w:szCs w:val="18"/>
                <w14:textFill>
                  <w14:solidFill>
                    <w14:schemeClr w14:val="tx1"/>
                  </w14:solidFill>
                </w14:textFill>
              </w:rPr>
              <w:t>D</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0.65</w:t>
            </w:r>
            <w:r>
              <w:rPr>
                <w:rFonts w:asciiTheme="minorEastAsia" w:hAnsiTheme="minorEastAsia"/>
                <w:i/>
                <w:color w:val="000000" w:themeColor="text1"/>
                <w:sz w:val="18"/>
                <w:szCs w:val="18"/>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Merge w:val="continue"/>
            <w:shd w:val="clear" w:color="auto" w:fill="auto"/>
          </w:tcPr>
          <w:p>
            <w:pPr>
              <w:spacing w:before="62" w:beforeLines="20" w:after="62" w:afterLines="20"/>
              <w:rPr>
                <w:rFonts w:asciiTheme="minorEastAsia" w:hAnsiTheme="minorEastAsia"/>
                <w:color w:val="000000" w:themeColor="text1"/>
                <w:sz w:val="18"/>
                <w:szCs w:val="18"/>
                <w14:textFill>
                  <w14:solidFill>
                    <w14:schemeClr w14:val="tx1"/>
                  </w14:solidFill>
                </w14:textFill>
              </w:rPr>
            </w:pPr>
          </w:p>
        </w:tc>
        <w:tc>
          <w:tcPr>
            <w:tcW w:w="1985" w:type="dxa"/>
            <w:gridSpan w:val="2"/>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球罐</w:t>
            </w:r>
          </w:p>
        </w:tc>
        <w:tc>
          <w:tcPr>
            <w:tcW w:w="708"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0.5</w:t>
            </w:r>
            <w:r>
              <w:rPr>
                <w:rFonts w:asciiTheme="minorEastAsia" w:hAnsiTheme="minorEastAsia"/>
                <w:i/>
                <w:color w:val="000000" w:themeColor="text1"/>
                <w:sz w:val="18"/>
                <w:szCs w:val="18"/>
                <w14:textFill>
                  <w14:solidFill>
                    <w14:schemeClr w14:val="tx1"/>
                  </w14:solidFill>
                </w14:textFill>
              </w:rPr>
              <w:t>D</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1417"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1"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850"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w:t>
            </w:r>
          </w:p>
        </w:tc>
        <w:tc>
          <w:tcPr>
            <w:tcW w:w="709" w:type="dxa"/>
            <w:shd w:val="clear" w:color="auto" w:fill="auto"/>
            <w:vAlign w:val="center"/>
          </w:tcPr>
          <w:p>
            <w:pPr>
              <w:spacing w:before="62" w:beforeLines="20" w:after="62" w:afterLines="20"/>
              <w:jc w:val="center"/>
              <w:rPr>
                <w:rFonts w:asciiTheme="minorEastAsia" w:hAnsiTheme="minorEastAsia"/>
                <w:i/>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0.65</w:t>
            </w:r>
            <w:r>
              <w:rPr>
                <w:rFonts w:asciiTheme="minorEastAsia" w:hAnsiTheme="minorEastAsia"/>
                <w:i/>
                <w:color w:val="000000" w:themeColor="text1"/>
                <w:sz w:val="18"/>
                <w:szCs w:val="18"/>
                <w14:textFill>
                  <w14:solidFill>
                    <w14:schemeClr w14:val="tx1"/>
                  </w14:solidFill>
                </w14:textFill>
              </w:rPr>
              <w:t>D</w:t>
            </w:r>
          </w:p>
        </w:tc>
        <w:tc>
          <w:tcPr>
            <w:tcW w:w="709" w:type="dxa"/>
            <w:shd w:val="clear" w:color="auto" w:fill="auto"/>
            <w:vAlign w:val="center"/>
          </w:tcPr>
          <w:p>
            <w:pPr>
              <w:spacing w:before="62" w:beforeLines="20" w:after="62" w:afterLines="2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0.65</w:t>
            </w:r>
            <w:r>
              <w:rPr>
                <w:rFonts w:asciiTheme="minorEastAsia" w:hAnsiTheme="minorEastAsia"/>
                <w:i/>
                <w:color w:val="000000" w:themeColor="text1"/>
                <w:sz w:val="18"/>
                <w:szCs w:val="18"/>
                <w14:textFill>
                  <w14:solidFill>
                    <w14:schemeClr w14:val="tx1"/>
                  </w14:solidFill>
                </w14:textFill>
              </w:rPr>
              <w:t>D</w:t>
            </w:r>
          </w:p>
        </w:tc>
      </w:tr>
    </w:tbl>
    <w:p>
      <w:pPr>
        <w:ind w:left="780" w:leftChars="200" w:hanging="360" w:hangingChars="200"/>
        <w:jc w:val="left"/>
        <w:rPr>
          <w:rFonts w:cs="Arial" w:asciiTheme="minorEastAsia" w:hAnsiTheme="minorEastAsia"/>
          <w:color w:val="000000" w:themeColor="text1"/>
          <w:sz w:val="18"/>
          <w:szCs w:val="18"/>
          <w14:textFill>
            <w14:solidFill>
              <w14:schemeClr w14:val="tx1"/>
            </w14:solidFill>
          </w14:textFill>
        </w:rPr>
      </w:pPr>
      <w:r>
        <w:rPr>
          <w:rFonts w:hint="eastAsia" w:cs="Arial" w:asciiTheme="minorEastAsia" w:hAnsiTheme="minorEastAsia"/>
          <w:color w:val="000000" w:themeColor="text1"/>
          <w:sz w:val="18"/>
          <w:szCs w:val="18"/>
          <w14:textFill>
            <w14:solidFill>
              <w14:schemeClr w14:val="tx1"/>
            </w14:solidFill>
          </w14:textFill>
        </w:rPr>
        <w:t>注：</w:t>
      </w:r>
      <w:r>
        <w:rPr>
          <w:rFonts w:cs="Arial" w:asciiTheme="minorEastAsia" w:hAnsiTheme="minorEastAsia"/>
          <w:color w:val="000000" w:themeColor="text1"/>
          <w:sz w:val="18"/>
          <w:szCs w:val="18"/>
          <w14:textFill>
            <w14:solidFill>
              <w14:schemeClr w14:val="tx1"/>
            </w14:solidFill>
          </w14:textFill>
        </w:rPr>
        <w:t xml:space="preserve">1  </w:t>
      </w:r>
      <w:r>
        <w:rPr>
          <w:rFonts w:cs="Arial" w:asciiTheme="minorEastAsia" w:hAnsiTheme="minorEastAsia"/>
          <w:i/>
          <w:color w:val="000000" w:themeColor="text1"/>
          <w:sz w:val="18"/>
          <w:szCs w:val="18"/>
          <w14:textFill>
            <w14:solidFill>
              <w14:schemeClr w14:val="tx1"/>
            </w14:solidFill>
          </w14:textFill>
        </w:rPr>
        <w:t>D</w:t>
      </w:r>
      <w:r>
        <w:rPr>
          <w:rFonts w:hint="eastAsia" w:cs="Arial" w:asciiTheme="minorEastAsia" w:hAnsiTheme="minorEastAsia"/>
          <w:color w:val="000000" w:themeColor="text1"/>
          <w:sz w:val="18"/>
          <w:szCs w:val="18"/>
          <w14:textFill>
            <w14:solidFill>
              <w14:schemeClr w14:val="tx1"/>
            </w14:solidFill>
          </w14:textFill>
        </w:rPr>
        <w:t>为相邻较大储罐的直径；</w:t>
      </w:r>
    </w:p>
    <w:p>
      <w:pPr>
        <w:ind w:left="1047" w:leftChars="370" w:hanging="270" w:hangingChars="150"/>
        <w:jc w:val="left"/>
        <w:rPr>
          <w:rFonts w:cs="Arial" w:asciiTheme="minorEastAsia" w:hAnsiTheme="minorEastAsia"/>
          <w:color w:val="000000" w:themeColor="text1"/>
          <w:sz w:val="18"/>
          <w:szCs w:val="18"/>
          <w14:textFill>
            <w14:solidFill>
              <w14:schemeClr w14:val="tx1"/>
            </w14:solidFill>
          </w14:textFill>
        </w:rPr>
      </w:pPr>
      <w:r>
        <w:rPr>
          <w:rFonts w:cs="Arial" w:asciiTheme="minorEastAsia" w:hAnsiTheme="minorEastAsia"/>
          <w:color w:val="000000" w:themeColor="text1"/>
          <w:sz w:val="18"/>
          <w:szCs w:val="18"/>
          <w14:textFill>
            <w14:solidFill>
              <w14:schemeClr w14:val="tx1"/>
            </w14:solidFill>
          </w14:textFill>
        </w:rPr>
        <w:t xml:space="preserve">2  </w:t>
      </w:r>
      <w:r>
        <w:rPr>
          <w:rFonts w:hint="eastAsia" w:cs="Arial" w:asciiTheme="minorEastAsia" w:hAnsiTheme="minorEastAsia"/>
          <w:color w:val="000000" w:themeColor="text1"/>
          <w:sz w:val="18"/>
          <w:szCs w:val="18"/>
          <w14:textFill>
            <w14:solidFill>
              <w14:schemeClr w14:val="tx1"/>
            </w14:solidFill>
          </w14:textFill>
        </w:rPr>
        <w:t>液氨储罐的防火间距要求应与液化烃储罐相同；</w:t>
      </w:r>
    </w:p>
    <w:p>
      <w:pPr>
        <w:ind w:left="1047" w:leftChars="370" w:hanging="270" w:hangingChars="150"/>
        <w:jc w:val="left"/>
        <w:rPr>
          <w:rFonts w:cs="Arial" w:asciiTheme="minorEastAsia" w:hAnsiTheme="minorEastAsia"/>
          <w:color w:val="000000" w:themeColor="text1"/>
          <w:sz w:val="18"/>
          <w:szCs w:val="18"/>
          <w14:textFill>
            <w14:solidFill>
              <w14:schemeClr w14:val="tx1"/>
            </w14:solidFill>
          </w14:textFill>
        </w:rPr>
      </w:pPr>
      <w:r>
        <w:rPr>
          <w:rFonts w:cs="Arial" w:asciiTheme="minorEastAsia" w:hAnsiTheme="minorEastAsia"/>
          <w:color w:val="000000" w:themeColor="text1"/>
          <w:sz w:val="18"/>
          <w:szCs w:val="18"/>
          <w14:textFill>
            <w14:solidFill>
              <w14:schemeClr w14:val="tx1"/>
            </w14:solidFill>
          </w14:textFill>
        </w:rPr>
        <w:t xml:space="preserve">3  </w:t>
      </w:r>
      <w:r>
        <w:rPr>
          <w:rFonts w:hint="eastAsia" w:cs="Arial" w:asciiTheme="minorEastAsia" w:hAnsiTheme="minorEastAsia"/>
          <w:color w:val="000000" w:themeColor="text1"/>
          <w:sz w:val="18"/>
          <w:szCs w:val="18"/>
          <w14:textFill>
            <w14:solidFill>
              <w14:schemeClr w14:val="tx1"/>
            </w14:solidFill>
          </w14:textFill>
        </w:rPr>
        <w:t>甲</w:t>
      </w:r>
      <w:r>
        <w:rPr>
          <w:rFonts w:hint="eastAsia" w:cs="Arial" w:asciiTheme="minorEastAsia" w:hAnsiTheme="minorEastAsia"/>
          <w:color w:val="000000" w:themeColor="text1"/>
          <w:sz w:val="18"/>
          <w:szCs w:val="18"/>
          <w:vertAlign w:val="subscript"/>
          <w14:textFill>
            <w14:solidFill>
              <w14:schemeClr w14:val="tx1"/>
            </w14:solidFill>
          </w14:textFill>
        </w:rPr>
        <w:t>Ｂ</w:t>
      </w:r>
      <w:r>
        <w:rPr>
          <w:rFonts w:hint="eastAsia" w:cs="Arial" w:asciiTheme="minorEastAsia" w:hAnsiTheme="minorEastAsia"/>
          <w:color w:val="000000" w:themeColor="text1"/>
          <w:sz w:val="18"/>
          <w:szCs w:val="18"/>
          <w14:textFill>
            <w14:solidFill>
              <w14:schemeClr w14:val="tx1"/>
            </w14:solidFill>
          </w14:textFill>
        </w:rPr>
        <w:t>类液体压力储罐，应按全压力式液化烃储罐的防火间距执行；</w:t>
      </w:r>
    </w:p>
    <w:p>
      <w:pPr>
        <w:ind w:left="1047" w:leftChars="370" w:hanging="270" w:hangingChars="150"/>
        <w:jc w:val="left"/>
        <w:rPr>
          <w:rFonts w:cs="Arial" w:asciiTheme="minorEastAsia" w:hAnsiTheme="minorEastAsia"/>
          <w:color w:val="000000" w:themeColor="text1"/>
          <w:sz w:val="18"/>
          <w:szCs w:val="18"/>
          <w14:textFill>
            <w14:solidFill>
              <w14:schemeClr w14:val="tx1"/>
            </w14:solidFill>
          </w14:textFill>
        </w:rPr>
      </w:pPr>
      <w:r>
        <w:rPr>
          <w:rFonts w:cs="Arial" w:asciiTheme="minorEastAsia" w:hAnsiTheme="minorEastAsia"/>
          <w:color w:val="000000" w:themeColor="text1"/>
          <w:sz w:val="18"/>
          <w:szCs w:val="18"/>
          <w14:textFill>
            <w14:solidFill>
              <w14:schemeClr w14:val="tx1"/>
            </w14:solidFill>
          </w14:textFill>
        </w:rPr>
        <w:t xml:space="preserve">4  </w:t>
      </w:r>
      <w:r>
        <w:rPr>
          <w:rFonts w:hint="eastAsia" w:cs="Arial" w:asciiTheme="minorEastAsia" w:hAnsiTheme="minorEastAsia"/>
          <w:color w:val="000000" w:themeColor="text1"/>
          <w:sz w:val="18"/>
          <w:szCs w:val="18"/>
          <w14:textFill>
            <w14:solidFill>
              <w14:schemeClr w14:val="tx1"/>
            </w14:solidFill>
          </w14:textFill>
        </w:rPr>
        <w:t>单罐容积小于或等于</w:t>
      </w:r>
      <w:r>
        <w:rPr>
          <w:rFonts w:cs="Arial" w:asciiTheme="minorEastAsia" w:hAnsiTheme="minorEastAsia"/>
          <w:color w:val="000000" w:themeColor="text1"/>
          <w:sz w:val="18"/>
          <w:szCs w:val="18"/>
          <w14:textFill>
            <w14:solidFill>
              <w14:schemeClr w14:val="tx1"/>
            </w14:solidFill>
          </w14:textFill>
        </w:rPr>
        <w:t>200m</w:t>
      </w:r>
      <w:r>
        <w:rPr>
          <w:rFonts w:cs="Arial" w:asciiTheme="minorEastAsia" w:hAnsiTheme="minorEastAsia"/>
          <w:color w:val="000000" w:themeColor="text1"/>
          <w:sz w:val="18"/>
          <w:szCs w:val="18"/>
          <w:vertAlign w:val="superscript"/>
          <w14:textFill>
            <w14:solidFill>
              <w14:schemeClr w14:val="tx1"/>
            </w14:solidFill>
          </w14:textFill>
        </w:rPr>
        <w:t>3</w:t>
      </w:r>
      <w:r>
        <w:rPr>
          <w:rFonts w:hint="eastAsia" w:cs="Arial" w:asciiTheme="minorEastAsia" w:hAnsiTheme="minorEastAsia"/>
          <w:color w:val="000000" w:themeColor="text1"/>
          <w:sz w:val="18"/>
          <w:szCs w:val="18"/>
          <w14:textFill>
            <w14:solidFill>
              <w14:schemeClr w14:val="tx1"/>
            </w14:solidFill>
          </w14:textFill>
        </w:rPr>
        <w:t>的液化烃卧（立）罐，相互之间的防火间距不应小于</w:t>
      </w:r>
      <w:r>
        <w:rPr>
          <w:rFonts w:cs="Arial" w:asciiTheme="minorEastAsia" w:hAnsiTheme="minorEastAsia"/>
          <w:color w:val="000000" w:themeColor="text1"/>
          <w:sz w:val="18"/>
          <w:szCs w:val="18"/>
          <w14:textFill>
            <w14:solidFill>
              <w14:schemeClr w14:val="tx1"/>
            </w14:solidFill>
          </w14:textFill>
        </w:rPr>
        <w:t>1.5m</w:t>
      </w:r>
      <w:r>
        <w:rPr>
          <w:rFonts w:hint="eastAsia" w:cs="Arial" w:asciiTheme="minorEastAsia" w:hAnsiTheme="minorEastAsia"/>
          <w:color w:val="000000" w:themeColor="text1"/>
          <w:sz w:val="18"/>
          <w:szCs w:val="18"/>
          <w14:textFill>
            <w14:solidFill>
              <w14:schemeClr w14:val="tx1"/>
            </w14:solidFill>
          </w14:textFill>
        </w:rPr>
        <w:t>；</w:t>
      </w:r>
    </w:p>
    <w:p>
      <w:pPr>
        <w:ind w:left="1047" w:leftChars="370" w:hanging="270" w:hangingChars="150"/>
        <w:jc w:val="left"/>
        <w:rPr>
          <w:rFonts w:cs="Arial" w:asciiTheme="minorEastAsia" w:hAnsiTheme="minorEastAsia"/>
          <w:color w:val="000000" w:themeColor="text1"/>
          <w:sz w:val="18"/>
          <w:szCs w:val="18"/>
          <w14:textFill>
            <w14:solidFill>
              <w14:schemeClr w14:val="tx1"/>
            </w14:solidFill>
          </w14:textFill>
        </w:rPr>
      </w:pPr>
      <w:r>
        <w:rPr>
          <w:rFonts w:cs="Arial" w:asciiTheme="minorEastAsia" w:hAnsiTheme="minorEastAsia"/>
          <w:color w:val="000000" w:themeColor="text1"/>
          <w:sz w:val="18"/>
          <w:szCs w:val="18"/>
          <w14:textFill>
            <w14:solidFill>
              <w14:schemeClr w14:val="tx1"/>
            </w14:solidFill>
          </w14:textFill>
        </w:rPr>
        <w:t xml:space="preserve">5  </w:t>
      </w:r>
      <w:r>
        <w:rPr>
          <w:rFonts w:hint="eastAsia" w:cs="Arial" w:asciiTheme="minorEastAsia" w:hAnsiTheme="minorEastAsia"/>
          <w:color w:val="000000" w:themeColor="text1"/>
          <w:sz w:val="18"/>
          <w:szCs w:val="18"/>
          <w14:textFill>
            <w14:solidFill>
              <w14:schemeClr w14:val="tx1"/>
            </w14:solidFill>
          </w14:textFill>
        </w:rPr>
        <w:t>助燃气体卧（立）罐相互之间的防火间距不应小于</w:t>
      </w:r>
      <w:r>
        <w:rPr>
          <w:rFonts w:cs="Arial" w:asciiTheme="minorEastAsia" w:hAnsiTheme="minorEastAsia"/>
          <w:color w:val="000000" w:themeColor="text1"/>
          <w:sz w:val="18"/>
          <w:szCs w:val="18"/>
          <w14:textFill>
            <w14:solidFill>
              <w14:schemeClr w14:val="tx1"/>
            </w14:solidFill>
          </w14:textFill>
        </w:rPr>
        <w:t>1.5m</w:t>
      </w:r>
      <w:r>
        <w:rPr>
          <w:rFonts w:hint="eastAsia" w:cs="Arial" w:asciiTheme="minorEastAsia" w:hAnsiTheme="minorEastAsia"/>
          <w:color w:val="000000" w:themeColor="text1"/>
          <w:sz w:val="18"/>
          <w:szCs w:val="18"/>
          <w14:textFill>
            <w14:solidFill>
              <w14:schemeClr w14:val="tx1"/>
            </w14:solidFill>
          </w14:textFill>
        </w:rPr>
        <w:t>；</w:t>
      </w:r>
    </w:p>
    <w:p>
      <w:pPr>
        <w:ind w:left="1047" w:leftChars="370" w:hanging="270" w:hangingChars="150"/>
        <w:jc w:val="left"/>
        <w:rPr>
          <w:rFonts w:cs="Arial" w:asciiTheme="minorEastAsia" w:hAnsiTheme="minorEastAsia"/>
          <w:color w:val="000000" w:themeColor="text1"/>
          <w:sz w:val="18"/>
          <w:szCs w:val="18"/>
          <w14:textFill>
            <w14:solidFill>
              <w14:schemeClr w14:val="tx1"/>
            </w14:solidFill>
          </w14:textFill>
        </w:rPr>
      </w:pPr>
      <w:r>
        <w:rPr>
          <w:rFonts w:cs="Arial" w:asciiTheme="minorEastAsia" w:hAnsiTheme="minorEastAsia"/>
          <w:color w:val="000000" w:themeColor="text1"/>
          <w:sz w:val="18"/>
          <w:szCs w:val="18"/>
          <w14:textFill>
            <w14:solidFill>
              <w14:schemeClr w14:val="tx1"/>
            </w14:solidFill>
          </w14:textFill>
        </w:rPr>
        <w:t xml:space="preserve">6  </w:t>
      </w:r>
      <w:r>
        <w:rPr>
          <w:rFonts w:hint="eastAsia" w:cs="Arial" w:asciiTheme="minorEastAsia" w:hAnsiTheme="minorEastAsia"/>
          <w:color w:val="000000" w:themeColor="text1"/>
          <w:sz w:val="18"/>
          <w:szCs w:val="18"/>
          <w14:textFill>
            <w14:solidFill>
              <w14:schemeClr w14:val="tx1"/>
            </w14:solidFill>
          </w14:textFill>
        </w:rPr>
        <w:t>外罐为预应力混凝土的全冷冻式全防储罐与其他全冷冻式储罐的防火间距，应取前者直径的</w:t>
      </w:r>
      <w:r>
        <w:rPr>
          <w:rFonts w:cs="Arial" w:asciiTheme="minorEastAsia" w:hAnsiTheme="minorEastAsia"/>
          <w:color w:val="000000" w:themeColor="text1"/>
          <w:sz w:val="18"/>
          <w:szCs w:val="18"/>
          <w14:textFill>
            <w14:solidFill>
              <w14:schemeClr w14:val="tx1"/>
            </w14:solidFill>
          </w14:textFill>
        </w:rPr>
        <w:t>0.4</w:t>
      </w:r>
      <w:r>
        <w:rPr>
          <w:rFonts w:hint="eastAsia" w:cs="Arial" w:asciiTheme="minorEastAsia" w:hAnsiTheme="minorEastAsia"/>
          <w:color w:val="000000" w:themeColor="text1"/>
          <w:sz w:val="18"/>
          <w:szCs w:val="18"/>
          <w14:textFill>
            <w14:solidFill>
              <w14:schemeClr w14:val="tx1"/>
            </w14:solidFill>
          </w14:textFill>
        </w:rPr>
        <w:t>倍</w:t>
      </w:r>
      <w:r>
        <w:rPr>
          <w:rFonts w:cs="Arial" w:asciiTheme="minorEastAsia" w:hAnsiTheme="minorEastAsia"/>
          <w:color w:val="000000" w:themeColor="text1"/>
          <w:sz w:val="18"/>
          <w:szCs w:val="18"/>
          <w14:textFill>
            <w14:solidFill>
              <w14:schemeClr w14:val="tx1"/>
            </w14:solidFill>
          </w14:textFill>
        </w:rPr>
        <w:t>和后者</w:t>
      </w:r>
      <w:r>
        <w:rPr>
          <w:rFonts w:hint="eastAsia" w:cs="Arial" w:asciiTheme="minorEastAsia" w:hAnsiTheme="minorEastAsia"/>
          <w:color w:val="000000" w:themeColor="text1"/>
          <w:sz w:val="18"/>
          <w:szCs w:val="18"/>
          <w14:textFill>
            <w14:solidFill>
              <w14:schemeClr w14:val="tx1"/>
            </w14:solidFill>
          </w14:textFill>
        </w:rPr>
        <w:t>直径</w:t>
      </w:r>
      <w:r>
        <w:rPr>
          <w:rFonts w:cs="Arial" w:asciiTheme="minorEastAsia" w:hAnsiTheme="minorEastAsia"/>
          <w:color w:val="000000" w:themeColor="text1"/>
          <w:sz w:val="18"/>
          <w:szCs w:val="18"/>
          <w14:textFill>
            <w14:solidFill>
              <w14:schemeClr w14:val="tx1"/>
            </w14:solidFill>
          </w14:textFill>
        </w:rPr>
        <w:t>的0.5</w:t>
      </w:r>
      <w:r>
        <w:rPr>
          <w:rFonts w:hint="eastAsia" w:cs="Arial" w:asciiTheme="minorEastAsia" w:hAnsiTheme="minorEastAsia"/>
          <w:color w:val="000000" w:themeColor="text1"/>
          <w:sz w:val="18"/>
          <w:szCs w:val="18"/>
          <w14:textFill>
            <w14:solidFill>
              <w14:schemeClr w14:val="tx1"/>
            </w14:solidFill>
          </w14:textFill>
        </w:rPr>
        <w:t>倍中的较大值；</w:t>
      </w:r>
    </w:p>
    <w:p>
      <w:pPr>
        <w:ind w:left="1047" w:leftChars="370" w:hanging="270" w:hangingChars="150"/>
        <w:jc w:val="left"/>
        <w:rPr>
          <w:rFonts w:cs="Arial" w:asciiTheme="minorEastAsia" w:hAnsiTheme="minorEastAsia"/>
          <w:color w:val="000000" w:themeColor="text1"/>
          <w:sz w:val="18"/>
          <w:szCs w:val="18"/>
          <w14:textFill>
            <w14:solidFill>
              <w14:schemeClr w14:val="tx1"/>
            </w14:solidFill>
          </w14:textFill>
        </w:rPr>
      </w:pPr>
      <w:r>
        <w:rPr>
          <w:rFonts w:cs="Arial" w:asciiTheme="minorEastAsia" w:hAnsiTheme="minorEastAsia"/>
          <w:color w:val="000000" w:themeColor="text1"/>
          <w:sz w:val="18"/>
          <w:szCs w:val="18"/>
          <w14:textFill>
            <w14:solidFill>
              <w14:schemeClr w14:val="tx1"/>
            </w14:solidFill>
          </w14:textFill>
        </w:rPr>
        <w:t xml:space="preserve">7  </w:t>
      </w:r>
      <w:r>
        <w:rPr>
          <w:rFonts w:hint="eastAsia" w:cs="Arial" w:asciiTheme="minorEastAsia" w:hAnsiTheme="minorEastAsia"/>
          <w:color w:val="000000" w:themeColor="text1"/>
          <w:sz w:val="18"/>
          <w:szCs w:val="18"/>
          <w14:textFill>
            <w14:solidFill>
              <w14:schemeClr w14:val="tx1"/>
            </w14:solidFill>
          </w14:textFill>
        </w:rPr>
        <w:t>“</w:t>
      </w:r>
      <w:r>
        <w:rPr>
          <w:rFonts w:cs="Arial" w:asciiTheme="minorEastAsia" w:hAnsiTheme="minorEastAsia"/>
          <w:color w:val="000000" w:themeColor="text1"/>
          <w:sz w:val="18"/>
          <w:szCs w:val="18"/>
          <w14:textFill>
            <w14:solidFill>
              <w14:schemeClr w14:val="tx1"/>
            </w14:solidFill>
          </w14:textFill>
        </w:rPr>
        <w:t>*</w:t>
      </w:r>
      <w:r>
        <w:rPr>
          <w:rFonts w:hint="eastAsia" w:cs="Arial" w:asciiTheme="minorEastAsia" w:hAnsiTheme="minorEastAsia"/>
          <w:color w:val="000000" w:themeColor="text1"/>
          <w:sz w:val="18"/>
          <w:szCs w:val="18"/>
          <w14:textFill>
            <w14:solidFill>
              <w14:schemeClr w14:val="tx1"/>
            </w14:solidFill>
          </w14:textFill>
        </w:rPr>
        <w:t>”表示不应同组布置。</w:t>
      </w:r>
    </w:p>
    <w:p>
      <w:pPr>
        <w:pStyle w:val="310"/>
        <w:spacing w:line="360" w:lineRule="auto"/>
        <w:rPr>
          <w:rFonts w:ascii="Times New Roman"/>
        </w:rPr>
      </w:pPr>
      <w:r>
        <w:rPr>
          <w:rFonts w:ascii="Times New Roman"/>
        </w:rPr>
        <w:t xml:space="preserve">5.3.4  </w:t>
      </w:r>
      <w:r>
        <w:rPr>
          <w:rFonts w:hint="eastAsia" w:ascii="Times New Roman"/>
        </w:rPr>
        <w:t>全压力式储罐应采取防止液化烃泄漏的注水措施。</w:t>
      </w:r>
    </w:p>
    <w:p>
      <w:pPr>
        <w:pStyle w:val="310"/>
        <w:spacing w:line="360" w:lineRule="auto"/>
        <w:rPr>
          <w:rFonts w:ascii="Times New Roman"/>
        </w:rPr>
      </w:pPr>
      <w:r>
        <w:rPr>
          <w:rFonts w:ascii="Times New Roman"/>
        </w:rPr>
        <w:t xml:space="preserve">5.3.5  </w:t>
      </w:r>
      <w:r>
        <w:rPr>
          <w:rFonts w:hint="eastAsia" w:ascii="Times New Roman"/>
        </w:rPr>
        <w:t>全冷冻或半冷冻式液化烃储罐与其机泵区的防火间距不应小于</w:t>
      </w:r>
      <w:r>
        <w:rPr>
          <w:rFonts w:ascii="Times New Roman"/>
        </w:rPr>
        <w:t>15m</w:t>
      </w:r>
      <w:r>
        <w:rPr>
          <w:rFonts w:hint="eastAsia" w:ascii="Times New Roman"/>
        </w:rPr>
        <w:t>，其他附属工艺设备应布置在防火堤外。</w:t>
      </w:r>
    </w:p>
    <w:p>
      <w:pPr>
        <w:pStyle w:val="310"/>
        <w:spacing w:line="360" w:lineRule="auto"/>
        <w:rPr>
          <w:rFonts w:ascii="Times New Roman"/>
        </w:rPr>
      </w:pPr>
      <w:r>
        <w:rPr>
          <w:rFonts w:ascii="Times New Roman"/>
        </w:rPr>
        <w:t xml:space="preserve">5.3.6  </w:t>
      </w:r>
      <w:r>
        <w:rPr>
          <w:rFonts w:hint="eastAsia" w:ascii="Times New Roman"/>
        </w:rPr>
        <w:t>液化烃</w:t>
      </w:r>
      <w:r>
        <w:rPr>
          <w:rFonts w:ascii="Times New Roman"/>
        </w:rPr>
        <w:t>罐组内的储罐不应超过2排。</w:t>
      </w:r>
    </w:p>
    <w:p>
      <w:pPr>
        <w:pStyle w:val="3"/>
        <w:spacing w:line="360" w:lineRule="auto"/>
        <w:jc w:val="center"/>
        <w:rPr>
          <w:rFonts w:ascii="Times New Roman" w:hAnsi="Times New Roman" w:eastAsia="黑体"/>
          <w:b w:val="0"/>
        </w:rPr>
      </w:pPr>
      <w:bookmarkStart w:id="817" w:name="_Toc146639865"/>
      <w:bookmarkStart w:id="818" w:name="_Toc44668324"/>
      <w:r>
        <w:rPr>
          <w:rFonts w:ascii="Times New Roman" w:hAnsi="Times New Roman" w:eastAsia="黑体"/>
          <w:b w:val="0"/>
          <w:bCs w:val="0"/>
        </w:rPr>
        <w:t xml:space="preserve">5.4  </w:t>
      </w:r>
      <w:r>
        <w:rPr>
          <w:rFonts w:hint="eastAsia" w:ascii="Times New Roman" w:hAnsi="Times New Roman" w:eastAsia="黑体"/>
          <w:b w:val="0"/>
          <w:bCs w:val="0"/>
        </w:rPr>
        <w:t>可燃液体、液化烃装卸车设施</w:t>
      </w:r>
      <w:bookmarkEnd w:id="817"/>
      <w:bookmarkEnd w:id="818"/>
    </w:p>
    <w:p>
      <w:pPr>
        <w:pStyle w:val="310"/>
        <w:spacing w:line="360" w:lineRule="auto"/>
        <w:rPr>
          <w:rFonts w:ascii="Times New Roman"/>
        </w:rPr>
      </w:pPr>
      <w:r>
        <w:rPr>
          <w:rFonts w:ascii="Times New Roman"/>
        </w:rPr>
        <w:t xml:space="preserve">5.4.1  </w:t>
      </w:r>
      <w:r>
        <w:rPr>
          <w:rFonts w:hint="eastAsia" w:ascii="Times New Roman"/>
        </w:rPr>
        <w:t>可燃液体的铁路罐车装卸设施应符合下列规定：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从下部接卸铁路罐车的卸油系统，应采用密闭管道系统；</w:t>
      </w:r>
    </w:p>
    <w:p>
      <w:pPr>
        <w:pStyle w:val="310"/>
        <w:spacing w:line="360" w:lineRule="auto"/>
        <w:ind w:firstLine="420" w:firstLineChars="175"/>
        <w:rPr>
          <w:rFonts w:ascii="Times New Roman"/>
          <w:bCs/>
        </w:rPr>
      </w:pPr>
      <w:r>
        <w:rPr>
          <w:rFonts w:ascii="Times New Roman"/>
          <w:bCs/>
        </w:rPr>
        <w:t>2  顶部敞口装车的甲</w:t>
      </w:r>
      <w:r>
        <w:rPr>
          <w:rFonts w:hint="eastAsia" w:ascii="Times New Roman"/>
          <w:bCs/>
        </w:rPr>
        <w:t>Ｂ、乙、丙Ａ类的液体采用液下装车鹤管。</w:t>
      </w:r>
    </w:p>
    <w:p>
      <w:pPr>
        <w:pStyle w:val="310"/>
        <w:spacing w:line="360" w:lineRule="auto"/>
        <w:rPr>
          <w:rFonts w:ascii="Times New Roman"/>
        </w:rPr>
      </w:pPr>
      <w:r>
        <w:rPr>
          <w:rFonts w:ascii="Times New Roman"/>
        </w:rPr>
        <w:t xml:space="preserve">5.4.2  </w:t>
      </w:r>
      <w:r>
        <w:rPr>
          <w:rFonts w:hint="eastAsia" w:ascii="Times New Roman"/>
        </w:rPr>
        <w:t>可燃液体的汽车罐车装卸设施应符合下列规定：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甲Ｂ、乙、丙Ａ类液体的汽车罐车装车应采用液下装车鹤管；</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可燃液体的汽车罐车卸车应采用密闭管道系统。</w:t>
      </w:r>
    </w:p>
    <w:p>
      <w:pPr>
        <w:pStyle w:val="310"/>
        <w:spacing w:line="360" w:lineRule="auto"/>
        <w:rPr>
          <w:rFonts w:ascii="Times New Roman"/>
        </w:rPr>
      </w:pPr>
      <w:r>
        <w:rPr>
          <w:rFonts w:ascii="Times New Roman"/>
        </w:rPr>
        <w:t xml:space="preserve">5.4.3  </w:t>
      </w:r>
      <w:r>
        <w:rPr>
          <w:rFonts w:hint="eastAsia" w:ascii="Times New Roman"/>
        </w:rPr>
        <w:t>液化烃铁路罐车和汽车罐车的装卸设施除应符合本规范第</w:t>
      </w:r>
      <w:r>
        <w:rPr>
          <w:rFonts w:ascii="Times New Roman"/>
        </w:rPr>
        <w:t>5.4.1</w:t>
      </w:r>
      <w:r>
        <w:rPr>
          <w:rFonts w:hint="eastAsia" w:ascii="Times New Roman"/>
        </w:rPr>
        <w:t>条和第</w:t>
      </w:r>
      <w:r>
        <w:rPr>
          <w:rFonts w:ascii="Times New Roman"/>
        </w:rPr>
        <w:t>5.4.2</w:t>
      </w:r>
      <w:r>
        <w:rPr>
          <w:rFonts w:hint="eastAsia" w:ascii="Times New Roman"/>
        </w:rPr>
        <w:t>条的规定外，尚应符合下列规定：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液化烃不应就地排放；</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低温液化烃装卸鹤位应单独设置。</w:t>
      </w:r>
    </w:p>
    <w:p>
      <w:pPr>
        <w:pStyle w:val="310"/>
        <w:spacing w:line="360" w:lineRule="auto"/>
        <w:rPr>
          <w:rFonts w:ascii="Times New Roman"/>
        </w:rPr>
      </w:pPr>
      <w:r>
        <w:rPr>
          <w:rFonts w:ascii="Times New Roman"/>
        </w:rPr>
        <w:t xml:space="preserve">5.4.4  </w:t>
      </w:r>
      <w:r>
        <w:rPr>
          <w:rFonts w:hint="eastAsia" w:ascii="Times New Roman"/>
        </w:rPr>
        <w:t>可燃液体、液化烃装车应采取防满溢措施。</w:t>
      </w:r>
    </w:p>
    <w:p>
      <w:pPr>
        <w:pStyle w:val="310"/>
        <w:spacing w:line="360" w:lineRule="auto"/>
        <w:rPr>
          <w:rFonts w:ascii="Times New Roman"/>
        </w:rPr>
      </w:pPr>
      <w:r>
        <w:rPr>
          <w:rFonts w:ascii="Times New Roman"/>
        </w:rPr>
        <w:t xml:space="preserve">5.4.5  </w:t>
      </w:r>
      <w:r>
        <w:rPr>
          <w:rFonts w:hint="eastAsia" w:ascii="Times New Roman"/>
        </w:rPr>
        <w:t>液化烃装卸汽车罐车应采取防止罐车与鹤管意外脱离导致泄漏的措施。</w:t>
      </w:r>
    </w:p>
    <w:p>
      <w:pPr>
        <w:widowControl/>
        <w:jc w:val="left"/>
        <w:rPr>
          <w:rFonts w:ascii="宋体" w:hAnsi="宋体" w:eastAsia="宋体" w:cs="Times New Roman"/>
          <w:color w:val="000000"/>
          <w:szCs w:val="21"/>
          <w:lang w:bidi="ar"/>
        </w:rPr>
      </w:pPr>
      <w:r>
        <w:rPr>
          <w:rFonts w:ascii="宋体" w:hAnsi="宋体" w:eastAsia="宋体" w:cs="Times New Roman"/>
          <w:color w:val="000000"/>
          <w:szCs w:val="21"/>
          <w:lang w:bidi="ar"/>
        </w:rPr>
        <w:br w:type="page"/>
      </w:r>
    </w:p>
    <w:p>
      <w:pPr>
        <w:spacing w:before="312" w:beforeLines="100"/>
        <w:jc w:val="center"/>
        <w:outlineLvl w:val="0"/>
        <w:rPr>
          <w:rFonts w:cs="Times New Roman" w:asciiTheme="minorEastAsia" w:hAnsiTheme="minorEastAsia"/>
          <w:sz w:val="30"/>
          <w:szCs w:val="30"/>
          <w:lang w:bidi="ar"/>
        </w:rPr>
      </w:pPr>
      <w:bookmarkStart w:id="819" w:name="_Toc146639866"/>
      <w:r>
        <w:rPr>
          <w:rFonts w:cs="Times New Roman" w:asciiTheme="minorEastAsia" w:hAnsiTheme="minorEastAsia"/>
          <w:sz w:val="30"/>
          <w:szCs w:val="30"/>
          <w:lang w:bidi="ar"/>
        </w:rPr>
        <w:t>6</w:t>
      </w:r>
      <w:bookmarkStart w:id="820" w:name="_Toc91770094"/>
      <w:r>
        <w:rPr>
          <w:rFonts w:cs="Times New Roman" w:asciiTheme="minorEastAsia" w:hAnsiTheme="minorEastAsia"/>
          <w:sz w:val="30"/>
          <w:szCs w:val="30"/>
          <w:lang w:bidi="ar"/>
        </w:rPr>
        <w:t xml:space="preserve">  </w:t>
      </w:r>
      <w:bookmarkEnd w:id="820"/>
      <w:bookmarkStart w:id="821" w:name="_Toc140162168"/>
      <w:r>
        <w:rPr>
          <w:rFonts w:hint="eastAsia" w:cs="Times New Roman" w:asciiTheme="minorEastAsia" w:hAnsiTheme="minorEastAsia"/>
          <w:sz w:val="30"/>
          <w:szCs w:val="30"/>
          <w:lang w:bidi="ar"/>
        </w:rPr>
        <w:t>辅助生产设施</w:t>
      </w:r>
      <w:bookmarkEnd w:id="819"/>
      <w:bookmarkEnd w:id="821"/>
    </w:p>
    <w:p>
      <w:pPr>
        <w:pStyle w:val="3"/>
        <w:spacing w:line="360" w:lineRule="auto"/>
        <w:jc w:val="center"/>
        <w:rPr>
          <w:rFonts w:ascii="Times New Roman" w:hAnsi="Times New Roman" w:eastAsia="黑体"/>
          <w:b w:val="0"/>
        </w:rPr>
      </w:pPr>
      <w:bookmarkStart w:id="822" w:name="_Toc146639867"/>
      <w:r>
        <w:rPr>
          <w:rFonts w:ascii="Times New Roman" w:hAnsi="Times New Roman" w:eastAsia="黑体"/>
          <w:b w:val="0"/>
          <w:bCs w:val="0"/>
        </w:rPr>
        <w:t>6</w:t>
      </w:r>
      <w:bookmarkStart w:id="823" w:name="_Toc140162170"/>
      <w:bookmarkStart w:id="824" w:name="_Toc44668331"/>
      <w:r>
        <w:rPr>
          <w:rFonts w:ascii="Times New Roman" w:hAnsi="Times New Roman" w:eastAsia="黑体"/>
          <w:b w:val="0"/>
          <w:bCs w:val="0"/>
        </w:rPr>
        <w:t xml:space="preserve">.1  </w:t>
      </w:r>
      <w:r>
        <w:rPr>
          <w:rFonts w:hint="eastAsia" w:ascii="Times New Roman" w:hAnsi="Times New Roman" w:eastAsia="黑体"/>
          <w:b w:val="0"/>
          <w:bCs w:val="0"/>
        </w:rPr>
        <w:t>一般规定</w:t>
      </w:r>
      <w:bookmarkEnd w:id="822"/>
      <w:bookmarkEnd w:id="823"/>
    </w:p>
    <w:p>
      <w:pPr>
        <w:pStyle w:val="310"/>
        <w:spacing w:line="360" w:lineRule="auto"/>
        <w:rPr>
          <w:rFonts w:ascii="Times New Roman"/>
        </w:rPr>
      </w:pPr>
      <w:r>
        <w:rPr>
          <w:rFonts w:ascii="Times New Roman"/>
        </w:rPr>
        <w:t xml:space="preserve">6.1.1  </w:t>
      </w:r>
      <w:r>
        <w:rPr>
          <w:rFonts w:hint="eastAsia" w:ascii="Times New Roman"/>
        </w:rPr>
        <w:t>炼油化工工程项目辅助生产设施的安全设防应当与设施的规模、类别、使用性质、功能用途以及存在的主要危险性等相适应。</w:t>
      </w:r>
    </w:p>
    <w:p>
      <w:pPr>
        <w:pStyle w:val="310"/>
        <w:spacing w:line="360" w:lineRule="auto"/>
        <w:rPr>
          <w:rFonts w:ascii="Times New Roman"/>
        </w:rPr>
      </w:pPr>
      <w:r>
        <w:rPr>
          <w:rFonts w:ascii="Times New Roman"/>
        </w:rPr>
        <w:t xml:space="preserve">6.1.2  </w:t>
      </w:r>
      <w:r>
        <w:rPr>
          <w:rFonts w:hint="eastAsia" w:ascii="Times New Roman"/>
        </w:rPr>
        <w:t>炼油化工工程项目中特殊建筑物应根据石油化工行业的生产特点及需求、使用功能、人员特征及数量、存在的危险性、事故后果严重程度等特征进行分类，其分类及设防标准</w:t>
      </w:r>
      <w:r>
        <w:rPr>
          <w:rFonts w:ascii="Times New Roman"/>
        </w:rPr>
        <w:t>应</w:t>
      </w:r>
      <w:r>
        <w:rPr>
          <w:rFonts w:hint="eastAsia" w:ascii="Times New Roman"/>
        </w:rPr>
        <w:t>符合</w:t>
      </w:r>
      <w:r>
        <w:rPr>
          <w:rFonts w:ascii="Times New Roman"/>
        </w:rPr>
        <w:t>表6.1.2</w:t>
      </w:r>
      <w:r>
        <w:rPr>
          <w:rFonts w:hint="eastAsia" w:ascii="Times New Roman"/>
        </w:rPr>
        <w:t>的规定。</w:t>
      </w:r>
    </w:p>
    <w:p>
      <w:pPr>
        <w:spacing w:after="62" w:afterLines="20"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w:t>
      </w:r>
      <w:r>
        <w:rPr>
          <w:rFonts w:asciiTheme="minorEastAsia" w:hAnsiTheme="minorEastAsia"/>
          <w:color w:val="000000" w:themeColor="text1"/>
          <w:sz w:val="24"/>
          <w:szCs w:val="24"/>
          <w14:textFill>
            <w14:solidFill>
              <w14:schemeClr w14:val="tx1"/>
            </w14:solidFill>
          </w14:textFill>
        </w:rPr>
        <w:t xml:space="preserve">6.1.2  </w:t>
      </w:r>
      <w:r>
        <w:rPr>
          <w:rFonts w:hint="eastAsia" w:asciiTheme="minorEastAsia" w:hAnsiTheme="minorEastAsia"/>
          <w:color w:val="000000" w:themeColor="text1"/>
          <w:sz w:val="24"/>
          <w:szCs w:val="24"/>
          <w14:textFill>
            <w14:solidFill>
              <w14:schemeClr w14:val="tx1"/>
            </w14:solidFill>
          </w14:textFill>
        </w:rPr>
        <w:t>炼油化工工程项目特殊建筑物分类及设防标准表</w:t>
      </w:r>
    </w:p>
    <w:tbl>
      <w:tblPr>
        <w:tblStyle w:val="35"/>
        <w:tblW w:w="8227" w:type="dxa"/>
        <w:tblInd w:w="-10" w:type="dxa"/>
        <w:tblLayout w:type="fixed"/>
        <w:tblCellMar>
          <w:top w:w="0" w:type="dxa"/>
          <w:left w:w="108" w:type="dxa"/>
          <w:bottom w:w="0" w:type="dxa"/>
          <w:right w:w="108" w:type="dxa"/>
        </w:tblCellMar>
      </w:tblPr>
      <w:tblGrid>
        <w:gridCol w:w="714"/>
        <w:gridCol w:w="2268"/>
        <w:gridCol w:w="709"/>
        <w:gridCol w:w="1559"/>
        <w:gridCol w:w="851"/>
        <w:gridCol w:w="1134"/>
        <w:gridCol w:w="992"/>
      </w:tblGrid>
      <w:tr>
        <w:tblPrEx>
          <w:tblCellMar>
            <w:top w:w="0" w:type="dxa"/>
            <w:left w:w="108" w:type="dxa"/>
            <w:bottom w:w="0" w:type="dxa"/>
            <w:right w:w="108" w:type="dxa"/>
          </w:tblCellMar>
        </w:tblPrEx>
        <w:trPr>
          <w:trHeight w:val="540" w:hRule="atLeast"/>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226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特殊建筑物名称</w:t>
            </w:r>
          </w:p>
        </w:tc>
        <w:tc>
          <w:tcPr>
            <w:tcW w:w="226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特殊建筑物分类</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抗震设防分类</w:t>
            </w:r>
          </w:p>
        </w:tc>
        <w:tc>
          <w:tcPr>
            <w:tcW w:w="113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火灾危险性分类</w:t>
            </w:r>
          </w:p>
        </w:tc>
        <w:tc>
          <w:tcPr>
            <w:tcW w:w="992"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耐火等级</w:t>
            </w:r>
          </w:p>
        </w:tc>
      </w:tr>
      <w:tr>
        <w:tblPrEx>
          <w:tblCellMar>
            <w:top w:w="0" w:type="dxa"/>
            <w:left w:w="108" w:type="dxa"/>
            <w:bottom w:w="0" w:type="dxa"/>
            <w:right w:w="108" w:type="dxa"/>
          </w:tblCellMar>
        </w:tblPrEx>
        <w:trPr>
          <w:trHeight w:val="40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1</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中心控制室</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辅助生产建筑物</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丁</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r>
      <w:tr>
        <w:tblPrEx>
          <w:tblCellMar>
            <w:top w:w="0" w:type="dxa"/>
            <w:left w:w="108" w:type="dxa"/>
            <w:bottom w:w="0" w:type="dxa"/>
            <w:right w:w="108" w:type="dxa"/>
          </w:tblCellMar>
        </w:tblPrEx>
        <w:trPr>
          <w:trHeight w:val="40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2</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中心化验室</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辅助生产建筑物</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r>
      <w:tr>
        <w:trPr>
          <w:trHeight w:val="40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3</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装置控制室、现场机柜室</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辅助生产建筑物</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丁</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r>
      <w:tr>
        <w:tblPrEx>
          <w:tblCellMar>
            <w:top w:w="0" w:type="dxa"/>
            <w:left w:w="108" w:type="dxa"/>
            <w:bottom w:w="0" w:type="dxa"/>
            <w:right w:w="108" w:type="dxa"/>
          </w:tblCellMar>
        </w:tblPrEx>
        <w:trPr>
          <w:trHeight w:val="40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4</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环境监测站</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辅助生产建筑物</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丁</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r>
      <w:tr>
        <w:tblPrEx>
          <w:tblCellMar>
            <w:top w:w="0" w:type="dxa"/>
            <w:left w:w="108" w:type="dxa"/>
            <w:bottom w:w="0" w:type="dxa"/>
            <w:right w:w="108" w:type="dxa"/>
          </w:tblCellMar>
        </w:tblPrEx>
        <w:trPr>
          <w:trHeight w:val="459"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5</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变电所</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辅助生产建筑物</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r>
              <w:rPr>
                <w:rFonts w:ascii="宋体" w:hAnsi="宋体" w:eastAsia="宋体" w:cs="宋体"/>
                <w:kern w:val="0"/>
                <w:sz w:val="18"/>
                <w:szCs w:val="18"/>
              </w:rPr>
              <w:t>/</w:t>
            </w:r>
            <w:r>
              <w:rPr>
                <w:rFonts w:hint="eastAsia" w:ascii="宋体" w:hAnsi="宋体" w:eastAsia="宋体" w:cs="宋体"/>
                <w:kern w:val="0"/>
                <w:sz w:val="18"/>
                <w:szCs w:val="18"/>
              </w:rPr>
              <w:t>丁</w:t>
            </w:r>
            <w:r>
              <w:rPr>
                <w:rFonts w:ascii="宋体" w:hAnsi="宋体" w:eastAsia="宋体" w:cs="宋体"/>
                <w:kern w:val="0"/>
                <w:sz w:val="18"/>
                <w:szCs w:val="18"/>
              </w:rPr>
              <w:t xml:space="preserve"> </w:t>
            </w:r>
            <w:r>
              <w:rPr>
                <w:rFonts w:hint="eastAsia" w:ascii="宋体" w:hAnsi="宋体" w:eastAsia="宋体" w:cs="宋体"/>
                <w:kern w:val="0"/>
                <w:sz w:val="18"/>
                <w:szCs w:val="18"/>
              </w:rPr>
              <w:t>注</w:t>
            </w:r>
            <w:r>
              <w:rPr>
                <w:rFonts w:ascii="宋体" w:hAnsi="宋体" w:eastAsia="宋体" w:cs="宋体"/>
                <w:kern w:val="0"/>
                <w:sz w:val="18"/>
                <w:szCs w:val="18"/>
              </w:rPr>
              <w:t>1</w:t>
            </w:r>
          </w:p>
        </w:tc>
        <w:tc>
          <w:tcPr>
            <w:tcW w:w="992"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r>
              <w:rPr>
                <w:rFonts w:ascii="宋体" w:hAnsi="宋体" w:eastAsia="宋体" w:cs="宋体"/>
                <w:kern w:val="0"/>
                <w:sz w:val="18"/>
                <w:szCs w:val="18"/>
              </w:rPr>
              <w:t xml:space="preserve"> </w:t>
            </w:r>
            <w:r>
              <w:rPr>
                <w:rFonts w:hint="eastAsia" w:ascii="宋体" w:hAnsi="宋体" w:eastAsia="宋体" w:cs="宋体"/>
                <w:kern w:val="0"/>
                <w:sz w:val="18"/>
                <w:szCs w:val="18"/>
              </w:rPr>
              <w:t>注</w:t>
            </w:r>
            <w:r>
              <w:rPr>
                <w:rFonts w:ascii="宋体" w:hAnsi="宋体" w:eastAsia="宋体" w:cs="宋体"/>
                <w:kern w:val="0"/>
                <w:sz w:val="18"/>
                <w:szCs w:val="18"/>
              </w:rPr>
              <w:t>2</w:t>
            </w:r>
          </w:p>
        </w:tc>
      </w:tr>
      <w:tr>
        <w:tblPrEx>
          <w:tblCellMar>
            <w:top w:w="0" w:type="dxa"/>
            <w:left w:w="108" w:type="dxa"/>
            <w:bottom w:w="0" w:type="dxa"/>
            <w:right w:w="108" w:type="dxa"/>
          </w:tblCellMar>
        </w:tblPrEx>
        <w:trPr>
          <w:trHeight w:val="40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6</w:t>
            </w:r>
          </w:p>
        </w:tc>
        <w:tc>
          <w:tcPr>
            <w:tcW w:w="2268"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Times New Roman"/>
                <w:sz w:val="18"/>
                <w:szCs w:val="18"/>
              </w:rPr>
            </w:pPr>
            <w:r>
              <w:rPr>
                <w:rFonts w:hint="eastAsia" w:ascii="宋体" w:hAnsi="宋体" w:eastAsia="宋体"/>
                <w:kern w:val="0"/>
                <w:sz w:val="18"/>
                <w:szCs w:val="18"/>
              </w:rPr>
              <w:t>甲乙类危险品库</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仓库</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甲</w:t>
            </w:r>
            <w:r>
              <w:rPr>
                <w:rFonts w:ascii="宋体" w:hAnsi="宋体" w:eastAsia="宋体" w:cs="宋体"/>
                <w:kern w:val="0"/>
                <w:sz w:val="18"/>
                <w:szCs w:val="18"/>
              </w:rPr>
              <w:t>/</w:t>
            </w:r>
            <w:r>
              <w:rPr>
                <w:rFonts w:hint="eastAsia" w:ascii="宋体" w:hAnsi="宋体" w:eastAsia="宋体" w:cs="宋体"/>
                <w:kern w:val="0"/>
                <w:sz w:val="18"/>
                <w:szCs w:val="18"/>
              </w:rPr>
              <w:t>乙</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r>
      <w:tr>
        <w:trPr>
          <w:trHeight w:val="40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7</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放射源危险品库</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仓库</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甲</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r>
      <w:tr>
        <w:tblPrEx>
          <w:tblCellMar>
            <w:top w:w="0" w:type="dxa"/>
            <w:left w:w="108" w:type="dxa"/>
            <w:bottom w:w="0" w:type="dxa"/>
            <w:right w:w="108" w:type="dxa"/>
          </w:tblCellMar>
        </w:tblPrEx>
        <w:trPr>
          <w:trHeight w:val="40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8</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合成纤维仓库</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仓库</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注</w:t>
            </w:r>
            <w:r>
              <w:rPr>
                <w:rFonts w:ascii="宋体" w:hAnsi="宋体" w:eastAsia="宋体" w:cs="宋体"/>
                <w:kern w:val="0"/>
                <w:sz w:val="18"/>
                <w:szCs w:val="18"/>
              </w:rPr>
              <w:t>3</w:t>
            </w:r>
          </w:p>
        </w:tc>
      </w:tr>
      <w:tr>
        <w:tblPrEx>
          <w:tblCellMar>
            <w:top w:w="0" w:type="dxa"/>
            <w:left w:w="108" w:type="dxa"/>
            <w:bottom w:w="0" w:type="dxa"/>
            <w:right w:w="108" w:type="dxa"/>
          </w:tblCellMar>
        </w:tblPrEx>
        <w:trPr>
          <w:trHeight w:val="40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9</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合成橡胶仓库</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仓库</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注</w:t>
            </w:r>
            <w:r>
              <w:rPr>
                <w:rFonts w:ascii="宋体" w:hAnsi="宋体" w:eastAsia="宋体" w:cs="宋体"/>
                <w:kern w:val="0"/>
                <w:sz w:val="18"/>
                <w:szCs w:val="18"/>
              </w:rPr>
              <w:t>3</w:t>
            </w:r>
          </w:p>
        </w:tc>
      </w:tr>
      <w:tr>
        <w:tblPrEx>
          <w:tblCellMar>
            <w:top w:w="0" w:type="dxa"/>
            <w:left w:w="108" w:type="dxa"/>
            <w:bottom w:w="0" w:type="dxa"/>
            <w:right w:w="108" w:type="dxa"/>
          </w:tblCellMar>
        </w:tblPrEx>
        <w:trPr>
          <w:trHeight w:val="54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10</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合成树脂及塑料仓库</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仓库</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注</w:t>
            </w:r>
            <w:r>
              <w:rPr>
                <w:rFonts w:ascii="宋体" w:hAnsi="宋体" w:eastAsia="宋体" w:cs="宋体"/>
                <w:kern w:val="0"/>
                <w:sz w:val="18"/>
                <w:szCs w:val="18"/>
              </w:rPr>
              <w:t>3</w:t>
            </w:r>
          </w:p>
        </w:tc>
      </w:tr>
      <w:tr>
        <w:trPr>
          <w:trHeight w:val="40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11</w:t>
            </w:r>
          </w:p>
        </w:tc>
        <w:tc>
          <w:tcPr>
            <w:tcW w:w="226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尿素散装仓库</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仓库</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丙</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w:t>
            </w:r>
          </w:p>
        </w:tc>
      </w:tr>
      <w:tr>
        <w:tblPrEx>
          <w:tblCellMar>
            <w:top w:w="0" w:type="dxa"/>
            <w:left w:w="108" w:type="dxa"/>
            <w:bottom w:w="0" w:type="dxa"/>
            <w:right w:w="108" w:type="dxa"/>
          </w:tblCellMar>
        </w:tblPrEx>
        <w:trPr>
          <w:trHeight w:val="540" w:hRule="atLeast"/>
        </w:trPr>
        <w:tc>
          <w:tcPr>
            <w:tcW w:w="714" w:type="dxa"/>
            <w:tcBorders>
              <w:top w:val="nil"/>
              <w:left w:val="single" w:color="auto" w:sz="4" w:space="0"/>
              <w:bottom w:val="single" w:color="auto" w:sz="4" w:space="0"/>
              <w:right w:val="single" w:color="auto" w:sz="4" w:space="0"/>
            </w:tcBorders>
            <w:shd w:val="clear" w:color="auto" w:fill="FFFFFF"/>
            <w:vAlign w:val="center"/>
          </w:tcPr>
          <w:p>
            <w:pPr>
              <w:pStyle w:val="305"/>
              <w:widowControl/>
              <w:ind w:firstLine="0" w:firstLineChars="0"/>
              <w:jc w:val="center"/>
              <w:rPr>
                <w:rFonts w:ascii="宋体" w:hAnsi="宋体" w:cs="宋体"/>
                <w:kern w:val="0"/>
                <w:sz w:val="18"/>
                <w:szCs w:val="18"/>
              </w:rPr>
            </w:pPr>
            <w:r>
              <w:rPr>
                <w:rFonts w:ascii="宋体" w:hAnsi="宋体" w:cs="宋体"/>
                <w:kern w:val="0"/>
                <w:sz w:val="18"/>
                <w:szCs w:val="18"/>
              </w:rPr>
              <w:t>12</w:t>
            </w:r>
          </w:p>
        </w:tc>
        <w:tc>
          <w:tcPr>
            <w:tcW w:w="2268"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Times New Roman"/>
                <w:sz w:val="18"/>
                <w:szCs w:val="18"/>
              </w:rPr>
            </w:pPr>
            <w:r>
              <w:rPr>
                <w:rFonts w:hint="eastAsia" w:ascii="宋体" w:hAnsi="宋体" w:eastAsia="宋体"/>
                <w:kern w:val="0"/>
                <w:sz w:val="18"/>
                <w:szCs w:val="18"/>
              </w:rPr>
              <w:t>固体聚合物挤压造粒厂房</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工业</w:t>
            </w:r>
          </w:p>
        </w:tc>
        <w:tc>
          <w:tcPr>
            <w:tcW w:w="155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厂房</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乙</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丙</w:t>
            </w:r>
          </w:p>
        </w:tc>
        <w:tc>
          <w:tcPr>
            <w:tcW w:w="99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注</w:t>
            </w:r>
            <w:r>
              <w:rPr>
                <w:rFonts w:ascii="宋体" w:hAnsi="宋体" w:eastAsia="宋体" w:cs="宋体"/>
                <w:kern w:val="0"/>
                <w:sz w:val="18"/>
                <w:szCs w:val="18"/>
              </w:rPr>
              <w:t>4</w:t>
            </w:r>
          </w:p>
        </w:tc>
      </w:tr>
    </w:tbl>
    <w:p>
      <w:pPr>
        <w:spacing w:before="62" w:beforeLines="20" w:after="62" w:afterLines="20"/>
        <w:ind w:left="1155" w:leftChars="200" w:hanging="735" w:hangingChars="350"/>
        <w:jc w:val="left"/>
        <w:rPr>
          <w:rFonts w:cs="宋体" w:asciiTheme="minorEastAsia" w:hAnsiTheme="minorEastAsia"/>
          <w:color w:val="000000"/>
          <w:kern w:val="0"/>
          <w:szCs w:val="21"/>
        </w:rPr>
      </w:pPr>
      <w:r>
        <w:rPr>
          <w:rFonts w:hint="eastAsia" w:cs="Times New Roman" w:asciiTheme="minorEastAsia" w:hAnsiTheme="minorEastAsia"/>
          <w:color w:val="000000" w:themeColor="text1"/>
          <w:szCs w:val="21"/>
          <w14:textFill>
            <w14:solidFill>
              <w14:schemeClr w14:val="tx1"/>
            </w14:solidFill>
          </w14:textFill>
        </w:rPr>
        <w:t>注：</w:t>
      </w:r>
      <w:r>
        <w:rPr>
          <w:rFonts w:cs="Times New Roman" w:asciiTheme="minorEastAsia" w:hAnsiTheme="minorEastAsia"/>
          <w:color w:val="000000" w:themeColor="text1"/>
          <w:szCs w:val="21"/>
          <w14:textFill>
            <w14:solidFill>
              <w14:schemeClr w14:val="tx1"/>
            </w14:solidFill>
          </w14:textFill>
        </w:rPr>
        <w:t xml:space="preserve">1  </w:t>
      </w:r>
      <w:r>
        <w:rPr>
          <w:rFonts w:hint="eastAsia" w:cs="宋体" w:asciiTheme="minorEastAsia" w:hAnsiTheme="minorEastAsia"/>
          <w:color w:val="000000"/>
          <w:kern w:val="0"/>
          <w:szCs w:val="21"/>
        </w:rPr>
        <w:t>油浸式变压器及其他单台设备油量</w:t>
      </w:r>
      <w:r>
        <w:rPr>
          <w:rFonts w:cs="宋体" w:asciiTheme="minorEastAsia" w:hAnsiTheme="minorEastAsia"/>
          <w:color w:val="000000"/>
          <w:kern w:val="0"/>
          <w:szCs w:val="21"/>
        </w:rPr>
        <w:t>60kg</w:t>
      </w:r>
      <w:r>
        <w:rPr>
          <w:rFonts w:hint="eastAsia" w:cs="宋体" w:asciiTheme="minorEastAsia" w:hAnsiTheme="minorEastAsia"/>
          <w:color w:val="000000"/>
          <w:kern w:val="0"/>
          <w:szCs w:val="21"/>
        </w:rPr>
        <w:t>以上含油电气设备火灾危险性分类为丙类，单台设备油量</w:t>
      </w:r>
      <w:r>
        <w:rPr>
          <w:rFonts w:cs="宋体" w:asciiTheme="minorEastAsia" w:hAnsiTheme="minorEastAsia"/>
          <w:color w:val="000000"/>
          <w:kern w:val="0"/>
          <w:szCs w:val="21"/>
        </w:rPr>
        <w:t>60kg</w:t>
      </w:r>
      <w:r>
        <w:rPr>
          <w:rFonts w:hint="eastAsia" w:cs="宋体" w:asciiTheme="minorEastAsia" w:hAnsiTheme="minorEastAsia"/>
          <w:color w:val="000000"/>
          <w:kern w:val="0"/>
          <w:szCs w:val="21"/>
        </w:rPr>
        <w:t>及以下含油电气设备、干式变压器及其他不含油电气设备火灾危险性分类为丁类；</w:t>
      </w:r>
    </w:p>
    <w:p>
      <w:pPr>
        <w:spacing w:before="62" w:beforeLines="20" w:after="62" w:afterLines="20"/>
        <w:ind w:left="1155" w:leftChars="400" w:hanging="315" w:hangingChars="150"/>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 xml:space="preserve">2  </w:t>
      </w:r>
      <w:r>
        <w:rPr>
          <w:rFonts w:hint="eastAsia" w:cs="Times New Roman" w:asciiTheme="minorEastAsia" w:hAnsiTheme="minorEastAsia"/>
          <w:color w:val="000000" w:themeColor="text1"/>
          <w:szCs w:val="21"/>
          <w14:textFill>
            <w14:solidFill>
              <w14:schemeClr w14:val="tx1"/>
            </w14:solidFill>
          </w14:textFill>
        </w:rPr>
        <w:t>油浸变压器室的耐火等级应为一级；</w:t>
      </w:r>
    </w:p>
    <w:p>
      <w:pPr>
        <w:spacing w:before="62" w:beforeLines="20" w:after="62" w:afterLines="20"/>
        <w:ind w:left="1155" w:leftChars="400" w:hanging="315" w:hangingChars="150"/>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 xml:space="preserve">3  </w:t>
      </w:r>
      <w:r>
        <w:rPr>
          <w:rFonts w:hint="eastAsia" w:asciiTheme="minorEastAsia" w:hAnsiTheme="minorEastAsia"/>
          <w:color w:val="000000" w:themeColor="text1"/>
          <w:szCs w:val="21"/>
          <w14:textFill>
            <w14:solidFill>
              <w14:schemeClr w14:val="tx1"/>
            </w14:solidFill>
          </w14:textFill>
        </w:rPr>
        <w:t>单层仓库，总建筑面积大于</w:t>
      </w:r>
      <w:r>
        <w:rPr>
          <w:rFonts w:asciiTheme="minorEastAsia" w:hAnsiTheme="minorEastAsia"/>
          <w:color w:val="000000" w:themeColor="text1"/>
          <w:szCs w:val="21"/>
          <w14:textFill>
            <w14:solidFill>
              <w14:schemeClr w14:val="tx1"/>
            </w14:solidFill>
          </w14:textFill>
        </w:rPr>
        <w:t>20000m</w:t>
      </w:r>
      <w:r>
        <w:rPr>
          <w:rFonts w:asciiTheme="minorEastAsia" w:hAnsiTheme="minorEastAsia"/>
          <w:color w:val="000000" w:themeColor="text1"/>
          <w:szCs w:val="21"/>
          <w:vertAlign w:val="superscript"/>
          <w14:textFill>
            <w14:solidFill>
              <w14:schemeClr w14:val="tx1"/>
            </w14:solidFill>
          </w14:textFill>
        </w:rPr>
        <w:t>2</w:t>
      </w:r>
      <w:r>
        <w:rPr>
          <w:rFonts w:hint="eastAsia" w:asciiTheme="minorEastAsia" w:hAnsiTheme="minorEastAsia"/>
          <w:color w:val="000000" w:themeColor="text1"/>
          <w:szCs w:val="21"/>
          <w14:textFill>
            <w14:solidFill>
              <w14:schemeClr w14:val="tx1"/>
            </w14:solidFill>
          </w14:textFill>
        </w:rPr>
        <w:t>时，其耐火等级应为一级；总建筑面积小于或等于</w:t>
      </w:r>
      <w:r>
        <w:rPr>
          <w:rFonts w:asciiTheme="minorEastAsia" w:hAnsiTheme="minorEastAsia"/>
          <w:color w:val="000000" w:themeColor="text1"/>
          <w:szCs w:val="21"/>
          <w14:textFill>
            <w14:solidFill>
              <w14:schemeClr w14:val="tx1"/>
            </w14:solidFill>
          </w14:textFill>
        </w:rPr>
        <w:t>20000m</w:t>
      </w:r>
      <w:r>
        <w:rPr>
          <w:rFonts w:asciiTheme="minorEastAsia" w:hAnsiTheme="minorEastAsia"/>
          <w:color w:val="000000" w:themeColor="text1"/>
          <w:szCs w:val="21"/>
          <w:vertAlign w:val="superscript"/>
          <w14:textFill>
            <w14:solidFill>
              <w14:schemeClr w14:val="tx1"/>
            </w14:solidFill>
          </w14:textFill>
        </w:rPr>
        <w:t>2</w:t>
      </w:r>
      <w:r>
        <w:rPr>
          <w:rFonts w:hint="eastAsia" w:asciiTheme="minorEastAsia" w:hAnsiTheme="minorEastAsia"/>
          <w:color w:val="000000" w:themeColor="text1"/>
          <w:szCs w:val="21"/>
          <w14:textFill>
            <w14:solidFill>
              <w14:schemeClr w14:val="tx1"/>
            </w14:solidFill>
          </w14:textFill>
        </w:rPr>
        <w:t>时，其耐火等级不应低于二级；</w:t>
      </w:r>
    </w:p>
    <w:p>
      <w:pPr>
        <w:spacing w:before="62" w:beforeLines="20" w:after="62" w:afterLines="20"/>
        <w:ind w:left="1155" w:leftChars="400" w:hanging="315" w:hangingChars="150"/>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 xml:space="preserve">4  </w:t>
      </w:r>
      <w:r>
        <w:rPr>
          <w:rFonts w:hint="eastAsia" w:cs="宋体" w:asciiTheme="minorEastAsia" w:hAnsiTheme="minorEastAsia"/>
          <w:color w:val="000000"/>
          <w:kern w:val="0"/>
          <w:szCs w:val="21"/>
        </w:rPr>
        <w:t>固体聚合物挤压造粒</w:t>
      </w:r>
      <w:r>
        <w:rPr>
          <w:rFonts w:hint="eastAsia" w:cs="Times New Roman" w:asciiTheme="minorEastAsia" w:hAnsiTheme="minorEastAsia"/>
          <w:color w:val="000000" w:themeColor="text1"/>
          <w:szCs w:val="21"/>
          <w14:textFill>
            <w14:solidFill>
              <w14:schemeClr w14:val="tx1"/>
            </w14:solidFill>
          </w14:textFill>
        </w:rPr>
        <w:t>厂房的建筑，高度大于</w:t>
      </w:r>
      <w:r>
        <w:rPr>
          <w:rFonts w:cs="Times New Roman" w:asciiTheme="minorEastAsia" w:hAnsiTheme="minorEastAsia"/>
          <w:color w:val="000000" w:themeColor="text1"/>
          <w:szCs w:val="21"/>
          <w14:textFill>
            <w14:solidFill>
              <w14:schemeClr w14:val="tx1"/>
            </w14:solidFill>
          </w14:textFill>
        </w:rPr>
        <w:t>50m时，其</w:t>
      </w:r>
      <w:r>
        <w:rPr>
          <w:rFonts w:hint="eastAsia" w:cs="Times New Roman" w:asciiTheme="minorEastAsia" w:hAnsiTheme="minorEastAsia"/>
          <w:color w:val="000000" w:themeColor="text1"/>
          <w:szCs w:val="21"/>
          <w14:textFill>
            <w14:solidFill>
              <w14:schemeClr w14:val="tx1"/>
            </w14:solidFill>
          </w14:textFill>
        </w:rPr>
        <w:t>耐火等级应为一级；高度低</w:t>
      </w:r>
      <w:r>
        <w:rPr>
          <w:rFonts w:hint="eastAsia" w:asciiTheme="minorEastAsia" w:hAnsiTheme="minorEastAsia"/>
          <w:color w:val="000000" w:themeColor="text1"/>
          <w:szCs w:val="21"/>
          <w14:textFill>
            <w14:solidFill>
              <w14:schemeClr w14:val="tx1"/>
            </w14:solidFill>
          </w14:textFill>
        </w:rPr>
        <w:t>于或等于</w:t>
      </w:r>
      <w:r>
        <w:rPr>
          <w:rFonts w:cs="Times New Roman" w:asciiTheme="minorEastAsia" w:hAnsiTheme="minorEastAsia"/>
          <w:color w:val="000000" w:themeColor="text1"/>
          <w:szCs w:val="21"/>
          <w14:textFill>
            <w14:solidFill>
              <w14:schemeClr w14:val="tx1"/>
            </w14:solidFill>
          </w14:textFill>
        </w:rPr>
        <w:t>50m</w:t>
      </w:r>
      <w:r>
        <w:rPr>
          <w:rFonts w:hint="eastAsia" w:cs="Times New Roman" w:asciiTheme="minorEastAsia" w:hAnsiTheme="minorEastAsia"/>
          <w:color w:val="000000" w:themeColor="text1"/>
          <w:szCs w:val="21"/>
          <w14:textFill>
            <w14:solidFill>
              <w14:schemeClr w14:val="tx1"/>
            </w14:solidFill>
          </w14:textFill>
        </w:rPr>
        <w:t>时，其耐火等级不应低于二级。</w:t>
      </w:r>
    </w:p>
    <w:p>
      <w:pPr>
        <w:pStyle w:val="310"/>
        <w:spacing w:line="360" w:lineRule="auto"/>
        <w:rPr>
          <w:rFonts w:ascii="Times New Roman"/>
        </w:rPr>
      </w:pPr>
      <w:r>
        <w:rPr>
          <w:rFonts w:ascii="Times New Roman"/>
        </w:rPr>
        <w:t xml:space="preserve">6.1.3  </w:t>
      </w:r>
      <w:r>
        <w:rPr>
          <w:rFonts w:hint="eastAsia" w:ascii="Times New Roman"/>
        </w:rPr>
        <w:t>同一建筑内的不同使用功能区域之间应进行防火分隔。中心控制室与办公建筑物、中心化验室与办公建筑物、环保监测与中心化验室合建时，应按功能区域的防火要求分别设置消防设施及独立的防火分区和安全出口。</w:t>
      </w:r>
    </w:p>
    <w:p>
      <w:pPr>
        <w:pStyle w:val="310"/>
        <w:spacing w:line="360" w:lineRule="auto"/>
        <w:rPr>
          <w:rFonts w:ascii="Times New Roman"/>
        </w:rPr>
      </w:pPr>
      <w:r>
        <w:rPr>
          <w:rFonts w:ascii="Times New Roman"/>
        </w:rPr>
        <w:t xml:space="preserve">6.1.4  </w:t>
      </w:r>
      <w:r>
        <w:rPr>
          <w:rFonts w:hint="eastAsia" w:ascii="Times New Roman"/>
        </w:rPr>
        <w:t>建筑物外墙应设置便于消防救援人员出入的消防救援口，防烟楼梯间设置常闭式应急排烟窗。当抗爆建筑物爆炸冲击波峰值入射超压达到</w:t>
      </w:r>
      <w:r>
        <w:rPr>
          <w:rFonts w:ascii="Times New Roman"/>
        </w:rPr>
        <w:t>6.9kPa</w:t>
      </w:r>
      <w:r>
        <w:rPr>
          <w:rFonts w:hint="eastAsia" w:ascii="Times New Roman"/>
        </w:rPr>
        <w:t>且满足下列要求时，可不设置消防救援口和常闭式应急排烟窗：</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建筑物层数不应超过</w:t>
      </w:r>
      <w:r>
        <w:rPr>
          <w:rFonts w:ascii="Times New Roman"/>
          <w:bCs/>
        </w:rPr>
        <w:t>2层；</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每个防火分区应设置一座供消防救援人员专用的防烟</w:t>
      </w:r>
      <w:r>
        <w:rPr>
          <w:rFonts w:ascii="Times New Roman"/>
          <w:bCs/>
        </w:rPr>
        <w:t>楼梯间</w:t>
      </w:r>
      <w:r>
        <w:rPr>
          <w:rFonts w:hint="eastAsia" w:ascii="Times New Roman"/>
          <w:bCs/>
        </w:rPr>
        <w:t>。</w:t>
      </w:r>
    </w:p>
    <w:p>
      <w:pPr>
        <w:pStyle w:val="310"/>
        <w:spacing w:line="360" w:lineRule="auto"/>
        <w:rPr>
          <w:rFonts w:ascii="Times New Roman"/>
        </w:rPr>
      </w:pPr>
      <w:r>
        <w:rPr>
          <w:rFonts w:ascii="Times New Roman"/>
        </w:rPr>
        <w:t xml:space="preserve">6.1.5  </w:t>
      </w:r>
      <w:r>
        <w:rPr>
          <w:rFonts w:hint="eastAsia" w:ascii="Times New Roman"/>
        </w:rPr>
        <w:t>对可能突然放散大量有毒气体、可燃或爆炸危险性气体和（或）粉尘的室内场所，应设置事故通风装置，并应与有毒气体、可燃或爆炸危险性气体报警装置联锁。</w:t>
      </w:r>
    </w:p>
    <w:p>
      <w:pPr>
        <w:pStyle w:val="3"/>
        <w:spacing w:line="360" w:lineRule="auto"/>
        <w:jc w:val="center"/>
        <w:rPr>
          <w:rFonts w:ascii="Times New Roman" w:hAnsi="Times New Roman" w:eastAsia="黑体"/>
          <w:b w:val="0"/>
        </w:rPr>
      </w:pPr>
      <w:bookmarkStart w:id="825" w:name="_Toc146639868"/>
      <w:r>
        <w:rPr>
          <w:rFonts w:ascii="Times New Roman" w:hAnsi="Times New Roman" w:eastAsia="黑体"/>
          <w:b w:val="0"/>
          <w:bCs w:val="0"/>
        </w:rPr>
        <w:t xml:space="preserve">6.2  </w:t>
      </w:r>
      <w:r>
        <w:fldChar w:fldCharType="begin"/>
      </w:r>
      <w:r>
        <w:instrText xml:space="preserve"> HYPERLINK \l "_Toc509327657" </w:instrText>
      </w:r>
      <w:r>
        <w:fldChar w:fldCharType="separate"/>
      </w:r>
      <w:r>
        <w:rPr>
          <w:rFonts w:hint="eastAsia" w:ascii="Times New Roman" w:hAnsi="Times New Roman" w:eastAsia="黑体"/>
          <w:b w:val="0"/>
          <w:bCs w:val="0"/>
        </w:rPr>
        <w:t>中心控制室</w:t>
      </w:r>
      <w:bookmarkEnd w:id="824"/>
      <w:bookmarkEnd w:id="825"/>
      <w:r>
        <w:rPr>
          <w:rFonts w:hint="eastAsia" w:ascii="Times New Roman" w:hAnsi="Times New Roman" w:eastAsia="黑体"/>
          <w:b w:val="0"/>
          <w:bCs w:val="0"/>
        </w:rPr>
        <w:fldChar w:fldCharType="end"/>
      </w:r>
    </w:p>
    <w:p>
      <w:pPr>
        <w:pStyle w:val="310"/>
        <w:spacing w:line="360" w:lineRule="auto"/>
        <w:rPr>
          <w:rFonts w:ascii="Times New Roman"/>
        </w:rPr>
      </w:pPr>
      <w:r>
        <w:rPr>
          <w:rFonts w:ascii="Times New Roman"/>
        </w:rPr>
        <w:t xml:space="preserve">6.2.1  </w:t>
      </w:r>
      <w:r>
        <w:rPr>
          <w:rFonts w:hint="eastAsia" w:ascii="Times New Roman"/>
        </w:rPr>
        <w:t>中心控制室应具有生产操作、过程控制、安全保护、报警监控及应急响应等功能，应满足控制系统安全平稳连续运行和人员安全的需要。</w:t>
      </w:r>
    </w:p>
    <w:p>
      <w:pPr>
        <w:pStyle w:val="310"/>
        <w:spacing w:line="360" w:lineRule="auto"/>
        <w:rPr>
          <w:rFonts w:ascii="Times New Roman"/>
        </w:rPr>
      </w:pPr>
      <w:r>
        <w:rPr>
          <w:rFonts w:ascii="Times New Roman"/>
        </w:rPr>
        <w:t xml:space="preserve">6.2.2  </w:t>
      </w:r>
      <w:r>
        <w:rPr>
          <w:rFonts w:hint="eastAsia" w:ascii="Times New Roman"/>
        </w:rPr>
        <w:t>中心控制室应符合下列规定：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每个防火分区的最大允许建筑面积不应大于</w:t>
      </w:r>
      <w:r>
        <w:rPr>
          <w:rFonts w:ascii="Times New Roman"/>
          <w:bCs/>
        </w:rPr>
        <w:t>5000m</w:t>
      </w:r>
      <w:r>
        <w:rPr>
          <w:rFonts w:ascii="Times New Roman"/>
          <w:bCs/>
          <w:vertAlign w:val="superscript"/>
        </w:rPr>
        <w:t>2</w:t>
      </w:r>
      <w:r>
        <w:rPr>
          <w:rFonts w:hint="eastAsia" w:ascii="Times New Roman"/>
          <w:bCs/>
        </w:rPr>
        <w:t>；</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操作大厅与周围房间应采用满足</w:t>
      </w:r>
      <w:r>
        <w:rPr>
          <w:rFonts w:ascii="Times New Roman"/>
          <w:bCs/>
        </w:rPr>
        <w:t>2.00h</w:t>
      </w:r>
      <w:r>
        <w:rPr>
          <w:rFonts w:hint="eastAsia" w:ascii="Times New Roman"/>
          <w:bCs/>
        </w:rPr>
        <w:t>耐火极限的防火隔墙分隔；</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操作大厅地面装修材料的燃烧性能不应低于</w:t>
      </w:r>
      <w:r>
        <w:rPr>
          <w:rFonts w:ascii="Times New Roman"/>
          <w:bCs/>
        </w:rPr>
        <w:t>B1级，顶棚和墙面内部装修材料的燃烧性能为A级；</w:t>
      </w:r>
    </w:p>
    <w:p>
      <w:pPr>
        <w:pStyle w:val="310"/>
        <w:spacing w:line="360" w:lineRule="auto"/>
        <w:ind w:firstLine="420" w:firstLineChars="175"/>
        <w:rPr>
          <w:rFonts w:ascii="Times New Roman"/>
          <w:bCs/>
        </w:rPr>
      </w:pPr>
      <w:r>
        <w:rPr>
          <w:rFonts w:ascii="Times New Roman"/>
          <w:bCs/>
        </w:rPr>
        <w:t xml:space="preserve">4  </w:t>
      </w:r>
      <w:r>
        <w:rPr>
          <w:rFonts w:hint="eastAsia" w:ascii="Times New Roman"/>
          <w:bCs/>
        </w:rPr>
        <w:t>电缆燃烧特性不应低于</w:t>
      </w:r>
      <w:r>
        <w:rPr>
          <w:rFonts w:ascii="Times New Roman"/>
          <w:bCs/>
        </w:rPr>
        <w:t>C</w:t>
      </w:r>
      <w:r>
        <w:rPr>
          <w:rFonts w:hint="eastAsia" w:ascii="Times New Roman"/>
          <w:bCs/>
        </w:rPr>
        <w:t>级；</w:t>
      </w:r>
    </w:p>
    <w:p>
      <w:pPr>
        <w:pStyle w:val="310"/>
        <w:spacing w:line="360" w:lineRule="auto"/>
        <w:ind w:firstLine="420" w:firstLineChars="175"/>
        <w:rPr>
          <w:rFonts w:ascii="Times New Roman"/>
          <w:bCs/>
        </w:rPr>
      </w:pPr>
      <w:r>
        <w:rPr>
          <w:rFonts w:ascii="Times New Roman"/>
          <w:bCs/>
        </w:rPr>
        <w:t xml:space="preserve">5  </w:t>
      </w:r>
      <w:r>
        <w:rPr>
          <w:rFonts w:hint="eastAsia" w:ascii="Times New Roman"/>
          <w:bCs/>
        </w:rPr>
        <w:t>火灾自动报警系统的供电线路、消防联动控制线路，以及报警总线、消防应急广播和消防专用电话等传输线路应采用燃烧性能不低于</w:t>
      </w:r>
      <w:r>
        <w:rPr>
          <w:rFonts w:ascii="Times New Roman"/>
          <w:bCs/>
        </w:rPr>
        <w:t>B2</w:t>
      </w:r>
      <w:r>
        <w:rPr>
          <w:rFonts w:hint="eastAsia" w:ascii="Times New Roman"/>
          <w:bCs/>
        </w:rPr>
        <w:t>级的耐火铜芯电线电缆；</w:t>
      </w:r>
    </w:p>
    <w:p>
      <w:pPr>
        <w:pStyle w:val="310"/>
        <w:spacing w:line="360" w:lineRule="auto"/>
        <w:ind w:firstLine="420" w:firstLineChars="175"/>
        <w:rPr>
          <w:rFonts w:ascii="Times New Roman"/>
          <w:bCs/>
        </w:rPr>
      </w:pPr>
      <w:r>
        <w:rPr>
          <w:rFonts w:ascii="Times New Roman"/>
          <w:bCs/>
        </w:rPr>
        <w:t xml:space="preserve">6  </w:t>
      </w:r>
      <w:r>
        <w:rPr>
          <w:rFonts w:hint="eastAsia" w:ascii="Times New Roman"/>
          <w:bCs/>
        </w:rPr>
        <w:t>具有发热元器件的控制系统和电信系统机柜内部应设置温度监控报警设施。</w:t>
      </w:r>
    </w:p>
    <w:p>
      <w:pPr>
        <w:pStyle w:val="310"/>
        <w:spacing w:line="360" w:lineRule="auto"/>
        <w:rPr>
          <w:rFonts w:ascii="Times New Roman"/>
        </w:rPr>
      </w:pPr>
      <w:r>
        <w:rPr>
          <w:rFonts w:ascii="Times New Roman"/>
        </w:rPr>
        <w:t xml:space="preserve">6.2.3  </w:t>
      </w:r>
      <w:r>
        <w:rPr>
          <w:rFonts w:hint="eastAsia" w:ascii="Times New Roman"/>
        </w:rPr>
        <w:t>中心控制室操作大厅的疏散出口不应少于</w:t>
      </w:r>
      <w:r>
        <w:rPr>
          <w:rFonts w:ascii="Times New Roman"/>
        </w:rPr>
        <w:t>2个。从操作大厅内任一点至最近疏散出口的直线距离</w:t>
      </w:r>
      <w:r>
        <w:rPr>
          <w:rFonts w:hint="eastAsia" w:ascii="Times New Roman"/>
        </w:rPr>
        <w:t>不应大于</w:t>
      </w:r>
      <w:r>
        <w:rPr>
          <w:rFonts w:ascii="Times New Roman"/>
        </w:rPr>
        <w:t>30m</w:t>
      </w:r>
      <w:r>
        <w:rPr>
          <w:rFonts w:hint="eastAsia" w:ascii="Times New Roman"/>
        </w:rPr>
        <w:t>。当疏散出口不能直通室外地面或疏散楼梯间时，应采用长度不大于</w:t>
      </w:r>
      <w:r>
        <w:rPr>
          <w:rFonts w:ascii="Times New Roman"/>
        </w:rPr>
        <w:t>22m</w:t>
      </w:r>
      <w:r>
        <w:rPr>
          <w:rFonts w:hint="eastAsia" w:ascii="Times New Roman"/>
        </w:rPr>
        <w:t>的疏散走道通至最近的安全出口。</w:t>
      </w:r>
    </w:p>
    <w:p>
      <w:pPr>
        <w:pStyle w:val="310"/>
        <w:spacing w:line="360" w:lineRule="auto"/>
        <w:rPr>
          <w:rFonts w:ascii="Times New Roman"/>
        </w:rPr>
      </w:pPr>
      <w:r>
        <w:rPr>
          <w:rFonts w:ascii="Times New Roman"/>
        </w:rPr>
        <w:t xml:space="preserve">6.2.4  </w:t>
      </w:r>
      <w:r>
        <w:rPr>
          <w:rFonts w:hint="eastAsia" w:ascii="Times New Roman"/>
        </w:rPr>
        <w:t>无法自然排烟的控制操作大厅应设置机械排烟设施。净高超过</w:t>
      </w:r>
      <w:r>
        <w:rPr>
          <w:rFonts w:ascii="Times New Roman"/>
        </w:rPr>
        <w:t>6m</w:t>
      </w:r>
      <w:r>
        <w:rPr>
          <w:rFonts w:hint="eastAsia" w:ascii="Times New Roman"/>
        </w:rPr>
        <w:t>的操作大厅，排烟量应根据实际热释放速率值采用产烟量方法计算确定。</w:t>
      </w:r>
    </w:p>
    <w:p>
      <w:pPr>
        <w:pStyle w:val="3"/>
        <w:spacing w:line="360" w:lineRule="auto"/>
        <w:jc w:val="center"/>
        <w:rPr>
          <w:rFonts w:ascii="Times New Roman" w:hAnsi="Times New Roman" w:eastAsia="黑体"/>
          <w:b w:val="0"/>
        </w:rPr>
      </w:pPr>
      <w:bookmarkStart w:id="826" w:name="_Toc146639869"/>
      <w:r>
        <w:rPr>
          <w:rFonts w:ascii="Times New Roman" w:hAnsi="Times New Roman" w:eastAsia="黑体"/>
          <w:b w:val="0"/>
          <w:bCs w:val="0"/>
        </w:rPr>
        <w:t>6</w:t>
      </w:r>
      <w:r>
        <w:fldChar w:fldCharType="begin"/>
      </w:r>
      <w:r>
        <w:instrText xml:space="preserve"> HYPERLINK \l "_Toc509327657" </w:instrText>
      </w:r>
      <w:r>
        <w:fldChar w:fldCharType="separate"/>
      </w:r>
      <w:bookmarkStart w:id="827" w:name="_Toc44668332"/>
      <w:bookmarkStart w:id="828" w:name="_Toc140162174"/>
      <w:r>
        <w:rPr>
          <w:rFonts w:ascii="Times New Roman" w:hAnsi="Times New Roman" w:eastAsia="黑体"/>
          <w:b w:val="0"/>
          <w:bCs w:val="0"/>
        </w:rPr>
        <w:t xml:space="preserve">.3  </w:t>
      </w:r>
      <w:r>
        <w:rPr>
          <w:rFonts w:hint="eastAsia" w:ascii="Times New Roman" w:hAnsi="Times New Roman" w:eastAsia="黑体"/>
          <w:b w:val="0"/>
          <w:bCs w:val="0"/>
        </w:rPr>
        <w:t>中心化验室</w:t>
      </w:r>
      <w:bookmarkEnd w:id="827"/>
      <w:r>
        <w:rPr>
          <w:rFonts w:hint="eastAsia" w:ascii="Times New Roman" w:hAnsi="Times New Roman" w:eastAsia="黑体"/>
          <w:b w:val="0"/>
          <w:bCs w:val="0"/>
        </w:rPr>
        <w:fldChar w:fldCharType="end"/>
      </w:r>
      <w:r>
        <w:rPr>
          <w:rFonts w:hint="eastAsia" w:ascii="Times New Roman" w:hAnsi="Times New Roman" w:eastAsia="黑体"/>
          <w:b w:val="0"/>
          <w:bCs w:val="0"/>
        </w:rPr>
        <w:t>与环境监测站</w:t>
      </w:r>
      <w:bookmarkEnd w:id="826"/>
      <w:bookmarkEnd w:id="828"/>
    </w:p>
    <w:p>
      <w:pPr>
        <w:pStyle w:val="310"/>
        <w:spacing w:line="360" w:lineRule="auto"/>
        <w:rPr>
          <w:rFonts w:ascii="Times New Roman"/>
        </w:rPr>
      </w:pPr>
      <w:r>
        <w:rPr>
          <w:rFonts w:ascii="Times New Roman"/>
        </w:rPr>
        <w:t xml:space="preserve">6.3.1  </w:t>
      </w:r>
      <w:r>
        <w:rPr>
          <w:rFonts w:hint="eastAsia" w:ascii="Times New Roman"/>
        </w:rPr>
        <w:t>中心化验室应具有承担石油化工厂各生产装置及辅助设施的原料规格分析、中间控制分析、出厂产品质量检验和监督检查以及其他辅助任务的功能，并保证及时、准确提供数据。</w:t>
      </w:r>
    </w:p>
    <w:p>
      <w:pPr>
        <w:pStyle w:val="310"/>
        <w:spacing w:line="360" w:lineRule="auto"/>
        <w:rPr>
          <w:rFonts w:ascii="Times New Roman"/>
        </w:rPr>
      </w:pPr>
      <w:r>
        <w:rPr>
          <w:rFonts w:ascii="Times New Roman"/>
        </w:rPr>
        <w:t xml:space="preserve">6.3.2  </w:t>
      </w:r>
      <w:r>
        <w:rPr>
          <w:rFonts w:hint="eastAsia" w:ascii="Times New Roman"/>
        </w:rPr>
        <w:t>中心化验室的可燃气体钢瓶与助燃气体钢瓶应布置在不同的钢瓶间。</w:t>
      </w:r>
    </w:p>
    <w:p>
      <w:pPr>
        <w:pStyle w:val="310"/>
        <w:spacing w:line="360" w:lineRule="auto"/>
        <w:rPr>
          <w:rFonts w:ascii="Times New Roman"/>
        </w:rPr>
      </w:pPr>
      <w:r>
        <w:rPr>
          <w:rFonts w:ascii="Times New Roman"/>
        </w:rPr>
        <w:t xml:space="preserve">6.3.3  </w:t>
      </w:r>
      <w:r>
        <w:rPr>
          <w:rFonts w:hint="eastAsia" w:ascii="Times New Roman"/>
        </w:rPr>
        <w:t>可燃气体、液化烃和可燃液体的采样管道不应引入中心化验室。</w:t>
      </w:r>
    </w:p>
    <w:p>
      <w:pPr>
        <w:pStyle w:val="310"/>
        <w:spacing w:line="360" w:lineRule="auto"/>
        <w:rPr>
          <w:rFonts w:ascii="Times New Roman"/>
        </w:rPr>
      </w:pPr>
      <w:r>
        <w:rPr>
          <w:rFonts w:ascii="Times New Roman"/>
        </w:rPr>
        <w:t xml:space="preserve">6.3.4  </w:t>
      </w:r>
      <w:r>
        <w:rPr>
          <w:rFonts w:hint="eastAsia" w:ascii="Times New Roman"/>
        </w:rPr>
        <w:t>中心化验室和环境监测站应位于非爆炸危险区域，并应避免振动、噪声、电磁的干扰。</w:t>
      </w:r>
    </w:p>
    <w:p>
      <w:pPr>
        <w:pStyle w:val="310"/>
        <w:spacing w:line="360" w:lineRule="auto"/>
        <w:rPr>
          <w:rFonts w:ascii="Times New Roman"/>
        </w:rPr>
      </w:pPr>
      <w:r>
        <w:rPr>
          <w:rFonts w:ascii="Times New Roman"/>
        </w:rPr>
        <w:t xml:space="preserve">6.3.5  </w:t>
      </w:r>
      <w:r>
        <w:rPr>
          <w:rFonts w:hint="eastAsia" w:ascii="Times New Roman"/>
        </w:rPr>
        <w:t>炼油化工企业应设置环境监测站或依托有资质的第三方机构进行监测。</w:t>
      </w:r>
    </w:p>
    <w:p>
      <w:pPr>
        <w:pStyle w:val="3"/>
        <w:spacing w:line="360" w:lineRule="auto"/>
        <w:jc w:val="center"/>
        <w:rPr>
          <w:rFonts w:ascii="Times New Roman" w:hAnsi="Times New Roman" w:eastAsia="黑体"/>
          <w:b w:val="0"/>
        </w:rPr>
      </w:pPr>
      <w:bookmarkStart w:id="829" w:name="_Toc146639870"/>
      <w:bookmarkStart w:id="830" w:name="_Toc44668333"/>
      <w:r>
        <w:rPr>
          <w:rFonts w:ascii="Times New Roman" w:hAnsi="Times New Roman" w:eastAsia="黑体"/>
          <w:b w:val="0"/>
          <w:bCs w:val="0"/>
        </w:rPr>
        <w:t xml:space="preserve">6.4  </w:t>
      </w:r>
      <w:r>
        <w:rPr>
          <w:rFonts w:hint="eastAsia" w:ascii="Times New Roman" w:hAnsi="Times New Roman" w:eastAsia="黑体"/>
          <w:b w:val="0"/>
          <w:bCs w:val="0"/>
        </w:rPr>
        <w:t>厂房与仓库</w:t>
      </w:r>
      <w:bookmarkEnd w:id="829"/>
      <w:bookmarkEnd w:id="830"/>
    </w:p>
    <w:p>
      <w:pPr>
        <w:pStyle w:val="310"/>
        <w:spacing w:line="360" w:lineRule="auto"/>
        <w:rPr>
          <w:rFonts w:ascii="Times New Roman"/>
        </w:rPr>
      </w:pPr>
      <w:r>
        <w:rPr>
          <w:rFonts w:ascii="Times New Roman"/>
        </w:rPr>
        <w:t>6.4.1  当合成纤维、合成橡胶、合成树脂及塑料的单层丙类包装厂房与单层丙类成品仓库合建时，厂房与仓库之间应采用耐火极限不低于4.00h</w:t>
      </w:r>
      <w:r>
        <w:rPr>
          <w:rFonts w:hint="eastAsia" w:ascii="Times New Roman"/>
        </w:rPr>
        <w:t>的防火墙分隔。工艺要求确需在防火墙上开设的门、窗、洞口，应采取防止火灾蔓延至另一侧的措施。</w:t>
      </w:r>
    </w:p>
    <w:p>
      <w:pPr>
        <w:pStyle w:val="310"/>
        <w:spacing w:line="360" w:lineRule="auto"/>
        <w:rPr>
          <w:rFonts w:ascii="Times New Roman"/>
        </w:rPr>
      </w:pPr>
      <w:r>
        <w:rPr>
          <w:rFonts w:ascii="Times New Roman"/>
        </w:rPr>
        <w:t xml:space="preserve">6.4.2  </w:t>
      </w:r>
      <w:r>
        <w:rPr>
          <w:rFonts w:hint="eastAsia" w:ascii="Times New Roman"/>
        </w:rPr>
        <w:t>危险化学品库应根据危险化学品的特性、防火要求及化学品安全技术说明书的要求设置，并控制危险化学品的储存品种及数量。</w:t>
      </w:r>
    </w:p>
    <w:p>
      <w:pPr>
        <w:pStyle w:val="310"/>
        <w:spacing w:line="360" w:lineRule="auto"/>
        <w:rPr>
          <w:rFonts w:ascii="Times New Roman"/>
        </w:rPr>
      </w:pPr>
      <w:r>
        <w:rPr>
          <w:rFonts w:ascii="Times New Roman"/>
        </w:rPr>
        <w:t xml:space="preserve">6.4.3  </w:t>
      </w:r>
      <w:r>
        <w:rPr>
          <w:rFonts w:hint="eastAsia" w:ascii="Times New Roman"/>
        </w:rPr>
        <w:t>放射源、剧毒化学品应单独存放，其储存场所应根据风险等级设置实体防范和技术防范设施，并设置明显的放射性或剧毒警告标志。入侵报警系统、视频监控系统和出入口控制系统应具备联动功能，不同的出入口应设置不同的出入权限。技术防范设施的监控终端应设置在</w:t>
      </w:r>
      <w:r>
        <w:rPr>
          <w:rFonts w:ascii="Times New Roman"/>
        </w:rPr>
        <w:t>24h有人值守的</w:t>
      </w:r>
      <w:r>
        <w:rPr>
          <w:rFonts w:hint="eastAsia" w:ascii="Times New Roman"/>
        </w:rPr>
        <w:t>场所。</w:t>
      </w:r>
    </w:p>
    <w:p>
      <w:pPr>
        <w:pStyle w:val="3"/>
        <w:spacing w:line="360" w:lineRule="auto"/>
        <w:jc w:val="center"/>
        <w:rPr>
          <w:rFonts w:ascii="Times New Roman" w:hAnsi="Times New Roman" w:eastAsia="黑体"/>
          <w:b w:val="0"/>
        </w:rPr>
      </w:pPr>
      <w:bookmarkStart w:id="831" w:name="_Toc146639871"/>
      <w:r>
        <w:rPr>
          <w:rFonts w:ascii="Times New Roman" w:hAnsi="Times New Roman" w:eastAsia="黑体"/>
          <w:b w:val="0"/>
          <w:bCs w:val="0"/>
        </w:rPr>
        <w:t>6.5  三废处理设施</w:t>
      </w:r>
      <w:bookmarkEnd w:id="831"/>
    </w:p>
    <w:p>
      <w:pPr>
        <w:pStyle w:val="310"/>
        <w:spacing w:line="360" w:lineRule="auto"/>
        <w:rPr>
          <w:rFonts w:ascii="Times New Roman"/>
        </w:rPr>
      </w:pPr>
      <w:r>
        <w:rPr>
          <w:rFonts w:ascii="Times New Roman"/>
        </w:rPr>
        <w:t xml:space="preserve">6.5.1  </w:t>
      </w:r>
      <w:r>
        <w:rPr>
          <w:rFonts w:hint="eastAsia" w:ascii="Times New Roman"/>
        </w:rPr>
        <w:t>炼油化工企业应设置“三废”处理设施或依托有资质的第三方处理。</w:t>
      </w:r>
    </w:p>
    <w:p>
      <w:pPr>
        <w:pStyle w:val="310"/>
        <w:spacing w:line="360" w:lineRule="auto"/>
        <w:rPr>
          <w:rFonts w:ascii="Times New Roman"/>
        </w:rPr>
      </w:pPr>
      <w:r>
        <w:rPr>
          <w:rFonts w:ascii="Times New Roman"/>
        </w:rPr>
        <w:t xml:space="preserve">6.5.2  </w:t>
      </w:r>
      <w:r>
        <w:rPr>
          <w:rFonts w:hint="eastAsia" w:ascii="Times New Roman"/>
        </w:rPr>
        <w:t>含有高浓度易挥发的有毒、有害物质的污水应进行预处理。</w:t>
      </w:r>
    </w:p>
    <w:p>
      <w:pPr>
        <w:pStyle w:val="310"/>
        <w:spacing w:line="360" w:lineRule="auto"/>
        <w:rPr>
          <w:rFonts w:ascii="Times New Roman"/>
        </w:rPr>
      </w:pPr>
      <w:r>
        <w:rPr>
          <w:rFonts w:ascii="Times New Roman"/>
        </w:rPr>
        <w:t xml:space="preserve">6.5.3  </w:t>
      </w:r>
      <w:r>
        <w:rPr>
          <w:rFonts w:hint="eastAsia" w:ascii="Times New Roman"/>
        </w:rPr>
        <w:t>纯氧曝气设施应设置可燃气体在线监测、报警、联锁和事故吹扫风及双向安全阀等设施。</w:t>
      </w:r>
    </w:p>
    <w:p>
      <w:pPr>
        <w:pStyle w:val="310"/>
        <w:spacing w:line="360" w:lineRule="auto"/>
        <w:rPr>
          <w:rFonts w:ascii="Times New Roman"/>
        </w:rPr>
      </w:pPr>
      <w:r>
        <w:rPr>
          <w:rFonts w:ascii="Times New Roman"/>
        </w:rPr>
        <w:t xml:space="preserve">6.5.4  </w:t>
      </w:r>
      <w:r>
        <w:rPr>
          <w:rFonts w:hint="eastAsia" w:ascii="Times New Roman"/>
        </w:rPr>
        <w:t>属于危险废物的污泥与一般污泥应分别收集、输送、储存、处理和处置。</w:t>
      </w:r>
      <w:bookmarkStart w:id="832" w:name="_Toc44668336"/>
      <w:r>
        <w:rPr>
          <w:rFonts w:ascii="Times New Roman"/>
        </w:rPr>
        <w:br w:type="page"/>
      </w:r>
    </w:p>
    <w:p>
      <w:pPr>
        <w:spacing w:before="312" w:beforeLines="100" w:after="312" w:afterLines="100"/>
        <w:jc w:val="center"/>
        <w:outlineLvl w:val="0"/>
        <w:rPr>
          <w:rFonts w:ascii="Times New Roman" w:hAnsi="Times New Roman" w:cs="Times New Roman"/>
          <w:sz w:val="28"/>
          <w:szCs w:val="28"/>
        </w:rPr>
      </w:pPr>
      <w:bookmarkStart w:id="833" w:name="_Toc91770095"/>
      <w:bookmarkStart w:id="834" w:name="_Toc146639872"/>
      <w:r>
        <w:rPr>
          <w:rFonts w:ascii="Times New Roman" w:hAnsi="Times New Roman" w:cs="Times New Roman"/>
          <w:sz w:val="28"/>
          <w:szCs w:val="28"/>
        </w:rPr>
        <w:t>7</w:t>
      </w:r>
      <w:bookmarkStart w:id="835" w:name="_Toc1375157"/>
      <w:bookmarkEnd w:id="835"/>
      <w:bookmarkStart w:id="836" w:name="_Toc1375160"/>
      <w:bookmarkEnd w:id="836"/>
      <w:bookmarkStart w:id="837" w:name="_Toc1299361"/>
      <w:bookmarkEnd w:id="837"/>
      <w:bookmarkStart w:id="838" w:name="_Toc1298834"/>
      <w:bookmarkEnd w:id="838"/>
      <w:bookmarkStart w:id="839" w:name="_Toc1483350"/>
      <w:bookmarkEnd w:id="839"/>
      <w:bookmarkStart w:id="840" w:name="_Toc1299359"/>
      <w:bookmarkEnd w:id="840"/>
      <w:bookmarkStart w:id="841" w:name="_Toc1482021"/>
      <w:bookmarkEnd w:id="841"/>
      <w:bookmarkStart w:id="842" w:name="_Toc1298831"/>
      <w:bookmarkEnd w:id="842"/>
      <w:bookmarkStart w:id="843" w:name="_Toc1299363"/>
      <w:bookmarkEnd w:id="843"/>
      <w:bookmarkStart w:id="844" w:name="_Toc1483347"/>
      <w:bookmarkEnd w:id="844"/>
      <w:bookmarkStart w:id="845" w:name="_Toc1375163"/>
      <w:bookmarkEnd w:id="845"/>
      <w:bookmarkStart w:id="846" w:name="_Toc1298833"/>
      <w:bookmarkEnd w:id="846"/>
      <w:bookmarkStart w:id="847" w:name="_Toc1482026"/>
      <w:bookmarkEnd w:id="847"/>
      <w:bookmarkStart w:id="848" w:name="_Toc1483343"/>
      <w:bookmarkEnd w:id="848"/>
      <w:bookmarkStart w:id="849" w:name="_Toc1480693"/>
      <w:bookmarkEnd w:id="849"/>
      <w:bookmarkStart w:id="850" w:name="_Toc1483342"/>
      <w:bookmarkEnd w:id="850"/>
      <w:bookmarkStart w:id="851" w:name="_Toc1375159"/>
      <w:bookmarkEnd w:id="851"/>
      <w:bookmarkStart w:id="852" w:name="_Toc1375164"/>
      <w:bookmarkEnd w:id="852"/>
      <w:bookmarkStart w:id="853" w:name="_Toc1298835"/>
      <w:bookmarkEnd w:id="853"/>
      <w:bookmarkStart w:id="854" w:name="_Toc1298837"/>
      <w:bookmarkEnd w:id="854"/>
      <w:bookmarkStart w:id="855" w:name="_Toc1482016"/>
      <w:bookmarkEnd w:id="855"/>
      <w:bookmarkStart w:id="856" w:name="_Toc1375166"/>
      <w:bookmarkEnd w:id="856"/>
      <w:bookmarkStart w:id="857" w:name="_Toc1480696"/>
      <w:bookmarkEnd w:id="857"/>
      <w:bookmarkStart w:id="858" w:name="_Toc1480703"/>
      <w:bookmarkEnd w:id="858"/>
      <w:bookmarkStart w:id="859" w:name="_Toc1375162"/>
      <w:bookmarkEnd w:id="859"/>
      <w:bookmarkStart w:id="860" w:name="_Toc1299360"/>
      <w:bookmarkEnd w:id="860"/>
      <w:bookmarkStart w:id="861" w:name="_Toc1483349"/>
      <w:bookmarkEnd w:id="861"/>
      <w:bookmarkStart w:id="862" w:name="_Toc1483341"/>
      <w:bookmarkEnd w:id="862"/>
      <w:bookmarkStart w:id="863" w:name="_Toc1299358"/>
      <w:bookmarkEnd w:id="863"/>
      <w:bookmarkStart w:id="864" w:name="_Toc1480695"/>
      <w:bookmarkEnd w:id="864"/>
      <w:bookmarkStart w:id="865" w:name="_Toc1480698"/>
      <w:bookmarkEnd w:id="865"/>
      <w:bookmarkStart w:id="866" w:name="_Toc1483348"/>
      <w:bookmarkEnd w:id="866"/>
      <w:bookmarkStart w:id="867" w:name="_Toc1375158"/>
      <w:bookmarkEnd w:id="867"/>
      <w:bookmarkStart w:id="868" w:name="_Toc1482022"/>
      <w:bookmarkEnd w:id="868"/>
      <w:bookmarkStart w:id="869" w:name="_Toc1375169"/>
      <w:bookmarkEnd w:id="869"/>
      <w:bookmarkStart w:id="870" w:name="_Toc1298832"/>
      <w:bookmarkEnd w:id="870"/>
      <w:bookmarkStart w:id="871" w:name="_Toc1298830"/>
      <w:bookmarkEnd w:id="871"/>
      <w:bookmarkStart w:id="872" w:name="_Toc1483345"/>
      <w:bookmarkEnd w:id="872"/>
      <w:bookmarkStart w:id="873" w:name="_Toc1375174"/>
      <w:bookmarkEnd w:id="873"/>
      <w:bookmarkStart w:id="874" w:name="_Toc1480697"/>
      <w:bookmarkEnd w:id="874"/>
      <w:bookmarkStart w:id="875" w:name="_Toc1298827"/>
      <w:bookmarkEnd w:id="875"/>
      <w:bookmarkStart w:id="876" w:name="_Toc1483346"/>
      <w:bookmarkEnd w:id="876"/>
      <w:bookmarkStart w:id="877" w:name="_Toc1483340"/>
      <w:bookmarkEnd w:id="877"/>
      <w:bookmarkStart w:id="878" w:name="_Toc1483339"/>
      <w:bookmarkEnd w:id="878"/>
      <w:bookmarkStart w:id="879" w:name="_Toc1299362"/>
      <w:bookmarkEnd w:id="879"/>
      <w:bookmarkStart w:id="880" w:name="_Toc1482019"/>
      <w:bookmarkEnd w:id="880"/>
      <w:bookmarkStart w:id="881" w:name="_Toc1298828"/>
      <w:bookmarkEnd w:id="881"/>
      <w:bookmarkStart w:id="882" w:name="_Toc1480702"/>
      <w:bookmarkEnd w:id="882"/>
      <w:bookmarkStart w:id="883" w:name="_Toc1299369"/>
      <w:bookmarkEnd w:id="883"/>
      <w:bookmarkStart w:id="884" w:name="_Toc1375165"/>
      <w:bookmarkEnd w:id="884"/>
      <w:bookmarkStart w:id="885" w:name="_Toc1482020"/>
      <w:bookmarkEnd w:id="885"/>
      <w:bookmarkStart w:id="886" w:name="_Toc1483353"/>
      <w:bookmarkEnd w:id="886"/>
      <w:bookmarkStart w:id="887" w:name="_Toc1299377"/>
      <w:bookmarkEnd w:id="887"/>
      <w:bookmarkStart w:id="888" w:name="_Toc1375171"/>
      <w:bookmarkEnd w:id="888"/>
      <w:bookmarkStart w:id="889" w:name="_Toc1299381"/>
      <w:bookmarkEnd w:id="889"/>
      <w:bookmarkStart w:id="890" w:name="_Toc1299365"/>
      <w:bookmarkEnd w:id="890"/>
      <w:bookmarkStart w:id="891" w:name="_Toc1482018"/>
      <w:bookmarkEnd w:id="891"/>
      <w:bookmarkStart w:id="892" w:name="_Toc1483361"/>
      <w:bookmarkEnd w:id="892"/>
      <w:bookmarkStart w:id="893" w:name="_Toc1480705"/>
      <w:bookmarkEnd w:id="893"/>
      <w:bookmarkStart w:id="894" w:name="_Toc1299364"/>
      <w:bookmarkEnd w:id="894"/>
      <w:bookmarkStart w:id="895" w:name="_Toc1483357"/>
      <w:bookmarkEnd w:id="895"/>
      <w:bookmarkStart w:id="896" w:name="_Toc1482017"/>
      <w:bookmarkEnd w:id="896"/>
      <w:bookmarkStart w:id="897" w:name="_Toc1482030"/>
      <w:bookmarkEnd w:id="897"/>
      <w:bookmarkStart w:id="898" w:name="_Toc1375161"/>
      <w:bookmarkEnd w:id="898"/>
      <w:bookmarkStart w:id="899" w:name="_Toc1482023"/>
      <w:bookmarkEnd w:id="899"/>
      <w:bookmarkStart w:id="900" w:name="_Toc1299375"/>
      <w:bookmarkEnd w:id="900"/>
      <w:bookmarkStart w:id="901" w:name="_Toc1482024"/>
      <w:bookmarkEnd w:id="901"/>
      <w:bookmarkStart w:id="902" w:name="_Toc1483344"/>
      <w:bookmarkEnd w:id="902"/>
      <w:bookmarkStart w:id="903" w:name="_Toc1375179"/>
      <w:bookmarkEnd w:id="903"/>
      <w:bookmarkStart w:id="904" w:name="_Toc1298843"/>
      <w:bookmarkEnd w:id="904"/>
      <w:bookmarkStart w:id="905" w:name="_Toc1298838"/>
      <w:bookmarkEnd w:id="905"/>
      <w:bookmarkStart w:id="906" w:name="_Toc1375175"/>
      <w:bookmarkEnd w:id="906"/>
      <w:bookmarkStart w:id="907" w:name="_Toc1299366"/>
      <w:bookmarkEnd w:id="907"/>
      <w:bookmarkStart w:id="908" w:name="_Toc1375167"/>
      <w:bookmarkEnd w:id="908"/>
      <w:bookmarkStart w:id="909" w:name="_Toc1480699"/>
      <w:bookmarkEnd w:id="909"/>
      <w:bookmarkStart w:id="910" w:name="_Toc1483352"/>
      <w:bookmarkEnd w:id="910"/>
      <w:bookmarkStart w:id="911" w:name="_Toc1480701"/>
      <w:bookmarkEnd w:id="911"/>
      <w:bookmarkStart w:id="912" w:name="_Toc1298844"/>
      <w:bookmarkEnd w:id="912"/>
      <w:bookmarkStart w:id="913" w:name="_Toc1482027"/>
      <w:bookmarkEnd w:id="913"/>
      <w:bookmarkStart w:id="914" w:name="_Toc1480700"/>
      <w:bookmarkEnd w:id="914"/>
      <w:bookmarkStart w:id="915" w:name="_Toc1298829"/>
      <w:bookmarkEnd w:id="915"/>
      <w:bookmarkStart w:id="916" w:name="_Toc1299374"/>
      <w:bookmarkEnd w:id="916"/>
      <w:bookmarkStart w:id="917" w:name="_Toc1375168"/>
      <w:bookmarkEnd w:id="917"/>
      <w:bookmarkStart w:id="918" w:name="_Toc1375180"/>
      <w:bookmarkEnd w:id="918"/>
      <w:bookmarkStart w:id="919" w:name="_Toc1480710"/>
      <w:bookmarkEnd w:id="919"/>
      <w:bookmarkStart w:id="920" w:name="_Toc1480717"/>
      <w:bookmarkEnd w:id="920"/>
      <w:bookmarkStart w:id="921" w:name="_Toc1480694"/>
      <w:bookmarkEnd w:id="921"/>
      <w:bookmarkStart w:id="922" w:name="_Toc1298836"/>
      <w:bookmarkEnd w:id="922"/>
      <w:bookmarkStart w:id="923" w:name="_Toc1375177"/>
      <w:bookmarkEnd w:id="923"/>
      <w:bookmarkStart w:id="924" w:name="_Toc1480707"/>
      <w:bookmarkEnd w:id="924"/>
      <w:bookmarkStart w:id="925" w:name="_Toc1480709"/>
      <w:bookmarkEnd w:id="925"/>
      <w:bookmarkStart w:id="926" w:name="_Toc1298851"/>
      <w:bookmarkEnd w:id="926"/>
      <w:bookmarkStart w:id="927" w:name="_Toc1299379"/>
      <w:bookmarkEnd w:id="927"/>
      <w:bookmarkStart w:id="928" w:name="_Toc1298845"/>
      <w:bookmarkEnd w:id="928"/>
      <w:bookmarkStart w:id="929" w:name="_Toc1480704"/>
      <w:bookmarkEnd w:id="929"/>
      <w:bookmarkStart w:id="930" w:name="_Toc1482037"/>
      <w:bookmarkEnd w:id="930"/>
      <w:bookmarkStart w:id="931" w:name="_Toc1483358"/>
      <w:bookmarkEnd w:id="931"/>
      <w:bookmarkStart w:id="932" w:name="_Toc1483360"/>
      <w:bookmarkEnd w:id="932"/>
      <w:bookmarkStart w:id="933" w:name="_Toc1298849"/>
      <w:bookmarkEnd w:id="933"/>
      <w:bookmarkStart w:id="934" w:name="_Toc1482033"/>
      <w:bookmarkEnd w:id="934"/>
      <w:bookmarkStart w:id="935" w:name="_Toc1482025"/>
      <w:bookmarkEnd w:id="935"/>
      <w:bookmarkStart w:id="936" w:name="_Toc1299367"/>
      <w:bookmarkEnd w:id="936"/>
      <w:bookmarkStart w:id="937" w:name="_Toc1299371"/>
      <w:bookmarkEnd w:id="937"/>
      <w:bookmarkStart w:id="938" w:name="_Toc1298846"/>
      <w:bookmarkEnd w:id="938"/>
      <w:bookmarkStart w:id="939" w:name="_Toc1298840"/>
      <w:bookmarkEnd w:id="939"/>
      <w:bookmarkStart w:id="940" w:name="_Toc1375170"/>
      <w:bookmarkEnd w:id="940"/>
      <w:bookmarkStart w:id="941" w:name="_Toc1482036"/>
      <w:bookmarkEnd w:id="941"/>
      <w:bookmarkStart w:id="942" w:name="_Toc1482029"/>
      <w:bookmarkEnd w:id="942"/>
      <w:bookmarkStart w:id="943" w:name="_Toc1375173"/>
      <w:bookmarkEnd w:id="943"/>
      <w:bookmarkStart w:id="944" w:name="_Toc1483351"/>
      <w:bookmarkEnd w:id="944"/>
      <w:bookmarkStart w:id="945" w:name="_Toc1298847"/>
      <w:bookmarkEnd w:id="945"/>
      <w:bookmarkStart w:id="946" w:name="_Toc1480716"/>
      <w:bookmarkEnd w:id="946"/>
      <w:bookmarkStart w:id="947" w:name="_Toc1482028"/>
      <w:bookmarkEnd w:id="947"/>
      <w:bookmarkStart w:id="948" w:name="_Toc1482035"/>
      <w:bookmarkEnd w:id="948"/>
      <w:bookmarkStart w:id="949" w:name="_Toc1299380"/>
      <w:bookmarkEnd w:id="949"/>
      <w:bookmarkStart w:id="950" w:name="_Toc1299372"/>
      <w:bookmarkEnd w:id="950"/>
      <w:bookmarkStart w:id="951" w:name="_Toc1483355"/>
      <w:bookmarkEnd w:id="951"/>
      <w:bookmarkStart w:id="952" w:name="_Toc1299378"/>
      <w:bookmarkEnd w:id="952"/>
      <w:bookmarkStart w:id="953" w:name="_Toc1480715"/>
      <w:bookmarkEnd w:id="953"/>
      <w:bookmarkStart w:id="954" w:name="_Toc1482032"/>
      <w:bookmarkEnd w:id="954"/>
      <w:bookmarkStart w:id="955" w:name="_Toc1482034"/>
      <w:bookmarkEnd w:id="955"/>
      <w:bookmarkStart w:id="956" w:name="_Toc1480706"/>
      <w:bookmarkEnd w:id="956"/>
      <w:bookmarkStart w:id="957" w:name="_Toc1375181"/>
      <w:bookmarkEnd w:id="957"/>
      <w:bookmarkStart w:id="958" w:name="_Toc1298839"/>
      <w:bookmarkEnd w:id="958"/>
      <w:bookmarkStart w:id="959" w:name="_Toc1480713"/>
      <w:bookmarkEnd w:id="959"/>
      <w:bookmarkStart w:id="960" w:name="_Toc1480711"/>
      <w:bookmarkEnd w:id="960"/>
      <w:bookmarkStart w:id="961" w:name="_Toc1375176"/>
      <w:bookmarkEnd w:id="961"/>
      <w:bookmarkStart w:id="962" w:name="_Toc1482038"/>
      <w:bookmarkEnd w:id="962"/>
      <w:bookmarkStart w:id="963" w:name="_Toc1298848"/>
      <w:bookmarkEnd w:id="963"/>
      <w:bookmarkStart w:id="964" w:name="_Toc1375178"/>
      <w:bookmarkEnd w:id="964"/>
      <w:bookmarkStart w:id="965" w:name="_Toc1480712"/>
      <w:bookmarkEnd w:id="965"/>
      <w:bookmarkStart w:id="966" w:name="_Toc1483356"/>
      <w:bookmarkEnd w:id="966"/>
      <w:bookmarkStart w:id="967" w:name="_Toc1298841"/>
      <w:bookmarkEnd w:id="967"/>
      <w:bookmarkStart w:id="968" w:name="_Toc1480714"/>
      <w:bookmarkEnd w:id="968"/>
      <w:bookmarkStart w:id="969" w:name="_Toc1299382"/>
      <w:bookmarkEnd w:id="969"/>
      <w:bookmarkStart w:id="970" w:name="_Toc1483363"/>
      <w:bookmarkEnd w:id="970"/>
      <w:bookmarkStart w:id="971" w:name="_Toc1299376"/>
      <w:bookmarkEnd w:id="971"/>
      <w:bookmarkStart w:id="972" w:name="_Toc1299368"/>
      <w:bookmarkEnd w:id="972"/>
      <w:bookmarkStart w:id="973" w:name="_Toc1483362"/>
      <w:bookmarkEnd w:id="973"/>
      <w:bookmarkStart w:id="974" w:name="_Toc1482040"/>
      <w:bookmarkEnd w:id="974"/>
      <w:bookmarkStart w:id="975" w:name="_Toc1483359"/>
      <w:bookmarkEnd w:id="975"/>
      <w:bookmarkStart w:id="976" w:name="_Toc1482039"/>
      <w:bookmarkEnd w:id="976"/>
      <w:bookmarkStart w:id="977" w:name="_Toc1298850"/>
      <w:bookmarkEnd w:id="977"/>
      <w:bookmarkStart w:id="978" w:name="_Toc1299370"/>
      <w:bookmarkEnd w:id="978"/>
      <w:r>
        <w:rPr>
          <w:rFonts w:ascii="Times New Roman" w:hAnsi="Times New Roman" w:cs="Times New Roman"/>
          <w:sz w:val="28"/>
          <w:szCs w:val="28"/>
        </w:rPr>
        <w:t xml:space="preserve">  </w:t>
      </w:r>
      <w:r>
        <w:rPr>
          <w:rFonts w:hint="eastAsia" w:ascii="黑体" w:hAnsi="黑体" w:eastAsia="黑体" w:cs="Times New Roman"/>
          <w:sz w:val="28"/>
          <w:szCs w:val="28"/>
        </w:rPr>
        <w:t>应急救援设施</w:t>
      </w:r>
      <w:bookmarkEnd w:id="832"/>
      <w:bookmarkEnd w:id="833"/>
      <w:bookmarkEnd w:id="834"/>
    </w:p>
    <w:p>
      <w:pPr>
        <w:pStyle w:val="3"/>
        <w:spacing w:line="360" w:lineRule="auto"/>
        <w:jc w:val="center"/>
        <w:rPr>
          <w:rFonts w:ascii="Times New Roman" w:hAnsi="Times New Roman" w:eastAsia="黑体"/>
          <w:b w:val="0"/>
        </w:rPr>
      </w:pPr>
      <w:r>
        <w:fldChar w:fldCharType="begin"/>
      </w:r>
      <w:r>
        <w:instrText xml:space="preserve"> HYPERLINK \l "_Toc509327657" </w:instrText>
      </w:r>
      <w:r>
        <w:fldChar w:fldCharType="separate"/>
      </w:r>
      <w:bookmarkStart w:id="979" w:name="_Toc146639873"/>
      <w:bookmarkStart w:id="980" w:name="_Toc44668337"/>
      <w:r>
        <w:rPr>
          <w:rFonts w:ascii="Times New Roman" w:hAnsi="Times New Roman" w:eastAsia="黑体"/>
          <w:b w:val="0"/>
          <w:bCs w:val="0"/>
        </w:rPr>
        <w:t xml:space="preserve">7.1  </w:t>
      </w:r>
      <w:r>
        <w:rPr>
          <w:rFonts w:hint="eastAsia" w:ascii="Times New Roman" w:hAnsi="Times New Roman" w:eastAsia="黑体"/>
          <w:b w:val="0"/>
          <w:bCs w:val="0"/>
        </w:rPr>
        <w:t>消防系统</w:t>
      </w:r>
      <w:bookmarkEnd w:id="979"/>
      <w:bookmarkEnd w:id="980"/>
      <w:r>
        <w:rPr>
          <w:rFonts w:hint="eastAsia" w:ascii="Times New Roman" w:hAnsi="Times New Roman" w:eastAsia="黑体"/>
          <w:b w:val="0"/>
          <w:bCs w:val="0"/>
        </w:rPr>
        <w:fldChar w:fldCharType="end"/>
      </w:r>
    </w:p>
    <w:p>
      <w:pPr>
        <w:pStyle w:val="310"/>
        <w:spacing w:line="360" w:lineRule="auto"/>
        <w:rPr>
          <w:rFonts w:ascii="Times New Roman"/>
        </w:rPr>
      </w:pPr>
      <w:r>
        <w:rPr>
          <w:rFonts w:ascii="Times New Roman"/>
        </w:rPr>
        <w:t xml:space="preserve">7.1.1  </w:t>
      </w:r>
      <w:r>
        <w:rPr>
          <w:rFonts w:hint="eastAsia" w:ascii="Times New Roman"/>
        </w:rPr>
        <w:t>炼油化工工程项目的消防水源应符合下列规定：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当由厂区或园区水源直接供给时，供水管网的进水管不应少于</w:t>
      </w:r>
      <w:r>
        <w:rPr>
          <w:rFonts w:ascii="Times New Roman"/>
          <w:bCs/>
        </w:rPr>
        <w:t>2条。当其中1条发生事故时，</w:t>
      </w:r>
      <w:r>
        <w:rPr>
          <w:rFonts w:hint="eastAsia" w:ascii="Times New Roman"/>
          <w:bCs/>
        </w:rPr>
        <w:t>其余管道应</w:t>
      </w:r>
      <w:r>
        <w:rPr>
          <w:rFonts w:ascii="Times New Roman"/>
          <w:bCs/>
        </w:rPr>
        <w:t>满足100％的消防用水和70％的生产、生活用水总量的要求</w:t>
      </w:r>
      <w:r>
        <w:rPr>
          <w:rFonts w:hint="eastAsia" w:ascii="Times New Roman"/>
          <w:bCs/>
        </w:rPr>
        <w:t>；</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当</w:t>
      </w:r>
      <w:r>
        <w:rPr>
          <w:rFonts w:ascii="Times New Roman"/>
          <w:bCs/>
        </w:rPr>
        <w:t>消防用水由消防水池</w:t>
      </w:r>
      <w:r>
        <w:rPr>
          <w:rFonts w:hint="eastAsia" w:ascii="Times New Roman"/>
          <w:bCs/>
        </w:rPr>
        <w:t>（</w:t>
      </w:r>
      <w:r>
        <w:rPr>
          <w:rFonts w:ascii="Times New Roman"/>
          <w:bCs/>
        </w:rPr>
        <w:t>罐</w:t>
      </w:r>
      <w:r>
        <w:rPr>
          <w:rFonts w:hint="eastAsia" w:ascii="Times New Roman"/>
          <w:bCs/>
        </w:rPr>
        <w:t>）</w:t>
      </w:r>
      <w:r>
        <w:rPr>
          <w:rFonts w:ascii="Times New Roman"/>
          <w:bCs/>
        </w:rPr>
        <w:t>供给时，</w:t>
      </w:r>
      <w:r>
        <w:rPr>
          <w:rFonts w:hint="eastAsia" w:ascii="Times New Roman"/>
          <w:bCs/>
        </w:rPr>
        <w:t>供</w:t>
      </w:r>
      <w:r>
        <w:rPr>
          <w:rFonts w:ascii="Times New Roman"/>
          <w:bCs/>
        </w:rPr>
        <w:t>水管网的进水管</w:t>
      </w:r>
      <w:r>
        <w:rPr>
          <w:rFonts w:hint="eastAsia" w:ascii="Times New Roman"/>
          <w:bCs/>
        </w:rPr>
        <w:t>应</w:t>
      </w:r>
      <w:r>
        <w:rPr>
          <w:rFonts w:ascii="Times New Roman"/>
          <w:bCs/>
        </w:rPr>
        <w:t>满足消防水池（罐）的补充水和100％的生产、生活用水总量的要求。</w:t>
      </w:r>
    </w:p>
    <w:p>
      <w:pPr>
        <w:pStyle w:val="310"/>
        <w:spacing w:line="360" w:lineRule="auto"/>
        <w:rPr>
          <w:rFonts w:ascii="Times New Roman"/>
        </w:rPr>
      </w:pPr>
      <w:r>
        <w:rPr>
          <w:rFonts w:ascii="Times New Roman"/>
        </w:rPr>
        <w:t xml:space="preserve">7.1.2  </w:t>
      </w:r>
      <w:r>
        <w:rPr>
          <w:rFonts w:hint="eastAsia" w:ascii="Times New Roman"/>
        </w:rPr>
        <w:t>炼油化工厂区应设置稳高压消防给水系统。非火灾工况下，稳高压系统应维持管网压力大于或等于</w:t>
      </w:r>
      <w:r>
        <w:rPr>
          <w:rFonts w:ascii="Times New Roman"/>
        </w:rPr>
        <w:t>0.7MPa</w:t>
      </w:r>
      <w:r>
        <w:rPr>
          <w:rFonts w:hint="eastAsia" w:ascii="Times New Roman"/>
        </w:rPr>
        <w:t>。当厂区稳高压系统满足供水范围内建筑物的消防水量、水压要求时，建筑物的自动喷水系统、自动射流系统等应由稳高压消防给水系统供水，可不单独设置喷淋给水泵、水泵接合器、高位水箱。。</w:t>
      </w:r>
    </w:p>
    <w:p>
      <w:pPr>
        <w:pStyle w:val="310"/>
        <w:spacing w:line="360" w:lineRule="auto"/>
        <w:rPr>
          <w:rFonts w:ascii="Times New Roman"/>
        </w:rPr>
      </w:pPr>
      <w:r>
        <w:rPr>
          <w:rFonts w:ascii="Times New Roman"/>
        </w:rPr>
        <w:t xml:space="preserve">7.1.3  </w:t>
      </w:r>
      <w:r>
        <w:rPr>
          <w:rFonts w:hint="eastAsia" w:ascii="Times New Roman"/>
        </w:rPr>
        <w:t>稳高压消防给水系统的控制应满足下列要求：</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应具备根据控制逻辑开启控制启停相关消防泵组的功能，并在控制台系统显示压力、流量、消防水罐（池）的液位、消防泵和自动控制阀的状态和故障等信息；</w:t>
      </w:r>
    </w:p>
    <w:p>
      <w:pPr>
        <w:pStyle w:val="310"/>
        <w:spacing w:line="360" w:lineRule="auto"/>
        <w:ind w:firstLine="420" w:firstLineChars="175"/>
        <w:rPr>
          <w:rFonts w:ascii="Times New Roman"/>
          <w:bCs/>
        </w:rPr>
      </w:pPr>
      <w:r>
        <w:rPr>
          <w:rFonts w:ascii="Times New Roman"/>
          <w:bCs/>
        </w:rPr>
        <w:t>2  消防泵控制设施应设置在消防泵房或专用的消防控制室内，控制系统应确保消防泵在平时处于自动启动状态；</w:t>
      </w:r>
    </w:p>
    <w:p>
      <w:pPr>
        <w:pStyle w:val="310"/>
        <w:spacing w:line="360" w:lineRule="auto"/>
        <w:ind w:firstLine="420" w:firstLineChars="175"/>
        <w:rPr>
          <w:rFonts w:ascii="Times New Roman"/>
          <w:bCs/>
        </w:rPr>
      </w:pPr>
      <w:r>
        <w:rPr>
          <w:rFonts w:ascii="Times New Roman"/>
          <w:bCs/>
        </w:rPr>
        <w:t>3  交流380V、660V电压等级的电动消防泵，其控制设施应具备机械应急启泵功能；交流6kV、10kV电压等级的电动消防泵做主泵，柴油机消防泵按100</w:t>
      </w:r>
      <w:r>
        <w:rPr>
          <w:rFonts w:hint="eastAsia" w:ascii="Times New Roman"/>
          <w:bCs/>
        </w:rPr>
        <w:t>％备用能力设置的消防泵组，当柴油机消防泵设有机械应急启动功能时，该泵组电动消防泵的控制设施不设置机械应急启动装置。</w:t>
      </w:r>
    </w:p>
    <w:p>
      <w:pPr>
        <w:pStyle w:val="310"/>
        <w:spacing w:line="360" w:lineRule="auto"/>
        <w:rPr>
          <w:rFonts w:ascii="Times New Roman"/>
        </w:rPr>
      </w:pPr>
      <w:r>
        <w:rPr>
          <w:rFonts w:ascii="Times New Roman"/>
        </w:rPr>
        <w:t xml:space="preserve">7.1.4  </w:t>
      </w:r>
      <w:r>
        <w:rPr>
          <w:rFonts w:hint="eastAsia" w:ascii="Times New Roman"/>
        </w:rPr>
        <w:t>厂区消防用水总量应按同一时间内的火灾处数和相应处的一次消防用水量确定。火灾处数及消防用水量应符合下列规定：</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厂区占地面积小于或等于</w:t>
      </w:r>
      <w:r>
        <w:rPr>
          <w:rFonts w:ascii="Times New Roman"/>
          <w:bCs/>
        </w:rPr>
        <w:t>1km</w:t>
      </w:r>
      <w:r>
        <w:rPr>
          <w:rFonts w:ascii="Times New Roman"/>
          <w:bCs/>
          <w:vertAlign w:val="superscript"/>
        </w:rPr>
        <w:t>2</w:t>
      </w:r>
      <w:r>
        <w:rPr>
          <w:rFonts w:ascii="Times New Roman"/>
          <w:bCs/>
        </w:rPr>
        <w:t>，消防用水总量</w:t>
      </w:r>
      <w:r>
        <w:rPr>
          <w:rFonts w:hint="eastAsia" w:ascii="Times New Roman"/>
          <w:bCs/>
        </w:rPr>
        <w:t>应</w:t>
      </w:r>
      <w:r>
        <w:rPr>
          <w:rFonts w:ascii="Times New Roman"/>
          <w:bCs/>
        </w:rPr>
        <w:t>按一</w:t>
      </w:r>
      <w:r>
        <w:rPr>
          <w:rFonts w:hint="eastAsia" w:ascii="Times New Roman"/>
          <w:bCs/>
        </w:rPr>
        <w:t>处</w:t>
      </w:r>
      <w:r>
        <w:rPr>
          <w:rFonts w:ascii="Times New Roman"/>
          <w:bCs/>
        </w:rPr>
        <w:t>火灾消防用水量最大处计算；</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厂区占地面积大于</w:t>
      </w:r>
      <w:r>
        <w:rPr>
          <w:rFonts w:ascii="Times New Roman"/>
          <w:bCs/>
        </w:rPr>
        <w:t>1km</w:t>
      </w:r>
      <w:r>
        <w:rPr>
          <w:rFonts w:ascii="Times New Roman"/>
          <w:bCs/>
          <w:vertAlign w:val="superscript"/>
        </w:rPr>
        <w:t>2</w:t>
      </w:r>
      <w:r>
        <w:rPr>
          <w:rFonts w:hint="eastAsia" w:ascii="Times New Roman"/>
          <w:bCs/>
        </w:rPr>
        <w:t>，消防用水总量应按一处火灾消防用水量最大处与一处辅助设施火灾消防用水量之和计算；</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当生产及行政管理区独立设置消防泵站及消防给水系统时，其消防水量应按该区域的消防用水量计算。</w:t>
      </w:r>
    </w:p>
    <w:p>
      <w:pPr>
        <w:pStyle w:val="310"/>
        <w:spacing w:line="360" w:lineRule="auto"/>
        <w:rPr>
          <w:rFonts w:ascii="Times New Roman"/>
        </w:rPr>
      </w:pPr>
      <w:r>
        <w:rPr>
          <w:rFonts w:ascii="Times New Roman"/>
        </w:rPr>
        <w:t>7.1.5  液化</w:t>
      </w:r>
      <w:r>
        <w:rPr>
          <w:rFonts w:hint="eastAsia" w:ascii="Times New Roman"/>
        </w:rPr>
        <w:t>烃罐区应设置消防冷却水系统。</w:t>
      </w:r>
    </w:p>
    <w:p>
      <w:pPr>
        <w:pStyle w:val="310"/>
        <w:spacing w:line="360" w:lineRule="auto"/>
        <w:rPr>
          <w:rFonts w:ascii="Times New Roman"/>
        </w:rPr>
      </w:pPr>
      <w:r>
        <w:rPr>
          <w:rFonts w:ascii="Times New Roman"/>
        </w:rPr>
        <w:t xml:space="preserve">7.1.6  </w:t>
      </w:r>
      <w:r>
        <w:rPr>
          <w:rFonts w:hint="eastAsia" w:ascii="Times New Roman"/>
        </w:rPr>
        <w:t>除储存沸点低于</w:t>
      </w:r>
      <w:r>
        <w:rPr>
          <w:rFonts w:ascii="Times New Roman"/>
        </w:rPr>
        <w:t>45℃、C5及以下组分摩尔百分数占比大于30％的低沸点易燃液体储罐外，下列</w:t>
      </w:r>
      <w:r>
        <w:rPr>
          <w:rFonts w:hint="eastAsia" w:ascii="Times New Roman"/>
        </w:rPr>
        <w:t>常压</w:t>
      </w:r>
      <w:r>
        <w:rPr>
          <w:rFonts w:ascii="Times New Roman"/>
        </w:rPr>
        <w:t>储罐应采用固定式</w:t>
      </w:r>
      <w:r>
        <w:rPr>
          <w:rFonts w:hint="eastAsia" w:ascii="Times New Roman"/>
        </w:rPr>
        <w:t>低倍数</w:t>
      </w:r>
      <w:r>
        <w:rPr>
          <w:rFonts w:ascii="Times New Roman"/>
        </w:rPr>
        <w:t>泡沫灭火系统：</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甲、乙类和闪点小于或等于</w:t>
      </w:r>
      <w:r>
        <w:rPr>
          <w:rFonts w:ascii="Times New Roman"/>
          <w:bCs/>
        </w:rPr>
        <w:t>90</w:t>
      </w:r>
      <w:r>
        <w:rPr>
          <w:rFonts w:hint="eastAsia" w:ascii="Times New Roman"/>
          <w:bCs/>
        </w:rPr>
        <w:t>℃的丙类可燃液体的固定顶罐及非耐火浮盘的内浮顶罐：</w:t>
      </w:r>
    </w:p>
    <w:p>
      <w:pPr>
        <w:spacing w:line="360" w:lineRule="auto"/>
        <w:ind w:left="1215" w:leftChars="350" w:hanging="480" w:hangingChars="200"/>
        <w:jc w:val="lef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1） 单罐容积大于或等于10000m</w:t>
      </w:r>
      <w:r>
        <w:rPr>
          <w:rFonts w:cs="Calibri" w:asciiTheme="minorEastAsia" w:hAnsiTheme="minorEastAsia"/>
          <w:color w:val="000000" w:themeColor="text1"/>
          <w:sz w:val="24"/>
          <w:szCs w:val="24"/>
          <w14:textFill>
            <w14:solidFill>
              <w14:schemeClr w14:val="tx1"/>
            </w14:solidFill>
          </w14:textFill>
        </w:rPr>
        <w:t>³</w:t>
      </w:r>
      <w:r>
        <w:rPr>
          <w:rFonts w:hint="eastAsia" w:asciiTheme="minorEastAsia" w:hAnsiTheme="minorEastAsia"/>
          <w:color w:val="000000" w:themeColor="text1"/>
          <w:sz w:val="24"/>
          <w:szCs w:val="24"/>
          <w14:textFill>
            <w14:solidFill>
              <w14:schemeClr w14:val="tx1"/>
            </w14:solidFill>
          </w14:textFill>
        </w:rPr>
        <w:t>的非水溶性可燃液体储罐；</w:t>
      </w:r>
    </w:p>
    <w:p>
      <w:pPr>
        <w:spacing w:line="360" w:lineRule="auto"/>
        <w:ind w:left="1215" w:leftChars="350" w:hanging="480" w:hangingChars="200"/>
        <w:jc w:val="lef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 单罐容积大于或等于500m</w:t>
      </w:r>
      <w:r>
        <w:rPr>
          <w:rFonts w:cs="Calibri" w:asciiTheme="minorEastAsia" w:hAnsiTheme="minorEastAsia"/>
          <w:color w:val="000000" w:themeColor="text1"/>
          <w:sz w:val="24"/>
          <w:szCs w:val="24"/>
          <w14:textFill>
            <w14:solidFill>
              <w14:schemeClr w14:val="tx1"/>
            </w14:solidFill>
          </w14:textFill>
        </w:rPr>
        <w:t>³</w:t>
      </w:r>
      <w:r>
        <w:rPr>
          <w:rFonts w:hint="eastAsia" w:asciiTheme="minorEastAsia" w:hAnsiTheme="minorEastAsia"/>
          <w:color w:val="000000" w:themeColor="text1"/>
          <w:sz w:val="24"/>
          <w:szCs w:val="24"/>
          <w14:textFill>
            <w14:solidFill>
              <w14:schemeClr w14:val="tx1"/>
            </w14:solidFill>
          </w14:textFill>
        </w:rPr>
        <w:t>的水溶性可燃液体储罐。</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甲、乙类和闪点小于或等于</w:t>
      </w:r>
      <w:r>
        <w:rPr>
          <w:rFonts w:ascii="Times New Roman"/>
          <w:bCs/>
        </w:rPr>
        <w:t>90</w:t>
      </w:r>
      <w:r>
        <w:rPr>
          <w:rFonts w:hint="eastAsia" w:ascii="Times New Roman"/>
          <w:bCs/>
        </w:rPr>
        <w:t>℃的丙类可燃液体的浮顶罐及耐火浮盘的内浮顶罐：</w:t>
      </w:r>
    </w:p>
    <w:p>
      <w:pPr>
        <w:spacing w:line="360" w:lineRule="auto"/>
        <w:ind w:left="1215" w:leftChars="350" w:hanging="480" w:hangingChars="200"/>
        <w:jc w:val="lef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1） 单罐容积大于或等于50000m³</w:t>
      </w:r>
      <w:r>
        <w:rPr>
          <w:rFonts w:hint="eastAsia" w:asciiTheme="minorEastAsia" w:hAnsiTheme="minorEastAsia"/>
          <w:color w:val="000000" w:themeColor="text1"/>
          <w:sz w:val="24"/>
          <w:szCs w:val="24"/>
          <w14:textFill>
            <w14:solidFill>
              <w14:schemeClr w14:val="tx1"/>
            </w14:solidFill>
          </w14:textFill>
        </w:rPr>
        <w:t>的非水溶性可燃液体储罐；</w:t>
      </w:r>
    </w:p>
    <w:p>
      <w:pPr>
        <w:spacing w:line="360" w:lineRule="auto"/>
        <w:ind w:left="1215" w:leftChars="350" w:hanging="480" w:hangingChars="200"/>
        <w:jc w:val="lef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 单罐容积大于或等于1000m</w:t>
      </w:r>
      <w:r>
        <w:rPr>
          <w:rFonts w:asciiTheme="minorEastAsia" w:hAnsiTheme="minorEastAsia"/>
          <w:color w:val="000000" w:themeColor="text1"/>
          <w:sz w:val="24"/>
          <w:szCs w:val="24"/>
          <w:vertAlign w:val="superscript"/>
          <w14:textFill>
            <w14:solidFill>
              <w14:schemeClr w14:val="tx1"/>
            </w14:solidFill>
          </w14:textFill>
        </w:rPr>
        <w:t>3</w:t>
      </w:r>
      <w:r>
        <w:rPr>
          <w:rFonts w:asciiTheme="minorEastAsia" w:hAnsiTheme="minorEastAsia"/>
          <w:color w:val="000000" w:themeColor="text1"/>
          <w:sz w:val="24"/>
          <w:szCs w:val="24"/>
          <w14:textFill>
            <w14:solidFill>
              <w14:schemeClr w14:val="tx1"/>
            </w14:solidFill>
          </w14:textFill>
        </w:rPr>
        <w:t>的水溶性可燃液体储罐</w:t>
      </w:r>
      <w:r>
        <w:rPr>
          <w:rFonts w:hint="eastAsia" w:asciiTheme="minorEastAsia" w:hAnsiTheme="minorEastAsia"/>
          <w:color w:val="000000" w:themeColor="text1"/>
          <w:sz w:val="24"/>
          <w:szCs w:val="24"/>
          <w14:textFill>
            <w14:solidFill>
              <w14:schemeClr w14:val="tx1"/>
            </w14:solidFill>
          </w14:textFill>
        </w:rPr>
        <w:t>。</w:t>
      </w:r>
    </w:p>
    <w:p>
      <w:pPr>
        <w:pStyle w:val="310"/>
        <w:spacing w:line="360" w:lineRule="auto"/>
        <w:rPr>
          <w:rFonts w:ascii="Times New Roman"/>
        </w:rPr>
      </w:pPr>
      <w:r>
        <w:rPr>
          <w:rFonts w:ascii="Times New Roman"/>
        </w:rPr>
        <w:t xml:space="preserve">7.1.7  </w:t>
      </w:r>
      <w:r>
        <w:rPr>
          <w:rFonts w:hint="eastAsia" w:ascii="Times New Roman"/>
        </w:rPr>
        <w:t>中心控制室应设置室外消火栓、移动式灭火器。中心控制室的操作大厅不应设自动喷水系统和室内消火栓。</w:t>
      </w:r>
    </w:p>
    <w:p>
      <w:pPr>
        <w:pStyle w:val="310"/>
        <w:spacing w:line="360" w:lineRule="auto"/>
        <w:rPr>
          <w:rFonts w:ascii="Times New Roman"/>
        </w:rPr>
      </w:pPr>
      <w:r>
        <w:rPr>
          <w:rFonts w:ascii="Times New Roman"/>
        </w:rPr>
        <w:t xml:space="preserve">7.1.8  </w:t>
      </w:r>
      <w:r>
        <w:rPr>
          <w:rFonts w:hint="eastAsia" w:ascii="Times New Roman"/>
        </w:rPr>
        <w:t>中心化验室应设置室外消火栓、室内消火栓、移动式灭火器。当总建筑面积大于</w:t>
      </w:r>
      <w:r>
        <w:rPr>
          <w:rFonts w:ascii="Times New Roman"/>
        </w:rPr>
        <w:t>3000m</w:t>
      </w:r>
      <w:r>
        <w:rPr>
          <w:rFonts w:ascii="Times New Roman"/>
          <w:vertAlign w:val="superscript"/>
        </w:rPr>
        <w:t>2</w:t>
      </w:r>
      <w:r>
        <w:rPr>
          <w:rFonts w:ascii="Times New Roman"/>
        </w:rPr>
        <w:t>时，其走廊、门厅、电梯厅等区域应设置自动喷水灭火系统。</w:t>
      </w:r>
    </w:p>
    <w:p>
      <w:pPr>
        <w:pStyle w:val="310"/>
        <w:spacing w:line="360" w:lineRule="auto"/>
        <w:rPr>
          <w:rFonts w:ascii="Times New Roman"/>
        </w:rPr>
      </w:pPr>
      <w:r>
        <w:rPr>
          <w:rFonts w:ascii="Times New Roman"/>
        </w:rPr>
        <w:t xml:space="preserve">7.1.9  </w:t>
      </w:r>
      <w:r>
        <w:rPr>
          <w:rFonts w:hint="eastAsia" w:ascii="Times New Roman"/>
        </w:rPr>
        <w:t>变电所应设置室外消火栓、移动灭火器。在满足下列要求时可不设置室内消火栓及喷淋灭火系统：</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变电所内的电气设备应按照标准设置继电保护；</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变电所应设置火灾自动报警系统。</w:t>
      </w:r>
    </w:p>
    <w:p>
      <w:pPr>
        <w:pStyle w:val="310"/>
        <w:spacing w:line="360" w:lineRule="auto"/>
        <w:rPr>
          <w:rFonts w:ascii="Times New Roman"/>
        </w:rPr>
      </w:pPr>
      <w:r>
        <w:rPr>
          <w:rFonts w:ascii="Times New Roman"/>
        </w:rPr>
        <w:t>7.1.10  固体聚合物</w:t>
      </w:r>
      <w:r>
        <w:rPr>
          <w:rFonts w:hint="eastAsia" w:ascii="Times New Roman"/>
        </w:rPr>
        <w:t>挤压造粒厂房应设置室外消火栓、室内消火栓和移动式灭火器。当</w:t>
      </w:r>
      <w:r>
        <w:rPr>
          <w:rFonts w:ascii="Times New Roman"/>
        </w:rPr>
        <w:t>固体聚合物</w:t>
      </w:r>
      <w:r>
        <w:rPr>
          <w:rFonts w:hint="eastAsia" w:ascii="Times New Roman"/>
        </w:rPr>
        <w:t>挤压造粒厂房满足本规范第</w:t>
      </w:r>
      <w:r>
        <w:rPr>
          <w:rFonts w:ascii="Times New Roman"/>
        </w:rPr>
        <w:t>4.2.4</w:t>
      </w:r>
      <w:r>
        <w:rPr>
          <w:rFonts w:hint="eastAsia" w:ascii="Times New Roman"/>
        </w:rPr>
        <w:t>条的条件时可不设自动喷水系统。</w:t>
      </w:r>
    </w:p>
    <w:p>
      <w:pPr>
        <w:pStyle w:val="310"/>
        <w:spacing w:line="360" w:lineRule="auto"/>
        <w:rPr>
          <w:rFonts w:ascii="Times New Roman"/>
        </w:rPr>
      </w:pPr>
      <w:r>
        <w:rPr>
          <w:rFonts w:ascii="Times New Roman"/>
        </w:rPr>
        <w:t xml:space="preserve">7.1.11  </w:t>
      </w:r>
      <w:r>
        <w:rPr>
          <w:rFonts w:hint="eastAsia" w:ascii="Times New Roman"/>
        </w:rPr>
        <w:t>单层敞开及半敞开式压缩机房、泵房，应设置室外消火栓、移动式灭火器；当室外消火栓满足厂房的消防供水要求时，可不设室内消火栓。</w:t>
      </w:r>
    </w:p>
    <w:p>
      <w:pPr>
        <w:pStyle w:val="310"/>
        <w:spacing w:line="360" w:lineRule="auto"/>
        <w:rPr>
          <w:rFonts w:ascii="Times New Roman"/>
        </w:rPr>
      </w:pPr>
      <w:r>
        <w:rPr>
          <w:rFonts w:ascii="Times New Roman"/>
        </w:rPr>
        <w:t xml:space="preserve">7.1.12  </w:t>
      </w:r>
      <w:r>
        <w:rPr>
          <w:rFonts w:hint="eastAsia" w:ascii="Times New Roman"/>
        </w:rPr>
        <w:t>敞开式、半敞开式丙类袋装硫磺仓库应设置室外消火栓、室内消火栓及移动式灭火器，不应设自动灭火系统。</w:t>
      </w:r>
    </w:p>
    <w:p>
      <w:pPr>
        <w:pStyle w:val="310"/>
        <w:spacing w:line="360" w:lineRule="auto"/>
        <w:rPr>
          <w:rFonts w:ascii="Times New Roman"/>
        </w:rPr>
      </w:pPr>
      <w:r>
        <w:rPr>
          <w:rFonts w:ascii="Times New Roman"/>
        </w:rPr>
        <w:t xml:space="preserve">7.1.13  </w:t>
      </w:r>
      <w:r>
        <w:rPr>
          <w:rFonts w:hint="eastAsia" w:ascii="Times New Roman"/>
        </w:rPr>
        <w:t>炼油化工企业应设置火灾报警系统，包括火灾电话报警和火灾自动报警系统，并应具备下列功能：</w:t>
      </w:r>
    </w:p>
    <w:p>
      <w:pPr>
        <w:pStyle w:val="310"/>
        <w:spacing w:line="360" w:lineRule="auto"/>
        <w:ind w:firstLine="420" w:firstLineChars="175"/>
        <w:rPr>
          <w:rFonts w:ascii="Times New Roman"/>
          <w:bCs/>
        </w:rPr>
      </w:pPr>
      <w:r>
        <w:rPr>
          <w:rFonts w:ascii="Times New Roman"/>
          <w:bCs/>
        </w:rPr>
        <w:t xml:space="preserve">1  </w:t>
      </w:r>
      <w:r>
        <w:rPr>
          <w:rFonts w:hint="eastAsia" w:ascii="Times New Roman"/>
          <w:bCs/>
        </w:rPr>
        <w:t>火灾电话报警应具有电话专用号报警的功能；</w:t>
      </w:r>
    </w:p>
    <w:p>
      <w:pPr>
        <w:pStyle w:val="310"/>
        <w:spacing w:line="360" w:lineRule="auto"/>
        <w:ind w:firstLine="420" w:firstLineChars="175"/>
        <w:rPr>
          <w:rFonts w:ascii="Times New Roman"/>
          <w:bCs/>
        </w:rPr>
      </w:pPr>
      <w:r>
        <w:rPr>
          <w:rFonts w:ascii="Times New Roman"/>
          <w:bCs/>
        </w:rPr>
        <w:t xml:space="preserve">2  </w:t>
      </w:r>
      <w:r>
        <w:rPr>
          <w:rFonts w:hint="eastAsia" w:ascii="Times New Roman"/>
          <w:bCs/>
        </w:rPr>
        <w:t>固定自动灭火系统的火灾自动报警系统应具有实现火灾早期探测、发出火灾报警，并联动响应的功能；</w:t>
      </w:r>
    </w:p>
    <w:p>
      <w:pPr>
        <w:pStyle w:val="310"/>
        <w:spacing w:line="360" w:lineRule="auto"/>
        <w:ind w:firstLine="420" w:firstLineChars="175"/>
        <w:rPr>
          <w:rFonts w:ascii="Times New Roman"/>
          <w:bCs/>
        </w:rPr>
      </w:pPr>
      <w:r>
        <w:rPr>
          <w:rFonts w:ascii="Times New Roman"/>
          <w:bCs/>
        </w:rPr>
        <w:t xml:space="preserve">3  </w:t>
      </w:r>
      <w:r>
        <w:rPr>
          <w:rFonts w:hint="eastAsia" w:ascii="Times New Roman"/>
          <w:bCs/>
        </w:rPr>
        <w:t>火灾自动报警系统的供电线路、消防联动控制线路，以及电线电缆，报警总线、消防应急广播和消防专用电话等传输线路应采用燃烧性能不低于</w:t>
      </w:r>
      <w:r>
        <w:rPr>
          <w:rFonts w:ascii="Times New Roman"/>
          <w:bCs/>
        </w:rPr>
        <w:t>B2</w:t>
      </w:r>
      <w:r>
        <w:rPr>
          <w:rFonts w:hint="eastAsia" w:ascii="Times New Roman"/>
          <w:bCs/>
        </w:rPr>
        <w:t>级的耐火铜芯电线电缆。</w:t>
      </w:r>
    </w:p>
    <w:p>
      <w:pPr>
        <w:pStyle w:val="3"/>
        <w:spacing w:line="360" w:lineRule="auto"/>
        <w:jc w:val="center"/>
        <w:rPr>
          <w:rFonts w:ascii="Times New Roman" w:hAnsi="Times New Roman" w:eastAsia="黑体"/>
          <w:b w:val="0"/>
        </w:rPr>
      </w:pPr>
      <w:bookmarkStart w:id="981" w:name="_Toc146639874"/>
      <w:bookmarkStart w:id="982" w:name="_Toc44668338"/>
      <w:r>
        <w:rPr>
          <w:rFonts w:ascii="Times New Roman" w:hAnsi="Times New Roman" w:eastAsia="黑体"/>
          <w:b w:val="0"/>
          <w:bCs w:val="0"/>
        </w:rPr>
        <w:t xml:space="preserve">7.2  </w:t>
      </w:r>
      <w:r>
        <w:rPr>
          <w:rFonts w:hint="eastAsia" w:ascii="Times New Roman" w:hAnsi="Times New Roman" w:eastAsia="黑体"/>
          <w:b w:val="0"/>
          <w:bCs w:val="0"/>
        </w:rPr>
        <w:t>消防站及气体防护站</w:t>
      </w:r>
      <w:bookmarkEnd w:id="981"/>
    </w:p>
    <w:p>
      <w:pPr>
        <w:pStyle w:val="310"/>
        <w:spacing w:line="360" w:lineRule="auto"/>
        <w:rPr>
          <w:rFonts w:ascii="Times New Roman"/>
        </w:rPr>
      </w:pPr>
      <w:r>
        <w:rPr>
          <w:rFonts w:ascii="Times New Roman"/>
        </w:rPr>
        <w:t xml:space="preserve">7.2.1  </w:t>
      </w:r>
      <w:r>
        <w:rPr>
          <w:rFonts w:hint="eastAsia" w:ascii="Times New Roman"/>
        </w:rPr>
        <w:t>炼油化工企业应建立应急救援体系，并根据企业规模和危险特点配备应急救援装备。</w:t>
      </w:r>
    </w:p>
    <w:p>
      <w:pPr>
        <w:pStyle w:val="310"/>
        <w:spacing w:line="360" w:lineRule="auto"/>
        <w:rPr>
          <w:rFonts w:ascii="Times New Roman"/>
        </w:rPr>
      </w:pPr>
      <w:r>
        <w:rPr>
          <w:rFonts w:ascii="Times New Roman"/>
        </w:rPr>
        <w:t xml:space="preserve">7.2.2  </w:t>
      </w:r>
      <w:r>
        <w:rPr>
          <w:rFonts w:hint="eastAsia" w:ascii="Times New Roman"/>
        </w:rPr>
        <w:t>大中型炼油化工企业应设置企业消防站，根据可能发生的火灾风险配备消防应急救援车辆及器材装备。</w:t>
      </w:r>
    </w:p>
    <w:p>
      <w:pPr>
        <w:pStyle w:val="310"/>
        <w:spacing w:line="360" w:lineRule="auto"/>
        <w:rPr>
          <w:rFonts w:ascii="Times New Roman"/>
        </w:rPr>
      </w:pPr>
      <w:r>
        <w:rPr>
          <w:rFonts w:ascii="Times New Roman"/>
        </w:rPr>
        <w:t xml:space="preserve">7.2.3  </w:t>
      </w:r>
      <w:r>
        <w:rPr>
          <w:rFonts w:hint="eastAsia" w:ascii="Times New Roman"/>
        </w:rPr>
        <w:t>消防应急救援车的配备应根据被保护对象及范围选择，以大型泡沫消防车和干粉或干粉</w:t>
      </w:r>
      <w:r>
        <w:rPr>
          <w:rFonts w:ascii="Times New Roman"/>
        </w:rPr>
        <w:t>-</w:t>
      </w:r>
      <w:r>
        <w:rPr>
          <w:rFonts w:hint="eastAsia" w:ascii="Times New Roman"/>
        </w:rPr>
        <w:t>泡沫联用车为主，并根据需要配备其他应急救援车辆。</w:t>
      </w:r>
    </w:p>
    <w:p>
      <w:pPr>
        <w:pStyle w:val="310"/>
        <w:spacing w:line="360" w:lineRule="auto"/>
        <w:rPr>
          <w:rFonts w:ascii="Times New Roman"/>
        </w:rPr>
      </w:pPr>
      <w:r>
        <w:rPr>
          <w:rFonts w:ascii="Times New Roman"/>
        </w:rPr>
        <w:t xml:space="preserve">7.2.4  </w:t>
      </w:r>
      <w:r>
        <w:rPr>
          <w:rFonts w:hint="eastAsia" w:ascii="Times New Roman"/>
        </w:rPr>
        <w:t>大型炼油化工企业应设置气体防护站。气体防护站</w:t>
      </w:r>
      <w:r>
        <w:rPr>
          <w:rFonts w:ascii="Times New Roman"/>
        </w:rPr>
        <w:t>应</w:t>
      </w:r>
      <w:r>
        <w:rPr>
          <w:rFonts w:hint="eastAsia" w:ascii="Times New Roman"/>
        </w:rPr>
        <w:t>配备防护、急救、检测、通信设备和专用车辆。</w:t>
      </w:r>
    </w:p>
    <w:bookmarkEnd w:id="982"/>
    <w:p>
      <w:pPr>
        <w:pStyle w:val="3"/>
        <w:spacing w:line="360" w:lineRule="auto"/>
        <w:jc w:val="center"/>
        <w:rPr>
          <w:rFonts w:ascii="Times New Roman" w:hAnsi="Times New Roman" w:eastAsia="黑体"/>
          <w:b w:val="0"/>
        </w:rPr>
      </w:pPr>
      <w:bookmarkStart w:id="983" w:name="_Toc146639875"/>
      <w:bookmarkStart w:id="984" w:name="_Toc44668339"/>
      <w:r>
        <w:rPr>
          <w:rFonts w:ascii="Times New Roman" w:hAnsi="Times New Roman" w:eastAsia="黑体"/>
          <w:b w:val="0"/>
          <w:bCs w:val="0"/>
        </w:rPr>
        <w:t xml:space="preserve">7.3  </w:t>
      </w:r>
      <w:r>
        <w:rPr>
          <w:rFonts w:hint="eastAsia" w:ascii="Times New Roman" w:hAnsi="Times New Roman" w:eastAsia="黑体"/>
          <w:b w:val="0"/>
          <w:bCs w:val="0"/>
        </w:rPr>
        <w:t>应急救援物资及人员防护装备</w:t>
      </w:r>
      <w:bookmarkEnd w:id="983"/>
      <w:bookmarkEnd w:id="984"/>
    </w:p>
    <w:p>
      <w:pPr>
        <w:pStyle w:val="310"/>
        <w:spacing w:line="360" w:lineRule="auto"/>
        <w:rPr>
          <w:rFonts w:ascii="Times New Roman"/>
        </w:rPr>
      </w:pPr>
      <w:r>
        <w:rPr>
          <w:rFonts w:ascii="Times New Roman"/>
        </w:rPr>
        <w:t xml:space="preserve">7.3.1  </w:t>
      </w:r>
      <w:r>
        <w:rPr>
          <w:rFonts w:hint="eastAsia" w:ascii="Times New Roman"/>
        </w:rPr>
        <w:t>炼油化工工程项目应有防止事故状态下危险化学品排出厂外的设施或措施。</w:t>
      </w:r>
    </w:p>
    <w:p>
      <w:pPr>
        <w:pStyle w:val="310"/>
        <w:spacing w:line="360" w:lineRule="auto"/>
        <w:rPr>
          <w:rFonts w:ascii="Times New Roman"/>
        </w:rPr>
      </w:pPr>
      <w:r>
        <w:rPr>
          <w:rFonts w:ascii="Times New Roman"/>
        </w:rPr>
        <w:t xml:space="preserve">7.3.2  </w:t>
      </w:r>
      <w:r>
        <w:rPr>
          <w:rFonts w:hint="eastAsia" w:ascii="Times New Roman"/>
        </w:rPr>
        <w:t>炼油化工工程项目应根据生产作业场所危险化学品的种类、数量和造成事故的危害程度，配备</w:t>
      </w:r>
      <w:r>
        <w:rPr>
          <w:rFonts w:ascii="Times New Roman"/>
        </w:rPr>
        <w:t>必要的应急救援物资</w:t>
      </w:r>
      <w:r>
        <w:rPr>
          <w:rFonts w:hint="eastAsia" w:ascii="Times New Roman"/>
        </w:rPr>
        <w:t>。</w:t>
      </w:r>
    </w:p>
    <w:p>
      <w:pPr>
        <w:pStyle w:val="310"/>
        <w:spacing w:line="360" w:lineRule="auto"/>
        <w:rPr>
          <w:rFonts w:ascii="Times New Roman"/>
        </w:rPr>
      </w:pPr>
      <w:r>
        <w:rPr>
          <w:rFonts w:ascii="Times New Roman"/>
        </w:rPr>
        <w:t xml:space="preserve">7.3.3  </w:t>
      </w:r>
      <w:r>
        <w:rPr>
          <w:rFonts w:hint="eastAsia" w:ascii="Times New Roman"/>
        </w:rPr>
        <w:t>应急救援物资应存放在应急救援器材专用柜或指定地点，并应设置明显标识。</w:t>
      </w:r>
    </w:p>
    <w:p>
      <w:pPr>
        <w:pStyle w:val="310"/>
        <w:spacing w:line="360" w:lineRule="auto"/>
        <w:rPr>
          <w:rFonts w:ascii="Times New Roman"/>
        </w:rPr>
      </w:pPr>
      <w:r>
        <w:rPr>
          <w:rFonts w:ascii="Times New Roman"/>
        </w:rPr>
        <w:t xml:space="preserve">7.3.4  </w:t>
      </w:r>
      <w:r>
        <w:rPr>
          <w:rFonts w:hint="eastAsia" w:ascii="Times New Roman"/>
        </w:rPr>
        <w:t>应急救援人员应配备个体防护服、头盔、靴及自救逃生工具等个人防护装备。</w:t>
      </w:r>
    </w:p>
    <w:p>
      <w:pPr>
        <w:spacing w:line="360" w:lineRule="auto"/>
        <w:jc w:val="left"/>
        <w:rPr>
          <w:rFonts w:ascii="黑体" w:hAnsi="黑体" w:eastAsia="黑体"/>
          <w:color w:val="000000" w:themeColor="text1"/>
          <w:sz w:val="24"/>
          <w:szCs w:val="24"/>
          <w14:textFill>
            <w14:solidFill>
              <w14:schemeClr w14:val="tx1"/>
            </w14:solidFill>
          </w14:textFill>
        </w:rPr>
      </w:pPr>
      <w:bookmarkStart w:id="985" w:name="_GoBack"/>
      <w:bookmarkEnd w:id="985"/>
    </w:p>
    <w:sectPr>
      <w:footerReference r:id="rId19" w:type="default"/>
      <w:footerReference r:id="rId20"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inherit">
    <w:altName w:val="Times New Roman"/>
    <w:panose1 w:val="00000000000000000000"/>
    <w:charset w:val="00"/>
    <w:family w:val="roman"/>
    <w:pitch w:val="default"/>
    <w:sig w:usb0="00000000" w:usb1="00000000" w:usb2="00000000" w:usb3="00000000" w:csb0="00000000" w:csb1="00000000"/>
  </w:font>
  <w:font w:name="Arial Unicode MS">
    <w:altName w:val="Times New Roman"/>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兰亭中黑简体">
    <w:altName w:val="方正黑体_GBK"/>
    <w:panose1 w:val="02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Theme="minorEastAsia" w:hAnsiTheme="minorEastAsia"/>
        <w:sz w:val="21"/>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1"/>
        <w:szCs w:val="21"/>
      </w:rPr>
      <w:id w:val="1046489356"/>
    </w:sdtPr>
    <w:sdtEndPr>
      <w:rPr>
        <w:rFonts w:ascii="宋体" w:hAnsi="宋体" w:eastAsia="宋体"/>
        <w:sz w:val="18"/>
        <w:szCs w:val="18"/>
      </w:rPr>
    </w:sdtEndPr>
    <w:sdtContent>
      <w:p>
        <w:pPr>
          <w:pStyle w:val="23"/>
          <w:jc w:val="right"/>
          <w:rPr>
            <w:rFonts w:ascii="宋体" w:hAnsi="宋体" w:eastAsia="宋体"/>
          </w:rPr>
        </w:pPr>
        <w:r>
          <w:rPr>
            <w:rFonts w:hint="eastAsia" w:ascii="宋体" w:hAnsi="宋体" w:eastAsia="宋体"/>
            <w:sz w:val="21"/>
            <w:szCs w:val="21"/>
          </w:rPr>
          <w:t>·</w:t>
        </w:r>
        <w:r>
          <w:rPr>
            <w:rFonts w:ascii="宋体" w:hAnsi="宋体" w:eastAsia="宋体"/>
            <w:sz w:val="21"/>
            <w:szCs w:val="21"/>
          </w:rPr>
          <w:fldChar w:fldCharType="begin"/>
        </w:r>
        <w:r>
          <w:rPr>
            <w:rFonts w:ascii="宋体" w:hAnsi="宋体" w:eastAsia="宋体"/>
            <w:sz w:val="21"/>
            <w:szCs w:val="21"/>
          </w:rPr>
          <w:instrText xml:space="preserve"> PAGE   \* MERGEFORMAT </w:instrText>
        </w:r>
        <w:r>
          <w:rPr>
            <w:rFonts w:ascii="宋体" w:hAnsi="宋体" w:eastAsia="宋体"/>
            <w:sz w:val="21"/>
            <w:szCs w:val="21"/>
          </w:rPr>
          <w:fldChar w:fldCharType="separate"/>
        </w:r>
        <w:r>
          <w:rPr>
            <w:rFonts w:ascii="宋体" w:hAnsi="宋体" w:eastAsia="宋体"/>
            <w:sz w:val="21"/>
            <w:szCs w:val="21"/>
            <w:lang w:val="zh-CN"/>
          </w:rPr>
          <w:t>83</w:t>
        </w:r>
        <w:r>
          <w:rPr>
            <w:rFonts w:ascii="宋体" w:hAnsi="宋体" w:eastAsia="宋体"/>
            <w:sz w:val="21"/>
            <w:szCs w:val="21"/>
          </w:rPr>
          <w:fldChar w:fldCharType="end"/>
        </w:r>
        <w:r>
          <w:rPr>
            <w:rFonts w:hint="eastAsia" w:ascii="宋体" w:hAnsi="宋体" w:eastAsia="宋体"/>
            <w:sz w:val="21"/>
            <w:szCs w:val="21"/>
          </w:rPr>
          <w:t>·</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1"/>
        <w:szCs w:val="21"/>
      </w:rPr>
      <w:id w:val="-2072187671"/>
    </w:sdtPr>
    <w:sdtEndPr>
      <w:rPr>
        <w:rFonts w:ascii="宋体" w:hAnsi="宋体" w:eastAsia="宋体"/>
        <w:sz w:val="21"/>
        <w:szCs w:val="21"/>
      </w:rPr>
    </w:sdtEndPr>
    <w:sdtContent>
      <w:p>
        <w:pPr>
          <w:pStyle w:val="23"/>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fldChar w:fldCharType="begin"/>
        </w:r>
        <w:r>
          <w:rPr>
            <w:rFonts w:ascii="宋体" w:hAnsi="宋体" w:eastAsia="宋体"/>
            <w:sz w:val="21"/>
            <w:szCs w:val="21"/>
          </w:rPr>
          <w:instrText xml:space="preserve"> PAGE   \* MERGEFORMAT </w:instrText>
        </w:r>
        <w:r>
          <w:rPr>
            <w:rFonts w:ascii="宋体" w:hAnsi="宋体" w:eastAsia="宋体"/>
            <w:sz w:val="21"/>
            <w:szCs w:val="21"/>
          </w:rPr>
          <w:fldChar w:fldCharType="separate"/>
        </w:r>
        <w:r>
          <w:rPr>
            <w:rFonts w:ascii="宋体" w:hAnsi="宋体" w:eastAsia="宋体"/>
            <w:sz w:val="21"/>
            <w:szCs w:val="21"/>
            <w:lang w:val="zh-CN"/>
          </w:rPr>
          <w:t>82</w:t>
        </w:r>
        <w:r>
          <w:rPr>
            <w:rFonts w:ascii="宋体" w:hAnsi="宋体" w:eastAsia="宋体"/>
            <w:sz w:val="21"/>
            <w:szCs w:val="21"/>
          </w:rPr>
          <w:fldChar w:fldCharType="end"/>
        </w:r>
        <w:r>
          <w:rPr>
            <w:rFonts w:hint="eastAsia" w:ascii="宋体" w:hAnsi="宋体" w:eastAsia="宋体"/>
            <w:sz w:val="21"/>
            <w:szCs w:val="21"/>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10</w:t>
    </w:r>
    <w:r>
      <w:rPr>
        <w:rFonts w:asciiTheme="minorEastAsia" w:hAnsiTheme="minorEastAsia"/>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sdt>
      <w:sdtPr>
        <w:id w:val="2049876314"/>
        <w:docPartObj>
          <w:docPartGallery w:val="AutoText"/>
        </w:docPartObj>
      </w:sdtPr>
      <w:sdtContent>
        <w:r>
          <w:rPr>
            <w:rFonts w:hint="eastAsia" w:ascii="方正兰亭中黑简体" w:eastAsia="方正兰亭中黑简体"/>
          </w:rPr>
          <w:t>·</w:t>
        </w:r>
        <w:r>
          <w:rPr>
            <w:rFonts w:asciiTheme="minorEastAsia" w:hAnsiTheme="minorEastAsia"/>
          </w:rPr>
          <w:fldChar w:fldCharType="begin"/>
        </w:r>
        <w:r>
          <w:rPr>
            <w:rFonts w:asciiTheme="minorEastAsia" w:hAnsiTheme="minorEastAsia"/>
          </w:rPr>
          <w:instrText xml:space="preserve">PAGE   \* MERGEFORMAT</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r>
          <w:rPr>
            <w:rFonts w:hint="eastAsia" w:ascii="方正兰亭中黑简体" w:eastAsia="方正兰亭中黑简体"/>
          </w:rPr>
          <w: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sdt>
      <w:sdtPr>
        <w:id w:val="-100568514"/>
        <w:docPartObj>
          <w:docPartGallery w:val="AutoText"/>
        </w:docPartObj>
      </w:sdtPr>
      <w:sdtContent>
        <w:r>
          <w:rPr>
            <w:rFonts w:hint="eastAsia" w:ascii="方正兰亭中黑简体" w:eastAsia="方正兰亭中黑简体"/>
          </w:rPr>
          <w:t>·</w:t>
        </w:r>
        <w:r>
          <w:rPr>
            <w:rFonts w:asciiTheme="minorEastAsia" w:hAnsiTheme="minorEastAsia"/>
          </w:rPr>
          <w:fldChar w:fldCharType="begin"/>
        </w:r>
        <w:r>
          <w:rPr>
            <w:rFonts w:asciiTheme="minorEastAsia" w:hAnsiTheme="minorEastAsia"/>
          </w:rPr>
          <w:instrText xml:space="preserve">PAGE   \* MERGEFORMAT</w:instrText>
        </w:r>
        <w:r>
          <w:rPr>
            <w:rFonts w:asciiTheme="minorEastAsia" w:hAnsiTheme="minorEastAsia"/>
          </w:rPr>
          <w:fldChar w:fldCharType="separate"/>
        </w:r>
        <w:r>
          <w:rPr>
            <w:rFonts w:asciiTheme="minorEastAsia" w:hAnsiTheme="minorEastAsia"/>
            <w:lang w:val="zh-CN"/>
          </w:rPr>
          <w:t>2</w:t>
        </w:r>
        <w:r>
          <w:rPr>
            <w:rFonts w:asciiTheme="minorEastAsia" w:hAnsiTheme="minorEastAsia"/>
          </w:rPr>
          <w:fldChar w:fldCharType="end"/>
        </w:r>
        <w:r>
          <w:rPr>
            <w:rFonts w:hint="eastAsia" w:ascii="方正兰亭中黑简体" w:eastAsia="方正兰亭中黑简体"/>
          </w:rPr>
          <w:t>·</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sdt>
      <w:sdtPr>
        <w:id w:val="1923215887"/>
        <w:docPartObj>
          <w:docPartGallery w:val="AutoText"/>
        </w:docPartObj>
      </w:sdtPr>
      <w:sdtContent/>
    </w:sdt>
    <w:r>
      <w:t xml:space="preserve"> </w:t>
    </w:r>
    <w:sdt>
      <w:sdtPr>
        <w:id w:val="1939398146"/>
        <w:docPartObj>
          <w:docPartGallery w:val="AutoText"/>
        </w:docPartObj>
      </w:sdtPr>
      <w:sdtContent>
        <w:r>
          <w:rPr>
            <w:rFonts w:hint="eastAsia" w:ascii="方正兰亭中黑简体" w:eastAsia="方正兰亭中黑简体"/>
          </w:rPr>
          <w:t>·</w:t>
        </w:r>
        <w:r>
          <w:rPr>
            <w:rFonts w:asciiTheme="minorEastAsia" w:hAnsiTheme="minorEastAsia"/>
          </w:rPr>
          <w:fldChar w:fldCharType="begin"/>
        </w:r>
        <w:r>
          <w:rPr>
            <w:rFonts w:asciiTheme="minorEastAsia" w:hAnsiTheme="minorEastAsia"/>
          </w:rPr>
          <w:instrText xml:space="preserve">PAGE   \* MERGEFORMAT</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r>
          <w:rPr>
            <w:rFonts w:hint="eastAsia" w:ascii="方正兰亭中黑简体" w:eastAsia="方正兰亭中黑简体"/>
          </w:rPr>
          <w: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 w:val="21"/>
        <w:szCs w:val="21"/>
      </w:rPr>
    </w:pPr>
    <w:sdt>
      <w:sdtPr>
        <w:id w:val="-1433892292"/>
        <w:docPartObj>
          <w:docPartGallery w:val="AutoText"/>
        </w:docPartObj>
      </w:sdtPr>
      <w:sdtEndPr>
        <w:rPr>
          <w:sz w:val="21"/>
          <w:szCs w:val="21"/>
        </w:rPr>
      </w:sdtEndPr>
      <w:sdtContent>
        <w:r>
          <w:rPr>
            <w:rFonts w:hint="eastAsia" w:ascii="方正兰亭中黑简体" w:eastAsia="方正兰亭中黑简体"/>
            <w:sz w:val="21"/>
            <w:szCs w:val="21"/>
          </w:rPr>
          <w:t>·</w:t>
        </w: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10</w:t>
        </w:r>
        <w:r>
          <w:rPr>
            <w:rFonts w:asciiTheme="minorEastAsia" w:hAnsiTheme="minorEastAsia"/>
            <w:sz w:val="21"/>
            <w:szCs w:val="21"/>
          </w:rPr>
          <w:fldChar w:fldCharType="end"/>
        </w:r>
        <w:r>
          <w:rPr>
            <w:rFonts w:hint="eastAsia" w:ascii="方正兰亭中黑简体" w:eastAsia="方正兰亭中黑简体"/>
            <w:sz w:val="21"/>
            <w:szCs w:val="21"/>
          </w:rPr>
          <w:t>·</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Theme="minorEastAsia" w:hAnsiTheme="minorEastAsia"/>
        <w:sz w:val="21"/>
        <w:szCs w:val="21"/>
      </w:rPr>
    </w:pPr>
    <w:sdt>
      <w:sdtPr>
        <w:id w:val="1377278241"/>
        <w:docPartObj>
          <w:docPartGallery w:val="AutoText"/>
        </w:docPartObj>
      </w:sdtPr>
      <w:sdtEndPr>
        <w:rPr>
          <w:sz w:val="21"/>
          <w:szCs w:val="21"/>
        </w:rPr>
      </w:sdtEndPr>
      <w:sdtContent>
        <w:r>
          <w:rPr>
            <w:rFonts w:hint="eastAsia" w:ascii="方正兰亭中黑简体" w:eastAsia="方正兰亭中黑简体"/>
            <w:sz w:val="21"/>
            <w:szCs w:val="21"/>
          </w:rPr>
          <w:t>·</w:t>
        </w: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9</w:t>
        </w:r>
        <w:r>
          <w:rPr>
            <w:rFonts w:asciiTheme="minorEastAsia" w:hAnsiTheme="minorEastAsia"/>
            <w:sz w:val="21"/>
            <w:szCs w:val="21"/>
          </w:rPr>
          <w:fldChar w:fldCharType="end"/>
        </w:r>
        <w:r>
          <w:rPr>
            <w:rFonts w:hint="eastAsia" w:ascii="方正兰亭中黑简体" w:eastAsia="方正兰亭中黑简体"/>
            <w:sz w:val="21"/>
            <w:szCs w:val="21"/>
          </w:rPr>
          <w:t>·</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1"/>
        <w:szCs w:val="21"/>
      </w:rPr>
      <w:id w:val="1665206668"/>
    </w:sdtPr>
    <w:sdtEndPr>
      <w:rPr>
        <w:rFonts w:ascii="宋体" w:hAnsi="宋体" w:eastAsia="宋体"/>
        <w:sz w:val="18"/>
        <w:szCs w:val="18"/>
      </w:rPr>
    </w:sdtEndPr>
    <w:sdtContent>
      <w:p>
        <w:pPr>
          <w:pStyle w:val="23"/>
          <w:rPr>
            <w:rFonts w:ascii="宋体" w:hAnsi="宋体" w:eastAsia="宋体"/>
          </w:rPr>
        </w:pPr>
        <w:r>
          <w:rPr>
            <w:rFonts w:hint="eastAsia" w:ascii="宋体" w:hAnsi="宋体" w:eastAsia="宋体"/>
            <w:sz w:val="21"/>
            <w:szCs w:val="21"/>
          </w:rPr>
          <w:t>·</w:t>
        </w:r>
        <w:r>
          <w:rPr>
            <w:rFonts w:ascii="宋体" w:hAnsi="宋体" w:eastAsia="宋体"/>
            <w:sz w:val="21"/>
            <w:szCs w:val="21"/>
          </w:rPr>
          <w:fldChar w:fldCharType="begin"/>
        </w:r>
        <w:r>
          <w:rPr>
            <w:rFonts w:ascii="宋体" w:hAnsi="宋体" w:eastAsia="宋体"/>
            <w:sz w:val="21"/>
            <w:szCs w:val="21"/>
          </w:rPr>
          <w:instrText xml:space="preserve"> PAGE   \* MERGEFORMAT </w:instrText>
        </w:r>
        <w:r>
          <w:rPr>
            <w:rFonts w:ascii="宋体" w:hAnsi="宋体" w:eastAsia="宋体"/>
            <w:sz w:val="21"/>
            <w:szCs w:val="21"/>
          </w:rPr>
          <w:fldChar w:fldCharType="separate"/>
        </w:r>
        <w:r>
          <w:rPr>
            <w:rFonts w:ascii="宋体" w:hAnsi="宋体" w:eastAsia="宋体"/>
            <w:sz w:val="21"/>
            <w:szCs w:val="21"/>
            <w:lang w:val="zh-CN"/>
          </w:rPr>
          <w:t>16</w:t>
        </w:r>
        <w:r>
          <w:rPr>
            <w:rFonts w:ascii="宋体" w:hAnsi="宋体" w:eastAsia="宋体"/>
            <w:sz w:val="21"/>
            <w:szCs w:val="21"/>
          </w:rPr>
          <w:fldChar w:fldCharType="end"/>
        </w:r>
        <w:r>
          <w:rPr>
            <w:rFonts w:hint="eastAsia" w:ascii="宋体" w:hAnsi="宋体" w:eastAsia="宋体"/>
            <w:sz w:val="21"/>
            <w:szCs w:val="21"/>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6025E5"/>
    <w:multiLevelType w:val="multilevel"/>
    <w:tmpl w:val="426025E5"/>
    <w:lvl w:ilvl="0" w:tentative="0">
      <w:start w:val="1"/>
      <w:numFmt w:val="decimal"/>
      <w:pStyle w:val="249"/>
      <w:lvlText w:val="%1.0"/>
      <w:lvlJc w:val="left"/>
      <w:pPr>
        <w:ind w:left="425" w:hanging="425"/>
      </w:pPr>
      <w:rPr>
        <w:rFonts w:cs="Times New Roman"/>
        <w:bCs w:val="0"/>
        <w:i w:val="0"/>
        <w:iCs w:val="0"/>
        <w:caps w:val="0"/>
        <w:smallCaps w:val="0"/>
        <w:strike w:val="0"/>
        <w:dstrike w:val="0"/>
        <w:vanish w:val="0"/>
        <w:color w:val="000000"/>
        <w:spacing w:val="0"/>
        <w:position w:val="0"/>
        <w:u w:val="none"/>
        <w:vertAlign w:val="baseline"/>
      </w:rPr>
    </w:lvl>
    <w:lvl w:ilvl="1" w:tentative="0">
      <w:start w:val="1"/>
      <w:numFmt w:val="decimal"/>
      <w:pStyle w:val="282"/>
      <w:lvlText w:val="%1.%2"/>
      <w:lvlJc w:val="left"/>
      <w:pPr>
        <w:ind w:left="709" w:hanging="567"/>
      </w:pPr>
      <w:rPr>
        <w:rFonts w:ascii="宋体" w:hAnsi="宋体" w:eastAsia="宋体"/>
      </w:rPr>
    </w:lvl>
    <w:lvl w:ilvl="2" w:tentative="0">
      <w:start w:val="1"/>
      <w:numFmt w:val="decimal"/>
      <w:lvlText w:val="%3)"/>
      <w:lvlJc w:val="left"/>
      <w:pPr>
        <w:ind w:left="993" w:hanging="567"/>
      </w:pPr>
      <w:rPr>
        <w:b/>
      </w:rPr>
    </w:lvl>
    <w:lvl w:ilvl="3" w:tentative="0">
      <w:start w:val="1"/>
      <w:numFmt w:val="decimal"/>
      <w:lvlText w:val="%4)"/>
      <w:lvlJc w:val="left"/>
      <w:pPr>
        <w:ind w:left="992"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59A6355"/>
    <w:multiLevelType w:val="multilevel"/>
    <w:tmpl w:val="459A6355"/>
    <w:lvl w:ilvl="0" w:tentative="0">
      <w:start w:val="1"/>
      <w:numFmt w:val="decimal"/>
      <w:pStyle w:val="293"/>
      <w:lvlText w:val="%1"/>
      <w:lvlJc w:val="left"/>
      <w:pPr>
        <w:ind w:left="360" w:hanging="360"/>
      </w:pPr>
      <w:rPr>
        <w:rFonts w:hint="default"/>
      </w:rPr>
    </w:lvl>
    <w:lvl w:ilvl="1" w:tentative="0">
      <w:start w:val="1"/>
      <w:numFmt w:val="decimal"/>
      <w:isLgl/>
      <w:lvlText w:val="%1.%2"/>
      <w:lvlJc w:val="left"/>
      <w:pPr>
        <w:ind w:left="525" w:hanging="52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
    <w:nsid w:val="4DE22D57"/>
    <w:multiLevelType w:val="multilevel"/>
    <w:tmpl w:val="4DE22D57"/>
    <w:lvl w:ilvl="0" w:tentative="0">
      <w:start w:val="1"/>
      <w:numFmt w:val="decimal"/>
      <w:lvlText w:val="%1"/>
      <w:lvlJc w:val="left"/>
      <w:pPr>
        <w:ind w:left="432" w:hanging="432"/>
      </w:pPr>
      <w:rPr>
        <w:rFonts w:hint="eastAsia"/>
      </w:rPr>
    </w:lvl>
    <w:lvl w:ilvl="1" w:tentative="0">
      <w:start w:val="1"/>
      <w:numFmt w:val="decimal"/>
      <w:lvlText w:val="%1.%2"/>
      <w:lvlJc w:val="left"/>
      <w:pPr>
        <w:ind w:left="1002" w:hanging="576"/>
      </w:pPr>
      <w:rPr>
        <w:rFonts w:hint="eastAsia"/>
      </w:rPr>
    </w:lvl>
    <w:lvl w:ilvl="2" w:tentative="0">
      <w:start w:val="1"/>
      <w:numFmt w:val="decimal"/>
      <w:pStyle w:val="4"/>
      <w:lvlText w:val="%1.%2.%3"/>
      <w:lvlJc w:val="left"/>
      <w:pPr>
        <w:ind w:left="1997"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3">
    <w:nsid w:val="6DBF04F4"/>
    <w:multiLevelType w:val="multilevel"/>
    <w:tmpl w:val="6DBF04F4"/>
    <w:lvl w:ilvl="0" w:tentative="0">
      <w:start w:val="1"/>
      <w:numFmt w:val="none"/>
      <w:pStyle w:val="298"/>
      <w:suff w:val="nothing"/>
      <w:lvlText w:val="%1注："/>
      <w:lvlJc w:val="left"/>
      <w:pPr>
        <w:ind w:left="789"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79A50EFF"/>
    <w:multiLevelType w:val="multilevel"/>
    <w:tmpl w:val="79A50EFF"/>
    <w:lvl w:ilvl="0" w:tentative="0">
      <w:start w:val="1"/>
      <w:numFmt w:val="decimal"/>
      <w:pStyle w:val="269"/>
      <w:lvlText w:val="%1.0"/>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true"/>
  <w:bordersDoNotSurroundFooter w:val="true"/>
  <w:hideSpellingError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2C"/>
    <w:rsid w:val="00000539"/>
    <w:rsid w:val="0000228D"/>
    <w:rsid w:val="00002AE6"/>
    <w:rsid w:val="00003B28"/>
    <w:rsid w:val="000051E1"/>
    <w:rsid w:val="000057CD"/>
    <w:rsid w:val="000063F6"/>
    <w:rsid w:val="00010094"/>
    <w:rsid w:val="00013C08"/>
    <w:rsid w:val="00014903"/>
    <w:rsid w:val="00014B43"/>
    <w:rsid w:val="00015015"/>
    <w:rsid w:val="0001578E"/>
    <w:rsid w:val="00016C78"/>
    <w:rsid w:val="00017039"/>
    <w:rsid w:val="00017FCD"/>
    <w:rsid w:val="00020089"/>
    <w:rsid w:val="00021A6A"/>
    <w:rsid w:val="000220B6"/>
    <w:rsid w:val="00026A77"/>
    <w:rsid w:val="0002779A"/>
    <w:rsid w:val="000416F2"/>
    <w:rsid w:val="00045283"/>
    <w:rsid w:val="00045395"/>
    <w:rsid w:val="00047C1E"/>
    <w:rsid w:val="0005267C"/>
    <w:rsid w:val="00053C71"/>
    <w:rsid w:val="00053C93"/>
    <w:rsid w:val="00054366"/>
    <w:rsid w:val="00054528"/>
    <w:rsid w:val="0006093D"/>
    <w:rsid w:val="000617A8"/>
    <w:rsid w:val="00061835"/>
    <w:rsid w:val="00063B07"/>
    <w:rsid w:val="00065CDA"/>
    <w:rsid w:val="000715E9"/>
    <w:rsid w:val="00071683"/>
    <w:rsid w:val="00071B57"/>
    <w:rsid w:val="00072485"/>
    <w:rsid w:val="0007269C"/>
    <w:rsid w:val="00080A2C"/>
    <w:rsid w:val="000840D3"/>
    <w:rsid w:val="00084AC0"/>
    <w:rsid w:val="00086AFD"/>
    <w:rsid w:val="00086D82"/>
    <w:rsid w:val="00090491"/>
    <w:rsid w:val="000976B7"/>
    <w:rsid w:val="00097820"/>
    <w:rsid w:val="000A27B2"/>
    <w:rsid w:val="000A515A"/>
    <w:rsid w:val="000A5F86"/>
    <w:rsid w:val="000B7296"/>
    <w:rsid w:val="000B7E8E"/>
    <w:rsid w:val="000C37F6"/>
    <w:rsid w:val="000C65A1"/>
    <w:rsid w:val="000C765B"/>
    <w:rsid w:val="000D295C"/>
    <w:rsid w:val="000D5DB5"/>
    <w:rsid w:val="000E16F3"/>
    <w:rsid w:val="000E413A"/>
    <w:rsid w:val="000E61CF"/>
    <w:rsid w:val="000F0F8C"/>
    <w:rsid w:val="000F10F3"/>
    <w:rsid w:val="000F34DC"/>
    <w:rsid w:val="000F3753"/>
    <w:rsid w:val="000F4A45"/>
    <w:rsid w:val="000F6ED4"/>
    <w:rsid w:val="001009FA"/>
    <w:rsid w:val="001017F7"/>
    <w:rsid w:val="0010286F"/>
    <w:rsid w:val="00106A2D"/>
    <w:rsid w:val="001072F9"/>
    <w:rsid w:val="001100DD"/>
    <w:rsid w:val="001118B1"/>
    <w:rsid w:val="001118B7"/>
    <w:rsid w:val="00113837"/>
    <w:rsid w:val="00114D19"/>
    <w:rsid w:val="00114D37"/>
    <w:rsid w:val="001157DB"/>
    <w:rsid w:val="00120D88"/>
    <w:rsid w:val="0012124D"/>
    <w:rsid w:val="0012364F"/>
    <w:rsid w:val="00127460"/>
    <w:rsid w:val="00130026"/>
    <w:rsid w:val="001303C4"/>
    <w:rsid w:val="00131D50"/>
    <w:rsid w:val="001325B3"/>
    <w:rsid w:val="00136872"/>
    <w:rsid w:val="00136F48"/>
    <w:rsid w:val="00142212"/>
    <w:rsid w:val="0014374C"/>
    <w:rsid w:val="00154FB9"/>
    <w:rsid w:val="00156585"/>
    <w:rsid w:val="001606AE"/>
    <w:rsid w:val="001617D5"/>
    <w:rsid w:val="001634BD"/>
    <w:rsid w:val="00163A63"/>
    <w:rsid w:val="00164AAF"/>
    <w:rsid w:val="00166509"/>
    <w:rsid w:val="0016748A"/>
    <w:rsid w:val="001701FC"/>
    <w:rsid w:val="00172A27"/>
    <w:rsid w:val="00180044"/>
    <w:rsid w:val="001801BC"/>
    <w:rsid w:val="0018023B"/>
    <w:rsid w:val="0018027D"/>
    <w:rsid w:val="001829E8"/>
    <w:rsid w:val="0018371E"/>
    <w:rsid w:val="0018449E"/>
    <w:rsid w:val="001876C2"/>
    <w:rsid w:val="00187BF2"/>
    <w:rsid w:val="001900C6"/>
    <w:rsid w:val="00190709"/>
    <w:rsid w:val="001908E9"/>
    <w:rsid w:val="00195D48"/>
    <w:rsid w:val="00196433"/>
    <w:rsid w:val="001A05A4"/>
    <w:rsid w:val="001A074B"/>
    <w:rsid w:val="001A0DBD"/>
    <w:rsid w:val="001A1FEB"/>
    <w:rsid w:val="001A22A8"/>
    <w:rsid w:val="001A2DDC"/>
    <w:rsid w:val="001A3E7B"/>
    <w:rsid w:val="001A5252"/>
    <w:rsid w:val="001A5C7D"/>
    <w:rsid w:val="001A781B"/>
    <w:rsid w:val="001B14EB"/>
    <w:rsid w:val="001B1984"/>
    <w:rsid w:val="001B3345"/>
    <w:rsid w:val="001B3554"/>
    <w:rsid w:val="001C0E9C"/>
    <w:rsid w:val="001C1024"/>
    <w:rsid w:val="001C19B9"/>
    <w:rsid w:val="001C28B2"/>
    <w:rsid w:val="001C6DCA"/>
    <w:rsid w:val="001D1234"/>
    <w:rsid w:val="001D1ED2"/>
    <w:rsid w:val="001D2986"/>
    <w:rsid w:val="001D4DD0"/>
    <w:rsid w:val="001D642C"/>
    <w:rsid w:val="001D6B07"/>
    <w:rsid w:val="001E1229"/>
    <w:rsid w:val="001E1EF0"/>
    <w:rsid w:val="001E3D91"/>
    <w:rsid w:val="001E6802"/>
    <w:rsid w:val="001F0112"/>
    <w:rsid w:val="001F165C"/>
    <w:rsid w:val="001F39AF"/>
    <w:rsid w:val="001F3AAA"/>
    <w:rsid w:val="001F5527"/>
    <w:rsid w:val="001F581C"/>
    <w:rsid w:val="001F6E79"/>
    <w:rsid w:val="001F70CA"/>
    <w:rsid w:val="00204BDD"/>
    <w:rsid w:val="0020685E"/>
    <w:rsid w:val="0021188A"/>
    <w:rsid w:val="00213EAA"/>
    <w:rsid w:val="00225122"/>
    <w:rsid w:val="00226F6A"/>
    <w:rsid w:val="002271D5"/>
    <w:rsid w:val="0022745E"/>
    <w:rsid w:val="00230B56"/>
    <w:rsid w:val="00231102"/>
    <w:rsid w:val="00232E3E"/>
    <w:rsid w:val="002330D6"/>
    <w:rsid w:val="00235382"/>
    <w:rsid w:val="00236EA6"/>
    <w:rsid w:val="00237816"/>
    <w:rsid w:val="00240A18"/>
    <w:rsid w:val="002412E6"/>
    <w:rsid w:val="00241342"/>
    <w:rsid w:val="002414B6"/>
    <w:rsid w:val="002419F3"/>
    <w:rsid w:val="00246DE4"/>
    <w:rsid w:val="002536F3"/>
    <w:rsid w:val="00256844"/>
    <w:rsid w:val="00257DD6"/>
    <w:rsid w:val="00261DB4"/>
    <w:rsid w:val="002622A1"/>
    <w:rsid w:val="00262759"/>
    <w:rsid w:val="00263284"/>
    <w:rsid w:val="002634C5"/>
    <w:rsid w:val="00263940"/>
    <w:rsid w:val="002639AD"/>
    <w:rsid w:val="00265594"/>
    <w:rsid w:val="00266AB3"/>
    <w:rsid w:val="00272118"/>
    <w:rsid w:val="00272560"/>
    <w:rsid w:val="00273EA0"/>
    <w:rsid w:val="00275640"/>
    <w:rsid w:val="002761DC"/>
    <w:rsid w:val="0028427C"/>
    <w:rsid w:val="002862FA"/>
    <w:rsid w:val="00291DA2"/>
    <w:rsid w:val="002926AD"/>
    <w:rsid w:val="0029272B"/>
    <w:rsid w:val="00293865"/>
    <w:rsid w:val="0029656B"/>
    <w:rsid w:val="00296B77"/>
    <w:rsid w:val="002A15C3"/>
    <w:rsid w:val="002A3400"/>
    <w:rsid w:val="002A6533"/>
    <w:rsid w:val="002B04A2"/>
    <w:rsid w:val="002B1A08"/>
    <w:rsid w:val="002B3318"/>
    <w:rsid w:val="002B34CD"/>
    <w:rsid w:val="002B74F2"/>
    <w:rsid w:val="002B76EC"/>
    <w:rsid w:val="002C60E5"/>
    <w:rsid w:val="002C6FAC"/>
    <w:rsid w:val="002D2BF7"/>
    <w:rsid w:val="002D3190"/>
    <w:rsid w:val="002D5C96"/>
    <w:rsid w:val="002E1D54"/>
    <w:rsid w:val="002E2F28"/>
    <w:rsid w:val="002E3EBA"/>
    <w:rsid w:val="002E5244"/>
    <w:rsid w:val="002E5CFF"/>
    <w:rsid w:val="002E7DD4"/>
    <w:rsid w:val="002F01D5"/>
    <w:rsid w:val="002F114E"/>
    <w:rsid w:val="002F13B7"/>
    <w:rsid w:val="002F531E"/>
    <w:rsid w:val="002F71D0"/>
    <w:rsid w:val="00300288"/>
    <w:rsid w:val="00300D3E"/>
    <w:rsid w:val="00301177"/>
    <w:rsid w:val="00301A44"/>
    <w:rsid w:val="0030263A"/>
    <w:rsid w:val="00302917"/>
    <w:rsid w:val="00302B3A"/>
    <w:rsid w:val="003043CE"/>
    <w:rsid w:val="00311F22"/>
    <w:rsid w:val="00314147"/>
    <w:rsid w:val="00317634"/>
    <w:rsid w:val="00321EB1"/>
    <w:rsid w:val="00322A9E"/>
    <w:rsid w:val="00322E1B"/>
    <w:rsid w:val="00322E57"/>
    <w:rsid w:val="00323D38"/>
    <w:rsid w:val="00325E7A"/>
    <w:rsid w:val="003267C2"/>
    <w:rsid w:val="00326D50"/>
    <w:rsid w:val="00336BC8"/>
    <w:rsid w:val="00344E2E"/>
    <w:rsid w:val="00350F89"/>
    <w:rsid w:val="003536DA"/>
    <w:rsid w:val="00354713"/>
    <w:rsid w:val="00355C95"/>
    <w:rsid w:val="00357591"/>
    <w:rsid w:val="003610EE"/>
    <w:rsid w:val="00361E78"/>
    <w:rsid w:val="003624E9"/>
    <w:rsid w:val="00363E1E"/>
    <w:rsid w:val="00364361"/>
    <w:rsid w:val="00372220"/>
    <w:rsid w:val="00375101"/>
    <w:rsid w:val="003762DA"/>
    <w:rsid w:val="003767EA"/>
    <w:rsid w:val="003802D3"/>
    <w:rsid w:val="00381B87"/>
    <w:rsid w:val="00382A16"/>
    <w:rsid w:val="00384035"/>
    <w:rsid w:val="00385206"/>
    <w:rsid w:val="00386B90"/>
    <w:rsid w:val="003876D9"/>
    <w:rsid w:val="0039184F"/>
    <w:rsid w:val="003922BC"/>
    <w:rsid w:val="00395557"/>
    <w:rsid w:val="00395D6D"/>
    <w:rsid w:val="003A0283"/>
    <w:rsid w:val="003A0A4F"/>
    <w:rsid w:val="003A0B27"/>
    <w:rsid w:val="003A2025"/>
    <w:rsid w:val="003A26C0"/>
    <w:rsid w:val="003A4071"/>
    <w:rsid w:val="003A533E"/>
    <w:rsid w:val="003A674F"/>
    <w:rsid w:val="003A68E3"/>
    <w:rsid w:val="003B00BC"/>
    <w:rsid w:val="003B0DBB"/>
    <w:rsid w:val="003B46D9"/>
    <w:rsid w:val="003B51A5"/>
    <w:rsid w:val="003B77BE"/>
    <w:rsid w:val="003C0246"/>
    <w:rsid w:val="003C1A79"/>
    <w:rsid w:val="003C2547"/>
    <w:rsid w:val="003C7063"/>
    <w:rsid w:val="003D011B"/>
    <w:rsid w:val="003D0256"/>
    <w:rsid w:val="003D0567"/>
    <w:rsid w:val="003D3AAA"/>
    <w:rsid w:val="003D5CC8"/>
    <w:rsid w:val="003D67F1"/>
    <w:rsid w:val="003E3466"/>
    <w:rsid w:val="003E3E97"/>
    <w:rsid w:val="003F33EC"/>
    <w:rsid w:val="004007C6"/>
    <w:rsid w:val="00401487"/>
    <w:rsid w:val="0040499C"/>
    <w:rsid w:val="004055F5"/>
    <w:rsid w:val="00406412"/>
    <w:rsid w:val="00406B7F"/>
    <w:rsid w:val="0041276B"/>
    <w:rsid w:val="00415BAD"/>
    <w:rsid w:val="00420461"/>
    <w:rsid w:val="00425A4B"/>
    <w:rsid w:val="00425AD2"/>
    <w:rsid w:val="00430D53"/>
    <w:rsid w:val="004331EF"/>
    <w:rsid w:val="004365CF"/>
    <w:rsid w:val="0043746A"/>
    <w:rsid w:val="00440E21"/>
    <w:rsid w:val="00443141"/>
    <w:rsid w:val="00443CE3"/>
    <w:rsid w:val="0044641D"/>
    <w:rsid w:val="00447018"/>
    <w:rsid w:val="00451592"/>
    <w:rsid w:val="00452CF6"/>
    <w:rsid w:val="00453AC3"/>
    <w:rsid w:val="00455134"/>
    <w:rsid w:val="00455348"/>
    <w:rsid w:val="004576B6"/>
    <w:rsid w:val="004600AA"/>
    <w:rsid w:val="00471084"/>
    <w:rsid w:val="00472743"/>
    <w:rsid w:val="00472B64"/>
    <w:rsid w:val="00473909"/>
    <w:rsid w:val="00473A09"/>
    <w:rsid w:val="00475A39"/>
    <w:rsid w:val="004762BD"/>
    <w:rsid w:val="00477FCB"/>
    <w:rsid w:val="00484AB5"/>
    <w:rsid w:val="00485622"/>
    <w:rsid w:val="00487F29"/>
    <w:rsid w:val="00490240"/>
    <w:rsid w:val="00490467"/>
    <w:rsid w:val="00491625"/>
    <w:rsid w:val="004916B3"/>
    <w:rsid w:val="00492392"/>
    <w:rsid w:val="00492438"/>
    <w:rsid w:val="0049260C"/>
    <w:rsid w:val="00493039"/>
    <w:rsid w:val="004930BC"/>
    <w:rsid w:val="00493992"/>
    <w:rsid w:val="00493A2C"/>
    <w:rsid w:val="00493A42"/>
    <w:rsid w:val="00493F49"/>
    <w:rsid w:val="00494788"/>
    <w:rsid w:val="0049643E"/>
    <w:rsid w:val="00497084"/>
    <w:rsid w:val="00497172"/>
    <w:rsid w:val="004A1379"/>
    <w:rsid w:val="004A34A1"/>
    <w:rsid w:val="004A3E5E"/>
    <w:rsid w:val="004A510F"/>
    <w:rsid w:val="004A6CF3"/>
    <w:rsid w:val="004B1827"/>
    <w:rsid w:val="004B285C"/>
    <w:rsid w:val="004B33CE"/>
    <w:rsid w:val="004B3876"/>
    <w:rsid w:val="004B3C24"/>
    <w:rsid w:val="004B3E7D"/>
    <w:rsid w:val="004B50C4"/>
    <w:rsid w:val="004B5B20"/>
    <w:rsid w:val="004C2958"/>
    <w:rsid w:val="004C3485"/>
    <w:rsid w:val="004C392C"/>
    <w:rsid w:val="004D0893"/>
    <w:rsid w:val="004D1D41"/>
    <w:rsid w:val="004D4028"/>
    <w:rsid w:val="004D77DF"/>
    <w:rsid w:val="004E08B2"/>
    <w:rsid w:val="004E1DBB"/>
    <w:rsid w:val="004E2F69"/>
    <w:rsid w:val="004E35E4"/>
    <w:rsid w:val="004E5E49"/>
    <w:rsid w:val="004F164C"/>
    <w:rsid w:val="004F337E"/>
    <w:rsid w:val="005011C7"/>
    <w:rsid w:val="0050235B"/>
    <w:rsid w:val="00504558"/>
    <w:rsid w:val="0050463B"/>
    <w:rsid w:val="005108BA"/>
    <w:rsid w:val="00515C4D"/>
    <w:rsid w:val="00516525"/>
    <w:rsid w:val="00516EDE"/>
    <w:rsid w:val="00520020"/>
    <w:rsid w:val="00521643"/>
    <w:rsid w:val="00522C60"/>
    <w:rsid w:val="00524B66"/>
    <w:rsid w:val="00524DAA"/>
    <w:rsid w:val="00530D2D"/>
    <w:rsid w:val="00532EEE"/>
    <w:rsid w:val="00533DCE"/>
    <w:rsid w:val="00541CE2"/>
    <w:rsid w:val="005427F5"/>
    <w:rsid w:val="00543533"/>
    <w:rsid w:val="005448F4"/>
    <w:rsid w:val="0054630F"/>
    <w:rsid w:val="005467B4"/>
    <w:rsid w:val="0054765F"/>
    <w:rsid w:val="00547A4B"/>
    <w:rsid w:val="005506CD"/>
    <w:rsid w:val="005513BC"/>
    <w:rsid w:val="005533C0"/>
    <w:rsid w:val="00555C6A"/>
    <w:rsid w:val="00555CDA"/>
    <w:rsid w:val="00555D53"/>
    <w:rsid w:val="00556887"/>
    <w:rsid w:val="0056184B"/>
    <w:rsid w:val="00562DD2"/>
    <w:rsid w:val="00564844"/>
    <w:rsid w:val="005800F4"/>
    <w:rsid w:val="00582296"/>
    <w:rsid w:val="00582846"/>
    <w:rsid w:val="00583528"/>
    <w:rsid w:val="00583603"/>
    <w:rsid w:val="00585484"/>
    <w:rsid w:val="0058657A"/>
    <w:rsid w:val="00586996"/>
    <w:rsid w:val="0059084C"/>
    <w:rsid w:val="00590A41"/>
    <w:rsid w:val="00593878"/>
    <w:rsid w:val="00597F07"/>
    <w:rsid w:val="005A1833"/>
    <w:rsid w:val="005A34DA"/>
    <w:rsid w:val="005A5CC2"/>
    <w:rsid w:val="005A7151"/>
    <w:rsid w:val="005B02AA"/>
    <w:rsid w:val="005B0AD0"/>
    <w:rsid w:val="005B0D2A"/>
    <w:rsid w:val="005B23DD"/>
    <w:rsid w:val="005B360A"/>
    <w:rsid w:val="005B3D27"/>
    <w:rsid w:val="005B4C7C"/>
    <w:rsid w:val="005B69BD"/>
    <w:rsid w:val="005C2B64"/>
    <w:rsid w:val="005C3CD5"/>
    <w:rsid w:val="005C5B7A"/>
    <w:rsid w:val="005C6421"/>
    <w:rsid w:val="005D54E3"/>
    <w:rsid w:val="005D5C1D"/>
    <w:rsid w:val="005D619F"/>
    <w:rsid w:val="005E023F"/>
    <w:rsid w:val="005E2696"/>
    <w:rsid w:val="005E2AA1"/>
    <w:rsid w:val="005E466C"/>
    <w:rsid w:val="005E5F92"/>
    <w:rsid w:val="005E6BBE"/>
    <w:rsid w:val="005E7A1F"/>
    <w:rsid w:val="005F0213"/>
    <w:rsid w:val="005F0395"/>
    <w:rsid w:val="005F5AEE"/>
    <w:rsid w:val="005F688D"/>
    <w:rsid w:val="00605035"/>
    <w:rsid w:val="00606AB8"/>
    <w:rsid w:val="00606D9D"/>
    <w:rsid w:val="00607322"/>
    <w:rsid w:val="00611450"/>
    <w:rsid w:val="0061442F"/>
    <w:rsid w:val="00614715"/>
    <w:rsid w:val="00615119"/>
    <w:rsid w:val="00616497"/>
    <w:rsid w:val="006167D7"/>
    <w:rsid w:val="00617035"/>
    <w:rsid w:val="00617E1D"/>
    <w:rsid w:val="00622CEC"/>
    <w:rsid w:val="00623F86"/>
    <w:rsid w:val="0062733A"/>
    <w:rsid w:val="00627AE8"/>
    <w:rsid w:val="0063225E"/>
    <w:rsid w:val="00632DC8"/>
    <w:rsid w:val="00635E02"/>
    <w:rsid w:val="00636175"/>
    <w:rsid w:val="00641CE4"/>
    <w:rsid w:val="00641EB7"/>
    <w:rsid w:val="00646500"/>
    <w:rsid w:val="00650A7B"/>
    <w:rsid w:val="006514B0"/>
    <w:rsid w:val="00652B37"/>
    <w:rsid w:val="00654C13"/>
    <w:rsid w:val="00655DC2"/>
    <w:rsid w:val="00662405"/>
    <w:rsid w:val="00662D68"/>
    <w:rsid w:val="00663EC1"/>
    <w:rsid w:val="00665345"/>
    <w:rsid w:val="0066549D"/>
    <w:rsid w:val="00665BBA"/>
    <w:rsid w:val="006676AA"/>
    <w:rsid w:val="006720ED"/>
    <w:rsid w:val="006729F9"/>
    <w:rsid w:val="00673C86"/>
    <w:rsid w:val="006762E5"/>
    <w:rsid w:val="00677907"/>
    <w:rsid w:val="00677A2C"/>
    <w:rsid w:val="00680341"/>
    <w:rsid w:val="00683326"/>
    <w:rsid w:val="006853A3"/>
    <w:rsid w:val="00685C4E"/>
    <w:rsid w:val="006861AB"/>
    <w:rsid w:val="00687F5B"/>
    <w:rsid w:val="00693812"/>
    <w:rsid w:val="00693A71"/>
    <w:rsid w:val="006943C9"/>
    <w:rsid w:val="006A46C5"/>
    <w:rsid w:val="006A6FFE"/>
    <w:rsid w:val="006B3E65"/>
    <w:rsid w:val="006B7AA7"/>
    <w:rsid w:val="006C04A1"/>
    <w:rsid w:val="006C0768"/>
    <w:rsid w:val="006C0F90"/>
    <w:rsid w:val="006C2832"/>
    <w:rsid w:val="006C317F"/>
    <w:rsid w:val="006C3F3E"/>
    <w:rsid w:val="006C50D2"/>
    <w:rsid w:val="006C6DE7"/>
    <w:rsid w:val="006D29C4"/>
    <w:rsid w:val="006D40B2"/>
    <w:rsid w:val="006E1D77"/>
    <w:rsid w:val="006E1F13"/>
    <w:rsid w:val="006E7281"/>
    <w:rsid w:val="006F0001"/>
    <w:rsid w:val="006F1E59"/>
    <w:rsid w:val="006F26BB"/>
    <w:rsid w:val="006F27BA"/>
    <w:rsid w:val="006F3326"/>
    <w:rsid w:val="006F3F06"/>
    <w:rsid w:val="00700236"/>
    <w:rsid w:val="007002E4"/>
    <w:rsid w:val="007006A5"/>
    <w:rsid w:val="00701199"/>
    <w:rsid w:val="00703E20"/>
    <w:rsid w:val="0070686A"/>
    <w:rsid w:val="00710849"/>
    <w:rsid w:val="007120AC"/>
    <w:rsid w:val="0071698C"/>
    <w:rsid w:val="00721674"/>
    <w:rsid w:val="007246CF"/>
    <w:rsid w:val="0072554B"/>
    <w:rsid w:val="00725DB5"/>
    <w:rsid w:val="00726536"/>
    <w:rsid w:val="007329E9"/>
    <w:rsid w:val="00736C94"/>
    <w:rsid w:val="0073749A"/>
    <w:rsid w:val="007400FB"/>
    <w:rsid w:val="007410A9"/>
    <w:rsid w:val="00743B37"/>
    <w:rsid w:val="00743D9E"/>
    <w:rsid w:val="00745C8E"/>
    <w:rsid w:val="00746D21"/>
    <w:rsid w:val="007503FA"/>
    <w:rsid w:val="00751DCB"/>
    <w:rsid w:val="007529E4"/>
    <w:rsid w:val="0075395C"/>
    <w:rsid w:val="00754678"/>
    <w:rsid w:val="00757EA8"/>
    <w:rsid w:val="0076513E"/>
    <w:rsid w:val="007717DD"/>
    <w:rsid w:val="00771D3F"/>
    <w:rsid w:val="00773835"/>
    <w:rsid w:val="007751CE"/>
    <w:rsid w:val="00775B31"/>
    <w:rsid w:val="00775E14"/>
    <w:rsid w:val="00776922"/>
    <w:rsid w:val="00777AE0"/>
    <w:rsid w:val="007818DD"/>
    <w:rsid w:val="00781A4B"/>
    <w:rsid w:val="00781E23"/>
    <w:rsid w:val="00782338"/>
    <w:rsid w:val="007824BF"/>
    <w:rsid w:val="007845AD"/>
    <w:rsid w:val="00785B27"/>
    <w:rsid w:val="007870C2"/>
    <w:rsid w:val="00792130"/>
    <w:rsid w:val="0079464A"/>
    <w:rsid w:val="00796E59"/>
    <w:rsid w:val="007A0ED5"/>
    <w:rsid w:val="007A1C27"/>
    <w:rsid w:val="007A3DCA"/>
    <w:rsid w:val="007A4730"/>
    <w:rsid w:val="007A6754"/>
    <w:rsid w:val="007B2EA6"/>
    <w:rsid w:val="007B5079"/>
    <w:rsid w:val="007B59F6"/>
    <w:rsid w:val="007B677B"/>
    <w:rsid w:val="007C0622"/>
    <w:rsid w:val="007C184E"/>
    <w:rsid w:val="007C3C39"/>
    <w:rsid w:val="007C4382"/>
    <w:rsid w:val="007C77C1"/>
    <w:rsid w:val="007D15CA"/>
    <w:rsid w:val="007D3D73"/>
    <w:rsid w:val="007E2872"/>
    <w:rsid w:val="007E402C"/>
    <w:rsid w:val="007E4FF6"/>
    <w:rsid w:val="007E57F3"/>
    <w:rsid w:val="007E5BBC"/>
    <w:rsid w:val="007E6074"/>
    <w:rsid w:val="007F193E"/>
    <w:rsid w:val="007F235D"/>
    <w:rsid w:val="007F6D8F"/>
    <w:rsid w:val="008005E4"/>
    <w:rsid w:val="00803F6B"/>
    <w:rsid w:val="00814D1A"/>
    <w:rsid w:val="00814D56"/>
    <w:rsid w:val="00815156"/>
    <w:rsid w:val="008151D5"/>
    <w:rsid w:val="00817382"/>
    <w:rsid w:val="008206DD"/>
    <w:rsid w:val="00822D2E"/>
    <w:rsid w:val="0082679A"/>
    <w:rsid w:val="008273FB"/>
    <w:rsid w:val="0082790B"/>
    <w:rsid w:val="00835C78"/>
    <w:rsid w:val="00836D8C"/>
    <w:rsid w:val="008371F1"/>
    <w:rsid w:val="00840604"/>
    <w:rsid w:val="008413B4"/>
    <w:rsid w:val="008417D2"/>
    <w:rsid w:val="00843EEF"/>
    <w:rsid w:val="008456DF"/>
    <w:rsid w:val="008507D7"/>
    <w:rsid w:val="00856FDE"/>
    <w:rsid w:val="0086074D"/>
    <w:rsid w:val="00861691"/>
    <w:rsid w:val="0086245A"/>
    <w:rsid w:val="00863EB4"/>
    <w:rsid w:val="008649B2"/>
    <w:rsid w:val="00864A99"/>
    <w:rsid w:val="00865695"/>
    <w:rsid w:val="0086684F"/>
    <w:rsid w:val="00867C12"/>
    <w:rsid w:val="00873A66"/>
    <w:rsid w:val="008835DA"/>
    <w:rsid w:val="00884FF6"/>
    <w:rsid w:val="00887EA7"/>
    <w:rsid w:val="00887F88"/>
    <w:rsid w:val="008920FF"/>
    <w:rsid w:val="00897FEF"/>
    <w:rsid w:val="008A329E"/>
    <w:rsid w:val="008B08F3"/>
    <w:rsid w:val="008B1560"/>
    <w:rsid w:val="008B3EEE"/>
    <w:rsid w:val="008B5D72"/>
    <w:rsid w:val="008B6423"/>
    <w:rsid w:val="008B64DE"/>
    <w:rsid w:val="008C0CD8"/>
    <w:rsid w:val="008C2B25"/>
    <w:rsid w:val="008C4620"/>
    <w:rsid w:val="008C4BA1"/>
    <w:rsid w:val="008C7E50"/>
    <w:rsid w:val="008D1747"/>
    <w:rsid w:val="008D1E12"/>
    <w:rsid w:val="008D2582"/>
    <w:rsid w:val="008D3BA7"/>
    <w:rsid w:val="008D6AB6"/>
    <w:rsid w:val="008D6D0E"/>
    <w:rsid w:val="008D7133"/>
    <w:rsid w:val="008D7720"/>
    <w:rsid w:val="008E2CDB"/>
    <w:rsid w:val="008E40FA"/>
    <w:rsid w:val="008E4CDA"/>
    <w:rsid w:val="008E69BB"/>
    <w:rsid w:val="008E7974"/>
    <w:rsid w:val="008F007D"/>
    <w:rsid w:val="008F4825"/>
    <w:rsid w:val="008F515A"/>
    <w:rsid w:val="00900B1B"/>
    <w:rsid w:val="0090255B"/>
    <w:rsid w:val="00906A07"/>
    <w:rsid w:val="00911A49"/>
    <w:rsid w:val="00914B1E"/>
    <w:rsid w:val="0091511B"/>
    <w:rsid w:val="00917B39"/>
    <w:rsid w:val="00920799"/>
    <w:rsid w:val="00920913"/>
    <w:rsid w:val="00920AE1"/>
    <w:rsid w:val="00921B5D"/>
    <w:rsid w:val="0092231E"/>
    <w:rsid w:val="009227D4"/>
    <w:rsid w:val="00926CBE"/>
    <w:rsid w:val="00926F85"/>
    <w:rsid w:val="009321C7"/>
    <w:rsid w:val="0093597A"/>
    <w:rsid w:val="00942197"/>
    <w:rsid w:val="009437AE"/>
    <w:rsid w:val="009474CE"/>
    <w:rsid w:val="00947E39"/>
    <w:rsid w:val="00950DE0"/>
    <w:rsid w:val="00950F01"/>
    <w:rsid w:val="00952024"/>
    <w:rsid w:val="009530A1"/>
    <w:rsid w:val="00955DB8"/>
    <w:rsid w:val="009561A2"/>
    <w:rsid w:val="00961DBD"/>
    <w:rsid w:val="00962D09"/>
    <w:rsid w:val="0096440B"/>
    <w:rsid w:val="00965A20"/>
    <w:rsid w:val="00967176"/>
    <w:rsid w:val="00970577"/>
    <w:rsid w:val="00970DB3"/>
    <w:rsid w:val="00971B0B"/>
    <w:rsid w:val="00972339"/>
    <w:rsid w:val="00973EDB"/>
    <w:rsid w:val="009743C2"/>
    <w:rsid w:val="00975B87"/>
    <w:rsid w:val="00976062"/>
    <w:rsid w:val="00977C2D"/>
    <w:rsid w:val="00977E92"/>
    <w:rsid w:val="009800C7"/>
    <w:rsid w:val="009809B1"/>
    <w:rsid w:val="00982C55"/>
    <w:rsid w:val="0098374F"/>
    <w:rsid w:val="00984F7B"/>
    <w:rsid w:val="00985883"/>
    <w:rsid w:val="00990FC5"/>
    <w:rsid w:val="009925F0"/>
    <w:rsid w:val="009926C0"/>
    <w:rsid w:val="00995AEB"/>
    <w:rsid w:val="00996296"/>
    <w:rsid w:val="00997B57"/>
    <w:rsid w:val="009A0AE4"/>
    <w:rsid w:val="009A592E"/>
    <w:rsid w:val="009B07C4"/>
    <w:rsid w:val="009B2881"/>
    <w:rsid w:val="009B52C1"/>
    <w:rsid w:val="009C0857"/>
    <w:rsid w:val="009C0BB8"/>
    <w:rsid w:val="009C41D9"/>
    <w:rsid w:val="009C7D53"/>
    <w:rsid w:val="009D49DE"/>
    <w:rsid w:val="009D4F1B"/>
    <w:rsid w:val="009D69C1"/>
    <w:rsid w:val="009D75B3"/>
    <w:rsid w:val="009E4F77"/>
    <w:rsid w:val="009F0E52"/>
    <w:rsid w:val="009F1DDD"/>
    <w:rsid w:val="009F3181"/>
    <w:rsid w:val="00A00B2F"/>
    <w:rsid w:val="00A02AAE"/>
    <w:rsid w:val="00A030FE"/>
    <w:rsid w:val="00A045D2"/>
    <w:rsid w:val="00A053AB"/>
    <w:rsid w:val="00A06A07"/>
    <w:rsid w:val="00A11CC4"/>
    <w:rsid w:val="00A1253B"/>
    <w:rsid w:val="00A129A7"/>
    <w:rsid w:val="00A1304F"/>
    <w:rsid w:val="00A1517D"/>
    <w:rsid w:val="00A15397"/>
    <w:rsid w:val="00A156B4"/>
    <w:rsid w:val="00A17760"/>
    <w:rsid w:val="00A22F67"/>
    <w:rsid w:val="00A231CE"/>
    <w:rsid w:val="00A250A7"/>
    <w:rsid w:val="00A27D2D"/>
    <w:rsid w:val="00A321A8"/>
    <w:rsid w:val="00A34FDA"/>
    <w:rsid w:val="00A36B9F"/>
    <w:rsid w:val="00A375E4"/>
    <w:rsid w:val="00A4123F"/>
    <w:rsid w:val="00A43239"/>
    <w:rsid w:val="00A439BE"/>
    <w:rsid w:val="00A47B2B"/>
    <w:rsid w:val="00A47C7C"/>
    <w:rsid w:val="00A534C4"/>
    <w:rsid w:val="00A53FBE"/>
    <w:rsid w:val="00A6009F"/>
    <w:rsid w:val="00A6267A"/>
    <w:rsid w:val="00A632F5"/>
    <w:rsid w:val="00A63BE7"/>
    <w:rsid w:val="00A63E26"/>
    <w:rsid w:val="00A71CBF"/>
    <w:rsid w:val="00A72E30"/>
    <w:rsid w:val="00A73883"/>
    <w:rsid w:val="00A739BC"/>
    <w:rsid w:val="00A76E23"/>
    <w:rsid w:val="00A82479"/>
    <w:rsid w:val="00A828C1"/>
    <w:rsid w:val="00A83469"/>
    <w:rsid w:val="00A840B9"/>
    <w:rsid w:val="00A858C9"/>
    <w:rsid w:val="00A90041"/>
    <w:rsid w:val="00A916F8"/>
    <w:rsid w:val="00A91D43"/>
    <w:rsid w:val="00A92096"/>
    <w:rsid w:val="00A947D6"/>
    <w:rsid w:val="00A957D5"/>
    <w:rsid w:val="00A95831"/>
    <w:rsid w:val="00A973B3"/>
    <w:rsid w:val="00A97F36"/>
    <w:rsid w:val="00AA1049"/>
    <w:rsid w:val="00AA2405"/>
    <w:rsid w:val="00AA313C"/>
    <w:rsid w:val="00AA5971"/>
    <w:rsid w:val="00AA5C6C"/>
    <w:rsid w:val="00AA60C3"/>
    <w:rsid w:val="00AA663D"/>
    <w:rsid w:val="00AA67C1"/>
    <w:rsid w:val="00AB0C75"/>
    <w:rsid w:val="00AB2324"/>
    <w:rsid w:val="00AB4A78"/>
    <w:rsid w:val="00AB78B2"/>
    <w:rsid w:val="00AC100F"/>
    <w:rsid w:val="00AC73B3"/>
    <w:rsid w:val="00AD1449"/>
    <w:rsid w:val="00AD20C1"/>
    <w:rsid w:val="00AD3C05"/>
    <w:rsid w:val="00AD3E82"/>
    <w:rsid w:val="00AD69FA"/>
    <w:rsid w:val="00AD76AD"/>
    <w:rsid w:val="00AE27B8"/>
    <w:rsid w:val="00AE4524"/>
    <w:rsid w:val="00AF05EB"/>
    <w:rsid w:val="00AF2D7B"/>
    <w:rsid w:val="00AF4A15"/>
    <w:rsid w:val="00AF59B9"/>
    <w:rsid w:val="00AF64D0"/>
    <w:rsid w:val="00AF6E4C"/>
    <w:rsid w:val="00AF706E"/>
    <w:rsid w:val="00AF77B6"/>
    <w:rsid w:val="00AF784A"/>
    <w:rsid w:val="00B03037"/>
    <w:rsid w:val="00B0439B"/>
    <w:rsid w:val="00B04464"/>
    <w:rsid w:val="00B04D7C"/>
    <w:rsid w:val="00B07FDF"/>
    <w:rsid w:val="00B10BCD"/>
    <w:rsid w:val="00B10D20"/>
    <w:rsid w:val="00B1352D"/>
    <w:rsid w:val="00B20F92"/>
    <w:rsid w:val="00B2181B"/>
    <w:rsid w:val="00B21AE2"/>
    <w:rsid w:val="00B22589"/>
    <w:rsid w:val="00B251F2"/>
    <w:rsid w:val="00B268AF"/>
    <w:rsid w:val="00B2719B"/>
    <w:rsid w:val="00B3029F"/>
    <w:rsid w:val="00B30C3F"/>
    <w:rsid w:val="00B34FDB"/>
    <w:rsid w:val="00B354E6"/>
    <w:rsid w:val="00B36AA5"/>
    <w:rsid w:val="00B464E6"/>
    <w:rsid w:val="00B50624"/>
    <w:rsid w:val="00B53F01"/>
    <w:rsid w:val="00B55B15"/>
    <w:rsid w:val="00B56A79"/>
    <w:rsid w:val="00B60AA3"/>
    <w:rsid w:val="00B617DF"/>
    <w:rsid w:val="00B63921"/>
    <w:rsid w:val="00B6444F"/>
    <w:rsid w:val="00B652EE"/>
    <w:rsid w:val="00B676D8"/>
    <w:rsid w:val="00B73CCB"/>
    <w:rsid w:val="00B77929"/>
    <w:rsid w:val="00B84776"/>
    <w:rsid w:val="00B854AB"/>
    <w:rsid w:val="00B860F5"/>
    <w:rsid w:val="00B901C8"/>
    <w:rsid w:val="00B90C31"/>
    <w:rsid w:val="00B90CDB"/>
    <w:rsid w:val="00B92D76"/>
    <w:rsid w:val="00B96099"/>
    <w:rsid w:val="00B9686B"/>
    <w:rsid w:val="00B96CB1"/>
    <w:rsid w:val="00B970C9"/>
    <w:rsid w:val="00BA35F1"/>
    <w:rsid w:val="00BA4B70"/>
    <w:rsid w:val="00BB0420"/>
    <w:rsid w:val="00BB0DB0"/>
    <w:rsid w:val="00BB1107"/>
    <w:rsid w:val="00BB6F6B"/>
    <w:rsid w:val="00BB7E5C"/>
    <w:rsid w:val="00BC26EB"/>
    <w:rsid w:val="00BC2DAA"/>
    <w:rsid w:val="00BC3616"/>
    <w:rsid w:val="00BC4E59"/>
    <w:rsid w:val="00BC52C9"/>
    <w:rsid w:val="00BD2E67"/>
    <w:rsid w:val="00BD3EAF"/>
    <w:rsid w:val="00BD77EE"/>
    <w:rsid w:val="00BE390C"/>
    <w:rsid w:val="00BE4152"/>
    <w:rsid w:val="00BE418D"/>
    <w:rsid w:val="00BE48AA"/>
    <w:rsid w:val="00BE51E7"/>
    <w:rsid w:val="00BE5461"/>
    <w:rsid w:val="00BE5F16"/>
    <w:rsid w:val="00BF0202"/>
    <w:rsid w:val="00BF05CA"/>
    <w:rsid w:val="00BF3D75"/>
    <w:rsid w:val="00C007FA"/>
    <w:rsid w:val="00C0154C"/>
    <w:rsid w:val="00C11D64"/>
    <w:rsid w:val="00C129D0"/>
    <w:rsid w:val="00C137C0"/>
    <w:rsid w:val="00C17946"/>
    <w:rsid w:val="00C202BA"/>
    <w:rsid w:val="00C21792"/>
    <w:rsid w:val="00C21AEC"/>
    <w:rsid w:val="00C237D6"/>
    <w:rsid w:val="00C262A7"/>
    <w:rsid w:val="00C304C1"/>
    <w:rsid w:val="00C30817"/>
    <w:rsid w:val="00C419CD"/>
    <w:rsid w:val="00C4502E"/>
    <w:rsid w:val="00C45AD0"/>
    <w:rsid w:val="00C476CF"/>
    <w:rsid w:val="00C479D3"/>
    <w:rsid w:val="00C51E95"/>
    <w:rsid w:val="00C52937"/>
    <w:rsid w:val="00C55BA2"/>
    <w:rsid w:val="00C609CE"/>
    <w:rsid w:val="00C60A68"/>
    <w:rsid w:val="00C612CD"/>
    <w:rsid w:val="00C674AE"/>
    <w:rsid w:val="00C70BB3"/>
    <w:rsid w:val="00C70D31"/>
    <w:rsid w:val="00C72679"/>
    <w:rsid w:val="00C73FEA"/>
    <w:rsid w:val="00C74039"/>
    <w:rsid w:val="00C750F9"/>
    <w:rsid w:val="00C76331"/>
    <w:rsid w:val="00C76DDF"/>
    <w:rsid w:val="00C770D7"/>
    <w:rsid w:val="00C80114"/>
    <w:rsid w:val="00C81303"/>
    <w:rsid w:val="00C81A12"/>
    <w:rsid w:val="00C91CAF"/>
    <w:rsid w:val="00C94219"/>
    <w:rsid w:val="00CA1A0B"/>
    <w:rsid w:val="00CA2464"/>
    <w:rsid w:val="00CA2B09"/>
    <w:rsid w:val="00CA7170"/>
    <w:rsid w:val="00CB05EC"/>
    <w:rsid w:val="00CB1A6E"/>
    <w:rsid w:val="00CB2885"/>
    <w:rsid w:val="00CB3036"/>
    <w:rsid w:val="00CB30E0"/>
    <w:rsid w:val="00CB6B1D"/>
    <w:rsid w:val="00CC07C7"/>
    <w:rsid w:val="00CC1DD5"/>
    <w:rsid w:val="00CC521A"/>
    <w:rsid w:val="00CC7CA7"/>
    <w:rsid w:val="00CD030B"/>
    <w:rsid w:val="00CD0E11"/>
    <w:rsid w:val="00CD2548"/>
    <w:rsid w:val="00CD2D59"/>
    <w:rsid w:val="00CD48D8"/>
    <w:rsid w:val="00CD4E30"/>
    <w:rsid w:val="00CD6089"/>
    <w:rsid w:val="00CD7B76"/>
    <w:rsid w:val="00CD7BDE"/>
    <w:rsid w:val="00CE49C4"/>
    <w:rsid w:val="00CE511E"/>
    <w:rsid w:val="00CE626A"/>
    <w:rsid w:val="00CE67AD"/>
    <w:rsid w:val="00CE76DB"/>
    <w:rsid w:val="00CE78F4"/>
    <w:rsid w:val="00CF1545"/>
    <w:rsid w:val="00CF2075"/>
    <w:rsid w:val="00CF7B28"/>
    <w:rsid w:val="00D01ED7"/>
    <w:rsid w:val="00D0674B"/>
    <w:rsid w:val="00D1093E"/>
    <w:rsid w:val="00D1106F"/>
    <w:rsid w:val="00D1208E"/>
    <w:rsid w:val="00D1236F"/>
    <w:rsid w:val="00D12634"/>
    <w:rsid w:val="00D14810"/>
    <w:rsid w:val="00D1587C"/>
    <w:rsid w:val="00D15E6D"/>
    <w:rsid w:val="00D17FCE"/>
    <w:rsid w:val="00D2033D"/>
    <w:rsid w:val="00D2060E"/>
    <w:rsid w:val="00D24591"/>
    <w:rsid w:val="00D25D14"/>
    <w:rsid w:val="00D30A75"/>
    <w:rsid w:val="00D3690E"/>
    <w:rsid w:val="00D40D5A"/>
    <w:rsid w:val="00D41280"/>
    <w:rsid w:val="00D44238"/>
    <w:rsid w:val="00D45A24"/>
    <w:rsid w:val="00D47C20"/>
    <w:rsid w:val="00D50830"/>
    <w:rsid w:val="00D51B7D"/>
    <w:rsid w:val="00D52EC6"/>
    <w:rsid w:val="00D53059"/>
    <w:rsid w:val="00D54C33"/>
    <w:rsid w:val="00D57DDB"/>
    <w:rsid w:val="00D62649"/>
    <w:rsid w:val="00D648CF"/>
    <w:rsid w:val="00D708DA"/>
    <w:rsid w:val="00D71438"/>
    <w:rsid w:val="00D71B60"/>
    <w:rsid w:val="00D741C5"/>
    <w:rsid w:val="00D761B4"/>
    <w:rsid w:val="00D76364"/>
    <w:rsid w:val="00D76489"/>
    <w:rsid w:val="00D80EF2"/>
    <w:rsid w:val="00D81584"/>
    <w:rsid w:val="00D81927"/>
    <w:rsid w:val="00D81B47"/>
    <w:rsid w:val="00D81F01"/>
    <w:rsid w:val="00D83FBA"/>
    <w:rsid w:val="00D85E9B"/>
    <w:rsid w:val="00D91B82"/>
    <w:rsid w:val="00D9218D"/>
    <w:rsid w:val="00D92E9B"/>
    <w:rsid w:val="00D934A1"/>
    <w:rsid w:val="00D936E6"/>
    <w:rsid w:val="00D94C1D"/>
    <w:rsid w:val="00D96F69"/>
    <w:rsid w:val="00D9783E"/>
    <w:rsid w:val="00DA1CC4"/>
    <w:rsid w:val="00DA2EAD"/>
    <w:rsid w:val="00DA586C"/>
    <w:rsid w:val="00DA5DDC"/>
    <w:rsid w:val="00DA6930"/>
    <w:rsid w:val="00DB434C"/>
    <w:rsid w:val="00DB4FD5"/>
    <w:rsid w:val="00DB5D18"/>
    <w:rsid w:val="00DB5F11"/>
    <w:rsid w:val="00DB6EAB"/>
    <w:rsid w:val="00DB7B3C"/>
    <w:rsid w:val="00DC19DF"/>
    <w:rsid w:val="00DC434D"/>
    <w:rsid w:val="00DC4774"/>
    <w:rsid w:val="00DC584E"/>
    <w:rsid w:val="00DC5F3C"/>
    <w:rsid w:val="00DD05DA"/>
    <w:rsid w:val="00DD06D8"/>
    <w:rsid w:val="00DD1C15"/>
    <w:rsid w:val="00DD3A87"/>
    <w:rsid w:val="00DD7D8B"/>
    <w:rsid w:val="00DE10C9"/>
    <w:rsid w:val="00DE1858"/>
    <w:rsid w:val="00DE3CA7"/>
    <w:rsid w:val="00DF0187"/>
    <w:rsid w:val="00DF33F8"/>
    <w:rsid w:val="00DF4BD0"/>
    <w:rsid w:val="00DF6B5E"/>
    <w:rsid w:val="00E00B2D"/>
    <w:rsid w:val="00E015C0"/>
    <w:rsid w:val="00E02A35"/>
    <w:rsid w:val="00E02A4A"/>
    <w:rsid w:val="00E02DC4"/>
    <w:rsid w:val="00E02F80"/>
    <w:rsid w:val="00E041B8"/>
    <w:rsid w:val="00E04B54"/>
    <w:rsid w:val="00E06856"/>
    <w:rsid w:val="00E111A9"/>
    <w:rsid w:val="00E137E6"/>
    <w:rsid w:val="00E1389B"/>
    <w:rsid w:val="00E14CB2"/>
    <w:rsid w:val="00E168F9"/>
    <w:rsid w:val="00E17564"/>
    <w:rsid w:val="00E17743"/>
    <w:rsid w:val="00E221FC"/>
    <w:rsid w:val="00E22D8E"/>
    <w:rsid w:val="00E243EB"/>
    <w:rsid w:val="00E27632"/>
    <w:rsid w:val="00E303EA"/>
    <w:rsid w:val="00E32A78"/>
    <w:rsid w:val="00E33417"/>
    <w:rsid w:val="00E334F6"/>
    <w:rsid w:val="00E3385F"/>
    <w:rsid w:val="00E34438"/>
    <w:rsid w:val="00E35D46"/>
    <w:rsid w:val="00E36031"/>
    <w:rsid w:val="00E37AF1"/>
    <w:rsid w:val="00E409FA"/>
    <w:rsid w:val="00E40E07"/>
    <w:rsid w:val="00E42225"/>
    <w:rsid w:val="00E4569A"/>
    <w:rsid w:val="00E5058E"/>
    <w:rsid w:val="00E525C4"/>
    <w:rsid w:val="00E52E1F"/>
    <w:rsid w:val="00E53D0E"/>
    <w:rsid w:val="00E54041"/>
    <w:rsid w:val="00E57E2B"/>
    <w:rsid w:val="00E57E7F"/>
    <w:rsid w:val="00E60508"/>
    <w:rsid w:val="00E60E17"/>
    <w:rsid w:val="00E66C6F"/>
    <w:rsid w:val="00E670F1"/>
    <w:rsid w:val="00E70D99"/>
    <w:rsid w:val="00E71C09"/>
    <w:rsid w:val="00E72432"/>
    <w:rsid w:val="00E72D21"/>
    <w:rsid w:val="00E74959"/>
    <w:rsid w:val="00E7546D"/>
    <w:rsid w:val="00E76896"/>
    <w:rsid w:val="00E7758D"/>
    <w:rsid w:val="00E80342"/>
    <w:rsid w:val="00E80E64"/>
    <w:rsid w:val="00E81B96"/>
    <w:rsid w:val="00E86489"/>
    <w:rsid w:val="00E86712"/>
    <w:rsid w:val="00E92E06"/>
    <w:rsid w:val="00E93727"/>
    <w:rsid w:val="00E944FF"/>
    <w:rsid w:val="00E96F0F"/>
    <w:rsid w:val="00E97013"/>
    <w:rsid w:val="00E97183"/>
    <w:rsid w:val="00E97228"/>
    <w:rsid w:val="00EA1F23"/>
    <w:rsid w:val="00EA2502"/>
    <w:rsid w:val="00EA2C56"/>
    <w:rsid w:val="00EA3077"/>
    <w:rsid w:val="00EA3338"/>
    <w:rsid w:val="00EA337D"/>
    <w:rsid w:val="00EA5D51"/>
    <w:rsid w:val="00EA7C5C"/>
    <w:rsid w:val="00EA7CBA"/>
    <w:rsid w:val="00EB043E"/>
    <w:rsid w:val="00EB2013"/>
    <w:rsid w:val="00EB31B1"/>
    <w:rsid w:val="00EB6632"/>
    <w:rsid w:val="00EC4A1B"/>
    <w:rsid w:val="00EC5248"/>
    <w:rsid w:val="00EC779E"/>
    <w:rsid w:val="00ED25FF"/>
    <w:rsid w:val="00ED3D86"/>
    <w:rsid w:val="00ED3E85"/>
    <w:rsid w:val="00ED5C47"/>
    <w:rsid w:val="00EE5667"/>
    <w:rsid w:val="00EE71F1"/>
    <w:rsid w:val="00EE7353"/>
    <w:rsid w:val="00EF00FA"/>
    <w:rsid w:val="00EF4001"/>
    <w:rsid w:val="00F001BD"/>
    <w:rsid w:val="00F00F34"/>
    <w:rsid w:val="00F01179"/>
    <w:rsid w:val="00F015EC"/>
    <w:rsid w:val="00F05D9C"/>
    <w:rsid w:val="00F05FFA"/>
    <w:rsid w:val="00F1093E"/>
    <w:rsid w:val="00F12225"/>
    <w:rsid w:val="00F13F51"/>
    <w:rsid w:val="00F14DB8"/>
    <w:rsid w:val="00F17CAE"/>
    <w:rsid w:val="00F204FD"/>
    <w:rsid w:val="00F217A1"/>
    <w:rsid w:val="00F22A0F"/>
    <w:rsid w:val="00F22D11"/>
    <w:rsid w:val="00F239E8"/>
    <w:rsid w:val="00F23FD4"/>
    <w:rsid w:val="00F24C5C"/>
    <w:rsid w:val="00F2593F"/>
    <w:rsid w:val="00F2597F"/>
    <w:rsid w:val="00F27B0D"/>
    <w:rsid w:val="00F30D97"/>
    <w:rsid w:val="00F317D0"/>
    <w:rsid w:val="00F32361"/>
    <w:rsid w:val="00F33995"/>
    <w:rsid w:val="00F3646F"/>
    <w:rsid w:val="00F36EE2"/>
    <w:rsid w:val="00F403C8"/>
    <w:rsid w:val="00F414D5"/>
    <w:rsid w:val="00F43A2C"/>
    <w:rsid w:val="00F4479A"/>
    <w:rsid w:val="00F44800"/>
    <w:rsid w:val="00F44C55"/>
    <w:rsid w:val="00F45D3B"/>
    <w:rsid w:val="00F5156B"/>
    <w:rsid w:val="00F51688"/>
    <w:rsid w:val="00F53703"/>
    <w:rsid w:val="00F55681"/>
    <w:rsid w:val="00F55AE0"/>
    <w:rsid w:val="00F56B5B"/>
    <w:rsid w:val="00F601E7"/>
    <w:rsid w:val="00F63286"/>
    <w:rsid w:val="00F636ED"/>
    <w:rsid w:val="00F63988"/>
    <w:rsid w:val="00F64123"/>
    <w:rsid w:val="00F65E56"/>
    <w:rsid w:val="00F70240"/>
    <w:rsid w:val="00F71FE8"/>
    <w:rsid w:val="00F7219E"/>
    <w:rsid w:val="00F77FA4"/>
    <w:rsid w:val="00F84D88"/>
    <w:rsid w:val="00F8538C"/>
    <w:rsid w:val="00F85D17"/>
    <w:rsid w:val="00F867A7"/>
    <w:rsid w:val="00F87924"/>
    <w:rsid w:val="00F87A5A"/>
    <w:rsid w:val="00F905F1"/>
    <w:rsid w:val="00F90865"/>
    <w:rsid w:val="00F91723"/>
    <w:rsid w:val="00F93045"/>
    <w:rsid w:val="00F937C1"/>
    <w:rsid w:val="00F95120"/>
    <w:rsid w:val="00F961AD"/>
    <w:rsid w:val="00F964BE"/>
    <w:rsid w:val="00F97996"/>
    <w:rsid w:val="00FA1143"/>
    <w:rsid w:val="00FA11B2"/>
    <w:rsid w:val="00FA2EC7"/>
    <w:rsid w:val="00FA3183"/>
    <w:rsid w:val="00FA5C53"/>
    <w:rsid w:val="00FA6059"/>
    <w:rsid w:val="00FB212D"/>
    <w:rsid w:val="00FB3C0A"/>
    <w:rsid w:val="00FB4C80"/>
    <w:rsid w:val="00FB511F"/>
    <w:rsid w:val="00FB7100"/>
    <w:rsid w:val="00FB74D5"/>
    <w:rsid w:val="00FC0737"/>
    <w:rsid w:val="00FC0CD2"/>
    <w:rsid w:val="00FC1BE2"/>
    <w:rsid w:val="00FC22EC"/>
    <w:rsid w:val="00FC250C"/>
    <w:rsid w:val="00FC38E0"/>
    <w:rsid w:val="00FC40AF"/>
    <w:rsid w:val="00FC4A79"/>
    <w:rsid w:val="00FC4DE7"/>
    <w:rsid w:val="00FC67FF"/>
    <w:rsid w:val="00FD5A3E"/>
    <w:rsid w:val="00FD67A8"/>
    <w:rsid w:val="00FE0732"/>
    <w:rsid w:val="00FE0803"/>
    <w:rsid w:val="00FE30BA"/>
    <w:rsid w:val="00FE45D9"/>
    <w:rsid w:val="00FF324A"/>
    <w:rsid w:val="00FF53C7"/>
    <w:rsid w:val="0A613CFB"/>
    <w:rsid w:val="0E1A4B6D"/>
    <w:rsid w:val="17536AE2"/>
    <w:rsid w:val="1A807592"/>
    <w:rsid w:val="23F808CA"/>
    <w:rsid w:val="2B811000"/>
    <w:rsid w:val="2BA7158A"/>
    <w:rsid w:val="31C87831"/>
    <w:rsid w:val="35662AA0"/>
    <w:rsid w:val="3A164777"/>
    <w:rsid w:val="3AC2549B"/>
    <w:rsid w:val="3E615372"/>
    <w:rsid w:val="3FAF95A9"/>
    <w:rsid w:val="409A0651"/>
    <w:rsid w:val="496A5BCE"/>
    <w:rsid w:val="496B195F"/>
    <w:rsid w:val="4AE27E1B"/>
    <w:rsid w:val="4B6C54DD"/>
    <w:rsid w:val="50BD3A88"/>
    <w:rsid w:val="524B0B17"/>
    <w:rsid w:val="52B83585"/>
    <w:rsid w:val="533F67F5"/>
    <w:rsid w:val="584D6076"/>
    <w:rsid w:val="5A897EFC"/>
    <w:rsid w:val="5CC078DA"/>
    <w:rsid w:val="61A757BE"/>
    <w:rsid w:val="67F21256"/>
    <w:rsid w:val="67FB663C"/>
    <w:rsid w:val="681A1CD7"/>
    <w:rsid w:val="6ABB0253"/>
    <w:rsid w:val="723923AD"/>
    <w:rsid w:val="7758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43"/>
    <w:unhideWhenUsed/>
    <w:qFormat/>
    <w:uiPriority w:val="0"/>
    <w:pPr>
      <w:keepNext/>
      <w:keepLines/>
      <w:spacing w:before="260" w:after="260" w:line="416" w:lineRule="auto"/>
      <w:outlineLvl w:val="1"/>
    </w:pPr>
    <w:rPr>
      <w:rFonts w:ascii="Cambria" w:hAnsi="Cambria" w:eastAsia="宋体" w:cs="Times New Roman"/>
      <w:b/>
      <w:bCs/>
      <w:sz w:val="24"/>
      <w:szCs w:val="32"/>
    </w:rPr>
  </w:style>
  <w:style w:type="paragraph" w:styleId="4">
    <w:name w:val="heading 3"/>
    <w:basedOn w:val="1"/>
    <w:next w:val="1"/>
    <w:link w:val="44"/>
    <w:unhideWhenUsed/>
    <w:qFormat/>
    <w:uiPriority w:val="9"/>
    <w:pPr>
      <w:keepNext/>
      <w:keepLines/>
      <w:numPr>
        <w:ilvl w:val="2"/>
        <w:numId w:val="1"/>
      </w:numPr>
      <w:spacing w:line="360" w:lineRule="auto"/>
      <w:outlineLvl w:val="2"/>
    </w:pPr>
    <w:rPr>
      <w:rFonts w:ascii="Calibri" w:hAnsi="Calibri" w:eastAsia="宋体" w:cs="Times New Roman"/>
      <w:bCs/>
      <w:szCs w:val="32"/>
    </w:rPr>
  </w:style>
  <w:style w:type="paragraph" w:styleId="5">
    <w:name w:val="heading 4"/>
    <w:basedOn w:val="1"/>
    <w:next w:val="1"/>
    <w:link w:val="45"/>
    <w:unhideWhenUsed/>
    <w:qFormat/>
    <w:uiPriority w:val="9"/>
    <w:pPr>
      <w:keepNext/>
      <w:keepLines/>
      <w:numPr>
        <w:ilvl w:val="3"/>
        <w:numId w:val="1"/>
      </w:numPr>
      <w:spacing w:before="280" w:after="290" w:line="376" w:lineRule="auto"/>
      <w:outlineLvl w:val="3"/>
    </w:pPr>
    <w:rPr>
      <w:rFonts w:ascii="Calibri Light" w:hAnsi="Calibri Light" w:eastAsia="宋体" w:cs="Times New Roman"/>
      <w:bCs/>
      <w:sz w:val="24"/>
      <w:szCs w:val="28"/>
    </w:rPr>
  </w:style>
  <w:style w:type="paragraph" w:styleId="6">
    <w:name w:val="heading 5"/>
    <w:basedOn w:val="1"/>
    <w:next w:val="1"/>
    <w:link w:val="46"/>
    <w:unhideWhenUsed/>
    <w:qFormat/>
    <w:uiPriority w:val="9"/>
    <w:pPr>
      <w:keepNext/>
      <w:keepLines/>
      <w:numPr>
        <w:ilvl w:val="4"/>
        <w:numId w:val="1"/>
      </w:numPr>
      <w:spacing w:before="280" w:after="290" w:line="376" w:lineRule="auto"/>
      <w:outlineLvl w:val="4"/>
    </w:pPr>
    <w:rPr>
      <w:rFonts w:ascii="Calibri Light" w:hAnsi="Calibri Light" w:eastAsia="宋体" w:cs="Times New Roman"/>
      <w:b/>
      <w:bCs/>
      <w:sz w:val="28"/>
      <w:szCs w:val="28"/>
    </w:rPr>
  </w:style>
  <w:style w:type="paragraph" w:styleId="7">
    <w:name w:val="heading 6"/>
    <w:basedOn w:val="1"/>
    <w:next w:val="1"/>
    <w:link w:val="47"/>
    <w:unhideWhenUsed/>
    <w:qFormat/>
    <w:uiPriority w:val="9"/>
    <w:pPr>
      <w:keepNext/>
      <w:keepLines/>
      <w:numPr>
        <w:ilvl w:val="5"/>
        <w:numId w:val="1"/>
      </w:numPr>
      <w:spacing w:before="240" w:after="64" w:line="320" w:lineRule="auto"/>
      <w:outlineLvl w:val="5"/>
    </w:pPr>
    <w:rPr>
      <w:rFonts w:ascii="Calibri Light" w:hAnsi="Calibri Light" w:eastAsia="宋体" w:cs="Times New Roman"/>
      <w:b/>
      <w:bCs/>
      <w:szCs w:val="24"/>
    </w:rPr>
  </w:style>
  <w:style w:type="paragraph" w:styleId="8">
    <w:name w:val="heading 7"/>
    <w:basedOn w:val="1"/>
    <w:next w:val="1"/>
    <w:link w:val="48"/>
    <w:unhideWhenUsed/>
    <w:qFormat/>
    <w:uiPriority w:val="9"/>
    <w:pPr>
      <w:keepNext/>
      <w:keepLines/>
      <w:numPr>
        <w:ilvl w:val="6"/>
        <w:numId w:val="1"/>
      </w:numPr>
      <w:spacing w:before="240" w:after="64" w:line="320" w:lineRule="auto"/>
      <w:outlineLvl w:val="6"/>
    </w:pPr>
    <w:rPr>
      <w:rFonts w:ascii="Calibri Light" w:hAnsi="Calibri Light" w:eastAsia="宋体" w:cs="Times New Roman"/>
      <w:b/>
      <w:bCs/>
      <w:szCs w:val="24"/>
    </w:rPr>
  </w:style>
  <w:style w:type="paragraph" w:styleId="9">
    <w:name w:val="heading 8"/>
    <w:basedOn w:val="1"/>
    <w:next w:val="1"/>
    <w:link w:val="49"/>
    <w:unhideWhenUsed/>
    <w:qFormat/>
    <w:uiPriority w:val="9"/>
    <w:pPr>
      <w:keepNext/>
      <w:keepLines/>
      <w:numPr>
        <w:ilvl w:val="7"/>
        <w:numId w:val="1"/>
      </w:numPr>
      <w:spacing w:before="240" w:after="64" w:line="320" w:lineRule="auto"/>
      <w:outlineLvl w:val="7"/>
    </w:pPr>
    <w:rPr>
      <w:rFonts w:ascii="Calibri Light" w:hAnsi="Calibri Light" w:eastAsia="宋体" w:cs="Times New Roman"/>
      <w:szCs w:val="24"/>
    </w:rPr>
  </w:style>
  <w:style w:type="paragraph" w:styleId="10">
    <w:name w:val="heading 9"/>
    <w:basedOn w:val="1"/>
    <w:next w:val="1"/>
    <w:link w:val="50"/>
    <w:unhideWhenUsed/>
    <w:qFormat/>
    <w:uiPriority w:val="9"/>
    <w:pPr>
      <w:keepNext/>
      <w:keepLines/>
      <w:numPr>
        <w:ilvl w:val="8"/>
        <w:numId w:val="1"/>
      </w:numPr>
      <w:spacing w:before="240" w:after="64" w:line="320" w:lineRule="auto"/>
      <w:outlineLvl w:val="8"/>
    </w:pPr>
    <w:rPr>
      <w:rFonts w:ascii="Calibri Light" w:hAnsi="Calibri Light" w:eastAsia="宋体" w:cs="Times New Roman"/>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cstheme="minorHAnsi"/>
      <w:sz w:val="18"/>
      <w:szCs w:val="18"/>
    </w:rPr>
  </w:style>
  <w:style w:type="paragraph" w:styleId="12">
    <w:name w:val="Normal Indent"/>
    <w:basedOn w:val="1"/>
    <w:qFormat/>
    <w:uiPriority w:val="0"/>
    <w:pPr>
      <w:spacing w:line="440" w:lineRule="exact"/>
      <w:ind w:firstLine="499"/>
    </w:pPr>
    <w:rPr>
      <w:rFonts w:ascii="宋体" w:hAnsi="Arial" w:eastAsia="宋体" w:cs="Times New Roman"/>
      <w:color w:val="000000"/>
      <w:sz w:val="24"/>
      <w:szCs w:val="20"/>
    </w:rPr>
  </w:style>
  <w:style w:type="paragraph" w:styleId="13">
    <w:name w:val="Document Map"/>
    <w:basedOn w:val="1"/>
    <w:link w:val="284"/>
    <w:semiHidden/>
    <w:unhideWhenUsed/>
    <w:qFormat/>
    <w:uiPriority w:val="99"/>
    <w:rPr>
      <w:rFonts w:ascii="宋体" w:hAnsi="Times New Roman" w:eastAsia="宋体" w:cs="Times New Roman"/>
      <w:sz w:val="18"/>
      <w:szCs w:val="18"/>
    </w:rPr>
  </w:style>
  <w:style w:type="paragraph" w:styleId="14">
    <w:name w:val="annotation text"/>
    <w:basedOn w:val="1"/>
    <w:link w:val="62"/>
    <w:unhideWhenUsed/>
    <w:qFormat/>
    <w:uiPriority w:val="99"/>
    <w:pPr>
      <w:jc w:val="left"/>
    </w:pPr>
    <w:rPr>
      <w:rFonts w:ascii="Times New Roman" w:hAnsi="Times New Roman" w:eastAsia="仿宋_GB2312" w:cs="Times New Roman"/>
      <w:sz w:val="32"/>
      <w:szCs w:val="32"/>
    </w:rPr>
  </w:style>
  <w:style w:type="paragraph" w:styleId="15">
    <w:name w:val="Body Text"/>
    <w:basedOn w:val="1"/>
    <w:link w:val="67"/>
    <w:qFormat/>
    <w:uiPriority w:val="0"/>
    <w:pPr>
      <w:spacing w:line="240" w:lineRule="atLeast"/>
    </w:pPr>
    <w:rPr>
      <w:rFonts w:ascii="宋体" w:hAnsi="宋体" w:eastAsia="宋体" w:cs="Times New Roman"/>
      <w:b/>
      <w:bCs/>
      <w:i/>
      <w:iCs/>
      <w:sz w:val="28"/>
      <w:szCs w:val="20"/>
    </w:rPr>
  </w:style>
  <w:style w:type="paragraph" w:styleId="16">
    <w:name w:val="Body Text Indent"/>
    <w:basedOn w:val="1"/>
    <w:link w:val="70"/>
    <w:qFormat/>
    <w:uiPriority w:val="0"/>
    <w:pPr>
      <w:spacing w:line="360" w:lineRule="auto"/>
      <w:ind w:left="1" w:firstLine="560" w:firstLineChars="200"/>
    </w:pPr>
    <w:rPr>
      <w:rFonts w:ascii="宋体" w:hAnsi="宋体" w:eastAsia="宋体" w:cs="Times New Roman"/>
      <w:sz w:val="28"/>
      <w:szCs w:val="20"/>
    </w:rPr>
  </w:style>
  <w:style w:type="paragraph" w:styleId="17">
    <w:name w:val="toc 5"/>
    <w:basedOn w:val="1"/>
    <w:next w:val="1"/>
    <w:unhideWhenUsed/>
    <w:qFormat/>
    <w:uiPriority w:val="39"/>
    <w:pPr>
      <w:ind w:left="840"/>
      <w:jc w:val="left"/>
    </w:pPr>
    <w:rPr>
      <w:rFonts w:cstheme="minorHAnsi"/>
      <w:sz w:val="18"/>
      <w:szCs w:val="18"/>
    </w:rPr>
  </w:style>
  <w:style w:type="paragraph" w:styleId="18">
    <w:name w:val="toc 3"/>
    <w:basedOn w:val="1"/>
    <w:next w:val="1"/>
    <w:unhideWhenUsed/>
    <w:qFormat/>
    <w:uiPriority w:val="39"/>
    <w:pPr>
      <w:ind w:left="420"/>
      <w:jc w:val="left"/>
    </w:pPr>
    <w:rPr>
      <w:rFonts w:cstheme="minorHAnsi"/>
      <w:i/>
      <w:iCs/>
      <w:sz w:val="20"/>
      <w:szCs w:val="20"/>
    </w:rPr>
  </w:style>
  <w:style w:type="paragraph" w:styleId="19">
    <w:name w:val="Plain Text"/>
    <w:basedOn w:val="1"/>
    <w:link w:val="57"/>
    <w:qFormat/>
    <w:uiPriority w:val="0"/>
    <w:pPr>
      <w:spacing w:line="360" w:lineRule="auto"/>
      <w:ind w:firstLine="200" w:firstLineChars="200"/>
    </w:pPr>
    <w:rPr>
      <w:rFonts w:ascii="宋体" w:hAnsi="Courier New" w:eastAsia="宋体" w:cs="Times New Roman"/>
      <w:sz w:val="24"/>
      <w:szCs w:val="21"/>
    </w:rPr>
  </w:style>
  <w:style w:type="paragraph" w:styleId="20">
    <w:name w:val="toc 8"/>
    <w:basedOn w:val="1"/>
    <w:next w:val="1"/>
    <w:unhideWhenUsed/>
    <w:qFormat/>
    <w:uiPriority w:val="39"/>
    <w:pPr>
      <w:ind w:left="1470"/>
      <w:jc w:val="left"/>
    </w:pPr>
    <w:rPr>
      <w:rFonts w:cstheme="minorHAnsi"/>
      <w:sz w:val="18"/>
      <w:szCs w:val="18"/>
    </w:rPr>
  </w:style>
  <w:style w:type="paragraph" w:styleId="21">
    <w:name w:val="Date"/>
    <w:basedOn w:val="1"/>
    <w:next w:val="1"/>
    <w:link w:val="248"/>
    <w:unhideWhenUsed/>
    <w:qFormat/>
    <w:uiPriority w:val="0"/>
    <w:pPr>
      <w:ind w:left="100" w:leftChars="2500"/>
    </w:pPr>
    <w:rPr>
      <w:rFonts w:ascii="Times New Roman" w:hAnsi="Times New Roman" w:eastAsia="仿宋_GB2312" w:cs="Times New Roman"/>
      <w:sz w:val="32"/>
      <w:szCs w:val="32"/>
    </w:rPr>
  </w:style>
  <w:style w:type="paragraph" w:styleId="22">
    <w:name w:val="Balloon Text"/>
    <w:basedOn w:val="1"/>
    <w:link w:val="64"/>
    <w:semiHidden/>
    <w:unhideWhenUsed/>
    <w:qFormat/>
    <w:uiPriority w:val="99"/>
    <w:rPr>
      <w:rFonts w:ascii="Times New Roman" w:hAnsi="Times New Roman" w:eastAsia="仿宋_GB2312" w:cs="Times New Roman"/>
      <w:sz w:val="18"/>
      <w:szCs w:val="18"/>
    </w:rPr>
  </w:style>
  <w:style w:type="paragraph" w:styleId="23">
    <w:name w:val="footer"/>
    <w:basedOn w:val="1"/>
    <w:link w:val="52"/>
    <w:unhideWhenUsed/>
    <w:qFormat/>
    <w:uiPriority w:val="99"/>
    <w:pPr>
      <w:tabs>
        <w:tab w:val="center" w:pos="4153"/>
        <w:tab w:val="right" w:pos="8306"/>
      </w:tabs>
      <w:snapToGrid w:val="0"/>
      <w:jc w:val="left"/>
    </w:pPr>
    <w:rPr>
      <w:sz w:val="18"/>
      <w:szCs w:val="18"/>
    </w:rPr>
  </w:style>
  <w:style w:type="paragraph" w:styleId="24">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pPr>
      <w:spacing w:before="120" w:after="120"/>
      <w:jc w:val="left"/>
    </w:pPr>
    <w:rPr>
      <w:rFonts w:cstheme="minorHAnsi"/>
      <w:b/>
      <w:bCs/>
      <w:caps/>
      <w:sz w:val="20"/>
      <w:szCs w:val="20"/>
    </w:rPr>
  </w:style>
  <w:style w:type="paragraph" w:styleId="26">
    <w:name w:val="toc 4"/>
    <w:basedOn w:val="1"/>
    <w:next w:val="1"/>
    <w:unhideWhenUsed/>
    <w:qFormat/>
    <w:uiPriority w:val="39"/>
    <w:pPr>
      <w:ind w:left="630"/>
      <w:jc w:val="left"/>
    </w:pPr>
    <w:rPr>
      <w:rFonts w:cstheme="minorHAnsi"/>
      <w:sz w:val="18"/>
      <w:szCs w:val="18"/>
    </w:rPr>
  </w:style>
  <w:style w:type="paragraph" w:styleId="27">
    <w:name w:val="toc 6"/>
    <w:basedOn w:val="1"/>
    <w:next w:val="1"/>
    <w:unhideWhenUsed/>
    <w:qFormat/>
    <w:uiPriority w:val="39"/>
    <w:pPr>
      <w:ind w:left="1050"/>
      <w:jc w:val="left"/>
    </w:pPr>
    <w:rPr>
      <w:rFonts w:cstheme="minorHAnsi"/>
      <w:sz w:val="18"/>
      <w:szCs w:val="18"/>
    </w:rPr>
  </w:style>
  <w:style w:type="paragraph" w:styleId="28">
    <w:name w:val="toc 2"/>
    <w:basedOn w:val="1"/>
    <w:next w:val="1"/>
    <w:unhideWhenUsed/>
    <w:qFormat/>
    <w:uiPriority w:val="39"/>
    <w:pPr>
      <w:ind w:left="210"/>
      <w:jc w:val="left"/>
    </w:pPr>
    <w:rPr>
      <w:rFonts w:cstheme="minorHAnsi"/>
      <w:smallCaps/>
      <w:sz w:val="20"/>
      <w:szCs w:val="20"/>
    </w:rPr>
  </w:style>
  <w:style w:type="paragraph" w:styleId="29">
    <w:name w:val="toc 9"/>
    <w:basedOn w:val="1"/>
    <w:next w:val="1"/>
    <w:unhideWhenUsed/>
    <w:qFormat/>
    <w:uiPriority w:val="39"/>
    <w:pPr>
      <w:ind w:left="1680"/>
      <w:jc w:val="left"/>
    </w:pPr>
    <w:rPr>
      <w:rFonts w:cstheme="minorHAnsi"/>
      <w:sz w:val="18"/>
      <w:szCs w:val="18"/>
    </w:rPr>
  </w:style>
  <w:style w:type="paragraph" w:styleId="30">
    <w:name w:val="Body Text 2"/>
    <w:basedOn w:val="1"/>
    <w:link w:val="68"/>
    <w:qFormat/>
    <w:uiPriority w:val="0"/>
    <w:pPr>
      <w:spacing w:line="360" w:lineRule="auto"/>
    </w:pPr>
    <w:rPr>
      <w:rFonts w:ascii="宋体" w:hAnsi="宋体" w:eastAsia="宋体" w:cs="Times New Roman"/>
      <w:bCs/>
      <w:iCs/>
      <w:sz w:val="28"/>
      <w:szCs w:val="20"/>
    </w:rPr>
  </w:style>
  <w:style w:type="paragraph" w:styleId="31">
    <w:name w:val="HTML Preformatted"/>
    <w:basedOn w:val="1"/>
    <w:link w:val="26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inherit" w:hAnsi="inherit" w:eastAsia="宋体" w:cs="宋体"/>
      <w:kern w:val="0"/>
      <w:sz w:val="24"/>
      <w:szCs w:val="24"/>
    </w:rPr>
  </w:style>
  <w:style w:type="paragraph" w:styleId="32">
    <w:name w:val="Normal (Web)"/>
    <w:basedOn w:val="1"/>
    <w:qFormat/>
    <w:uiPriority w:val="99"/>
    <w:pPr>
      <w:widowControl/>
      <w:spacing w:before="100" w:beforeAutospacing="1" w:after="100" w:afterAutospacing="1"/>
      <w:jc w:val="left"/>
    </w:pPr>
    <w:rPr>
      <w:rFonts w:ascii="Arial Unicode MS" w:hAnsi="Arial Unicode MS" w:eastAsia="Arial Unicode MS" w:cs="Times New Roman"/>
      <w:color w:val="000000"/>
      <w:kern w:val="0"/>
      <w:sz w:val="24"/>
      <w:szCs w:val="24"/>
    </w:rPr>
  </w:style>
  <w:style w:type="paragraph" w:styleId="33">
    <w:name w:val="Title"/>
    <w:basedOn w:val="1"/>
    <w:next w:val="1"/>
    <w:link w:val="307"/>
    <w:qFormat/>
    <w:uiPriority w:val="10"/>
    <w:pPr>
      <w:spacing w:before="240" w:after="60"/>
      <w:jc w:val="center"/>
      <w:outlineLvl w:val="0"/>
    </w:pPr>
    <w:rPr>
      <w:rFonts w:asciiTheme="majorHAnsi" w:hAnsiTheme="majorHAnsi" w:eastAsiaTheme="majorEastAsia" w:cstheme="majorBidi"/>
      <w:b/>
      <w:bCs/>
      <w:sz w:val="32"/>
      <w:szCs w:val="32"/>
    </w:rPr>
  </w:style>
  <w:style w:type="paragraph" w:styleId="34">
    <w:name w:val="annotation subject"/>
    <w:basedOn w:val="14"/>
    <w:next w:val="14"/>
    <w:link w:val="63"/>
    <w:semiHidden/>
    <w:unhideWhenUsed/>
    <w:qFormat/>
    <w:uiPriority w:val="99"/>
    <w:rPr>
      <w:b/>
      <w:bCs/>
    </w:rPr>
  </w:style>
  <w:style w:type="table" w:styleId="36">
    <w:name w:val="Table Grid"/>
    <w:basedOn w:val="35"/>
    <w:qFormat/>
    <w:uiPriority w:val="3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22"/>
    <w:rPr>
      <w:b/>
      <w:bCs/>
    </w:rPr>
  </w:style>
  <w:style w:type="character" w:styleId="39">
    <w:name w:val="page number"/>
    <w:basedOn w:val="37"/>
    <w:qFormat/>
    <w:uiPriority w:val="0"/>
  </w:style>
  <w:style w:type="character" w:styleId="40">
    <w:name w:val="Hyperlink"/>
    <w:unhideWhenUsed/>
    <w:qFormat/>
    <w:uiPriority w:val="99"/>
    <w:rPr>
      <w:color w:val="0000FF"/>
      <w:u w:val="single"/>
    </w:rPr>
  </w:style>
  <w:style w:type="character" w:styleId="41">
    <w:name w:val="annotation reference"/>
    <w:basedOn w:val="37"/>
    <w:semiHidden/>
    <w:unhideWhenUsed/>
    <w:qFormat/>
    <w:uiPriority w:val="99"/>
    <w:rPr>
      <w:sz w:val="21"/>
      <w:szCs w:val="21"/>
    </w:rPr>
  </w:style>
  <w:style w:type="character" w:customStyle="1" w:styleId="42">
    <w:name w:val="标题 1 字符"/>
    <w:basedOn w:val="37"/>
    <w:link w:val="2"/>
    <w:qFormat/>
    <w:uiPriority w:val="9"/>
    <w:rPr>
      <w:rFonts w:ascii="Calibri" w:hAnsi="Calibri" w:eastAsia="宋体" w:cs="Times New Roman"/>
      <w:b/>
      <w:bCs/>
      <w:kern w:val="44"/>
      <w:sz w:val="44"/>
      <w:szCs w:val="44"/>
    </w:rPr>
  </w:style>
  <w:style w:type="character" w:customStyle="1" w:styleId="43">
    <w:name w:val="标题 2 字符"/>
    <w:basedOn w:val="37"/>
    <w:link w:val="3"/>
    <w:qFormat/>
    <w:uiPriority w:val="0"/>
    <w:rPr>
      <w:rFonts w:ascii="Cambria" w:hAnsi="Cambria" w:eastAsia="宋体" w:cs="Times New Roman"/>
      <w:b/>
      <w:bCs/>
      <w:sz w:val="24"/>
      <w:szCs w:val="32"/>
    </w:rPr>
  </w:style>
  <w:style w:type="character" w:customStyle="1" w:styleId="44">
    <w:name w:val="标题 3 字符"/>
    <w:basedOn w:val="37"/>
    <w:link w:val="4"/>
    <w:qFormat/>
    <w:uiPriority w:val="9"/>
    <w:rPr>
      <w:rFonts w:ascii="Calibri" w:hAnsi="Calibri" w:eastAsia="宋体" w:cs="Times New Roman"/>
      <w:bCs/>
      <w:szCs w:val="32"/>
    </w:rPr>
  </w:style>
  <w:style w:type="character" w:customStyle="1" w:styleId="45">
    <w:name w:val="标题 4 字符"/>
    <w:basedOn w:val="37"/>
    <w:link w:val="5"/>
    <w:qFormat/>
    <w:uiPriority w:val="9"/>
    <w:rPr>
      <w:rFonts w:ascii="Calibri Light" w:hAnsi="Calibri Light" w:eastAsia="宋体" w:cs="Times New Roman"/>
      <w:bCs/>
      <w:sz w:val="24"/>
      <w:szCs w:val="28"/>
    </w:rPr>
  </w:style>
  <w:style w:type="character" w:customStyle="1" w:styleId="46">
    <w:name w:val="标题 5 字符"/>
    <w:basedOn w:val="37"/>
    <w:link w:val="6"/>
    <w:qFormat/>
    <w:uiPriority w:val="9"/>
    <w:rPr>
      <w:rFonts w:ascii="Calibri Light" w:hAnsi="Calibri Light" w:eastAsia="宋体" w:cs="Times New Roman"/>
      <w:b/>
      <w:bCs/>
      <w:sz w:val="28"/>
      <w:szCs w:val="28"/>
    </w:rPr>
  </w:style>
  <w:style w:type="character" w:customStyle="1" w:styleId="47">
    <w:name w:val="标题 6 字符"/>
    <w:basedOn w:val="37"/>
    <w:link w:val="7"/>
    <w:qFormat/>
    <w:uiPriority w:val="9"/>
    <w:rPr>
      <w:rFonts w:ascii="Calibri Light" w:hAnsi="Calibri Light" w:eastAsia="宋体" w:cs="Times New Roman"/>
      <w:b/>
      <w:bCs/>
      <w:szCs w:val="24"/>
    </w:rPr>
  </w:style>
  <w:style w:type="character" w:customStyle="1" w:styleId="48">
    <w:name w:val="标题 7 字符"/>
    <w:basedOn w:val="37"/>
    <w:link w:val="8"/>
    <w:qFormat/>
    <w:uiPriority w:val="9"/>
    <w:rPr>
      <w:rFonts w:ascii="Calibri Light" w:hAnsi="Calibri Light" w:eastAsia="宋体" w:cs="Times New Roman"/>
      <w:b/>
      <w:bCs/>
      <w:szCs w:val="24"/>
    </w:rPr>
  </w:style>
  <w:style w:type="character" w:customStyle="1" w:styleId="49">
    <w:name w:val="标题 8 字符"/>
    <w:basedOn w:val="37"/>
    <w:link w:val="9"/>
    <w:qFormat/>
    <w:uiPriority w:val="9"/>
    <w:rPr>
      <w:rFonts w:ascii="Calibri Light" w:hAnsi="Calibri Light" w:eastAsia="宋体" w:cs="Times New Roman"/>
      <w:szCs w:val="24"/>
    </w:rPr>
  </w:style>
  <w:style w:type="character" w:customStyle="1" w:styleId="50">
    <w:name w:val="标题 9 字符"/>
    <w:basedOn w:val="37"/>
    <w:link w:val="10"/>
    <w:qFormat/>
    <w:uiPriority w:val="9"/>
    <w:rPr>
      <w:rFonts w:ascii="Calibri Light" w:hAnsi="Calibri Light" w:eastAsia="宋体" w:cs="Times New Roman"/>
      <w:szCs w:val="21"/>
    </w:rPr>
  </w:style>
  <w:style w:type="character" w:customStyle="1" w:styleId="51">
    <w:name w:val="页眉 字符"/>
    <w:basedOn w:val="37"/>
    <w:link w:val="24"/>
    <w:qFormat/>
    <w:uiPriority w:val="99"/>
    <w:rPr>
      <w:sz w:val="18"/>
      <w:szCs w:val="18"/>
    </w:rPr>
  </w:style>
  <w:style w:type="character" w:customStyle="1" w:styleId="52">
    <w:name w:val="页脚 字符"/>
    <w:basedOn w:val="37"/>
    <w:link w:val="23"/>
    <w:qFormat/>
    <w:uiPriority w:val="99"/>
    <w:rPr>
      <w:sz w:val="18"/>
      <w:szCs w:val="18"/>
    </w:rPr>
  </w:style>
  <w:style w:type="paragraph" w:customStyle="1" w:styleId="53">
    <w:name w:val="强条正文"/>
    <w:basedOn w:val="1"/>
    <w:link w:val="54"/>
    <w:qFormat/>
    <w:uiPriority w:val="0"/>
    <w:pPr>
      <w:spacing w:line="540" w:lineRule="exact"/>
    </w:pPr>
    <w:rPr>
      <w:rFonts w:ascii="宋体" w:hAnsi="宋体" w:eastAsia="宋体" w:cs="Times New Roman"/>
      <w:b/>
      <w:sz w:val="24"/>
      <w:szCs w:val="24"/>
    </w:rPr>
  </w:style>
  <w:style w:type="character" w:customStyle="1" w:styleId="54">
    <w:name w:val="强条正文 Char"/>
    <w:link w:val="53"/>
    <w:qFormat/>
    <w:uiPriority w:val="0"/>
    <w:rPr>
      <w:rFonts w:ascii="宋体" w:hAnsi="宋体" w:eastAsia="宋体" w:cs="Times New Roman"/>
      <w:b/>
      <w:sz w:val="24"/>
      <w:szCs w:val="24"/>
    </w:rPr>
  </w:style>
  <w:style w:type="paragraph" w:styleId="55">
    <w:name w:val="List Paragraph"/>
    <w:basedOn w:val="1"/>
    <w:link w:val="56"/>
    <w:qFormat/>
    <w:uiPriority w:val="34"/>
    <w:pPr>
      <w:ind w:firstLine="420" w:firstLineChars="200"/>
    </w:pPr>
    <w:rPr>
      <w:rFonts w:ascii="Times New Roman" w:hAnsi="Times New Roman" w:eastAsia="仿宋_GB2312" w:cs="Times New Roman"/>
      <w:sz w:val="32"/>
      <w:szCs w:val="32"/>
    </w:rPr>
  </w:style>
  <w:style w:type="character" w:customStyle="1" w:styleId="56">
    <w:name w:val="列出段落 字符"/>
    <w:link w:val="55"/>
    <w:qFormat/>
    <w:uiPriority w:val="34"/>
    <w:rPr>
      <w:rFonts w:ascii="Times New Roman" w:hAnsi="Times New Roman" w:eastAsia="仿宋_GB2312" w:cs="Times New Roman"/>
      <w:sz w:val="32"/>
      <w:szCs w:val="32"/>
    </w:rPr>
  </w:style>
  <w:style w:type="character" w:customStyle="1" w:styleId="57">
    <w:name w:val="纯文本 字符"/>
    <w:basedOn w:val="37"/>
    <w:link w:val="19"/>
    <w:qFormat/>
    <w:uiPriority w:val="0"/>
    <w:rPr>
      <w:rFonts w:ascii="宋体" w:hAnsi="Courier New" w:eastAsia="宋体" w:cs="Times New Roman"/>
      <w:sz w:val="24"/>
      <w:szCs w:val="21"/>
    </w:rPr>
  </w:style>
  <w:style w:type="paragraph" w:customStyle="1" w:styleId="58">
    <w:name w:val="目录三级"/>
    <w:basedOn w:val="4"/>
    <w:link w:val="59"/>
    <w:qFormat/>
    <w:uiPriority w:val="0"/>
    <w:pPr>
      <w:keepNext w:val="0"/>
      <w:keepLines w:val="0"/>
      <w:adjustRightInd w:val="0"/>
      <w:snapToGrid w:val="0"/>
    </w:pPr>
    <w:rPr>
      <w:rFonts w:ascii="宋体" w:hAnsi="宋体"/>
      <w:sz w:val="24"/>
    </w:rPr>
  </w:style>
  <w:style w:type="character" w:customStyle="1" w:styleId="59">
    <w:name w:val="目录三级 Char"/>
    <w:link w:val="58"/>
    <w:qFormat/>
    <w:uiPriority w:val="0"/>
    <w:rPr>
      <w:rFonts w:ascii="宋体" w:hAnsi="宋体" w:eastAsia="宋体" w:cs="Times New Roman"/>
      <w:bCs/>
      <w:sz w:val="24"/>
      <w:szCs w:val="32"/>
    </w:rPr>
  </w:style>
  <w:style w:type="paragraph" w:customStyle="1" w:styleId="60">
    <w:name w:val="起草依据"/>
    <w:basedOn w:val="58"/>
    <w:link w:val="61"/>
    <w:qFormat/>
    <w:uiPriority w:val="0"/>
    <w:pPr>
      <w:numPr>
        <w:ilvl w:val="0"/>
        <w:numId w:val="0"/>
      </w:numPr>
      <w:spacing w:beforeLines="50" w:afterLines="50" w:line="240" w:lineRule="auto"/>
    </w:pPr>
  </w:style>
  <w:style w:type="character" w:customStyle="1" w:styleId="61">
    <w:name w:val="起草依据 Char"/>
    <w:link w:val="60"/>
    <w:qFormat/>
    <w:uiPriority w:val="0"/>
    <w:rPr>
      <w:rFonts w:ascii="宋体" w:hAnsi="宋体" w:eastAsia="宋体" w:cs="Times New Roman"/>
      <w:bCs/>
      <w:sz w:val="24"/>
      <w:szCs w:val="32"/>
    </w:rPr>
  </w:style>
  <w:style w:type="character" w:customStyle="1" w:styleId="62">
    <w:name w:val="批注文字 字符"/>
    <w:basedOn w:val="37"/>
    <w:link w:val="14"/>
    <w:qFormat/>
    <w:uiPriority w:val="99"/>
    <w:rPr>
      <w:rFonts w:ascii="Times New Roman" w:hAnsi="Times New Roman" w:eastAsia="仿宋_GB2312" w:cs="Times New Roman"/>
      <w:sz w:val="32"/>
      <w:szCs w:val="32"/>
    </w:rPr>
  </w:style>
  <w:style w:type="character" w:customStyle="1" w:styleId="63">
    <w:name w:val="批注主题 字符"/>
    <w:basedOn w:val="62"/>
    <w:link w:val="34"/>
    <w:semiHidden/>
    <w:qFormat/>
    <w:uiPriority w:val="99"/>
    <w:rPr>
      <w:rFonts w:ascii="Times New Roman" w:hAnsi="Times New Roman" w:eastAsia="仿宋_GB2312" w:cs="Times New Roman"/>
      <w:b/>
      <w:bCs/>
      <w:sz w:val="32"/>
      <w:szCs w:val="32"/>
    </w:rPr>
  </w:style>
  <w:style w:type="character" w:customStyle="1" w:styleId="64">
    <w:name w:val="批注框文本 字符"/>
    <w:basedOn w:val="37"/>
    <w:link w:val="22"/>
    <w:semiHidden/>
    <w:qFormat/>
    <w:uiPriority w:val="99"/>
    <w:rPr>
      <w:rFonts w:ascii="Times New Roman" w:hAnsi="Times New Roman" w:eastAsia="仿宋_GB2312" w:cs="Times New Roman"/>
      <w:sz w:val="18"/>
      <w:szCs w:val="18"/>
    </w:rPr>
  </w:style>
  <w:style w:type="paragraph" w:customStyle="1" w:styleId="65">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67">
    <w:name w:val="正文文本 字符"/>
    <w:basedOn w:val="37"/>
    <w:link w:val="15"/>
    <w:qFormat/>
    <w:uiPriority w:val="0"/>
    <w:rPr>
      <w:rFonts w:ascii="宋体" w:hAnsi="宋体" w:eastAsia="宋体" w:cs="Times New Roman"/>
      <w:b/>
      <w:bCs/>
      <w:i/>
      <w:iCs/>
      <w:sz w:val="28"/>
      <w:szCs w:val="20"/>
    </w:rPr>
  </w:style>
  <w:style w:type="character" w:customStyle="1" w:styleId="68">
    <w:name w:val="正文文本 2 字符"/>
    <w:link w:val="30"/>
    <w:semiHidden/>
    <w:qFormat/>
    <w:uiPriority w:val="0"/>
    <w:rPr>
      <w:rFonts w:ascii="宋体" w:hAnsi="宋体" w:eastAsia="宋体" w:cs="Times New Roman"/>
      <w:bCs/>
      <w:iCs/>
      <w:sz w:val="28"/>
      <w:szCs w:val="20"/>
    </w:rPr>
  </w:style>
  <w:style w:type="character" w:customStyle="1" w:styleId="69">
    <w:name w:val="正文文本 2 字符1"/>
    <w:basedOn w:val="37"/>
    <w:semiHidden/>
    <w:qFormat/>
    <w:uiPriority w:val="99"/>
  </w:style>
  <w:style w:type="character" w:customStyle="1" w:styleId="70">
    <w:name w:val="正文文本缩进 字符"/>
    <w:link w:val="16"/>
    <w:semiHidden/>
    <w:qFormat/>
    <w:uiPriority w:val="0"/>
    <w:rPr>
      <w:rFonts w:ascii="宋体" w:hAnsi="宋体" w:eastAsia="宋体" w:cs="Times New Roman"/>
      <w:sz w:val="28"/>
      <w:szCs w:val="20"/>
    </w:rPr>
  </w:style>
  <w:style w:type="character" w:customStyle="1" w:styleId="71">
    <w:name w:val="正文文本缩进 字符1"/>
    <w:basedOn w:val="37"/>
    <w:semiHidden/>
    <w:qFormat/>
    <w:uiPriority w:val="99"/>
  </w:style>
  <w:style w:type="paragraph" w:customStyle="1" w:styleId="72">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73">
    <w:name w:val="font6"/>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rPr>
  </w:style>
  <w:style w:type="paragraph" w:customStyle="1" w:styleId="74">
    <w:name w:val="font7"/>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rPr>
  </w:style>
  <w:style w:type="paragraph" w:customStyle="1" w:styleId="75">
    <w:name w:val="font8"/>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u w:val="single"/>
    </w:rPr>
  </w:style>
  <w:style w:type="paragraph" w:customStyle="1" w:styleId="76">
    <w:name w:val="font9"/>
    <w:basedOn w:val="1"/>
    <w:qFormat/>
    <w:uiPriority w:val="0"/>
    <w:pPr>
      <w:widowControl/>
      <w:spacing w:before="100" w:beforeAutospacing="1" w:after="100" w:afterAutospacing="1"/>
      <w:jc w:val="left"/>
    </w:pPr>
    <w:rPr>
      <w:rFonts w:hint="eastAsia" w:ascii="黑体" w:hAnsi="Arial Unicode MS" w:eastAsia="黑体" w:cs="Times New Roman"/>
      <w:b/>
      <w:bCs/>
      <w:color w:val="FF0000"/>
      <w:kern w:val="0"/>
      <w:sz w:val="16"/>
      <w:szCs w:val="16"/>
      <w:u w:val="single"/>
    </w:rPr>
  </w:style>
  <w:style w:type="paragraph" w:customStyle="1" w:styleId="77">
    <w:name w:val="font10"/>
    <w:basedOn w:val="1"/>
    <w:qFormat/>
    <w:uiPriority w:val="0"/>
    <w:pPr>
      <w:widowControl/>
      <w:spacing w:before="100" w:beforeAutospacing="1" w:after="100" w:afterAutospacing="1"/>
      <w:jc w:val="left"/>
    </w:pPr>
    <w:rPr>
      <w:rFonts w:hint="eastAsia" w:ascii="黑体" w:hAnsi="Arial Unicode MS" w:eastAsia="黑体" w:cs="Times New Roman"/>
      <w:b/>
      <w:bCs/>
      <w:color w:val="FF0000"/>
      <w:kern w:val="0"/>
      <w:sz w:val="16"/>
      <w:szCs w:val="16"/>
      <w:u w:val="single"/>
    </w:rPr>
  </w:style>
  <w:style w:type="paragraph" w:customStyle="1" w:styleId="78">
    <w:name w:val="font11"/>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rPr>
  </w:style>
  <w:style w:type="paragraph" w:customStyle="1" w:styleId="79">
    <w:name w:val="font12"/>
    <w:basedOn w:val="1"/>
    <w:qFormat/>
    <w:uiPriority w:val="0"/>
    <w:pPr>
      <w:widowControl/>
      <w:spacing w:before="100" w:beforeAutospacing="1" w:after="100" w:afterAutospacing="1"/>
      <w:jc w:val="left"/>
    </w:pPr>
    <w:rPr>
      <w:rFonts w:hint="eastAsia" w:ascii="黑体" w:hAnsi="Arial Unicode MS" w:eastAsia="黑体" w:cs="Times New Roman"/>
      <w:kern w:val="0"/>
      <w:sz w:val="12"/>
      <w:szCs w:val="12"/>
    </w:rPr>
  </w:style>
  <w:style w:type="paragraph" w:customStyle="1" w:styleId="80">
    <w:name w:val="font13"/>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rPr>
  </w:style>
  <w:style w:type="paragraph" w:customStyle="1" w:styleId="81">
    <w:name w:val="font14"/>
    <w:basedOn w:val="1"/>
    <w:qFormat/>
    <w:uiPriority w:val="0"/>
    <w:pPr>
      <w:widowControl/>
      <w:spacing w:before="100" w:beforeAutospacing="1" w:after="100" w:afterAutospacing="1"/>
      <w:jc w:val="left"/>
    </w:pPr>
    <w:rPr>
      <w:rFonts w:hint="eastAsia" w:ascii="黑体" w:hAnsi="Arial Unicode MS" w:eastAsia="黑体" w:cs="Times New Roman"/>
      <w:color w:val="000000"/>
      <w:kern w:val="0"/>
      <w:sz w:val="16"/>
      <w:szCs w:val="16"/>
    </w:rPr>
  </w:style>
  <w:style w:type="paragraph" w:customStyle="1" w:styleId="82">
    <w:name w:val="font15"/>
    <w:basedOn w:val="1"/>
    <w:qFormat/>
    <w:uiPriority w:val="0"/>
    <w:pPr>
      <w:widowControl/>
      <w:spacing w:before="100" w:beforeAutospacing="1" w:after="100" w:afterAutospacing="1"/>
      <w:jc w:val="left"/>
    </w:pPr>
    <w:rPr>
      <w:rFonts w:hint="eastAsia" w:ascii="黑体" w:hAnsi="Arial Unicode MS" w:eastAsia="黑体" w:cs="Times New Roman"/>
      <w:color w:val="000000"/>
      <w:kern w:val="0"/>
      <w:sz w:val="16"/>
      <w:szCs w:val="16"/>
    </w:rPr>
  </w:style>
  <w:style w:type="paragraph" w:customStyle="1" w:styleId="83">
    <w:name w:val="font16"/>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u w:val="single"/>
    </w:rPr>
  </w:style>
  <w:style w:type="paragraph" w:customStyle="1" w:styleId="84">
    <w:name w:val="font17"/>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u w:val="single"/>
    </w:rPr>
  </w:style>
  <w:style w:type="paragraph" w:customStyle="1" w:styleId="85">
    <w:name w:val="font18"/>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rPr>
  </w:style>
  <w:style w:type="paragraph" w:customStyle="1" w:styleId="86">
    <w:name w:val="font19"/>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rPr>
  </w:style>
  <w:style w:type="paragraph" w:customStyle="1" w:styleId="87">
    <w:name w:val="xl24"/>
    <w:basedOn w:val="1"/>
    <w:qFormat/>
    <w:uiPriority w:val="0"/>
    <w:pPr>
      <w:widowControl/>
      <w:pBdr>
        <w:bottom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88">
    <w:name w:val="xl25"/>
    <w:basedOn w:val="1"/>
    <w:qFormat/>
    <w:uiPriority w:val="0"/>
    <w:pPr>
      <w:widowControl/>
      <w:pBdr>
        <w:bottom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89">
    <w:name w:val="xl26"/>
    <w:basedOn w:val="1"/>
    <w:qFormat/>
    <w:uiPriority w:val="0"/>
    <w:pPr>
      <w:widowControl/>
      <w:pBdr>
        <w:bottom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90">
    <w:name w:val="xl27"/>
    <w:basedOn w:val="1"/>
    <w:qFormat/>
    <w:uiPriority w:val="0"/>
    <w:pPr>
      <w:widowControl/>
      <w:spacing w:before="100" w:beforeAutospacing="1" w:after="100" w:afterAutospacing="1"/>
      <w:jc w:val="left"/>
    </w:pPr>
    <w:rPr>
      <w:rFonts w:hint="eastAsia" w:ascii="黑体" w:hAnsi="Arial Unicode MS" w:eastAsia="黑体" w:cs="Times New Roman"/>
      <w:kern w:val="0"/>
      <w:sz w:val="24"/>
      <w:szCs w:val="24"/>
    </w:rPr>
  </w:style>
  <w:style w:type="paragraph" w:customStyle="1" w:styleId="91">
    <w:name w:val="xl28"/>
    <w:basedOn w:val="1"/>
    <w:qFormat/>
    <w:uiPriority w:val="0"/>
    <w:pPr>
      <w:widowControl/>
      <w:pBdr>
        <w:left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92">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93">
    <w:name w:val="xl30"/>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94">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95">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96">
    <w:name w:val="xl33"/>
    <w:basedOn w:val="1"/>
    <w:qFormat/>
    <w:uiPriority w:val="0"/>
    <w:pPr>
      <w:widowControl/>
      <w:pBdr>
        <w:top w:val="single" w:color="auto" w:sz="4" w:space="0"/>
        <w:lef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97">
    <w:name w:val="xl34"/>
    <w:basedOn w:val="1"/>
    <w:qFormat/>
    <w:uiPriority w:val="0"/>
    <w:pPr>
      <w:widowControl/>
      <w:pBdr>
        <w:top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98">
    <w:name w:val="xl35"/>
    <w:basedOn w:val="1"/>
    <w:qFormat/>
    <w:uiPriority w:val="0"/>
    <w:pPr>
      <w:widowControl/>
      <w:pBdr>
        <w:top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99">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00">
    <w:name w:val="xl37"/>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rPr>
  </w:style>
  <w:style w:type="paragraph" w:customStyle="1" w:styleId="101">
    <w:name w:val="xl38"/>
    <w:basedOn w:val="1"/>
    <w:qFormat/>
    <w:uiPriority w:val="0"/>
    <w:pPr>
      <w:widowControl/>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02">
    <w:name w:val="xl39"/>
    <w:basedOn w:val="1"/>
    <w:qFormat/>
    <w:uiPriority w:val="0"/>
    <w:pPr>
      <w:widowControl/>
      <w:pBdr>
        <w:left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03">
    <w:name w:val="xl40"/>
    <w:basedOn w:val="1"/>
    <w:qFormat/>
    <w:uiPriority w:val="0"/>
    <w:pPr>
      <w:widowControl/>
      <w:pBdr>
        <w:left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04">
    <w:name w:val="xl41"/>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05">
    <w:name w:val="xl42"/>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06">
    <w:name w:val="xl43"/>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07">
    <w:name w:val="xl44"/>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08">
    <w:name w:val="xl45"/>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2"/>
      <w:szCs w:val="12"/>
    </w:rPr>
  </w:style>
  <w:style w:type="paragraph" w:customStyle="1" w:styleId="109">
    <w:name w:val="xl46"/>
    <w:basedOn w:val="1"/>
    <w:qFormat/>
    <w:uiPriority w:val="0"/>
    <w:pPr>
      <w:widowControl/>
      <w:pBdr>
        <w:left w:val="single" w:color="auto" w:sz="4" w:space="0"/>
      </w:pBdr>
      <w:spacing w:before="100" w:beforeAutospacing="1" w:after="100" w:afterAutospacing="1"/>
      <w:jc w:val="center"/>
    </w:pPr>
    <w:rPr>
      <w:rFonts w:hint="eastAsia" w:ascii="黑体" w:hAnsi="Arial Unicode MS" w:eastAsia="黑体" w:cs="Times New Roman"/>
      <w:kern w:val="0"/>
      <w:sz w:val="12"/>
      <w:szCs w:val="12"/>
    </w:rPr>
  </w:style>
  <w:style w:type="paragraph" w:customStyle="1" w:styleId="110">
    <w:name w:val="xl47"/>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kern w:val="0"/>
      <w:sz w:val="12"/>
      <w:szCs w:val="12"/>
    </w:rPr>
  </w:style>
  <w:style w:type="paragraph" w:customStyle="1" w:styleId="111">
    <w:name w:val="xl48"/>
    <w:basedOn w:val="1"/>
    <w:qFormat/>
    <w:uiPriority w:val="0"/>
    <w:pPr>
      <w:widowControl/>
      <w:pBdr>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12">
    <w:name w:val="xl49"/>
    <w:basedOn w:val="1"/>
    <w:qFormat/>
    <w:uiPriority w:val="0"/>
    <w:pPr>
      <w:widowControl/>
      <w:pBdr>
        <w:left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11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14">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u w:val="single"/>
    </w:rPr>
  </w:style>
  <w:style w:type="paragraph" w:customStyle="1" w:styleId="115">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16">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2"/>
      <w:szCs w:val="12"/>
    </w:rPr>
  </w:style>
  <w:style w:type="paragraph" w:customStyle="1" w:styleId="117">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18">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19">
    <w:name w:val="xl56"/>
    <w:basedOn w:val="1"/>
    <w:qFormat/>
    <w:uiPriority w:val="0"/>
    <w:pPr>
      <w:widowControl/>
      <w:pBdr>
        <w:top w:val="single" w:color="auto" w:sz="4" w:space="0"/>
        <w:left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120">
    <w:name w:val="xl57"/>
    <w:basedOn w:val="1"/>
    <w:qFormat/>
    <w:uiPriority w:val="0"/>
    <w:pPr>
      <w:widowControl/>
      <w:pBdr>
        <w:top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121">
    <w:name w:val="xl58"/>
    <w:basedOn w:val="1"/>
    <w:qFormat/>
    <w:uiPriority w:val="0"/>
    <w:pPr>
      <w:widowControl/>
      <w:pBdr>
        <w:top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122">
    <w:name w:val="xl59"/>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u w:val="single"/>
    </w:rPr>
  </w:style>
  <w:style w:type="paragraph" w:customStyle="1" w:styleId="123">
    <w:name w:val="xl60"/>
    <w:basedOn w:val="1"/>
    <w:qFormat/>
    <w:uiPriority w:val="0"/>
    <w:pPr>
      <w:widowControl/>
      <w:pBdr>
        <w:right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124">
    <w:name w:val="xl6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2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26">
    <w:name w:val="xl63"/>
    <w:basedOn w:val="1"/>
    <w:qFormat/>
    <w:uiPriority w:val="0"/>
    <w:pPr>
      <w:widowControl/>
      <w:pBdr>
        <w:left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127">
    <w:name w:val="xl64"/>
    <w:basedOn w:val="1"/>
    <w:qFormat/>
    <w:uiPriority w:val="0"/>
    <w:pPr>
      <w:widowControl/>
      <w:pBdr>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12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2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13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3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3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33">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34">
    <w:name w:val="xl71"/>
    <w:basedOn w:val="1"/>
    <w:qFormat/>
    <w:uiPriority w:val="0"/>
    <w:pPr>
      <w:widowControl/>
      <w:pBdr>
        <w:top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35">
    <w:name w:val="xl72"/>
    <w:basedOn w:val="1"/>
    <w:qFormat/>
    <w:uiPriority w:val="0"/>
    <w:pPr>
      <w:widowControl/>
      <w:pBdr>
        <w:lef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36">
    <w:name w:val="xl73"/>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37">
    <w:name w:val="xl74"/>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38">
    <w:name w:val="xl75"/>
    <w:basedOn w:val="1"/>
    <w:qFormat/>
    <w:uiPriority w:val="0"/>
    <w:pPr>
      <w:widowControl/>
      <w:pBdr>
        <w:top w:val="single" w:color="auto" w:sz="4" w:space="0"/>
        <w:lef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39">
    <w:name w:val="xl76"/>
    <w:basedOn w:val="1"/>
    <w:qFormat/>
    <w:uiPriority w:val="0"/>
    <w:pPr>
      <w:widowControl/>
      <w:spacing w:before="100" w:beforeAutospacing="1" w:after="100" w:afterAutospacing="1"/>
      <w:jc w:val="left"/>
    </w:pPr>
    <w:rPr>
      <w:rFonts w:hint="eastAsia" w:ascii="黑体" w:hAnsi="Arial Unicode MS" w:eastAsia="黑体" w:cs="Times New Roman"/>
      <w:color w:val="000000"/>
      <w:kern w:val="0"/>
      <w:sz w:val="16"/>
      <w:szCs w:val="16"/>
    </w:rPr>
  </w:style>
  <w:style w:type="paragraph" w:customStyle="1" w:styleId="140">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41">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4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color w:val="000000"/>
      <w:kern w:val="0"/>
      <w:sz w:val="16"/>
      <w:szCs w:val="16"/>
    </w:rPr>
  </w:style>
  <w:style w:type="paragraph" w:customStyle="1" w:styleId="143">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color w:val="000000"/>
      <w:kern w:val="0"/>
      <w:sz w:val="16"/>
      <w:szCs w:val="16"/>
    </w:rPr>
  </w:style>
  <w:style w:type="paragraph" w:customStyle="1" w:styleId="144">
    <w:name w:val="xl81"/>
    <w:basedOn w:val="1"/>
    <w:qFormat/>
    <w:uiPriority w:val="0"/>
    <w:pPr>
      <w:widowControl/>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45">
    <w:name w:val="xl82"/>
    <w:basedOn w:val="1"/>
    <w:qFormat/>
    <w:uiPriority w:val="0"/>
    <w:pPr>
      <w:widowControl/>
      <w:spacing w:before="100" w:beforeAutospacing="1" w:after="100" w:afterAutospacing="1"/>
      <w:jc w:val="left"/>
    </w:pPr>
    <w:rPr>
      <w:rFonts w:hint="eastAsia" w:ascii="黑体" w:hAnsi="Arial Unicode MS" w:eastAsia="黑体" w:cs="Times New Roman"/>
      <w:color w:val="000000"/>
      <w:kern w:val="0"/>
      <w:sz w:val="24"/>
      <w:szCs w:val="24"/>
    </w:rPr>
  </w:style>
  <w:style w:type="paragraph" w:customStyle="1" w:styleId="146">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47">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4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49">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color w:val="FF0000"/>
      <w:kern w:val="0"/>
      <w:sz w:val="16"/>
      <w:szCs w:val="16"/>
    </w:rPr>
  </w:style>
  <w:style w:type="paragraph" w:customStyle="1" w:styleId="15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color w:val="FF0000"/>
      <w:kern w:val="0"/>
      <w:sz w:val="16"/>
      <w:szCs w:val="16"/>
    </w:rPr>
  </w:style>
  <w:style w:type="paragraph" w:customStyle="1" w:styleId="151">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52">
    <w:name w:val="xl89"/>
    <w:basedOn w:val="1"/>
    <w:qFormat/>
    <w:uiPriority w:val="0"/>
    <w:pPr>
      <w:widowControl/>
      <w:spacing w:before="100" w:beforeAutospacing="1" w:after="100" w:afterAutospacing="1"/>
      <w:jc w:val="left"/>
    </w:pPr>
    <w:rPr>
      <w:rFonts w:hint="eastAsia" w:ascii="黑体" w:hAnsi="Arial Unicode MS" w:eastAsia="黑体" w:cs="Times New Roman"/>
      <w:color w:val="FF0000"/>
      <w:kern w:val="0"/>
      <w:sz w:val="16"/>
      <w:szCs w:val="16"/>
    </w:rPr>
  </w:style>
  <w:style w:type="paragraph" w:customStyle="1" w:styleId="153">
    <w:name w:val="xl90"/>
    <w:basedOn w:val="1"/>
    <w:qFormat/>
    <w:uiPriority w:val="0"/>
    <w:pPr>
      <w:widowControl/>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54">
    <w:name w:val="xl91"/>
    <w:basedOn w:val="1"/>
    <w:qFormat/>
    <w:uiPriority w:val="0"/>
    <w:pPr>
      <w:widowControl/>
      <w:spacing w:before="100" w:beforeAutospacing="1" w:after="100" w:afterAutospacing="1"/>
      <w:jc w:val="left"/>
    </w:pPr>
    <w:rPr>
      <w:rFonts w:hint="eastAsia" w:ascii="黑体" w:hAnsi="Arial Unicode MS" w:eastAsia="黑体" w:cs="Times New Roman"/>
      <w:color w:val="FF0000"/>
      <w:kern w:val="0"/>
      <w:sz w:val="24"/>
      <w:szCs w:val="24"/>
    </w:rPr>
  </w:style>
  <w:style w:type="paragraph" w:customStyle="1" w:styleId="155">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56">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57">
    <w:name w:val="xl94"/>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5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3"/>
      <w:szCs w:val="13"/>
      <w:u w:val="single"/>
    </w:rPr>
  </w:style>
  <w:style w:type="paragraph" w:customStyle="1" w:styleId="159">
    <w:name w:val="xl96"/>
    <w:basedOn w:val="1"/>
    <w:qFormat/>
    <w:uiPriority w:val="0"/>
    <w:pPr>
      <w:widowControl/>
      <w:pBdr>
        <w:lef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60">
    <w:name w:val="xl97"/>
    <w:basedOn w:val="1"/>
    <w:qFormat/>
    <w:uiPriority w:val="0"/>
    <w:pPr>
      <w:widowControl/>
      <w:pBdr>
        <w:top w:val="single" w:color="auto" w:sz="4" w:space="0"/>
        <w:lef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61">
    <w:name w:val="xl98"/>
    <w:basedOn w:val="1"/>
    <w:qFormat/>
    <w:uiPriority w:val="0"/>
    <w:pPr>
      <w:widowControl/>
      <w:pBdr>
        <w:left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62">
    <w:name w:val="xl99"/>
    <w:basedOn w:val="1"/>
    <w:qFormat/>
    <w:uiPriority w:val="0"/>
    <w:pPr>
      <w:widowControl/>
      <w:pBdr>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6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64">
    <w:name w:val="xl101"/>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65">
    <w:name w:val="xl102"/>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66">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67">
    <w:name w:val="xl104"/>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68">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69">
    <w:name w:val="xl106"/>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70">
    <w:name w:val="xl107"/>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71">
    <w:name w:val="xl10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72">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6600"/>
      <w:kern w:val="0"/>
      <w:sz w:val="16"/>
      <w:szCs w:val="16"/>
    </w:rPr>
  </w:style>
  <w:style w:type="paragraph" w:customStyle="1" w:styleId="173">
    <w:name w:val="xl110"/>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kern w:val="0"/>
      <w:sz w:val="16"/>
      <w:szCs w:val="16"/>
    </w:rPr>
  </w:style>
  <w:style w:type="paragraph" w:customStyle="1" w:styleId="174">
    <w:name w:val="xl111"/>
    <w:basedOn w:val="1"/>
    <w:qFormat/>
    <w:uiPriority w:val="0"/>
    <w:pPr>
      <w:widowControl/>
      <w:pBdr>
        <w:top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75">
    <w:name w:val="xl112"/>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rPr>
  </w:style>
  <w:style w:type="paragraph" w:customStyle="1" w:styleId="176">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rPr>
  </w:style>
  <w:style w:type="paragraph" w:customStyle="1" w:styleId="177">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rPr>
  </w:style>
  <w:style w:type="paragraph" w:customStyle="1" w:styleId="178">
    <w:name w:val="xl11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79">
    <w:name w:val="xl116"/>
    <w:basedOn w:val="1"/>
    <w:qFormat/>
    <w:uiPriority w:val="0"/>
    <w:pPr>
      <w:widowControl/>
      <w:pBdr>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80">
    <w:name w:val="xl117"/>
    <w:basedOn w:val="1"/>
    <w:qFormat/>
    <w:uiPriority w:val="0"/>
    <w:pPr>
      <w:widowControl/>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81">
    <w:name w:val="xl118"/>
    <w:basedOn w:val="1"/>
    <w:qFormat/>
    <w:uiPriority w:val="0"/>
    <w:pPr>
      <w:widowControl/>
      <w:pBdr>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82">
    <w:name w:val="xl11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83">
    <w:name w:val="xl120"/>
    <w:basedOn w:val="1"/>
    <w:qFormat/>
    <w:uiPriority w:val="0"/>
    <w:pPr>
      <w:widowControl/>
      <w:pBdr>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84">
    <w:name w:val="xl12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85">
    <w:name w:val="xl122"/>
    <w:basedOn w:val="1"/>
    <w:qFormat/>
    <w:uiPriority w:val="0"/>
    <w:pPr>
      <w:widowControl/>
      <w:pBdr>
        <w:left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186">
    <w:name w:val="xl123"/>
    <w:basedOn w:val="1"/>
    <w:qFormat/>
    <w:uiPriority w:val="0"/>
    <w:pPr>
      <w:widowControl/>
      <w:pBdr>
        <w:top w:val="single" w:color="auto" w:sz="4" w:space="0"/>
        <w:left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187">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88">
    <w:name w:val="xl12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rPr>
  </w:style>
  <w:style w:type="paragraph" w:customStyle="1" w:styleId="189">
    <w:name w:val="xl12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rPr>
  </w:style>
  <w:style w:type="paragraph" w:customStyle="1" w:styleId="190">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u w:val="single"/>
    </w:rPr>
  </w:style>
  <w:style w:type="paragraph" w:customStyle="1" w:styleId="191">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u w:val="single"/>
    </w:rPr>
  </w:style>
  <w:style w:type="paragraph" w:customStyle="1" w:styleId="192">
    <w:name w:val="xl1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u w:val="single"/>
    </w:rPr>
  </w:style>
  <w:style w:type="paragraph" w:customStyle="1" w:styleId="193">
    <w:name w:val="xl130"/>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u w:val="single"/>
    </w:rPr>
  </w:style>
  <w:style w:type="paragraph" w:customStyle="1" w:styleId="194">
    <w:name w:val="xl1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u w:val="single"/>
    </w:rPr>
  </w:style>
  <w:style w:type="paragraph" w:customStyle="1" w:styleId="195">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96">
    <w:name w:val="xl13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197">
    <w:name w:val="xl134"/>
    <w:basedOn w:val="1"/>
    <w:qFormat/>
    <w:uiPriority w:val="0"/>
    <w:pPr>
      <w:widowControl/>
      <w:pBdr>
        <w:top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98">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rPr>
  </w:style>
  <w:style w:type="paragraph" w:customStyle="1" w:styleId="199">
    <w:name w:val="xl1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200">
    <w:name w:val="xl137"/>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24"/>
      <w:szCs w:val="24"/>
    </w:rPr>
  </w:style>
  <w:style w:type="paragraph" w:customStyle="1" w:styleId="201">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24"/>
      <w:szCs w:val="24"/>
    </w:rPr>
  </w:style>
  <w:style w:type="paragraph" w:customStyle="1" w:styleId="202">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黑体" w:hAnsi="Arial Unicode MS" w:eastAsia="黑体" w:cs="Times New Roman"/>
      <w:b/>
      <w:bCs/>
      <w:kern w:val="0"/>
      <w:sz w:val="16"/>
      <w:szCs w:val="16"/>
      <w:u w:val="single"/>
    </w:rPr>
  </w:style>
  <w:style w:type="paragraph" w:customStyle="1" w:styleId="203">
    <w:name w:val="xl140"/>
    <w:basedOn w:val="1"/>
    <w:qFormat/>
    <w:uiPriority w:val="0"/>
    <w:pPr>
      <w:widowControl/>
      <w:pBdr>
        <w:left w:val="single" w:color="auto" w:sz="4" w:space="0"/>
        <w:right w:val="single" w:color="auto" w:sz="4" w:space="0"/>
      </w:pBdr>
      <w:spacing w:before="100" w:beforeAutospacing="1" w:after="100" w:afterAutospacing="1"/>
      <w:jc w:val="left"/>
    </w:pPr>
    <w:rPr>
      <w:rFonts w:hint="eastAsia" w:ascii="黑体" w:hAnsi="Arial Unicode MS" w:eastAsia="黑体" w:cs="Times New Roman"/>
      <w:b/>
      <w:bCs/>
      <w:kern w:val="0"/>
      <w:sz w:val="24"/>
      <w:szCs w:val="24"/>
      <w:u w:val="single"/>
    </w:rPr>
  </w:style>
  <w:style w:type="paragraph" w:customStyle="1" w:styleId="204">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b/>
      <w:bCs/>
      <w:kern w:val="0"/>
      <w:sz w:val="24"/>
      <w:szCs w:val="24"/>
      <w:u w:val="single"/>
    </w:rPr>
  </w:style>
  <w:style w:type="paragraph" w:customStyle="1" w:styleId="205">
    <w:name w:val="xl14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u w:val="single"/>
    </w:rPr>
  </w:style>
  <w:style w:type="paragraph" w:customStyle="1" w:styleId="206">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b/>
      <w:bCs/>
      <w:color w:val="FF0000"/>
      <w:kern w:val="0"/>
      <w:sz w:val="16"/>
      <w:szCs w:val="16"/>
      <w:u w:val="single"/>
    </w:rPr>
  </w:style>
  <w:style w:type="paragraph" w:customStyle="1" w:styleId="207">
    <w:name w:val="xl14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b/>
      <w:bCs/>
      <w:color w:val="FF0000"/>
      <w:kern w:val="0"/>
      <w:sz w:val="24"/>
      <w:szCs w:val="24"/>
    </w:rPr>
  </w:style>
  <w:style w:type="paragraph" w:customStyle="1" w:styleId="208">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b/>
      <w:bCs/>
      <w:color w:val="FF0000"/>
      <w:kern w:val="0"/>
      <w:sz w:val="24"/>
      <w:szCs w:val="24"/>
    </w:rPr>
  </w:style>
  <w:style w:type="paragraph" w:customStyle="1" w:styleId="209">
    <w:name w:val="xl14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rPr>
  </w:style>
  <w:style w:type="paragraph" w:customStyle="1" w:styleId="210">
    <w:name w:val="xl1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211">
    <w:name w:val="xl1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212">
    <w:name w:val="xl149"/>
    <w:basedOn w:val="1"/>
    <w:qFormat/>
    <w:uiPriority w:val="0"/>
    <w:pPr>
      <w:widowControl/>
      <w:pBdr>
        <w:bottom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213">
    <w:name w:val="xl15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214">
    <w:name w:val="xl15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215">
    <w:name w:val="xl15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216">
    <w:name w:val="xl15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217">
    <w:name w:val="xl15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218">
    <w:name w:val="xl15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219">
    <w:name w:val="xl156"/>
    <w:basedOn w:val="1"/>
    <w:qFormat/>
    <w:uiPriority w:val="0"/>
    <w:pPr>
      <w:widowControl/>
      <w:pBdr>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220">
    <w:name w:val="xl157"/>
    <w:basedOn w:val="1"/>
    <w:qFormat/>
    <w:uiPriority w:val="0"/>
    <w:pPr>
      <w:widowControl/>
      <w:pBdr>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221">
    <w:name w:val="xl158"/>
    <w:basedOn w:val="1"/>
    <w:qFormat/>
    <w:uiPriority w:val="0"/>
    <w:pPr>
      <w:widowControl/>
      <w:pBdr>
        <w:left w:val="single" w:color="auto" w:sz="4" w:space="0"/>
      </w:pBdr>
      <w:spacing w:before="100" w:beforeAutospacing="1" w:after="100" w:afterAutospacing="1"/>
      <w:jc w:val="left"/>
      <w:textAlignment w:val="center"/>
    </w:pPr>
    <w:rPr>
      <w:rFonts w:hint="eastAsia" w:ascii="黑体" w:hAnsi="Arial Unicode MS" w:eastAsia="黑体" w:cs="Times New Roman"/>
      <w:kern w:val="0"/>
      <w:sz w:val="20"/>
      <w:szCs w:val="20"/>
    </w:rPr>
  </w:style>
  <w:style w:type="paragraph" w:customStyle="1" w:styleId="222">
    <w:name w:val="xl159"/>
    <w:basedOn w:val="1"/>
    <w:qFormat/>
    <w:uiPriority w:val="0"/>
    <w:pPr>
      <w:widowControl/>
      <w:pBdr>
        <w:right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223">
    <w:name w:val="xl160"/>
    <w:basedOn w:val="1"/>
    <w:qFormat/>
    <w:uiPriority w:val="0"/>
    <w:pPr>
      <w:widowControl/>
      <w:pBdr>
        <w:left w:val="single" w:color="auto" w:sz="4" w:space="0"/>
      </w:pBdr>
      <w:spacing w:before="100" w:beforeAutospacing="1" w:after="100" w:afterAutospacing="1"/>
      <w:jc w:val="left"/>
      <w:textAlignment w:val="center"/>
    </w:pPr>
    <w:rPr>
      <w:rFonts w:hint="eastAsia" w:ascii="黑体" w:hAnsi="Arial Unicode MS" w:eastAsia="黑体" w:cs="Times New Roman"/>
      <w:kern w:val="0"/>
      <w:sz w:val="20"/>
      <w:szCs w:val="20"/>
    </w:rPr>
  </w:style>
  <w:style w:type="paragraph" w:customStyle="1" w:styleId="224">
    <w:name w:val="xl161"/>
    <w:basedOn w:val="1"/>
    <w:qFormat/>
    <w:uiPriority w:val="0"/>
    <w:pPr>
      <w:widowControl/>
      <w:spacing w:before="100" w:beforeAutospacing="1" w:after="100" w:afterAutospacing="1"/>
      <w:jc w:val="left"/>
      <w:textAlignment w:val="center"/>
    </w:pPr>
    <w:rPr>
      <w:rFonts w:hint="eastAsia" w:ascii="黑体" w:hAnsi="Arial Unicode MS" w:eastAsia="黑体" w:cs="Times New Roman"/>
      <w:kern w:val="0"/>
      <w:sz w:val="20"/>
      <w:szCs w:val="20"/>
    </w:rPr>
  </w:style>
  <w:style w:type="paragraph" w:customStyle="1" w:styleId="225">
    <w:name w:val="xl162"/>
    <w:basedOn w:val="1"/>
    <w:qFormat/>
    <w:uiPriority w:val="0"/>
    <w:pPr>
      <w:widowControl/>
      <w:pBdr>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0"/>
      <w:szCs w:val="20"/>
    </w:rPr>
  </w:style>
  <w:style w:type="paragraph" w:customStyle="1" w:styleId="226">
    <w:name w:val="xl163"/>
    <w:basedOn w:val="1"/>
    <w:qFormat/>
    <w:uiPriority w:val="0"/>
    <w:pPr>
      <w:widowControl/>
      <w:pBdr>
        <w:top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227">
    <w:name w:val="xl164"/>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228">
    <w:name w:val="xl16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229">
    <w:name w:val="xl166"/>
    <w:basedOn w:val="1"/>
    <w:qFormat/>
    <w:uiPriority w:val="0"/>
    <w:pPr>
      <w:widowControl/>
      <w:pBdr>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230">
    <w:name w:val="xl16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231">
    <w:name w:val="xl1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232">
    <w:name w:val="xl169"/>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233">
    <w:name w:val="xl17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234">
    <w:name w:val="xl17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Arial Unicode MS" w:eastAsia="黑体" w:cs="Times New Roman"/>
      <w:color w:val="FF0000"/>
      <w:kern w:val="0"/>
      <w:sz w:val="16"/>
      <w:szCs w:val="16"/>
      <w:u w:val="single"/>
    </w:rPr>
  </w:style>
  <w:style w:type="paragraph" w:customStyle="1" w:styleId="235">
    <w:name w:val="xl17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color w:val="FF0000"/>
      <w:kern w:val="0"/>
      <w:sz w:val="16"/>
      <w:szCs w:val="16"/>
      <w:u w:val="single"/>
    </w:rPr>
  </w:style>
  <w:style w:type="paragraph" w:customStyle="1" w:styleId="236">
    <w:name w:val="xl17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cs="Times New Roman"/>
      <w:color w:val="FF0000"/>
      <w:kern w:val="0"/>
      <w:sz w:val="16"/>
      <w:szCs w:val="16"/>
      <w:u w:val="single"/>
    </w:rPr>
  </w:style>
  <w:style w:type="paragraph" w:customStyle="1" w:styleId="237">
    <w:name w:val="xl17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color w:val="FF0000"/>
      <w:kern w:val="0"/>
      <w:sz w:val="16"/>
      <w:szCs w:val="16"/>
      <w:u w:val="single"/>
    </w:rPr>
  </w:style>
  <w:style w:type="paragraph" w:customStyle="1" w:styleId="238">
    <w:name w:val="xl1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黑体" w:hAnsi="Arial Unicode MS" w:eastAsia="黑体" w:cs="Times New Roman"/>
      <w:b/>
      <w:bCs/>
      <w:color w:val="FF0000"/>
      <w:kern w:val="0"/>
      <w:sz w:val="16"/>
      <w:szCs w:val="16"/>
      <w:u w:val="single"/>
    </w:rPr>
  </w:style>
  <w:style w:type="paragraph" w:customStyle="1" w:styleId="239">
    <w:name w:val="xl176"/>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Arial Unicode MS" w:eastAsia="黑体" w:cs="Times New Roman"/>
      <w:b/>
      <w:bCs/>
      <w:color w:val="FF0000"/>
      <w:kern w:val="0"/>
      <w:sz w:val="24"/>
      <w:szCs w:val="24"/>
      <w:u w:val="single"/>
    </w:rPr>
  </w:style>
  <w:style w:type="paragraph" w:customStyle="1" w:styleId="240">
    <w:name w:val="xl1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黑体" w:hAnsi="Arial Unicode MS" w:eastAsia="黑体" w:cs="Times New Roman"/>
      <w:b/>
      <w:bCs/>
      <w:color w:val="FF0000"/>
      <w:kern w:val="0"/>
      <w:sz w:val="16"/>
      <w:szCs w:val="16"/>
      <w:u w:val="single"/>
    </w:rPr>
  </w:style>
  <w:style w:type="paragraph" w:customStyle="1" w:styleId="241">
    <w:name w:val="xl178"/>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Arial Unicode MS" w:eastAsia="黑体" w:cs="Times New Roman"/>
      <w:b/>
      <w:bCs/>
      <w:color w:val="FF0000"/>
      <w:kern w:val="0"/>
      <w:sz w:val="24"/>
      <w:szCs w:val="24"/>
      <w:u w:val="single"/>
    </w:rPr>
  </w:style>
  <w:style w:type="paragraph" w:customStyle="1" w:styleId="242">
    <w:name w:val="xl179"/>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Arial Unicode MS" w:eastAsia="黑体" w:cs="Times New Roman"/>
      <w:b/>
      <w:bCs/>
      <w:kern w:val="0"/>
      <w:sz w:val="24"/>
      <w:szCs w:val="24"/>
      <w:u w:val="single"/>
    </w:rPr>
  </w:style>
  <w:style w:type="paragraph" w:customStyle="1" w:styleId="243">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244">
    <w:name w:val="xl1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245">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246">
    <w:name w:val="xl18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rPr>
  </w:style>
  <w:style w:type="paragraph" w:customStyle="1" w:styleId="247">
    <w:name w:val="xl1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rPr>
  </w:style>
  <w:style w:type="character" w:customStyle="1" w:styleId="248">
    <w:name w:val="日期 字符"/>
    <w:basedOn w:val="37"/>
    <w:link w:val="21"/>
    <w:qFormat/>
    <w:uiPriority w:val="0"/>
    <w:rPr>
      <w:rFonts w:ascii="Times New Roman" w:hAnsi="Times New Roman" w:eastAsia="仿宋_GB2312" w:cs="Times New Roman"/>
      <w:sz w:val="32"/>
      <w:szCs w:val="32"/>
    </w:rPr>
  </w:style>
  <w:style w:type="paragraph" w:customStyle="1" w:styleId="249">
    <w:name w:val="1.0"/>
    <w:basedOn w:val="55"/>
    <w:link w:val="250"/>
    <w:qFormat/>
    <w:uiPriority w:val="0"/>
    <w:pPr>
      <w:numPr>
        <w:ilvl w:val="0"/>
        <w:numId w:val="2"/>
      </w:numPr>
      <w:spacing w:line="540" w:lineRule="exact"/>
      <w:ind w:firstLine="0" w:firstLineChars="0"/>
      <w:outlineLvl w:val="0"/>
    </w:pPr>
    <w:rPr>
      <w:rFonts w:ascii="宋体" w:hAnsi="宋体" w:eastAsia="宋体"/>
      <w:b/>
      <w:sz w:val="24"/>
      <w:szCs w:val="24"/>
      <w:lang w:val="zh-CN"/>
    </w:rPr>
  </w:style>
  <w:style w:type="character" w:customStyle="1" w:styleId="250">
    <w:name w:val="1.0 Char"/>
    <w:link w:val="249"/>
    <w:qFormat/>
    <w:uiPriority w:val="0"/>
    <w:rPr>
      <w:rFonts w:ascii="宋体" w:hAnsi="宋体" w:eastAsia="宋体" w:cs="Times New Roman"/>
      <w:b/>
      <w:sz w:val="24"/>
      <w:szCs w:val="24"/>
      <w:lang w:val="zh-CN"/>
    </w:rPr>
  </w:style>
  <w:style w:type="paragraph" w:customStyle="1" w:styleId="251">
    <w:name w:val="18.*"/>
    <w:basedOn w:val="55"/>
    <w:link w:val="252"/>
    <w:qFormat/>
    <w:uiPriority w:val="0"/>
    <w:pPr>
      <w:spacing w:line="540" w:lineRule="exact"/>
      <w:ind w:firstLine="0" w:firstLineChars="0"/>
      <w:outlineLvl w:val="1"/>
    </w:pPr>
    <w:rPr>
      <w:rFonts w:ascii="宋体" w:hAnsi="宋体" w:eastAsia="宋体"/>
      <w:b/>
      <w:sz w:val="24"/>
      <w:szCs w:val="24"/>
    </w:rPr>
  </w:style>
  <w:style w:type="character" w:customStyle="1" w:styleId="252">
    <w:name w:val="18.* Char"/>
    <w:link w:val="251"/>
    <w:qFormat/>
    <w:uiPriority w:val="0"/>
    <w:rPr>
      <w:rFonts w:ascii="宋体" w:hAnsi="宋体" w:eastAsia="宋体" w:cs="Times New Roman"/>
      <w:b/>
      <w:sz w:val="24"/>
      <w:szCs w:val="24"/>
    </w:rPr>
  </w:style>
  <w:style w:type="paragraph" w:customStyle="1" w:styleId="253">
    <w:name w:val="条文说明："/>
    <w:basedOn w:val="55"/>
    <w:link w:val="254"/>
    <w:qFormat/>
    <w:uiPriority w:val="0"/>
    <w:pPr>
      <w:spacing w:line="540" w:lineRule="exact"/>
      <w:ind w:firstLine="480" w:firstLineChars="0"/>
    </w:pPr>
    <w:rPr>
      <w:rFonts w:ascii="楷体_GB2312" w:eastAsia="楷体_GB2312"/>
      <w:color w:val="000000"/>
      <w:sz w:val="24"/>
      <w:szCs w:val="24"/>
    </w:rPr>
  </w:style>
  <w:style w:type="character" w:customStyle="1" w:styleId="254">
    <w:name w:val="条文说明： Char"/>
    <w:link w:val="253"/>
    <w:qFormat/>
    <w:uiPriority w:val="0"/>
    <w:rPr>
      <w:rFonts w:ascii="楷体_GB2312" w:hAnsi="Times New Roman" w:eastAsia="楷体_GB2312" w:cs="Times New Roman"/>
      <w:color w:val="000000"/>
      <w:sz w:val="24"/>
      <w:szCs w:val="24"/>
    </w:rPr>
  </w:style>
  <w:style w:type="paragraph" w:customStyle="1" w:styleId="255">
    <w:name w:val="条文说明"/>
    <w:basedOn w:val="253"/>
    <w:link w:val="256"/>
    <w:qFormat/>
    <w:uiPriority w:val="0"/>
  </w:style>
  <w:style w:type="character" w:customStyle="1" w:styleId="256">
    <w:name w:val="条文说明 Char"/>
    <w:basedOn w:val="254"/>
    <w:link w:val="255"/>
    <w:qFormat/>
    <w:uiPriority w:val="0"/>
    <w:rPr>
      <w:rFonts w:ascii="楷体_GB2312" w:hAnsi="Times New Roman" w:eastAsia="楷体_GB2312" w:cs="Times New Roman"/>
      <w:color w:val="000000"/>
      <w:sz w:val="24"/>
      <w:szCs w:val="24"/>
    </w:rPr>
  </w:style>
  <w:style w:type="paragraph" w:customStyle="1" w:styleId="257">
    <w:name w:val="强条"/>
    <w:basedOn w:val="1"/>
    <w:link w:val="258"/>
    <w:qFormat/>
    <w:uiPriority w:val="0"/>
    <w:pPr>
      <w:spacing w:line="540" w:lineRule="exact"/>
      <w:ind w:firstLine="361" w:firstLineChars="150"/>
    </w:pPr>
    <w:rPr>
      <w:rFonts w:ascii="宋体" w:hAnsi="宋体" w:eastAsia="宋体" w:cs="Times New Roman"/>
      <w:b/>
      <w:sz w:val="24"/>
      <w:szCs w:val="24"/>
    </w:rPr>
  </w:style>
  <w:style w:type="character" w:customStyle="1" w:styleId="258">
    <w:name w:val="强条 Char"/>
    <w:link w:val="257"/>
    <w:qFormat/>
    <w:uiPriority w:val="0"/>
    <w:rPr>
      <w:rFonts w:ascii="宋体" w:hAnsi="宋体" w:eastAsia="宋体" w:cs="Times New Roman"/>
      <w:b/>
      <w:sz w:val="24"/>
      <w:szCs w:val="24"/>
    </w:rPr>
  </w:style>
  <w:style w:type="paragraph" w:customStyle="1" w:styleId="259">
    <w:name w:val="图和表标题"/>
    <w:next w:val="5"/>
    <w:qFormat/>
    <w:uiPriority w:val="0"/>
    <w:pPr>
      <w:spacing w:line="440" w:lineRule="exact"/>
      <w:jc w:val="center"/>
    </w:pPr>
    <w:rPr>
      <w:rFonts w:ascii="黑体" w:hAnsi="Times New Roman" w:eastAsia="黑体" w:cs="Times New Roman"/>
      <w:sz w:val="24"/>
      <w:lang w:val="en-US" w:eastAsia="zh-CN" w:bidi="ar-SA"/>
    </w:rPr>
  </w:style>
  <w:style w:type="character" w:customStyle="1" w:styleId="260">
    <w:name w:val="其他_"/>
    <w:link w:val="261"/>
    <w:qFormat/>
    <w:uiPriority w:val="0"/>
    <w:rPr>
      <w:rFonts w:ascii="Times New Roman" w:hAnsi="Times New Roman" w:eastAsia="Times New Roman"/>
      <w:b/>
      <w:bCs/>
      <w:sz w:val="18"/>
      <w:szCs w:val="18"/>
      <w:shd w:val="clear" w:color="auto" w:fill="FFFFFF"/>
      <w:lang w:val="zh-CN" w:bidi="zh-CN"/>
    </w:rPr>
  </w:style>
  <w:style w:type="paragraph" w:customStyle="1" w:styleId="261">
    <w:name w:val="其他"/>
    <w:basedOn w:val="1"/>
    <w:link w:val="260"/>
    <w:qFormat/>
    <w:uiPriority w:val="0"/>
    <w:pPr>
      <w:shd w:val="clear" w:color="auto" w:fill="FFFFFF"/>
      <w:jc w:val="center"/>
    </w:pPr>
    <w:rPr>
      <w:rFonts w:ascii="Times New Roman" w:hAnsi="Times New Roman" w:eastAsia="Times New Roman"/>
      <w:b/>
      <w:bCs/>
      <w:sz w:val="18"/>
      <w:szCs w:val="18"/>
      <w:lang w:val="zh-CN" w:bidi="zh-CN"/>
    </w:rPr>
  </w:style>
  <w:style w:type="character" w:customStyle="1" w:styleId="262">
    <w:name w:val="正文文本_"/>
    <w:link w:val="263"/>
    <w:qFormat/>
    <w:uiPriority w:val="0"/>
    <w:rPr>
      <w:rFonts w:ascii="黑体" w:hAnsi="黑体" w:eastAsia="黑体" w:cs="黑体"/>
      <w:shd w:val="clear" w:color="auto" w:fill="FFFFFF"/>
      <w:lang w:val="zh-CN" w:bidi="zh-CN"/>
    </w:rPr>
  </w:style>
  <w:style w:type="paragraph" w:customStyle="1" w:styleId="263">
    <w:name w:val="正文文本1"/>
    <w:basedOn w:val="1"/>
    <w:link w:val="262"/>
    <w:qFormat/>
    <w:uiPriority w:val="0"/>
    <w:pPr>
      <w:shd w:val="clear" w:color="auto" w:fill="FFFFFF"/>
      <w:jc w:val="center"/>
    </w:pPr>
    <w:rPr>
      <w:rFonts w:ascii="黑体" w:hAnsi="黑体" w:eastAsia="黑体" w:cs="黑体"/>
      <w:lang w:val="zh-CN" w:bidi="zh-CN"/>
    </w:rPr>
  </w:style>
  <w:style w:type="character" w:customStyle="1" w:styleId="264">
    <w:name w:val="标题 #1_"/>
    <w:link w:val="265"/>
    <w:qFormat/>
    <w:uiPriority w:val="0"/>
    <w:rPr>
      <w:rFonts w:ascii="黑体" w:hAnsi="黑体" w:eastAsia="黑体" w:cs="黑体"/>
      <w:shd w:val="clear" w:color="auto" w:fill="FFFFFF"/>
      <w:lang w:val="zh-CN" w:bidi="zh-CN"/>
    </w:rPr>
  </w:style>
  <w:style w:type="paragraph" w:customStyle="1" w:styleId="265">
    <w:name w:val="标题 #1"/>
    <w:basedOn w:val="1"/>
    <w:link w:val="264"/>
    <w:qFormat/>
    <w:uiPriority w:val="0"/>
    <w:pPr>
      <w:shd w:val="clear" w:color="auto" w:fill="FFFFFF"/>
      <w:spacing w:line="325" w:lineRule="exact"/>
      <w:ind w:firstLine="460"/>
      <w:jc w:val="left"/>
      <w:outlineLvl w:val="0"/>
    </w:pPr>
    <w:rPr>
      <w:rFonts w:ascii="黑体" w:hAnsi="黑体" w:eastAsia="黑体" w:cs="黑体"/>
      <w:lang w:val="zh-CN" w:bidi="zh-CN"/>
    </w:rPr>
  </w:style>
  <w:style w:type="character" w:customStyle="1" w:styleId="266">
    <w:name w:val="表格标题_"/>
    <w:link w:val="267"/>
    <w:qFormat/>
    <w:uiPriority w:val="0"/>
    <w:rPr>
      <w:rFonts w:ascii="黑体" w:hAnsi="黑体" w:eastAsia="黑体" w:cs="黑体"/>
      <w:shd w:val="clear" w:color="auto" w:fill="FFFFFF"/>
      <w:lang w:val="zh-CN" w:bidi="zh-CN"/>
    </w:rPr>
  </w:style>
  <w:style w:type="paragraph" w:customStyle="1" w:styleId="267">
    <w:name w:val="表格标题"/>
    <w:basedOn w:val="1"/>
    <w:link w:val="266"/>
    <w:qFormat/>
    <w:uiPriority w:val="0"/>
    <w:pPr>
      <w:shd w:val="clear" w:color="auto" w:fill="FFFFFF"/>
      <w:jc w:val="left"/>
    </w:pPr>
    <w:rPr>
      <w:rFonts w:ascii="黑体" w:hAnsi="黑体" w:eastAsia="黑体" w:cs="黑体"/>
      <w:lang w:val="zh-CN" w:bidi="zh-CN"/>
    </w:rPr>
  </w:style>
  <w:style w:type="character" w:customStyle="1" w:styleId="268">
    <w:name w:val="HTML 预设格式 字符"/>
    <w:basedOn w:val="37"/>
    <w:link w:val="31"/>
    <w:semiHidden/>
    <w:qFormat/>
    <w:uiPriority w:val="99"/>
    <w:rPr>
      <w:rFonts w:ascii="inherit" w:hAnsi="inherit" w:eastAsia="宋体" w:cs="宋体"/>
      <w:kern w:val="0"/>
      <w:sz w:val="24"/>
      <w:szCs w:val="24"/>
    </w:rPr>
  </w:style>
  <w:style w:type="paragraph" w:customStyle="1" w:styleId="269">
    <w:name w:val="目录二级"/>
    <w:basedOn w:val="55"/>
    <w:link w:val="270"/>
    <w:qFormat/>
    <w:uiPriority w:val="0"/>
    <w:pPr>
      <w:numPr>
        <w:ilvl w:val="0"/>
        <w:numId w:val="3"/>
      </w:numPr>
      <w:spacing w:line="540" w:lineRule="exact"/>
      <w:ind w:firstLine="0" w:firstLineChars="0"/>
      <w:outlineLvl w:val="1"/>
    </w:pPr>
    <w:rPr>
      <w:rFonts w:ascii="宋体" w:hAnsi="宋体" w:eastAsia="宋体"/>
      <w:b/>
      <w:sz w:val="24"/>
      <w:szCs w:val="24"/>
    </w:rPr>
  </w:style>
  <w:style w:type="character" w:customStyle="1" w:styleId="270">
    <w:name w:val="目录二级 Char"/>
    <w:link w:val="269"/>
    <w:qFormat/>
    <w:uiPriority w:val="0"/>
    <w:rPr>
      <w:rFonts w:ascii="宋体" w:hAnsi="宋体" w:eastAsia="宋体" w:cs="Times New Roman"/>
      <w:b/>
      <w:sz w:val="24"/>
      <w:szCs w:val="24"/>
    </w:rPr>
  </w:style>
  <w:style w:type="paragraph" w:customStyle="1" w:styleId="271">
    <w:name w:val="3级目录"/>
    <w:basedOn w:val="55"/>
    <w:link w:val="272"/>
    <w:qFormat/>
    <w:uiPriority w:val="0"/>
    <w:pPr>
      <w:spacing w:line="540" w:lineRule="exact"/>
      <w:ind w:firstLine="0" w:firstLineChars="0"/>
      <w:outlineLvl w:val="2"/>
    </w:pPr>
    <w:rPr>
      <w:rFonts w:ascii="宋体" w:hAnsi="宋体"/>
      <w:b/>
      <w:sz w:val="24"/>
      <w:szCs w:val="24"/>
    </w:rPr>
  </w:style>
  <w:style w:type="character" w:customStyle="1" w:styleId="272">
    <w:name w:val="3级目录 Char"/>
    <w:link w:val="271"/>
    <w:qFormat/>
    <w:uiPriority w:val="0"/>
    <w:rPr>
      <w:rFonts w:ascii="宋体" w:hAnsi="宋体" w:eastAsia="仿宋_GB2312" w:cs="Times New Roman"/>
      <w:b/>
      <w:sz w:val="24"/>
      <w:szCs w:val="24"/>
    </w:rPr>
  </w:style>
  <w:style w:type="paragraph" w:customStyle="1" w:styleId="273">
    <w:name w:val="**20.*"/>
    <w:basedOn w:val="1"/>
    <w:link w:val="274"/>
    <w:qFormat/>
    <w:uiPriority w:val="0"/>
    <w:pPr>
      <w:spacing w:line="540" w:lineRule="exact"/>
      <w:ind w:firstLine="281" w:firstLineChars="100"/>
      <w:outlineLvl w:val="1"/>
    </w:pPr>
    <w:rPr>
      <w:rFonts w:ascii="Calibri" w:hAnsi="Calibri" w:eastAsia="宋体" w:cs="Times New Roman"/>
      <w:b/>
      <w:sz w:val="28"/>
      <w:szCs w:val="28"/>
    </w:rPr>
  </w:style>
  <w:style w:type="character" w:customStyle="1" w:styleId="274">
    <w:name w:val="**20.* Char"/>
    <w:link w:val="273"/>
    <w:qFormat/>
    <w:uiPriority w:val="0"/>
    <w:rPr>
      <w:rFonts w:ascii="Calibri" w:hAnsi="Calibri" w:eastAsia="宋体" w:cs="Times New Roman"/>
      <w:b/>
      <w:sz w:val="28"/>
      <w:szCs w:val="28"/>
    </w:rPr>
  </w:style>
  <w:style w:type="paragraph" w:customStyle="1" w:styleId="275">
    <w:name w:val="4级目录"/>
    <w:basedOn w:val="53"/>
    <w:link w:val="276"/>
    <w:qFormat/>
    <w:uiPriority w:val="0"/>
    <w:pPr>
      <w:outlineLvl w:val="3"/>
    </w:pPr>
  </w:style>
  <w:style w:type="character" w:customStyle="1" w:styleId="276">
    <w:name w:val="4级目录 Char"/>
    <w:basedOn w:val="54"/>
    <w:link w:val="275"/>
    <w:qFormat/>
    <w:uiPriority w:val="0"/>
    <w:rPr>
      <w:rFonts w:ascii="宋体" w:hAnsi="宋体" w:eastAsia="宋体" w:cs="Times New Roman"/>
      <w:sz w:val="24"/>
      <w:szCs w:val="24"/>
    </w:rPr>
  </w:style>
  <w:style w:type="paragraph" w:customStyle="1" w:styleId="277">
    <w:name w:val="目录3级"/>
    <w:basedOn w:val="273"/>
    <w:link w:val="278"/>
    <w:qFormat/>
    <w:uiPriority w:val="0"/>
    <w:pPr>
      <w:ind w:firstLine="241"/>
      <w:outlineLvl w:val="2"/>
    </w:pPr>
    <w:rPr>
      <w:rFonts w:ascii="宋体" w:hAnsi="宋体"/>
      <w:sz w:val="24"/>
      <w:szCs w:val="24"/>
    </w:rPr>
  </w:style>
  <w:style w:type="character" w:customStyle="1" w:styleId="278">
    <w:name w:val="目录3级 Char"/>
    <w:link w:val="277"/>
    <w:qFormat/>
    <w:uiPriority w:val="0"/>
    <w:rPr>
      <w:rFonts w:ascii="宋体" w:hAnsi="宋体" w:eastAsia="宋体" w:cs="Times New Roman"/>
      <w:b/>
      <w:sz w:val="24"/>
      <w:szCs w:val="24"/>
    </w:rPr>
  </w:style>
  <w:style w:type="character" w:customStyle="1" w:styleId="279">
    <w:name w:val="强制条文"/>
    <w:qFormat/>
    <w:uiPriority w:val="0"/>
    <w:rPr>
      <w:rFonts w:ascii="黑体" w:eastAsia="黑体"/>
      <w:b/>
      <w:bCs/>
      <w:color w:val="FF0000"/>
    </w:rPr>
  </w:style>
  <w:style w:type="paragraph" w:customStyle="1" w:styleId="280">
    <w:name w:val="表文字"/>
    <w:basedOn w:val="1"/>
    <w:next w:val="1"/>
    <w:qFormat/>
    <w:uiPriority w:val="0"/>
    <w:pPr>
      <w:jc w:val="center"/>
    </w:pPr>
    <w:rPr>
      <w:rFonts w:ascii="Times New Roman" w:hAnsi="Times New Roman" w:eastAsia="宋体" w:cs="宋体"/>
      <w:szCs w:val="24"/>
    </w:rPr>
  </w:style>
  <w:style w:type="paragraph" w:customStyle="1" w:styleId="281">
    <w:name w:val="Table Paragraph"/>
    <w:basedOn w:val="1"/>
    <w:qFormat/>
    <w:uiPriority w:val="1"/>
    <w:pPr>
      <w:jc w:val="left"/>
    </w:pPr>
    <w:rPr>
      <w:rFonts w:ascii="Calibri" w:hAnsi="Calibri" w:eastAsia="宋体" w:cs="Times New Roman"/>
      <w:kern w:val="0"/>
      <w:sz w:val="22"/>
      <w:lang w:eastAsia="en-US"/>
    </w:rPr>
  </w:style>
  <w:style w:type="paragraph" w:customStyle="1" w:styleId="282">
    <w:name w:val="2级目录"/>
    <w:basedOn w:val="55"/>
    <w:link w:val="283"/>
    <w:qFormat/>
    <w:uiPriority w:val="0"/>
    <w:pPr>
      <w:numPr>
        <w:ilvl w:val="1"/>
        <w:numId w:val="2"/>
      </w:numPr>
      <w:spacing w:line="540" w:lineRule="exact"/>
      <w:ind w:firstLine="0" w:firstLineChars="0"/>
      <w:outlineLvl w:val="1"/>
    </w:pPr>
  </w:style>
  <w:style w:type="character" w:customStyle="1" w:styleId="283">
    <w:name w:val="2级目录 Char"/>
    <w:basedOn w:val="56"/>
    <w:link w:val="282"/>
    <w:qFormat/>
    <w:uiPriority w:val="0"/>
    <w:rPr>
      <w:rFonts w:ascii="Times New Roman" w:hAnsi="Times New Roman" w:eastAsia="仿宋_GB2312" w:cs="Times New Roman"/>
      <w:sz w:val="32"/>
      <w:szCs w:val="32"/>
    </w:rPr>
  </w:style>
  <w:style w:type="character" w:customStyle="1" w:styleId="284">
    <w:name w:val="文档结构图 字符"/>
    <w:basedOn w:val="37"/>
    <w:link w:val="13"/>
    <w:semiHidden/>
    <w:qFormat/>
    <w:uiPriority w:val="99"/>
    <w:rPr>
      <w:rFonts w:ascii="宋体" w:hAnsi="Times New Roman" w:eastAsia="宋体" w:cs="Times New Roman"/>
      <w:sz w:val="18"/>
      <w:szCs w:val="18"/>
    </w:rPr>
  </w:style>
  <w:style w:type="paragraph" w:customStyle="1" w:styleId="285">
    <w:name w:val="段"/>
    <w:link w:val="28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86">
    <w:name w:val="段 Char"/>
    <w:link w:val="285"/>
    <w:qFormat/>
    <w:uiPriority w:val="0"/>
    <w:rPr>
      <w:rFonts w:ascii="宋体" w:hAnsi="Times New Roman" w:eastAsia="宋体" w:cs="Times New Roman"/>
      <w:kern w:val="0"/>
      <w:szCs w:val="20"/>
    </w:rPr>
  </w:style>
  <w:style w:type="paragraph" w:customStyle="1" w:styleId="287">
    <w:name w:val="建议"/>
    <w:basedOn w:val="271"/>
    <w:link w:val="288"/>
    <w:qFormat/>
    <w:uiPriority w:val="0"/>
    <w:rPr>
      <w:color w:val="7030A0"/>
    </w:rPr>
  </w:style>
  <w:style w:type="character" w:customStyle="1" w:styleId="288">
    <w:name w:val="建议 Char"/>
    <w:link w:val="287"/>
    <w:qFormat/>
    <w:uiPriority w:val="0"/>
    <w:rPr>
      <w:rFonts w:ascii="宋体" w:hAnsi="宋体" w:eastAsia="仿宋_GB2312" w:cs="Times New Roman"/>
      <w:b/>
      <w:color w:val="7030A0"/>
      <w:sz w:val="24"/>
      <w:szCs w:val="24"/>
    </w:rPr>
  </w:style>
  <w:style w:type="paragraph" w:customStyle="1" w:styleId="289">
    <w:name w:val="建议1"/>
    <w:basedOn w:val="53"/>
    <w:link w:val="290"/>
    <w:qFormat/>
    <w:uiPriority w:val="0"/>
    <w:rPr>
      <w:color w:val="7030A0"/>
    </w:rPr>
  </w:style>
  <w:style w:type="character" w:customStyle="1" w:styleId="290">
    <w:name w:val="建议1 Char"/>
    <w:link w:val="289"/>
    <w:qFormat/>
    <w:uiPriority w:val="0"/>
    <w:rPr>
      <w:rFonts w:ascii="宋体" w:hAnsi="宋体" w:eastAsia="宋体" w:cs="Times New Roman"/>
      <w:b/>
      <w:color w:val="7030A0"/>
      <w:sz w:val="24"/>
      <w:szCs w:val="24"/>
    </w:rPr>
  </w:style>
  <w:style w:type="paragraph" w:customStyle="1" w:styleId="291">
    <w:name w:val="修改建议"/>
    <w:basedOn w:val="255"/>
    <w:link w:val="292"/>
    <w:qFormat/>
    <w:uiPriority w:val="0"/>
    <w:rPr>
      <w:b/>
      <w:color w:val="7030A0"/>
    </w:rPr>
  </w:style>
  <w:style w:type="character" w:customStyle="1" w:styleId="292">
    <w:name w:val="修改建议 Char"/>
    <w:link w:val="291"/>
    <w:qFormat/>
    <w:uiPriority w:val="0"/>
    <w:rPr>
      <w:rFonts w:ascii="楷体_GB2312" w:hAnsi="Times New Roman" w:eastAsia="楷体_GB2312" w:cs="Times New Roman"/>
      <w:b/>
      <w:color w:val="7030A0"/>
      <w:sz w:val="24"/>
      <w:szCs w:val="24"/>
    </w:rPr>
  </w:style>
  <w:style w:type="paragraph" w:customStyle="1" w:styleId="293">
    <w:name w:val="一级条"/>
    <w:basedOn w:val="1"/>
    <w:next w:val="1"/>
    <w:qFormat/>
    <w:uiPriority w:val="0"/>
    <w:pPr>
      <w:numPr>
        <w:ilvl w:val="0"/>
        <w:numId w:val="4"/>
      </w:numPr>
      <w:spacing w:beforeLines="50" w:afterLines="50" w:line="360" w:lineRule="auto"/>
      <w:ind w:left="425" w:firstLine="0"/>
      <w:outlineLvl w:val="0"/>
    </w:pPr>
    <w:rPr>
      <w:rFonts w:ascii="宋体" w:hAnsi="Calibri" w:eastAsia="黑体" w:cs="Times New Roman"/>
      <w:sz w:val="24"/>
      <w:szCs w:val="21"/>
    </w:rPr>
  </w:style>
  <w:style w:type="paragraph" w:customStyle="1" w:styleId="294">
    <w:name w:val="条文编号"/>
    <w:basedOn w:val="53"/>
    <w:link w:val="295"/>
    <w:qFormat/>
    <w:uiPriority w:val="0"/>
  </w:style>
  <w:style w:type="character" w:customStyle="1" w:styleId="295">
    <w:name w:val="条文编号 Char"/>
    <w:basedOn w:val="54"/>
    <w:link w:val="294"/>
    <w:qFormat/>
    <w:uiPriority w:val="0"/>
    <w:rPr>
      <w:rFonts w:ascii="宋体" w:hAnsi="宋体" w:eastAsia="宋体" w:cs="Times New Roman"/>
      <w:sz w:val="24"/>
      <w:szCs w:val="24"/>
    </w:rPr>
  </w:style>
  <w:style w:type="paragraph" w:customStyle="1" w:styleId="296">
    <w:name w:val="4.*"/>
    <w:basedOn w:val="55"/>
    <w:link w:val="297"/>
    <w:qFormat/>
    <w:uiPriority w:val="0"/>
    <w:pPr>
      <w:ind w:left="420" w:firstLine="0" w:firstLineChars="0"/>
    </w:pPr>
    <w:rPr>
      <w:rFonts w:ascii="Calibri" w:hAnsi="Calibri" w:eastAsia="宋体"/>
      <w:sz w:val="28"/>
      <w:szCs w:val="28"/>
    </w:rPr>
  </w:style>
  <w:style w:type="character" w:customStyle="1" w:styleId="297">
    <w:name w:val="4.* Char"/>
    <w:link w:val="296"/>
    <w:qFormat/>
    <w:uiPriority w:val="0"/>
    <w:rPr>
      <w:rFonts w:ascii="Calibri" w:hAnsi="Calibri" w:eastAsia="宋体" w:cs="Times New Roman"/>
      <w:sz w:val="28"/>
      <w:szCs w:val="28"/>
    </w:rPr>
  </w:style>
  <w:style w:type="paragraph" w:customStyle="1" w:styleId="298">
    <w:name w:val="注："/>
    <w:next w:val="285"/>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299">
    <w:name w:val="Char"/>
    <w:basedOn w:val="1"/>
    <w:qFormat/>
    <w:uiPriority w:val="0"/>
    <w:rPr>
      <w:rFonts w:ascii="Times New Roman" w:hAnsi="Times New Roman" w:eastAsia="宋体" w:cs="Times New Roman"/>
      <w:szCs w:val="24"/>
    </w:rPr>
  </w:style>
  <w:style w:type="paragraph" w:customStyle="1" w:styleId="300">
    <w:name w:val="Char2"/>
    <w:basedOn w:val="1"/>
    <w:qFormat/>
    <w:uiPriority w:val="0"/>
    <w:rPr>
      <w:rFonts w:ascii="Times New Roman" w:hAnsi="Times New Roman" w:eastAsia="宋体" w:cs="Times New Roman"/>
      <w:szCs w:val="24"/>
    </w:rPr>
  </w:style>
  <w:style w:type="paragraph" w:customStyle="1" w:styleId="301">
    <w:name w:val="Char1"/>
    <w:basedOn w:val="1"/>
    <w:qFormat/>
    <w:uiPriority w:val="0"/>
    <w:rPr>
      <w:rFonts w:ascii="Times New Roman" w:hAnsi="Times New Roman" w:eastAsia="宋体" w:cs="Times New Roman"/>
      <w:szCs w:val="24"/>
    </w:rPr>
  </w:style>
  <w:style w:type="paragraph" w:customStyle="1" w:styleId="302">
    <w:name w:val="4.20.*"/>
    <w:basedOn w:val="1"/>
    <w:link w:val="303"/>
    <w:qFormat/>
    <w:uiPriority w:val="0"/>
    <w:pPr>
      <w:ind w:left="710"/>
    </w:pPr>
    <w:rPr>
      <w:sz w:val="28"/>
      <w:szCs w:val="28"/>
    </w:rPr>
  </w:style>
  <w:style w:type="character" w:customStyle="1" w:styleId="303">
    <w:name w:val="4.20.* Char"/>
    <w:basedOn w:val="37"/>
    <w:link w:val="302"/>
    <w:qFormat/>
    <w:uiPriority w:val="0"/>
    <w:rPr>
      <w:sz w:val="28"/>
      <w:szCs w:val="28"/>
    </w:rPr>
  </w:style>
  <w:style w:type="table" w:customStyle="1" w:styleId="304">
    <w:name w:val="网格型1"/>
    <w:basedOn w:val="35"/>
    <w:qFormat/>
    <w:uiPriority w:val="3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5">
    <w:name w:val="列出段落1"/>
    <w:basedOn w:val="1"/>
    <w:qFormat/>
    <w:uiPriority w:val="0"/>
    <w:pPr>
      <w:ind w:firstLine="420" w:firstLineChars="200"/>
    </w:pPr>
    <w:rPr>
      <w:rFonts w:ascii="Times New Roman" w:hAnsi="Times New Roman" w:eastAsia="宋体" w:cs="Times New Roman"/>
      <w:szCs w:val="21"/>
    </w:rPr>
  </w:style>
  <w:style w:type="paragraph" w:customStyle="1" w:styleId="30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7">
    <w:name w:val="标题 字符"/>
    <w:basedOn w:val="37"/>
    <w:link w:val="33"/>
    <w:qFormat/>
    <w:uiPriority w:val="10"/>
    <w:rPr>
      <w:rFonts w:asciiTheme="majorHAnsi" w:hAnsiTheme="majorHAnsi" w:eastAsiaTheme="majorEastAsia" w:cstheme="majorBidi"/>
      <w:b/>
      <w:bCs/>
      <w:kern w:val="2"/>
      <w:sz w:val="32"/>
      <w:szCs w:val="32"/>
    </w:rPr>
  </w:style>
  <w:style w:type="table" w:customStyle="1" w:styleId="308">
    <w:name w:val="网格型2"/>
    <w:basedOn w:val="35"/>
    <w:qFormat/>
    <w:uiPriority w:val="3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
    <w:name w:val="网格型11"/>
    <w:basedOn w:val="35"/>
    <w:qFormat/>
    <w:uiPriority w:val="3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0">
    <w:name w:val="二级条"/>
    <w:next w:val="1"/>
    <w:qFormat/>
    <w:uiPriority w:val="0"/>
    <w:pPr>
      <w:widowControl w:val="0"/>
      <w:spacing w:line="440" w:lineRule="exact"/>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emf"/><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SEI</Company>
  <Pages>89</Pages>
  <Words>10260</Words>
  <Characters>58485</Characters>
  <Lines>487</Lines>
  <Paragraphs>137</Paragraphs>
  <TotalTime>1</TotalTime>
  <ScaleCrop>false</ScaleCrop>
  <LinksUpToDate>false</LinksUpToDate>
  <CharactersWithSpaces>68608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2023-09-28T16:25:00Z</dcterms:created>
  <dc:creator>Lidw</dc:creator>
  <cp:lastModifiedBy>luoxy</cp:lastModifiedBy>
  <cp:lastPrinted>2023-07-24T09:31:00Z</cp:lastPrinted>
  <dcterms:modified xsi:type="dcterms:W3CDTF">2023-11-15T16:49:52Z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4ACF1BE32F7B4759B3F597B2D8122832</vt:lpwstr>
  </property>
</Properties>
</file>