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framePr w:w="0" w:hRule="auto" w:wrap="auto" w:vAnchor="margin" w:hAnchor="text" w:xAlign="left" w:yAlign="inline"/>
        <w:wordWrap w:val="0"/>
        <w:jc w:val="both"/>
        <w:rPr>
          <w:rFonts w:eastAsiaTheme="minorEastAsia"/>
          <w:b w:val="0"/>
          <w:color w:val="000000" w:themeColor="text1"/>
          <w:sz w:val="28"/>
          <w:szCs w:val="28"/>
        </w:rPr>
      </w:pPr>
      <w:bookmarkStart w:id="0" w:name="_Toc102292521"/>
    </w:p>
    <w:p>
      <w:pPr>
        <w:pStyle w:val="34"/>
        <w:framePr w:w="0" w:hRule="auto" w:wrap="auto" w:vAnchor="margin" w:hAnchor="text" w:xAlign="left" w:yAlign="inline"/>
        <w:wordWrap w:val="0"/>
        <w:jc w:val="both"/>
        <w:rPr>
          <w:rFonts w:eastAsiaTheme="minorEastAsia"/>
          <w:color w:val="000000" w:themeColor="text1"/>
          <w:sz w:val="30"/>
          <w:szCs w:val="30"/>
        </w:rPr>
      </w:pPr>
      <w:r>
        <w:rPr>
          <w:rFonts w:eastAsiaTheme="minorEastAsia"/>
          <w:color w:val="000000" w:themeColor="text1"/>
          <w:sz w:val="28"/>
          <w:szCs w:val="28"/>
        </w:rPr>
        <w:t>UDC</w:t>
      </w:r>
    </w:p>
    <w:p>
      <w:pPr>
        <w:pStyle w:val="34"/>
        <w:framePr w:w="0" w:hRule="auto" w:wrap="auto" w:vAnchor="margin" w:hAnchor="text" w:xAlign="left" w:yAlign="inline"/>
        <w:wordWrap w:val="0"/>
        <w:rPr>
          <w:rFonts w:eastAsiaTheme="minorEastAsia"/>
          <w:outline/>
          <w:color w:val="000000" w:themeColor="text1"/>
          <w:sz w:val="28"/>
          <w:szCs w:val="28"/>
        </w:rPr>
      </w:pPr>
      <w:r>
        <w:rPr>
          <w:rFonts w:eastAsia="黑体"/>
          <w:color w:val="000000" w:themeColor="text1"/>
          <w:sz w:val="30"/>
          <w:szCs w:val="30"/>
        </w:rPr>
        <w:t>中华人民共和国国家标准</w:t>
      </w:r>
      <w:r>
        <w:rPr>
          <w:rFonts w:hint="eastAsia" w:eastAsia="黑体"/>
          <w:b w:val="0"/>
          <w:color w:val="000000" w:themeColor="text1"/>
          <w:sz w:val="28"/>
          <w:szCs w:val="28"/>
        </w:rPr>
        <w:t xml:space="preserve">          </w:t>
      </w:r>
      <w:r>
        <w:rPr>
          <w:rFonts w:eastAsiaTheme="minorEastAsia"/>
          <w:color w:val="000000" w:themeColor="text1"/>
          <w:sz w:val="84"/>
          <w:szCs w:val="84"/>
        </w:rPr>
        <w:t>GB</w:t>
      </w:r>
    </w:p>
    <w:p>
      <w:pPr>
        <w:pStyle w:val="35"/>
        <w:wordWrap w:val="0"/>
        <w:rPr>
          <w:rFonts w:eastAsiaTheme="minorEastAsia"/>
          <w:b/>
          <w:color w:val="000000" w:themeColor="text1"/>
          <w:szCs w:val="28"/>
        </w:rPr>
      </w:pPr>
      <w:r>
        <w:rPr>
          <w:rFonts w:eastAsiaTheme="minorEastAsia"/>
          <w:b/>
          <w:color w:val="000000" w:themeColor="text1"/>
          <w:szCs w:val="28"/>
        </w:rPr>
        <w:t xml:space="preserve">  P                                       GB  50014—20XX</w:t>
      </w:r>
    </w:p>
    <w:p>
      <w:pPr>
        <w:wordWrap w:val="0"/>
        <w:spacing w:line="480" w:lineRule="auto"/>
        <w:jc w:val="center"/>
        <w:rPr>
          <w:rFonts w:eastAsiaTheme="minorEastAsia"/>
          <w:b/>
          <w:color w:val="000000" w:themeColor="text1"/>
          <w:sz w:val="28"/>
          <w:szCs w:val="28"/>
        </w:rPr>
      </w:pPr>
      <w:r>
        <w:rPr>
          <w:rFonts w:eastAsiaTheme="minorEastAsia"/>
          <w:color w:val="000000" w:themeColor="text1"/>
          <w:sz w:val="28"/>
          <w:szCs w:val="28"/>
        </w:rPr>
        <w:pict>
          <v:line id="Line 4" o:spid="_x0000_s1026" o:spt="20" style="position:absolute;left:0pt;flip:y;margin-left:-32.35pt;margin-top:14.05pt;height:0.6pt;width:476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">
            <v:path arrowok="t"/>
            <v:fill focussize="0,0"/>
            <v:stroke/>
            <v:imagedata o:title=""/>
            <o:lock v:ext="edit"/>
          </v:line>
        </w:pict>
      </w:r>
    </w:p>
    <w:p>
      <w:pPr>
        <w:wordWrap w:val="0"/>
        <w:spacing w:line="360" w:lineRule="auto"/>
        <w:jc w:val="center"/>
        <w:rPr>
          <w:rFonts w:eastAsiaTheme="minorEastAsia"/>
          <w:b/>
          <w:color w:val="000000" w:themeColor="text1"/>
          <w:sz w:val="28"/>
          <w:szCs w:val="28"/>
        </w:rPr>
      </w:pPr>
    </w:p>
    <w:p>
      <w:pPr>
        <w:wordWrap w:val="0"/>
        <w:spacing w:line="360" w:lineRule="auto"/>
        <w:jc w:val="center"/>
        <w:rPr>
          <w:rFonts w:eastAsiaTheme="minorEastAsia"/>
          <w:b/>
          <w:color w:val="000000" w:themeColor="text1"/>
          <w:sz w:val="52"/>
          <w:szCs w:val="52"/>
        </w:rPr>
      </w:pPr>
      <w:r>
        <w:rPr>
          <w:rFonts w:eastAsiaTheme="minorEastAsia"/>
          <w:b/>
          <w:color w:val="000000" w:themeColor="text1"/>
          <w:sz w:val="52"/>
          <w:szCs w:val="52"/>
        </w:rPr>
        <w:t>室外排水设计标准</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Standard for design of outdoor wastewater engineering</w:t>
      </w:r>
    </w:p>
    <w:p>
      <w:pPr>
        <w:wordWrap w:val="0"/>
        <w:spacing w:line="480" w:lineRule="auto"/>
        <w:jc w:val="center"/>
        <w:rPr>
          <w:rFonts w:eastAsiaTheme="minorEastAsia"/>
          <w:b/>
          <w:color w:val="000000" w:themeColor="text1"/>
          <w:sz w:val="28"/>
          <w:szCs w:val="28"/>
        </w:rPr>
      </w:pPr>
      <w:r>
        <w:rPr>
          <w:rFonts w:eastAsiaTheme="minorEastAsia"/>
          <w:b/>
          <w:color w:val="000000" w:themeColor="text1"/>
          <w:sz w:val="28"/>
          <w:szCs w:val="28"/>
        </w:rPr>
        <w:t>（20XX年版）</w:t>
      </w:r>
    </w:p>
    <w:p>
      <w:pPr>
        <w:wordWrap w:val="0"/>
        <w:spacing w:line="480" w:lineRule="auto"/>
        <w:jc w:val="center"/>
        <w:rPr>
          <w:rFonts w:eastAsiaTheme="minorEastAsia"/>
          <w:b/>
          <w:color w:val="000000" w:themeColor="text1"/>
          <w:sz w:val="28"/>
          <w:szCs w:val="28"/>
        </w:rPr>
      </w:pPr>
    </w:p>
    <w:p>
      <w:pPr>
        <w:pStyle w:val="10"/>
        <w:wordWrap w:val="0"/>
        <w:rPr>
          <w:rFonts w:eastAsiaTheme="minorEastAsia"/>
          <w:color w:val="000000" w:themeColor="text1"/>
          <w:sz w:val="28"/>
          <w:szCs w:val="28"/>
        </w:rPr>
      </w:pPr>
    </w:p>
    <w:p>
      <w:pPr>
        <w:pStyle w:val="10"/>
        <w:wordWrap w:val="0"/>
        <w:rPr>
          <w:rFonts w:eastAsiaTheme="minorEastAsia"/>
          <w:color w:val="000000" w:themeColor="text1"/>
          <w:sz w:val="28"/>
          <w:szCs w:val="28"/>
        </w:rPr>
      </w:pPr>
    </w:p>
    <w:p>
      <w:pPr>
        <w:pStyle w:val="10"/>
        <w:wordWrap w:val="0"/>
        <w:rPr>
          <w:rFonts w:eastAsiaTheme="minorEastAsia"/>
          <w:color w:val="000000" w:themeColor="text1"/>
          <w:sz w:val="28"/>
          <w:szCs w:val="28"/>
        </w:rPr>
      </w:pPr>
    </w:p>
    <w:p>
      <w:pPr>
        <w:pStyle w:val="10"/>
        <w:wordWrap w:val="0"/>
        <w:rPr>
          <w:rFonts w:eastAsiaTheme="minorEastAsia"/>
          <w:color w:val="000000" w:themeColor="text1"/>
          <w:sz w:val="28"/>
          <w:szCs w:val="28"/>
        </w:rPr>
      </w:pPr>
    </w:p>
    <w:p>
      <w:pPr>
        <w:pStyle w:val="10"/>
        <w:wordWrap w:val="0"/>
        <w:rPr>
          <w:rFonts w:eastAsiaTheme="minorEastAsia"/>
          <w:color w:val="000000" w:themeColor="text1"/>
          <w:sz w:val="28"/>
          <w:szCs w:val="28"/>
        </w:rPr>
      </w:pPr>
    </w:p>
    <w:p>
      <w:pPr>
        <w:wordWrap w:val="0"/>
        <w:spacing w:line="480" w:lineRule="auto"/>
        <w:rPr>
          <w:rFonts w:eastAsiaTheme="minorEastAsia"/>
          <w:color w:val="000000" w:themeColor="text1"/>
          <w:sz w:val="28"/>
          <w:szCs w:val="28"/>
        </w:rPr>
      </w:pPr>
      <w:r>
        <w:rPr>
          <w:rFonts w:eastAsiaTheme="minorEastAsia"/>
          <w:color w:val="000000" w:themeColor="text1"/>
          <w:sz w:val="28"/>
          <w:szCs w:val="28"/>
        </w:rPr>
        <w:t>20XX－XX－XX 发布            20XX－XX－XX 实施</w:t>
      </w:r>
    </w:p>
    <w:p>
      <w:pPr>
        <w:pStyle w:val="10"/>
        <w:wordWrap w:val="0"/>
        <w:rPr>
          <w:rFonts w:eastAsiaTheme="minorEastAsia"/>
          <w:color w:val="000000" w:themeColor="text1"/>
          <w:sz w:val="28"/>
          <w:szCs w:val="28"/>
        </w:rPr>
      </w:pPr>
      <w:r>
        <w:rPr>
          <w:rFonts w:eastAsiaTheme="minorEastAsia"/>
          <w:color w:val="000000" w:themeColor="text1"/>
          <w:sz w:val="28"/>
          <w:szCs w:val="28"/>
        </w:rPr>
        <w:pict>
          <v:line id="Line 11" o:spid="_x0000_s1134" o:spt="20" style="position:absolute;left:0pt;flip:y;margin-left:-0.2pt;margin-top:17.1pt;height:0.6pt;width:407.4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">
            <v:path arrowok="t"/>
            <v:fill focussize="0,0"/>
            <v:stroke/>
            <v:imagedata o:title=""/>
            <o:lock v:ext="edit"/>
          </v:line>
        </w:pict>
      </w:r>
    </w:p>
    <w:tbl>
      <w:tblPr>
        <w:tblStyle w:val="25"/>
        <w:tblW w:w="5620" w:type="dxa"/>
        <w:tblInd w:w="0" w:type="dxa"/>
        <w:tblLayout w:type="fixed"/>
        <w:tblCellMar>
          <w:top w:w="0" w:type="dxa"/>
          <w:left w:w="0" w:type="dxa"/>
          <w:bottom w:w="0" w:type="dxa"/>
          <w:right w:w="0" w:type="dxa"/>
        </w:tblCellMar>
      </w:tblPr>
      <w:tblGrid>
        <w:gridCol w:w="5620"/>
      </w:tblGrid>
      <w:tr>
        <w:tblPrEx>
          <w:tblLayout w:type="fixed"/>
          <w:tblCellMar>
            <w:top w:w="0" w:type="dxa"/>
            <w:left w:w="0" w:type="dxa"/>
            <w:bottom w:w="0" w:type="dxa"/>
            <w:right w:w="0" w:type="dxa"/>
          </w:tblCellMar>
        </w:tblPrEx>
        <w:trPr>
          <w:trHeight w:val="375" w:hRule="atLeast"/>
        </w:trPr>
        <w:tc>
          <w:tcPr>
            <w:tcW w:w="5620" w:type="dxa"/>
            <w:tcBorders>
              <w:top w:val="nil"/>
              <w:left w:val="nil"/>
              <w:bottom w:val="nil"/>
              <w:right w:val="nil"/>
            </w:tcBorders>
            <w:shd w:val="clear" w:color="auto" w:fill="auto"/>
            <w:tcMar>
              <w:top w:w="15" w:type="dxa"/>
              <w:left w:w="15" w:type="dxa"/>
              <w:bottom w:w="0" w:type="dxa"/>
              <w:right w:w="15" w:type="dxa"/>
            </w:tcMar>
            <w:vAlign w:val="center"/>
          </w:tcPr>
          <w:p>
            <w:pPr>
              <w:wordWrap w:val="0"/>
              <w:jc w:val="both"/>
              <w:rPr>
                <w:rFonts w:eastAsiaTheme="minorEastAsia"/>
                <w:color w:val="000000" w:themeColor="text1"/>
                <w:sz w:val="28"/>
                <w:szCs w:val="28"/>
              </w:rPr>
            </w:pPr>
          </w:p>
          <w:p>
            <w:pPr>
              <w:wordWrap w:val="0"/>
              <w:jc w:val="distribute"/>
              <w:rPr>
                <w:rFonts w:eastAsiaTheme="minorEastAsia"/>
                <w:color w:val="000000" w:themeColor="text1"/>
                <w:sz w:val="28"/>
                <w:szCs w:val="28"/>
              </w:rPr>
            </w:pPr>
            <w:r>
              <w:rPr>
                <w:rFonts w:eastAsiaTheme="minorEastAsia"/>
                <w:color w:val="000000" w:themeColor="text1"/>
                <w:sz w:val="28"/>
                <w:szCs w:val="28"/>
              </w:rPr>
              <w:pict>
                <v:shape id="文本框 5" o:spid="_x0000_s1133" o:spt="202" type="#_x0000_t202" style="position:absolute;left:0pt;margin-left:330.9pt;margin-top:11.95pt;height:38.5pt;width:84.55pt;z-index:251658240;mso-width-relative:margin;mso-height-relative:margin;" fillcolor="#000005 [-4142]"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">
                  <v:path arrowok="t"/>
                  <v:fill on="t" focussize="0,0"/>
                  <v:stroke on="f" weight="0.5pt" joinstyle="miter"/>
                  <v:imagedata o:title=""/>
                  <o:lock v:ext="edit"/>
                  <v:textbox>
                    <w:txbxContent>
                      <w:p>
                        <w:pPr>
                          <w:rPr>
                            <w:rFonts w:ascii="黑体" w:eastAsia="黑体"/>
                            <w:color w:val="000000"/>
                            <w:sz w:val="28"/>
                            <w:szCs w:val="28"/>
                          </w:rPr>
                        </w:pPr>
                        <w:r>
                          <w:rPr>
                            <w:rFonts w:hint="eastAsia" w:ascii="黑体" w:eastAsia="黑体"/>
                            <w:color w:val="000000"/>
                            <w:sz w:val="28"/>
                            <w:szCs w:val="28"/>
                          </w:rPr>
                          <w:t>联合发布</w:t>
                        </w:r>
                      </w:p>
                    </w:txbxContent>
                  </v:textbox>
                </v:shape>
              </w:pict>
            </w:r>
            <w:r>
              <w:rPr>
                <w:rFonts w:eastAsiaTheme="minorEastAsia"/>
                <w:color w:val="000000" w:themeColor="text1"/>
                <w:sz w:val="28"/>
                <w:szCs w:val="28"/>
              </w:rPr>
              <w:t>中华人民共和国住房和城乡建设部</w:t>
            </w:r>
          </w:p>
        </w:tc>
      </w:tr>
      <w:tr>
        <w:tblPrEx>
          <w:tblLayout w:type="fixed"/>
          <w:tblCellMar>
            <w:top w:w="0" w:type="dxa"/>
            <w:left w:w="0" w:type="dxa"/>
            <w:bottom w:w="0" w:type="dxa"/>
            <w:right w:w="0" w:type="dxa"/>
          </w:tblCellMar>
        </w:tblPrEx>
        <w:trPr>
          <w:trHeight w:val="375" w:hRule="atLeast"/>
        </w:trPr>
        <w:tc>
          <w:tcPr>
            <w:tcW w:w="5620" w:type="dxa"/>
            <w:tcBorders>
              <w:top w:val="nil"/>
              <w:left w:val="nil"/>
              <w:bottom w:val="nil"/>
              <w:right w:val="nil"/>
            </w:tcBorders>
            <w:shd w:val="clear" w:color="auto" w:fill="auto"/>
            <w:tcMar>
              <w:top w:w="15" w:type="dxa"/>
              <w:left w:w="15" w:type="dxa"/>
              <w:bottom w:w="0" w:type="dxa"/>
              <w:right w:w="15" w:type="dxa"/>
            </w:tcMar>
            <w:vAlign w:val="center"/>
          </w:tcPr>
          <w:p>
            <w:pPr>
              <w:wordWrap w:val="0"/>
              <w:jc w:val="distribute"/>
              <w:rPr>
                <w:rFonts w:eastAsiaTheme="minorEastAsia"/>
                <w:color w:val="000000" w:themeColor="text1"/>
                <w:sz w:val="28"/>
                <w:szCs w:val="28"/>
              </w:rPr>
            </w:pPr>
            <w:r>
              <w:rPr>
                <w:rFonts w:hint="eastAsia" w:eastAsiaTheme="minorEastAsia"/>
                <w:color w:val="000000" w:themeColor="text1"/>
                <w:sz w:val="28"/>
                <w:szCs w:val="28"/>
                <w:lang w:eastAsia="zh-CN"/>
              </w:rPr>
              <w:t>国家市场监督管理</w:t>
            </w:r>
            <w:r>
              <w:rPr>
                <w:rFonts w:eastAsiaTheme="minorEastAsia"/>
                <w:color w:val="000000" w:themeColor="text1"/>
                <w:sz w:val="28"/>
                <w:szCs w:val="28"/>
              </w:rPr>
              <w:t>总局</w:t>
            </w:r>
          </w:p>
        </w:tc>
      </w:tr>
    </w:tbl>
    <w:p>
      <w:pPr>
        <w:wordWrap w:val="0"/>
        <w:ind w:firstLine="562" w:firstLineChars="200"/>
        <w:jc w:val="center"/>
        <w:rPr>
          <w:rFonts w:eastAsiaTheme="minorEastAsia"/>
          <w:b/>
          <w:color w:val="000000" w:themeColor="text1"/>
          <w:sz w:val="28"/>
          <w:szCs w:val="28"/>
        </w:rPr>
        <w:sectPr>
          <w:headerReference r:id="rId5" w:type="default"/>
          <w:footerReference r:id="rId7" w:type="default"/>
          <w:headerReference r:id="rId6" w:type="even"/>
          <w:footerReference r:id="rId8" w:type="even"/>
          <w:pgSz w:w="11906" w:h="16838"/>
          <w:pgMar w:top="1440" w:right="1800" w:bottom="1440" w:left="1800" w:header="851" w:footer="992" w:gutter="0"/>
          <w:pgNumType w:start="1"/>
          <w:cols w:space="425" w:num="1"/>
          <w:docGrid w:type="lines" w:linePitch="312" w:charSpace="0"/>
        </w:sectPr>
      </w:pPr>
    </w:p>
    <w:p>
      <w:pPr>
        <w:wordWrap w:val="0"/>
        <w:jc w:val="center"/>
        <w:rPr>
          <w:rFonts w:eastAsiaTheme="minorEastAsia"/>
          <w:b/>
          <w:color w:val="000000" w:themeColor="text1"/>
          <w:sz w:val="28"/>
          <w:szCs w:val="28"/>
        </w:rPr>
      </w:pPr>
      <w:r>
        <w:rPr>
          <w:rFonts w:eastAsiaTheme="minorEastAsia"/>
          <w:b/>
          <w:color w:val="000000" w:themeColor="text1"/>
          <w:sz w:val="28"/>
          <w:szCs w:val="28"/>
        </w:rPr>
        <w:t>前   言</w:t>
      </w:r>
    </w:p>
    <w:p>
      <w:pPr>
        <w:wordWrap w:val="0"/>
        <w:ind w:firstLine="560" w:firstLineChars="200"/>
        <w:rPr>
          <w:rFonts w:eastAsiaTheme="minorEastAsia"/>
          <w:color w:val="000000" w:themeColor="text1"/>
          <w:kern w:val="0"/>
          <w:sz w:val="28"/>
          <w:szCs w:val="28"/>
        </w:rPr>
      </w:pPr>
      <w:r>
        <w:rPr>
          <w:rFonts w:eastAsiaTheme="minorEastAsia"/>
          <w:color w:val="000000" w:themeColor="text1"/>
          <w:kern w:val="0"/>
          <w:sz w:val="28"/>
          <w:szCs w:val="28"/>
        </w:rPr>
        <w:t>根据</w:t>
      </w:r>
      <w:r>
        <w:rPr>
          <w:rFonts w:eastAsiaTheme="minorEastAsia"/>
          <w:color w:val="000000" w:themeColor="text1"/>
          <w:sz w:val="28"/>
          <w:szCs w:val="28"/>
        </w:rPr>
        <w:t>《</w:t>
      </w:r>
      <w:r>
        <w:rPr>
          <w:rFonts w:eastAsiaTheme="minorEastAsia"/>
          <w:color w:val="000000" w:themeColor="text1"/>
          <w:kern w:val="0"/>
          <w:sz w:val="28"/>
          <w:szCs w:val="28"/>
        </w:rPr>
        <w:t>住房和城乡建设部</w:t>
      </w:r>
      <w:r>
        <w:rPr>
          <w:rFonts w:eastAsiaTheme="minorEastAsia"/>
          <w:color w:val="000000" w:themeColor="text1"/>
          <w:sz w:val="28"/>
          <w:szCs w:val="28"/>
        </w:rPr>
        <w:t>关于印发2017年工程建设标准规范制修订及相关工作计划的通知》（建标函[2016]248号）</w:t>
      </w:r>
      <w:r>
        <w:rPr>
          <w:rFonts w:hint="eastAsia" w:eastAsiaTheme="minorEastAsia"/>
          <w:color w:val="000000" w:themeColor="text1"/>
          <w:sz w:val="28"/>
          <w:szCs w:val="28"/>
        </w:rPr>
        <w:t>的要求</w:t>
      </w:r>
      <w:r>
        <w:rPr>
          <w:rFonts w:eastAsiaTheme="minorEastAsia"/>
          <w:color w:val="000000" w:themeColor="text1"/>
          <w:kern w:val="0"/>
          <w:sz w:val="28"/>
          <w:szCs w:val="28"/>
        </w:rPr>
        <w:t>，</w:t>
      </w:r>
      <w:r>
        <w:rPr>
          <w:rFonts w:hint="eastAsia" w:eastAsiaTheme="minorEastAsia"/>
          <w:color w:val="000000" w:themeColor="text1"/>
          <w:kern w:val="0"/>
          <w:sz w:val="28"/>
          <w:szCs w:val="28"/>
        </w:rPr>
        <w:t>标准编制组经广泛调查研究，认真总结实践经验，参考有关国际标准和国外先进标准，并在广泛征求意见的基础上，修订了本标准</w:t>
      </w:r>
      <w:r>
        <w:rPr>
          <w:rFonts w:eastAsiaTheme="minorEastAsia"/>
          <w:color w:val="000000" w:themeColor="text1"/>
          <w:kern w:val="0"/>
          <w:sz w:val="28"/>
          <w:szCs w:val="28"/>
        </w:rPr>
        <w:t>。</w:t>
      </w:r>
    </w:p>
    <w:p>
      <w:pPr>
        <w:wordWrap w:val="0"/>
        <w:ind w:firstLine="560" w:firstLineChars="200"/>
        <w:rPr>
          <w:rFonts w:eastAsiaTheme="minorEastAsia"/>
          <w:color w:val="000000" w:themeColor="text1"/>
          <w:kern w:val="0"/>
          <w:sz w:val="28"/>
          <w:szCs w:val="28"/>
        </w:rPr>
      </w:pPr>
      <w:r>
        <w:rPr>
          <w:rFonts w:hint="eastAsia" w:eastAsiaTheme="minorEastAsia"/>
          <w:color w:val="000000" w:themeColor="text1"/>
          <w:kern w:val="0"/>
          <w:sz w:val="28"/>
          <w:szCs w:val="28"/>
        </w:rPr>
        <w:t>本标准的主要技术内容是：1总则 ；2术语和符号 3排水工程；4设计流量和设计水质；5排水管渠和附属构筑物；6泵站；7污水和再生水处理；8污泥处理和处置；9智慧控制。</w:t>
      </w:r>
    </w:p>
    <w:p>
      <w:pPr>
        <w:wordWrap w:val="0"/>
        <w:ind w:firstLine="560" w:firstLineChars="200"/>
        <w:rPr>
          <w:rFonts w:eastAsiaTheme="minorEastAsia"/>
          <w:color w:val="000000" w:themeColor="text1"/>
          <w:sz w:val="28"/>
          <w:szCs w:val="28"/>
        </w:rPr>
      </w:pPr>
      <w:r>
        <w:rPr>
          <w:rFonts w:eastAsiaTheme="minorEastAsia"/>
          <w:color w:val="000000" w:themeColor="text1"/>
          <w:kern w:val="0"/>
          <w:sz w:val="28"/>
          <w:szCs w:val="28"/>
        </w:rPr>
        <w:t>本标准修订</w:t>
      </w:r>
      <w:r>
        <w:rPr>
          <w:rFonts w:eastAsiaTheme="minorEastAsia"/>
          <w:color w:val="000000" w:themeColor="text1"/>
          <w:sz w:val="28"/>
          <w:szCs w:val="28"/>
        </w:rPr>
        <w:t>的主要技术内容是：</w:t>
      </w:r>
      <w:r>
        <w:rPr>
          <w:rFonts w:hint="eastAsia" w:eastAsiaTheme="minorEastAsia"/>
          <w:color w:val="000000" w:themeColor="text1"/>
          <w:sz w:val="28"/>
          <w:szCs w:val="28"/>
        </w:rPr>
        <w:t>1</w:t>
      </w:r>
      <w:r>
        <w:rPr>
          <w:rFonts w:eastAsiaTheme="minorEastAsia"/>
          <w:color w:val="000000" w:themeColor="text1"/>
          <w:sz w:val="28"/>
          <w:szCs w:val="28"/>
        </w:rPr>
        <w:t>新增第3章排水工程，系统规定室外排水工程的组成和相互关系，以提高本标准的系统性；</w:t>
      </w:r>
      <w:r>
        <w:rPr>
          <w:rFonts w:hint="eastAsia" w:eastAsiaTheme="minorEastAsia"/>
          <w:color w:val="000000" w:themeColor="text1"/>
          <w:sz w:val="28"/>
          <w:szCs w:val="28"/>
        </w:rPr>
        <w:t>2</w:t>
      </w:r>
      <w:r>
        <w:rPr>
          <w:rFonts w:eastAsiaTheme="minorEastAsia"/>
          <w:color w:val="000000" w:themeColor="text1"/>
          <w:sz w:val="28"/>
          <w:szCs w:val="28"/>
        </w:rPr>
        <w:t>第5章排水管渠和附属构筑物补充管道进入综合</w:t>
      </w:r>
      <w:bookmarkStart w:id="120" w:name="_GoBack"/>
      <w:bookmarkEnd w:id="120"/>
      <w:r>
        <w:rPr>
          <w:rFonts w:eastAsiaTheme="minorEastAsia"/>
          <w:color w:val="000000" w:themeColor="text1"/>
          <w:sz w:val="28"/>
          <w:szCs w:val="28"/>
        </w:rPr>
        <w:t>管廊、倒虹管基础、高架道路和下穿立交道路排水等要求；</w:t>
      </w:r>
      <w:r>
        <w:rPr>
          <w:rFonts w:hint="eastAsia" w:eastAsiaTheme="minorEastAsia"/>
          <w:color w:val="000000" w:themeColor="text1"/>
          <w:sz w:val="28"/>
          <w:szCs w:val="28"/>
        </w:rPr>
        <w:t>3</w:t>
      </w:r>
      <w:r>
        <w:rPr>
          <w:rFonts w:eastAsiaTheme="minorEastAsia"/>
          <w:color w:val="000000" w:themeColor="text1"/>
          <w:sz w:val="28"/>
          <w:szCs w:val="28"/>
        </w:rPr>
        <w:t>第6章泵站补充下穿立交道路泵站集水池要求；</w:t>
      </w:r>
      <w:r>
        <w:rPr>
          <w:rFonts w:hint="eastAsia" w:eastAsiaTheme="minorEastAsia"/>
          <w:color w:val="000000" w:themeColor="text1"/>
          <w:sz w:val="28"/>
          <w:szCs w:val="28"/>
        </w:rPr>
        <w:t>4</w:t>
      </w:r>
      <w:r>
        <w:rPr>
          <w:rFonts w:eastAsiaTheme="minorEastAsia"/>
          <w:color w:val="000000" w:themeColor="text1"/>
          <w:sz w:val="28"/>
          <w:szCs w:val="28"/>
        </w:rPr>
        <w:t>第7章污水处理和再生水处理删除了生物滤池、塔式生物滤池和土地处理等工艺，补充了膜生物反应器（MBR）、移动床生物膜反应器（MBBR）和人工湿地等应用广泛且运行可靠的工艺；</w:t>
      </w:r>
      <w:r>
        <w:rPr>
          <w:rFonts w:hint="eastAsia" w:eastAsiaTheme="minorEastAsia"/>
          <w:color w:val="000000" w:themeColor="text1"/>
          <w:sz w:val="28"/>
          <w:szCs w:val="28"/>
        </w:rPr>
        <w:t>5</w:t>
      </w:r>
      <w:r>
        <w:rPr>
          <w:rFonts w:eastAsiaTheme="minorEastAsia"/>
          <w:color w:val="000000" w:themeColor="text1"/>
          <w:sz w:val="28"/>
          <w:szCs w:val="28"/>
        </w:rPr>
        <w:t>第8章污泥处理和处置补充了</w:t>
      </w:r>
      <w:r>
        <w:rPr>
          <w:rFonts w:hint="eastAsia" w:eastAsiaTheme="minorEastAsia"/>
          <w:color w:val="000000" w:themeColor="text1"/>
          <w:sz w:val="28"/>
          <w:szCs w:val="28"/>
        </w:rPr>
        <w:t>高含固厌氧消化、</w:t>
      </w:r>
      <w:r>
        <w:rPr>
          <w:rFonts w:eastAsiaTheme="minorEastAsia"/>
          <w:color w:val="000000" w:themeColor="text1"/>
          <w:sz w:val="28"/>
          <w:szCs w:val="28"/>
        </w:rPr>
        <w:t>好氧发酵、深度脱水、污泥干化</w:t>
      </w:r>
      <w:r>
        <w:rPr>
          <w:rFonts w:hint="eastAsia" w:eastAsiaTheme="minorEastAsia"/>
          <w:color w:val="000000" w:themeColor="text1"/>
          <w:sz w:val="28"/>
          <w:szCs w:val="28"/>
        </w:rPr>
        <w:t>焚烧</w:t>
      </w:r>
      <w:r>
        <w:rPr>
          <w:rFonts w:eastAsiaTheme="minorEastAsia"/>
          <w:color w:val="000000" w:themeColor="text1"/>
          <w:sz w:val="28"/>
          <w:szCs w:val="28"/>
        </w:rPr>
        <w:t>等内容；</w:t>
      </w:r>
      <w:r>
        <w:rPr>
          <w:rFonts w:hint="eastAsia" w:eastAsiaTheme="minorEastAsia"/>
          <w:color w:val="000000" w:themeColor="text1"/>
          <w:sz w:val="28"/>
          <w:szCs w:val="28"/>
        </w:rPr>
        <w:t>6</w:t>
      </w:r>
      <w:r>
        <w:rPr>
          <w:rFonts w:eastAsiaTheme="minorEastAsia"/>
          <w:color w:val="000000" w:themeColor="text1"/>
          <w:sz w:val="28"/>
          <w:szCs w:val="28"/>
        </w:rPr>
        <w:t>此外还根据污水处理和污泥处理处置的新要求，补充和提高了设计标准；</w:t>
      </w:r>
      <w:r>
        <w:rPr>
          <w:rFonts w:hint="eastAsia" w:eastAsiaTheme="minorEastAsia"/>
          <w:color w:val="000000" w:themeColor="text1"/>
          <w:sz w:val="28"/>
          <w:szCs w:val="28"/>
        </w:rPr>
        <w:t>7</w:t>
      </w:r>
      <w:r>
        <w:rPr>
          <w:rFonts w:eastAsiaTheme="minorEastAsia"/>
          <w:color w:val="000000" w:themeColor="text1"/>
          <w:sz w:val="28"/>
          <w:szCs w:val="28"/>
        </w:rPr>
        <w:t xml:space="preserve">原先的检测和控制更名为第9章智慧控制，根据自动化控制和网络信息化发展的趋势，更新检测和自动化控制的要求，并新增智能化和信息化的要求，以实现智慧控制的目标。 </w:t>
      </w:r>
    </w:p>
    <w:p>
      <w:pPr>
        <w:wordWrap w:val="0"/>
        <w:ind w:firstLine="593" w:firstLineChars="212"/>
        <w:rPr>
          <w:rFonts w:eastAsiaTheme="minorEastAsia"/>
          <w:color w:val="000000" w:themeColor="text1"/>
          <w:kern w:val="0"/>
          <w:sz w:val="28"/>
          <w:szCs w:val="28"/>
        </w:rPr>
      </w:pPr>
      <w:r>
        <w:rPr>
          <w:rFonts w:eastAsiaTheme="minorEastAsia"/>
          <w:color w:val="000000" w:themeColor="text1"/>
          <w:kern w:val="0"/>
          <w:sz w:val="28"/>
          <w:szCs w:val="28"/>
        </w:rPr>
        <w:t>本标准由住房和城乡建设部负责管理，上海市政工程设计研究总院（集团）有限公司负责具体技术内容的解释。执行过程中如有意见或建议，请寄送至上海市政工程设计研究总院（集团）有限公司（地址：上海市中山北二路901号；邮编：200092）。</w:t>
      </w:r>
    </w:p>
    <w:p>
      <w:pPr>
        <w:widowControl/>
        <w:wordWrap w:val="0"/>
        <w:ind w:firstLine="700" w:firstLineChars="250"/>
        <w:jc w:val="left"/>
        <w:rPr>
          <w:rFonts w:eastAsiaTheme="minorEastAsia"/>
          <w:color w:val="000000" w:themeColor="text1"/>
          <w:kern w:val="0"/>
          <w:sz w:val="28"/>
          <w:szCs w:val="28"/>
        </w:rPr>
      </w:pPr>
    </w:p>
    <w:tbl>
      <w:tblPr>
        <w:tblStyle w:val="25"/>
        <w:tblW w:w="8125" w:type="dxa"/>
        <w:tblInd w:w="675" w:type="dxa"/>
        <w:tblLayout w:type="fixed"/>
        <w:tblCellMar>
          <w:top w:w="0" w:type="dxa"/>
          <w:left w:w="108" w:type="dxa"/>
          <w:bottom w:w="0" w:type="dxa"/>
          <w:right w:w="108" w:type="dxa"/>
        </w:tblCellMar>
      </w:tblPr>
      <w:tblGrid>
        <w:gridCol w:w="2416"/>
        <w:gridCol w:w="451"/>
        <w:gridCol w:w="41"/>
        <w:gridCol w:w="236"/>
        <w:gridCol w:w="970"/>
        <w:gridCol w:w="276"/>
        <w:gridCol w:w="970"/>
        <w:gridCol w:w="276"/>
        <w:gridCol w:w="970"/>
        <w:gridCol w:w="276"/>
        <w:gridCol w:w="965"/>
        <w:gridCol w:w="237"/>
        <w:gridCol w:w="41"/>
      </w:tblGrid>
      <w:tr>
        <w:tblPrEx>
          <w:tblLayout w:type="fixed"/>
          <w:tblCellMar>
            <w:top w:w="0" w:type="dxa"/>
            <w:left w:w="108" w:type="dxa"/>
            <w:bottom w:w="0" w:type="dxa"/>
            <w:right w:w="108" w:type="dxa"/>
          </w:tblCellMar>
        </w:tblPrEx>
        <w:trPr>
          <w:gridAfter w:val="1"/>
          <w:wAfter w:w="41" w:type="dxa"/>
          <w:trHeight w:val="567" w:hRule="exact"/>
        </w:trPr>
        <w:tc>
          <w:tcPr>
            <w:tcW w:w="2908" w:type="dxa"/>
            <w:gridSpan w:val="3"/>
            <w:shd w:val="clear" w:color="auto" w:fill="auto"/>
            <w:vAlign w:val="bottom"/>
          </w:tcPr>
          <w:p>
            <w:pPr>
              <w:widowControl/>
              <w:wordWrap w:val="0"/>
              <w:rPr>
                <w:rFonts w:eastAsiaTheme="minorEastAsia"/>
                <w:b/>
                <w:bCs/>
                <w:color w:val="000000" w:themeColor="text1"/>
                <w:kern w:val="0"/>
                <w:sz w:val="28"/>
                <w:szCs w:val="28"/>
              </w:rPr>
            </w:pPr>
            <w:r>
              <w:rPr>
                <w:rFonts w:hint="eastAsia" w:eastAsiaTheme="minorEastAsia"/>
                <w:b/>
                <w:bCs/>
                <w:color w:val="000000" w:themeColor="text1"/>
                <w:kern w:val="0"/>
                <w:sz w:val="28"/>
                <w:szCs w:val="28"/>
              </w:rPr>
              <w:t>本标准</w:t>
            </w:r>
            <w:r>
              <w:rPr>
                <w:rFonts w:eastAsiaTheme="minorEastAsia"/>
                <w:b/>
                <w:bCs/>
                <w:color w:val="000000" w:themeColor="text1"/>
                <w:kern w:val="0"/>
                <w:sz w:val="28"/>
                <w:szCs w:val="28"/>
              </w:rPr>
              <w:t>主编单位：</w:t>
            </w:r>
          </w:p>
        </w:tc>
        <w:tc>
          <w:tcPr>
            <w:tcW w:w="5176" w:type="dxa"/>
            <w:gridSpan w:val="9"/>
            <w:shd w:val="clear" w:color="auto" w:fill="auto"/>
            <w:vAlign w:val="center"/>
          </w:tcPr>
          <w:p>
            <w:pPr>
              <w:widowControl/>
              <w:wordWrap w:val="0"/>
              <w:jc w:val="left"/>
              <w:rPr>
                <w:rFonts w:eastAsiaTheme="minorEastAsia"/>
                <w:color w:val="000000" w:themeColor="text1"/>
                <w:kern w:val="0"/>
                <w:sz w:val="28"/>
                <w:szCs w:val="28"/>
              </w:rPr>
            </w:pPr>
            <w:r>
              <w:rPr>
                <w:rFonts w:eastAsiaTheme="minorEastAsia"/>
                <w:color w:val="000000" w:themeColor="text1"/>
                <w:kern w:val="0"/>
                <w:sz w:val="28"/>
                <w:szCs w:val="28"/>
              </w:rPr>
              <w:t>上海市政工程设计研究总院（集团）有限公司</w:t>
            </w:r>
          </w:p>
        </w:tc>
      </w:tr>
      <w:tr>
        <w:tblPrEx>
          <w:tblLayout w:type="fixed"/>
          <w:tblCellMar>
            <w:top w:w="0" w:type="dxa"/>
            <w:left w:w="108" w:type="dxa"/>
            <w:bottom w:w="0" w:type="dxa"/>
            <w:right w:w="108" w:type="dxa"/>
          </w:tblCellMar>
        </w:tblPrEx>
        <w:trPr>
          <w:gridAfter w:val="1"/>
          <w:wAfter w:w="41" w:type="dxa"/>
          <w:trHeight w:val="567" w:hRule="exact"/>
        </w:trPr>
        <w:tc>
          <w:tcPr>
            <w:tcW w:w="2908" w:type="dxa"/>
            <w:gridSpan w:val="3"/>
            <w:shd w:val="clear" w:color="auto" w:fill="auto"/>
            <w:vAlign w:val="bottom"/>
          </w:tcPr>
          <w:p>
            <w:pPr>
              <w:widowControl/>
              <w:wordWrap w:val="0"/>
              <w:rPr>
                <w:rFonts w:eastAsiaTheme="minorEastAsia"/>
                <w:b/>
                <w:bCs/>
                <w:color w:val="000000" w:themeColor="text1"/>
                <w:kern w:val="0"/>
                <w:sz w:val="28"/>
                <w:szCs w:val="28"/>
              </w:rPr>
            </w:pPr>
            <w:r>
              <w:rPr>
                <w:rFonts w:hint="eastAsia" w:eastAsiaTheme="minorEastAsia"/>
                <w:b/>
                <w:bCs/>
                <w:color w:val="000000" w:themeColor="text1"/>
                <w:kern w:val="0"/>
                <w:sz w:val="28"/>
                <w:szCs w:val="28"/>
              </w:rPr>
              <w:t>本标准</w:t>
            </w:r>
            <w:r>
              <w:rPr>
                <w:rFonts w:eastAsiaTheme="minorEastAsia"/>
                <w:b/>
                <w:bCs/>
                <w:color w:val="000000" w:themeColor="text1"/>
                <w:kern w:val="0"/>
                <w:sz w:val="28"/>
                <w:szCs w:val="28"/>
              </w:rPr>
              <w:t>参编单位：</w:t>
            </w:r>
          </w:p>
        </w:tc>
        <w:tc>
          <w:tcPr>
            <w:tcW w:w="5176" w:type="dxa"/>
            <w:gridSpan w:val="9"/>
            <w:shd w:val="clear" w:color="auto" w:fill="auto"/>
          </w:tcPr>
          <w:p>
            <w:pPr>
              <w:widowControl/>
              <w:wordWrap w:val="0"/>
              <w:jc w:val="left"/>
              <w:rPr>
                <w:rFonts w:eastAsiaTheme="minorEastAsia"/>
                <w:color w:val="000000" w:themeColor="text1"/>
                <w:sz w:val="28"/>
                <w:szCs w:val="28"/>
              </w:rPr>
            </w:pPr>
            <w:r>
              <w:rPr>
                <w:rFonts w:eastAsiaTheme="minorEastAsia"/>
                <w:color w:val="000000" w:themeColor="text1"/>
                <w:kern w:val="0"/>
                <w:sz w:val="28"/>
                <w:szCs w:val="28"/>
              </w:rPr>
              <w:t>北京市市政工程设计研究总院</w:t>
            </w:r>
          </w:p>
        </w:tc>
      </w:tr>
      <w:tr>
        <w:tblPrEx>
          <w:tblLayout w:type="fixed"/>
          <w:tblCellMar>
            <w:top w:w="0" w:type="dxa"/>
            <w:left w:w="108" w:type="dxa"/>
            <w:bottom w:w="0" w:type="dxa"/>
            <w:right w:w="108" w:type="dxa"/>
          </w:tblCellMar>
        </w:tblPrEx>
        <w:trPr>
          <w:gridAfter w:val="1"/>
          <w:wAfter w:w="41" w:type="dxa"/>
          <w:trHeight w:val="567" w:hRule="exact"/>
        </w:trPr>
        <w:tc>
          <w:tcPr>
            <w:tcW w:w="2908" w:type="dxa"/>
            <w:gridSpan w:val="3"/>
            <w:shd w:val="clear" w:color="auto" w:fill="auto"/>
            <w:vAlign w:val="bottom"/>
          </w:tcPr>
          <w:p>
            <w:pPr>
              <w:widowControl/>
              <w:wordWrap w:val="0"/>
              <w:rPr>
                <w:rFonts w:eastAsiaTheme="minorEastAsia"/>
                <w:color w:val="000000" w:themeColor="text1"/>
                <w:kern w:val="0"/>
                <w:sz w:val="28"/>
                <w:szCs w:val="28"/>
              </w:rPr>
            </w:pPr>
          </w:p>
        </w:tc>
        <w:tc>
          <w:tcPr>
            <w:tcW w:w="5176" w:type="dxa"/>
            <w:gridSpan w:val="9"/>
            <w:shd w:val="clear" w:color="auto" w:fill="auto"/>
          </w:tcPr>
          <w:p>
            <w:pPr>
              <w:widowControl/>
              <w:wordWrap w:val="0"/>
              <w:jc w:val="left"/>
              <w:rPr>
                <w:rFonts w:eastAsiaTheme="minorEastAsia"/>
                <w:color w:val="000000" w:themeColor="text1"/>
                <w:kern w:val="0"/>
                <w:sz w:val="28"/>
                <w:szCs w:val="28"/>
              </w:rPr>
            </w:pPr>
            <w:r>
              <w:rPr>
                <w:rFonts w:eastAsiaTheme="minorEastAsia"/>
                <w:color w:val="000000" w:themeColor="text1"/>
                <w:kern w:val="0"/>
                <w:sz w:val="28"/>
                <w:szCs w:val="28"/>
              </w:rPr>
              <w:t>天津市市政工程设计研究院</w:t>
            </w:r>
          </w:p>
        </w:tc>
      </w:tr>
      <w:tr>
        <w:tblPrEx>
          <w:tblLayout w:type="fixed"/>
          <w:tblCellMar>
            <w:top w:w="0" w:type="dxa"/>
            <w:left w:w="108" w:type="dxa"/>
            <w:bottom w:w="0" w:type="dxa"/>
            <w:right w:w="108" w:type="dxa"/>
          </w:tblCellMar>
        </w:tblPrEx>
        <w:trPr>
          <w:gridAfter w:val="1"/>
          <w:wAfter w:w="41" w:type="dxa"/>
          <w:trHeight w:val="567" w:hRule="exact"/>
        </w:trPr>
        <w:tc>
          <w:tcPr>
            <w:tcW w:w="2908" w:type="dxa"/>
            <w:gridSpan w:val="3"/>
            <w:shd w:val="clear" w:color="auto" w:fill="auto"/>
            <w:vAlign w:val="bottom"/>
          </w:tcPr>
          <w:p>
            <w:pPr>
              <w:widowControl/>
              <w:wordWrap w:val="0"/>
              <w:rPr>
                <w:rFonts w:eastAsiaTheme="minorEastAsia"/>
                <w:color w:val="000000" w:themeColor="text1"/>
                <w:kern w:val="0"/>
                <w:sz w:val="28"/>
                <w:szCs w:val="28"/>
              </w:rPr>
            </w:pPr>
          </w:p>
        </w:tc>
        <w:tc>
          <w:tcPr>
            <w:tcW w:w="5176" w:type="dxa"/>
            <w:gridSpan w:val="9"/>
            <w:shd w:val="clear" w:color="auto" w:fill="auto"/>
          </w:tcPr>
          <w:p>
            <w:pPr>
              <w:widowControl/>
              <w:wordWrap w:val="0"/>
              <w:jc w:val="left"/>
              <w:rPr>
                <w:rFonts w:eastAsiaTheme="minorEastAsia"/>
                <w:color w:val="000000" w:themeColor="text1"/>
                <w:kern w:val="0"/>
                <w:sz w:val="28"/>
                <w:szCs w:val="28"/>
              </w:rPr>
            </w:pPr>
            <w:r>
              <w:rPr>
                <w:rFonts w:eastAsiaTheme="minorEastAsia"/>
                <w:color w:val="000000" w:themeColor="text1"/>
                <w:kern w:val="0"/>
                <w:sz w:val="28"/>
                <w:szCs w:val="28"/>
              </w:rPr>
              <w:t>中国市政工程中南设计研究总院有限公司</w:t>
            </w:r>
          </w:p>
        </w:tc>
      </w:tr>
      <w:tr>
        <w:tblPrEx>
          <w:tblLayout w:type="fixed"/>
          <w:tblCellMar>
            <w:top w:w="0" w:type="dxa"/>
            <w:left w:w="108" w:type="dxa"/>
            <w:bottom w:w="0" w:type="dxa"/>
            <w:right w:w="108" w:type="dxa"/>
          </w:tblCellMar>
        </w:tblPrEx>
        <w:trPr>
          <w:gridAfter w:val="1"/>
          <w:wAfter w:w="41" w:type="dxa"/>
          <w:trHeight w:val="567" w:hRule="exact"/>
        </w:trPr>
        <w:tc>
          <w:tcPr>
            <w:tcW w:w="2908" w:type="dxa"/>
            <w:gridSpan w:val="3"/>
            <w:shd w:val="clear" w:color="auto" w:fill="auto"/>
            <w:vAlign w:val="bottom"/>
          </w:tcPr>
          <w:p>
            <w:pPr>
              <w:widowControl/>
              <w:wordWrap w:val="0"/>
              <w:rPr>
                <w:rFonts w:eastAsiaTheme="minorEastAsia"/>
                <w:color w:val="000000" w:themeColor="text1"/>
                <w:kern w:val="0"/>
                <w:sz w:val="28"/>
                <w:szCs w:val="28"/>
              </w:rPr>
            </w:pPr>
          </w:p>
        </w:tc>
        <w:tc>
          <w:tcPr>
            <w:tcW w:w="5176" w:type="dxa"/>
            <w:gridSpan w:val="9"/>
            <w:shd w:val="clear" w:color="auto" w:fill="auto"/>
          </w:tcPr>
          <w:p>
            <w:pPr>
              <w:widowControl/>
              <w:wordWrap w:val="0"/>
              <w:jc w:val="left"/>
              <w:rPr>
                <w:rFonts w:eastAsiaTheme="minorEastAsia"/>
                <w:color w:val="000000" w:themeColor="text1"/>
                <w:kern w:val="0"/>
                <w:sz w:val="28"/>
                <w:szCs w:val="28"/>
              </w:rPr>
            </w:pPr>
            <w:r>
              <w:rPr>
                <w:rFonts w:eastAsiaTheme="minorEastAsia"/>
                <w:color w:val="000000" w:themeColor="text1"/>
                <w:kern w:val="0"/>
                <w:sz w:val="28"/>
                <w:szCs w:val="28"/>
              </w:rPr>
              <w:t>中国市政工程西南设计研究总院</w:t>
            </w:r>
          </w:p>
        </w:tc>
      </w:tr>
      <w:tr>
        <w:tblPrEx>
          <w:tblLayout w:type="fixed"/>
        </w:tblPrEx>
        <w:trPr>
          <w:gridAfter w:val="1"/>
          <w:wAfter w:w="41" w:type="dxa"/>
          <w:trHeight w:val="567" w:hRule="exact"/>
        </w:trPr>
        <w:tc>
          <w:tcPr>
            <w:tcW w:w="2908" w:type="dxa"/>
            <w:gridSpan w:val="3"/>
            <w:shd w:val="clear" w:color="auto" w:fill="auto"/>
            <w:vAlign w:val="bottom"/>
          </w:tcPr>
          <w:p>
            <w:pPr>
              <w:widowControl/>
              <w:wordWrap w:val="0"/>
              <w:rPr>
                <w:rFonts w:eastAsiaTheme="minorEastAsia"/>
                <w:color w:val="000000" w:themeColor="text1"/>
                <w:kern w:val="0"/>
                <w:sz w:val="28"/>
                <w:szCs w:val="28"/>
              </w:rPr>
            </w:pPr>
          </w:p>
        </w:tc>
        <w:tc>
          <w:tcPr>
            <w:tcW w:w="5176" w:type="dxa"/>
            <w:gridSpan w:val="9"/>
            <w:shd w:val="clear" w:color="auto" w:fill="auto"/>
          </w:tcPr>
          <w:p>
            <w:pPr>
              <w:widowControl/>
              <w:wordWrap w:val="0"/>
              <w:jc w:val="left"/>
              <w:rPr>
                <w:rFonts w:eastAsiaTheme="minorEastAsia"/>
                <w:color w:val="000000" w:themeColor="text1"/>
                <w:kern w:val="0"/>
                <w:sz w:val="28"/>
                <w:szCs w:val="28"/>
              </w:rPr>
            </w:pPr>
            <w:r>
              <w:rPr>
                <w:rFonts w:eastAsiaTheme="minorEastAsia"/>
                <w:color w:val="000000" w:themeColor="text1"/>
                <w:kern w:val="0"/>
                <w:sz w:val="28"/>
                <w:szCs w:val="28"/>
              </w:rPr>
              <w:t>中国市政工程东北设计研究总院</w:t>
            </w:r>
          </w:p>
        </w:tc>
      </w:tr>
      <w:tr>
        <w:tblPrEx>
          <w:tblLayout w:type="fixed"/>
          <w:tblCellMar>
            <w:top w:w="0" w:type="dxa"/>
            <w:left w:w="108" w:type="dxa"/>
            <w:bottom w:w="0" w:type="dxa"/>
            <w:right w:w="108" w:type="dxa"/>
          </w:tblCellMar>
        </w:tblPrEx>
        <w:trPr>
          <w:gridAfter w:val="1"/>
          <w:wAfter w:w="41" w:type="dxa"/>
          <w:trHeight w:val="567" w:hRule="exact"/>
        </w:trPr>
        <w:tc>
          <w:tcPr>
            <w:tcW w:w="2908" w:type="dxa"/>
            <w:gridSpan w:val="3"/>
            <w:shd w:val="clear" w:color="auto" w:fill="auto"/>
            <w:vAlign w:val="bottom"/>
          </w:tcPr>
          <w:p>
            <w:pPr>
              <w:widowControl/>
              <w:wordWrap w:val="0"/>
              <w:rPr>
                <w:rFonts w:eastAsiaTheme="minorEastAsia"/>
                <w:color w:val="000000" w:themeColor="text1"/>
                <w:kern w:val="0"/>
                <w:sz w:val="28"/>
                <w:szCs w:val="28"/>
              </w:rPr>
            </w:pPr>
          </w:p>
        </w:tc>
        <w:tc>
          <w:tcPr>
            <w:tcW w:w="5176" w:type="dxa"/>
            <w:gridSpan w:val="9"/>
            <w:shd w:val="clear" w:color="auto" w:fill="auto"/>
          </w:tcPr>
          <w:p>
            <w:pPr>
              <w:widowControl/>
              <w:wordWrap w:val="0"/>
              <w:jc w:val="left"/>
              <w:rPr>
                <w:rFonts w:eastAsiaTheme="minorEastAsia"/>
                <w:color w:val="000000" w:themeColor="text1"/>
                <w:kern w:val="0"/>
                <w:sz w:val="28"/>
                <w:szCs w:val="28"/>
              </w:rPr>
            </w:pPr>
            <w:r>
              <w:rPr>
                <w:rFonts w:eastAsiaTheme="minorEastAsia"/>
                <w:color w:val="000000" w:themeColor="text1"/>
                <w:kern w:val="0"/>
                <w:sz w:val="28"/>
                <w:szCs w:val="28"/>
              </w:rPr>
              <w:t>中国市政工程西北设计研究院有限公司</w:t>
            </w:r>
          </w:p>
        </w:tc>
      </w:tr>
      <w:tr>
        <w:tblPrEx>
          <w:tblLayout w:type="fixed"/>
          <w:tblCellMar>
            <w:top w:w="0" w:type="dxa"/>
            <w:left w:w="108" w:type="dxa"/>
            <w:bottom w:w="0" w:type="dxa"/>
            <w:right w:w="108" w:type="dxa"/>
          </w:tblCellMar>
        </w:tblPrEx>
        <w:trPr>
          <w:gridAfter w:val="1"/>
          <w:wAfter w:w="41" w:type="dxa"/>
          <w:trHeight w:val="567" w:hRule="exact"/>
        </w:trPr>
        <w:tc>
          <w:tcPr>
            <w:tcW w:w="2908" w:type="dxa"/>
            <w:gridSpan w:val="3"/>
            <w:shd w:val="clear" w:color="auto" w:fill="auto"/>
            <w:vAlign w:val="bottom"/>
          </w:tcPr>
          <w:p>
            <w:pPr>
              <w:widowControl/>
              <w:wordWrap w:val="0"/>
              <w:rPr>
                <w:rFonts w:eastAsiaTheme="minorEastAsia"/>
                <w:color w:val="000000" w:themeColor="text1"/>
                <w:kern w:val="0"/>
                <w:sz w:val="28"/>
                <w:szCs w:val="28"/>
              </w:rPr>
            </w:pPr>
          </w:p>
        </w:tc>
        <w:tc>
          <w:tcPr>
            <w:tcW w:w="5176" w:type="dxa"/>
            <w:gridSpan w:val="9"/>
            <w:shd w:val="clear" w:color="auto" w:fill="auto"/>
          </w:tcPr>
          <w:p>
            <w:pPr>
              <w:widowControl/>
              <w:wordWrap w:val="0"/>
              <w:jc w:val="left"/>
              <w:rPr>
                <w:rFonts w:eastAsiaTheme="minorEastAsia"/>
                <w:color w:val="000000" w:themeColor="text1"/>
                <w:kern w:val="0"/>
                <w:sz w:val="28"/>
                <w:szCs w:val="28"/>
              </w:rPr>
            </w:pPr>
            <w:r>
              <w:rPr>
                <w:rFonts w:eastAsiaTheme="minorEastAsia"/>
                <w:color w:val="000000" w:themeColor="text1"/>
                <w:kern w:val="0"/>
                <w:sz w:val="28"/>
                <w:szCs w:val="28"/>
              </w:rPr>
              <w:t>中国市政工程华北设计研究总院</w:t>
            </w:r>
          </w:p>
        </w:tc>
      </w:tr>
      <w:tr>
        <w:tblPrEx>
          <w:tblLayout w:type="fixed"/>
          <w:tblCellMar>
            <w:top w:w="0" w:type="dxa"/>
            <w:left w:w="108" w:type="dxa"/>
            <w:bottom w:w="0" w:type="dxa"/>
            <w:right w:w="108" w:type="dxa"/>
          </w:tblCellMar>
        </w:tblPrEx>
        <w:trPr>
          <w:trHeight w:val="539" w:hRule="exact"/>
        </w:trPr>
        <w:tc>
          <w:tcPr>
            <w:tcW w:w="2908" w:type="dxa"/>
            <w:gridSpan w:val="3"/>
            <w:shd w:val="clear" w:color="auto" w:fill="auto"/>
            <w:vAlign w:val="center"/>
          </w:tcPr>
          <w:p>
            <w:pPr>
              <w:widowControl/>
              <w:wordWrap w:val="0"/>
              <w:spacing w:line="520" w:lineRule="exact"/>
              <w:rPr>
                <w:rFonts w:eastAsiaTheme="minorEastAsia"/>
                <w:b/>
                <w:bCs/>
                <w:color w:val="000000" w:themeColor="text1"/>
                <w:kern w:val="0"/>
                <w:sz w:val="28"/>
                <w:szCs w:val="28"/>
              </w:rPr>
            </w:pPr>
            <w:r>
              <w:rPr>
                <w:rFonts w:hint="eastAsia" w:eastAsiaTheme="minorEastAsia"/>
                <w:b/>
                <w:bCs/>
                <w:color w:val="000000" w:themeColor="text1"/>
                <w:kern w:val="0"/>
                <w:sz w:val="28"/>
                <w:szCs w:val="28"/>
              </w:rPr>
              <w:t>本标准</w:t>
            </w:r>
            <w:r>
              <w:rPr>
                <w:rFonts w:eastAsiaTheme="minorEastAsia"/>
                <w:b/>
                <w:bCs/>
                <w:color w:val="000000" w:themeColor="text1"/>
                <w:kern w:val="0"/>
                <w:sz w:val="28"/>
                <w:szCs w:val="28"/>
              </w:rPr>
              <w:t>主要起草人</w:t>
            </w:r>
            <w:r>
              <w:rPr>
                <w:rFonts w:hint="eastAsia" w:eastAsiaTheme="minorEastAsia"/>
                <w:b/>
                <w:bCs/>
                <w:color w:val="000000" w:themeColor="text1"/>
                <w:kern w:val="0"/>
                <w:sz w:val="28"/>
                <w:szCs w:val="28"/>
              </w:rPr>
              <w:t>员</w:t>
            </w:r>
            <w:r>
              <w:rPr>
                <w:rFonts w:eastAsiaTheme="minorEastAsia"/>
                <w:b/>
                <w:bCs/>
                <w:color w:val="000000" w:themeColor="text1"/>
                <w:kern w:val="0"/>
                <w:sz w:val="28"/>
                <w:szCs w:val="28"/>
              </w:rPr>
              <w:t>：</w:t>
            </w:r>
          </w:p>
        </w:tc>
        <w:tc>
          <w:tcPr>
            <w:tcW w:w="236" w:type="dxa"/>
            <w:shd w:val="clear" w:color="auto" w:fill="auto"/>
            <w:vAlign w:val="center"/>
          </w:tcPr>
          <w:p>
            <w:pPr>
              <w:widowControl/>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3" w:type="dxa"/>
            <w:gridSpan w:val="3"/>
            <w:shd w:val="clear" w:color="auto" w:fill="auto"/>
            <w:vAlign w:val="center"/>
          </w:tcPr>
          <w:p>
            <w:pPr>
              <w:wordWrap w:val="0"/>
              <w:spacing w:line="520" w:lineRule="exact"/>
              <w:rPr>
                <w:rFonts w:eastAsiaTheme="minorEastAsia"/>
                <w:color w:val="000000" w:themeColor="text1"/>
                <w:kern w:val="0"/>
                <w:sz w:val="28"/>
                <w:szCs w:val="28"/>
              </w:rPr>
            </w:pPr>
          </w:p>
        </w:tc>
      </w:tr>
      <w:tr>
        <w:tblPrEx>
          <w:tblLayout w:type="fixed"/>
          <w:tblCellMar>
            <w:top w:w="0" w:type="dxa"/>
            <w:left w:w="108" w:type="dxa"/>
            <w:bottom w:w="0" w:type="dxa"/>
            <w:right w:w="108" w:type="dxa"/>
          </w:tblCellMar>
        </w:tblPrEx>
        <w:trPr>
          <w:gridAfter w:val="2"/>
          <w:wAfter w:w="278" w:type="dxa"/>
          <w:trHeight w:val="539" w:hRule="exact"/>
        </w:trPr>
        <w:tc>
          <w:tcPr>
            <w:tcW w:w="2416" w:type="dxa"/>
            <w:shd w:val="clear" w:color="auto" w:fill="auto"/>
            <w:vAlign w:val="center"/>
          </w:tcPr>
          <w:p>
            <w:pPr>
              <w:widowControl/>
              <w:wordWrap w:val="0"/>
              <w:spacing w:line="520" w:lineRule="exact"/>
              <w:rPr>
                <w:rFonts w:eastAsiaTheme="minorEastAsia"/>
                <w:b/>
                <w:bCs/>
                <w:color w:val="000000" w:themeColor="text1"/>
                <w:kern w:val="0"/>
                <w:sz w:val="28"/>
                <w:szCs w:val="28"/>
              </w:rPr>
            </w:pPr>
          </w:p>
        </w:tc>
        <w:tc>
          <w:tcPr>
            <w:tcW w:w="451" w:type="dxa"/>
            <w:shd w:val="clear" w:color="auto" w:fill="auto"/>
            <w:vAlign w:val="center"/>
          </w:tcPr>
          <w:p>
            <w:pPr>
              <w:widowControl/>
              <w:wordWrap w:val="0"/>
              <w:spacing w:line="520" w:lineRule="exact"/>
              <w:rPr>
                <w:rFonts w:eastAsiaTheme="minorEastAsia"/>
                <w:color w:val="000000" w:themeColor="text1"/>
                <w:kern w:val="0"/>
                <w:sz w:val="28"/>
                <w:szCs w:val="28"/>
              </w:rPr>
            </w:pPr>
          </w:p>
        </w:tc>
        <w:tc>
          <w:tcPr>
            <w:tcW w:w="1247" w:type="dxa"/>
            <w:gridSpan w:val="3"/>
            <w:shd w:val="clear" w:color="auto" w:fill="auto"/>
            <w:vAlign w:val="center"/>
          </w:tcPr>
          <w:p>
            <w:pPr>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1" w:type="dxa"/>
            <w:gridSpan w:val="2"/>
            <w:shd w:val="clear" w:color="auto" w:fill="auto"/>
            <w:vAlign w:val="center"/>
          </w:tcPr>
          <w:p>
            <w:pPr>
              <w:wordWrap w:val="0"/>
              <w:spacing w:line="520" w:lineRule="exact"/>
              <w:rPr>
                <w:rFonts w:eastAsiaTheme="minorEastAsia"/>
                <w:color w:val="000000" w:themeColor="text1"/>
                <w:kern w:val="0"/>
                <w:sz w:val="28"/>
                <w:szCs w:val="28"/>
              </w:rPr>
            </w:pPr>
          </w:p>
        </w:tc>
      </w:tr>
      <w:tr>
        <w:tblPrEx>
          <w:tblLayout w:type="fixed"/>
          <w:tblCellMar>
            <w:top w:w="0" w:type="dxa"/>
            <w:left w:w="108" w:type="dxa"/>
            <w:bottom w:w="0" w:type="dxa"/>
            <w:right w:w="108" w:type="dxa"/>
          </w:tblCellMar>
        </w:tblPrEx>
        <w:trPr>
          <w:trHeight w:val="539" w:hRule="exact"/>
        </w:trPr>
        <w:tc>
          <w:tcPr>
            <w:tcW w:w="2908" w:type="dxa"/>
            <w:gridSpan w:val="3"/>
            <w:shd w:val="clear" w:color="auto" w:fill="auto"/>
            <w:vAlign w:val="center"/>
          </w:tcPr>
          <w:p>
            <w:pPr>
              <w:widowControl/>
              <w:wordWrap w:val="0"/>
              <w:spacing w:line="520" w:lineRule="exact"/>
              <w:rPr>
                <w:rFonts w:eastAsiaTheme="minorEastAsia"/>
                <w:b/>
                <w:bCs/>
                <w:color w:val="000000" w:themeColor="text1"/>
                <w:kern w:val="0"/>
                <w:sz w:val="28"/>
                <w:szCs w:val="28"/>
              </w:rPr>
            </w:pPr>
          </w:p>
        </w:tc>
        <w:tc>
          <w:tcPr>
            <w:tcW w:w="236" w:type="dxa"/>
            <w:shd w:val="clear" w:color="auto" w:fill="auto"/>
            <w:vAlign w:val="center"/>
          </w:tcPr>
          <w:p>
            <w:pPr>
              <w:widowControl/>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3" w:type="dxa"/>
            <w:gridSpan w:val="3"/>
            <w:shd w:val="clear" w:color="auto" w:fill="auto"/>
            <w:vAlign w:val="center"/>
          </w:tcPr>
          <w:p>
            <w:pPr>
              <w:wordWrap w:val="0"/>
              <w:spacing w:line="520" w:lineRule="exact"/>
              <w:rPr>
                <w:rFonts w:eastAsiaTheme="minorEastAsia"/>
                <w:color w:val="000000" w:themeColor="text1"/>
                <w:kern w:val="0"/>
                <w:sz w:val="28"/>
                <w:szCs w:val="28"/>
              </w:rPr>
            </w:pPr>
          </w:p>
        </w:tc>
      </w:tr>
      <w:tr>
        <w:tblPrEx>
          <w:tblLayout w:type="fixed"/>
        </w:tblPrEx>
        <w:trPr>
          <w:trHeight w:val="539" w:hRule="exact"/>
        </w:trPr>
        <w:tc>
          <w:tcPr>
            <w:tcW w:w="2908" w:type="dxa"/>
            <w:gridSpan w:val="3"/>
            <w:shd w:val="clear" w:color="auto" w:fill="auto"/>
            <w:vAlign w:val="center"/>
          </w:tcPr>
          <w:p>
            <w:pPr>
              <w:widowControl/>
              <w:wordWrap w:val="0"/>
              <w:spacing w:line="520" w:lineRule="exact"/>
              <w:rPr>
                <w:rFonts w:eastAsiaTheme="minorEastAsia"/>
                <w:b/>
                <w:bCs/>
                <w:color w:val="000000" w:themeColor="text1"/>
                <w:kern w:val="0"/>
                <w:sz w:val="28"/>
                <w:szCs w:val="28"/>
              </w:rPr>
            </w:pPr>
          </w:p>
        </w:tc>
        <w:tc>
          <w:tcPr>
            <w:tcW w:w="236" w:type="dxa"/>
            <w:shd w:val="clear" w:color="auto" w:fill="auto"/>
            <w:vAlign w:val="center"/>
          </w:tcPr>
          <w:p>
            <w:pPr>
              <w:widowControl/>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3" w:type="dxa"/>
            <w:gridSpan w:val="3"/>
            <w:shd w:val="clear" w:color="auto" w:fill="auto"/>
            <w:vAlign w:val="center"/>
          </w:tcPr>
          <w:p>
            <w:pPr>
              <w:wordWrap w:val="0"/>
              <w:spacing w:line="520" w:lineRule="exact"/>
              <w:rPr>
                <w:rFonts w:eastAsiaTheme="minorEastAsia"/>
                <w:color w:val="000000" w:themeColor="text1"/>
                <w:kern w:val="0"/>
                <w:sz w:val="28"/>
                <w:szCs w:val="28"/>
              </w:rPr>
            </w:pPr>
          </w:p>
        </w:tc>
      </w:tr>
      <w:tr>
        <w:tblPrEx>
          <w:tblLayout w:type="fixed"/>
          <w:tblCellMar>
            <w:top w:w="0" w:type="dxa"/>
            <w:left w:w="108" w:type="dxa"/>
            <w:bottom w:w="0" w:type="dxa"/>
            <w:right w:w="108" w:type="dxa"/>
          </w:tblCellMar>
        </w:tblPrEx>
        <w:trPr>
          <w:trHeight w:val="539" w:hRule="exact"/>
        </w:trPr>
        <w:tc>
          <w:tcPr>
            <w:tcW w:w="2908" w:type="dxa"/>
            <w:gridSpan w:val="3"/>
            <w:shd w:val="clear" w:color="auto" w:fill="auto"/>
            <w:vAlign w:val="center"/>
          </w:tcPr>
          <w:p>
            <w:pPr>
              <w:widowControl/>
              <w:wordWrap w:val="0"/>
              <w:spacing w:line="520" w:lineRule="exact"/>
              <w:rPr>
                <w:rFonts w:eastAsiaTheme="minorEastAsia"/>
                <w:b/>
                <w:bCs/>
                <w:color w:val="000000" w:themeColor="text1"/>
                <w:kern w:val="0"/>
                <w:sz w:val="28"/>
                <w:szCs w:val="28"/>
              </w:rPr>
            </w:pPr>
          </w:p>
        </w:tc>
        <w:tc>
          <w:tcPr>
            <w:tcW w:w="236" w:type="dxa"/>
            <w:shd w:val="clear" w:color="auto" w:fill="auto"/>
            <w:vAlign w:val="center"/>
          </w:tcPr>
          <w:p>
            <w:pPr>
              <w:widowControl/>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3" w:type="dxa"/>
            <w:gridSpan w:val="3"/>
            <w:shd w:val="clear" w:color="auto" w:fill="auto"/>
            <w:vAlign w:val="center"/>
          </w:tcPr>
          <w:p>
            <w:pPr>
              <w:wordWrap w:val="0"/>
              <w:spacing w:line="520" w:lineRule="exact"/>
              <w:rPr>
                <w:rFonts w:eastAsiaTheme="minorEastAsia"/>
                <w:color w:val="000000" w:themeColor="text1"/>
                <w:kern w:val="0"/>
                <w:sz w:val="28"/>
                <w:szCs w:val="28"/>
              </w:rPr>
            </w:pPr>
          </w:p>
        </w:tc>
      </w:tr>
      <w:tr>
        <w:tblPrEx>
          <w:tblLayout w:type="fixed"/>
          <w:tblCellMar>
            <w:top w:w="0" w:type="dxa"/>
            <w:left w:w="108" w:type="dxa"/>
            <w:bottom w:w="0" w:type="dxa"/>
            <w:right w:w="108" w:type="dxa"/>
          </w:tblCellMar>
        </w:tblPrEx>
        <w:trPr>
          <w:trHeight w:val="539" w:hRule="exact"/>
        </w:trPr>
        <w:tc>
          <w:tcPr>
            <w:tcW w:w="2908" w:type="dxa"/>
            <w:gridSpan w:val="3"/>
            <w:shd w:val="clear" w:color="auto" w:fill="auto"/>
            <w:vAlign w:val="center"/>
          </w:tcPr>
          <w:p>
            <w:pPr>
              <w:widowControl/>
              <w:wordWrap w:val="0"/>
              <w:spacing w:line="520" w:lineRule="exact"/>
              <w:rPr>
                <w:rFonts w:eastAsiaTheme="minorEastAsia"/>
                <w:b/>
                <w:bCs/>
                <w:color w:val="000000" w:themeColor="text1"/>
                <w:kern w:val="0"/>
                <w:sz w:val="28"/>
                <w:szCs w:val="28"/>
              </w:rPr>
            </w:pPr>
          </w:p>
        </w:tc>
        <w:tc>
          <w:tcPr>
            <w:tcW w:w="236" w:type="dxa"/>
            <w:shd w:val="clear" w:color="auto" w:fill="auto"/>
            <w:vAlign w:val="center"/>
          </w:tcPr>
          <w:p>
            <w:pPr>
              <w:widowControl/>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3" w:type="dxa"/>
            <w:gridSpan w:val="3"/>
            <w:shd w:val="clear" w:color="auto" w:fill="auto"/>
            <w:vAlign w:val="center"/>
          </w:tcPr>
          <w:p>
            <w:pPr>
              <w:wordWrap w:val="0"/>
              <w:spacing w:line="520" w:lineRule="exact"/>
              <w:rPr>
                <w:rFonts w:eastAsiaTheme="minorEastAsia"/>
                <w:color w:val="000000" w:themeColor="text1"/>
                <w:kern w:val="0"/>
                <w:sz w:val="28"/>
                <w:szCs w:val="28"/>
              </w:rPr>
            </w:pPr>
          </w:p>
        </w:tc>
      </w:tr>
      <w:tr>
        <w:tblPrEx>
          <w:tblLayout w:type="fixed"/>
          <w:tblCellMar>
            <w:top w:w="0" w:type="dxa"/>
            <w:left w:w="108" w:type="dxa"/>
            <w:bottom w:w="0" w:type="dxa"/>
            <w:right w:w="108" w:type="dxa"/>
          </w:tblCellMar>
        </w:tblPrEx>
        <w:trPr>
          <w:trHeight w:val="539" w:hRule="exact"/>
        </w:trPr>
        <w:tc>
          <w:tcPr>
            <w:tcW w:w="2908" w:type="dxa"/>
            <w:gridSpan w:val="3"/>
            <w:shd w:val="clear" w:color="auto" w:fill="auto"/>
            <w:vAlign w:val="center"/>
          </w:tcPr>
          <w:p>
            <w:pPr>
              <w:widowControl/>
              <w:wordWrap w:val="0"/>
              <w:spacing w:line="520" w:lineRule="exact"/>
              <w:rPr>
                <w:rFonts w:eastAsiaTheme="minorEastAsia"/>
                <w:b/>
                <w:bCs/>
                <w:color w:val="000000" w:themeColor="text1"/>
                <w:kern w:val="0"/>
                <w:sz w:val="28"/>
                <w:szCs w:val="28"/>
              </w:rPr>
            </w:pPr>
          </w:p>
        </w:tc>
        <w:tc>
          <w:tcPr>
            <w:tcW w:w="236" w:type="dxa"/>
            <w:shd w:val="clear" w:color="auto" w:fill="auto"/>
            <w:vAlign w:val="center"/>
          </w:tcPr>
          <w:p>
            <w:pPr>
              <w:widowControl/>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3" w:type="dxa"/>
            <w:gridSpan w:val="3"/>
            <w:shd w:val="clear" w:color="auto" w:fill="auto"/>
            <w:vAlign w:val="center"/>
          </w:tcPr>
          <w:p>
            <w:pPr>
              <w:wordWrap w:val="0"/>
              <w:spacing w:line="520" w:lineRule="exact"/>
              <w:rPr>
                <w:rFonts w:eastAsiaTheme="minorEastAsia"/>
                <w:color w:val="000000" w:themeColor="text1"/>
                <w:kern w:val="0"/>
                <w:sz w:val="28"/>
                <w:szCs w:val="28"/>
              </w:rPr>
            </w:pPr>
          </w:p>
        </w:tc>
      </w:tr>
      <w:tr>
        <w:tblPrEx>
          <w:tblLayout w:type="fixed"/>
          <w:tblCellMar>
            <w:top w:w="0" w:type="dxa"/>
            <w:left w:w="108" w:type="dxa"/>
            <w:bottom w:w="0" w:type="dxa"/>
            <w:right w:w="108" w:type="dxa"/>
          </w:tblCellMar>
        </w:tblPrEx>
        <w:trPr>
          <w:trHeight w:val="539" w:hRule="exact"/>
        </w:trPr>
        <w:tc>
          <w:tcPr>
            <w:tcW w:w="2908" w:type="dxa"/>
            <w:gridSpan w:val="3"/>
            <w:shd w:val="clear" w:color="auto" w:fill="auto"/>
            <w:vAlign w:val="center"/>
          </w:tcPr>
          <w:p>
            <w:pPr>
              <w:widowControl/>
              <w:wordWrap w:val="0"/>
              <w:spacing w:line="520" w:lineRule="exact"/>
              <w:rPr>
                <w:rFonts w:eastAsiaTheme="minorEastAsia"/>
                <w:b/>
                <w:bCs/>
                <w:color w:val="000000" w:themeColor="text1"/>
                <w:kern w:val="0"/>
                <w:sz w:val="28"/>
                <w:szCs w:val="28"/>
              </w:rPr>
            </w:pPr>
            <w:r>
              <w:rPr>
                <w:rFonts w:hint="eastAsia" w:eastAsiaTheme="minorEastAsia"/>
                <w:b/>
                <w:bCs/>
                <w:color w:val="000000" w:themeColor="text1"/>
                <w:kern w:val="0"/>
                <w:sz w:val="28"/>
                <w:szCs w:val="28"/>
              </w:rPr>
              <w:t>本标准</w:t>
            </w:r>
            <w:r>
              <w:rPr>
                <w:rFonts w:eastAsiaTheme="minorEastAsia"/>
                <w:b/>
                <w:bCs/>
                <w:color w:val="000000" w:themeColor="text1"/>
                <w:kern w:val="0"/>
                <w:sz w:val="28"/>
                <w:szCs w:val="28"/>
              </w:rPr>
              <w:t>主要审查人</w:t>
            </w:r>
            <w:r>
              <w:rPr>
                <w:rFonts w:hint="eastAsia" w:eastAsiaTheme="minorEastAsia"/>
                <w:b/>
                <w:bCs/>
                <w:color w:val="000000" w:themeColor="text1"/>
                <w:kern w:val="0"/>
                <w:sz w:val="28"/>
                <w:szCs w:val="28"/>
              </w:rPr>
              <w:t>员</w:t>
            </w:r>
            <w:r>
              <w:rPr>
                <w:rFonts w:eastAsiaTheme="minorEastAsia"/>
                <w:b/>
                <w:bCs/>
                <w:color w:val="000000" w:themeColor="text1"/>
                <w:kern w:val="0"/>
                <w:sz w:val="28"/>
                <w:szCs w:val="28"/>
              </w:rPr>
              <w:t>：</w:t>
            </w:r>
          </w:p>
        </w:tc>
        <w:tc>
          <w:tcPr>
            <w:tcW w:w="236" w:type="dxa"/>
            <w:shd w:val="clear" w:color="auto" w:fill="auto"/>
            <w:vAlign w:val="center"/>
          </w:tcPr>
          <w:p>
            <w:pPr>
              <w:widowControl/>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3" w:type="dxa"/>
            <w:gridSpan w:val="3"/>
            <w:shd w:val="clear" w:color="auto" w:fill="auto"/>
            <w:vAlign w:val="center"/>
          </w:tcPr>
          <w:p>
            <w:pPr>
              <w:wordWrap w:val="0"/>
              <w:spacing w:line="520" w:lineRule="exact"/>
              <w:rPr>
                <w:rFonts w:eastAsiaTheme="minorEastAsia"/>
                <w:color w:val="000000" w:themeColor="text1"/>
                <w:kern w:val="0"/>
                <w:sz w:val="28"/>
                <w:szCs w:val="28"/>
              </w:rPr>
            </w:pPr>
          </w:p>
        </w:tc>
      </w:tr>
      <w:tr>
        <w:tblPrEx>
          <w:tblLayout w:type="fixed"/>
          <w:tblCellMar>
            <w:top w:w="0" w:type="dxa"/>
            <w:left w:w="108" w:type="dxa"/>
            <w:bottom w:w="0" w:type="dxa"/>
            <w:right w:w="108" w:type="dxa"/>
          </w:tblCellMar>
        </w:tblPrEx>
        <w:trPr>
          <w:trHeight w:val="539" w:hRule="exact"/>
        </w:trPr>
        <w:tc>
          <w:tcPr>
            <w:tcW w:w="2908" w:type="dxa"/>
            <w:gridSpan w:val="3"/>
            <w:shd w:val="clear" w:color="auto" w:fill="auto"/>
            <w:vAlign w:val="center"/>
          </w:tcPr>
          <w:p>
            <w:pPr>
              <w:widowControl/>
              <w:wordWrap w:val="0"/>
              <w:spacing w:line="520" w:lineRule="exact"/>
              <w:rPr>
                <w:rFonts w:eastAsiaTheme="minorEastAsia"/>
                <w:b/>
                <w:bCs/>
                <w:color w:val="000000" w:themeColor="text1"/>
                <w:kern w:val="0"/>
                <w:sz w:val="28"/>
                <w:szCs w:val="28"/>
              </w:rPr>
            </w:pPr>
          </w:p>
        </w:tc>
        <w:tc>
          <w:tcPr>
            <w:tcW w:w="236" w:type="dxa"/>
            <w:shd w:val="clear" w:color="auto" w:fill="auto"/>
            <w:vAlign w:val="center"/>
          </w:tcPr>
          <w:p>
            <w:pPr>
              <w:widowControl/>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6" w:type="dxa"/>
            <w:gridSpan w:val="2"/>
            <w:shd w:val="clear" w:color="auto" w:fill="auto"/>
            <w:vAlign w:val="center"/>
          </w:tcPr>
          <w:p>
            <w:pPr>
              <w:wordWrap w:val="0"/>
              <w:spacing w:line="520" w:lineRule="exact"/>
              <w:rPr>
                <w:rFonts w:eastAsiaTheme="minorEastAsia"/>
                <w:b/>
                <w:bCs/>
                <w:color w:val="000000" w:themeColor="text1"/>
                <w:kern w:val="0"/>
                <w:sz w:val="28"/>
                <w:szCs w:val="28"/>
              </w:rPr>
            </w:pPr>
          </w:p>
        </w:tc>
        <w:tc>
          <w:tcPr>
            <w:tcW w:w="1243" w:type="dxa"/>
            <w:gridSpan w:val="3"/>
            <w:shd w:val="clear" w:color="auto" w:fill="auto"/>
            <w:vAlign w:val="center"/>
          </w:tcPr>
          <w:p>
            <w:pPr>
              <w:wordWrap w:val="0"/>
              <w:spacing w:line="520" w:lineRule="exact"/>
              <w:rPr>
                <w:rFonts w:eastAsiaTheme="minorEastAsia"/>
                <w:color w:val="000000" w:themeColor="text1"/>
                <w:kern w:val="0"/>
                <w:sz w:val="28"/>
                <w:szCs w:val="28"/>
              </w:rPr>
            </w:pPr>
          </w:p>
        </w:tc>
      </w:tr>
    </w:tbl>
    <w:p>
      <w:pPr>
        <w:widowControl/>
        <w:adjustRightInd/>
        <w:spacing w:line="240" w:lineRule="auto"/>
        <w:jc w:val="center"/>
        <w:textAlignment w:val="auto"/>
        <w:rPr>
          <w:rFonts w:eastAsiaTheme="minorEastAsia"/>
          <w:b/>
          <w:sz w:val="28"/>
          <w:szCs w:val="28"/>
        </w:rPr>
      </w:pPr>
      <w:r>
        <w:rPr>
          <w:sz w:val="28"/>
          <w:szCs w:val="28"/>
        </w:rPr>
        <w:br w:type="page"/>
      </w:r>
      <w:r>
        <w:rPr>
          <w:rFonts w:eastAsiaTheme="minorEastAsia"/>
          <w:b/>
          <w:sz w:val="28"/>
          <w:szCs w:val="28"/>
        </w:rPr>
        <w:t>目录</w:t>
      </w:r>
    </w:p>
    <w:p>
      <w:pPr>
        <w:pStyle w:val="17"/>
        <w:tabs>
          <w:tab w:val="right" w:leader="dot" w:pos="8296"/>
        </w:tabs>
        <w:rPr>
          <w:rFonts w:asciiTheme="minorHAnsi" w:hAnsiTheme="minorHAnsi" w:eastAsiaTheme="minorEastAsia" w:cstheme="minorBidi"/>
          <w:szCs w:val="22"/>
        </w:rPr>
      </w:pPr>
      <w:r>
        <w:rPr>
          <w:rFonts w:eastAsiaTheme="minorEastAsia"/>
          <w:sz w:val="24"/>
        </w:rPr>
        <w:fldChar w:fldCharType="begin"/>
      </w:r>
      <w:r>
        <w:rPr>
          <w:rFonts w:eastAsiaTheme="minorEastAsia"/>
          <w:sz w:val="24"/>
        </w:rPr>
        <w:instrText xml:space="preserve"> TOC \o "1-3" \h \z \u </w:instrText>
      </w:r>
      <w:r>
        <w:rPr>
          <w:rFonts w:eastAsiaTheme="minorEastAsia"/>
          <w:sz w:val="24"/>
        </w:rPr>
        <w:fldChar w:fldCharType="separate"/>
      </w:r>
      <w:r>
        <w:fldChar w:fldCharType="begin"/>
      </w:r>
      <w:r>
        <w:instrText xml:space="preserve"> HYPERLINK \l "_Toc515281021" </w:instrText>
      </w:r>
      <w:r>
        <w:fldChar w:fldCharType="separate"/>
      </w:r>
      <w:r>
        <w:rPr>
          <w:rStyle w:val="23"/>
        </w:rPr>
        <w:t xml:space="preserve">1 </w:t>
      </w:r>
      <w:r>
        <w:rPr>
          <w:rStyle w:val="23"/>
          <w:rFonts w:hint="eastAsia" w:ascii="宋体" w:hAnsi="宋体" w:eastAsia="宋体" w:cs="宋体"/>
        </w:rPr>
        <w:t>总则</w:t>
      </w:r>
      <w:r>
        <w:tab/>
      </w:r>
      <w:r>
        <w:fldChar w:fldCharType="begin"/>
      </w:r>
      <w:r>
        <w:instrText xml:space="preserve"> PAGEREF _Toc515281021 \h </w:instrText>
      </w:r>
      <w:r>
        <w:fldChar w:fldCharType="separate"/>
      </w:r>
      <w:r>
        <w:t>6</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"_Toc515281022" </w:instrText>
      </w:r>
      <w:r>
        <w:fldChar w:fldCharType="separate"/>
      </w:r>
      <w:r>
        <w:rPr>
          <w:rStyle w:val="23"/>
        </w:rPr>
        <w:t xml:space="preserve">2 </w:t>
      </w:r>
      <w:r>
        <w:rPr>
          <w:rStyle w:val="23"/>
          <w:rFonts w:hint="eastAsia" w:ascii="宋体" w:hAnsi="宋体" w:eastAsia="宋体" w:cs="宋体"/>
        </w:rPr>
        <w:t>术语和符号</w:t>
      </w:r>
      <w:r>
        <w:tab/>
      </w:r>
      <w:r>
        <w:fldChar w:fldCharType="begin"/>
      </w:r>
      <w:r>
        <w:instrText xml:space="preserve"> PAGEREF _Toc515281022 \h </w:instrText>
      </w:r>
      <w:r>
        <w:fldChar w:fldCharType="separate"/>
      </w:r>
      <w:r>
        <w:t>12</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"_Toc515281023" </w:instrText>
      </w:r>
      <w:r>
        <w:fldChar w:fldCharType="separate"/>
      </w:r>
      <w:r>
        <w:rPr>
          <w:rStyle w:val="23"/>
        </w:rPr>
        <w:t>2.1</w:t>
      </w:r>
      <w:r>
        <w:rPr>
          <w:rFonts w:asciiTheme="minorHAnsi" w:hAnsiTheme="minorHAnsi" w:eastAsiaTheme="minorEastAsia" w:cstheme="minorBidi"/>
          <w:szCs w:val="22"/>
        </w:rPr>
        <w:tab/>
      </w:r>
      <w:r>
        <w:rPr>
          <w:rStyle w:val="23"/>
          <w:rFonts w:hint="eastAsia" w:ascii="宋体" w:hAnsi="宋体" w:eastAsia="宋体" w:cs="宋体"/>
        </w:rPr>
        <w:t>术语</w:t>
      </w:r>
      <w:r>
        <w:tab/>
      </w:r>
      <w:r>
        <w:fldChar w:fldCharType="begin"/>
      </w:r>
      <w:r>
        <w:instrText xml:space="preserve"> PAGEREF _Toc515281023 \h </w:instrText>
      </w:r>
      <w:r>
        <w:fldChar w:fldCharType="separate"/>
      </w:r>
      <w:r>
        <w:t>12</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"_Toc515281024" </w:instrText>
      </w:r>
      <w:r>
        <w:fldChar w:fldCharType="separate"/>
      </w:r>
      <w:r>
        <w:rPr>
          <w:rStyle w:val="23"/>
        </w:rPr>
        <w:t>2.2</w:t>
      </w:r>
      <w:r>
        <w:rPr>
          <w:rFonts w:asciiTheme="minorHAnsi" w:hAnsiTheme="minorHAnsi" w:eastAsiaTheme="minorEastAsia" w:cstheme="minorBidi"/>
          <w:szCs w:val="22"/>
        </w:rPr>
        <w:tab/>
      </w:r>
      <w:r>
        <w:rPr>
          <w:rStyle w:val="23"/>
          <w:rFonts w:hint="eastAsia" w:ascii="宋体" w:hAnsi="宋体" w:eastAsia="宋体" w:cs="宋体"/>
        </w:rPr>
        <w:t>符号</w:t>
      </w:r>
      <w:r>
        <w:tab/>
      </w:r>
      <w:r>
        <w:fldChar w:fldCharType="begin"/>
      </w:r>
      <w:r>
        <w:instrText xml:space="preserve"> PAGEREF _Toc515281024 \h </w:instrText>
      </w:r>
      <w:r>
        <w:fldChar w:fldCharType="separate"/>
      </w:r>
      <w:r>
        <w:t>29</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"_Toc515281025" </w:instrText>
      </w:r>
      <w:r>
        <w:fldChar w:fldCharType="separate"/>
      </w:r>
      <w:r>
        <w:rPr>
          <w:rStyle w:val="23"/>
        </w:rPr>
        <w:t xml:space="preserve">3 </w:t>
      </w:r>
      <w:r>
        <w:rPr>
          <w:rStyle w:val="23"/>
          <w:rFonts w:hint="eastAsia" w:ascii="宋体" w:hAnsi="宋体" w:eastAsia="宋体" w:cs="宋体"/>
        </w:rPr>
        <w:t>排水工程</w:t>
      </w:r>
      <w:r>
        <w:tab/>
      </w:r>
      <w:r>
        <w:fldChar w:fldCharType="begin"/>
      </w:r>
      <w:r>
        <w:instrText xml:space="preserve"> PAGEREF _Toc515281025 \h </w:instrText>
      </w:r>
      <w:r>
        <w:fldChar w:fldCharType="separate"/>
      </w:r>
      <w:r>
        <w:t>37</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"_Toc515281026" </w:instrText>
      </w:r>
      <w:r>
        <w:fldChar w:fldCharType="separate"/>
      </w:r>
      <w:r>
        <w:rPr>
          <w:rStyle w:val="23"/>
        </w:rPr>
        <w:t>3.1</w:t>
      </w:r>
      <w:r>
        <w:rPr>
          <w:rFonts w:asciiTheme="minorHAnsi" w:hAnsiTheme="minorHAnsi" w:eastAsiaTheme="minorEastAsia" w:cstheme="minorBidi"/>
          <w:szCs w:val="22"/>
        </w:rPr>
        <w:tab/>
      </w:r>
      <w:r>
        <w:rPr>
          <w:rStyle w:val="23"/>
          <w:rFonts w:hint="eastAsia" w:ascii="宋体" w:hAnsi="宋体" w:eastAsia="宋体" w:cs="宋体"/>
        </w:rPr>
        <w:t>一般规定</w:t>
      </w:r>
      <w:r>
        <w:tab/>
      </w:r>
      <w:r>
        <w:fldChar w:fldCharType="begin"/>
      </w:r>
      <w:r>
        <w:instrText xml:space="preserve"> PAGEREF _Toc515281026 \h </w:instrText>
      </w:r>
      <w:r>
        <w:fldChar w:fldCharType="separate"/>
      </w:r>
      <w:r>
        <w:t>37</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"_Toc515281027" </w:instrText>
      </w:r>
      <w:r>
        <w:fldChar w:fldCharType="separate"/>
      </w:r>
      <w:r>
        <w:rPr>
          <w:rStyle w:val="23"/>
        </w:rPr>
        <w:t>3.2</w:t>
      </w:r>
      <w:r>
        <w:rPr>
          <w:rFonts w:asciiTheme="minorHAnsi" w:hAnsiTheme="minorHAnsi" w:eastAsiaTheme="minorEastAsia" w:cstheme="minorBidi"/>
          <w:szCs w:val="22"/>
        </w:rPr>
        <w:tab/>
      </w:r>
      <w:r>
        <w:rPr>
          <w:rStyle w:val="23"/>
          <w:rFonts w:hint="eastAsia" w:ascii="宋体" w:hAnsi="宋体" w:eastAsia="宋体" w:cs="宋体"/>
        </w:rPr>
        <w:t>雨水系统</w:t>
      </w:r>
      <w:r>
        <w:tab/>
      </w:r>
      <w:r>
        <w:fldChar w:fldCharType="begin"/>
      </w:r>
      <w:r>
        <w:instrText xml:space="preserve"> PAGEREF _Toc515281027 \h </w:instrText>
      </w:r>
      <w:r>
        <w:fldChar w:fldCharType="separate"/>
      </w:r>
      <w:r>
        <w:t>40</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"_Toc515281028" </w:instrText>
      </w:r>
      <w:r>
        <w:fldChar w:fldCharType="separate"/>
      </w:r>
      <w:r>
        <w:rPr>
          <w:rStyle w:val="23"/>
        </w:rPr>
        <w:t>3.3</w:t>
      </w:r>
      <w:r>
        <w:rPr>
          <w:rFonts w:asciiTheme="minorHAnsi" w:hAnsiTheme="minorHAnsi" w:eastAsiaTheme="minorEastAsia" w:cstheme="minorBidi"/>
          <w:szCs w:val="22"/>
        </w:rPr>
        <w:tab/>
      </w:r>
      <w:r>
        <w:rPr>
          <w:rStyle w:val="23"/>
          <w:rFonts w:hint="eastAsia" w:ascii="宋体" w:hAnsi="宋体" w:eastAsia="宋体" w:cs="宋体"/>
        </w:rPr>
        <w:t>污水系统</w:t>
      </w:r>
      <w:r>
        <w:tab/>
      </w:r>
      <w:r>
        <w:fldChar w:fldCharType="begin"/>
      </w:r>
      <w:r>
        <w:instrText xml:space="preserve"> PAGEREF _Toc515281028 \h </w:instrText>
      </w:r>
      <w:r>
        <w:fldChar w:fldCharType="separate"/>
      </w:r>
      <w:r>
        <w:t>43</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"_Toc515281029" </w:instrText>
      </w:r>
      <w:r>
        <w:fldChar w:fldCharType="separate"/>
      </w:r>
      <w:r>
        <w:rPr>
          <w:rStyle w:val="23"/>
        </w:rPr>
        <w:t>3.4</w:t>
      </w:r>
      <w:r>
        <w:rPr>
          <w:rFonts w:asciiTheme="minorHAnsi" w:hAnsiTheme="minorHAnsi" w:eastAsiaTheme="minorEastAsia" w:cstheme="minorBidi"/>
          <w:szCs w:val="22"/>
        </w:rPr>
        <w:tab/>
      </w:r>
      <w:r>
        <w:rPr>
          <w:rStyle w:val="23"/>
          <w:rFonts w:hint="eastAsia" w:ascii="宋体" w:hAnsi="宋体" w:eastAsia="宋体" w:cs="宋体"/>
        </w:rPr>
        <w:t>再生水系统</w:t>
      </w:r>
      <w:r>
        <w:tab/>
      </w:r>
      <w:r>
        <w:fldChar w:fldCharType="begin"/>
      </w:r>
      <w:r>
        <w:instrText xml:space="preserve"> PAGEREF _Toc515281029 \h </w:instrText>
      </w:r>
      <w:r>
        <w:fldChar w:fldCharType="separate"/>
      </w:r>
      <w:r>
        <w:t>46</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"_Toc515281030" </w:instrText>
      </w:r>
      <w:r>
        <w:fldChar w:fldCharType="separate"/>
      </w:r>
      <w:r>
        <w:rPr>
          <w:rStyle w:val="23"/>
        </w:rPr>
        <w:t xml:space="preserve">4 </w:t>
      </w:r>
      <w:r>
        <w:rPr>
          <w:rStyle w:val="23"/>
          <w:rFonts w:hint="eastAsia" w:ascii="宋体" w:hAnsi="宋体" w:eastAsia="宋体" w:cs="宋体"/>
        </w:rPr>
        <w:t>设计流量和设计水质</w:t>
      </w:r>
      <w:r>
        <w:tab/>
      </w:r>
      <w:r>
        <w:fldChar w:fldCharType="begin"/>
      </w:r>
      <w:r>
        <w:instrText xml:space="preserve"> PAGEREF _Toc515281030 \h </w:instrText>
      </w:r>
      <w:r>
        <w:fldChar w:fldCharType="separate"/>
      </w:r>
      <w:r>
        <w:t>47</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"_Toc515281031" </w:instrText>
      </w:r>
      <w:r>
        <w:fldChar w:fldCharType="separate"/>
      </w:r>
      <w:r>
        <w:rPr>
          <w:rStyle w:val="23"/>
        </w:rPr>
        <w:t>4.1</w:t>
      </w:r>
      <w:r>
        <w:rPr>
          <w:rFonts w:asciiTheme="minorHAnsi" w:hAnsiTheme="minorHAnsi" w:eastAsiaTheme="minorEastAsia" w:cstheme="minorBidi"/>
          <w:szCs w:val="22"/>
        </w:rPr>
        <w:tab/>
      </w:r>
      <w:r>
        <w:rPr>
          <w:rStyle w:val="23"/>
          <w:rFonts w:hint="eastAsia" w:ascii="宋体" w:hAnsi="宋体" w:eastAsia="宋体" w:cs="宋体"/>
        </w:rPr>
        <w:t>设计流量</w:t>
      </w:r>
      <w:r>
        <w:tab/>
      </w:r>
      <w:r>
        <w:fldChar w:fldCharType="begin"/>
      </w:r>
      <w:r>
        <w:instrText xml:space="preserve"> PAGEREF _Toc515281031 \h </w:instrText>
      </w:r>
      <w:r>
        <w:fldChar w:fldCharType="separate"/>
      </w:r>
      <w:r>
        <w:t>47</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"_Toc515281032" </w:instrText>
      </w:r>
      <w:r>
        <w:fldChar w:fldCharType="separate"/>
      </w:r>
      <w:r>
        <w:rPr>
          <w:rStyle w:val="23"/>
        </w:rPr>
        <w:t>4.2</w:t>
      </w:r>
      <w:r>
        <w:rPr>
          <w:rFonts w:asciiTheme="minorHAnsi" w:hAnsiTheme="minorHAnsi" w:eastAsiaTheme="minorEastAsia" w:cstheme="minorBidi"/>
          <w:szCs w:val="22"/>
        </w:rPr>
        <w:tab/>
      </w:r>
      <w:r>
        <w:rPr>
          <w:rStyle w:val="23"/>
          <w:rFonts w:hint="eastAsia" w:ascii="宋体" w:hAnsi="宋体" w:eastAsia="宋体" w:cs="宋体"/>
        </w:rPr>
        <w:t>设计水质</w:t>
      </w:r>
      <w:r>
        <w:tab/>
      </w:r>
      <w:r>
        <w:fldChar w:fldCharType="begin"/>
      </w:r>
      <w:r>
        <w:instrText xml:space="preserve"> PAGEREF _Toc515281032 \h </w:instrText>
      </w:r>
      <w:r>
        <w:fldChar w:fldCharType="separate"/>
      </w:r>
      <w:r>
        <w:t>69</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"_Toc515281033" </w:instrText>
      </w:r>
      <w:r>
        <w:fldChar w:fldCharType="separate"/>
      </w:r>
      <w:r>
        <w:rPr>
          <w:rStyle w:val="23"/>
        </w:rPr>
        <w:t xml:space="preserve">5 </w:t>
      </w:r>
      <w:r>
        <w:rPr>
          <w:rStyle w:val="23"/>
          <w:rFonts w:hint="eastAsia" w:ascii="宋体" w:hAnsi="宋体" w:eastAsia="宋体" w:cs="宋体"/>
        </w:rPr>
        <w:t>排水管渠和附属构筑物</w:t>
      </w:r>
      <w:r>
        <w:tab/>
      </w:r>
      <w:r>
        <w:fldChar w:fldCharType="begin"/>
      </w:r>
      <w:r>
        <w:instrText xml:space="preserve"> PAGEREF _Toc515281033 \h </w:instrText>
      </w:r>
      <w:r>
        <w:fldChar w:fldCharType="separate"/>
      </w:r>
      <w:r>
        <w:t>72</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"_Toc515281034" </w:instrText>
      </w:r>
      <w:r>
        <w:fldChar w:fldCharType="separate"/>
      </w:r>
      <w:r>
        <w:rPr>
          <w:rStyle w:val="23"/>
        </w:rPr>
        <w:t>5.1</w:t>
      </w:r>
      <w:r>
        <w:rPr>
          <w:rFonts w:asciiTheme="minorHAnsi" w:hAnsiTheme="minorHAnsi" w:eastAsiaTheme="minorEastAsia" w:cstheme="minorBidi"/>
          <w:szCs w:val="22"/>
        </w:rPr>
        <w:tab/>
      </w:r>
      <w:r>
        <w:rPr>
          <w:rStyle w:val="23"/>
          <w:rFonts w:hint="eastAsia" w:ascii="宋体" w:hAnsi="宋体" w:eastAsia="宋体" w:cs="宋体"/>
        </w:rPr>
        <w:t>一般规定</w:t>
      </w:r>
      <w:r>
        <w:tab/>
      </w:r>
      <w:r>
        <w:fldChar w:fldCharType="begin"/>
      </w:r>
      <w:r>
        <w:instrText xml:space="preserve"> PAGEREF _Toc515281034 \h </w:instrText>
      </w:r>
      <w:r>
        <w:fldChar w:fldCharType="separate"/>
      </w:r>
      <w:r>
        <w:t>72</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"_Toc515281035" </w:instrText>
      </w:r>
      <w:r>
        <w:fldChar w:fldCharType="separate"/>
      </w:r>
      <w:r>
        <w:rPr>
          <w:rStyle w:val="23"/>
        </w:rPr>
        <w:t>5.2</w:t>
      </w:r>
      <w:r>
        <w:rPr>
          <w:rFonts w:asciiTheme="minorHAnsi" w:hAnsiTheme="minorHAnsi" w:eastAsiaTheme="minorEastAsia" w:cstheme="minorBidi"/>
          <w:szCs w:val="22"/>
        </w:rPr>
        <w:tab/>
      </w:r>
      <w:r>
        <w:rPr>
          <w:rStyle w:val="23"/>
          <w:rFonts w:hint="eastAsia" w:ascii="宋体" w:hAnsi="宋体" w:eastAsia="宋体" w:cs="宋体"/>
        </w:rPr>
        <w:t>水力计算</w:t>
      </w:r>
      <w:r>
        <w:tab/>
      </w:r>
      <w:r>
        <w:fldChar w:fldCharType="begin"/>
      </w:r>
      <w:r>
        <w:instrText xml:space="preserve"> PAGEREF _Toc515281035 \h </w:instrText>
      </w:r>
      <w:r>
        <w:fldChar w:fldCharType="separate"/>
      </w:r>
      <w:r>
        <w:t>80</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"_Toc515281036" </w:instrText>
      </w:r>
      <w:r>
        <w:fldChar w:fldCharType="separate"/>
      </w:r>
      <w:r>
        <w:rPr>
          <w:rStyle w:val="23"/>
        </w:rPr>
        <w:t>5.3</w:t>
      </w:r>
      <w:r>
        <w:rPr>
          <w:rFonts w:asciiTheme="minorHAnsi" w:hAnsiTheme="minorHAnsi" w:eastAsiaTheme="minorEastAsia" w:cstheme="minorBidi"/>
          <w:szCs w:val="22"/>
        </w:rPr>
        <w:tab/>
      </w:r>
      <w:r>
        <w:rPr>
          <w:rStyle w:val="23"/>
          <w:rFonts w:hint="eastAsia" w:ascii="宋体" w:hAnsi="宋体" w:eastAsia="宋体" w:cs="宋体"/>
        </w:rPr>
        <w:t>管道</w:t>
      </w:r>
      <w:r>
        <w:tab/>
      </w:r>
      <w:r>
        <w:fldChar w:fldCharType="begin"/>
      </w:r>
      <w:r>
        <w:instrText xml:space="preserve"> PAGEREF _Toc515281036 \h </w:instrText>
      </w:r>
      <w:r>
        <w:fldChar w:fldCharType="separate"/>
      </w:r>
      <w:r>
        <w:t>86</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"_Toc515281037" </w:instrText>
      </w:r>
      <w:r>
        <w:fldChar w:fldCharType="separate"/>
      </w:r>
      <w:r>
        <w:rPr>
          <w:rStyle w:val="23"/>
        </w:rPr>
        <w:t>5.4</w:t>
      </w:r>
      <w:r>
        <w:rPr>
          <w:rFonts w:asciiTheme="minorHAnsi" w:hAnsiTheme="minorHAnsi" w:eastAsiaTheme="minorEastAsia" w:cstheme="minorBidi"/>
          <w:szCs w:val="22"/>
        </w:rPr>
        <w:tab/>
      </w:r>
      <w:r>
        <w:rPr>
          <w:rStyle w:val="23"/>
          <w:rFonts w:hint="eastAsia" w:ascii="宋体" w:hAnsi="宋体" w:eastAsia="宋体" w:cs="宋体"/>
        </w:rPr>
        <w:t>检查井</w:t>
      </w:r>
      <w:r>
        <w:tab/>
      </w:r>
      <w:r>
        <w:fldChar w:fldCharType="begin"/>
      </w:r>
      <w:r>
        <w:instrText xml:space="preserve"> PAGEREF _Toc515281037 \h </w:instrText>
      </w:r>
      <w:r>
        <w:fldChar w:fldCharType="separate"/>
      </w:r>
      <w:r>
        <w:t>90</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"_Toc515281038" </w:instrText>
      </w:r>
      <w:r>
        <w:fldChar w:fldCharType="separate"/>
      </w:r>
      <w:r>
        <w:rPr>
          <w:rStyle w:val="23"/>
        </w:rPr>
        <w:t>5.5</w:t>
      </w:r>
      <w:r>
        <w:rPr>
          <w:rFonts w:asciiTheme="minorHAnsi" w:hAnsiTheme="minorHAnsi" w:eastAsiaTheme="minorEastAsia" w:cstheme="minorBidi"/>
          <w:szCs w:val="22"/>
        </w:rPr>
        <w:tab/>
      </w:r>
      <w:r>
        <w:rPr>
          <w:rStyle w:val="23"/>
          <w:rFonts w:hint="eastAsia" w:ascii="宋体" w:hAnsi="宋体" w:eastAsia="宋体" w:cs="宋体"/>
        </w:rPr>
        <w:t>跌水井</w:t>
      </w:r>
      <w:r>
        <w:tab/>
      </w:r>
      <w:r>
        <w:fldChar w:fldCharType="begin"/>
      </w:r>
      <w:r>
        <w:instrText xml:space="preserve"> PAGEREF _Toc515281038 \h </w:instrText>
      </w:r>
      <w:r>
        <w:fldChar w:fldCharType="separate"/>
      </w:r>
      <w:r>
        <w:t>95</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"_Toc515281039" </w:instrText>
      </w:r>
      <w:r>
        <w:fldChar w:fldCharType="separate"/>
      </w:r>
      <w:r>
        <w:rPr>
          <w:rStyle w:val="23"/>
        </w:rPr>
        <w:t>5.6</w:t>
      </w:r>
      <w:r>
        <w:rPr>
          <w:rFonts w:asciiTheme="minorHAnsi" w:hAnsiTheme="minorHAnsi" w:eastAsiaTheme="minorEastAsia" w:cstheme="minorBidi"/>
          <w:szCs w:val="22"/>
        </w:rPr>
        <w:tab/>
      </w:r>
      <w:r>
        <w:rPr>
          <w:rStyle w:val="23"/>
          <w:rFonts w:hint="eastAsia" w:ascii="宋体" w:hAnsi="宋体" w:eastAsia="宋体" w:cs="宋体"/>
        </w:rPr>
        <w:t>水封井</w:t>
      </w:r>
      <w:r>
        <w:tab/>
      </w:r>
      <w:r>
        <w:fldChar w:fldCharType="begin"/>
      </w:r>
      <w:r>
        <w:instrText xml:space="preserve"> PAGEREF _Toc515281039 \h </w:instrText>
      </w:r>
      <w:r>
        <w:fldChar w:fldCharType="separate"/>
      </w:r>
      <w:r>
        <w:t>96</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"_Toc515281040" </w:instrText>
      </w:r>
      <w:r>
        <w:fldChar w:fldCharType="separate"/>
      </w:r>
      <w:r>
        <w:rPr>
          <w:rStyle w:val="23"/>
        </w:rPr>
        <w:t>5.7</w:t>
      </w:r>
      <w:r>
        <w:rPr>
          <w:rFonts w:asciiTheme="minorHAnsi" w:hAnsiTheme="minorHAnsi" w:eastAsiaTheme="minorEastAsia" w:cstheme="minorBidi"/>
          <w:szCs w:val="22"/>
        </w:rPr>
        <w:tab/>
      </w:r>
      <w:r>
        <w:rPr>
          <w:rStyle w:val="23"/>
          <w:rFonts w:hint="eastAsia" w:ascii="宋体" w:hAnsi="宋体" w:eastAsia="宋体" w:cs="宋体"/>
        </w:rPr>
        <w:t>雨水口</w:t>
      </w:r>
      <w:r>
        <w:tab/>
      </w:r>
      <w:r>
        <w:fldChar w:fldCharType="begin"/>
      </w:r>
      <w:r>
        <w:instrText xml:space="preserve"> PAGEREF _Toc515281040 \h </w:instrText>
      </w:r>
      <w:r>
        <w:fldChar w:fldCharType="separate"/>
      </w:r>
      <w:r>
        <w:t>97</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"_Toc515281041" </w:instrText>
      </w:r>
      <w:r>
        <w:fldChar w:fldCharType="separate"/>
      </w:r>
      <w:r>
        <w:rPr>
          <w:rStyle w:val="23"/>
        </w:rPr>
        <w:t>5.8</w:t>
      </w:r>
      <w:r>
        <w:rPr>
          <w:rFonts w:asciiTheme="minorHAnsi" w:hAnsiTheme="minorHAnsi" w:eastAsiaTheme="minorEastAsia" w:cstheme="minorBidi"/>
          <w:szCs w:val="22"/>
        </w:rPr>
        <w:tab/>
      </w:r>
      <w:r>
        <w:rPr>
          <w:rStyle w:val="23"/>
          <w:rFonts w:hint="eastAsia" w:ascii="宋体" w:hAnsi="宋体" w:eastAsia="宋体" w:cs="宋体"/>
        </w:rPr>
        <w:t>截流井</w:t>
      </w:r>
      <w:r>
        <w:tab/>
      </w:r>
      <w:r>
        <w:fldChar w:fldCharType="begin"/>
      </w:r>
      <w:r>
        <w:instrText xml:space="preserve"> PAGEREF _Toc515281041 \h </w:instrText>
      </w:r>
      <w:r>
        <w:fldChar w:fldCharType="separate"/>
      </w:r>
      <w:r>
        <w:t>100</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"_Toc515281042" </w:instrText>
      </w:r>
      <w:r>
        <w:fldChar w:fldCharType="separate"/>
      </w:r>
      <w:r>
        <w:rPr>
          <w:rStyle w:val="23"/>
        </w:rPr>
        <w:t>5.9</w:t>
      </w:r>
      <w:r>
        <w:rPr>
          <w:rFonts w:asciiTheme="minorHAnsi" w:hAnsiTheme="minorHAnsi" w:eastAsiaTheme="minorEastAsia" w:cstheme="minorBidi"/>
          <w:szCs w:val="22"/>
        </w:rPr>
        <w:tab/>
      </w:r>
      <w:r>
        <w:rPr>
          <w:rStyle w:val="23"/>
          <w:rFonts w:hint="eastAsia" w:ascii="宋体" w:hAnsi="宋体" w:eastAsia="宋体" w:cs="宋体"/>
        </w:rPr>
        <w:t>出水口</w:t>
      </w:r>
      <w:r>
        <w:tab/>
      </w:r>
      <w:r>
        <w:fldChar w:fldCharType="begin"/>
      </w:r>
      <w:r>
        <w:instrText xml:space="preserve"> PAGEREF _Toc515281042 \h </w:instrText>
      </w:r>
      <w:r>
        <w:fldChar w:fldCharType="separate"/>
      </w:r>
      <w:r>
        <w:t>103</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"_Toc515281043" </w:instrText>
      </w:r>
      <w:r>
        <w:fldChar w:fldCharType="separate"/>
      </w:r>
      <w:r>
        <w:rPr>
          <w:rStyle w:val="23"/>
        </w:rPr>
        <w:t>5.10</w:t>
      </w:r>
      <w:r>
        <w:rPr>
          <w:rFonts w:asciiTheme="minorHAnsi" w:hAnsiTheme="minorHAnsi" w:eastAsiaTheme="minorEastAsia" w:cstheme="minorBidi"/>
          <w:szCs w:val="22"/>
        </w:rPr>
        <w:tab/>
      </w:r>
      <w:r>
        <w:rPr>
          <w:rStyle w:val="23"/>
          <w:rFonts w:hint="eastAsia" w:ascii="宋体" w:hAnsi="宋体" w:eastAsia="宋体" w:cs="宋体"/>
        </w:rPr>
        <w:t>立体交叉道路排水</w:t>
      </w:r>
      <w:r>
        <w:tab/>
      </w:r>
      <w:r>
        <w:fldChar w:fldCharType="begin"/>
      </w:r>
      <w:r>
        <w:instrText xml:space="preserve"> PAGEREF _Toc515281043 \h </w:instrText>
      </w:r>
      <w:r>
        <w:fldChar w:fldCharType="separate"/>
      </w:r>
      <w:r>
        <w:t>104</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"_Toc515281044" </w:instrText>
      </w:r>
      <w:r>
        <w:fldChar w:fldCharType="separate"/>
      </w:r>
      <w:r>
        <w:rPr>
          <w:rStyle w:val="23"/>
        </w:rPr>
        <w:t>5.11</w:t>
      </w:r>
      <w:r>
        <w:rPr>
          <w:rFonts w:asciiTheme="minorHAnsi" w:hAnsiTheme="minorHAnsi" w:eastAsiaTheme="minorEastAsia" w:cstheme="minorBidi"/>
          <w:szCs w:val="22"/>
        </w:rPr>
        <w:tab/>
      </w:r>
      <w:r>
        <w:rPr>
          <w:rStyle w:val="23"/>
          <w:rFonts w:hint="eastAsia" w:ascii="宋体" w:hAnsi="宋体" w:eastAsia="宋体" w:cs="宋体"/>
        </w:rPr>
        <w:t>倒虹管</w:t>
      </w:r>
      <w:r>
        <w:tab/>
      </w:r>
      <w:r>
        <w:fldChar w:fldCharType="begin"/>
      </w:r>
      <w:r>
        <w:instrText xml:space="preserve"> PAGEREF _Toc515281044 \h </w:instrText>
      </w:r>
      <w:r>
        <w:fldChar w:fldCharType="separate"/>
      </w:r>
      <w:r>
        <w:t>110</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"_Toc515281045" </w:instrText>
      </w:r>
      <w:r>
        <w:fldChar w:fldCharType="separate"/>
      </w:r>
      <w:r>
        <w:rPr>
          <w:rStyle w:val="23"/>
        </w:rPr>
        <w:t>5.12</w:t>
      </w:r>
      <w:r>
        <w:rPr>
          <w:rFonts w:asciiTheme="minorHAnsi" w:hAnsiTheme="minorHAnsi" w:eastAsiaTheme="minorEastAsia" w:cstheme="minorBidi"/>
          <w:szCs w:val="22"/>
        </w:rPr>
        <w:tab/>
      </w:r>
      <w:r>
        <w:rPr>
          <w:rStyle w:val="23"/>
          <w:rFonts w:hint="eastAsia" w:eastAsiaTheme="majorEastAsia"/>
          <w:kern w:val="0"/>
        </w:rPr>
        <w:t>渗透管渠</w:t>
      </w:r>
      <w:r>
        <w:tab/>
      </w:r>
      <w:r>
        <w:fldChar w:fldCharType="begin"/>
      </w:r>
      <w:r>
        <w:instrText xml:space="preserve"> PAGEREF _Toc515281045 \h </w:instrText>
      </w:r>
      <w:r>
        <w:fldChar w:fldCharType="separate"/>
      </w:r>
      <w:r>
        <w:t>113</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"_Toc515281046" </w:instrText>
      </w:r>
      <w:r>
        <w:fldChar w:fldCharType="separate"/>
      </w:r>
      <w:r>
        <w:rPr>
          <w:rStyle w:val="23"/>
        </w:rPr>
        <w:t>5.13</w:t>
      </w:r>
      <w:r>
        <w:rPr>
          <w:rFonts w:asciiTheme="minorHAnsi" w:hAnsiTheme="minorHAnsi" w:eastAsiaTheme="minorEastAsia" w:cstheme="minorBidi"/>
          <w:szCs w:val="22"/>
        </w:rPr>
        <w:tab/>
      </w:r>
      <w:r>
        <w:rPr>
          <w:rStyle w:val="23"/>
          <w:rFonts w:hint="eastAsia" w:ascii="宋体" w:hAnsi="宋体" w:eastAsia="宋体" w:cs="宋体"/>
        </w:rPr>
        <w:t>渠道</w:t>
      </w:r>
      <w:r>
        <w:tab/>
      </w:r>
      <w:r>
        <w:fldChar w:fldCharType="begin"/>
      </w:r>
      <w:r>
        <w:instrText xml:space="preserve"> PAGEREF _Toc515281046 \h </w:instrText>
      </w:r>
      <w:r>
        <w:fldChar w:fldCharType="separate"/>
      </w:r>
      <w:r>
        <w:t>113</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"_Toc515281047" </w:instrText>
      </w:r>
      <w:r>
        <w:fldChar w:fldCharType="separate"/>
      </w:r>
      <w:r>
        <w:rPr>
          <w:rStyle w:val="23"/>
        </w:rPr>
        <w:t>5.14</w:t>
      </w:r>
      <w:r>
        <w:rPr>
          <w:rFonts w:asciiTheme="minorHAnsi" w:hAnsiTheme="minorHAnsi" w:eastAsiaTheme="minorEastAsia" w:cstheme="minorBidi"/>
          <w:szCs w:val="22"/>
        </w:rPr>
        <w:tab/>
      </w:r>
      <w:r>
        <w:rPr>
          <w:rStyle w:val="23"/>
          <w:rFonts w:hint="eastAsia" w:ascii="宋体" w:hAnsi="宋体" w:eastAsia="宋体" w:cs="宋体"/>
        </w:rPr>
        <w:t>雨水调蓄池</w:t>
      </w:r>
      <w:r>
        <w:tab/>
      </w:r>
      <w:r>
        <w:fldChar w:fldCharType="begin"/>
      </w:r>
      <w:r>
        <w:instrText xml:space="preserve"> PAGEREF _Toc515281047 \h </w:instrText>
      </w:r>
      <w:r>
        <w:fldChar w:fldCharType="separate"/>
      </w:r>
      <w:r>
        <w:t>115</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"_Toc515281048" </w:instrText>
      </w:r>
      <w:r>
        <w:fldChar w:fldCharType="separate"/>
      </w:r>
      <w:r>
        <w:rPr>
          <w:rStyle w:val="23"/>
        </w:rPr>
        <w:t>5.15</w:t>
      </w:r>
      <w:r>
        <w:rPr>
          <w:rFonts w:asciiTheme="minorHAnsi" w:hAnsiTheme="minorHAnsi" w:eastAsiaTheme="minorEastAsia" w:cstheme="minorBidi"/>
          <w:szCs w:val="22"/>
        </w:rPr>
        <w:tab/>
      </w:r>
      <w:r>
        <w:rPr>
          <w:rStyle w:val="23"/>
          <w:rFonts w:hint="eastAsia" w:ascii="宋体" w:hAnsi="宋体" w:eastAsia="宋体" w:cs="宋体"/>
        </w:rPr>
        <w:t>管道综合</w:t>
      </w:r>
      <w:r>
        <w:tab/>
      </w:r>
      <w:r>
        <w:fldChar w:fldCharType="begin"/>
      </w:r>
      <w:r>
        <w:instrText xml:space="preserve"> PAGEREF _Toc515281048 \h </w:instrText>
      </w:r>
      <w:r>
        <w:fldChar w:fldCharType="separate"/>
      </w:r>
      <w:r>
        <w:t>128</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"_Toc515281049" </w:instrText>
      </w:r>
      <w:r>
        <w:fldChar w:fldCharType="separate"/>
      </w:r>
      <w:r>
        <w:rPr>
          <w:rStyle w:val="23"/>
        </w:rPr>
        <w:t xml:space="preserve">6 </w:t>
      </w:r>
      <w:r>
        <w:rPr>
          <w:rStyle w:val="23"/>
          <w:rFonts w:hint="eastAsia" w:ascii="宋体" w:hAnsi="宋体" w:eastAsia="宋体" w:cs="宋体"/>
        </w:rPr>
        <w:t>泵站</w:t>
      </w:r>
      <w:r>
        <w:tab/>
      </w:r>
      <w:r>
        <w:fldChar w:fldCharType="begin"/>
      </w:r>
      <w:r>
        <w:instrText xml:space="preserve"> PAGEREF _Toc515281049 \h </w:instrText>
      </w:r>
      <w:r>
        <w:fldChar w:fldCharType="separate"/>
      </w:r>
      <w:r>
        <w:t>131</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"_Toc515281050" </w:instrText>
      </w:r>
      <w:r>
        <w:fldChar w:fldCharType="separate"/>
      </w:r>
      <w:r>
        <w:rPr>
          <w:rStyle w:val="23"/>
        </w:rPr>
        <w:t>6.1</w:t>
      </w:r>
      <w:r>
        <w:rPr>
          <w:rFonts w:asciiTheme="minorHAnsi" w:hAnsiTheme="minorHAnsi" w:eastAsiaTheme="minorEastAsia" w:cstheme="minorBidi"/>
          <w:szCs w:val="22"/>
        </w:rPr>
        <w:tab/>
      </w:r>
      <w:r>
        <w:rPr>
          <w:rStyle w:val="23"/>
          <w:rFonts w:hint="eastAsia" w:ascii="宋体" w:hAnsi="宋体" w:eastAsia="宋体" w:cs="宋体"/>
        </w:rPr>
        <w:t>一般规定</w:t>
      </w:r>
      <w:r>
        <w:tab/>
      </w:r>
      <w:r>
        <w:fldChar w:fldCharType="begin"/>
      </w:r>
      <w:r>
        <w:instrText xml:space="preserve"> PAGEREF _Toc515281050 \h </w:instrText>
      </w:r>
      <w:r>
        <w:fldChar w:fldCharType="separate"/>
      </w:r>
      <w:r>
        <w:t>131</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"_Toc515281051" </w:instrText>
      </w:r>
      <w:r>
        <w:fldChar w:fldCharType="separate"/>
      </w:r>
      <w:r>
        <w:rPr>
          <w:rStyle w:val="23"/>
        </w:rPr>
        <w:t>6.2</w:t>
      </w:r>
      <w:r>
        <w:rPr>
          <w:rFonts w:asciiTheme="minorHAnsi" w:hAnsiTheme="minorHAnsi" w:eastAsiaTheme="minorEastAsia" w:cstheme="minorBidi"/>
          <w:szCs w:val="22"/>
        </w:rPr>
        <w:tab/>
      </w:r>
      <w:r>
        <w:rPr>
          <w:rStyle w:val="23"/>
          <w:rFonts w:hint="eastAsia" w:ascii="宋体" w:hAnsi="宋体" w:eastAsia="宋体" w:cs="宋体"/>
        </w:rPr>
        <w:t>集水池</w:t>
      </w:r>
      <w:r>
        <w:tab/>
      </w:r>
      <w:r>
        <w:fldChar w:fldCharType="begin"/>
      </w:r>
      <w:r>
        <w:instrText xml:space="preserve"> PAGEREF _Toc515281051 \h </w:instrText>
      </w:r>
      <w:r>
        <w:fldChar w:fldCharType="separate"/>
      </w:r>
      <w:r>
        <w:t>138</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"_Toc515281052" </w:instrText>
      </w:r>
      <w:r>
        <w:fldChar w:fldCharType="separate"/>
      </w:r>
      <w:r>
        <w:rPr>
          <w:rStyle w:val="23"/>
        </w:rPr>
        <w:t>6.3</w:t>
      </w:r>
      <w:r>
        <w:rPr>
          <w:rFonts w:asciiTheme="minorHAnsi" w:hAnsiTheme="minorHAnsi" w:eastAsiaTheme="minorEastAsia" w:cstheme="minorBidi"/>
          <w:szCs w:val="22"/>
        </w:rPr>
        <w:tab/>
      </w:r>
      <w:r>
        <w:rPr>
          <w:rStyle w:val="23"/>
          <w:rFonts w:hint="eastAsia" w:ascii="宋体" w:hAnsi="宋体" w:eastAsia="宋体" w:cs="宋体"/>
        </w:rPr>
        <w:t>泵房设计</w:t>
      </w:r>
      <w:r>
        <w:tab/>
      </w:r>
      <w:r>
        <w:fldChar w:fldCharType="begin"/>
      </w:r>
      <w:r>
        <w:instrText xml:space="preserve"> PAGEREF _Toc515281052 \h </w:instrText>
      </w:r>
      <w:r>
        <w:fldChar w:fldCharType="separate"/>
      </w:r>
      <w:r>
        <w:t>142</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"_Toc515281053" </w:instrText>
      </w:r>
      <w:r>
        <w:fldChar w:fldCharType="separate"/>
      </w:r>
      <w:r>
        <w:rPr>
          <w:rStyle w:val="23"/>
        </w:rPr>
        <w:t>6.4</w:t>
      </w:r>
      <w:r>
        <w:rPr>
          <w:rFonts w:asciiTheme="minorHAnsi" w:hAnsiTheme="minorHAnsi" w:eastAsiaTheme="minorEastAsia" w:cstheme="minorBidi"/>
          <w:szCs w:val="22"/>
        </w:rPr>
        <w:tab/>
      </w:r>
      <w:r>
        <w:rPr>
          <w:rStyle w:val="23"/>
          <w:rFonts w:hint="eastAsia" w:ascii="宋体" w:hAnsi="宋体" w:eastAsia="宋体" w:cs="宋体"/>
        </w:rPr>
        <w:t>出水设施</w:t>
      </w:r>
      <w:r>
        <w:tab/>
      </w:r>
      <w:r>
        <w:fldChar w:fldCharType="begin"/>
      </w:r>
      <w:r>
        <w:instrText xml:space="preserve"> PAGEREF _Toc515281053 \h </w:instrText>
      </w:r>
      <w:r>
        <w:fldChar w:fldCharType="separate"/>
      </w:r>
      <w:r>
        <w:t>147</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"_Toc515281054" </w:instrText>
      </w:r>
      <w:r>
        <w:fldChar w:fldCharType="separate"/>
      </w:r>
      <w:r>
        <w:rPr>
          <w:rStyle w:val="23"/>
        </w:rPr>
        <w:t xml:space="preserve">7 </w:t>
      </w:r>
      <w:r>
        <w:rPr>
          <w:rStyle w:val="23"/>
          <w:rFonts w:hint="eastAsia" w:ascii="宋体" w:hAnsi="宋体" w:eastAsia="宋体" w:cs="宋体"/>
        </w:rPr>
        <w:t>污水和再生水处理</w:t>
      </w:r>
      <w:r>
        <w:tab/>
      </w:r>
      <w:r>
        <w:fldChar w:fldCharType="begin"/>
      </w:r>
      <w:r>
        <w:instrText xml:space="preserve"> PAGEREF _Toc515281054 \h </w:instrText>
      </w:r>
      <w:r>
        <w:fldChar w:fldCharType="separate"/>
      </w:r>
      <w:r>
        <w:t>150</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"_Toc515281055" </w:instrText>
      </w:r>
      <w:r>
        <w:fldChar w:fldCharType="separate"/>
      </w:r>
      <w:r>
        <w:rPr>
          <w:rStyle w:val="23"/>
        </w:rPr>
        <w:t>7.1</w:t>
      </w:r>
      <w:r>
        <w:rPr>
          <w:rFonts w:asciiTheme="minorHAnsi" w:hAnsiTheme="minorHAnsi" w:eastAsiaTheme="minorEastAsia" w:cstheme="minorBidi"/>
          <w:szCs w:val="22"/>
        </w:rPr>
        <w:tab/>
      </w:r>
      <w:r>
        <w:rPr>
          <w:rStyle w:val="23"/>
          <w:rFonts w:hint="eastAsia" w:ascii="宋体" w:hAnsi="宋体" w:eastAsia="宋体" w:cs="宋体"/>
        </w:rPr>
        <w:t>一般规定</w:t>
      </w:r>
      <w:r>
        <w:tab/>
      </w:r>
      <w:r>
        <w:fldChar w:fldCharType="begin"/>
      </w:r>
      <w:r>
        <w:instrText xml:space="preserve"> PAGEREF _Toc515281055 \h </w:instrText>
      </w:r>
      <w:r>
        <w:fldChar w:fldCharType="separate"/>
      </w:r>
      <w:r>
        <w:t>150</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"_Toc515281056" </w:instrText>
      </w:r>
      <w:r>
        <w:fldChar w:fldCharType="separate"/>
      </w:r>
      <w:r>
        <w:rPr>
          <w:rStyle w:val="23"/>
        </w:rPr>
        <w:t>7.2</w:t>
      </w:r>
      <w:r>
        <w:rPr>
          <w:rFonts w:asciiTheme="minorHAnsi" w:hAnsiTheme="minorHAnsi" w:eastAsiaTheme="minorEastAsia" w:cstheme="minorBidi"/>
          <w:szCs w:val="22"/>
        </w:rPr>
        <w:tab/>
      </w:r>
      <w:r>
        <w:rPr>
          <w:rStyle w:val="23"/>
          <w:rFonts w:hint="eastAsia" w:ascii="宋体" w:hAnsi="宋体" w:eastAsia="宋体" w:cs="宋体"/>
        </w:rPr>
        <w:t>厂址选择和总体布置</w:t>
      </w:r>
      <w:r>
        <w:tab/>
      </w:r>
      <w:r>
        <w:fldChar w:fldCharType="begin"/>
      </w:r>
      <w:r>
        <w:instrText xml:space="preserve"> PAGEREF _Toc515281056 \h </w:instrText>
      </w:r>
      <w:r>
        <w:fldChar w:fldCharType="separate"/>
      </w:r>
      <w:r>
        <w:t>154</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"_Toc515281057" </w:instrText>
      </w:r>
      <w:r>
        <w:fldChar w:fldCharType="separate"/>
      </w:r>
      <w:r>
        <w:rPr>
          <w:rStyle w:val="23"/>
        </w:rPr>
        <w:t>7.3</w:t>
      </w:r>
      <w:r>
        <w:rPr>
          <w:rFonts w:asciiTheme="minorHAnsi" w:hAnsiTheme="minorHAnsi" w:eastAsiaTheme="minorEastAsia" w:cstheme="minorBidi"/>
          <w:szCs w:val="22"/>
        </w:rPr>
        <w:tab/>
      </w:r>
      <w:r>
        <w:rPr>
          <w:rStyle w:val="23"/>
          <w:rFonts w:hint="eastAsia" w:ascii="宋体" w:hAnsi="宋体" w:eastAsia="宋体" w:cs="宋体"/>
        </w:rPr>
        <w:t>格</w:t>
      </w:r>
      <w:r>
        <w:rPr>
          <w:rStyle w:val="23"/>
        </w:rPr>
        <w:t xml:space="preserve"> </w:t>
      </w:r>
      <w:r>
        <w:rPr>
          <w:rStyle w:val="23"/>
          <w:rFonts w:hint="eastAsia" w:ascii="宋体" w:hAnsi="宋体" w:eastAsia="宋体" w:cs="宋体"/>
        </w:rPr>
        <w:t>栅</w:t>
      </w:r>
      <w:r>
        <w:tab/>
      </w:r>
      <w:r>
        <w:fldChar w:fldCharType="begin"/>
      </w:r>
      <w:r>
        <w:instrText xml:space="preserve"> PAGEREF _Toc515281057 \h </w:instrText>
      </w:r>
      <w:r>
        <w:fldChar w:fldCharType="separate"/>
      </w:r>
      <w:r>
        <w:t>164</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"_Toc515281058" </w:instrText>
      </w:r>
      <w:r>
        <w:fldChar w:fldCharType="separate"/>
      </w:r>
      <w:r>
        <w:rPr>
          <w:rStyle w:val="23"/>
        </w:rPr>
        <w:t>7.4</w:t>
      </w:r>
      <w:r>
        <w:rPr>
          <w:rFonts w:asciiTheme="minorHAnsi" w:hAnsiTheme="minorHAnsi" w:eastAsiaTheme="minorEastAsia" w:cstheme="minorBidi"/>
          <w:szCs w:val="22"/>
        </w:rPr>
        <w:tab/>
      </w:r>
      <w:r>
        <w:rPr>
          <w:rStyle w:val="23"/>
          <w:rFonts w:hint="eastAsia" w:ascii="宋体" w:hAnsi="宋体" w:eastAsia="宋体" w:cs="宋体"/>
        </w:rPr>
        <w:t>沉砂池</w:t>
      </w:r>
      <w:r>
        <w:tab/>
      </w:r>
      <w:r>
        <w:fldChar w:fldCharType="begin"/>
      </w:r>
      <w:r>
        <w:instrText xml:space="preserve"> PAGEREF _Toc515281058 \h </w:instrText>
      </w:r>
      <w:r>
        <w:fldChar w:fldCharType="separate"/>
      </w:r>
      <w:r>
        <w:t>167</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"_Toc515281059" </w:instrText>
      </w:r>
      <w:r>
        <w:fldChar w:fldCharType="separate"/>
      </w:r>
      <w:r>
        <w:rPr>
          <w:rStyle w:val="23"/>
        </w:rPr>
        <w:t>7.5</w:t>
      </w:r>
      <w:r>
        <w:rPr>
          <w:rFonts w:asciiTheme="minorHAnsi" w:hAnsiTheme="minorHAnsi" w:eastAsiaTheme="minorEastAsia" w:cstheme="minorBidi"/>
          <w:szCs w:val="22"/>
        </w:rPr>
        <w:tab/>
      </w:r>
      <w:r>
        <w:rPr>
          <w:rStyle w:val="23"/>
          <w:rFonts w:hint="eastAsia" w:ascii="宋体" w:hAnsi="宋体" w:eastAsia="宋体" w:cs="宋体"/>
        </w:rPr>
        <w:t>沉淀池</w:t>
      </w:r>
      <w:r>
        <w:tab/>
      </w:r>
      <w:r>
        <w:fldChar w:fldCharType="begin"/>
      </w:r>
      <w:r>
        <w:instrText xml:space="preserve"> PAGEREF _Toc515281059 \h </w:instrText>
      </w:r>
      <w:r>
        <w:fldChar w:fldCharType="separate"/>
      </w:r>
      <w:r>
        <w:t>173</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"_Toc515281060" </w:instrText>
      </w:r>
      <w:r>
        <w:fldChar w:fldCharType="separate"/>
      </w:r>
      <w:r>
        <w:rPr>
          <w:rStyle w:val="23"/>
        </w:rPr>
        <w:t>7.6</w:t>
      </w:r>
      <w:r>
        <w:rPr>
          <w:rFonts w:asciiTheme="minorHAnsi" w:hAnsiTheme="minorHAnsi" w:eastAsiaTheme="minorEastAsia" w:cstheme="minorBidi"/>
          <w:szCs w:val="22"/>
        </w:rPr>
        <w:tab/>
      </w:r>
      <w:r>
        <w:rPr>
          <w:rStyle w:val="23"/>
          <w:rFonts w:hint="eastAsia" w:ascii="宋体" w:hAnsi="宋体" w:eastAsia="宋体" w:cs="宋体"/>
        </w:rPr>
        <w:t>活性污泥法</w:t>
      </w:r>
      <w:r>
        <w:tab/>
      </w:r>
      <w:r>
        <w:fldChar w:fldCharType="begin"/>
      </w:r>
      <w:r>
        <w:instrText xml:space="preserve"> PAGEREF _Toc515281060 \h </w:instrText>
      </w:r>
      <w:r>
        <w:fldChar w:fldCharType="separate"/>
      </w:r>
      <w:r>
        <w:t>180</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"_Toc515281061" </w:instrText>
      </w:r>
      <w:r>
        <w:fldChar w:fldCharType="separate"/>
      </w:r>
      <w:r>
        <w:rPr>
          <w:rStyle w:val="23"/>
        </w:rPr>
        <w:t>7.7</w:t>
      </w:r>
      <w:r>
        <w:rPr>
          <w:rFonts w:asciiTheme="minorHAnsi" w:hAnsiTheme="minorHAnsi" w:eastAsiaTheme="minorEastAsia" w:cstheme="minorBidi"/>
          <w:szCs w:val="22"/>
        </w:rPr>
        <w:tab/>
      </w:r>
      <w:r>
        <w:rPr>
          <w:rStyle w:val="23"/>
          <w:rFonts w:hint="eastAsia" w:ascii="宋体" w:hAnsi="宋体" w:eastAsia="宋体" w:cs="宋体"/>
        </w:rPr>
        <w:t>回流污泥和剩余污泥</w:t>
      </w:r>
      <w:r>
        <w:tab/>
      </w:r>
      <w:r>
        <w:fldChar w:fldCharType="begin"/>
      </w:r>
      <w:r>
        <w:instrText xml:space="preserve"> PAGEREF _Toc515281061 \h </w:instrText>
      </w:r>
      <w:r>
        <w:fldChar w:fldCharType="separate"/>
      </w:r>
      <w:r>
        <w:t>211</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"_Toc515281062" </w:instrText>
      </w:r>
      <w:r>
        <w:fldChar w:fldCharType="separate"/>
      </w:r>
      <w:r>
        <w:rPr>
          <w:rStyle w:val="23"/>
        </w:rPr>
        <w:t>7.8</w:t>
      </w:r>
      <w:r>
        <w:rPr>
          <w:rFonts w:asciiTheme="minorHAnsi" w:hAnsiTheme="minorHAnsi" w:eastAsiaTheme="minorEastAsia" w:cstheme="minorBidi"/>
          <w:szCs w:val="22"/>
        </w:rPr>
        <w:tab/>
      </w:r>
      <w:r>
        <w:rPr>
          <w:rStyle w:val="23"/>
          <w:rFonts w:hint="eastAsia" w:ascii="宋体" w:hAnsi="宋体" w:eastAsia="宋体" w:cs="宋体"/>
        </w:rPr>
        <w:t>生物膜法</w:t>
      </w:r>
      <w:r>
        <w:tab/>
      </w:r>
      <w:r>
        <w:fldChar w:fldCharType="begin"/>
      </w:r>
      <w:r>
        <w:instrText xml:space="preserve"> PAGEREF _Toc515281062 \h </w:instrText>
      </w:r>
      <w:r>
        <w:fldChar w:fldCharType="separate"/>
      </w:r>
      <w:r>
        <w:t>214</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"_Toc515281063" </w:instrText>
      </w:r>
      <w:r>
        <w:fldChar w:fldCharType="separate"/>
      </w:r>
      <w:r>
        <w:rPr>
          <w:rStyle w:val="23"/>
        </w:rPr>
        <w:t>7.9</w:t>
      </w:r>
      <w:r>
        <w:rPr>
          <w:rFonts w:asciiTheme="minorHAnsi" w:hAnsiTheme="minorHAnsi" w:eastAsiaTheme="minorEastAsia" w:cstheme="minorBidi"/>
          <w:szCs w:val="22"/>
        </w:rPr>
        <w:tab/>
      </w:r>
      <w:r>
        <w:rPr>
          <w:rStyle w:val="23"/>
          <w:rFonts w:hint="eastAsia" w:ascii="宋体" w:hAnsi="宋体" w:eastAsia="宋体" w:cs="宋体"/>
        </w:rPr>
        <w:t>供氧设施</w:t>
      </w:r>
      <w:r>
        <w:tab/>
      </w:r>
      <w:r>
        <w:fldChar w:fldCharType="begin"/>
      </w:r>
      <w:r>
        <w:instrText xml:space="preserve"> PAGEREF _Toc515281063 \h </w:instrText>
      </w:r>
      <w:r>
        <w:fldChar w:fldCharType="separate"/>
      </w:r>
      <w:r>
        <w:t>228</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"_Toc515281064" </w:instrText>
      </w:r>
      <w:r>
        <w:fldChar w:fldCharType="separate"/>
      </w:r>
      <w:r>
        <w:rPr>
          <w:rStyle w:val="23"/>
        </w:rPr>
        <w:t>7.10</w:t>
      </w:r>
      <w:r>
        <w:rPr>
          <w:rFonts w:asciiTheme="minorHAnsi" w:hAnsiTheme="minorHAnsi" w:eastAsiaTheme="minorEastAsia" w:cstheme="minorBidi"/>
          <w:szCs w:val="22"/>
        </w:rPr>
        <w:tab/>
      </w:r>
      <w:r>
        <w:rPr>
          <w:rStyle w:val="23"/>
          <w:rFonts w:hint="eastAsia" w:ascii="宋体" w:hAnsi="宋体" w:eastAsia="宋体" w:cs="宋体"/>
        </w:rPr>
        <w:t>化学除磷</w:t>
      </w:r>
      <w:r>
        <w:tab/>
      </w:r>
      <w:r>
        <w:fldChar w:fldCharType="begin"/>
      </w:r>
      <w:r>
        <w:instrText xml:space="preserve"> PAGEREF _Toc515281064 \h </w:instrText>
      </w:r>
      <w:r>
        <w:fldChar w:fldCharType="separate"/>
      </w:r>
      <w:r>
        <w:t>236</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"_Toc515281065" </w:instrText>
      </w:r>
      <w:r>
        <w:fldChar w:fldCharType="separate"/>
      </w:r>
      <w:r>
        <w:rPr>
          <w:rStyle w:val="23"/>
        </w:rPr>
        <w:t>7.11</w:t>
      </w:r>
      <w:r>
        <w:rPr>
          <w:rFonts w:asciiTheme="minorHAnsi" w:hAnsiTheme="minorHAnsi" w:eastAsiaTheme="minorEastAsia" w:cstheme="minorBidi"/>
          <w:szCs w:val="22"/>
        </w:rPr>
        <w:tab/>
      </w:r>
      <w:r>
        <w:rPr>
          <w:rStyle w:val="23"/>
          <w:rFonts w:hint="eastAsia" w:ascii="宋体" w:hAnsi="宋体" w:eastAsia="宋体" w:cs="宋体"/>
        </w:rPr>
        <w:t>污水深度和再生处理</w:t>
      </w:r>
      <w:r>
        <w:tab/>
      </w:r>
      <w:r>
        <w:fldChar w:fldCharType="begin"/>
      </w:r>
      <w:r>
        <w:instrText xml:space="preserve"> PAGEREF _Toc515281065 \h </w:instrText>
      </w:r>
      <w:r>
        <w:fldChar w:fldCharType="separate"/>
      </w:r>
      <w:r>
        <w:t>240</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"_Toc515281066" </w:instrText>
      </w:r>
      <w:r>
        <w:fldChar w:fldCharType="separate"/>
      </w:r>
      <w:r>
        <w:rPr>
          <w:rStyle w:val="23"/>
        </w:rPr>
        <w:t>7.12</w:t>
      </w:r>
      <w:r>
        <w:rPr>
          <w:rFonts w:asciiTheme="minorHAnsi" w:hAnsiTheme="minorHAnsi" w:eastAsiaTheme="minorEastAsia" w:cstheme="minorBidi"/>
          <w:szCs w:val="22"/>
        </w:rPr>
        <w:tab/>
      </w:r>
      <w:r>
        <w:rPr>
          <w:rStyle w:val="23"/>
          <w:rFonts w:hint="eastAsia" w:ascii="宋体" w:hAnsi="宋体" w:eastAsia="宋体" w:cs="宋体"/>
        </w:rPr>
        <w:t>污水自然处理</w:t>
      </w:r>
      <w:r>
        <w:tab/>
      </w:r>
      <w:r>
        <w:fldChar w:fldCharType="begin"/>
      </w:r>
      <w:r>
        <w:instrText xml:space="preserve"> PAGEREF _Toc515281066 \h </w:instrText>
      </w:r>
      <w:r>
        <w:fldChar w:fldCharType="separate"/>
      </w:r>
      <w:r>
        <w:t>248</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"_Toc515281067" </w:instrText>
      </w:r>
      <w:r>
        <w:fldChar w:fldCharType="separate"/>
      </w:r>
      <w:r>
        <w:rPr>
          <w:rStyle w:val="23"/>
        </w:rPr>
        <w:t>7.13</w:t>
      </w:r>
      <w:r>
        <w:rPr>
          <w:rFonts w:asciiTheme="minorHAnsi" w:hAnsiTheme="minorHAnsi" w:eastAsiaTheme="minorEastAsia" w:cstheme="minorBidi"/>
          <w:szCs w:val="22"/>
        </w:rPr>
        <w:tab/>
      </w:r>
      <w:r>
        <w:rPr>
          <w:rStyle w:val="23"/>
          <w:rFonts w:hint="eastAsia" w:ascii="宋体" w:hAnsi="宋体" w:eastAsia="宋体" w:cs="宋体"/>
        </w:rPr>
        <w:t>消</w:t>
      </w:r>
      <w:r>
        <w:rPr>
          <w:rStyle w:val="23"/>
        </w:rPr>
        <w:t xml:space="preserve"> </w:t>
      </w:r>
      <w:r>
        <w:rPr>
          <w:rStyle w:val="23"/>
          <w:rFonts w:hint="eastAsia" w:ascii="宋体" w:hAnsi="宋体" w:eastAsia="宋体" w:cs="宋体"/>
        </w:rPr>
        <w:t>毒</w:t>
      </w:r>
      <w:r>
        <w:tab/>
      </w:r>
      <w:r>
        <w:fldChar w:fldCharType="begin"/>
      </w:r>
      <w:r>
        <w:instrText xml:space="preserve"> PAGEREF _Toc515281067 \h </w:instrText>
      </w:r>
      <w:r>
        <w:fldChar w:fldCharType="separate"/>
      </w:r>
      <w:r>
        <w:t>259</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"_Toc515281068" </w:instrText>
      </w:r>
      <w:r>
        <w:fldChar w:fldCharType="separate"/>
      </w:r>
      <w:r>
        <w:rPr>
          <w:rStyle w:val="23"/>
        </w:rPr>
        <w:t>7.14</w:t>
      </w:r>
      <w:r>
        <w:rPr>
          <w:rFonts w:asciiTheme="minorHAnsi" w:hAnsiTheme="minorHAnsi" w:eastAsiaTheme="minorEastAsia" w:cstheme="minorBidi"/>
          <w:szCs w:val="22"/>
        </w:rPr>
        <w:tab/>
      </w:r>
      <w:r>
        <w:rPr>
          <w:rStyle w:val="23"/>
          <w:rFonts w:hint="eastAsia" w:ascii="宋体" w:hAnsi="宋体" w:eastAsia="宋体" w:cs="宋体"/>
        </w:rPr>
        <w:t>除臭</w:t>
      </w:r>
      <w:r>
        <w:tab/>
      </w:r>
      <w:r>
        <w:fldChar w:fldCharType="begin"/>
      </w:r>
      <w:r>
        <w:instrText xml:space="preserve"> PAGEREF _Toc515281068 \h </w:instrText>
      </w:r>
      <w:r>
        <w:fldChar w:fldCharType="separate"/>
      </w:r>
      <w:r>
        <w:t>265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"_Toc515281069" </w:instrText>
      </w:r>
      <w:r>
        <w:fldChar w:fldCharType="separate"/>
      </w:r>
      <w:r>
        <w:rPr>
          <w:rStyle w:val="23"/>
        </w:rPr>
        <w:t xml:space="preserve">8 </w:t>
      </w:r>
      <w:r>
        <w:rPr>
          <w:rStyle w:val="23"/>
          <w:rFonts w:hint="eastAsia" w:ascii="宋体" w:hAnsi="宋体" w:eastAsia="宋体" w:cs="宋体"/>
        </w:rPr>
        <w:t>污泥处理和处置</w:t>
      </w:r>
      <w:r>
        <w:tab/>
      </w:r>
      <w:r>
        <w:fldChar w:fldCharType="begin"/>
      </w:r>
      <w:r>
        <w:instrText xml:space="preserve"> PAGEREF _Toc515281069 \h </w:instrText>
      </w:r>
      <w:r>
        <w:fldChar w:fldCharType="separate"/>
      </w:r>
      <w:r>
        <w:t>273</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"_Toc515281070" </w:instrText>
      </w:r>
      <w:r>
        <w:fldChar w:fldCharType="separate"/>
      </w:r>
      <w:r>
        <w:rPr>
          <w:rStyle w:val="23"/>
        </w:rPr>
        <w:t>8.1</w:t>
      </w:r>
      <w:r>
        <w:rPr>
          <w:rFonts w:asciiTheme="minorHAnsi" w:hAnsiTheme="minorHAnsi" w:eastAsiaTheme="minorEastAsia" w:cstheme="minorBidi"/>
          <w:szCs w:val="22"/>
        </w:rPr>
        <w:tab/>
      </w:r>
      <w:r>
        <w:rPr>
          <w:rStyle w:val="23"/>
          <w:rFonts w:hint="eastAsia" w:ascii="宋体" w:hAnsi="宋体" w:eastAsia="宋体" w:cs="宋体"/>
        </w:rPr>
        <w:t>一般规定</w:t>
      </w:r>
      <w:r>
        <w:tab/>
      </w:r>
      <w:r>
        <w:fldChar w:fldCharType="begin"/>
      </w:r>
      <w:r>
        <w:instrText xml:space="preserve"> PAGEREF _Toc515281070 \h </w:instrText>
      </w:r>
      <w:r>
        <w:fldChar w:fldCharType="separate"/>
      </w:r>
      <w:r>
        <w:t>273</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"_Toc515281071" </w:instrText>
      </w:r>
      <w:r>
        <w:fldChar w:fldCharType="separate"/>
      </w:r>
      <w:r>
        <w:rPr>
          <w:rStyle w:val="23"/>
        </w:rPr>
        <w:t>8.2</w:t>
      </w:r>
      <w:r>
        <w:rPr>
          <w:rFonts w:asciiTheme="minorHAnsi" w:hAnsiTheme="minorHAnsi" w:eastAsiaTheme="minorEastAsia" w:cstheme="minorBidi"/>
          <w:szCs w:val="22"/>
        </w:rPr>
        <w:tab/>
      </w:r>
      <w:r>
        <w:rPr>
          <w:rStyle w:val="23"/>
          <w:rFonts w:hint="eastAsia" w:ascii="宋体" w:hAnsi="宋体" w:eastAsia="宋体" w:cs="宋体"/>
        </w:rPr>
        <w:t>污泥浓缩</w:t>
      </w:r>
      <w:r>
        <w:tab/>
      </w:r>
      <w:r>
        <w:fldChar w:fldCharType="begin"/>
      </w:r>
      <w:r>
        <w:instrText xml:space="preserve"> PAGEREF _Toc515281071 \h </w:instrText>
      </w:r>
      <w:r>
        <w:fldChar w:fldCharType="separate"/>
      </w:r>
      <w:r>
        <w:t>277</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"_Toc515281072" </w:instrText>
      </w:r>
      <w:r>
        <w:fldChar w:fldCharType="separate"/>
      </w:r>
      <w:r>
        <w:rPr>
          <w:rStyle w:val="23"/>
        </w:rPr>
        <w:t>8.3</w:t>
      </w:r>
      <w:r>
        <w:rPr>
          <w:rFonts w:asciiTheme="minorHAnsi" w:hAnsiTheme="minorHAnsi" w:eastAsiaTheme="minorEastAsia" w:cstheme="minorBidi"/>
          <w:szCs w:val="22"/>
        </w:rPr>
        <w:tab/>
      </w:r>
      <w:r>
        <w:rPr>
          <w:rStyle w:val="23"/>
          <w:rFonts w:hint="eastAsia" w:ascii="宋体" w:hAnsi="宋体" w:eastAsia="宋体" w:cs="宋体"/>
        </w:rPr>
        <w:t>污泥消化</w:t>
      </w:r>
      <w:r>
        <w:tab/>
      </w:r>
      <w:r>
        <w:fldChar w:fldCharType="begin"/>
      </w:r>
      <w:r>
        <w:instrText xml:space="preserve"> PAGEREF _Toc515281072 \h </w:instrText>
      </w:r>
      <w:r>
        <w:fldChar w:fldCharType="separate"/>
      </w:r>
      <w:r>
        <w:t>279</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"_Toc515281073" </w:instrText>
      </w:r>
      <w:r>
        <w:fldChar w:fldCharType="separate"/>
      </w:r>
      <w:r>
        <w:rPr>
          <w:rStyle w:val="23"/>
        </w:rPr>
        <w:t>8.4</w:t>
      </w:r>
      <w:r>
        <w:rPr>
          <w:rFonts w:asciiTheme="minorHAnsi" w:hAnsiTheme="minorHAnsi" w:eastAsiaTheme="minorEastAsia" w:cstheme="minorBidi"/>
          <w:szCs w:val="22"/>
        </w:rPr>
        <w:tab/>
      </w:r>
      <w:r>
        <w:rPr>
          <w:rStyle w:val="23"/>
          <w:rFonts w:hint="eastAsia" w:ascii="宋体" w:hAnsi="宋体" w:eastAsia="宋体" w:cs="宋体"/>
        </w:rPr>
        <w:t>污泥好氧发酵</w:t>
      </w:r>
      <w:r>
        <w:tab/>
      </w:r>
      <w:r>
        <w:fldChar w:fldCharType="begin"/>
      </w:r>
      <w:r>
        <w:instrText xml:space="preserve"> PAGEREF _Toc515281073 \h </w:instrText>
      </w:r>
      <w:r>
        <w:fldChar w:fldCharType="separate"/>
      </w:r>
      <w:r>
        <w:t>297</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"_Toc515281074" </w:instrText>
      </w:r>
      <w:r>
        <w:fldChar w:fldCharType="separate"/>
      </w:r>
      <w:r>
        <w:rPr>
          <w:rStyle w:val="23"/>
        </w:rPr>
        <w:t>8.5</w:t>
      </w:r>
      <w:r>
        <w:rPr>
          <w:rFonts w:asciiTheme="minorHAnsi" w:hAnsiTheme="minorHAnsi" w:eastAsiaTheme="minorEastAsia" w:cstheme="minorBidi"/>
          <w:szCs w:val="22"/>
        </w:rPr>
        <w:tab/>
      </w:r>
      <w:r>
        <w:rPr>
          <w:rStyle w:val="23"/>
          <w:rFonts w:hint="eastAsia" w:ascii="宋体" w:hAnsi="宋体" w:eastAsia="宋体" w:cs="宋体"/>
        </w:rPr>
        <w:t>污泥机械脱水</w:t>
      </w:r>
      <w:r>
        <w:tab/>
      </w:r>
      <w:r>
        <w:fldChar w:fldCharType="begin"/>
      </w:r>
      <w:r>
        <w:instrText xml:space="preserve"> PAGEREF _Toc515281074 \h </w:instrText>
      </w:r>
      <w:r>
        <w:fldChar w:fldCharType="separate"/>
      </w:r>
      <w:r>
        <w:t>303</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"_Toc515281075" </w:instrText>
      </w:r>
      <w:r>
        <w:fldChar w:fldCharType="separate"/>
      </w:r>
      <w:r>
        <w:rPr>
          <w:rStyle w:val="23"/>
        </w:rPr>
        <w:t>8.6</w:t>
      </w:r>
      <w:r>
        <w:rPr>
          <w:rFonts w:asciiTheme="minorHAnsi" w:hAnsiTheme="minorHAnsi" w:eastAsiaTheme="minorEastAsia" w:cstheme="minorBidi"/>
          <w:szCs w:val="22"/>
        </w:rPr>
        <w:tab/>
      </w:r>
      <w:r>
        <w:rPr>
          <w:rStyle w:val="23"/>
          <w:rFonts w:hint="eastAsia" w:ascii="宋体" w:hAnsi="宋体" w:eastAsia="宋体" w:cs="宋体"/>
        </w:rPr>
        <w:t>污泥石灰稳定</w:t>
      </w:r>
      <w:r>
        <w:tab/>
      </w:r>
      <w:r>
        <w:fldChar w:fldCharType="begin"/>
      </w:r>
      <w:r>
        <w:instrText xml:space="preserve"> PAGEREF _Toc515281075 \h </w:instrText>
      </w:r>
      <w:r>
        <w:fldChar w:fldCharType="separate"/>
      </w:r>
      <w:r>
        <w:t>311</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"_Toc515281076" </w:instrText>
      </w:r>
      <w:r>
        <w:fldChar w:fldCharType="separate"/>
      </w:r>
      <w:r>
        <w:rPr>
          <w:rStyle w:val="23"/>
        </w:rPr>
        <w:t>8.7</w:t>
      </w:r>
      <w:r>
        <w:rPr>
          <w:rFonts w:asciiTheme="minorHAnsi" w:hAnsiTheme="minorHAnsi" w:eastAsiaTheme="minorEastAsia" w:cstheme="minorBidi"/>
          <w:szCs w:val="22"/>
        </w:rPr>
        <w:tab/>
      </w:r>
      <w:r>
        <w:rPr>
          <w:rStyle w:val="23"/>
          <w:rFonts w:hint="eastAsia" w:ascii="宋体" w:hAnsi="宋体" w:eastAsia="宋体" w:cs="宋体"/>
        </w:rPr>
        <w:t>污泥干化</w:t>
      </w:r>
      <w:r>
        <w:tab/>
      </w:r>
      <w:r>
        <w:fldChar w:fldCharType="begin"/>
      </w:r>
      <w:r>
        <w:instrText xml:space="preserve"> PAGEREF _Toc515281076 \h </w:instrText>
      </w:r>
      <w:r>
        <w:fldChar w:fldCharType="separate"/>
      </w:r>
      <w:r>
        <w:t>312</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"_Toc515281077" </w:instrText>
      </w:r>
      <w:r>
        <w:fldChar w:fldCharType="separate"/>
      </w:r>
      <w:r>
        <w:rPr>
          <w:rStyle w:val="23"/>
        </w:rPr>
        <w:t>8.8</w:t>
      </w:r>
      <w:r>
        <w:rPr>
          <w:rFonts w:asciiTheme="minorHAnsi" w:hAnsiTheme="minorHAnsi" w:eastAsiaTheme="minorEastAsia" w:cstheme="minorBidi"/>
          <w:szCs w:val="22"/>
        </w:rPr>
        <w:tab/>
      </w:r>
      <w:r>
        <w:rPr>
          <w:rStyle w:val="23"/>
          <w:rFonts w:hint="eastAsia" w:ascii="宋体" w:hAnsi="宋体" w:eastAsia="宋体" w:cs="宋体"/>
        </w:rPr>
        <w:t>污泥焚烧</w:t>
      </w:r>
      <w:r>
        <w:tab/>
      </w:r>
      <w:r>
        <w:fldChar w:fldCharType="begin"/>
      </w:r>
      <w:r>
        <w:instrText xml:space="preserve"> PAGEREF _Toc515281077 \h </w:instrText>
      </w:r>
      <w:r>
        <w:fldChar w:fldCharType="separate"/>
      </w:r>
      <w:r>
        <w:t>316</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"_Toc515281078" </w:instrText>
      </w:r>
      <w:r>
        <w:fldChar w:fldCharType="separate"/>
      </w:r>
      <w:r>
        <w:rPr>
          <w:rStyle w:val="23"/>
        </w:rPr>
        <w:t>8.9</w:t>
      </w:r>
      <w:r>
        <w:rPr>
          <w:rFonts w:asciiTheme="minorHAnsi" w:hAnsiTheme="minorHAnsi" w:eastAsiaTheme="minorEastAsia" w:cstheme="minorBidi"/>
          <w:szCs w:val="22"/>
        </w:rPr>
        <w:tab/>
      </w:r>
      <w:r>
        <w:rPr>
          <w:rStyle w:val="23"/>
          <w:rFonts w:hint="eastAsia" w:ascii="宋体" w:hAnsi="宋体" w:eastAsia="宋体" w:cs="宋体"/>
        </w:rPr>
        <w:t>污泥处置和综合利用</w:t>
      </w:r>
      <w:r>
        <w:tab/>
      </w:r>
      <w:r>
        <w:fldChar w:fldCharType="begin"/>
      </w:r>
      <w:r>
        <w:instrText xml:space="preserve"> PAGEREF _Toc515281078 \h </w:instrText>
      </w:r>
      <w:r>
        <w:fldChar w:fldCharType="separate"/>
      </w:r>
      <w:r>
        <w:t>318</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"_Toc515281079" </w:instrText>
      </w:r>
      <w:r>
        <w:fldChar w:fldCharType="separate"/>
      </w:r>
      <w:r>
        <w:rPr>
          <w:rStyle w:val="23"/>
        </w:rPr>
        <w:t>8.10</w:t>
      </w:r>
      <w:r>
        <w:rPr>
          <w:rFonts w:asciiTheme="minorHAnsi" w:hAnsiTheme="minorHAnsi" w:eastAsiaTheme="minorEastAsia" w:cstheme="minorBidi"/>
          <w:szCs w:val="22"/>
        </w:rPr>
        <w:tab/>
      </w:r>
      <w:r>
        <w:rPr>
          <w:rStyle w:val="23"/>
          <w:rFonts w:hint="eastAsia" w:ascii="宋体" w:hAnsi="宋体" w:eastAsia="宋体" w:cs="宋体"/>
        </w:rPr>
        <w:t>污泥输送和贮存</w:t>
      </w:r>
      <w:r>
        <w:tab/>
      </w:r>
      <w:r>
        <w:fldChar w:fldCharType="begin"/>
      </w:r>
      <w:r>
        <w:instrText xml:space="preserve"> PAGEREF _Toc515281079 \h </w:instrText>
      </w:r>
      <w:r>
        <w:fldChar w:fldCharType="separate"/>
      </w:r>
      <w:r>
        <w:t>320</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"_Toc515281080" </w:instrText>
      </w:r>
      <w:r>
        <w:fldChar w:fldCharType="separate"/>
      </w:r>
      <w:r>
        <w:rPr>
          <w:rStyle w:val="23"/>
        </w:rPr>
        <w:t xml:space="preserve">9 </w:t>
      </w:r>
      <w:r>
        <w:rPr>
          <w:rStyle w:val="23"/>
          <w:rFonts w:hint="eastAsia" w:ascii="宋体" w:hAnsi="宋体" w:eastAsia="宋体" w:cs="宋体"/>
        </w:rPr>
        <w:t>智慧控制</w:t>
      </w:r>
      <w:r>
        <w:tab/>
      </w:r>
      <w:r>
        <w:fldChar w:fldCharType="begin"/>
      </w:r>
      <w:r>
        <w:instrText xml:space="preserve"> PAGEREF _Toc515281080 \h </w:instrText>
      </w:r>
      <w:r>
        <w:fldChar w:fldCharType="separate"/>
      </w:r>
      <w:r>
        <w:t>323</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"_Toc515281081" </w:instrText>
      </w:r>
      <w:r>
        <w:fldChar w:fldCharType="separate"/>
      </w:r>
      <w:r>
        <w:rPr>
          <w:rStyle w:val="23"/>
        </w:rPr>
        <w:t>9.1</w:t>
      </w:r>
      <w:r>
        <w:rPr>
          <w:rFonts w:asciiTheme="minorHAnsi" w:hAnsiTheme="minorHAnsi" w:eastAsiaTheme="minorEastAsia" w:cstheme="minorBidi"/>
          <w:szCs w:val="22"/>
        </w:rPr>
        <w:tab/>
      </w:r>
      <w:r>
        <w:rPr>
          <w:rStyle w:val="23"/>
          <w:rFonts w:hint="eastAsia" w:ascii="宋体" w:hAnsi="宋体" w:eastAsia="宋体" w:cs="宋体"/>
        </w:rPr>
        <w:t>一般规定</w:t>
      </w:r>
      <w:r>
        <w:tab/>
      </w:r>
      <w:r>
        <w:fldChar w:fldCharType="begin"/>
      </w:r>
      <w:r>
        <w:instrText xml:space="preserve"> PAGEREF _Toc515281081 \h </w:instrText>
      </w:r>
      <w:r>
        <w:fldChar w:fldCharType="separate"/>
      </w:r>
      <w:r>
        <w:t>323</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"_Toc515281082" </w:instrText>
      </w:r>
      <w:r>
        <w:fldChar w:fldCharType="separate"/>
      </w:r>
      <w:r>
        <w:rPr>
          <w:rStyle w:val="23"/>
        </w:rPr>
        <w:t>9.2</w:t>
      </w:r>
      <w:r>
        <w:rPr>
          <w:rFonts w:asciiTheme="minorHAnsi" w:hAnsiTheme="minorHAnsi" w:eastAsiaTheme="minorEastAsia" w:cstheme="minorBidi"/>
          <w:szCs w:val="22"/>
        </w:rPr>
        <w:tab/>
      </w:r>
      <w:r>
        <w:rPr>
          <w:rStyle w:val="23"/>
          <w:rFonts w:hint="eastAsia" w:ascii="宋体" w:hAnsi="宋体" w:eastAsia="宋体" w:cs="宋体"/>
        </w:rPr>
        <w:t>检</w:t>
      </w:r>
      <w:r>
        <w:rPr>
          <w:rStyle w:val="23"/>
        </w:rPr>
        <w:t xml:space="preserve"> </w:t>
      </w:r>
      <w:r>
        <w:rPr>
          <w:rStyle w:val="23"/>
          <w:rFonts w:hint="eastAsia" w:ascii="宋体" w:hAnsi="宋体" w:eastAsia="宋体" w:cs="宋体"/>
        </w:rPr>
        <w:t>测</w:t>
      </w:r>
      <w:r>
        <w:tab/>
      </w:r>
      <w:r>
        <w:fldChar w:fldCharType="begin"/>
      </w:r>
      <w:r>
        <w:instrText xml:space="preserve"> PAGEREF _Toc515281082 \h </w:instrText>
      </w:r>
      <w:r>
        <w:fldChar w:fldCharType="separate"/>
      </w:r>
      <w:r>
        <w:t>324</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"_Toc515281083" </w:instrText>
      </w:r>
      <w:r>
        <w:fldChar w:fldCharType="separate"/>
      </w:r>
      <w:r>
        <w:rPr>
          <w:rStyle w:val="23"/>
        </w:rPr>
        <w:t>9.3</w:t>
      </w:r>
      <w:r>
        <w:rPr>
          <w:rFonts w:asciiTheme="minorHAnsi" w:hAnsiTheme="minorHAnsi" w:eastAsiaTheme="minorEastAsia" w:cstheme="minorBidi"/>
          <w:szCs w:val="22"/>
        </w:rPr>
        <w:tab/>
      </w:r>
      <w:r>
        <w:rPr>
          <w:rStyle w:val="23"/>
          <w:rFonts w:hint="eastAsia" w:ascii="宋体" w:hAnsi="宋体" w:eastAsia="宋体" w:cs="宋体"/>
        </w:rPr>
        <w:t>自动化</w:t>
      </w:r>
      <w:r>
        <w:tab/>
      </w:r>
      <w:r>
        <w:fldChar w:fldCharType="begin"/>
      </w:r>
      <w:r>
        <w:instrText xml:space="preserve"> PAGEREF _Toc515281083 \h </w:instrText>
      </w:r>
      <w:r>
        <w:fldChar w:fldCharType="separate"/>
      </w:r>
      <w:r>
        <w:t>330</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"_Toc515281084" </w:instrText>
      </w:r>
      <w:r>
        <w:fldChar w:fldCharType="separate"/>
      </w:r>
      <w:r>
        <w:rPr>
          <w:rStyle w:val="23"/>
        </w:rPr>
        <w:t>9.4</w:t>
      </w:r>
      <w:r>
        <w:rPr>
          <w:rFonts w:asciiTheme="minorHAnsi" w:hAnsiTheme="minorHAnsi" w:eastAsiaTheme="minorEastAsia" w:cstheme="minorBidi"/>
          <w:szCs w:val="22"/>
        </w:rPr>
        <w:tab/>
      </w:r>
      <w:r>
        <w:rPr>
          <w:rStyle w:val="23"/>
          <w:rFonts w:hint="eastAsia" w:ascii="宋体" w:hAnsi="宋体" w:eastAsia="宋体" w:cs="宋体"/>
        </w:rPr>
        <w:t>智能化</w:t>
      </w:r>
      <w:r>
        <w:tab/>
      </w:r>
      <w:r>
        <w:fldChar w:fldCharType="begin"/>
      </w:r>
      <w:r>
        <w:instrText xml:space="preserve"> PAGEREF _Toc515281084 \h </w:instrText>
      </w:r>
      <w:r>
        <w:fldChar w:fldCharType="separate"/>
      </w:r>
      <w:r>
        <w:t>332</w:t>
      </w:r>
      <w:r>
        <w:fldChar w:fldCharType="end"/>
      </w:r>
      <w:r>
        <w:fldChar w:fldCharType="end"/>
      </w:r>
    </w:p>
    <w:p>
      <w:pPr>
        <w:pStyle w:val="18"/>
        <w:rPr>
          <w:rFonts w:asciiTheme="minorHAnsi" w:hAnsiTheme="minorHAnsi" w:eastAsiaTheme="minorEastAsia" w:cstheme="minorBidi"/>
          <w:szCs w:val="22"/>
        </w:rPr>
      </w:pPr>
      <w:r>
        <w:fldChar w:fldCharType="begin"/>
      </w:r>
      <w:r>
        <w:instrText xml:space="preserve"> HYPERLINK \l "_Toc515281085" </w:instrText>
      </w:r>
      <w:r>
        <w:fldChar w:fldCharType="separate"/>
      </w:r>
      <w:r>
        <w:rPr>
          <w:rStyle w:val="23"/>
        </w:rPr>
        <w:t>9.5</w:t>
      </w:r>
      <w:r>
        <w:rPr>
          <w:rFonts w:asciiTheme="minorHAnsi" w:hAnsiTheme="minorHAnsi" w:eastAsiaTheme="minorEastAsia" w:cstheme="minorBidi"/>
          <w:szCs w:val="22"/>
        </w:rPr>
        <w:tab/>
      </w:r>
      <w:r>
        <w:rPr>
          <w:rStyle w:val="23"/>
          <w:rFonts w:hint="eastAsia" w:ascii="宋体" w:hAnsi="宋体" w:eastAsia="宋体" w:cs="宋体"/>
        </w:rPr>
        <w:t>信息化</w:t>
      </w:r>
      <w:r>
        <w:tab/>
      </w:r>
      <w:r>
        <w:fldChar w:fldCharType="begin"/>
      </w:r>
      <w:r>
        <w:instrText xml:space="preserve"> PAGEREF _Toc515281085 \h </w:instrText>
      </w:r>
      <w:r>
        <w:fldChar w:fldCharType="separate"/>
      </w:r>
      <w:r>
        <w:t>334</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"_Toc515281086" </w:instrText>
      </w:r>
      <w:r>
        <w:fldChar w:fldCharType="separate"/>
      </w:r>
      <w:r>
        <w:rPr>
          <w:rStyle w:val="23"/>
          <w:rFonts w:hint="eastAsia" w:ascii="宋体" w:hAnsi="宋体" w:eastAsia="宋体" w:cs="宋体"/>
        </w:rPr>
        <w:t>附录</w:t>
      </w:r>
      <w:r>
        <w:rPr>
          <w:rStyle w:val="23"/>
        </w:rPr>
        <w:t xml:space="preserve">A </w:t>
      </w:r>
      <w:r>
        <w:rPr>
          <w:rStyle w:val="23"/>
          <w:rFonts w:hint="eastAsia" w:ascii="宋体" w:hAnsi="宋体" w:eastAsia="宋体" w:cs="宋体"/>
        </w:rPr>
        <w:t>暴雨强度公式的编制方法</w:t>
      </w:r>
      <w:r>
        <w:tab/>
      </w:r>
      <w:r>
        <w:fldChar w:fldCharType="begin"/>
      </w:r>
      <w:r>
        <w:instrText xml:space="preserve"> PAGEREF _Toc515281086 \h </w:instrText>
      </w:r>
      <w:r>
        <w:fldChar w:fldCharType="separate"/>
      </w:r>
      <w:r>
        <w:t>336</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"_Toc515281087" </w:instrText>
      </w:r>
      <w:r>
        <w:fldChar w:fldCharType="separate"/>
      </w:r>
      <w:r>
        <w:rPr>
          <w:rStyle w:val="23"/>
          <w:rFonts w:hint="eastAsia" w:ascii="宋体" w:hAnsi="宋体" w:eastAsia="宋体" w:cs="宋体"/>
        </w:rPr>
        <w:t>附录</w:t>
      </w:r>
      <w:r>
        <w:rPr>
          <w:rStyle w:val="23"/>
        </w:rPr>
        <w:t xml:space="preserve">B </w:t>
      </w:r>
      <w:r>
        <w:rPr>
          <w:rStyle w:val="23"/>
          <w:rFonts w:hint="eastAsia" w:ascii="宋体" w:hAnsi="宋体" w:eastAsia="宋体" w:cs="宋体"/>
        </w:rPr>
        <w:t>排水管道和其他地下管线（构筑物）的最小净距</w:t>
      </w:r>
      <w:r>
        <w:tab/>
      </w:r>
      <w:r>
        <w:fldChar w:fldCharType="begin"/>
      </w:r>
      <w:r>
        <w:instrText xml:space="preserve"> PAGEREF _Toc515281087 \h </w:instrText>
      </w:r>
      <w:r>
        <w:fldChar w:fldCharType="separate"/>
      </w:r>
      <w:r>
        <w:t>339</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"_Toc515281088" </w:instrText>
      </w:r>
      <w:r>
        <w:fldChar w:fldCharType="separate"/>
      </w:r>
      <w:r>
        <w:rPr>
          <w:rStyle w:val="23"/>
          <w:rFonts w:hint="eastAsia" w:ascii="宋体" w:hAnsi="宋体" w:eastAsia="宋体" w:cs="宋体"/>
        </w:rPr>
        <w:t>本标准用词说明</w:t>
      </w:r>
      <w:r>
        <w:tab/>
      </w:r>
      <w:r>
        <w:fldChar w:fldCharType="begin"/>
      </w:r>
      <w:r>
        <w:instrText xml:space="preserve"> PAGEREF _Toc515281088 \h </w:instrText>
      </w:r>
      <w:r>
        <w:fldChar w:fldCharType="separate"/>
      </w:r>
      <w:r>
        <w:t>342</w:t>
      </w:r>
      <w:r>
        <w:fldChar w:fldCharType="end"/>
      </w:r>
      <w:r>
        <w:fldChar w:fldCharType="end"/>
      </w:r>
    </w:p>
    <w:p>
      <w:pPr>
        <w:widowControl/>
        <w:adjustRightInd/>
        <w:spacing w:line="312" w:lineRule="auto"/>
        <w:jc w:val="left"/>
        <w:textAlignment w:val="auto"/>
        <w:rPr>
          <w:rFonts w:eastAsiaTheme="minorEastAsia"/>
          <w:b/>
          <w:color w:val="000000" w:themeColor="text1"/>
          <w:spacing w:val="8"/>
          <w:kern w:val="0"/>
          <w:sz w:val="28"/>
          <w:szCs w:val="28"/>
        </w:rPr>
      </w:pPr>
      <w:r>
        <w:rPr>
          <w:rFonts w:eastAsiaTheme="minorEastAsia"/>
          <w:sz w:val="24"/>
        </w:rPr>
        <w:fldChar w:fldCharType="end"/>
      </w:r>
    </w:p>
    <w:p>
      <w:pPr>
        <w:widowControl/>
        <w:adjustRightInd/>
        <w:spacing w:line="240" w:lineRule="auto"/>
        <w:jc w:val="left"/>
        <w:textAlignment w:val="auto"/>
        <w:rPr>
          <w:rFonts w:eastAsiaTheme="minorEastAsia"/>
          <w:b/>
          <w:color w:val="000000" w:themeColor="text1"/>
          <w:spacing w:val="8"/>
          <w:kern w:val="0"/>
          <w:sz w:val="28"/>
          <w:szCs w:val="28"/>
        </w:rPr>
      </w:pPr>
      <w:r>
        <w:rPr>
          <w:sz w:val="28"/>
          <w:szCs w:val="28"/>
        </w:rPr>
        <w:br w:type="page"/>
      </w:r>
    </w:p>
    <w:p>
      <w:pPr>
        <w:pStyle w:val="2"/>
        <w:wordWrap w:val="0"/>
        <w:spacing w:before="312" w:after="312"/>
        <w:rPr>
          <w:sz w:val="28"/>
          <w:szCs w:val="28"/>
        </w:rPr>
      </w:pPr>
      <w:bookmarkStart w:id="1" w:name="_Toc515281021"/>
      <w:r>
        <w:rPr>
          <w:sz w:val="28"/>
          <w:szCs w:val="28"/>
        </w:rPr>
        <w:t>1 总则</w:t>
      </w:r>
      <w:bookmarkEnd w:id="0"/>
      <w:bookmarkEnd w:id="1"/>
    </w:p>
    <w:p>
      <w:pPr>
        <w:pStyle w:val="30"/>
        <w:numPr>
          <w:ilvl w:val="0"/>
          <w:numId w:val="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为使我国的排水工程设计贯彻海绵城市建设理念，符合国家的法律法规，防治内涝灾害和水污染，改善和保护环境，提高人民健康水平和保障安全的要求，制订本标准。</w:t>
      </w:r>
    </w:p>
    <w:p>
      <w:pPr>
        <w:pStyle w:val="30"/>
        <w:numPr>
          <w:ilvl w:val="0"/>
          <w:numId w:val="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本标准适用于新建、扩建和改建的城镇、工业区和居住区的永久性的室外排水工程设计。</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【条文说明】本标准只适用于新建、扩建和改建的城镇、工业区和居住区的永久性的室外排水工程设计。</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关于镇（乡）村和临时性排水工程，由于集镇和村庄排水的条件和要求具有与城镇不同的特点，而临时性排水工程的标准和要求的安全性要比永久性工程低，故不适用本标准。</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w:t>
      </w:r>
      <w:r>
        <w:rPr>
          <w:rFonts w:hint="eastAsia" w:eastAsiaTheme="minorEastAsia"/>
          <w:color w:val="000000" w:themeColor="text1"/>
          <w:sz w:val="28"/>
          <w:szCs w:val="28"/>
        </w:rPr>
        <w:t>设立在工业区的室外排水工程是指处理</w:t>
      </w:r>
      <w:commentRangeStart w:id="0"/>
      <w:r>
        <w:rPr>
          <w:rFonts w:hint="eastAsia" w:eastAsiaTheme="minorEastAsia"/>
          <w:color w:val="000000" w:themeColor="text1"/>
          <w:sz w:val="28"/>
          <w:szCs w:val="28"/>
        </w:rPr>
        <w:t>工业企业预处理后</w:t>
      </w:r>
      <w:r>
        <w:rPr>
          <w:rFonts w:eastAsiaTheme="minorEastAsia"/>
          <w:color w:val="000000" w:themeColor="text1"/>
          <w:sz w:val="28"/>
          <w:szCs w:val="28"/>
        </w:rPr>
        <w:t>指达到纳管标准后进入市政排水管道的</w:t>
      </w:r>
      <w:commentRangeStart w:id="1"/>
      <w:r>
        <w:rPr>
          <w:rFonts w:eastAsiaTheme="minorEastAsia"/>
          <w:color w:val="000000" w:themeColor="text1"/>
          <w:sz w:val="28"/>
          <w:szCs w:val="28"/>
        </w:rPr>
        <w:t>工业废水</w:t>
      </w:r>
      <w:commentRangeEnd w:id="1"/>
      <w:r>
        <w:rPr>
          <w:rStyle w:val="24"/>
        </w:rPr>
        <w:commentReference w:id="1"/>
      </w:r>
      <w:r>
        <w:rPr>
          <w:rFonts w:hint="eastAsia" w:eastAsiaTheme="minorEastAsia"/>
          <w:color w:val="000000" w:themeColor="text1"/>
          <w:sz w:val="28"/>
          <w:szCs w:val="28"/>
        </w:rPr>
        <w:t>的污水处理厂</w:t>
      </w:r>
      <w:r>
        <w:rPr>
          <w:rFonts w:eastAsiaTheme="minorEastAsia"/>
          <w:color w:val="000000" w:themeColor="text1"/>
          <w:sz w:val="28"/>
          <w:szCs w:val="28"/>
        </w:rPr>
        <w:t>。</w:t>
      </w:r>
      <w:commentRangeEnd w:id="0"/>
      <w:r>
        <w:rPr>
          <w:rStyle w:val="24"/>
        </w:rPr>
        <w:commentReference w:id="0"/>
      </w:r>
    </w:p>
    <w:p>
      <w:pPr>
        <w:pStyle w:val="30"/>
        <w:numPr>
          <w:ilvl w:val="0"/>
          <w:numId w:val="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排水工程设计应以批准的城镇总体规划</w:t>
      </w:r>
      <w:r>
        <w:rPr>
          <w:rFonts w:hint="eastAsia" w:ascii="Times New Roman" w:hAnsi="Times New Roman" w:eastAsiaTheme="minorEastAsia"/>
          <w:color w:val="000000" w:themeColor="text1"/>
          <w:sz w:val="28"/>
          <w:szCs w:val="28"/>
        </w:rPr>
        <w:t>、海绵城市建设和</w:t>
      </w:r>
      <w:r>
        <w:rPr>
          <w:rFonts w:ascii="Times New Roman" w:hAnsi="Times New Roman" w:eastAsiaTheme="minorEastAsia"/>
          <w:color w:val="000000" w:themeColor="text1"/>
          <w:sz w:val="28"/>
          <w:szCs w:val="28"/>
        </w:rPr>
        <w:t>排水与污水处理工程专业规划等相关规划为主要依据，从全局出发，根据规划年限、工程规模、经济效益、社会效益和环境效益，正确处理近期与远期、集中与分散、排放与利用的关系。通过全面论证，做到确能保护环境、节约土地、技术先进、经济合理、安全可靠、适合当地实际情况。</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2015年4月24日第十二届全国人民代表大会常务委员会第十四次会议通过了《中华人民共和国城乡规划法》的修正。根据第三条的规定，本城市、镇规划区内的建设活动都应符合规划要求。根据第十七条的规定，排水、防洪等重大基础设施的规划是城市总体规划的重要内容。近年来，随着极端气候的增加，城市防灾能力的要求日趋严峻。国家对落实城市排水防涝设施极其重视，为此住建部于2013年6月发布《住房城乡建设部关于印发城市排水（雨水）防涝综合规划编制大纲的通知》（建城[2013]98号），要求各地住建部门编制排水和内涝防治专项规划，以指导内涝防治设施的建设。为进一步贯彻落实《中共中央国务院关于进一步加强城市规划建设管理工作的若干意见》（中发[2016]6号）、《国务院关于深入推进新型城镇化建设的若干意见》（国发[2016]8号）和《国务院办公厅关于推进海绵城市建设的指导意见》（国办发[2015]75号），住建部于2016年3月发布了《住房城乡建设部关于印发海绵城市专项规划编制暂行规定的通知》（建规[2016]50号），以指导各地做好海绵城市专项规划编制工作。根据这些新的政策文件，室外排水工程的建设应依据排水和内涝防治专项规划和海绵城市专项规划。</w:t>
      </w:r>
    </w:p>
    <w:p>
      <w:pPr>
        <w:pStyle w:val="30"/>
        <w:numPr>
          <w:ilvl w:val="0"/>
          <w:numId w:val="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排水工程设计应与</w:t>
      </w:r>
      <w:r>
        <w:rPr>
          <w:rFonts w:hint="eastAsia" w:ascii="Times New Roman" w:hAnsi="Times New Roman" w:eastAsiaTheme="minorEastAsia"/>
          <w:color w:val="000000" w:themeColor="text1"/>
          <w:sz w:val="28"/>
          <w:szCs w:val="28"/>
        </w:rPr>
        <w:t>水资源规划、城镇给水规划、水污染防治规划、生态环境保护规划、</w:t>
      </w:r>
      <w:r>
        <w:rPr>
          <w:rFonts w:hint="eastAsia" w:eastAsiaTheme="minorEastAsia"/>
          <w:color w:val="000000" w:themeColor="text1"/>
          <w:sz w:val="28"/>
          <w:szCs w:val="28"/>
        </w:rPr>
        <w:t>环境卫生设施规划、</w:t>
      </w:r>
      <w:r>
        <w:rPr>
          <w:rFonts w:hint="eastAsia" w:ascii="Times New Roman" w:hAnsi="Times New Roman" w:eastAsiaTheme="minorEastAsia"/>
          <w:color w:val="000000" w:themeColor="text1"/>
          <w:sz w:val="28"/>
          <w:szCs w:val="28"/>
        </w:rPr>
        <w:t>防灾规划、道路、绿地、水系等其他专业的</w:t>
      </w:r>
      <w:r>
        <w:rPr>
          <w:rFonts w:ascii="Times New Roman" w:hAnsi="Times New Roman" w:eastAsiaTheme="minorEastAsia"/>
          <w:color w:val="000000" w:themeColor="text1"/>
          <w:sz w:val="28"/>
          <w:szCs w:val="28"/>
        </w:rPr>
        <w:t>专项规划和设计相协调</w:t>
      </w:r>
      <w:r>
        <w:rPr>
          <w:rStyle w:val="24"/>
          <w:rFonts w:ascii="Times New Roman" w:hAnsi="Times New Roman" w:eastAsiaTheme="minorEastAsia"/>
          <w:sz w:val="28"/>
          <w:szCs w:val="28"/>
        </w:rPr>
        <w:t>，并</w:t>
      </w:r>
      <w:r>
        <w:rPr>
          <w:rFonts w:ascii="Times New Roman" w:hAnsi="Times New Roman" w:eastAsiaTheme="minorEastAsia"/>
          <w:color w:val="000000" w:themeColor="text1"/>
          <w:sz w:val="28"/>
          <w:szCs w:val="28"/>
        </w:rPr>
        <w:t>应根据城镇规划蓝线和水面率的要求，充分利用自然蓄排水设施，还应根据用地性质规定不同地区的高程布置，满足不同地区的排水要求。</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【条文说明】排水工程的污水系统包括污水收集、输送、处理、再生水处理和污泥处理处置，是水环境、水生态保护的重要基础设施</w:t>
      </w:r>
      <w:r>
        <w:rPr>
          <w:rFonts w:hint="eastAsia" w:eastAsiaTheme="minorEastAsia"/>
          <w:color w:val="000000" w:themeColor="text1"/>
          <w:sz w:val="28"/>
          <w:szCs w:val="28"/>
        </w:rPr>
        <w:t>，实现污水的资源化，回收污泥中的能源和资源，需与绿地、环境卫生设施等专项规划相协调。</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排水工程设施中的雨水系统包括源头减排、排水管渠和排涝除险，是保障城镇安全运行和资源利用的重要基础设施。在降雨频繁、河网密集或易受内涝灾害的地区，雨水系统设施尤为重要。雨水系统应与城市防洪、道路交通、园林绿地、环境保护和环境卫生等专项规划和设计密切联系，并应与城市平面和竖向规划相互协调。</w:t>
      </w:r>
    </w:p>
    <w:p>
      <w:pPr>
        <w:wordWrap w:val="0"/>
        <w:spacing w:line="480" w:lineRule="atLeast"/>
        <w:ind w:firstLine="560" w:firstLineChars="200"/>
        <w:rPr>
          <w:rFonts w:eastAsiaTheme="minorEastAsia"/>
          <w:color w:val="000000" w:themeColor="text1"/>
          <w:sz w:val="28"/>
          <w:szCs w:val="28"/>
        </w:rPr>
      </w:pPr>
      <w:r>
        <w:rPr>
          <w:rFonts w:eastAsiaTheme="minorEastAsia"/>
          <w:color w:val="000000" w:themeColor="text1"/>
          <w:sz w:val="28"/>
          <w:szCs w:val="28"/>
        </w:rPr>
        <w:t>河道、湖泊、湿地、沟塘等城市自然蓄排水设施是城市内涝防治的重要载体，在城镇平面规划中有明确的规划蓝线和水面率要求，应满足规划中的相关控制指标，根据城市自然蓄排水设施数量、规划蓝线保护和水面率的控制指标要求，合理确定雨水系统设施的建设方案。雨水系统设计中应考虑对河湖水系等城市现状受纳水体的保护和利用。</w:t>
      </w:r>
    </w:p>
    <w:p>
      <w:pPr>
        <w:wordWrap w:val="0"/>
        <w:spacing w:line="480" w:lineRule="atLeast"/>
        <w:ind w:firstLine="560" w:firstLineChars="200"/>
        <w:rPr>
          <w:rFonts w:eastAsiaTheme="minorEastAsia"/>
          <w:color w:val="000000" w:themeColor="text1"/>
          <w:sz w:val="28"/>
          <w:szCs w:val="28"/>
        </w:rPr>
      </w:pPr>
      <w:r>
        <w:rPr>
          <w:rFonts w:eastAsiaTheme="minorEastAsia"/>
          <w:color w:val="000000" w:themeColor="text1"/>
          <w:sz w:val="28"/>
          <w:szCs w:val="28"/>
        </w:rPr>
        <w:t>雨水系统设施的设计，应充分考虑城镇竖向规划中的相关指标要求，根据不同地区的排水优先等级确定雨水系统设施与周边地区的高程差；从竖向规划角度考虑内涝防治要求，根据竖向规划要求确定高程差，而不能仅仅根据单项工程的经济性要求进行设计和建设。</w:t>
      </w:r>
    </w:p>
    <w:p>
      <w:pPr>
        <w:pStyle w:val="30"/>
        <w:numPr>
          <w:ilvl w:val="0"/>
          <w:numId w:val="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w:t>
      </w:r>
      <w:r>
        <w:rPr>
          <w:rFonts w:hint="eastAsia" w:ascii="Times New Roman" w:hAnsi="Times New Roman" w:eastAsiaTheme="minorEastAsia"/>
          <w:color w:val="000000" w:themeColor="text1"/>
          <w:sz w:val="28"/>
          <w:szCs w:val="28"/>
        </w:rPr>
        <w:t>的</w:t>
      </w:r>
      <w:r>
        <w:rPr>
          <w:rFonts w:ascii="Times New Roman" w:hAnsi="Times New Roman" w:eastAsiaTheme="minorEastAsia"/>
          <w:color w:val="000000" w:themeColor="text1"/>
          <w:sz w:val="28"/>
          <w:szCs w:val="28"/>
        </w:rPr>
        <w:t>设计，应符合下列规定：</w:t>
      </w:r>
    </w:p>
    <w:p>
      <w:pPr>
        <w:wordWrap w:val="0"/>
        <w:spacing w:line="46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 xml:space="preserve">1 </w:t>
      </w:r>
      <w:r>
        <w:rPr>
          <w:rFonts w:eastAsiaTheme="minorEastAsia"/>
          <w:color w:val="000000" w:themeColor="text1"/>
          <w:sz w:val="28"/>
          <w:szCs w:val="28"/>
        </w:rPr>
        <w:t>应包括雨水的安全排放、资源化利用和污染控制，污水的处理和再生利用，污泥的处理处置；</w:t>
      </w:r>
    </w:p>
    <w:p>
      <w:pPr>
        <w:wordWrap w:val="0"/>
        <w:spacing w:line="46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w:t>
      </w:r>
      <w:r>
        <w:rPr>
          <w:rFonts w:hint="eastAsia" w:eastAsiaTheme="minorEastAsia"/>
          <w:color w:val="000000" w:themeColor="text1"/>
          <w:sz w:val="28"/>
          <w:szCs w:val="28"/>
        </w:rPr>
        <w:t>应</w:t>
      </w:r>
      <w:r>
        <w:rPr>
          <w:rFonts w:eastAsiaTheme="minorEastAsia"/>
          <w:color w:val="000000" w:themeColor="text1"/>
          <w:sz w:val="28"/>
          <w:szCs w:val="28"/>
        </w:rPr>
        <w:t>与邻近区域内的雨水系统、污水系统和再生水系统相协调；</w:t>
      </w:r>
    </w:p>
    <w:p>
      <w:pPr>
        <w:wordWrap w:val="0"/>
        <w:spacing w:line="46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w:t>
      </w:r>
      <w:r>
        <w:rPr>
          <w:rFonts w:hint="eastAsia" w:eastAsiaTheme="minorEastAsia"/>
          <w:color w:val="000000" w:themeColor="text1"/>
          <w:sz w:val="28"/>
          <w:szCs w:val="28"/>
        </w:rPr>
        <w:t>应</w:t>
      </w:r>
      <w:r>
        <w:rPr>
          <w:rFonts w:eastAsiaTheme="minorEastAsia"/>
          <w:color w:val="000000" w:themeColor="text1"/>
          <w:sz w:val="28"/>
          <w:szCs w:val="28"/>
        </w:rPr>
        <w:t>与区域内及邻近区域的给水系统和防洪系统相协调；</w:t>
      </w:r>
    </w:p>
    <w:p>
      <w:pPr>
        <w:wordWrap w:val="0"/>
        <w:spacing w:line="46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hint="eastAsia" w:eastAsiaTheme="minorEastAsia"/>
          <w:b w:val="0"/>
          <w:color w:val="000000" w:themeColor="text1"/>
          <w:sz w:val="28"/>
          <w:szCs w:val="28"/>
        </w:rPr>
        <w:t>可适当</w:t>
      </w:r>
      <w:commentRangeStart w:id="2"/>
      <w:r>
        <w:rPr>
          <w:rFonts w:eastAsiaTheme="minorEastAsia"/>
          <w:color w:val="000000" w:themeColor="text1"/>
          <w:sz w:val="28"/>
          <w:szCs w:val="28"/>
        </w:rPr>
        <w:t>改造</w:t>
      </w:r>
      <w:commentRangeEnd w:id="2"/>
      <w:r>
        <w:rPr>
          <w:rStyle w:val="24"/>
        </w:rPr>
        <w:commentReference w:id="2"/>
      </w:r>
      <w:r>
        <w:rPr>
          <w:rFonts w:eastAsiaTheme="minorEastAsia"/>
          <w:color w:val="000000" w:themeColor="text1"/>
          <w:sz w:val="28"/>
          <w:szCs w:val="28"/>
        </w:rPr>
        <w:t>原有排水工程设施，充分发挥其工程效能。</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【条文说明】</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1</w:t>
      </w:r>
      <w:r>
        <w:rPr>
          <w:rFonts w:eastAsiaTheme="minorEastAsia"/>
          <w:color w:val="000000" w:themeColor="text1"/>
          <w:sz w:val="28"/>
          <w:szCs w:val="28"/>
        </w:rPr>
        <w:t>雨水的安全排放、资源化利用和污染控制是海绵城市建设中的重要内容和要求，应该包括在室外排水工程的功能之中。根据国内外经验，污水和污泥可作为有用资源，应考虑综合利用，但在考虑综合利用和处置污水污泥时，首先应对其卫生安全性、技术可靠性、经济合理性等情况进行全面论证和评价。</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2</w:t>
      </w:r>
      <w:r>
        <w:rPr>
          <w:rFonts w:eastAsiaTheme="minorEastAsia"/>
          <w:color w:val="000000" w:themeColor="text1"/>
          <w:sz w:val="28"/>
          <w:szCs w:val="28"/>
        </w:rPr>
        <w:t xml:space="preserve"> 与邻近区域内的雨水、污水和再生水系统相协调包括：</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 xml:space="preserve">    一个区域的排水系统可能影响邻近区域，特别是影响下游区域的环境质量，故在确定该区的处理水平和处置方案时，必须在较大区域范围内综合考虑；</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 xml:space="preserve">    根据排水专业规划，有几个区域同时或几乎同时建设时，应考虑合并处理和处置的可能性，因为它的经济效益可能更好，但施工时间较长，实现较困难。国外标准都有类似规定。</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3</w:t>
      </w:r>
      <w:r>
        <w:rPr>
          <w:rFonts w:eastAsiaTheme="minorEastAsia"/>
          <w:color w:val="000000" w:themeColor="text1"/>
          <w:sz w:val="28"/>
          <w:szCs w:val="28"/>
        </w:rPr>
        <w:t xml:space="preserve"> 如设计排水区域内尚需考虑给水和防洪问题时，排水工程的污水系统应与给水工程协调，雨水系统应与防洪工程协调，以节省总造价。</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4</w:t>
      </w:r>
      <w:r>
        <w:rPr>
          <w:rFonts w:eastAsiaTheme="minorEastAsia"/>
          <w:color w:val="000000" w:themeColor="text1"/>
          <w:sz w:val="28"/>
          <w:szCs w:val="28"/>
        </w:rPr>
        <w:t xml:space="preserve"> 在扩建和改建排水工程时，对原有排水工程设施利用与否应通过调查做出决定。</w:t>
      </w:r>
    </w:p>
    <w:p>
      <w:pPr>
        <w:pStyle w:val="30"/>
        <w:numPr>
          <w:ilvl w:val="0"/>
          <w:numId w:val="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排水工程设计应在不断总结科研和生产实践经验的基础上，积极采用经过鉴定的、行之有效的新技术、新工艺、新材料、新设备。</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条文说明】随着科学技术的发展，新技术还会不断涌现。凡是在国内普遍推广、行之有效、积有完整的可靠科学数据的新技术，都应积极纳入。标准不应阻碍或抑制新技术的发展，为此，鼓励积极采用经过鉴定、节地节能、经济高效的新技术。</w:t>
      </w:r>
    </w:p>
    <w:p>
      <w:pPr>
        <w:pStyle w:val="30"/>
        <w:numPr>
          <w:ilvl w:val="0"/>
          <w:numId w:val="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排水工程宜采用机械化、自动化、信息化和智慧化的设备，对操作繁重、影响安全、危害健康的，应采用机械化和自动化设备。</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条文说明】由于排水工程操作人员劳动强度较大，同时，有些构筑物，如污水泵站的格栅井、污泥脱水机房和污泥厌氧消化池等会产生硫化氢、污泥气等有毒有害和易燃易爆气体，为保障操作人员身体健康和人身安全，规定排水工程宜采用机械化和自动化设备，对操作繁重、影响安全、危害健康的，应采用机械化和自动化设备。</w:t>
      </w:r>
    </w:p>
    <w:p>
      <w:pPr>
        <w:pStyle w:val="30"/>
        <w:numPr>
          <w:ilvl w:val="0"/>
          <w:numId w:val="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排水工程的设计，除应按本标准执行外，尚应符合国家现行的有关标准和规范 。</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【条文说明】城镇污水厂尾水排放，应根据环境影响评价的结果，执行《城镇污水处理厂污染物排放标准》GB 18918的有关规定。</w:t>
      </w:r>
    </w:p>
    <w:p>
      <w:pPr>
        <w:wordWrap w:val="0"/>
        <w:spacing w:line="460" w:lineRule="atLeast"/>
        <w:ind w:firstLine="570"/>
        <w:rPr>
          <w:rFonts w:eastAsiaTheme="minorEastAsia"/>
          <w:color w:val="000000" w:themeColor="text1"/>
          <w:sz w:val="28"/>
          <w:szCs w:val="28"/>
        </w:rPr>
      </w:pPr>
      <w:r>
        <w:rPr>
          <w:rFonts w:eastAsiaTheme="minorEastAsia"/>
          <w:color w:val="000000" w:themeColor="text1"/>
          <w:sz w:val="28"/>
          <w:szCs w:val="28"/>
        </w:rPr>
        <w:t>排水管渠和附属设施的连接应执行《室外给水排水和燃气热力工程抗震设计规范》GB 50032的有关规定。</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 xml:space="preserve">    为保障操作人员和仪器设备安全，根据《建筑物防雷设计规范》GB 50057的规定，监控设施等必须采取接地和防雷措施。</w:t>
      </w:r>
    </w:p>
    <w:p>
      <w:pPr>
        <w:wordWrap w:val="0"/>
        <w:spacing w:line="460" w:lineRule="atLeast"/>
        <w:ind w:firstLine="570"/>
        <w:rPr>
          <w:rFonts w:eastAsiaTheme="minorEastAsia"/>
          <w:color w:val="000000" w:themeColor="text1"/>
          <w:sz w:val="28"/>
          <w:szCs w:val="28"/>
        </w:rPr>
      </w:pPr>
      <w:r>
        <w:rPr>
          <w:rFonts w:eastAsiaTheme="minorEastAsia"/>
          <w:color w:val="000000" w:themeColor="text1"/>
          <w:sz w:val="28"/>
          <w:szCs w:val="28"/>
        </w:rPr>
        <w:t>建筑物构件的燃烧性能和耐火极限以及室内设的消防设施均应符合《建筑设计防火规范》</w:t>
      </w:r>
      <w:r>
        <w:rPr>
          <w:color w:val="000000" w:themeColor="text1"/>
          <w:sz w:val="28"/>
          <w:szCs w:val="28"/>
        </w:rPr>
        <w:t>GB</w:t>
      </w:r>
      <w:r>
        <w:rPr>
          <w:rFonts w:eastAsiaTheme="minorEastAsia"/>
          <w:color w:val="000000" w:themeColor="text1"/>
          <w:sz w:val="28"/>
          <w:szCs w:val="28"/>
        </w:rPr>
        <w:t xml:space="preserve"> </w:t>
      </w:r>
      <w:r>
        <w:rPr>
          <w:color w:val="000000" w:themeColor="text1"/>
          <w:sz w:val="28"/>
          <w:szCs w:val="28"/>
        </w:rPr>
        <w:t>50016</w:t>
      </w:r>
      <w:r>
        <w:rPr>
          <w:rFonts w:eastAsiaTheme="minorEastAsia"/>
          <w:color w:val="000000" w:themeColor="text1"/>
          <w:sz w:val="28"/>
          <w:szCs w:val="28"/>
        </w:rPr>
        <w:t>的规定。</w:t>
      </w:r>
    </w:p>
    <w:p>
      <w:pPr>
        <w:wordWrap w:val="0"/>
        <w:spacing w:line="460" w:lineRule="atLeast"/>
        <w:ind w:firstLine="570"/>
        <w:rPr>
          <w:rFonts w:eastAsiaTheme="minorEastAsia"/>
          <w:color w:val="000000" w:themeColor="text1"/>
          <w:sz w:val="28"/>
          <w:szCs w:val="28"/>
        </w:rPr>
      </w:pPr>
      <w:r>
        <w:rPr>
          <w:rFonts w:eastAsiaTheme="minorEastAsia"/>
          <w:color w:val="000000" w:themeColor="text1"/>
          <w:sz w:val="28"/>
          <w:szCs w:val="28"/>
        </w:rPr>
        <w:t>排水工程可能会散发恶臭气体，污染周围环境，设计时应对散发的臭气进行收集和净化，或建设绿化带并设有一定的防护距离，以符合</w:t>
      </w:r>
      <w:r>
        <w:rPr>
          <w:rFonts w:eastAsiaTheme="minorEastAsia"/>
          <w:sz w:val="28"/>
          <w:szCs w:val="28"/>
        </w:rPr>
        <w:t>相关国家标准</w:t>
      </w:r>
      <w:r>
        <w:rPr>
          <w:rFonts w:eastAsiaTheme="minorEastAsia"/>
          <w:color w:val="000000" w:themeColor="text1"/>
          <w:sz w:val="28"/>
          <w:szCs w:val="28"/>
        </w:rPr>
        <w:t>的规定。有组织排放的应进行逐个排放源的监测，按现行国家标准《恶臭污染物排放标准》GB 14554的有关规定执行。对无组织排放的可统一进行厂界排放和监测，应按现行国家标准《城镇污水处理厂污染物排放标准》GB 18918的有关规定执行。</w:t>
      </w:r>
    </w:p>
    <w:p>
      <w:pPr>
        <w:wordWrap w:val="0"/>
        <w:spacing w:line="460" w:lineRule="atLeast"/>
        <w:ind w:firstLine="567"/>
        <w:rPr>
          <w:rFonts w:eastAsiaTheme="minorEastAsia"/>
          <w:color w:val="000000" w:themeColor="text1"/>
          <w:sz w:val="28"/>
          <w:szCs w:val="28"/>
        </w:rPr>
      </w:pPr>
      <w:r>
        <w:rPr>
          <w:rFonts w:eastAsiaTheme="minorEastAsia"/>
          <w:color w:val="000000" w:themeColor="text1"/>
          <w:sz w:val="28"/>
          <w:szCs w:val="28"/>
        </w:rPr>
        <w:t>随着人民生活水平和对城镇居住环境要求的提高，市政排水系统的功能要求也相应增加，如近年来黑臭水体的治理和内涝防治的要求都是给以往的市政排水系统提出新的要求和目标。同时伴随着城市管理理念由灰色向绿色的转变，传统的市政排水系统已经不能满足新的要求，设计理念的更新导致排水系统也相应扩大。以排水防涝为例，市政排水防涝体系已由原先的排水管渠系统逐渐扩大为从源头减排</w:t>
      </w:r>
      <w:r>
        <w:rPr>
          <w:rFonts w:hint="eastAsia" w:eastAsiaTheme="minorEastAsia"/>
          <w:color w:val="000000" w:themeColor="text1"/>
          <w:sz w:val="28"/>
          <w:szCs w:val="28"/>
        </w:rPr>
        <w:t>、</w:t>
      </w:r>
      <w:r>
        <w:rPr>
          <w:rFonts w:eastAsiaTheme="minorEastAsia"/>
          <w:color w:val="000000" w:themeColor="text1"/>
          <w:sz w:val="28"/>
          <w:szCs w:val="28"/>
        </w:rPr>
        <w:t>排水管渠</w:t>
      </w:r>
      <w:r>
        <w:rPr>
          <w:rFonts w:hint="eastAsia" w:eastAsiaTheme="minorEastAsia"/>
          <w:color w:val="000000" w:themeColor="text1"/>
          <w:sz w:val="28"/>
          <w:szCs w:val="28"/>
        </w:rPr>
        <w:t>、</w:t>
      </w:r>
      <w:r>
        <w:rPr>
          <w:rFonts w:eastAsiaTheme="minorEastAsia"/>
          <w:color w:val="000000" w:themeColor="text1"/>
          <w:sz w:val="28"/>
          <w:szCs w:val="28"/>
        </w:rPr>
        <w:t>排涝除险的全过程内涝防治系统控制。</w:t>
      </w:r>
    </w:p>
    <w:p>
      <w:pPr>
        <w:wordWrap w:val="0"/>
        <w:spacing w:line="460" w:lineRule="atLeast"/>
        <w:ind w:firstLine="565" w:firstLineChars="202"/>
        <w:rPr>
          <w:rFonts w:eastAsiaTheme="minorEastAsia"/>
          <w:color w:val="000000" w:themeColor="text1"/>
          <w:sz w:val="28"/>
          <w:szCs w:val="28"/>
        </w:rPr>
      </w:pPr>
      <w:r>
        <w:rPr>
          <w:rFonts w:eastAsiaTheme="minorEastAsia"/>
          <w:color w:val="000000" w:themeColor="text1"/>
          <w:sz w:val="28"/>
          <w:szCs w:val="28"/>
        </w:rPr>
        <w:t>本标准作为室外排水工程设计标准，对整个系统进行总体的要求，雨水综合管理的内容除了应满足本标准的性要求外，还应执行国家标准《城镇内涝防治技术规范》GB 51222和《城镇雨水调蓄工程技术规范》GB 51174的有关规定。</w:t>
      </w:r>
    </w:p>
    <w:p>
      <w:pPr>
        <w:pStyle w:val="30"/>
        <w:numPr>
          <w:ilvl w:val="0"/>
          <w:numId w:val="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在地震、湿陷性黄土、膨胀土、多年冻土以及其他特殊地区设计排水工程时，尚应符合现行的有关专门规范的规定。</w:t>
      </w:r>
    </w:p>
    <w:p>
      <w:pPr>
        <w:widowControl/>
        <w:wordWrap w:val="0"/>
        <w:jc w:val="left"/>
        <w:rPr>
          <w:rFonts w:eastAsiaTheme="minorEastAsia"/>
          <w:bCs/>
          <w:color w:val="000000" w:themeColor="text1"/>
          <w:spacing w:val="8"/>
          <w:kern w:val="0"/>
          <w:sz w:val="28"/>
          <w:szCs w:val="28"/>
        </w:rPr>
      </w:pPr>
      <w:bookmarkStart w:id="2" w:name="_Toc102292523"/>
      <w:bookmarkStart w:id="3" w:name="_Toc74992694"/>
      <w:r>
        <w:rPr>
          <w:rFonts w:eastAsiaTheme="minorEastAsia"/>
          <w:b/>
          <w:bCs/>
          <w:color w:val="000000" w:themeColor="text1"/>
          <w:sz w:val="28"/>
          <w:szCs w:val="28"/>
        </w:rPr>
        <w:br w:type="page"/>
      </w:r>
    </w:p>
    <w:p>
      <w:pPr>
        <w:pStyle w:val="2"/>
        <w:wordWrap w:val="0"/>
        <w:spacing w:before="312" w:after="312"/>
        <w:rPr>
          <w:bCs/>
          <w:sz w:val="28"/>
          <w:szCs w:val="28"/>
        </w:rPr>
      </w:pPr>
      <w:bookmarkStart w:id="4" w:name="_Toc515281022"/>
      <w:r>
        <w:rPr>
          <w:sz w:val="28"/>
          <w:szCs w:val="28"/>
        </w:rPr>
        <w:t>2 术语和符号</w:t>
      </w:r>
      <w:bookmarkEnd w:id="4"/>
    </w:p>
    <w:bookmarkEnd w:id="2"/>
    <w:bookmarkEnd w:id="3"/>
    <w:p>
      <w:pPr>
        <w:pStyle w:val="3"/>
        <w:numPr>
          <w:ilvl w:val="0"/>
          <w:numId w:val="2"/>
        </w:numPr>
        <w:wordWrap w:val="0"/>
        <w:spacing w:before="0" w:after="0"/>
        <w:ind w:left="0" w:firstLine="0"/>
        <w:jc w:val="center"/>
        <w:rPr>
          <w:rFonts w:ascii="Times New Roman" w:hAnsi="Times New Roman" w:eastAsiaTheme="minorEastAsia"/>
          <w:b w:val="0"/>
          <w:color w:val="000000" w:themeColor="text1"/>
          <w:sz w:val="28"/>
          <w:szCs w:val="28"/>
        </w:rPr>
      </w:pPr>
      <w:bookmarkStart w:id="5" w:name="_Toc515281023"/>
      <w:bookmarkStart w:id="6" w:name="_Toc102292525"/>
      <w:r>
        <w:rPr>
          <w:rFonts w:ascii="Times New Roman" w:hAnsi="Times New Roman" w:eastAsiaTheme="minorEastAsia"/>
          <w:b w:val="0"/>
          <w:color w:val="000000" w:themeColor="text1"/>
          <w:sz w:val="28"/>
          <w:szCs w:val="28"/>
        </w:rPr>
        <w:t>术语</w:t>
      </w:r>
      <w:bookmarkEnd w:id="5"/>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  wastewater engineering，sewerage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收集、输送、处理、再生和处置污水和雨水的工程。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排水系统  wastewater engineering system</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收集、输送、处理、再生和处置污水和雨水的设施以一定方式组合成的总体。</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排水体制  sewerage system</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在一个区域内收集、输送污水和雨水的方式，有合流制和分流制两种基本方式。</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排水设施 wastewater facilities</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排水工程中的管道、构筑物和设备等的统称。</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合流制  combined system</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用同一管渠系统收集、输送雨水和污水的排水方式。</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合流制溢流</w:t>
      </w:r>
      <w:r>
        <w:rPr>
          <w:rFonts w:hint="eastAsia" w:ascii="Times New Roman" w:hAnsi="Times New Roman" w:eastAsiaTheme="minorEastAsia"/>
          <w:color w:val="000000" w:themeColor="text1"/>
          <w:sz w:val="28"/>
          <w:szCs w:val="28"/>
        </w:rPr>
        <w:t xml:space="preserve">(CSO) </w:t>
      </w:r>
      <w:r>
        <w:rPr>
          <w:rFonts w:ascii="Times New Roman" w:hAnsi="Times New Roman" w:eastAsiaTheme="minorEastAsia"/>
          <w:color w:val="000000" w:themeColor="text1"/>
          <w:sz w:val="28"/>
          <w:szCs w:val="28"/>
        </w:rPr>
        <w:t>combined sewer overflow</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合流制排水系统降雨时，超过截流能力而排入水体的合流污水。</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分流制  separate system</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分别用雨水管渠和污水管道收集、输送雨水和污水的排水方式。</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城镇污水 urban wastewater，sewage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综合生活污水、工业废水和入渗地下水的总称。</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城镇污水系统  urban wastewater system</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收集、输送、处理、再生和处置城镇污水的设施以一定方式组合成的总体。</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径流污染  diffuse pollution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通过降雨和地表径流冲刷，将大气和地表中的污染物带入受纳水体，使受纳水体遭受污染的现象，是城市面源污染的主要来源，也是海绵城市考核内容之一。</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低影响开发（LID）  low impact development</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强调城镇开发应减少对环境的冲击，其核心是基于源头控制和延缓冲击负荷的理念，构建与自然相适应的城镇排水系统，合理利用景观空间和采取相应措施对暴雨径流进行控制，减少城镇径流污染。</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城镇污水污泥  urban wastewater sludge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城镇污水系统中产生的污泥。</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hint="eastAsia" w:ascii="Times New Roman" w:hAnsi="Times New Roman" w:eastAsiaTheme="minorEastAsia"/>
          <w:color w:val="000000" w:themeColor="text1"/>
          <w:sz w:val="28"/>
          <w:szCs w:val="28"/>
        </w:rPr>
        <w:t xml:space="preserve">旱流污水(DWF) </w:t>
      </w:r>
      <w:r>
        <w:rPr>
          <w:rFonts w:ascii="Times New Roman" w:hAnsi="Times New Roman" w:eastAsiaTheme="minorEastAsia"/>
          <w:color w:val="000000" w:themeColor="text1"/>
          <w:sz w:val="28"/>
          <w:szCs w:val="28"/>
        </w:rPr>
        <w:t>dry weather flow</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eastAsiaTheme="minorEastAsia"/>
          <w:color w:val="000000" w:themeColor="text1"/>
          <w:sz w:val="28"/>
          <w:szCs w:val="28"/>
        </w:rPr>
        <w:t>指</w:t>
      </w:r>
      <w:r>
        <w:rPr>
          <w:rFonts w:hint="eastAsia" w:eastAsiaTheme="minorEastAsia"/>
          <w:color w:val="000000" w:themeColor="text1"/>
          <w:sz w:val="28"/>
          <w:szCs w:val="28"/>
        </w:rPr>
        <w:t>合流制排水系统</w:t>
      </w:r>
      <w:r>
        <w:rPr>
          <w:rFonts w:eastAsiaTheme="minorEastAsia"/>
          <w:color w:val="000000" w:themeColor="text1"/>
          <w:sz w:val="28"/>
          <w:szCs w:val="28"/>
        </w:rPr>
        <w:t>晴天时城镇污水，包括综合生活污水量、工业废水量和入渗地下水量。</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旱季设计流量</w:t>
      </w:r>
      <w:r>
        <w:rPr>
          <w:rFonts w:hint="eastAsia" w:ascii="Times New Roman" w:hAnsi="Times New Roman" w:eastAsiaTheme="minorEastAsia"/>
          <w:color w:val="000000" w:themeColor="text1"/>
          <w:sz w:val="28"/>
          <w:szCs w:val="28"/>
        </w:rPr>
        <w:t xml:space="preserve"> maximum </w:t>
      </w:r>
      <w:r>
        <w:rPr>
          <w:rFonts w:ascii="Times New Roman" w:hAnsi="Times New Roman" w:eastAsiaTheme="minorEastAsia"/>
          <w:color w:val="000000" w:themeColor="text1"/>
          <w:sz w:val="28"/>
          <w:szCs w:val="28"/>
        </w:rPr>
        <w:t>dry weather flow</w:t>
      </w:r>
      <w:r>
        <w:rPr>
          <w:rFonts w:hint="eastAsia" w:ascii="Times New Roman" w:hAnsi="Times New Roman" w:eastAsiaTheme="minorEastAsia"/>
          <w:color w:val="000000" w:themeColor="text1"/>
          <w:sz w:val="28"/>
          <w:szCs w:val="28"/>
        </w:rPr>
        <w:t>rate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指晴天时最高日最高时的城镇污水量</w:t>
      </w:r>
      <w:r>
        <w:rPr>
          <w:rFonts w:hint="eastAsia" w:eastAsiaTheme="minorEastAsia"/>
          <w:color w:val="000000" w:themeColor="text1"/>
          <w:sz w:val="28"/>
          <w:szCs w:val="28"/>
        </w:rPr>
        <w:t>。</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生活污水  domestic wastewater，sewage</w:t>
      </w:r>
    </w:p>
    <w:p>
      <w:pPr>
        <w:wordWrap w:val="0"/>
        <w:spacing w:line="460" w:lineRule="atLeast"/>
        <w:ind w:firstLine="420"/>
        <w:rPr>
          <w:rFonts w:eastAsiaTheme="minorEastAsia"/>
          <w:color w:val="000000" w:themeColor="text1"/>
          <w:sz w:val="28"/>
          <w:szCs w:val="28"/>
        </w:rPr>
      </w:pPr>
      <w:r>
        <w:rPr>
          <w:rFonts w:eastAsiaTheme="minorEastAsia"/>
          <w:color w:val="000000" w:themeColor="text1"/>
          <w:sz w:val="28"/>
          <w:szCs w:val="28"/>
        </w:rPr>
        <w:t>居民生活产生的污水。</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综合生活污水  comprehensive sewage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居民生活和公共服务产生的污水。</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工业废水  industrial wastewater</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工业企业生产过程产生的废水。</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入渗地下水  infiltrated ground water</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通过管渠和附属构筑物进入排水管渠的地下水。</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雨季设计流量  wet weather flow</w:t>
      </w:r>
      <w:r>
        <w:rPr>
          <w:rFonts w:hint="eastAsia" w:ascii="Times New Roman" w:hAnsi="Times New Roman" w:eastAsiaTheme="minorEastAsia"/>
          <w:color w:val="000000" w:themeColor="text1"/>
          <w:sz w:val="28"/>
          <w:szCs w:val="28"/>
        </w:rPr>
        <w:t>rate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指旱季设计流量和截流雨水量总和。合流制的雨季设计流量就是截流后的合流污水量。分流制的雨季设计流量是在旱季污水上增加截流雨水量。</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综合生活污水量变化系数  peaking factor</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最高日最高时污水量与平均日平均时污水量的比值。</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径流系数  runoff coefficient</w:t>
      </w:r>
    </w:p>
    <w:p>
      <w:pPr>
        <w:wordWrap w:val="0"/>
        <w:spacing w:line="460" w:lineRule="atLeast"/>
        <w:ind w:firstLine="565" w:firstLineChars="202"/>
        <w:rPr>
          <w:rFonts w:eastAsiaTheme="minorEastAsia"/>
          <w:color w:val="000000" w:themeColor="text1"/>
          <w:sz w:val="28"/>
          <w:szCs w:val="28"/>
        </w:rPr>
      </w:pPr>
      <w:r>
        <w:rPr>
          <w:rFonts w:eastAsiaTheme="minorEastAsia"/>
          <w:color w:val="000000" w:themeColor="text1"/>
          <w:sz w:val="28"/>
          <w:szCs w:val="28"/>
        </w:rPr>
        <w:t>一定汇水面积内地面径流量与降雨量的比值。</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径流量  runoff</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降落到地面的雨水，由地面和地下汇流到管渠至受纳水体的流量的统称。径流包括地面径流和地下径流等。在排水工程中，径流量指降水超出一定区域内地面渗透、滞蓄能力后多余水量产生的地面径流量。</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 暴雨强度  rainfall intensity</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单位时间内的降雨量。工程上常用单位时间单位面积内的降雨体积来计，其计量单位以L/s hm</w:t>
      </w:r>
      <w:r>
        <w:rPr>
          <w:rFonts w:eastAsiaTheme="minorEastAsia"/>
          <w:color w:val="000000" w:themeColor="text1"/>
          <w:sz w:val="28"/>
          <w:szCs w:val="28"/>
          <w:vertAlign w:val="superscript"/>
        </w:rPr>
        <w:t>2</w:t>
      </w:r>
      <w:r>
        <w:rPr>
          <w:rFonts w:eastAsiaTheme="minorEastAsia"/>
          <w:color w:val="000000" w:themeColor="text1"/>
          <w:sz w:val="28"/>
          <w:szCs w:val="28"/>
        </w:rPr>
        <w:t>表示。</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重现期  recurrence interval</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在一定长的统计期间内，等于或大于某统计对象出现一次的平均间隔时间。</w:t>
      </w:r>
    </w:p>
    <w:p>
      <w:pPr>
        <w:pStyle w:val="30"/>
        <w:numPr>
          <w:ilvl w:val="0"/>
          <w:numId w:val="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雨水管渠设计重现期 recurrence interval for storm sewer design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用于进行雨水管渠设计的暴雨重现期，指在一定长的统计期间内，出现等于或大于某降雨强度的平均间隔时间。</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降雨历时  duration of rainfall</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降雨过程中的任意连续时段。</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汇水面积  catchment area</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雨水管渠汇集降雨的流域面积。</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内涝  local flooding</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强降雨或连续性降雨超过城镇排水能力，导致城镇地面产生积水灾害的现象。</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内涝防治系统 local flooding prevention and control system</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用于防止和应对城镇内涝的工程性设施和非工程性措施以一定方式组合成的总体，包括雨水收集、输送、调蓄、行泄、处理和利用的天然和人工设施以及管理措施等。</w:t>
      </w:r>
    </w:p>
    <w:p>
      <w:pPr>
        <w:pStyle w:val="30"/>
        <w:numPr>
          <w:ilvl w:val="0"/>
          <w:numId w:val="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内涝防治设计重现期recurrence interval for local flooding design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用于进行城镇内涝防治系统设计的暴雨重现期，使地面、道路等地区的积水深度不超过一定的标准。内涝防治设计重现期大于雨水管渠设计重现期。</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地面集水时间  time of concentration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雨水从相应汇水面积的最远点地面流到雨水管渠入口的时间，简称集水时间。</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截流雨水量  intercepted stormwater </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在分流制排水系统中截留的受污染雨水量。这部分雨水通过污水管道送至城镇污水厂或就地分散处理，以控制城镇地表径流污染。</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截流倍数  interception ratio</w:t>
      </w:r>
    </w:p>
    <w:p>
      <w:pPr>
        <w:wordWrap w:val="0"/>
        <w:spacing w:line="460" w:lineRule="atLeast"/>
        <w:ind w:firstLine="420"/>
        <w:rPr>
          <w:rFonts w:eastAsiaTheme="minorEastAsia"/>
          <w:color w:val="000000" w:themeColor="text1"/>
          <w:sz w:val="28"/>
          <w:szCs w:val="28"/>
        </w:rPr>
      </w:pPr>
      <w:r>
        <w:rPr>
          <w:rFonts w:eastAsiaTheme="minorEastAsia"/>
          <w:color w:val="000000" w:themeColor="text1"/>
          <w:sz w:val="28"/>
          <w:szCs w:val="28"/>
        </w:rPr>
        <w:t>合流制排水系统在降雨时被截流的雨水径流量与平均旱流污水量的比值。</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排水泵站  drainage pumping station</w:t>
      </w:r>
    </w:p>
    <w:p>
      <w:pPr>
        <w:wordWrap w:val="0"/>
        <w:spacing w:line="460" w:lineRule="atLeast"/>
        <w:ind w:firstLine="420"/>
        <w:rPr>
          <w:rFonts w:eastAsiaTheme="minorEastAsia"/>
          <w:color w:val="000000" w:themeColor="text1"/>
          <w:sz w:val="28"/>
          <w:szCs w:val="28"/>
        </w:rPr>
      </w:pPr>
      <w:r>
        <w:rPr>
          <w:rFonts w:eastAsiaTheme="minorEastAsia"/>
          <w:color w:val="000000" w:themeColor="text1"/>
          <w:sz w:val="28"/>
          <w:szCs w:val="28"/>
        </w:rPr>
        <w:t>污水泵站、雨水泵站和合流污水泵站的总称。</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污水泵站  sewage pumping station</w:t>
      </w:r>
    </w:p>
    <w:p>
      <w:pPr>
        <w:wordWrap w:val="0"/>
        <w:spacing w:line="460" w:lineRule="atLeast"/>
        <w:ind w:firstLine="420"/>
        <w:rPr>
          <w:rFonts w:eastAsiaTheme="minorEastAsia"/>
          <w:color w:val="000000" w:themeColor="text1"/>
          <w:sz w:val="28"/>
          <w:szCs w:val="28"/>
        </w:rPr>
      </w:pPr>
      <w:r>
        <w:rPr>
          <w:rFonts w:eastAsiaTheme="minorEastAsia"/>
          <w:color w:val="000000" w:themeColor="text1"/>
          <w:sz w:val="28"/>
          <w:szCs w:val="28"/>
        </w:rPr>
        <w:t>分流制排水系统中，提升污水的泵站。</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雨水泵站  storm water pumping station</w:t>
      </w:r>
    </w:p>
    <w:p>
      <w:pPr>
        <w:wordWrap w:val="0"/>
        <w:spacing w:line="460" w:lineRule="atLeast"/>
        <w:ind w:firstLine="420"/>
        <w:rPr>
          <w:rFonts w:eastAsiaTheme="minorEastAsia"/>
          <w:color w:val="000000" w:themeColor="text1"/>
          <w:sz w:val="28"/>
          <w:szCs w:val="28"/>
        </w:rPr>
      </w:pPr>
      <w:r>
        <w:rPr>
          <w:rFonts w:eastAsiaTheme="minorEastAsia"/>
          <w:color w:val="000000" w:themeColor="text1"/>
          <w:sz w:val="28"/>
          <w:szCs w:val="28"/>
        </w:rPr>
        <w:t>分流制排水系统中，提升雨水的泵站。</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合流污水泵站  combined sewage pumping station</w:t>
      </w:r>
    </w:p>
    <w:p>
      <w:pPr>
        <w:wordWrap w:val="0"/>
        <w:spacing w:line="460" w:lineRule="atLeast"/>
        <w:ind w:firstLine="420"/>
        <w:rPr>
          <w:rFonts w:eastAsiaTheme="minorEastAsia"/>
          <w:color w:val="000000" w:themeColor="text1"/>
          <w:sz w:val="28"/>
          <w:szCs w:val="28"/>
        </w:rPr>
      </w:pPr>
      <w:r>
        <w:rPr>
          <w:rFonts w:eastAsiaTheme="minorEastAsia"/>
          <w:color w:val="000000" w:themeColor="text1"/>
          <w:sz w:val="28"/>
          <w:szCs w:val="28"/>
        </w:rPr>
        <w:t>合流制排水系统中，提升合流污水的泵站。</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一级处理  primary treatment</w:t>
      </w:r>
    </w:p>
    <w:p>
      <w:pPr>
        <w:pStyle w:val="30"/>
        <w:wordWrap w:val="0"/>
        <w:spacing w:line="360" w:lineRule="auto"/>
        <w:ind w:left="420"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污水通过沉淀去降悬浮物的过程。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二级处理  secondary treatment</w:t>
      </w:r>
    </w:p>
    <w:p>
      <w:pPr>
        <w:pStyle w:val="30"/>
        <w:wordWrap w:val="0"/>
        <w:spacing w:line="360" w:lineRule="auto"/>
        <w:ind w:left="420"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污水一级处理后，再用生物方法进行进一步去除污水中胶体和溶解性有机物的过程。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活性污泥法 activated sludge process， suspended growth process</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生物处理的一种方法。该法是在人工条件下，对污水中的各类微生物群体进行连续混合和培养，形成悬浮状态的活性污泥。利用活性污泥的生物作用，以分解去除污水中的有机污染物，然后使污泥与水分离，大部分污泥回流到生物反应池，多余部分作为剩余污泥排出活性污泥系统。</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生物反应池  biological reaction tank</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利用活性污泥法进行污水生物处理的构筑物。反应池内能满足生物活动所需条件，可分厌氧、缺氧、好氧状态。池内保持污泥悬浮并与污水充分混合。</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活性污泥 activated sludge</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生物反应池中繁殖的含有各种微生物群体的絮状体。</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回流污泥 returned sludge</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由二次沉淀池分离，回流到生物反应池的活性污泥。</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格栅 bar screen</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拦截水中较大尺寸的漂浮物或其他杂物的装置。</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格栅除污机 bar screen machine</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用机械的方法，将格栅截留的栅渣清捞出的机械。</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固定式格栅除污机 fixed raking machine</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对应每组格栅设置的固定式清捞栅渣的机械。</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移动式格栅除污机  mobile raking machine</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数组或超宽格栅设置一台移动式清捞栅渣的机械，按一定操作程序轮流清捞栅渣。</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沉砂池  grit chamber</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去除水中自重较大、能自然沉降的较大粒径砂粒或颗粒的构筑物。</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平流沉砂池  horizontal flow grit chamber</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污水沿水平方向流动分离砂粒的沉砂池。</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曝气沉砂池  aerated grit chamber</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空气沿池一侧进入，使水呈螺旋形流动分离砂粒的沉砂池。</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旋流沉砂池  vortex-type grit chamber</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靠进水形成旋流离心力分离砂粒的沉砂池。</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沉淀  sedimentation, settling</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利用悬浮物和水的密度差，重力沉降作用去除水中悬浮物的过程。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初次沉淀池  primary settling tank</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设在生物处理构筑物前的沉淀池，用以降低污水中的固体物浓度。</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二次沉淀池  secondary settling tank</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设在生物处理构筑物后，用于污泥与水分离的沉淀池。</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平流沉淀池 horizontal settling tank</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污水沿水平方向流动，使污水中的固体物沉降的水池。</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竖流沉淀池 vertical flow settling tank</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污水从中心管进入，水流竖直上升流动，使污水中的固体物沉降的水池。</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辐流沉淀池 radial flow settling tank</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污水沿径向减速流动，使污水中的固体物沉降的水池。</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斜管（板）沉淀池 inclined tube（plate） sedimentation tank</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水池中加斜管（板），使污水中的固体物高效沉降的沉淀池。</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高效沉淀池 high efficiency sedimentation tank</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通过废水与回流污泥混</w:t>
      </w:r>
      <w:r>
        <w:rPr>
          <w:rFonts w:hint="eastAsia" w:ascii="Times New Roman" w:hAnsi="Times New Roman" w:eastAsiaTheme="minorEastAsia"/>
          <w:color w:val="000000" w:themeColor="text1"/>
          <w:sz w:val="28"/>
          <w:szCs w:val="28"/>
        </w:rPr>
        <w:t>合</w:t>
      </w:r>
      <w:r>
        <w:rPr>
          <w:rFonts w:ascii="Times New Roman" w:hAnsi="Times New Roman" w:eastAsiaTheme="minorEastAsia"/>
          <w:color w:val="000000" w:themeColor="text1"/>
          <w:sz w:val="28"/>
          <w:szCs w:val="28"/>
        </w:rPr>
        <w:t>、絮凝增大悬浮物尺寸或添加砂、磁粉等重介质提高</w:t>
      </w:r>
      <w:r>
        <w:rPr>
          <w:rFonts w:hint="eastAsia" w:ascii="Times New Roman" w:hAnsi="Times New Roman" w:eastAsiaTheme="minorEastAsia"/>
          <w:color w:val="000000" w:themeColor="text1"/>
          <w:sz w:val="28"/>
          <w:szCs w:val="28"/>
        </w:rPr>
        <w:t>絮凝体</w:t>
      </w:r>
      <w:r>
        <w:rPr>
          <w:rFonts w:ascii="Times New Roman" w:hAnsi="Times New Roman" w:eastAsiaTheme="minorEastAsia"/>
          <w:color w:val="000000" w:themeColor="text1"/>
          <w:sz w:val="28"/>
          <w:szCs w:val="28"/>
        </w:rPr>
        <w:t>密度，以加速沉淀速度的一种沉淀工艺。</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好氧  aerobic，oxic</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污水生物处理中有溶解氧或兼有硝态氮的环境状态。</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厌氧 anaerobic</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污水生物处理中没有溶解氧和硝态氮的环境状态。</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缺氧 anoxic</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污水生物处理中溶解氧不足或没有溶解氧但有硝态氮的环境状态。</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生物硝化  bio-nitrification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污水生物处理中好氧状态下硝化细菌将氨氮氧化成硝态氮的过程。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生物反硝化  bio-denitrification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污水生物处理中缺氧状态下反硝化菌将硝态氮还原成氮气，去除污水中氮的过程。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混合液回流  mixed liquor recycle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污水生物处理工艺中，生物反应区内的混合液由后端回流至前端的过程。该过程有别于将二沉池沉淀后的污泥回流至生物反应区的过程。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生物除磷 biological phosphorus removal</w:t>
      </w:r>
    </w:p>
    <w:p>
      <w:pPr>
        <w:wordWrap w:val="0"/>
        <w:spacing w:line="460" w:lineRule="atLeast"/>
        <w:ind w:firstLine="420"/>
        <w:rPr>
          <w:rFonts w:eastAsiaTheme="minorEastAsia"/>
          <w:color w:val="000000" w:themeColor="text1"/>
          <w:sz w:val="28"/>
          <w:szCs w:val="28"/>
        </w:rPr>
      </w:pPr>
      <w:r>
        <w:rPr>
          <w:rFonts w:eastAsiaTheme="minorEastAsia"/>
          <w:color w:val="000000" w:themeColor="text1"/>
          <w:sz w:val="28"/>
          <w:szCs w:val="28"/>
        </w:rPr>
        <w:t>活性污泥法处理污水时，通过排放含有较多聚磷菌的剩余污泥，去除污水中磷的过程。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缺氧/好氧脱氮工艺 anoxic/oxic process （A</w:t>
      </w:r>
      <w:r>
        <w:rPr>
          <w:rFonts w:ascii="Times New Roman" w:hAnsi="Times New Roman" w:eastAsiaTheme="minorEastAsia"/>
          <w:color w:val="000000" w:themeColor="text1"/>
          <w:sz w:val="28"/>
          <w:szCs w:val="28"/>
          <w:vertAlign w:val="subscript"/>
        </w:rPr>
        <w:t>N</w:t>
      </w:r>
      <w:r>
        <w:rPr>
          <w:rFonts w:ascii="Times New Roman" w:hAnsi="Times New Roman" w:eastAsiaTheme="minorEastAsia"/>
          <w:color w:val="000000" w:themeColor="text1"/>
          <w:sz w:val="28"/>
          <w:szCs w:val="28"/>
        </w:rPr>
        <w:t>O）</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污水经过缺氧、好氧交替状态处理，提高总氮去除率的生物处理。</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厌氧/好氧除磷工艺 anaerobic/oxic process （A</w:t>
      </w:r>
      <w:r>
        <w:rPr>
          <w:rFonts w:ascii="Times New Roman" w:hAnsi="Times New Roman" w:eastAsiaTheme="minorEastAsia"/>
          <w:color w:val="000000" w:themeColor="text1"/>
          <w:sz w:val="28"/>
          <w:szCs w:val="28"/>
          <w:vertAlign w:val="subscript"/>
        </w:rPr>
        <w:t>P</w:t>
      </w:r>
      <w:r>
        <w:rPr>
          <w:rFonts w:ascii="Times New Roman" w:hAnsi="Times New Roman" w:eastAsiaTheme="minorEastAsia"/>
          <w:color w:val="000000" w:themeColor="text1"/>
          <w:sz w:val="28"/>
          <w:szCs w:val="28"/>
        </w:rPr>
        <w:t>O）</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污水经过厌氧、好氧交替状态处理，提高总磷去除率的生物处理。</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厌氧/缺氧/好氧脱氮除磷工艺 anaerobic/anoxic/oxic process（AAO,又称A</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/O）</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污水经过厌氧、缺氧、好氧交替状态处理，提高总氮和总磷去除率的生物处理。</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序批式活性污泥法 sequencing batch reactor （SBR）</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活性污泥法的一种形式。在同一个反应器中，按时间顺序进行进水、反应、沉淀和排水等处理工序。</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充水比  fill ratio</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序批式活性污泥法工艺一个周期中，进入反应池的污水量与反应池有效容积之比。</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总凯氏氮 total Kjeldahl nitrogen（TKN）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有机氮和氨氮之和。</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总氮 total nitrogen（TN）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有机氮、氨氮、亚硝酸盐氮和硝酸盐氮的总和。</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总磷 total phosphorus（TP）</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水体中有机磷和无机磷的总和。</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好氧泥龄  oxic sludge age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活性污泥在好氧池中的平均停留时间。</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泥龄  sludge age，sludge retention time（SRT）</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活性污泥在整个生物反应池中的平均停留时间。</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氧化沟 oxidation ditch</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活性污泥法的一种形式，其构筑物呈封闭无终端渠形布置，降解去除污水中有机污染物和氮、磷等营养物。</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好氧区 oxic zone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生物反应池的充氧区。微生物在好氧区降解有机物和进行硝化反应。</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缺氧区  anoxic zone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生物反应池的非充氧区，且有硝酸盐或亚硝酸盐存在的区域。生物反应池中含有大量硝酸盐、亚硝酸盐，得到充足的有机物时，可在该区内进行脱氮反应。</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厌氧区 anaerobic zone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生物反应池的非充氧区，且无硝酸盐或亚硝酸盐存在的区域。聚磷微生物在厌氧区吸收有机物和释放磷。</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膜生物反应器(MBR) membrane bioreactor </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将生物反应与膜过滤相结合，利用膜作为分离介质替代常规重力沉淀池进行固液分离获得出水的污水处理系统。</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外置式膜生物反应器 recirculated membrane bioreactor</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膜组器所在的膜池和生物反应池分开布置，生物反应池内的活性污泥混合液由泵送入膜池，在产水泵产生的负压或静水压力下利用膜进行固液分离，膜池浓缩的混合液回流到生物反应池形成循环的一种MBR型式。</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浸没式膜生物反应器 submerged membrane bioreactor</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膜组器浸没在生物反应池中，在产水泵产生的负压或静水压力下利用膜进行固液分离的一种MBR型式，也称为内置式膜生物反应器。</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膜池 membrane tank</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在浸没式MBR中用来放置膜组器的构筑物。</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生物膜法  attached growth process ，biofilm process</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污水生物处理的一种方法。该法利用生物膜对有机污染物的吸附和分解作用使污水得到净化。</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生物接触氧化  bio-contact oxidation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由浸没在污水中的填料和曝气系统构成的污水处理方法。在有氧条件下，污水与填料表面的生物膜广泛接触，使污水得到净化。</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曝气生物滤池（BAF）  biological aerated filter </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生物膜法的一种构筑物。由接触氧化和过滤相结合，在有氧条件下，完成污水中有机物氧化、过滤、反冲洗过程，使污水获得净化。又称颗粒填料生物滤池。</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生物转盘（RBC）  rotating biological contactor </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生物膜法的一种构筑物。由水槽和部分浸没在污水中的旋转盘体组成，盘体表面生长的生物膜反复接触污水和空气中的氧，使污水获得净化。</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低负荷生物滤池 low-rate trickling filters</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亦称滴滤池（传统、普通生物滤池）。由于负荷较低，占地较大，净化效果较好，五日生化需氧量去除率可达85～95％。</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高负荷生物滤池 high-rate biological filters</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生物滤池的一种，通过回流处理水和限制进水有机负荷等措施，提高水力负荷，解决堵塞问题。</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五日生化需氧量容积负荷 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-volumetric loading rate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生物反应池单位容积每天承担的五日生化需氧量千克数。其计量单位以kg BOD</w:t>
      </w:r>
      <w:r>
        <w:rPr>
          <w:rFonts w:eastAsiaTheme="minorEastAsia"/>
          <w:color w:val="000000" w:themeColor="text1"/>
          <w:sz w:val="28"/>
          <w:szCs w:val="28"/>
          <w:vertAlign w:val="subscript"/>
        </w:rPr>
        <w:t>5</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 xml:space="preserve">∙d）表示。 </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表面负荷 surface loading rate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一种负荷表示方式，指每平方米填料面积每天所能接受的污水量或者每天能接受的污染物质量。</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固定布水器 fixed distributor</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生物滤池中由固定的布水管和喷嘴等组成的布水装置。</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旋转布水器 rotating distributor</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由若干条布水管组成的旋转布水装置。它利用从布水管孔口喷出的水流所产生的反作用力，推动布水管绕旋转轴旋转，达到均匀布水的目的。</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塑料填料 plastic media</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用以提供微生物生长的载体，有硬性、软性和半软性填料。</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移动床生物膜反应器 moving bed biofilm reactor</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 一种污水处理构筑物，池内装有供微生物生长的载体，在水流和气流的作用下，载体处于流化状态。依靠载体表面的生物膜对污染物吸附、氧化和分解，使污水得以净化。</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填充率 filling ratio</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 指移动床生物膜反应器内，悬浮填料的体积和填料所在反应区池容的比例。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有效比表面积 effective specific surface area</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指在移动床生物膜反应器内单位体积悬浮载体填料上可供生物膜附着生长，且保证良好传质和保护生物膜不被冲刷的表面积。</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转盘滤池 disc filter</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由水平轴串起若干彼此平行、包裹着滤布、中空的过滤转盘进行污水过滤的装置。污水在水力坡降驱动下，自外向内，进入转盘中间的集水筒，成为过滤后的清水，悬浮颗粒物附着在滤布表面逐渐形成污泥层。随着过滤阻力增加，启动反冲洗以维持滤布的过滤阻力在合理范围。反冲洗时，电动机驱动水平轴转动，带动转盘高速旋转，能提高清洗效果。</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污水自然处理 natural treatment of wastewater </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利用自然生物作用的污水处理方法。</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人工湿地  artifical wetland ,constructed wetland</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是在一定的填料上种植特定的湿地植物，从而建立起一个人工湿地生态系统，当污水通过系统时，经砂石、土壤过滤，植物根际的多种微生物活动，污水的污染物质和营养物质被系统吸收、转化或分解，从而使水质得到净化。</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表面流人工湿地 free water surface constructed wetland</w:t>
      </w:r>
    </w:p>
    <w:p>
      <w:pPr>
        <w:pStyle w:val="30"/>
        <w:wordWrap w:val="0"/>
        <w:spacing w:line="360" w:lineRule="auto"/>
        <w:ind w:firstLine="709"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污水以水平流方式从湿地的首段流至末端，且内部不设置填料的人工湿地。</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水平潜流人工湿地 horizontal subsurface flow constructed wetland</w:t>
      </w:r>
    </w:p>
    <w:p>
      <w:pPr>
        <w:pStyle w:val="30"/>
        <w:wordWrap w:val="0"/>
        <w:spacing w:line="360" w:lineRule="auto"/>
        <w:ind w:firstLine="709"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污水以水平流方式从湿地的首端流至末端，且内部设置填料的人工湿地。</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垂直潜流人工湿地 vertical subsurface flow constructed wetland</w:t>
      </w:r>
    </w:p>
    <w:p>
      <w:pPr>
        <w:wordWrap w:val="0"/>
        <w:spacing w:line="360" w:lineRule="auto"/>
        <w:ind w:firstLine="567"/>
        <w:rPr>
          <w:rFonts w:eastAsiaTheme="minorEastAsia"/>
          <w:color w:val="000000" w:themeColor="text1"/>
          <w:sz w:val="28"/>
          <w:szCs w:val="28"/>
        </w:rPr>
      </w:pPr>
      <w:r>
        <w:rPr>
          <w:rFonts w:eastAsiaTheme="minorEastAsia"/>
          <w:color w:val="000000" w:themeColor="text1"/>
          <w:sz w:val="28"/>
          <w:szCs w:val="28"/>
        </w:rPr>
        <w:t>污水以垂直流方式从湿地的顶部流至底部或者从底部流至顶部，且内部设置填料的人工湿地。</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稳定塘 stabilization pond，stabilization lagoon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经过人工适当修整，设围堤和防渗层的污水池塘，通过水生生态系统的物理和生物作用对污水进行自然处理。</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污水再生利用 wastewater reuse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污水回收、再生和利用的统称，包括污水净化再用、实现水循环的全过程。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深度处理 advanced treatment</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为达到更高的处理目标，在常规二级生物处理后设的处理单元。</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再生水  reclaimed water，reuse water</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污水或雨水经适当处理后，达到一定的水质标准，满足某种使用要求的水。</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膜过滤  membrane filtration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在污水深度处理中，通过渗透膜过滤去除污染物的技术。</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活性炭吸附池 activated carbon adsorption tank</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池内介质为单一颗粒活性炭的吸附池。</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紫外线  ultraviolet（UV）</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紫外线是电磁波的一部分，污水消毒用的紫外线波长为200nm ~310nm（主要为254nm）的波谱区。</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紫外线有效剂量 effective ultraviolet dose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照射到生物体上的紫外线量（即紫外线生物验定剂量），由生物验定测试得到。</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污泥处理  sludge treatment</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对污泥进行减量化、稳定化和无害化的处理过程，一般包括浓缩、调理、脱水、稳定、干化或焚烧等的加工过程。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污泥处置 sludge disposal</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对处理后的污泥的最终消纳过程。一般包括土地利用、填埋和建筑材料利用等。</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污泥浓缩  sludge thickening</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采用重力、气浮或机械的方法降低污泥含水率，减少污泥体积的方法。</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污泥脱水  sludge dewatering</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浓缩污泥进一步去除大量水分的过程，普遍采用机械的方式。</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污泥干化  sludge drying</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通过渗滤或蒸发等作用，从浓缩污泥中去除大部分水分的过程。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污泥消化  sludge digestion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通过厌氧或好氧的方法，使污泥中的有机物进行生物降解和稳定的过程。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厌氧消化  anaerobic digestion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使污泥中有机物生物降解和稳定的过程。</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好氧消化  aerobic digestion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有氧条件下污泥消化的过程。</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中温消化  mesophilic digestion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污泥温度在33</w:t>
      </w:r>
      <w:r>
        <w:rPr>
          <w:rFonts w:eastAsia="宋体"/>
          <w:color w:val="000000" w:themeColor="text1"/>
          <w:sz w:val="28"/>
          <w:szCs w:val="28"/>
        </w:rPr>
        <w:t>°C</w:t>
      </w:r>
      <w:r>
        <w:rPr>
          <w:rFonts w:eastAsiaTheme="minorEastAsia"/>
          <w:color w:val="000000" w:themeColor="text1"/>
          <w:sz w:val="28"/>
          <w:szCs w:val="28"/>
        </w:rPr>
        <w:t>～38</w:t>
      </w:r>
      <w:r>
        <w:rPr>
          <w:rFonts w:eastAsia="宋体"/>
          <w:color w:val="000000" w:themeColor="text1"/>
          <w:sz w:val="28"/>
          <w:szCs w:val="28"/>
        </w:rPr>
        <w:t>°C</w:t>
      </w:r>
      <w:r>
        <w:rPr>
          <w:rFonts w:eastAsiaTheme="minorEastAsia"/>
          <w:color w:val="000000" w:themeColor="text1"/>
          <w:sz w:val="28"/>
          <w:szCs w:val="28"/>
        </w:rPr>
        <w:t>时进行的消化过程。</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高温消化  thermophilic digestion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污泥温度在53</w:t>
      </w:r>
      <w:r>
        <w:rPr>
          <w:rFonts w:eastAsia="宋体"/>
          <w:color w:val="000000" w:themeColor="text1"/>
          <w:sz w:val="28"/>
          <w:szCs w:val="28"/>
        </w:rPr>
        <w:t>°C</w:t>
      </w:r>
      <w:r>
        <w:rPr>
          <w:rFonts w:eastAsiaTheme="minorEastAsia"/>
          <w:color w:val="000000" w:themeColor="text1"/>
          <w:sz w:val="28"/>
          <w:szCs w:val="28"/>
        </w:rPr>
        <w:t>～55</w:t>
      </w:r>
      <w:r>
        <w:rPr>
          <w:rFonts w:eastAsia="宋体"/>
          <w:color w:val="000000" w:themeColor="text1"/>
          <w:sz w:val="28"/>
          <w:szCs w:val="28"/>
        </w:rPr>
        <w:t>°C</w:t>
      </w:r>
      <w:r>
        <w:rPr>
          <w:rFonts w:eastAsiaTheme="minorEastAsia"/>
          <w:color w:val="000000" w:themeColor="text1"/>
          <w:sz w:val="28"/>
          <w:szCs w:val="28"/>
        </w:rPr>
        <w:t>时进行的消化过程。</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原污泥  raw sludge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未经处理的初沉污泥、二沉污泥（剩余污泥）或两者混合后的污泥。</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初沉污泥  primary sludge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从初次沉淀池排出的沉淀物。</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二沉污泥  secondary sludge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从二次沉淀池、生物反应池（沉淀区或沉淀排泥时段）排出的沉淀物。</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剩余污泥  excess activated sludge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从二次沉淀池、生物反应池（沉淀区或沉淀排泥时段）排出系统的活性污泥。</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消化污泥  digested sludge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经过厌氧消化或好氧消化的污泥。与原污泥相比，有机物总量有一定程度的降低，污泥性质趋于稳定。</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消化池  digester</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污泥处理中有机物进行生物降解和稳定的构筑物。</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消化时间  digest time</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污泥在消化池中的平均停留时间。</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挥发性固体  volatile solids</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污泥固体物质在600</w:t>
      </w:r>
      <w:r>
        <w:rPr>
          <w:rFonts w:eastAsia="宋体"/>
          <w:color w:val="000000" w:themeColor="text1"/>
          <w:sz w:val="28"/>
          <w:szCs w:val="28"/>
        </w:rPr>
        <w:t>°C</w:t>
      </w:r>
      <w:r>
        <w:rPr>
          <w:rFonts w:eastAsiaTheme="minorEastAsia"/>
          <w:color w:val="000000" w:themeColor="text1"/>
          <w:sz w:val="28"/>
          <w:szCs w:val="28"/>
        </w:rPr>
        <w:t>时所失去的重量，代表污泥中可通过生物降解的有机物含量水平。</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挥发性固体去除率   removal percentage of volatile solid</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通过污泥消化，污泥中挥发性有机固体被降解去除的百分比。</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挥发性固体容积负荷   cubage load of volatile solids</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单位时间内对单位消化池容积投入的原污泥中挥发性固体重量。</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污泥气  sludge gas ，marsh gas</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俗称沼气。在污泥厌氧消化时有机物分解所产生的气体，主要成分为甲烷和二氧化碳，并有少量的氢、氮和硫化氢等。</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污泥气燃烧器  sludge gas burner</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污泥气燃烧消耗的装置。又称沼气燃烧器。</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回火防止器  backfire preventer</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防止并阻断回火的装置。在发生事故或系统不稳定的状况下，当管内污泥气压力降低时，燃烧点的火会通过管道向气源方向蔓延，称作回火。</w:t>
      </w:r>
    </w:p>
    <w:p>
      <w:pPr>
        <w:pStyle w:val="30"/>
        <w:numPr>
          <w:ilvl w:val="0"/>
          <w:numId w:val="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污泥好氧发酵  sludge composit</w:t>
      </w:r>
    </w:p>
    <w:p>
      <w:pPr>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也称为污泥堆肥，</w:t>
      </w:r>
      <w:r>
        <w:rPr>
          <w:rFonts w:eastAsia="宋体"/>
          <w:color w:val="000000" w:themeColor="text1"/>
          <w:sz w:val="28"/>
          <w:szCs w:val="28"/>
        </w:rPr>
        <w:t>在充分供氧的条件下，物料在好氧微生物的作用下产生较高温度使有机物生物降解及无害化，最终生成性质稳定腐殖化产物的过程。</w:t>
      </w:r>
    </w:p>
    <w:p>
      <w:pPr>
        <w:pStyle w:val="30"/>
        <w:numPr>
          <w:ilvl w:val="0"/>
          <w:numId w:val="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污泥热干化  sludge heat drying</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污泥脱水后，在外部加热的条件下，通过传热和传质过程，使污泥中水分随着相变化分离的过程成为干化产品</w:t>
      </w:r>
      <w:r>
        <w:rPr>
          <w:rFonts w:hint="eastAsia" w:eastAsiaTheme="minorEastAsia"/>
          <w:color w:val="000000" w:themeColor="text1"/>
          <w:sz w:val="28"/>
          <w:szCs w:val="28"/>
        </w:rPr>
        <w:t>。</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污泥焚烧  sludge incineration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利用焚烧炉将污泥完全矿化为少量灰烬的过程。</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污泥综合利用  sludge integrated application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将污泥作为有用的原材料在各种用途上加以利用的方法，是污泥处置的最佳途径。</w:t>
      </w:r>
    </w:p>
    <w:p>
      <w:pPr>
        <w:pStyle w:val="30"/>
        <w:numPr>
          <w:ilvl w:val="0"/>
          <w:numId w:val="3"/>
        </w:numPr>
        <w:wordWrap w:val="0"/>
        <w:spacing w:line="360" w:lineRule="auto"/>
        <w:ind w:left="454" w:hanging="453" w:hangingChars="16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污泥土地利用  sludge land application</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将处理后的污泥作为介质土或土壤改良材料，用于园林绿化、土地改良和农田等场合的处置方式。</w:t>
      </w:r>
    </w:p>
    <w:p>
      <w:pPr>
        <w:wordWrap w:val="0"/>
        <w:spacing w:line="460" w:lineRule="atLeast"/>
        <w:ind w:firstLine="420"/>
        <w:rPr>
          <w:rFonts w:eastAsiaTheme="minorEastAsia"/>
          <w:color w:val="000000" w:themeColor="text1"/>
          <w:sz w:val="28"/>
          <w:szCs w:val="28"/>
        </w:rPr>
      </w:pPr>
    </w:p>
    <w:p>
      <w:pPr>
        <w:pStyle w:val="3"/>
        <w:numPr>
          <w:ilvl w:val="0"/>
          <w:numId w:val="2"/>
        </w:numPr>
        <w:wordWrap w:val="0"/>
        <w:spacing w:before="0" w:after="0"/>
        <w:ind w:left="0" w:firstLine="0"/>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7" w:name="_Toc515281024"/>
      <w:r>
        <w:rPr>
          <w:rFonts w:ascii="Times New Roman" w:hAnsi="Times New Roman" w:eastAsiaTheme="minorEastAsia"/>
          <w:b w:val="0"/>
          <w:color w:val="000000" w:themeColor="text1"/>
          <w:sz w:val="28"/>
          <w:szCs w:val="28"/>
        </w:rPr>
        <w:t>符号</w:t>
      </w:r>
      <w:bookmarkEnd w:id="7"/>
    </w:p>
    <w:p>
      <w:pPr>
        <w:pStyle w:val="30"/>
        <w:numPr>
          <w:ilvl w:val="0"/>
          <w:numId w:val="4"/>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设计流量</w:t>
      </w:r>
    </w:p>
    <w:p>
      <w:pPr>
        <w:pStyle w:val="30"/>
        <w:wordWrap w:val="0"/>
        <w:spacing w:line="460" w:lineRule="atLeast"/>
        <w:ind w:left="340" w:firstLine="226" w:firstLineChars="81"/>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A</w:t>
      </w:r>
      <w:r>
        <w:rPr>
          <w:rFonts w:ascii="Times New Roman" w:hAnsi="Times New Roman" w:eastAsiaTheme="minorEastAsia"/>
          <w:color w:val="000000" w:themeColor="text1"/>
          <w:sz w:val="28"/>
          <w:szCs w:val="28"/>
          <w:vertAlign w:val="subscript"/>
        </w:rPr>
        <w:t>1</w:t>
      </w:r>
      <w:r>
        <w:rPr>
          <w:rFonts w:ascii="Times New Roman" w:hAnsi="Times New Roman" w:eastAsiaTheme="minorEastAsia"/>
          <w:color w:val="000000" w:themeColor="text1"/>
          <w:sz w:val="28"/>
          <w:szCs w:val="28"/>
        </w:rPr>
        <w:t>，</w:t>
      </w:r>
      <w:r>
        <w:rPr>
          <w:rFonts w:ascii="Times New Roman" w:hAnsi="Times New Roman" w:eastAsiaTheme="minorEastAsia"/>
          <w:i/>
          <w:color w:val="000000" w:themeColor="text1"/>
          <w:sz w:val="28"/>
          <w:szCs w:val="28"/>
        </w:rPr>
        <w:t>C</w:t>
      </w:r>
      <w:r>
        <w:rPr>
          <w:rFonts w:ascii="Times New Roman" w:hAnsi="Times New Roman" w:eastAsiaTheme="minorEastAsia"/>
          <w:color w:val="000000" w:themeColor="text1"/>
          <w:sz w:val="28"/>
          <w:szCs w:val="28"/>
        </w:rPr>
        <w:t>，</w:t>
      </w:r>
      <w:r>
        <w:rPr>
          <w:rFonts w:ascii="Times New Roman" w:hAnsi="Times New Roman" w:eastAsiaTheme="minorEastAsia"/>
          <w:i/>
          <w:color w:val="000000" w:themeColor="text1"/>
          <w:sz w:val="28"/>
          <w:szCs w:val="28"/>
        </w:rPr>
        <w:t>b</w:t>
      </w:r>
      <w:r>
        <w:rPr>
          <w:rFonts w:ascii="Times New Roman" w:hAnsi="Times New Roman" w:eastAsiaTheme="minorEastAsia"/>
          <w:color w:val="000000" w:themeColor="text1"/>
          <w:sz w:val="28"/>
          <w:szCs w:val="28"/>
        </w:rPr>
        <w:t>，</w:t>
      </w:r>
      <w:r>
        <w:rPr>
          <w:rFonts w:ascii="Times New Roman" w:hAnsi="Times New Roman" w:eastAsiaTheme="minorEastAsia"/>
          <w:i/>
          <w:color w:val="000000" w:themeColor="text1"/>
          <w:sz w:val="28"/>
          <w:szCs w:val="28"/>
        </w:rPr>
        <w:t>n</w:t>
      </w:r>
      <w:r>
        <w:rPr>
          <w:rFonts w:ascii="Times New Roman" w:hAnsi="Times New Roman" w:eastAsiaTheme="minorEastAsia"/>
          <w:color w:val="000000" w:themeColor="text1"/>
          <w:sz w:val="28"/>
          <w:szCs w:val="28"/>
        </w:rPr>
        <w:t>——暴雨强度公式中的有关参数；</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F</w:t>
      </w:r>
      <w:r>
        <w:rPr>
          <w:rFonts w:eastAsiaTheme="minorEastAsia"/>
          <w:color w:val="000000" w:themeColor="text1"/>
          <w:sz w:val="28"/>
          <w:szCs w:val="28"/>
        </w:rPr>
        <w:t>——汇水面积；</w:t>
      </w:r>
    </w:p>
    <w:p>
      <w:pPr>
        <w:pStyle w:val="30"/>
        <w:spacing w:line="460" w:lineRule="atLeast"/>
        <w:ind w:left="567" w:firstLine="0" w:firstLineChars="0"/>
        <w:rPr>
          <w:rFonts w:ascii="Times New Roman" w:hAnsi="Times New Roman" w:eastAsia="宋体"/>
          <w:color w:val="000000"/>
          <w:sz w:val="28"/>
          <w:szCs w:val="28"/>
        </w:rPr>
      </w:pPr>
      <w:r>
        <w:rPr>
          <w:rFonts w:ascii="Times New Roman" w:hAnsi="Times New Roman" w:eastAsiaTheme="minorEastAsia"/>
          <w:color w:val="000000"/>
          <w:sz w:val="28"/>
          <w:szCs w:val="28"/>
        </w:rPr>
        <w:t>K</w:t>
      </w:r>
      <w:r>
        <w:rPr>
          <w:rFonts w:ascii="Times New Roman" w:hAnsi="Times New Roman"/>
          <w:color w:val="000000"/>
          <w:sz w:val="28"/>
          <w:szCs w:val="28"/>
        </w:rPr>
        <w:t xml:space="preserve"> </w:t>
      </w:r>
      <w:r>
        <w:rPr>
          <w:rFonts w:ascii="Times New Roman" w:hAnsi="Times New Roman" w:eastAsiaTheme="minorEastAsia"/>
          <w:color w:val="000000" w:themeColor="text1"/>
          <w:sz w:val="28"/>
          <w:szCs w:val="28"/>
        </w:rPr>
        <w:t>——</w:t>
      </w:r>
      <w:r>
        <w:rPr>
          <w:rFonts w:ascii="Times New Roman" w:hAnsi="Times New Roman" w:eastAsia="宋体"/>
          <w:color w:val="000000"/>
          <w:sz w:val="28"/>
          <w:szCs w:val="28"/>
        </w:rPr>
        <w:t>综合生活污水量变化系数；</w:t>
      </w:r>
    </w:p>
    <w:p>
      <w:pPr>
        <w:spacing w:line="460" w:lineRule="atLeast"/>
        <w:ind w:left="567"/>
        <w:rPr>
          <w:rFonts w:eastAsia="宋体"/>
          <w:color w:val="000000"/>
          <w:sz w:val="28"/>
          <w:szCs w:val="28"/>
        </w:rPr>
      </w:pPr>
      <w:r>
        <w:rPr>
          <w:rFonts w:eastAsiaTheme="minorEastAsia"/>
          <w:color w:val="000000"/>
          <w:sz w:val="28"/>
          <w:szCs w:val="28"/>
        </w:rPr>
        <w:t>K’</w:t>
      </w:r>
      <w:r>
        <w:rPr>
          <w:color w:val="000000"/>
          <w:sz w:val="28"/>
          <w:szCs w:val="28"/>
        </w:rPr>
        <w:t xml:space="preserve"> </w:t>
      </w:r>
      <w:r>
        <w:rPr>
          <w:rFonts w:eastAsiaTheme="minorEastAsia"/>
          <w:color w:val="000000" w:themeColor="text1"/>
          <w:sz w:val="28"/>
          <w:szCs w:val="28"/>
        </w:rPr>
        <w:t>——</w:t>
      </w:r>
      <w:r>
        <w:rPr>
          <w:rFonts w:eastAsia="宋体"/>
          <w:color w:val="000000"/>
          <w:sz w:val="28"/>
          <w:szCs w:val="28"/>
        </w:rPr>
        <w:t>工业废水量变化系数；</w:t>
      </w:r>
    </w:p>
    <w:p>
      <w:pPr>
        <w:wordWrap w:val="0"/>
        <w:spacing w:line="460" w:lineRule="atLeast"/>
        <w:ind w:left="567"/>
        <w:rPr>
          <w:rFonts w:eastAsiaTheme="minorEastAsia"/>
          <w:i/>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o</w:t>
      </w:r>
      <w:r>
        <w:rPr>
          <w:rFonts w:eastAsiaTheme="minorEastAsia"/>
          <w:color w:val="000000" w:themeColor="text1"/>
          <w:sz w:val="28"/>
          <w:szCs w:val="28"/>
        </w:rPr>
        <w:t>——截流倍数；</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P</w:t>
      </w:r>
      <w:r>
        <w:rPr>
          <w:rFonts w:eastAsiaTheme="minorEastAsia"/>
          <w:color w:val="000000" w:themeColor="text1"/>
          <w:sz w:val="28"/>
          <w:szCs w:val="28"/>
        </w:rPr>
        <w:t>——设计重现期；</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——设计流量；</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′——截流井以后管渠的设计流量；</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d</w:t>
      </w:r>
      <w:r>
        <w:rPr>
          <w:rFonts w:eastAsiaTheme="minorEastAsia"/>
          <w:color w:val="000000" w:themeColor="text1"/>
          <w:sz w:val="28"/>
          <w:szCs w:val="28"/>
        </w:rPr>
        <w:t>——设计综合生活污水量；</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dr</w:t>
      </w:r>
      <w:r>
        <w:rPr>
          <w:rFonts w:eastAsiaTheme="minorEastAsia"/>
          <w:color w:val="000000" w:themeColor="text1"/>
          <w:sz w:val="28"/>
          <w:szCs w:val="28"/>
        </w:rPr>
        <w:t>——旱季设计流量；</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m</w:t>
      </w:r>
      <w:r>
        <w:rPr>
          <w:rFonts w:eastAsiaTheme="minorEastAsia"/>
          <w:color w:val="000000" w:themeColor="text1"/>
          <w:sz w:val="28"/>
          <w:szCs w:val="28"/>
        </w:rPr>
        <w:t>——设计工业废水量；</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p</w:t>
      </w:r>
      <w:r>
        <w:rPr>
          <w:rFonts w:eastAsiaTheme="minorEastAsia"/>
          <w:color w:val="000000" w:themeColor="text1"/>
          <w:sz w:val="28"/>
          <w:szCs w:val="28"/>
        </w:rPr>
        <w:t>——泵站设计流量</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s</w:t>
      </w:r>
      <w:r>
        <w:rPr>
          <w:rFonts w:eastAsiaTheme="minorEastAsia"/>
          <w:color w:val="000000" w:themeColor="text1"/>
          <w:sz w:val="28"/>
          <w:szCs w:val="28"/>
        </w:rPr>
        <w:t>——雨水设计流量；</w:t>
      </w:r>
    </w:p>
    <w:p>
      <w:pPr>
        <w:spacing w:line="460" w:lineRule="atLeast"/>
        <w:ind w:left="567"/>
        <w:rPr>
          <w:rFonts w:eastAsiaTheme="minorEastAsia"/>
          <w:color w:val="000000"/>
          <w:sz w:val="28"/>
          <w:szCs w:val="28"/>
        </w:rPr>
      </w:pPr>
      <w:r>
        <w:rPr>
          <w:i/>
          <w:color w:val="000000"/>
          <w:sz w:val="28"/>
          <w:szCs w:val="28"/>
        </w:rPr>
        <w:t>Q</w:t>
      </w:r>
      <w:r>
        <w:rPr>
          <w:rFonts w:eastAsiaTheme="minorEastAsia"/>
          <w:color w:val="000000"/>
          <w:sz w:val="28"/>
          <w:szCs w:val="28"/>
          <w:vertAlign w:val="subscript"/>
        </w:rPr>
        <w:t>u</w:t>
      </w:r>
      <w:r>
        <w:rPr>
          <w:color w:val="000000"/>
          <w:sz w:val="28"/>
          <w:szCs w:val="28"/>
        </w:rPr>
        <w:t xml:space="preserve"> —</w:t>
      </w:r>
      <w:r>
        <w:rPr>
          <w:rFonts w:eastAsia="宋体"/>
          <w:color w:val="000000"/>
          <w:sz w:val="28"/>
          <w:szCs w:val="28"/>
        </w:rPr>
        <w:t>入渗地下水量；</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——设计暴雨强度；</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rPr>
        <w:t>——降雨历时；</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1</w:t>
      </w:r>
      <w:r>
        <w:rPr>
          <w:rFonts w:eastAsiaTheme="minorEastAsia"/>
          <w:color w:val="000000" w:themeColor="text1"/>
          <w:sz w:val="28"/>
          <w:szCs w:val="28"/>
        </w:rPr>
        <w:t>——地面集水时间；</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2</w:t>
      </w:r>
      <w:r>
        <w:rPr>
          <w:rFonts w:eastAsiaTheme="minorEastAsia"/>
          <w:color w:val="000000" w:themeColor="text1"/>
          <w:sz w:val="28"/>
          <w:szCs w:val="28"/>
        </w:rPr>
        <w:t>——管渠内雨水流行时间；</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ψ</w:t>
      </w:r>
      <w:r>
        <w:rPr>
          <w:rFonts w:eastAsiaTheme="minorEastAsia"/>
          <w:color w:val="000000" w:themeColor="text1"/>
          <w:sz w:val="28"/>
          <w:szCs w:val="28"/>
        </w:rPr>
        <w:t>——径流系数。</w:t>
      </w:r>
    </w:p>
    <w:p>
      <w:pPr>
        <w:pStyle w:val="30"/>
        <w:numPr>
          <w:ilvl w:val="0"/>
          <w:numId w:val="4"/>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水力计算</w:t>
      </w:r>
    </w:p>
    <w:p>
      <w:pPr>
        <w:pStyle w:val="30"/>
        <w:wordWrap w:val="0"/>
        <w:spacing w:line="460" w:lineRule="atLeast"/>
        <w:ind w:left="567" w:firstLine="0" w:firstLineChars="0"/>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A</w:t>
      </w:r>
      <w:r>
        <w:rPr>
          <w:rFonts w:ascii="Times New Roman" w:hAnsi="Times New Roman" w:eastAsiaTheme="minorEastAsia"/>
          <w:color w:val="000000" w:themeColor="text1"/>
          <w:sz w:val="28"/>
          <w:szCs w:val="28"/>
        </w:rPr>
        <w:t>——水流有效断面面积；</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rPr>
        <w:t>——水流深度；</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I</w:t>
      </w:r>
      <w:r>
        <w:rPr>
          <w:rFonts w:eastAsiaTheme="minorEastAsia"/>
          <w:color w:val="000000" w:themeColor="text1"/>
          <w:sz w:val="28"/>
          <w:szCs w:val="28"/>
        </w:rPr>
        <w:t>——水力坡降；</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rPr>
        <w:t>——粗糙系数；</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——设计流量；</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R</w:t>
      </w:r>
      <w:r>
        <w:rPr>
          <w:rFonts w:eastAsiaTheme="minorEastAsia"/>
          <w:color w:val="000000" w:themeColor="text1"/>
          <w:sz w:val="28"/>
          <w:szCs w:val="28"/>
        </w:rPr>
        <w:t>——水力半径;</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v</w:t>
      </w:r>
      <w:r>
        <w:rPr>
          <w:rFonts w:eastAsiaTheme="minorEastAsia"/>
          <w:color w:val="000000" w:themeColor="text1"/>
          <w:sz w:val="28"/>
          <w:szCs w:val="28"/>
        </w:rPr>
        <w:t>——流速。</w:t>
      </w:r>
    </w:p>
    <w:p>
      <w:pPr>
        <w:pStyle w:val="30"/>
        <w:numPr>
          <w:ilvl w:val="0"/>
          <w:numId w:val="4"/>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截流井</w:t>
      </w:r>
    </w:p>
    <w:p>
      <w:pPr>
        <w:pStyle w:val="30"/>
        <w:wordWrap w:val="0"/>
        <w:spacing w:line="460" w:lineRule="atLeast"/>
        <w:ind w:left="567" w:firstLine="0" w:firstLineChars="0"/>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H</w:t>
      </w:r>
      <w:r>
        <w:rPr>
          <w:rFonts w:ascii="Times New Roman" w:hAnsi="Times New Roman" w:eastAsiaTheme="minorEastAsia"/>
          <w:color w:val="000000" w:themeColor="text1"/>
          <w:sz w:val="28"/>
          <w:szCs w:val="28"/>
          <w:vertAlign w:val="subscript"/>
        </w:rPr>
        <w:t>1</w:t>
      </w:r>
      <w:r>
        <w:rPr>
          <w:rFonts w:ascii="Times New Roman" w:hAnsi="Times New Roman" w:eastAsiaTheme="minorEastAsia"/>
          <w:color w:val="000000" w:themeColor="text1"/>
          <w:sz w:val="28"/>
          <w:szCs w:val="28"/>
        </w:rPr>
        <w:t>——堰高；</w:t>
      </w:r>
    </w:p>
    <w:p>
      <w:pPr>
        <w:wordWrap w:val="0"/>
        <w:spacing w:line="460" w:lineRule="atLeast"/>
        <w:ind w:left="567"/>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vertAlign w:val="subscript"/>
        </w:rPr>
        <w:t>2</w:t>
      </w:r>
      <w:r>
        <w:rPr>
          <w:rFonts w:eastAsiaTheme="minorEastAsia"/>
          <w:color w:val="000000" w:themeColor="text1"/>
          <w:sz w:val="28"/>
          <w:szCs w:val="28"/>
        </w:rPr>
        <w:t>——槽深；</w:t>
      </w:r>
    </w:p>
    <w:p>
      <w:pPr>
        <w:pStyle w:val="30"/>
        <w:wordWrap w:val="0"/>
        <w:spacing w:line="460" w:lineRule="atLeast"/>
        <w:ind w:left="567" w:firstLine="0" w:firstLineChars="0"/>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H</w:t>
      </w:r>
      <w:r>
        <w:rPr>
          <w:rFonts w:ascii="Times New Roman" w:hAnsi="Times New Roman" w:eastAsiaTheme="minorEastAsia"/>
          <w:color w:val="000000" w:themeColor="text1"/>
          <w:sz w:val="28"/>
          <w:szCs w:val="28"/>
        </w:rPr>
        <w:t>——槽堰总高；</w:t>
      </w:r>
    </w:p>
    <w:p>
      <w:pPr>
        <w:pStyle w:val="30"/>
        <w:wordWrap w:val="0"/>
        <w:spacing w:line="460" w:lineRule="atLeast"/>
        <w:ind w:left="567" w:firstLine="0" w:firstLineChars="0"/>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Q</w:t>
      </w:r>
      <w:r>
        <w:rPr>
          <w:rFonts w:ascii="Times New Roman" w:hAnsi="Times New Roman" w:eastAsiaTheme="minorEastAsia"/>
          <w:color w:val="000000" w:themeColor="text1"/>
          <w:sz w:val="28"/>
          <w:szCs w:val="28"/>
          <w:vertAlign w:val="subscript"/>
        </w:rPr>
        <w:t>j</w:t>
      </w:r>
      <w:r>
        <w:rPr>
          <w:rFonts w:ascii="Times New Roman" w:hAnsi="Times New Roman" w:eastAsiaTheme="minorEastAsia"/>
          <w:color w:val="000000" w:themeColor="text1"/>
          <w:sz w:val="28"/>
          <w:szCs w:val="28"/>
        </w:rPr>
        <w:t>——污水截流量；</w:t>
      </w:r>
    </w:p>
    <w:p>
      <w:pPr>
        <w:pStyle w:val="30"/>
        <w:wordWrap w:val="0"/>
        <w:spacing w:line="460" w:lineRule="atLeast"/>
        <w:ind w:left="567" w:firstLine="0" w:firstLineChars="0"/>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d</w:t>
      </w:r>
      <w:r>
        <w:rPr>
          <w:rFonts w:ascii="Times New Roman" w:hAnsi="Times New Roman" w:eastAsiaTheme="minorEastAsia"/>
          <w:color w:val="000000" w:themeColor="text1"/>
          <w:sz w:val="28"/>
          <w:szCs w:val="28"/>
        </w:rPr>
        <w:t>——污水截流管管径</w:t>
      </w:r>
    </w:p>
    <w:p>
      <w:pPr>
        <w:pStyle w:val="30"/>
        <w:wordWrap w:val="0"/>
        <w:spacing w:line="460" w:lineRule="atLeast"/>
        <w:ind w:left="567" w:firstLine="0" w:firstLineChars="0"/>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k</w:t>
      </w:r>
      <w:r>
        <w:rPr>
          <w:rFonts w:ascii="Times New Roman" w:hAnsi="Times New Roman" w:eastAsiaTheme="minorEastAsia"/>
          <w:color w:val="000000" w:themeColor="text1"/>
          <w:sz w:val="28"/>
          <w:szCs w:val="28"/>
        </w:rPr>
        <w:t>——修正系数。</w:t>
      </w:r>
    </w:p>
    <w:p>
      <w:pPr>
        <w:pStyle w:val="30"/>
        <w:numPr>
          <w:ilvl w:val="0"/>
          <w:numId w:val="4"/>
        </w:numPr>
        <w:wordWrap w:val="0"/>
        <w:spacing w:line="460" w:lineRule="atLeast"/>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调蓄池</w:t>
      </w:r>
    </w:p>
    <w:p>
      <w:pPr>
        <w:pStyle w:val="3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A</w:t>
      </w:r>
      <w:r>
        <w:rPr>
          <w:rFonts w:ascii="Times New Roman" w:hAnsi="Times New Roman" w:eastAsiaTheme="minorEastAsia"/>
          <w:color w:val="000000" w:themeColor="text1"/>
          <w:sz w:val="28"/>
          <w:szCs w:val="28"/>
        </w:rPr>
        <w:t>——调蓄池出口截面积；</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A</w:t>
      </w:r>
      <w:r>
        <w:rPr>
          <w:rFonts w:ascii="Times New Roman" w:hAnsi="Times New Roman" w:eastAsiaTheme="minorEastAsia"/>
          <w:color w:val="000000" w:themeColor="text1"/>
          <w:sz w:val="28"/>
          <w:szCs w:val="28"/>
          <w:vertAlign w:val="subscript"/>
        </w:rPr>
        <w:t>t</w:t>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——t时刻调蓄池表面积；</w:t>
      </w:r>
    </w:p>
    <w:p>
      <w:pPr>
        <w:spacing w:line="360" w:lineRule="auto"/>
        <w:ind w:firstLine="565" w:firstLineChars="202"/>
        <w:rPr>
          <w:rFonts w:eastAsiaTheme="minorEastAsia"/>
          <w:color w:val="000000" w:themeColor="text1"/>
          <w:sz w:val="28"/>
          <w:szCs w:val="28"/>
        </w:rPr>
      </w:pPr>
      <w:r>
        <w:rPr>
          <w:rFonts w:eastAsiaTheme="minorEastAsia"/>
          <w:i/>
          <w:color w:val="000000" w:themeColor="text1"/>
          <w:sz w:val="28"/>
          <w:szCs w:val="28"/>
        </w:rPr>
        <w:t>C</w:t>
      </w:r>
      <w:r>
        <w:rPr>
          <w:rFonts w:eastAsiaTheme="minorEastAsia"/>
          <w:color w:val="000000" w:themeColor="text1"/>
          <w:sz w:val="28"/>
          <w:szCs w:val="28"/>
          <w:vertAlign w:val="subscript"/>
        </w:rPr>
        <w:t>d</w:t>
      </w:r>
      <w:r>
        <w:rPr>
          <w:rFonts w:eastAsiaTheme="minorEastAsia"/>
          <w:color w:val="000000" w:themeColor="text1"/>
          <w:sz w:val="28"/>
          <w:szCs w:val="28"/>
        </w:rPr>
        <w:t>——出口管道流量系数；</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D</w:t>
      </w:r>
      <w:r>
        <w:rPr>
          <w:rFonts w:ascii="Times New Roman" w:hAnsi="Times New Roman" w:eastAsiaTheme="minorEastAsia"/>
          <w:color w:val="000000" w:themeColor="text1"/>
          <w:sz w:val="28"/>
          <w:szCs w:val="28"/>
        </w:rPr>
        <w:t>——单位面积调蓄深度；</w:t>
      </w:r>
    </w:p>
    <w:p>
      <w:pPr>
        <w:spacing w:line="360" w:lineRule="auto"/>
        <w:ind w:firstLine="565" w:firstLineChars="202"/>
        <w:rPr>
          <w:rFonts w:eastAsiaTheme="minorEastAsia"/>
          <w:color w:val="000000" w:themeColor="text1"/>
          <w:sz w:val="28"/>
          <w:szCs w:val="28"/>
        </w:rPr>
      </w:pPr>
      <w:r>
        <w:rPr>
          <w:rFonts w:eastAsiaTheme="minorEastAsia"/>
          <w:i/>
          <w:color w:val="000000" w:themeColor="text1"/>
          <w:sz w:val="28"/>
          <w:szCs w:val="28"/>
        </w:rPr>
        <w:t>g</w:t>
      </w:r>
      <w:r>
        <w:rPr>
          <w:rFonts w:eastAsiaTheme="minorEastAsia"/>
          <w:color w:val="000000" w:themeColor="text1"/>
          <w:sz w:val="28"/>
          <w:szCs w:val="28"/>
        </w:rPr>
        <w:t>——重力加速度；</w:t>
      </w:r>
    </w:p>
    <w:p>
      <w:pPr>
        <w:spacing w:line="360" w:lineRule="auto"/>
        <w:ind w:firstLine="565" w:firstLineChars="202"/>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vertAlign w:val="subscript"/>
        </w:rPr>
        <w:t>2</w:t>
      </w:r>
      <w:r>
        <w:rPr>
          <w:rFonts w:eastAsiaTheme="minorEastAsia"/>
          <w:color w:val="000000" w:themeColor="text1"/>
          <w:sz w:val="28"/>
          <w:szCs w:val="28"/>
        </w:rPr>
        <w:t>——放空后调蓄池水深；</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h</w:t>
      </w:r>
      <w:r>
        <w:rPr>
          <w:rFonts w:ascii="Times New Roman" w:hAnsi="Times New Roman" w:eastAsiaTheme="minorEastAsia"/>
          <w:color w:val="000000" w:themeColor="text1"/>
          <w:sz w:val="28"/>
          <w:szCs w:val="28"/>
          <w:vertAlign w:val="subscript"/>
        </w:rPr>
        <w:t>1</w:t>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——放空前调蓄池水深；</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w:t>
      </w:r>
      <w:r>
        <w:rPr>
          <w:rFonts w:ascii="Times New Roman" w:hAnsi="Times New Roman" w:eastAsiaTheme="minorEastAsia"/>
          <w:i/>
          <w:color w:val="000000" w:themeColor="text1"/>
          <w:sz w:val="28"/>
          <w:szCs w:val="28"/>
        </w:rPr>
        <w:t>H</w:t>
      </w:r>
      <w:r>
        <w:rPr>
          <w:rFonts w:ascii="Times New Roman" w:hAnsi="Times New Roman" w:eastAsiaTheme="minorEastAsia"/>
          <w:color w:val="000000" w:themeColor="text1"/>
          <w:sz w:val="28"/>
          <w:szCs w:val="28"/>
        </w:rPr>
        <w:t>——调蓄池上下游的水力高差；</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n</w:t>
      </w:r>
      <w:r>
        <w:rPr>
          <w:rFonts w:ascii="Times New Roman" w:hAnsi="Times New Roman" w:eastAsiaTheme="minorEastAsia"/>
          <w:color w:val="000000" w:themeColor="text1"/>
          <w:sz w:val="28"/>
          <w:szCs w:val="28"/>
          <w:vertAlign w:val="subscript"/>
        </w:rPr>
        <w:t>1</w:t>
      </w:r>
      <w:r>
        <w:rPr>
          <w:rFonts w:ascii="Times New Roman" w:hAnsi="Times New Roman" w:eastAsiaTheme="minorEastAsia"/>
          <w:color w:val="000000" w:themeColor="text1"/>
          <w:sz w:val="28"/>
          <w:szCs w:val="28"/>
        </w:rPr>
        <w:t>——调蓄设施建成运行后的截流倍数；</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n</w:t>
      </w:r>
      <w:r>
        <w:rPr>
          <w:rFonts w:ascii="Times New Roman" w:hAnsi="Times New Roman" w:eastAsiaTheme="minorEastAsia"/>
          <w:color w:val="000000" w:themeColor="text1"/>
          <w:sz w:val="28"/>
          <w:szCs w:val="28"/>
          <w:vertAlign w:val="subscript"/>
        </w:rPr>
        <w:t>0</w:t>
      </w:r>
      <w:r>
        <w:rPr>
          <w:rFonts w:ascii="Times New Roman" w:hAnsi="Times New Roman" w:eastAsiaTheme="minorEastAsia"/>
          <w:color w:val="000000" w:themeColor="text1"/>
          <w:sz w:val="28"/>
          <w:szCs w:val="28"/>
        </w:rPr>
        <w:t>——系统原截流倍数；</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Q</w:t>
      </w:r>
      <w:r>
        <w:rPr>
          <w:rFonts w:ascii="Times New Roman" w:hAnsi="Times New Roman" w:eastAsiaTheme="minorEastAsia"/>
          <w:color w:val="000000" w:themeColor="text1"/>
          <w:sz w:val="28"/>
          <w:szCs w:val="28"/>
          <w:vertAlign w:val="subscript"/>
        </w:rPr>
        <w:t>i</w:t>
      </w:r>
      <w:r>
        <w:rPr>
          <w:rFonts w:ascii="Times New Roman" w:hAnsi="Times New Roman" w:eastAsiaTheme="minorEastAsia"/>
          <w:color w:val="000000" w:themeColor="text1"/>
          <w:sz w:val="28"/>
          <w:szCs w:val="28"/>
        </w:rPr>
        <w:t>——</w:t>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调蓄设施上游设计流量；</w:t>
      </w:r>
    </w:p>
    <w:p>
      <w:pPr>
        <w:wordWrap w:val="0"/>
        <w:spacing w:line="360" w:lineRule="auto"/>
        <w:ind w:firstLine="565" w:firstLineChars="202"/>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i</w:t>
      </w:r>
      <w:r>
        <w:rPr>
          <w:rFonts w:eastAsiaTheme="minorEastAsia"/>
          <w:color w:val="000000" w:themeColor="text1"/>
          <w:sz w:val="28"/>
          <w:szCs w:val="28"/>
        </w:rPr>
        <w:t>’——暴雨峰值流量；；</w:t>
      </w:r>
    </w:p>
    <w:p>
      <w:pPr>
        <w:wordWrap w:val="0"/>
        <w:spacing w:line="360" w:lineRule="auto"/>
        <w:ind w:firstLine="565" w:firstLineChars="202"/>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o</w:t>
      </w:r>
      <w:r>
        <w:rPr>
          <w:rFonts w:eastAsiaTheme="minorEastAsia"/>
          <w:color w:val="000000" w:themeColor="text1"/>
          <w:sz w:val="28"/>
          <w:szCs w:val="28"/>
        </w:rPr>
        <w:t>——调蓄设施平均出口流量或下游排水系统设计流量；</w:t>
      </w:r>
    </w:p>
    <w:p>
      <w:pPr>
        <w:wordWrap w:val="0"/>
        <w:spacing w:line="360" w:lineRule="auto"/>
        <w:ind w:firstLine="565" w:firstLineChars="202"/>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a</w:t>
      </w:r>
      <w:r>
        <w:rPr>
          <w:rFonts w:eastAsiaTheme="minorEastAsia"/>
          <w:color w:val="000000" w:themeColor="text1"/>
          <w:sz w:val="28"/>
          <w:szCs w:val="28"/>
        </w:rPr>
        <w:t>——调蓄设施的最大允许出口流量或下游排水系统设计流量；</w:t>
      </w:r>
    </w:p>
    <w:p>
      <w:pPr>
        <w:spacing w:line="360" w:lineRule="auto"/>
        <w:ind w:firstLine="565" w:firstLineChars="202"/>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′——下游排水管渠或设施的受纳能力；</w:t>
      </w:r>
    </w:p>
    <w:p>
      <w:pPr>
        <w:spacing w:line="360" w:lineRule="auto"/>
        <w:ind w:firstLine="565" w:firstLineChars="202"/>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1</w:t>
      </w:r>
      <w:r>
        <w:rPr>
          <w:rFonts w:eastAsiaTheme="minorEastAsia"/>
          <w:color w:val="000000" w:themeColor="text1"/>
          <w:sz w:val="28"/>
          <w:szCs w:val="28"/>
        </w:rPr>
        <w:t>——调蓄池出口流量；</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i</w:t>
      </w:r>
      <w:r>
        <w:rPr>
          <w:rFonts w:eastAsiaTheme="minorEastAsia"/>
          <w:color w:val="000000" w:themeColor="text1"/>
          <w:sz w:val="28"/>
          <w:szCs w:val="28"/>
        </w:rPr>
        <w:t>——调蓄池进水时间；</w:t>
      </w:r>
    </w:p>
    <w:p>
      <w:pPr>
        <w:wordWrap w:val="0"/>
        <w:spacing w:line="360" w:lineRule="auto"/>
        <w:ind w:firstLine="565" w:firstLineChars="202"/>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c</w:t>
      </w:r>
      <w:r>
        <w:rPr>
          <w:rFonts w:eastAsiaTheme="minorEastAsia"/>
          <w:color w:val="000000" w:themeColor="text1"/>
          <w:sz w:val="28"/>
          <w:szCs w:val="28"/>
        </w:rPr>
        <w:t>——集水时间；</w:t>
      </w:r>
    </w:p>
    <w:p>
      <w:pPr>
        <w:spacing w:line="360" w:lineRule="auto"/>
        <w:ind w:firstLine="565" w:firstLineChars="202"/>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o</w:t>
      </w:r>
      <w:r>
        <w:rPr>
          <w:rFonts w:eastAsiaTheme="minorEastAsia"/>
          <w:color w:val="000000" w:themeColor="text1"/>
          <w:sz w:val="28"/>
          <w:szCs w:val="28"/>
        </w:rPr>
        <w:t>——调蓄池放空时间；</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V</w:t>
      </w:r>
      <w:r>
        <w:rPr>
          <w:rFonts w:eastAsiaTheme="minorEastAsia"/>
          <w:color w:val="000000" w:themeColor="text1"/>
          <w:sz w:val="28"/>
          <w:szCs w:val="28"/>
        </w:rPr>
        <w:t>——调蓄池有效容积；</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α</w:t>
      </w:r>
      <w:r>
        <w:rPr>
          <w:rFonts w:ascii="Times New Roman" w:hAnsi="Times New Roman" w:eastAsiaTheme="minorEastAsia"/>
          <w:color w:val="000000" w:themeColor="text1"/>
          <w:sz w:val="28"/>
          <w:szCs w:val="28"/>
        </w:rPr>
        <w:t>——脱过系数；</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β</w:t>
      </w:r>
      <w:r>
        <w:rPr>
          <w:rFonts w:eastAsiaTheme="minorEastAsia"/>
          <w:color w:val="000000" w:themeColor="text1"/>
          <w:sz w:val="28"/>
          <w:szCs w:val="28"/>
        </w:rPr>
        <w:t>——调蓄池容积计算安全系数；</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η</w:t>
      </w:r>
      <w:r>
        <w:rPr>
          <w:rFonts w:eastAsiaTheme="minorEastAsia"/>
          <w:color w:val="000000" w:themeColor="text1"/>
          <w:sz w:val="28"/>
          <w:szCs w:val="28"/>
        </w:rPr>
        <w:t>——调蓄池放空时的排放效率。</w:t>
      </w:r>
    </w:p>
    <w:p>
      <w:pPr>
        <w:pStyle w:val="30"/>
        <w:numPr>
          <w:ilvl w:val="0"/>
          <w:numId w:val="4"/>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污水处理</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——生物反应池的设计流量；</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V</w:t>
      </w:r>
      <w:r>
        <w:rPr>
          <w:rFonts w:eastAsiaTheme="minorEastAsia"/>
          <w:color w:val="000000" w:themeColor="text1"/>
          <w:sz w:val="28"/>
          <w:szCs w:val="28"/>
        </w:rPr>
        <w:t xml:space="preserve">——生物反应池容积；  </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0</w:t>
      </w:r>
      <w:r>
        <w:rPr>
          <w:rFonts w:eastAsiaTheme="minorEastAsia"/>
          <w:color w:val="000000" w:themeColor="text1"/>
          <w:sz w:val="28"/>
          <w:szCs w:val="28"/>
        </w:rPr>
        <w:t>——生物反应池进水五日生化需氧量；</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e</w:t>
      </w:r>
      <w:r>
        <w:rPr>
          <w:rFonts w:eastAsiaTheme="minorEastAsia"/>
          <w:color w:val="000000" w:themeColor="text1"/>
          <w:sz w:val="28"/>
          <w:szCs w:val="28"/>
        </w:rPr>
        <w:t>——生物反应池出水五日生化需氧量；</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L</w:t>
      </w:r>
      <w:r>
        <w:rPr>
          <w:rFonts w:eastAsiaTheme="minorEastAsia"/>
          <w:color w:val="000000" w:themeColor="text1"/>
          <w:sz w:val="28"/>
          <w:szCs w:val="28"/>
          <w:vertAlign w:val="subscript"/>
        </w:rPr>
        <w:t>S</w:t>
      </w:r>
      <w:r>
        <w:rPr>
          <w:rFonts w:eastAsiaTheme="minorEastAsia"/>
          <w:color w:val="000000" w:themeColor="text1"/>
          <w:sz w:val="28"/>
          <w:szCs w:val="28"/>
        </w:rPr>
        <w:t>——生物反应池五日生化需氧量污泥负荷；</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L</w:t>
      </w:r>
      <w:r>
        <w:rPr>
          <w:rFonts w:eastAsiaTheme="minorEastAsia"/>
          <w:color w:val="000000" w:themeColor="text1"/>
          <w:sz w:val="28"/>
          <w:szCs w:val="28"/>
          <w:vertAlign w:val="subscript"/>
        </w:rPr>
        <w:t>V</w:t>
      </w:r>
      <w:r>
        <w:rPr>
          <w:rFonts w:eastAsiaTheme="minorEastAsia"/>
          <w:color w:val="000000" w:themeColor="text1"/>
          <w:sz w:val="28"/>
          <w:szCs w:val="28"/>
        </w:rPr>
        <w:t>——生物反应池五日生化需氧量容积负荷；</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X</w:t>
      </w:r>
      <w:r>
        <w:rPr>
          <w:rFonts w:eastAsiaTheme="minorEastAsia"/>
          <w:color w:val="000000" w:themeColor="text1"/>
          <w:sz w:val="28"/>
          <w:szCs w:val="28"/>
        </w:rPr>
        <w:t>——生物反应池内混合液悬浮固体平均浓度；</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X</w:t>
      </w:r>
      <w:r>
        <w:rPr>
          <w:rFonts w:eastAsiaTheme="minorEastAsia"/>
          <w:color w:val="000000" w:themeColor="text1"/>
          <w:sz w:val="28"/>
          <w:szCs w:val="28"/>
          <w:vertAlign w:val="subscript"/>
        </w:rPr>
        <w:t>V</w:t>
      </w:r>
      <w:r>
        <w:rPr>
          <w:rFonts w:eastAsiaTheme="minorEastAsia"/>
          <w:color w:val="000000" w:themeColor="text1"/>
          <w:sz w:val="28"/>
          <w:szCs w:val="28"/>
        </w:rPr>
        <w:t>——生物反应池内混合液挥发性悬浮固体平均浓度；</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y</w:t>
      </w:r>
      <w:r>
        <w:rPr>
          <w:rFonts w:eastAsiaTheme="minorEastAsia"/>
          <w:color w:val="000000" w:themeColor="text1"/>
          <w:sz w:val="28"/>
          <w:szCs w:val="28"/>
        </w:rPr>
        <w:t>——MLSS中MLVSS所占比例；</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Y</w:t>
      </w:r>
      <w:r>
        <w:rPr>
          <w:rFonts w:eastAsiaTheme="minorEastAsia"/>
          <w:color w:val="000000" w:themeColor="text1"/>
          <w:sz w:val="28"/>
          <w:szCs w:val="28"/>
        </w:rPr>
        <w:t>——污泥产率系数；</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Y</w:t>
      </w:r>
      <w:r>
        <w:rPr>
          <w:rFonts w:eastAsiaTheme="minorEastAsia"/>
          <w:color w:val="000000" w:themeColor="text1"/>
          <w:sz w:val="28"/>
          <w:szCs w:val="28"/>
          <w:vertAlign w:val="subscript"/>
        </w:rPr>
        <w:t>t</w:t>
      </w:r>
      <w:r>
        <w:rPr>
          <w:rFonts w:eastAsiaTheme="minorEastAsia"/>
          <w:color w:val="000000" w:themeColor="text1"/>
          <w:sz w:val="28"/>
          <w:szCs w:val="28"/>
        </w:rPr>
        <w:t>——污泥总产率系数；</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θ</w:t>
      </w:r>
      <w:r>
        <w:rPr>
          <w:rFonts w:eastAsiaTheme="minorEastAsia"/>
          <w:color w:val="000000" w:themeColor="text1"/>
          <w:sz w:val="28"/>
          <w:szCs w:val="28"/>
          <w:vertAlign w:val="subscript"/>
        </w:rPr>
        <w:t>c</w:t>
      </w:r>
      <w:r>
        <w:rPr>
          <w:rFonts w:eastAsiaTheme="minorEastAsia"/>
          <w:color w:val="000000" w:themeColor="text1"/>
          <w:sz w:val="28"/>
          <w:szCs w:val="28"/>
        </w:rPr>
        <w:t>——污泥泥龄，活性污泥在生物反应池中的平均停留时间；</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θ</w:t>
      </w:r>
      <w:r>
        <w:rPr>
          <w:rFonts w:eastAsiaTheme="minorEastAsia"/>
          <w:color w:val="000000" w:themeColor="text1"/>
          <w:sz w:val="28"/>
          <w:szCs w:val="28"/>
          <w:vertAlign w:val="subscript"/>
        </w:rPr>
        <w:t>co</w:t>
      </w:r>
      <w:r>
        <w:rPr>
          <w:rFonts w:eastAsiaTheme="minorEastAsia"/>
          <w:color w:val="000000" w:themeColor="text1"/>
          <w:sz w:val="28"/>
          <w:szCs w:val="28"/>
        </w:rPr>
        <w:t>——好氧区（池）设计污泥泥龄；</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vertAlign w:val="subscript"/>
        </w:rPr>
        <w:t>d</w:t>
      </w:r>
      <w:r>
        <w:rPr>
          <w:rFonts w:eastAsiaTheme="minorEastAsia"/>
          <w:color w:val="000000" w:themeColor="text1"/>
          <w:sz w:val="28"/>
          <w:szCs w:val="28"/>
        </w:rPr>
        <w:t>——衰减系数；</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vertAlign w:val="subscript"/>
        </w:rPr>
        <w:t>dT</w:t>
      </w:r>
      <w:r>
        <w:rPr>
          <w:rFonts w:eastAsiaTheme="minorEastAsia"/>
          <w:color w:val="000000" w:themeColor="text1"/>
          <w:sz w:val="28"/>
          <w:szCs w:val="28"/>
        </w:rPr>
        <w:t>——T</w:t>
      </w:r>
      <w:r>
        <w:rPr>
          <w:rFonts w:eastAsia="宋体"/>
          <w:color w:val="000000" w:themeColor="text1"/>
          <w:sz w:val="28"/>
          <w:szCs w:val="28"/>
        </w:rPr>
        <w:t>°C</w:t>
      </w:r>
      <w:r>
        <w:rPr>
          <w:rFonts w:eastAsiaTheme="minorEastAsia"/>
          <w:color w:val="000000" w:themeColor="text1"/>
          <w:sz w:val="28"/>
          <w:szCs w:val="28"/>
        </w:rPr>
        <w:t>时的衰减系数；</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vertAlign w:val="subscript"/>
        </w:rPr>
        <w:t>d20</w:t>
      </w:r>
      <w:r>
        <w:rPr>
          <w:rFonts w:eastAsiaTheme="minorEastAsia"/>
          <w:color w:val="000000" w:themeColor="text1"/>
          <w:sz w:val="28"/>
          <w:szCs w:val="28"/>
        </w:rPr>
        <w:t>——20</w:t>
      </w:r>
      <w:r>
        <w:rPr>
          <w:rFonts w:eastAsia="宋体"/>
          <w:color w:val="000000" w:themeColor="text1"/>
          <w:sz w:val="28"/>
          <w:szCs w:val="28"/>
        </w:rPr>
        <w:t>°C</w:t>
      </w:r>
      <w:r>
        <w:rPr>
          <w:rFonts w:eastAsiaTheme="minorEastAsia"/>
          <w:color w:val="000000" w:themeColor="text1"/>
          <w:sz w:val="28"/>
          <w:szCs w:val="28"/>
        </w:rPr>
        <w:t>时的衰减系数；</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θ</w:t>
      </w:r>
      <w:r>
        <w:rPr>
          <w:rFonts w:eastAsiaTheme="minorEastAsia"/>
          <w:color w:val="000000" w:themeColor="text1"/>
          <w:sz w:val="28"/>
          <w:szCs w:val="28"/>
          <w:vertAlign w:val="subscript"/>
        </w:rPr>
        <w:t>T</w:t>
      </w:r>
      <w:r>
        <w:rPr>
          <w:rFonts w:eastAsiaTheme="minorEastAsia"/>
          <w:color w:val="000000" w:themeColor="text1"/>
          <w:sz w:val="28"/>
          <w:szCs w:val="28"/>
        </w:rPr>
        <w:t>——温度系数；</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F</w:t>
      </w:r>
      <w:r>
        <w:rPr>
          <w:rFonts w:eastAsiaTheme="minorEastAsia"/>
          <w:color w:val="000000" w:themeColor="text1"/>
          <w:sz w:val="28"/>
          <w:szCs w:val="28"/>
        </w:rPr>
        <w:t>——安全系数；</w:t>
      </w:r>
    </w:p>
    <w:p>
      <w:pPr>
        <w:wordWrap w:val="0"/>
        <w:spacing w:line="460" w:lineRule="atLeast"/>
        <w:ind w:firstLine="560" w:firstLineChars="200"/>
        <w:rPr>
          <w:rFonts w:eastAsiaTheme="minorEastAsia"/>
          <w:i/>
          <w:color w:val="000000" w:themeColor="text1"/>
          <w:sz w:val="28"/>
          <w:szCs w:val="28"/>
        </w:rPr>
      </w:pPr>
      <w:r>
        <w:rPr>
          <w:rFonts w:eastAsiaTheme="minorEastAsia"/>
          <w:i/>
          <w:color w:val="000000" w:themeColor="text1"/>
          <w:sz w:val="28"/>
          <w:szCs w:val="28"/>
        </w:rPr>
        <w:t>η</w:t>
      </w:r>
      <w:r>
        <w:rPr>
          <w:rFonts w:eastAsiaTheme="minorEastAsia"/>
          <w:color w:val="000000" w:themeColor="text1"/>
          <w:sz w:val="28"/>
          <w:szCs w:val="28"/>
        </w:rPr>
        <w:t>——总处理效率；</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rPr>
        <w:t>——温度；</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f</w:t>
      </w:r>
      <w:r>
        <w:rPr>
          <w:rFonts w:eastAsiaTheme="minorEastAsia"/>
          <w:color w:val="000000" w:themeColor="text1"/>
          <w:sz w:val="28"/>
          <w:szCs w:val="28"/>
        </w:rPr>
        <w:t>——悬浮固体的污泥转换率；</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SS</w:t>
      </w:r>
      <w:r>
        <w:rPr>
          <w:rFonts w:eastAsiaTheme="minorEastAsia"/>
          <w:color w:val="000000" w:themeColor="text1"/>
          <w:sz w:val="28"/>
          <w:szCs w:val="28"/>
          <w:vertAlign w:val="subscript"/>
        </w:rPr>
        <w:t>o</w:t>
      </w:r>
      <w:r>
        <w:rPr>
          <w:rFonts w:eastAsiaTheme="minorEastAsia"/>
          <w:color w:val="000000" w:themeColor="text1"/>
          <w:sz w:val="28"/>
          <w:szCs w:val="28"/>
        </w:rPr>
        <w:t>——生物反应池进水悬浮物浓度；</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SS</w:t>
      </w:r>
      <w:r>
        <w:rPr>
          <w:rFonts w:eastAsiaTheme="minorEastAsia"/>
          <w:color w:val="000000" w:themeColor="text1"/>
          <w:sz w:val="28"/>
          <w:szCs w:val="28"/>
          <w:vertAlign w:val="subscript"/>
        </w:rPr>
        <w:t>e</w:t>
      </w:r>
      <w:r>
        <w:rPr>
          <w:rFonts w:eastAsiaTheme="minorEastAsia"/>
          <w:color w:val="000000" w:themeColor="text1"/>
          <w:sz w:val="28"/>
          <w:szCs w:val="28"/>
        </w:rPr>
        <w:t>——生物反应池出水悬浮物浓度；</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V</w:t>
      </w:r>
      <w:r>
        <w:rPr>
          <w:rFonts w:eastAsiaTheme="minorEastAsia"/>
          <w:color w:val="000000" w:themeColor="text1"/>
          <w:sz w:val="28"/>
          <w:szCs w:val="28"/>
          <w:vertAlign w:val="subscript"/>
        </w:rPr>
        <w:t>n</w:t>
      </w:r>
      <w:r>
        <w:rPr>
          <w:rFonts w:eastAsiaTheme="minorEastAsia"/>
          <w:color w:val="000000" w:themeColor="text1"/>
          <w:sz w:val="28"/>
          <w:szCs w:val="28"/>
        </w:rPr>
        <w:t>——缺氧区（池）容积；</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V</w:t>
      </w:r>
      <w:r>
        <w:rPr>
          <w:rFonts w:eastAsiaTheme="minorEastAsia"/>
          <w:color w:val="000000" w:themeColor="text1"/>
          <w:sz w:val="28"/>
          <w:szCs w:val="28"/>
          <w:vertAlign w:val="subscript"/>
        </w:rPr>
        <w:t>o</w:t>
      </w:r>
      <w:r>
        <w:rPr>
          <w:rFonts w:eastAsiaTheme="minorEastAsia"/>
          <w:color w:val="000000" w:themeColor="text1"/>
          <w:sz w:val="28"/>
          <w:szCs w:val="28"/>
        </w:rPr>
        <w:t>——好氧区（池）容积；</w:t>
      </w:r>
    </w:p>
    <w:p>
      <w:pPr>
        <w:wordWrap w:val="0"/>
        <w:spacing w:line="460" w:lineRule="atLeast"/>
        <w:ind w:firstLine="560" w:firstLineChars="200"/>
        <w:rPr>
          <w:rFonts w:eastAsiaTheme="minorEastAsia"/>
          <w:color w:val="000000" w:themeColor="text1"/>
          <w:sz w:val="28"/>
          <w:szCs w:val="28"/>
        </w:rPr>
      </w:pPr>
      <w:r>
        <w:rPr>
          <w:rFonts w:eastAsiaTheme="minorEastAsia"/>
          <w:i/>
          <w:color w:val="000000" w:themeColor="text1"/>
          <w:sz w:val="28"/>
          <w:szCs w:val="28"/>
        </w:rPr>
        <w:t>V</w:t>
      </w:r>
      <w:r>
        <w:rPr>
          <w:rFonts w:eastAsiaTheme="minorEastAsia"/>
          <w:color w:val="000000" w:themeColor="text1"/>
          <w:sz w:val="28"/>
          <w:szCs w:val="28"/>
          <w:vertAlign w:val="subscript"/>
        </w:rPr>
        <w:t>P</w:t>
      </w:r>
      <w:r>
        <w:rPr>
          <w:rFonts w:eastAsiaTheme="minorEastAsia"/>
          <w:color w:val="000000" w:themeColor="text1"/>
          <w:sz w:val="28"/>
          <w:szCs w:val="28"/>
        </w:rPr>
        <w:t>——厌氧区（池）容积；</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k</w:t>
      </w:r>
      <w:r>
        <w:rPr>
          <w:rFonts w:eastAsiaTheme="minorEastAsia"/>
          <w:color w:val="000000" w:themeColor="text1"/>
          <w:sz w:val="28"/>
          <w:szCs w:val="28"/>
        </w:rPr>
        <w:t>——生物反应池进水总凯氏氮浓度；</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ke</w:t>
      </w:r>
      <w:r>
        <w:rPr>
          <w:rFonts w:eastAsiaTheme="minorEastAsia"/>
          <w:color w:val="000000" w:themeColor="text1"/>
          <w:sz w:val="28"/>
          <w:szCs w:val="28"/>
        </w:rPr>
        <w:t>——生物反应池出水总凯氏氮浓度；</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t</w:t>
      </w:r>
      <w:r>
        <w:rPr>
          <w:rFonts w:eastAsiaTheme="minorEastAsia"/>
          <w:color w:val="000000" w:themeColor="text1"/>
          <w:sz w:val="28"/>
          <w:szCs w:val="28"/>
        </w:rPr>
        <w:t>——生物反应池进水总氮浓度；</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a</w:t>
      </w:r>
      <w:r>
        <w:rPr>
          <w:rFonts w:eastAsiaTheme="minorEastAsia"/>
          <w:color w:val="000000" w:themeColor="text1"/>
          <w:sz w:val="28"/>
          <w:szCs w:val="28"/>
        </w:rPr>
        <w:t>——生物反应池出水氨氮浓度；</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te</w:t>
      </w:r>
      <w:r>
        <w:rPr>
          <w:rFonts w:eastAsiaTheme="minorEastAsia"/>
          <w:color w:val="000000" w:themeColor="text1"/>
          <w:sz w:val="28"/>
          <w:szCs w:val="28"/>
        </w:rPr>
        <w:t>——生物反应池出水总氮浓度；</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oe</w:t>
      </w:r>
      <w:r>
        <w:rPr>
          <w:rFonts w:eastAsiaTheme="minorEastAsia"/>
          <w:color w:val="000000" w:themeColor="text1"/>
          <w:sz w:val="28"/>
          <w:szCs w:val="28"/>
        </w:rPr>
        <w:t>——生物反应池出水硝态氮浓度；</w:t>
      </w:r>
    </w:p>
    <w:p>
      <w:pPr>
        <w:wordWrap w:val="0"/>
        <w:spacing w:line="460" w:lineRule="atLeast"/>
        <w:ind w:firstLine="565" w:firstLineChars="202"/>
        <w:rPr>
          <w:rFonts w:eastAsiaTheme="minorEastAsia"/>
          <w:color w:val="000000" w:themeColor="text1"/>
          <w:sz w:val="28"/>
          <w:szCs w:val="28"/>
        </w:rPr>
      </w:pPr>
      <w:r>
        <w:rPr>
          <w:rFonts w:ascii="Cambria Math" w:hAnsi="Cambria Math" w:cs="Cambria Math" w:eastAsiaTheme="minorEastAsia"/>
          <w:color w:val="000000" w:themeColor="text1"/>
          <w:sz w:val="28"/>
          <w:szCs w:val="28"/>
        </w:rPr>
        <w:t>△</w:t>
      </w:r>
      <w:r>
        <w:rPr>
          <w:rFonts w:eastAsiaTheme="minorEastAsia"/>
          <w:i/>
          <w:color w:val="000000" w:themeColor="text1"/>
          <w:sz w:val="28"/>
          <w:szCs w:val="28"/>
        </w:rPr>
        <w:t>X</w:t>
      </w:r>
      <w:r>
        <w:rPr>
          <w:rFonts w:eastAsiaTheme="minorEastAsia"/>
          <w:color w:val="000000" w:themeColor="text1"/>
          <w:sz w:val="28"/>
          <w:szCs w:val="28"/>
        </w:rPr>
        <w:t>——剩余污泥量；</w:t>
      </w:r>
    </w:p>
    <w:p>
      <w:pPr>
        <w:wordWrap w:val="0"/>
        <w:spacing w:line="460" w:lineRule="atLeast"/>
        <w:ind w:firstLine="565" w:firstLineChars="202"/>
        <w:rPr>
          <w:rFonts w:eastAsiaTheme="minorEastAsia"/>
          <w:color w:val="000000" w:themeColor="text1"/>
          <w:sz w:val="28"/>
          <w:szCs w:val="28"/>
        </w:rPr>
      </w:pPr>
      <w:r>
        <w:rPr>
          <w:rFonts w:ascii="Cambria Math" w:hAnsi="Cambria Math" w:cs="Cambria Math" w:eastAsiaTheme="minorEastAsia"/>
          <w:color w:val="000000" w:themeColor="text1"/>
          <w:sz w:val="28"/>
          <w:szCs w:val="28"/>
        </w:rPr>
        <w:t>△</w:t>
      </w:r>
      <w:r>
        <w:rPr>
          <w:rFonts w:eastAsiaTheme="minorEastAsia"/>
          <w:i/>
          <w:color w:val="000000" w:themeColor="text1"/>
          <w:sz w:val="28"/>
          <w:szCs w:val="28"/>
        </w:rPr>
        <w:t>X</w:t>
      </w:r>
      <w:r>
        <w:rPr>
          <w:rFonts w:eastAsiaTheme="minorEastAsia"/>
          <w:color w:val="000000" w:themeColor="text1"/>
          <w:sz w:val="28"/>
          <w:szCs w:val="28"/>
          <w:vertAlign w:val="subscript"/>
        </w:rPr>
        <w:t>V</w:t>
      </w:r>
      <w:r>
        <w:rPr>
          <w:rFonts w:eastAsiaTheme="minorEastAsia"/>
          <w:color w:val="000000" w:themeColor="text1"/>
          <w:sz w:val="28"/>
          <w:szCs w:val="28"/>
        </w:rPr>
        <w:t>——排除生物反应池系统的生物污泥量；</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vertAlign w:val="subscript"/>
        </w:rPr>
        <w:t>de</w:t>
      </w:r>
      <w:r>
        <w:rPr>
          <w:rFonts w:eastAsiaTheme="minorEastAsia"/>
          <w:color w:val="000000" w:themeColor="text1"/>
          <w:sz w:val="28"/>
          <w:szCs w:val="28"/>
        </w:rPr>
        <w:t>——脱氮速率；</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vertAlign w:val="subscript"/>
        </w:rPr>
        <w:t>de（T）</w:t>
      </w:r>
      <w:r>
        <w:rPr>
          <w:rFonts w:eastAsiaTheme="minorEastAsia"/>
          <w:color w:val="000000" w:themeColor="text1"/>
          <w:sz w:val="28"/>
          <w:szCs w:val="28"/>
        </w:rPr>
        <w:t>——T</w:t>
      </w:r>
      <w:r>
        <w:rPr>
          <w:rFonts w:eastAsia="宋体"/>
          <w:color w:val="000000" w:themeColor="text1"/>
          <w:sz w:val="28"/>
          <w:szCs w:val="28"/>
        </w:rPr>
        <w:t>°C</w:t>
      </w:r>
      <w:r>
        <w:rPr>
          <w:rFonts w:eastAsiaTheme="minorEastAsia"/>
          <w:color w:val="000000" w:themeColor="text1"/>
          <w:sz w:val="28"/>
          <w:szCs w:val="28"/>
        </w:rPr>
        <w:t>时的脱氮速率；</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vertAlign w:val="subscript"/>
        </w:rPr>
        <w:t>de（20）</w:t>
      </w:r>
      <w:r>
        <w:rPr>
          <w:rFonts w:eastAsiaTheme="minorEastAsia"/>
          <w:color w:val="000000" w:themeColor="text1"/>
          <w:sz w:val="28"/>
          <w:szCs w:val="28"/>
        </w:rPr>
        <w:t>——20</w:t>
      </w:r>
      <w:r>
        <w:rPr>
          <w:rFonts w:eastAsia="宋体"/>
          <w:color w:val="000000" w:themeColor="text1"/>
          <w:sz w:val="28"/>
          <w:szCs w:val="28"/>
        </w:rPr>
        <w:t>°C</w:t>
      </w:r>
      <w:r>
        <w:rPr>
          <w:rFonts w:eastAsiaTheme="minorEastAsia"/>
          <w:color w:val="000000" w:themeColor="text1"/>
          <w:sz w:val="28"/>
          <w:szCs w:val="28"/>
        </w:rPr>
        <w:t>时的脱氮速率；</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μ</w:t>
      </w:r>
      <w:r>
        <w:rPr>
          <w:rFonts w:eastAsiaTheme="minorEastAsia"/>
          <w:color w:val="000000" w:themeColor="text1"/>
          <w:sz w:val="28"/>
          <w:szCs w:val="28"/>
        </w:rPr>
        <w:t xml:space="preserve"> ——硝化菌比生长速率；</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vertAlign w:val="subscript"/>
        </w:rPr>
        <w:t>n</w:t>
      </w:r>
      <w:r>
        <w:rPr>
          <w:rFonts w:eastAsiaTheme="minorEastAsia"/>
          <w:color w:val="000000" w:themeColor="text1"/>
          <w:sz w:val="28"/>
          <w:szCs w:val="28"/>
        </w:rPr>
        <w:t>——硝化作用中氮的半速率常数；</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R</w:t>
      </w:r>
      <w:r>
        <w:rPr>
          <w:rFonts w:eastAsiaTheme="minorEastAsia"/>
          <w:color w:val="000000" w:themeColor="text1"/>
          <w:sz w:val="28"/>
          <w:szCs w:val="28"/>
        </w:rPr>
        <w:t>——回流污泥量；</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Ri</w:t>
      </w:r>
      <w:r>
        <w:rPr>
          <w:rFonts w:eastAsiaTheme="minorEastAsia"/>
          <w:color w:val="000000" w:themeColor="text1"/>
          <w:sz w:val="28"/>
          <w:szCs w:val="28"/>
        </w:rPr>
        <w:t>——混合液回流量；</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R</w:t>
      </w:r>
      <w:r>
        <w:rPr>
          <w:rFonts w:eastAsiaTheme="minorEastAsia"/>
          <w:color w:val="000000" w:themeColor="text1"/>
          <w:sz w:val="28"/>
          <w:szCs w:val="28"/>
        </w:rPr>
        <w:t>——污泥回流比；</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R</w:t>
      </w:r>
      <w:r>
        <w:rPr>
          <w:rFonts w:eastAsiaTheme="minorEastAsia"/>
          <w:color w:val="000000" w:themeColor="text1"/>
          <w:sz w:val="28"/>
          <w:szCs w:val="28"/>
          <w:vertAlign w:val="subscript"/>
        </w:rPr>
        <w:t>i</w:t>
      </w:r>
      <w:r>
        <w:rPr>
          <w:rFonts w:eastAsiaTheme="minorEastAsia"/>
          <w:color w:val="000000" w:themeColor="text1"/>
          <w:sz w:val="28"/>
          <w:szCs w:val="28"/>
        </w:rPr>
        <w:t>——混合液回流比；</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HRT</w:t>
      </w:r>
      <w:r>
        <w:rPr>
          <w:rFonts w:eastAsiaTheme="minorEastAsia"/>
          <w:color w:val="000000" w:themeColor="text1"/>
          <w:sz w:val="28"/>
          <w:szCs w:val="28"/>
        </w:rPr>
        <w:t>——生物反应池水力停留时间；</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P</w:t>
      </w:r>
      <w:r>
        <w:rPr>
          <w:rFonts w:eastAsiaTheme="minorEastAsia"/>
          <w:color w:val="000000" w:themeColor="text1"/>
          <w:sz w:val="28"/>
          <w:szCs w:val="28"/>
        </w:rPr>
        <w:t>——厌氧区（池）水力停留时间；</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O</w:t>
      </w:r>
      <w:r>
        <w:rPr>
          <w:rFonts w:eastAsiaTheme="minorEastAsia"/>
          <w:color w:val="000000" w:themeColor="text1"/>
          <w:sz w:val="28"/>
          <w:szCs w:val="28"/>
          <w:vertAlign w:val="subscript"/>
        </w:rPr>
        <w:t>2</w:t>
      </w:r>
      <w:r>
        <w:rPr>
          <w:rFonts w:eastAsiaTheme="minorEastAsia"/>
          <w:color w:val="000000" w:themeColor="text1"/>
          <w:sz w:val="28"/>
          <w:szCs w:val="28"/>
        </w:rPr>
        <w:t>——污水需氧量；</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O</w:t>
      </w:r>
      <w:r>
        <w:rPr>
          <w:rFonts w:eastAsiaTheme="minorEastAsia"/>
          <w:color w:val="000000" w:themeColor="text1"/>
          <w:sz w:val="28"/>
          <w:szCs w:val="28"/>
          <w:vertAlign w:val="subscript"/>
        </w:rPr>
        <w:t>S</w:t>
      </w:r>
      <w:r>
        <w:rPr>
          <w:rFonts w:eastAsiaTheme="minorEastAsia"/>
          <w:color w:val="000000" w:themeColor="text1"/>
          <w:sz w:val="28"/>
          <w:szCs w:val="28"/>
        </w:rPr>
        <w:t>——标准状态下污水需氧量；</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a</w:t>
      </w:r>
      <w:r>
        <w:rPr>
          <w:rFonts w:eastAsiaTheme="minorEastAsia"/>
          <w:color w:val="000000" w:themeColor="text1"/>
          <w:sz w:val="28"/>
          <w:szCs w:val="28"/>
        </w:rPr>
        <w:t>——碳的氧当量，当含碳物质以BOD</w:t>
      </w:r>
      <w:r>
        <w:rPr>
          <w:rFonts w:eastAsiaTheme="minorEastAsia"/>
          <w:color w:val="000000" w:themeColor="text1"/>
          <w:sz w:val="28"/>
          <w:szCs w:val="28"/>
          <w:vertAlign w:val="subscript"/>
        </w:rPr>
        <w:t>5</w:t>
      </w:r>
      <w:r>
        <w:rPr>
          <w:rFonts w:eastAsiaTheme="minorEastAsia"/>
          <w:color w:val="000000" w:themeColor="text1"/>
          <w:sz w:val="28"/>
          <w:szCs w:val="28"/>
        </w:rPr>
        <w:t>计时，取1.47；</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b</w:t>
      </w:r>
      <w:r>
        <w:rPr>
          <w:rFonts w:eastAsiaTheme="minorEastAsia"/>
          <w:color w:val="000000" w:themeColor="text1"/>
          <w:sz w:val="28"/>
          <w:szCs w:val="28"/>
        </w:rPr>
        <w:t>——常数，氧化每公斤氨氮所需氧量，取4.57；</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c</w:t>
      </w:r>
      <w:r>
        <w:rPr>
          <w:rFonts w:eastAsiaTheme="minorEastAsia"/>
          <w:color w:val="000000" w:themeColor="text1"/>
          <w:sz w:val="28"/>
          <w:szCs w:val="28"/>
        </w:rPr>
        <w:t>——常数，细菌细胞的氧当量，取1.42；</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E</w:t>
      </w:r>
      <w:r>
        <w:rPr>
          <w:rFonts w:eastAsiaTheme="minorEastAsia"/>
          <w:color w:val="000000" w:themeColor="text1"/>
          <w:sz w:val="28"/>
          <w:szCs w:val="28"/>
          <w:vertAlign w:val="subscript"/>
        </w:rPr>
        <w:t>A</w:t>
      </w:r>
      <w:r>
        <w:rPr>
          <w:rFonts w:eastAsiaTheme="minorEastAsia"/>
          <w:color w:val="000000" w:themeColor="text1"/>
          <w:sz w:val="28"/>
          <w:szCs w:val="28"/>
        </w:rPr>
        <w:t>——曝气器氧的利用率；</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G</w:t>
      </w:r>
      <w:r>
        <w:rPr>
          <w:rFonts w:eastAsiaTheme="minorEastAsia"/>
          <w:color w:val="000000" w:themeColor="text1"/>
          <w:sz w:val="28"/>
          <w:szCs w:val="28"/>
          <w:vertAlign w:val="subscript"/>
        </w:rPr>
        <w:t>S</w:t>
      </w:r>
      <w:r>
        <w:rPr>
          <w:rFonts w:eastAsiaTheme="minorEastAsia"/>
          <w:color w:val="000000" w:themeColor="text1"/>
          <w:sz w:val="28"/>
          <w:szCs w:val="28"/>
        </w:rPr>
        <w:t>——标准状态下供气量；</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F</w:t>
      </w:r>
      <w:r>
        <w:rPr>
          <w:rFonts w:eastAsiaTheme="minorEastAsia"/>
          <w:color w:val="000000" w:themeColor="text1"/>
          <w:sz w:val="28"/>
          <w:szCs w:val="28"/>
        </w:rPr>
        <w:t>——SBR生物反应池每池每周期需要的进水时间；</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rPr>
        <w:t>——SBR生物反应池一个运行周期需要的时间；</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R</w:t>
      </w:r>
      <w:r>
        <w:rPr>
          <w:rFonts w:eastAsiaTheme="minorEastAsia"/>
          <w:color w:val="000000" w:themeColor="text1"/>
          <w:sz w:val="28"/>
          <w:szCs w:val="28"/>
        </w:rPr>
        <w:t>——每个周期反应时间；</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s</w:t>
      </w:r>
      <w:r>
        <w:rPr>
          <w:rFonts w:eastAsiaTheme="minorEastAsia"/>
          <w:color w:val="000000" w:themeColor="text1"/>
          <w:sz w:val="28"/>
          <w:szCs w:val="28"/>
        </w:rPr>
        <w:t>——SBR生物反应池沉淀时间；</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D</w:t>
      </w:r>
      <w:r>
        <w:rPr>
          <w:rFonts w:eastAsiaTheme="minorEastAsia"/>
          <w:color w:val="000000" w:themeColor="text1"/>
          <w:sz w:val="28"/>
          <w:szCs w:val="28"/>
        </w:rPr>
        <w:t>——SBR生物反应池排水时间；</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b</w:t>
      </w:r>
      <w:r>
        <w:rPr>
          <w:rFonts w:eastAsiaTheme="minorEastAsia"/>
          <w:color w:val="000000" w:themeColor="text1"/>
          <w:sz w:val="28"/>
          <w:szCs w:val="28"/>
        </w:rPr>
        <w:t>——SBR生物反应池闲置时间；</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m</w:t>
      </w:r>
      <w:r>
        <w:rPr>
          <w:rFonts w:eastAsiaTheme="minorEastAsia"/>
          <w:color w:val="000000" w:themeColor="text1"/>
          <w:sz w:val="28"/>
          <w:szCs w:val="28"/>
        </w:rPr>
        <w:t>——SBR生物反应池充水比。</w:t>
      </w:r>
    </w:p>
    <w:p>
      <w:pPr>
        <w:pStyle w:val="30"/>
        <w:numPr>
          <w:ilvl w:val="0"/>
          <w:numId w:val="4"/>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除臭</w:t>
      </w:r>
    </w:p>
    <w:p>
      <w:pPr>
        <w:pStyle w:val="11"/>
        <w:tabs>
          <w:tab w:val="left" w:pos="105"/>
        </w:tabs>
        <w:wordWrap w:val="0"/>
        <w:ind w:left="567" w:firstLine="0"/>
        <w:rPr>
          <w:rFonts w:eastAsiaTheme="minorEastAsia"/>
          <w:color w:val="000000" w:themeColor="text1"/>
          <w:szCs w:val="28"/>
        </w:rPr>
      </w:pPr>
      <w:r>
        <w:rPr>
          <w:rFonts w:eastAsiaTheme="minorEastAsia"/>
          <w:i/>
          <w:color w:val="000000" w:themeColor="text1"/>
          <w:position w:val="-10"/>
          <w:szCs w:val="28"/>
        </w:rPr>
        <w:t>h</w:t>
      </w:r>
      <w:r>
        <w:rPr>
          <w:rFonts w:eastAsiaTheme="minorEastAsia"/>
          <w:color w:val="000000" w:themeColor="text1"/>
          <w:position w:val="-10"/>
          <w:szCs w:val="28"/>
          <w:vertAlign w:val="subscript"/>
        </w:rPr>
        <w:t>f1</w:t>
      </w:r>
      <w:r>
        <w:rPr>
          <w:rFonts w:eastAsiaTheme="minorEastAsia"/>
          <w:color w:val="000000" w:themeColor="text1"/>
          <w:szCs w:val="28"/>
        </w:rPr>
        <w:t>——臭气收集风管沿程损失和局部损失；</w:t>
      </w:r>
    </w:p>
    <w:p>
      <w:pPr>
        <w:pStyle w:val="11"/>
        <w:tabs>
          <w:tab w:val="left" w:pos="105"/>
        </w:tabs>
        <w:wordWrap w:val="0"/>
        <w:ind w:left="567" w:firstLine="0"/>
        <w:rPr>
          <w:rFonts w:eastAsiaTheme="minorEastAsia"/>
          <w:color w:val="000000" w:themeColor="text1"/>
          <w:szCs w:val="28"/>
        </w:rPr>
      </w:pPr>
      <w:r>
        <w:rPr>
          <w:rFonts w:eastAsiaTheme="minorEastAsia"/>
          <w:i/>
          <w:color w:val="000000" w:themeColor="text1"/>
          <w:position w:val="-10"/>
          <w:szCs w:val="28"/>
        </w:rPr>
        <w:t>h</w:t>
      </w:r>
      <w:r>
        <w:rPr>
          <w:rFonts w:eastAsiaTheme="minorEastAsia"/>
          <w:color w:val="000000" w:themeColor="text1"/>
          <w:position w:val="-10"/>
          <w:szCs w:val="28"/>
          <w:vertAlign w:val="subscript"/>
        </w:rPr>
        <w:t>f2</w:t>
      </w:r>
      <w:r>
        <w:rPr>
          <w:rFonts w:eastAsiaTheme="minorEastAsia"/>
          <w:color w:val="000000" w:themeColor="text1"/>
          <w:szCs w:val="28"/>
        </w:rPr>
        <w:t>——臭气处理装置阻力；</w:t>
      </w:r>
    </w:p>
    <w:p>
      <w:pPr>
        <w:pStyle w:val="11"/>
        <w:tabs>
          <w:tab w:val="left" w:pos="105"/>
        </w:tabs>
        <w:wordWrap w:val="0"/>
        <w:ind w:left="567" w:firstLine="0"/>
        <w:rPr>
          <w:rFonts w:eastAsiaTheme="minorEastAsia"/>
          <w:color w:val="000000" w:themeColor="text1"/>
          <w:szCs w:val="28"/>
        </w:rPr>
      </w:pPr>
      <w:r>
        <w:rPr>
          <w:rFonts w:eastAsiaTheme="minorEastAsia"/>
          <w:i/>
          <w:color w:val="000000" w:themeColor="text1"/>
          <w:position w:val="-10"/>
          <w:szCs w:val="28"/>
        </w:rPr>
        <w:t>h</w:t>
      </w:r>
      <w:r>
        <w:rPr>
          <w:rFonts w:eastAsiaTheme="minorEastAsia"/>
          <w:color w:val="000000" w:themeColor="text1"/>
          <w:position w:val="-10"/>
          <w:szCs w:val="28"/>
          <w:vertAlign w:val="subscript"/>
        </w:rPr>
        <w:t>f3</w:t>
      </w:r>
      <w:r>
        <w:rPr>
          <w:rFonts w:eastAsiaTheme="minorEastAsia"/>
          <w:color w:val="000000" w:themeColor="text1"/>
          <w:szCs w:val="28"/>
        </w:rPr>
        <w:t>——臭气排放管风压损失；</w:t>
      </w:r>
    </w:p>
    <w:p>
      <w:pPr>
        <w:pStyle w:val="11"/>
        <w:tabs>
          <w:tab w:val="left" w:pos="105"/>
        </w:tabs>
        <w:wordWrap w:val="0"/>
        <w:ind w:left="567" w:firstLine="0"/>
        <w:rPr>
          <w:rFonts w:eastAsiaTheme="minorEastAsia"/>
          <w:color w:val="000000" w:themeColor="text1"/>
          <w:szCs w:val="28"/>
        </w:rPr>
      </w:pPr>
      <w:r>
        <w:rPr>
          <w:rFonts w:eastAsiaTheme="minorEastAsia"/>
          <w:color w:val="000000" w:themeColor="text1"/>
          <w:szCs w:val="28"/>
        </w:rPr>
        <w:t>∆</w:t>
      </w:r>
      <w:r>
        <w:rPr>
          <w:rFonts w:eastAsiaTheme="minorEastAsia"/>
          <w:i/>
          <w:color w:val="000000" w:themeColor="text1"/>
          <w:szCs w:val="28"/>
        </w:rPr>
        <w:t>H</w:t>
      </w:r>
      <w:r>
        <w:rPr>
          <w:rFonts w:eastAsiaTheme="minorEastAsia"/>
          <w:color w:val="000000" w:themeColor="text1"/>
          <w:szCs w:val="28"/>
        </w:rPr>
        <w:t>——安全余量；</w:t>
      </w:r>
    </w:p>
    <w:p>
      <w:pPr>
        <w:pStyle w:val="11"/>
        <w:tabs>
          <w:tab w:val="left" w:pos="0"/>
        </w:tabs>
        <w:wordWrap w:val="0"/>
        <w:ind w:left="567" w:firstLine="0"/>
        <w:rPr>
          <w:rFonts w:eastAsiaTheme="minorEastAsia"/>
          <w:color w:val="000000" w:themeColor="text1"/>
          <w:szCs w:val="28"/>
        </w:rPr>
      </w:pPr>
      <w:r>
        <w:rPr>
          <w:rFonts w:eastAsiaTheme="minorEastAsia"/>
          <w:i/>
          <w:color w:val="000000" w:themeColor="text1"/>
          <w:szCs w:val="28"/>
        </w:rPr>
        <w:t>K</w:t>
      </w:r>
      <w:r>
        <w:rPr>
          <w:rFonts w:eastAsiaTheme="minorEastAsia"/>
          <w:i/>
          <w:color w:val="000000" w:themeColor="text1"/>
          <w:szCs w:val="28"/>
          <w:vertAlign w:val="subscript"/>
        </w:rPr>
        <w:t>p</w:t>
      </w:r>
      <w:r>
        <w:rPr>
          <w:rFonts w:eastAsiaTheme="minorEastAsia"/>
          <w:color w:val="000000" w:themeColor="text1"/>
          <w:szCs w:val="28"/>
        </w:rPr>
        <w:t>——考虑系统压损计算误差等所采用的安全系数；</w:t>
      </w:r>
    </w:p>
    <w:p>
      <w:pPr>
        <w:pStyle w:val="11"/>
        <w:tabs>
          <w:tab w:val="left" w:pos="105"/>
        </w:tabs>
        <w:wordWrap w:val="0"/>
        <w:ind w:left="567" w:firstLine="0"/>
        <w:rPr>
          <w:rFonts w:eastAsiaTheme="minorEastAsia"/>
          <w:color w:val="000000" w:themeColor="text1"/>
          <w:szCs w:val="28"/>
        </w:rPr>
      </w:pPr>
      <w:r>
        <w:rPr>
          <w:rFonts w:eastAsiaTheme="minorEastAsia"/>
          <w:color w:val="000000" w:themeColor="text1"/>
          <w:szCs w:val="28"/>
        </w:rPr>
        <w:t>∆</w:t>
      </w:r>
      <w:r>
        <w:rPr>
          <w:rFonts w:eastAsiaTheme="minorEastAsia"/>
          <w:i/>
          <w:color w:val="000000" w:themeColor="text1"/>
          <w:szCs w:val="28"/>
        </w:rPr>
        <w:t>p</w:t>
      </w:r>
      <w:r>
        <w:rPr>
          <w:rFonts w:eastAsiaTheme="minorEastAsia"/>
          <w:color w:val="000000" w:themeColor="text1"/>
          <w:szCs w:val="28"/>
        </w:rPr>
        <w:t>——系统的总压力损失；</w:t>
      </w:r>
    </w:p>
    <w:p>
      <w:pPr>
        <w:pStyle w:val="11"/>
        <w:tabs>
          <w:tab w:val="left" w:pos="105"/>
        </w:tabs>
        <w:wordWrap w:val="0"/>
        <w:ind w:left="567" w:firstLine="0"/>
        <w:rPr>
          <w:rFonts w:eastAsiaTheme="minorEastAsia"/>
          <w:color w:val="000000" w:themeColor="text1"/>
          <w:szCs w:val="28"/>
        </w:rPr>
      </w:pPr>
      <w:r>
        <w:rPr>
          <w:rFonts w:eastAsiaTheme="minorEastAsia"/>
          <w:color w:val="000000" w:themeColor="text1"/>
          <w:szCs w:val="28"/>
        </w:rPr>
        <w:t>∆</w:t>
      </w:r>
      <w:r>
        <w:rPr>
          <w:rFonts w:eastAsiaTheme="minorEastAsia"/>
          <w:i/>
          <w:color w:val="000000" w:themeColor="text1"/>
          <w:szCs w:val="28"/>
        </w:rPr>
        <w:t>p</w:t>
      </w:r>
      <w:r>
        <w:rPr>
          <w:rFonts w:eastAsiaTheme="minorEastAsia"/>
          <w:color w:val="000000" w:themeColor="text1"/>
          <w:szCs w:val="28"/>
          <w:vertAlign w:val="subscript"/>
        </w:rPr>
        <w:t>1</w:t>
      </w:r>
      <w:r>
        <w:rPr>
          <w:rFonts w:eastAsiaTheme="minorEastAsia"/>
          <w:color w:val="000000" w:themeColor="text1"/>
          <w:szCs w:val="28"/>
        </w:rPr>
        <w:t>——除臭空间的负压；</w:t>
      </w:r>
    </w:p>
    <w:p>
      <w:pPr>
        <w:pStyle w:val="11"/>
        <w:tabs>
          <w:tab w:val="left" w:pos="105"/>
        </w:tabs>
        <w:wordWrap w:val="0"/>
        <w:ind w:left="567" w:firstLine="0"/>
        <w:rPr>
          <w:rFonts w:eastAsiaTheme="minorEastAsia"/>
          <w:color w:val="000000" w:themeColor="text1"/>
          <w:szCs w:val="28"/>
        </w:rPr>
      </w:pPr>
      <w:r>
        <w:rPr>
          <w:rFonts w:eastAsiaTheme="minorEastAsia"/>
          <w:color w:val="000000" w:themeColor="text1"/>
          <w:szCs w:val="28"/>
        </w:rPr>
        <w:t>∆</w:t>
      </w:r>
      <w:r>
        <w:rPr>
          <w:rFonts w:eastAsiaTheme="minorEastAsia"/>
          <w:i/>
          <w:color w:val="000000" w:themeColor="text1"/>
          <w:szCs w:val="28"/>
        </w:rPr>
        <w:t>p</w:t>
      </w:r>
      <w:r>
        <w:rPr>
          <w:rFonts w:eastAsiaTheme="minorEastAsia"/>
          <w:color w:val="000000" w:themeColor="text1"/>
          <w:szCs w:val="28"/>
          <w:vertAlign w:val="subscript"/>
        </w:rPr>
        <w:t>0</w:t>
      </w:r>
      <w:r>
        <w:rPr>
          <w:rFonts w:eastAsiaTheme="minorEastAsia"/>
          <w:color w:val="000000" w:themeColor="text1"/>
          <w:szCs w:val="28"/>
        </w:rPr>
        <w:t>——通风机全压；</w:t>
      </w:r>
    </w:p>
    <w:p>
      <w:pPr>
        <w:pStyle w:val="11"/>
        <w:tabs>
          <w:tab w:val="left" w:pos="0"/>
        </w:tabs>
        <w:wordWrap w:val="0"/>
        <w:ind w:left="567" w:firstLine="0"/>
        <w:rPr>
          <w:rFonts w:eastAsiaTheme="minorEastAsia"/>
          <w:color w:val="000000" w:themeColor="text1"/>
          <w:szCs w:val="28"/>
        </w:rPr>
      </w:pPr>
      <w:r>
        <w:rPr>
          <w:rFonts w:eastAsiaTheme="minorEastAsia"/>
          <w:i/>
          <w:color w:val="000000" w:themeColor="text1"/>
          <w:position w:val="-12"/>
          <w:szCs w:val="28"/>
        </w:rPr>
        <w:t>ρ</w:t>
      </w:r>
      <w:r>
        <w:rPr>
          <w:rFonts w:eastAsiaTheme="minorEastAsia"/>
          <w:color w:val="000000" w:themeColor="text1"/>
          <w:position w:val="-12"/>
          <w:szCs w:val="28"/>
          <w:vertAlign w:val="subscript"/>
        </w:rPr>
        <w:t>0</w:t>
      </w:r>
      <w:r>
        <w:rPr>
          <w:rFonts w:eastAsiaTheme="minorEastAsia"/>
          <w:color w:val="000000" w:themeColor="text1"/>
          <w:szCs w:val="28"/>
        </w:rPr>
        <w:t>——通风机性能表中给出的空气密度；</w:t>
      </w:r>
    </w:p>
    <w:p>
      <w:pPr>
        <w:pStyle w:val="30"/>
        <w:wordWrap w:val="0"/>
        <w:spacing w:line="360" w:lineRule="auto"/>
        <w:ind w:left="567" w:firstLine="0" w:firstLineChars="0"/>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position w:val="-12"/>
          <w:sz w:val="28"/>
          <w:szCs w:val="28"/>
        </w:rPr>
        <w:t>ρ</w:t>
      </w:r>
      <w:r>
        <w:rPr>
          <w:rFonts w:ascii="Times New Roman" w:hAnsi="Times New Roman" w:eastAsiaTheme="minorEastAsia"/>
          <w:color w:val="000000" w:themeColor="text1"/>
          <w:position w:val="-12"/>
          <w:sz w:val="28"/>
          <w:szCs w:val="28"/>
        </w:rPr>
        <w:t>——运行工况下系统总压力损失计算采用的空气密度。</w:t>
      </w:r>
    </w:p>
    <w:p>
      <w:pPr>
        <w:pStyle w:val="30"/>
        <w:numPr>
          <w:ilvl w:val="0"/>
          <w:numId w:val="4"/>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污泥处理</w:t>
      </w:r>
    </w:p>
    <w:p>
      <w:pPr>
        <w:pStyle w:val="30"/>
        <w:wordWrap w:val="0"/>
        <w:spacing w:line="460" w:lineRule="atLeast"/>
        <w:ind w:left="340" w:firstLine="210" w:firstLineChars="75"/>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L</w:t>
      </w:r>
      <w:r>
        <w:rPr>
          <w:rFonts w:ascii="Times New Roman" w:hAnsi="Times New Roman" w:eastAsiaTheme="minorEastAsia"/>
          <w:color w:val="000000" w:themeColor="text1"/>
          <w:sz w:val="28"/>
          <w:szCs w:val="28"/>
          <w:vertAlign w:val="subscript"/>
        </w:rPr>
        <w:t>v</w:t>
      </w:r>
      <w:r>
        <w:rPr>
          <w:rFonts w:ascii="Times New Roman" w:hAnsi="Times New Roman" w:eastAsiaTheme="minorEastAsia"/>
          <w:color w:val="000000" w:themeColor="text1"/>
          <w:sz w:val="28"/>
          <w:szCs w:val="28"/>
        </w:rPr>
        <w:t xml:space="preserve"> ——消化池挥发性固体容积负荷；</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d</w:t>
      </w:r>
      <w:r>
        <w:rPr>
          <w:rFonts w:eastAsiaTheme="minorEastAsia"/>
          <w:color w:val="000000" w:themeColor="text1"/>
          <w:sz w:val="28"/>
          <w:szCs w:val="28"/>
        </w:rPr>
        <w:t xml:space="preserve"> —— 消化时间；</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o</w:t>
      </w:r>
      <w:r>
        <w:rPr>
          <w:rFonts w:eastAsiaTheme="minorEastAsia"/>
          <w:color w:val="000000" w:themeColor="text1"/>
          <w:sz w:val="28"/>
          <w:szCs w:val="28"/>
        </w:rPr>
        <w:t>——每日投入消化池的原污泥量；</w:t>
      </w:r>
    </w:p>
    <w:p>
      <w:pPr>
        <w:wordWrap w:val="0"/>
        <w:spacing w:line="48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sl</w:t>
      </w:r>
      <w:r>
        <w:rPr>
          <w:rFonts w:eastAsiaTheme="minorEastAsia"/>
          <w:color w:val="000000" w:themeColor="text1"/>
          <w:sz w:val="28"/>
          <w:szCs w:val="28"/>
        </w:rPr>
        <w:t>——污泥产生量；</w:t>
      </w:r>
    </w:p>
    <w:p>
      <w:pPr>
        <w:wordWrap w:val="0"/>
        <w:spacing w:line="48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Q</w:t>
      </w:r>
      <w:r>
        <w:rPr>
          <w:rFonts w:eastAsiaTheme="minorEastAsia"/>
          <w:i/>
          <w:color w:val="000000" w:themeColor="text1"/>
          <w:sz w:val="28"/>
          <w:szCs w:val="28"/>
          <w:vertAlign w:val="subscript"/>
        </w:rPr>
        <w:t>ps</w:t>
      </w:r>
      <w:r>
        <w:rPr>
          <w:rFonts w:eastAsiaTheme="minorEastAsia"/>
          <w:i/>
          <w:color w:val="000000" w:themeColor="text1"/>
          <w:sz w:val="28"/>
          <w:szCs w:val="28"/>
        </w:rPr>
        <w:t>——</w:t>
      </w:r>
      <w:r>
        <w:rPr>
          <w:rFonts w:eastAsiaTheme="minorEastAsia"/>
          <w:color w:val="000000" w:themeColor="text1"/>
          <w:sz w:val="28"/>
          <w:szCs w:val="28"/>
        </w:rPr>
        <w:t>初沉污泥量；</w:t>
      </w:r>
    </w:p>
    <w:p>
      <w:pPr>
        <w:wordWrap w:val="0"/>
        <w:spacing w:line="48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Q</w:t>
      </w:r>
      <w:r>
        <w:rPr>
          <w:rFonts w:eastAsiaTheme="minorEastAsia"/>
          <w:i/>
          <w:color w:val="000000" w:themeColor="text1"/>
          <w:sz w:val="28"/>
          <w:szCs w:val="28"/>
          <w:vertAlign w:val="subscript"/>
        </w:rPr>
        <w:t>es</w:t>
      </w:r>
      <w:r>
        <w:rPr>
          <w:rFonts w:eastAsiaTheme="minorEastAsia"/>
          <w:i/>
          <w:color w:val="000000" w:themeColor="text1"/>
          <w:sz w:val="28"/>
          <w:szCs w:val="28"/>
        </w:rPr>
        <w:t>——</w:t>
      </w:r>
      <w:r>
        <w:rPr>
          <w:rFonts w:eastAsiaTheme="minorEastAsia"/>
          <w:color w:val="000000" w:themeColor="text1"/>
          <w:sz w:val="28"/>
          <w:szCs w:val="28"/>
        </w:rPr>
        <w:t>剩余污泥量；</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Q</w:t>
      </w:r>
      <w:r>
        <w:rPr>
          <w:rFonts w:eastAsiaTheme="minorEastAsia"/>
          <w:i/>
          <w:color w:val="000000" w:themeColor="text1"/>
          <w:sz w:val="28"/>
          <w:szCs w:val="28"/>
          <w:vertAlign w:val="subscript"/>
        </w:rPr>
        <w:t>cs</w:t>
      </w:r>
      <w:r>
        <w:rPr>
          <w:rFonts w:eastAsiaTheme="minorEastAsia"/>
          <w:i/>
          <w:color w:val="000000" w:themeColor="text1"/>
          <w:sz w:val="28"/>
          <w:szCs w:val="28"/>
        </w:rPr>
        <w:t>——</w:t>
      </w:r>
      <w:r>
        <w:rPr>
          <w:rFonts w:eastAsiaTheme="minorEastAsia"/>
          <w:color w:val="000000" w:themeColor="text1"/>
          <w:sz w:val="28"/>
          <w:szCs w:val="28"/>
        </w:rPr>
        <w:t>化学污泥量；</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V</w:t>
      </w:r>
      <w:r>
        <w:rPr>
          <w:rFonts w:eastAsiaTheme="minorEastAsia"/>
          <w:color w:val="000000" w:themeColor="text1"/>
          <w:sz w:val="28"/>
          <w:szCs w:val="28"/>
        </w:rPr>
        <w:t xml:space="preserve"> —— 消化池总有效容积；</w:t>
      </w:r>
    </w:p>
    <w:p>
      <w:pPr>
        <w:wordWrap w:val="0"/>
        <w:spacing w:line="460" w:lineRule="atLeast"/>
        <w:ind w:firstLine="565" w:firstLineChars="202"/>
        <w:rPr>
          <w:rFonts w:eastAsiaTheme="minorEastAsia"/>
          <w:color w:val="000000" w:themeColor="text1"/>
          <w:sz w:val="28"/>
          <w:szCs w:val="28"/>
        </w:rPr>
      </w:pPr>
      <w:r>
        <w:rPr>
          <w:rFonts w:eastAsiaTheme="minorEastAsia"/>
          <w:i/>
          <w:color w:val="000000" w:themeColor="text1"/>
          <w:sz w:val="28"/>
          <w:szCs w:val="28"/>
        </w:rPr>
        <w:t>W</w:t>
      </w:r>
      <w:r>
        <w:rPr>
          <w:rFonts w:eastAsiaTheme="minorEastAsia"/>
          <w:color w:val="000000" w:themeColor="text1"/>
          <w:sz w:val="28"/>
          <w:szCs w:val="28"/>
          <w:vertAlign w:val="subscript"/>
        </w:rPr>
        <w:t>s</w:t>
      </w:r>
      <w:r>
        <w:rPr>
          <w:rFonts w:eastAsiaTheme="minorEastAsia"/>
          <w:color w:val="000000" w:themeColor="text1"/>
          <w:sz w:val="28"/>
          <w:szCs w:val="28"/>
        </w:rPr>
        <w:t>——每日投入消化池的原污泥中挥发性干固体重量。</w:t>
      </w:r>
    </w:p>
    <w:p>
      <w:pPr>
        <w:pStyle w:val="2"/>
        <w:wordWrap w:val="0"/>
        <w:spacing w:before="312" w:after="312"/>
        <w:rPr>
          <w:sz w:val="28"/>
          <w:szCs w:val="28"/>
        </w:rPr>
      </w:pPr>
      <w:r>
        <w:rPr>
          <w:sz w:val="28"/>
          <w:szCs w:val="28"/>
        </w:rPr>
        <w:br w:type="page"/>
      </w:r>
      <w:bookmarkEnd w:id="6"/>
      <w:bookmarkStart w:id="8" w:name="_Toc515281025"/>
      <w:r>
        <w:rPr>
          <w:sz w:val="28"/>
          <w:szCs w:val="28"/>
        </w:rPr>
        <w:t>3 排水工程</w:t>
      </w:r>
      <w:bookmarkEnd w:id="8"/>
    </w:p>
    <w:p>
      <w:pPr>
        <w:pStyle w:val="3"/>
        <w:numPr>
          <w:ilvl w:val="0"/>
          <w:numId w:val="5"/>
        </w:numPr>
        <w:wordWrap w:val="0"/>
        <w:spacing w:before="0" w:after="0"/>
        <w:jc w:val="center"/>
        <w:rPr>
          <w:rFonts w:ascii="Times New Roman" w:hAnsi="Times New Roman" w:eastAsiaTheme="minorEastAsia"/>
          <w:b w:val="0"/>
          <w:color w:val="000000" w:themeColor="text1"/>
          <w:sz w:val="28"/>
          <w:szCs w:val="28"/>
        </w:rPr>
      </w:pPr>
      <w:bookmarkStart w:id="9" w:name="_Toc515281026"/>
      <w:r>
        <w:rPr>
          <w:rFonts w:ascii="Times New Roman" w:hAnsi="Times New Roman" w:eastAsiaTheme="minorEastAsia"/>
          <w:b w:val="0"/>
          <w:color w:val="000000" w:themeColor="text1"/>
          <w:sz w:val="28"/>
          <w:szCs w:val="28"/>
        </w:rPr>
        <w:t>一般规定</w:t>
      </w:r>
      <w:bookmarkEnd w:id="9"/>
    </w:p>
    <w:p>
      <w:pPr>
        <w:pStyle w:val="30"/>
        <w:numPr>
          <w:ilvl w:val="0"/>
          <w:numId w:val="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w:t>
      </w:r>
      <w:r>
        <w:rPr>
          <w:rFonts w:ascii="Times New Roman" w:hAnsi="Times New Roman" w:eastAsiaTheme="minorEastAsia"/>
          <w:bCs/>
          <w:color w:val="000000" w:themeColor="text1"/>
          <w:sz w:val="28"/>
          <w:szCs w:val="28"/>
        </w:rPr>
        <w:t>包括雨水系统和污水系统，均应遵循从源头到末端的全过程管理和控制。</w:t>
      </w:r>
      <w:r>
        <w:rPr>
          <w:rFonts w:ascii="Times New Roman" w:hAnsi="Times New Roman" w:eastAsiaTheme="minorEastAsia"/>
          <w:color w:val="000000" w:themeColor="text1"/>
          <w:sz w:val="28"/>
          <w:szCs w:val="28"/>
        </w:rPr>
        <w:t>雨水和污水系统应相互配合、有效衔接。</w:t>
      </w:r>
    </w:p>
    <w:p>
      <w:pPr>
        <w:wordWrap w:val="0"/>
        <w:spacing w:line="360" w:lineRule="auto"/>
        <w:rPr>
          <w:rFonts w:eastAsiaTheme="minorEastAsia"/>
          <w:bCs/>
          <w:color w:val="000000" w:themeColor="text1"/>
          <w:sz w:val="28"/>
          <w:szCs w:val="28"/>
        </w:rPr>
      </w:pPr>
      <w:r>
        <w:rPr>
          <w:rFonts w:eastAsiaTheme="minorEastAsia"/>
          <w:color w:val="000000" w:themeColor="text1"/>
          <w:sz w:val="28"/>
          <w:szCs w:val="28"/>
        </w:rPr>
        <w:t>【条文说明】</w:t>
      </w:r>
      <w:r>
        <w:rPr>
          <w:rFonts w:eastAsiaTheme="minorEastAsia"/>
          <w:bCs/>
          <w:color w:val="000000" w:themeColor="text1"/>
          <w:sz w:val="28"/>
          <w:szCs w:val="28"/>
        </w:rPr>
        <w:t>雨水系统实现雨水的收集输送、雨水径流的下渗、滞留、调蓄、净化利用和排放，解决排水内涝防治和径流污染控制的问题。从原先单纯依靠排水管渠的快速排水方式，已逐渐发展到涵盖源头减排、排水管渠和排涝除险的全过程综合管理。污水系统由污水收集、污水与再生水处理和污泥处理处置组成，主要解决水质问题。生活污水和受污染的初期雨水依靠排水管渠、泵站等排水设施，收集输送到污水厂处理后达到标排放。同时，污水处理过程中产生的污泥，也应同时得到妥善的处理处置。污水处理后的尾水经过深度处理后，达到相应的回用水质标准要求，成为再生水，通过再生水管网输送至用水点，从而实现水资源的循环利用。同时，污水处理过程中污染物迁移转化而产生的污泥，也应同时得到妥善的处理和处置，避免污染再次进入环境</w:t>
      </w:r>
      <w:r>
        <w:rPr>
          <w:rFonts w:hint="eastAsia" w:eastAsiaTheme="minorEastAsia"/>
          <w:bCs/>
          <w:color w:val="000000" w:themeColor="text1"/>
          <w:sz w:val="28"/>
          <w:szCs w:val="28"/>
        </w:rPr>
        <w:t>，并回收污泥中的能源和资源</w:t>
      </w:r>
      <w:r>
        <w:rPr>
          <w:rFonts w:eastAsiaTheme="minorEastAsia"/>
          <w:bCs/>
          <w:color w:val="000000" w:themeColor="text1"/>
          <w:sz w:val="28"/>
          <w:szCs w:val="28"/>
        </w:rPr>
        <w:t>。排水工程的组成和相互关系如图1所示。</w:t>
      </w:r>
      <w:r>
        <w:rPr>
          <w:rFonts w:hint="eastAsia" w:eastAsiaTheme="minorEastAsia"/>
          <w:bCs/>
          <w:color w:val="000000" w:themeColor="text1"/>
          <w:sz w:val="28"/>
          <w:szCs w:val="28"/>
        </w:rPr>
        <w:t>合流污水、截流雨水的输送、处理等应与污水系统有效衔接。</w:t>
      </w:r>
    </w:p>
    <w:p>
      <w:pPr>
        <w:wordWrap w:val="0"/>
        <w:jc w:val="center"/>
        <w:rPr>
          <w:rFonts w:eastAsiaTheme="minorEastAsia"/>
          <w:color w:val="000000" w:themeColor="text1"/>
          <w:sz w:val="28"/>
          <w:szCs w:val="28"/>
        </w:rPr>
      </w:pPr>
      <w:r>
        <w:rPr>
          <w:sz w:val="28"/>
          <w:szCs w:val="28"/>
        </w:rPr>
        <w:pict>
          <v:group id="组合 76" o:spid="_x0000_s1027" o:spt="203" style="height:276.4pt;width:347.85pt;" coordsize="44178,35103">
            <o:lock v:ext="edit"/>
            <v:shape id="文本框 77" o:spid="_x0000_s1028" o:spt="202" type="#_x0000_t202" style="position:absolute;left:29071;top:30968;height:3785;width:10344;"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43MEA&#10;AADbAAAADwAAAGRycy9kb3ducmV2LnhtbESPQYvCMBSE78L+h/AWvNlUQV26RpFFxavVhT0+mmdb&#10;bF66SbT13xtB8DjMzDfMYtWbRtzI+dqygnGSgiAurK65VHA6bkdfIHxA1thYJgV38rBafgwWmGnb&#10;8YFueShFhLDPUEEVQptJ6YuKDPrEtsTRO1tnMETpSqkddhFuGjlJ05k0WHNcqLCln4qKS341CrC7&#10;/62nY7OZ/tYTlx/DrNvu/pUafvbrbxCB+vAOv9p7rWA+h+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x+NzBAAAA2wAAAA8AAAAAAAAAAAAAAAAAmAIAAGRycy9kb3du&#10;cmV2LnhtbFBLBQYAAAAABAAEAPUAAACGAwAAAAA=&#10;">
              <v:path/>
              <v:fill focussize="0,0"/>
              <v:stroke on="f" weight="2pt" joinstyle="miter"/>
              <v:imagedata o:title=""/>
              <o:lock v:ext="edit"/>
              <v:textbox>
                <w:txbxContent>
                  <w:p>
                    <w:pPr>
                      <w:spacing w:line="240" w:lineRule="auto"/>
                      <w:jc w:val="center"/>
                      <w:rPr>
                        <w:b/>
                        <w:szCs w:val="21"/>
                      </w:rPr>
                    </w:pPr>
                    <w:r>
                      <w:rPr>
                        <w:rFonts w:hint="eastAsia"/>
                        <w:b/>
                        <w:szCs w:val="21"/>
                      </w:rPr>
                      <w:t>污泥处理处置</w:t>
                    </w:r>
                  </w:p>
                </w:txbxContent>
              </v:textbox>
            </v:shape>
            <v:group id="组合 78" o:spid="_x0000_s1029" o:spt="203" style="position:absolute;left:0;top:0;height:35103;width:44178;" coordsize="44178,3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o:lock v:ext="edit"/>
              <v:shape id="文本框 79" o:spid="_x0000_s1030" o:spt="202" type="#_x0000_t202" style="position:absolute;left:29071;top:24067;height:4998;width:10344;"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JNcMA&#10;AADbAAAADwAAAGRycy9kb3ducmV2LnhtbESPzWrDMBCE74G+g9hAb4mcgJPWiRJCqUuvdVLocbE2&#10;tom1ciXVP29fFQo5DjPzDbM/jqYVPTnfWFawWiYgiEurG64UXM754gmED8gaW8ukYCIPx8PDbI+Z&#10;tgN/UF+ESkQI+wwV1CF0mZS+rMmgX9qOOHpX6wyGKF0ltcMhwk0r10mykQYbjgs1dvRSU3krfowC&#10;HKavU7oyr+lns3bFOWyG/O1bqcf5eNqBCDSGe/i//a4VbJ/h70v8Af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JNcMAAADbAAAADwAAAAAAAAAAAAAAAACYAgAAZHJzL2Rv&#10;d25yZXYueG1sUEsFBgAAAAAEAAQA9QAAAIgDAAAAAA==&#10;">
                <v:path/>
                <v:fill focussize="0,0"/>
                <v:stroke on="f" weight="2pt" joinstyle="miter"/>
                <v:imagedata o:title=""/>
                <o:lock v:ext="edit"/>
                <v:textbox>
                  <w:txbxContent>
                    <w:p>
                      <w:pPr>
                        <w:spacing w:line="240" w:lineRule="auto"/>
                        <w:jc w:val="center"/>
                        <w:rPr>
                          <w:b/>
                          <w:szCs w:val="21"/>
                        </w:rPr>
                      </w:pPr>
                      <w:r>
                        <w:rPr>
                          <w:rFonts w:hint="eastAsia"/>
                          <w:b/>
                          <w:szCs w:val="21"/>
                        </w:rPr>
                        <w:t>污水与再生水处理</w:t>
                      </w:r>
                    </w:p>
                  </w:txbxContent>
                </v:textbox>
              </v:shape>
              <v:group id="组合 80" o:spid="_x0000_s1031" o:spt="203" style="position:absolute;left:0;top:0;height:35103;width:44178;" coordsize="44178,3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o:lock v:ext="edit"/>
                <v:shape id="文本框 81" o:spid="_x0000_s1032" o:spt="202" type="#_x0000_t202" style="position:absolute;left:29329;top:17942;height:4998;width:973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1FMEA&#10;AADbAAAADwAAAGRycy9kb3ducmV2LnhtbESPQYvCMBSE78L+h/AW9mbTCop0jSKyyl6tCh4fzdu2&#10;2Lx0k2jrvzeC4HGYmW+YxWowrbiR841lBVmSgiAurW64UnA8bMdzED4ga2wtk4I7eVgtP0YLzLXt&#10;eU+3IlQiQtjnqKAOocul9GVNBn1iO+Lo/VlnMETpKqkd9hFuWjlJ05k02HBcqLGjTU3lpbgaBdjf&#10;z+tpZn6mp2biikOY9dvdv1Jfn8P6G0SgIbzDr/avVjDP4Pk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BtRTBAAAA2wAAAA8AAAAAAAAAAAAAAAAAmAIAAGRycy9kb3du&#10;cmV2LnhtbFBLBQYAAAAABAAEAPUAAACGAwAAAAA=&#10;">
                  <v:path/>
                  <v:fill focussize="0,0"/>
                  <v:stroke on="f" weight="2pt" joinstyle="miter"/>
                  <v:imagedata o:title=""/>
                  <o:lock v:ext="edit"/>
                  <v:textbox>
                    <w:txbxContent>
                      <w:p>
                        <w:pPr>
                          <w:spacing w:line="240" w:lineRule="auto"/>
                          <w:jc w:val="center"/>
                          <w:rPr>
                            <w:b/>
                            <w:szCs w:val="21"/>
                          </w:rPr>
                        </w:pPr>
                        <w:r>
                          <w:rPr>
                            <w:rFonts w:hint="eastAsia"/>
                            <w:b/>
                            <w:szCs w:val="21"/>
                          </w:rPr>
                          <w:t>污水输送（排水管渠）</w:t>
                        </w:r>
                      </w:p>
                    </w:txbxContent>
                  </v:textbox>
                </v:shape>
                <v:group id="组合 82" o:spid="_x0000_s1033" o:spt="203" style="position:absolute;left:0;top:0;height:35103;width:44178;" coordsize="44178,3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o:lock v:ext="edit"/>
                  <v:roundrect id="圆角矩形 83" o:spid="_x0000_s1034" o:spt="2" style="position:absolute;left:28984;top:24067;height:4998;width:10344;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XtMMA&#10;AADbAAAADwAAAGRycy9kb3ducmV2LnhtbESP3YrCMBSE7wXfIRxh7zRxBZVqFJFdWUEW/AFvD82x&#10;LTYnpclq69MbYcHLYWa+YebLxpbiRrUvHGsYDhQI4tSZgjMNp+N3fwrCB2SDpWPS0JKH5aLbmWNi&#10;3J33dDuETEQI+wQ15CFUiZQ+zcmiH7iKOHoXV1sMUdaZNDXeI9yW8lOpsbRYcFzIsaJ1Tun18Gc1&#10;nHeXL6O8fajWbX8ngdvNeVJo/dFrVjMQgZrwDv+3f4yG6Qhe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YXtMMAAADbAAAADwAAAAAAAAAAAAAAAACYAgAAZHJzL2Rv&#10;d25yZXYueG1sUEsFBgAAAAAEAAQA9QAAAIgDAAAAAA==&#10;">
                    <v:path/>
                    <v:fill on="f" focussize="0,0"/>
                    <v:stroke weight="2pt" color="#0070C0"/>
                    <v:imagedata o:title=""/>
                    <o:lock v:ext="edit"/>
                  </v:roundrect>
                  <v:group id="组合 84" o:spid="_x0000_s1035" o:spt="203" style="position:absolute;left:0;top:0;height:35103;width:44178;" coordsize="44178,3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o:lock v:ext="edit"/>
                    <v:roundrect id="圆角矩形 85" o:spid="_x0000_s1036" o:spt="2" style="position:absolute;left:28984;top:17942;height:4998;width:10344;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qW8MA&#10;AADbAAAADwAAAGRycy9kb3ducmV2LnhtbESPW4vCMBSE3wX/QzjCvmnigheqUUR2ZQVZ8AK+Hppj&#10;W2xOSpPV1l9vhAUfh5n5hpkvG1uKG9W+cKxhOFAgiFNnCs40nI7f/SkIH5ANlo5JQ0selotuZ46J&#10;cXfe0+0QMhEh7BPUkIdQJVL6NCeLfuAq4uhdXG0xRFln0tR4j3Bbyk+lxtJiwXEhx4rWOaXXw5/V&#10;cN5dvozy9qFat/2dBG4350mh9UevWc1ABGrCO/zf/jEapiN4fY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MqW8MAAADbAAAADwAAAAAAAAAAAAAAAACYAgAAZHJzL2Rv&#10;d25yZXYueG1sUEsFBgAAAAAEAAQA9QAAAIgDAAAAAA==&#10;">
                      <v:path/>
                      <v:fill on="f" focussize="0,0"/>
                      <v:stroke weight="2pt" color="#0070C0"/>
                      <v:imagedata o:title=""/>
                      <o:lock v:ext="edit"/>
                    </v:roundrect>
                    <v:group id="组合 86" o:spid="_x0000_s1037" o:spt="203" style="position:absolute;left:0;top:0;height:35103;width:44178;" coordsize="44178,3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o:lock v:ext="edit"/>
                      <v:roundrect id="圆角矩形 87" o:spid="_x0000_s1038" o:spt="2" style="position:absolute;left:28984;top:30106;height:4997;width:10344;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Rt8QA&#10;AADbAAAADwAAAGRycy9kb3ducmV2LnhtbESPQWvCQBSE74L/YXmCN7NrD42krlKKLRWk0LTg9ZF9&#10;JqHZt2F3q4m/3hUKPQ4z8w2z3g62E2fyoXWsYZkpEMSVMy3XGr6/XhcrECEiG+wck4aRAmw308ka&#10;C+Mu/EnnMtYiQTgUqKGJsS+kDFVDFkPmeuLknZy3GJP0tTQeLwluO/mg1KO02HJaaLCnl4aqn/LX&#10;ajgeTjujgr2q0e0/8sjj2zFvtZ7PhucnEJGG+B/+a78bDasc7l/S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dEbfEAAAA2wAAAA8AAAAAAAAAAAAAAAAAmAIAAGRycy9k&#10;b3ducmV2LnhtbFBLBQYAAAAABAAEAPUAAACJAwAAAAA=&#10;">
                        <v:path/>
                        <v:fill on="f" focussize="0,0"/>
                        <v:stroke weight="2pt" color="#0070C0"/>
                        <v:imagedata o:title=""/>
                        <o:lock v:ext="edit"/>
                      </v:roundrect>
                      <v:group id="组合 88" o:spid="_x0000_s1039" o:spt="203" style="position:absolute;left:0;top:0;height:32690;width:44178;" coordsize="44178,3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o:lock v:ext="edit"/>
                        <v:group id="组合 89" o:spid="_x0000_s1040" o:spt="203" style="position:absolute;left:0;top:15096;height:4997;width:10433;" coordsize="10436,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o:lock v:ext="edit"/>
                          <v:shape id="文本框 90" o:spid="_x0000_s1041" o:spt="202" type="#_x0000_t202" style="position:absolute;left:86;top:862;height:3791;width:1035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GUsAA&#10;AADbAAAADwAAAGRycy9kb3ducmV2LnhtbERPz2vCMBS+D/wfwhN2m2kLyqxGKbKOXVcVPD6aZ1ts&#10;XmqS2frfL4fBjh/f7+1+Mr14kPOdZQXpIgFBXFvdcaPgdCzf3kH4gKyxt0wKnuRhv5u9bDHXduRv&#10;elShETGEfY4K2hCGXEpft2TQL+xAHLmrdQZDhK6R2uEYw00vsyRZSYMdx4YWBzq0VN+qH6MAx+el&#10;WKbmY3nuMlcdw2osP+9Kvc6nYgMi0BT+xX/uL61gHdfHL/EH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SGUsAAAADbAAAADwAAAAAAAAAAAAAAAACYAgAAZHJzL2Rvd25y&#10;ZXYueG1sUEsFBgAAAAAEAAQA9QAAAIUDAAAAAA==&#10;">
                            <v:path/>
                            <v:fill focussize="0,0"/>
                            <v:stroke on="f" weight="2pt" joinstyle="miter"/>
                            <v:imagedata o:title=""/>
                            <o:lock v:ext="edit"/>
                            <v:textbox>
                              <w:txbxContent>
                                <w:p>
                                  <w:pPr>
                                    <w:spacing w:line="240" w:lineRule="auto"/>
                                    <w:jc w:val="center"/>
                                    <w:rPr>
                                      <w:b/>
                                      <w:szCs w:val="21"/>
                                    </w:rPr>
                                  </w:pPr>
                                  <w:r>
                                    <w:rPr>
                                      <w:rFonts w:hint="eastAsia"/>
                                      <w:b/>
                                      <w:szCs w:val="21"/>
                                    </w:rPr>
                                    <w:t>排水工程</w:t>
                                  </w:r>
                                </w:p>
                              </w:txbxContent>
                            </v:textbox>
                          </v:shape>
                          <v:roundrect id="圆角矩形 91" o:spid="_x0000_s1042" o:spt="2" style="position:absolute;left:0;top:0;height:5003;width:10351;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hcMA&#10;AADbAAAADwAAAGRycy9kb3ducmV2LnhtbESPT4vCMBTE74LfITxhb2uih3WtRhFRWWER/ANeH82z&#10;LTYvpYna7qc3C4LHYWZ+w0znjS3FnWpfONYw6CsQxKkzBWcaTsf15zcIH5ANlo5JQ0se5rNuZ4qJ&#10;cQ/e0/0QMhEh7BPUkIdQJVL6NCeLvu8q4uhdXG0xRFln0tT4iHBbyqFSX9JiwXEhx4qWOaXXw81q&#10;OP9eVkZ5+6dat92NAreb86jQ+qPXLCYgAjXhHX61f4yG8QD+v8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6hcMAAADbAAAADwAAAAAAAAAAAAAAAACYAgAAZHJzL2Rv&#10;d25yZXYueG1sUEsFBgAAAAAEAAQA9QAAAIgDAAAAAA==&#10;">
                            <v:path/>
                            <v:fill on="f" focussize="0,0"/>
                            <v:stroke weight="2pt" color="#0070C0"/>
                            <v:imagedata o:title=""/>
                            <o:lock v:ext="edit"/>
                          </v:roundrect>
                        </v:group>
                        <v:group id="组合 92" o:spid="_x0000_s1043" o:spt="203" style="position:absolute;left:10437;top:0;height:32690;width:33741;" coordsize="33740,3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o:lock v:ext="edit"/>
                          <v:group id="组合 93" o:spid="_x0000_s1044" o:spt="203" style="position:absolute;left:4140;top:5952;height:4997;width:10433;" coordsize="10436,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o:lock v:ext="edit"/>
                            <v:shape id="文本框 94" o:spid="_x0000_s1045" o:spt="202" type="#_x0000_t202" style="position:absolute;left:86;top:862;height:3791;width:1035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cEA&#10;AADbAAAADwAAAGRycy9kb3ducmV2LnhtbESPQYvCMBSE78L+h/CEvWmqqOxWo4jo4tXqwh4fzbMt&#10;Ni/dJNr6740geBxm5htmsepMLW7kfGVZwWiYgCDOra64UHA67gZfIHxA1lhbJgV38rBafvQWmGrb&#10;8oFuWShEhLBPUUEZQpNK6fOSDPqhbYijd7bOYIjSFVI7bCPc1HKcJDNpsOK4UGJDm5LyS3Y1CrC9&#10;/62nI7Od/lZjlx3DrN39/Cv12e/WcxCBuvAOv9p7reB7A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vgFHBAAAA2wAAAA8AAAAAAAAAAAAAAAAAmAIAAGRycy9kb3du&#10;cmV2LnhtbFBLBQYAAAAABAAEAPUAAACGAwAAAAA=&#10;">
                              <v:path/>
                              <v:fill focussize="0,0"/>
                              <v:stroke on="f" weight="2pt" joinstyle="miter"/>
                              <v:imagedata o:title=""/>
                              <o:lock v:ext="edit"/>
                              <v:textbox>
                                <w:txbxContent>
                                  <w:p>
                                    <w:pPr>
                                      <w:spacing w:line="240" w:lineRule="auto"/>
                                      <w:jc w:val="center"/>
                                      <w:rPr>
                                        <w:b/>
                                        <w:szCs w:val="21"/>
                                      </w:rPr>
                                    </w:pPr>
                                    <w:r>
                                      <w:rPr>
                                        <w:rFonts w:hint="eastAsia"/>
                                        <w:b/>
                                        <w:szCs w:val="21"/>
                                      </w:rPr>
                                      <w:t>雨水系统</w:t>
                                    </w:r>
                                  </w:p>
                                </w:txbxContent>
                              </v:textbox>
                            </v:shape>
                            <v:roundrect id="圆角矩形 95" o:spid="_x0000_s1046" o:spt="2" style="position:absolute;left:0;top:0;height:5003;width:10351;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8hsMA&#10;AADbAAAADwAAAGRycy9kb3ducmV2LnhtbESPQWvCQBSE74L/YXlCb7proWpTVxGppQURTAteH9ln&#10;Esy+DdlVE399VxA8DjPzDTNftrYSF2p86VjDeKRAEGfOlJxr+PvdDGcgfEA2WDkmDR15WC76vTkm&#10;xl15T5c05CJC2CeooQihTqT0WUEW/cjVxNE7usZiiLLJpWnwGuG2kq9KTaTFkuNCgTWtC8pO6dlq&#10;OGyPn0Z5e1Od+9lNA3dfh2mp9cugXX2ACNSGZ/jR/jYa3t/g/iX+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q8hsMAAADbAAAADwAAAAAAAAAAAAAAAACYAgAAZHJzL2Rv&#10;d25yZXYueG1sUEsFBgAAAAAEAAQA9QAAAIgDAAAAAA==&#10;">
                              <v:path/>
                              <v:fill on="f" focussize="0,0"/>
                              <v:stroke weight="2pt" color="#0070C0"/>
                              <v:imagedata o:title=""/>
                              <o:lock v:ext="edit"/>
                            </v:roundrect>
                          </v:group>
                          <v:group id="组合 96" o:spid="_x0000_s1047" o:spt="203" style="position:absolute;left:4054;top:24067;height:4998;width:10433;" coordsize="10436,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o:lock v:ext="edit"/>
                            <v:shape id="文本框 97" o:spid="_x0000_s1048" o:spt="202" type="#_x0000_t202" style="position:absolute;left:86;top:862;height:3791;width:1035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eJsMA&#10;AADbAAAADwAAAGRycy9kb3ducmV2LnhtbESPzWrDMBCE74G+g9hAb4mcgJPWiRJCqUuvdVLocbE2&#10;tom1ciXVP29fFQo5DjPzDbM/jqYVPTnfWFawWiYgiEurG64UXM754gmED8gaW8ukYCIPx8PDbI+Z&#10;tgN/UF+ESkQI+wwV1CF0mZS+rMmgX9qOOHpX6wyGKF0ltcMhwk0r10mykQYbjgs1dvRSU3krfowC&#10;HKavU7oyr+lns3bFOWyG/O1bqcf5eNqBCDSGe/i//a4VPG/h70v8Af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0eJsMAAADbAAAADwAAAAAAAAAAAAAAAACYAgAAZHJzL2Rv&#10;d25yZXYueG1sUEsFBgAAAAAEAAQA9QAAAIgDAAAAAA==&#10;">
                              <v:path/>
                              <v:fill focussize="0,0"/>
                              <v:stroke on="f" weight="2pt" joinstyle="miter"/>
                              <v:imagedata o:title=""/>
                              <o:lock v:ext="edit"/>
                              <v:textbox>
                                <w:txbxContent>
                                  <w:p>
                                    <w:pPr>
                                      <w:spacing w:line="240" w:lineRule="auto"/>
                                      <w:jc w:val="center"/>
                                      <w:rPr>
                                        <w:b/>
                                        <w:szCs w:val="21"/>
                                      </w:rPr>
                                    </w:pPr>
                                    <w:r>
                                      <w:rPr>
                                        <w:rFonts w:hint="eastAsia"/>
                                        <w:b/>
                                        <w:szCs w:val="21"/>
                                      </w:rPr>
                                      <w:t>污水系统</w:t>
                                    </w:r>
                                  </w:p>
                                </w:txbxContent>
                              </v:textbox>
                            </v:shape>
                            <v:roundrect id="圆角矩形 98" o:spid="_x0000_s1049" o:spt="2" style="position:absolute;left:0;top:0;height:5003;width:10351;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TGL8A&#10;AADbAAAADwAAAGRycy9kb3ducmV2LnhtbERPy4rCMBTdD/gP4QruxsRZ6FiNIjKKggz4ALeX5toW&#10;m5vSRG39erMQXB7OezpvbCnuVPvCsYZBX4EgTp0pONNwOq6+f0H4gGywdEwaWvIwn3W+ppgY9+A9&#10;3Q8hEzGEfYIa8hCqREqf5mTR911FHLmLqy2GCOtMmhofMdyW8kepobRYcGzIsaJlTun1cLMazrvL&#10;n1HePlXrtv+jwO36PCq07nWbxQREoCZ8xG/3xmgYx7HxS/w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WxMYvwAAANsAAAAPAAAAAAAAAAAAAAAAAJgCAABkcnMvZG93bnJl&#10;di54bWxQSwUGAAAAAAQABAD1AAAAhAMAAAAA&#10;">
                              <v:path/>
                              <v:fill on="f" focussize="0,0"/>
                              <v:stroke weight="2pt" color="#0070C0"/>
                              <v:imagedata o:title=""/>
                              <o:lock v:ext="edit"/>
                            </v:roundrect>
                          </v:group>
                          <v:line id="直接连接符 99" o:spid="_x0000_s1050" o:spt="20" style="position:absolute;left:0;top:8626;flip:y;height:8971;width:4059;"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7lsEAAADbAAAADwAAAGRycy9kb3ducmV2LnhtbESPQYvCMBSE7wv+h/CEva2pwq5ajSKK&#10;IF6WVvH8SJ5tsXkpTbT135uFBY/DzHzDLNe9rcWDWl85VjAeJSCItTMVFwrOp/3XDIQPyAZrx6Tg&#10;SR7Wq8HHElPjOs7okYdCRAj7FBWUITSplF6XZNGPXEMcvatrLYYo20KaFrsIt7WcJMmPtFhxXCix&#10;oW1J+pbfrYLTJdc6m3S7+ldnOL0cvfzOtVKfw36zABGoD+/wf/tgFMzn8Pc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MvuWwQAAANsAAAAPAAAAAAAAAAAAAAAA&#10;AKECAABkcnMvZG93bnJldi54bWxQSwUGAAAAAAQABAD5AAAAjwMAAAAA&#10;">
                            <v:path arrowok="t"/>
                            <v:fill focussize="0,0"/>
                            <v:stroke weight="1.5pt" color="#0070C0"/>
                            <v:imagedata o:title=""/>
                            <o:lock v:ext="edit"/>
                          </v:line>
                          <v:line id="直接连接符 100" o:spid="_x0000_s1051" o:spt="20" style="position:absolute;left:0;top:17597;height:8967;width:4057;"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cyPcUAAADcAAAADwAAAGRycy9kb3ducmV2LnhtbESPQWvDMAyF74P+B6PCbquTFkbJ6pZQ&#10;Nthgl7Q7bDcRq0naWA6222T/fjoMepN4T+992uwm16sbhdh5NpAvMlDEtbcdNwa+jm9Pa1AxIVvs&#10;PZOBX4qw284eNlhYP3JFt0NqlIRwLNBAm9JQaB3rlhzGhR+IRTv54DDJGhptA44S7nq9zLJn7bBj&#10;aWhxoH1L9eVwdQZWP2N4vfD5+0NXeVXm+/WqHD6NeZxP5QuoRFO6m/+v363gZ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cyPcUAAADcAAAADwAAAAAAAAAA&#10;AAAAAAChAgAAZHJzL2Rvd25yZXYueG1sUEsFBgAAAAAEAAQA+QAAAJMDAAAAAA==&#10;">
                            <v:path arrowok="t"/>
                            <v:fill focussize="0,0"/>
                            <v:stroke weight="1.5pt" color="#0070C0"/>
                            <v:imagedata o:title=""/>
                            <o:lock v:ext="edit"/>
                          </v:line>
                          <v:group id="组合 101" o:spid="_x0000_s1052" o:spt="203" style="position:absolute;left:18633;top:0;height:4997;width:10426;" coordsize="10430,4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o:lock v:ext="edit"/>
                            <v:shape id="文本框 102" o:spid="_x0000_s1053" o:spt="202" type="#_x0000_t202" style="position:absolute;left:86;top:862;height:3785;width:10344;"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FucAA&#10;AADcAAAADwAAAGRycy9kb3ducmV2LnhtbERPTYvCMBC9C/sfwgjebGpBka5RRHTZq1Vhj0Mz25Zt&#10;Jt0k2vrvjSB4m8f7nNVmMK24kfONZQWzJAVBXFrdcKXgfDpMlyB8QNbYWiYFd/KwWX+MVphr2/OR&#10;bkWoRAxhn6OCOoQul9KXNRn0ie2II/drncEQoaukdtjHcNPKLE0X0mDDsaHGjnY1lX/F1SjA/v6z&#10;nc/Mfn5pMlecwqI/fP0rNRkP208QgYbwFr/c3zrOTzN4PhMv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EFucAAAADcAAAADwAAAAAAAAAAAAAAAACYAgAAZHJzL2Rvd25y&#10;ZXYueG1sUEsFBgAAAAAEAAQA9QAAAIUDAAAAAA==&#10;">
                              <v:path/>
                              <v:fill focussize="0,0"/>
                              <v:stroke on="f" weight="2pt" joinstyle="miter"/>
                              <v:imagedata o:title=""/>
                              <o:lock v:ext="edit"/>
                              <v:textbox>
                                <w:txbxContent>
                                  <w:p>
                                    <w:pPr>
                                      <w:spacing w:line="240" w:lineRule="auto"/>
                                      <w:jc w:val="center"/>
                                      <w:rPr>
                                        <w:b/>
                                        <w:szCs w:val="21"/>
                                      </w:rPr>
                                    </w:pPr>
                                    <w:r>
                                      <w:rPr>
                                        <w:rFonts w:hint="eastAsia"/>
                                        <w:b/>
                                        <w:szCs w:val="21"/>
                                      </w:rPr>
                                      <w:t>源头减排</w:t>
                                    </w:r>
                                  </w:p>
                                </w:txbxContent>
                              </v:textbox>
                            </v:shape>
                            <v:roundrect id="圆角矩形 103" o:spid="_x0000_s1054" o:spt="2" style="position:absolute;left:0;top:0;height:4997;width:10344;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qQcIA&#10;AADcAAAADwAAAGRycy9kb3ducmV2LnhtbERP22rCQBB9F/yHZQTf6m4VmhJdQxEtLZRCbcHXITsm&#10;wexsyG5z6dd3BcG3OZzrbLLB1qKj1leONTwuFAji3JmKCw0/34eHZxA+IBusHZOGkTxk2+lkg6lx&#10;PX9RdwyFiCHsU9RQhtCkUvq8JIt+4RriyJ1dazFE2BbStNjHcFvLpVJP0mLFsaHEhnYl5Zfjr9Vw&#10;+jjvjfL2T43u/TMJPL6ekkrr+Wx4WYMINIS7+OZ+M3G+Ws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OpBwgAAANwAAAAPAAAAAAAAAAAAAAAAAJgCAABkcnMvZG93&#10;bnJldi54bWxQSwUGAAAAAAQABAD1AAAAhwMAAAAA&#10;">
                              <v:path/>
                              <v:fill on="f" focussize="0,0"/>
                              <v:stroke weight="2pt" color="#0070C0"/>
                              <v:imagedata o:title=""/>
                              <o:lock v:ext="edit"/>
                            </v:roundrect>
                          </v:group>
                          <v:group id="组合 104" o:spid="_x0000_s1055" o:spt="203" style="position:absolute;left:18719;top:5952;height:4997;width:10427;" coordsize="10430,4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o:lock v:ext="edit"/>
                            <v:shape id="文本框 105" o:spid="_x0000_s1056" o:spt="202" type="#_x0000_t202" style="position:absolute;left:86;top:862;height:3785;width:10344;"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dzcEA&#10;AADcAAAADwAAAGRycy9kb3ducmV2LnhtbERPTWuDQBC9B/oflgn0FlcFQ7GuIYSm9BrTQI+DO1Wp&#10;O2t3t9H8+26g0Ns83udUu8WM4krOD5YVZEkKgri1euBOwfv5uHkC4QOyxtEyKbiRh139sKqw1Hbm&#10;E12b0IkYwr5EBX0IUymlb3sy6BM7EUfu0zqDIULXSe1wjuFmlHmabqXBgWNDjxMdemq/mh+jAOfb&#10;x77IzEtxGXLXnMN2Pr5+K/W4XvbPIAIt4V/8537TcX5awP2ZeIG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4nc3BAAAA3AAAAA8AAAAAAAAAAAAAAAAAmAIAAGRycy9kb3du&#10;cmV2LnhtbFBLBQYAAAAABAAEAPUAAACGAwAAAAA=&#10;">
                              <v:path/>
                              <v:fill focussize="0,0"/>
                              <v:stroke on="f" weight="2pt" joinstyle="miter"/>
                              <v:imagedata o:title=""/>
                              <o:lock v:ext="edit"/>
                              <v:textbox>
                                <w:txbxContent>
                                  <w:p>
                                    <w:pPr>
                                      <w:spacing w:line="240" w:lineRule="auto"/>
                                      <w:jc w:val="center"/>
                                      <w:rPr>
                                        <w:b/>
                                        <w:szCs w:val="21"/>
                                      </w:rPr>
                                    </w:pPr>
                                    <w:r>
                                      <w:rPr>
                                        <w:rFonts w:hint="eastAsia"/>
                                        <w:b/>
                                        <w:szCs w:val="21"/>
                                      </w:rPr>
                                      <w:t>排水管渠</w:t>
                                    </w:r>
                                  </w:p>
                                </w:txbxContent>
                              </v:textbox>
                            </v:shape>
                            <v:roundrect id="圆角矩形 106" o:spid="_x0000_s1057" o:spt="2" style="position:absolute;left:0;top:0;height:4997;width:10344;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J2cAA&#10;AADcAAAADwAAAGRycy9kb3ducmV2LnhtbERPTYvCMBC9C/6HMII3TfSgUo0ioosLi2AVvA7N2Bab&#10;SWmy2u6v3wgLe5vH+5zVprWVeFLjS8caJmMFgjhzpuRcw/VyGC1A+IBssHJMGjrysFn3eytMjHvx&#10;mZ5pyEUMYZ+ghiKEOpHSZwVZ9GNXE0fu7hqLIcIml6bBVwy3lZwqNZMWS44NBda0Kyh7pN9Ww+3r&#10;vjfK2x/Vuc/TPHD3cZuXWg8H7XYJIlAb/sV/7qOJ89UM3s/E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9J2cAAAADcAAAADwAAAAAAAAAAAAAAAACYAgAAZHJzL2Rvd25y&#10;ZXYueG1sUEsFBgAAAAAEAAQA9QAAAIUDAAAAAA==&#10;">
                              <v:path/>
                              <v:fill on="f" focussize="0,0"/>
                              <v:stroke weight="2pt" color="#0070C0"/>
                              <v:imagedata o:title=""/>
                              <o:lock v:ext="edit"/>
                            </v:roundrect>
                          </v:group>
                          <v:group id="组合 107" o:spid="_x0000_s1058" o:spt="203" style="position:absolute;left:18633;top:11904;height:4997;width:10426;" coordsize="10430,4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o:lock v:ext="edit"/>
                            <v:shape id="文本框 108" o:spid="_x0000_s1059" o:spt="202" type="#_x0000_t202" style="position:absolute;left:86;top:862;height:3785;width:10344;"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yU8MA&#10;AADcAAAADwAAAGRycy9kb3ducmV2LnhtbESPQWvCQBCF74L/YRnBm24UlJK6ihQtXo0VPA7ZaRKa&#10;nY27WxP/vXMo9DbDe/PeN5vd4Fr1oBAbzwYW8wwUceltw5WBr8tx9gYqJmSLrWcy8KQIu+14tMHc&#10;+p7P9ChSpSSEY44G6pS6XOtY1uQwzn1HLNq3Dw6TrKHSNmAv4a7Vyyxba4cNS0ONHX3UVP4Uv84A&#10;9s/bfrVwh9W1WYbiktb98fNuzHQy7N9BJRrSv/nv+mQFPxNaeUYm0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kyU8MAAADcAAAADwAAAAAAAAAAAAAAAACYAgAAZHJzL2Rv&#10;d25yZXYueG1sUEsFBgAAAAAEAAQA9QAAAIgDAAAAAA==&#10;">
                              <v:path/>
                              <v:fill focussize="0,0"/>
                              <v:stroke on="f" weight="2pt" joinstyle="miter"/>
                              <v:imagedata o:title=""/>
                              <o:lock v:ext="edit"/>
                              <v:textbox>
                                <w:txbxContent>
                                  <w:p>
                                    <w:pPr>
                                      <w:spacing w:line="240" w:lineRule="auto"/>
                                      <w:jc w:val="center"/>
                                      <w:rPr>
                                        <w:b/>
                                        <w:szCs w:val="21"/>
                                      </w:rPr>
                                    </w:pPr>
                                    <w:r>
                                      <w:rPr>
                                        <w:rFonts w:hint="eastAsia"/>
                                        <w:b/>
                                        <w:szCs w:val="21"/>
                                      </w:rPr>
                                      <w:t>排涝除险</w:t>
                                    </w:r>
                                  </w:p>
                                </w:txbxContent>
                              </v:textbox>
                            </v:shape>
                            <v:roundrect id="圆角矩形 109" o:spid="_x0000_s1060" o:spt="2" style="position:absolute;left:0;top:0;height:4997;width:10344;v-text-anchor:middle;" filled="f" stroked="t" coordsize="21600,21600" arcsize="0.16666666666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dq8IA&#10;AADcAAAADwAAAGRycy9kb3ducmV2LnhtbERPTWvCQBC9C/6HZYTezG57aDS6ShFbWiiCacHrkB2T&#10;YHY2ZLcm6a/vFgRv83ifs94OthFX6nztWMNjokAQF87UXGr4/nqdL0D4gGywcUwaRvKw3Uwna8yM&#10;6/lI1zyUIoawz1BDFUKbSemLiiz6xLXEkTu7zmKIsCul6bCP4baRT0o9S4s1x4YKW9pVVFzyH6vh&#10;9HneG+XtrxrdxyENPL6d0lrrh9nwsgIRaAh38c39buJ8tYT/Z+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N2rwgAAANwAAAAPAAAAAAAAAAAAAAAAAJgCAABkcnMvZG93&#10;bnJldi54bWxQSwUGAAAAAAQABAD1AAAAhwMAAAAA&#10;">
                              <v:path/>
                              <v:fill on="f" focussize="0,0"/>
                              <v:stroke weight="2pt" color="#0070C0"/>
                              <v:imagedata o:title=""/>
                              <o:lock v:ext="edit"/>
                            </v:roundrect>
                          </v:group>
                          <v:line id="直接连接符 110" o:spid="_x0000_s1061" o:spt="20" style="position:absolute;left:14492;top:8540;height:0;width:4231;"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X8YAAADcAAAADwAAAGRycy9kb3ducmV2LnhtbESPT2vCQBDF70K/wzJCb7rRtiKpq5TW&#10;QsF68B9eh+w0CWZnw+5Wk2/fORS8zfDevPebxapzjbpSiLVnA5NxBoq48Lbm0sDx8Dmag4oJ2WLj&#10;mQz0FGG1fBgsMLf+xju67lOpJIRjjgaqlNpc61hU5DCOfUss2o8PDpOsodQ24E3CXaOnWTbTDmuW&#10;hgpbeq+ouOx/nYG170+7TVift3X/snk+zL+nTx+FMY/D7u0VVKIu3c3/119W8CeCL8/IB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vzV/GAAAA3AAAAA8AAAAAAAAA&#10;AAAAAAAAoQIAAGRycy9kb3ducmV2LnhtbFBLBQYAAAAABAAEAPkAAACUAwAAAAA=&#10;">
                            <v:path arrowok="t"/>
                            <v:fill focussize="0,0"/>
                            <v:stroke weight="2.25pt" color="#4579B8 [3044]"/>
                            <v:imagedata o:title=""/>
                            <o:lock v:ext="edit"/>
                          </v:line>
                          <v:line id="直接连接符 111" o:spid="_x0000_s1062" o:spt="20" style="position:absolute;left:14492;top:2501;flip:y;height:6125;width:4227;"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l8sEAAADcAAAADwAAAGRycy9kb3ducmV2LnhtbERPTWsCMRC9F/wPYQRvNbs9WFmNsogt&#10;XqRoC16Hzbi7uplsk6jx35tCwds83ufMl9F04krOt5YV5OMMBHFldcu1gp/vj9cpCB+QNXaWScGd&#10;PCwXg5c5FtreeEfXfahFCmFfoIImhL6Q0lcNGfRj2xMn7midwZCgq6V2eEvhppNvWTaRBltODQ32&#10;tGqoOu8vRkEst+vT50Gf8ff0xQe33b2XNio1GsZyBiJQDE/xv3uj0/w8h79n0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6XywQAAANwAAAAPAAAAAAAAAAAAAAAA&#10;AKECAABkcnMvZG93bnJldi54bWxQSwUGAAAAAAQABAD5AAAAjwMAAAAA&#10;">
                            <v:path arrowok="t"/>
                            <v:fill focussize="0,0"/>
                            <v:stroke weight="1.5pt" color="#4579B8 [3044]"/>
                            <v:imagedata o:title=""/>
                            <o:lock v:ext="edit"/>
                          </v:line>
                          <v:line id="直接连接符 112" o:spid="_x0000_s1063" o:spt="20" style="position:absolute;left:14578;top:8626;height:6121;width:4223;"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8McMAAADcAAAADwAAAGRycy9kb3ducmV2LnhtbERPzWrCQBC+C32HZQq9iNkkiC2pq5SG&#10;gnhr7ANMs2OyNjubZrcafXq3IHibj+93luvRduJIgzeOFWRJCoK4dtpwo+Br9zF7AeEDssbOMSk4&#10;k4f16mGyxEK7E3/SsQqNiCHsC1TQhtAXUvq6JYs+cT1x5PZusBgiHBqpBzzFcNvJPE0X0qLh2NBi&#10;T+8t1T/Vn1VgLuft9Pf5G6dp1c3L8VBeTHZQ6ulxfHsFEWgMd/HNvdFxfpbD/zPxAr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XvDHDAAAA3AAAAA8AAAAAAAAAAAAA&#10;AAAAoQIAAGRycy9kb3ducmV2LnhtbFBLBQYAAAAABAAEAPkAAACRAwAAAAA=&#10;">
                            <v:path arrowok="t"/>
                            <v:fill focussize="0,0"/>
                            <v:stroke weight="1.5pt" color="#4579B8 [3044]"/>
                            <v:imagedata o:title=""/>
                            <o:lock v:ext="edit"/>
                          </v:line>
                          <v:line id="直接连接符 113" o:spid="_x0000_s1064" o:spt="20" style="position:absolute;left:14319;top:26483;height:0;width:4231;"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1TKMMAAADcAAAADwAAAGRycy9kb3ducmV2LnhtbERPS2vCQBC+F/wPyxS81Y2PFomuIj5A&#10;sB6iLb0O2TEJzc6G3VWTf+8WCt7m43vOfNmaWtzI+cqyguEgAUGcW11xoeDrvHubgvABWWNtmRR0&#10;5GG56L3MMdX2zhndTqEQMYR9igrKEJpUSp+XZNAPbEMcuYt1BkOErpDa4T2Gm1qOkuRDGqw4NpTY&#10;0Lqk/Pd0NQq2tvvODm77c6y698PkPP0cjTe5Uv3XdjUDEagNT/G/e6/j/OEY/p6JF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9UyjDAAAA3AAAAA8AAAAAAAAAAAAA&#10;AAAAoQIAAGRycy9kb3ducmV2LnhtbFBLBQYAAAAABAAEAPkAAACRAwAAAAA=&#10;">
                            <v:path arrowok="t"/>
                            <v:fill focussize="0,0"/>
                            <v:stroke weight="2.25pt" color="#4579B8 [3044]"/>
                            <v:imagedata o:title=""/>
                            <o:lock v:ext="edit"/>
                          </v:line>
                          <v:line id="直接连接符 114" o:spid="_x0000_s1065" o:spt="20" style="position:absolute;left:14319;top:20444;flip:y;height:6125;width:4227;"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GasEAAADcAAAADwAAAGRycy9kb3ducmV2LnhtbERPS2sCMRC+C/6HMEJvmrWUVlajLNJK&#10;LyI+wOuwGXdXN5NtEjX9941Q8DYf33Nmi2hacSPnG8sKxqMMBHFpdcOVgsP+azgB4QOyxtYyKfgl&#10;D4t5vzfDXNs7b+m2C5VIIexzVFCH0OVS+rImg35kO+LEnawzGBJ0ldQO7ynctPI1y96lwYZTQ40d&#10;LWsqL7urURCL9ed5ddQX/Dlv+OjW24/CRqVeBrGYgggUw1P87/7Waf74DR7PpAv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VAZqwQAAANwAAAAPAAAAAAAAAAAAAAAA&#10;AKECAABkcnMvZG93bnJldi54bWxQSwUGAAAAAAQABAD5AAAAjwMAAAAA&#10;">
                            <v:path arrowok="t"/>
                            <v:fill focussize="0,0"/>
                            <v:stroke weight="1.5pt" color="#4579B8 [3044]"/>
                            <v:imagedata o:title=""/>
                            <o:lock v:ext="edit"/>
                          </v:line>
                          <v:line id="直接连接符 115" o:spid="_x0000_s1066" o:spt="20" style="position:absolute;left:14406;top:26569;height:6121;width:4222;"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4kRcMAAADcAAAADwAAAGRycy9kb3ducmV2LnhtbERP22rCQBB9L/gPywi+iG4ivUjqRkpF&#10;EN+a9gPG7Jhsmp1Ns1uNfn1XKPg2h3Od1XqwrThR741jBek8AUFcOm24UvD1uZ0tQfiArLF1TAou&#10;5GGdjx5WmGl35g86FaESMYR9hgrqELpMSl/WZNHPXUccuaPrLYYI+0rqHs8x3LZykSTP0qLh2FBj&#10;R+81ld/Fr1Vgrpf99OflgNOkaB83Q7O5mrRRajIe3l5BBBrCXfzv3uk4P32C2zPxAp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JEXDAAAA3AAAAA8AAAAAAAAAAAAA&#10;AAAAoQIAAGRycy9kb3ducmV2LnhtbFBLBQYAAAAABAAEAPkAAACRAwAAAAA=&#10;">
                            <v:path arrowok="t"/>
                            <v:fill focussize="0,0"/>
                            <v:stroke weight="1.5pt" color="#4579B8 [3044]"/>
                            <v:imagedata o:title=""/>
                            <o:lock v:ext="edit"/>
                          </v:line>
                          <v:shape id="右弧形箭头 116" o:spid="_x0000_s1067" o:spt="103" type="#_x0000_t103" style="position:absolute;left:29157;top:7936;height:13716;width:4583;v-text-anchor:middle;" fillcolor="#548DD4 [1951]"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4ZsAA&#10;AADcAAAADwAAAGRycy9kb3ducmV2LnhtbERPy6rCMBDdC/5DGOHubFoXXqlGEcEHIoLVDxiasS02&#10;k9pE7f17c0FwN4fznNmiM7V4UusqywqSKAZBnFtdcaHgcl4PJyCcR9ZYWyYFf+RgMe/3Zphq++IT&#10;PTNfiBDCLkUFpfdNKqXLSzLoItsQB+5qW4M+wLaQusVXCDe1HMXxWBqsODSU2NCqpPyWPYyCLE7c&#10;vbGb5Lj33eO0JXf73R+U+hl0yykIT53/ij/unQ7zkzH8PxMu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Y4ZsAAAADcAAAADwAAAAAAAAAAAAAAAACYAgAAZHJzL2Rvd25y&#10;ZXYueG1sUEsFBgAAAAAEAAQA9QAAAIUDAAAAAA==&#10;" adj="17991,20698,5400">
                            <v:path/>
                            <v:fill on="t" focussize="0,0"/>
                            <v:stroke weight="2pt" color="#8DB3E2 [1311]" joinstyle="miter"/>
                            <v:imagedata o:title=""/>
                            <o:lock v:ext="edit"/>
                          </v:shape>
                        </v:group>
                      </v:group>
                    </v:group>
                  </v:group>
                </v:group>
              </v:group>
            </v:group>
            <w10:wrap type="none"/>
            <w10:anchorlock/>
          </v:group>
        </w:pict>
      </w:r>
    </w:p>
    <w:p>
      <w:pPr>
        <w:wordWrap w:val="0"/>
        <w:spacing w:line="360" w:lineRule="auto"/>
        <w:ind w:firstLine="568" w:firstLineChars="202"/>
        <w:jc w:val="center"/>
        <w:rPr>
          <w:rFonts w:eastAsiaTheme="minorEastAsia"/>
          <w:color w:val="000000" w:themeColor="text1"/>
          <w:sz w:val="28"/>
          <w:szCs w:val="28"/>
        </w:rPr>
      </w:pPr>
      <w:r>
        <w:rPr>
          <w:rFonts w:eastAsiaTheme="minorEastAsia"/>
          <w:b/>
          <w:color w:val="000000" w:themeColor="text1"/>
          <w:sz w:val="28"/>
          <w:szCs w:val="28"/>
        </w:rPr>
        <w:t>图1排水工程组成和相互关系</w:t>
      </w:r>
    </w:p>
    <w:p>
      <w:pPr>
        <w:pStyle w:val="30"/>
        <w:numPr>
          <w:ilvl w:val="0"/>
          <w:numId w:val="6"/>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排水体制（分流制或合流制）的选择，应符合下列规定：</w:t>
      </w:r>
    </w:p>
    <w:p>
      <w:pPr>
        <w:wordWrap w:val="0"/>
        <w:spacing w:line="48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根据城镇的总体规划，结合当地的气候特征、地形特点、水文条件、水体状况、原有排水设施、污水处理程度和处理后出水利用等因地制宜地确定；</w:t>
      </w:r>
    </w:p>
    <w:p>
      <w:pPr>
        <w:wordWrap w:val="0"/>
        <w:spacing w:line="48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同一城镇的不同地区可采用不同的排水体制；</w:t>
      </w:r>
    </w:p>
    <w:p>
      <w:pPr>
        <w:wordWrap w:val="0"/>
        <w:spacing w:line="48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除降雨量少的干旱地区外，新建地区的排水系统应采用分流制；</w:t>
      </w:r>
    </w:p>
    <w:p>
      <w:pPr>
        <w:wordWrap w:val="0"/>
        <w:spacing w:line="48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分流制排水系统禁止污水接入雨水管网，并应采取截流、调蓄和处理等措施控制雨水</w:t>
      </w:r>
      <w:r>
        <w:rPr>
          <w:rFonts w:hint="eastAsia" w:eastAsiaTheme="minorEastAsia"/>
          <w:color w:val="000000" w:themeColor="text1"/>
          <w:sz w:val="28"/>
          <w:szCs w:val="28"/>
        </w:rPr>
        <w:t>径流</w:t>
      </w:r>
      <w:r>
        <w:rPr>
          <w:rFonts w:eastAsiaTheme="minorEastAsia"/>
          <w:color w:val="000000" w:themeColor="text1"/>
          <w:sz w:val="28"/>
          <w:szCs w:val="28"/>
        </w:rPr>
        <w:t>污染；</w:t>
      </w:r>
    </w:p>
    <w:p>
      <w:pPr>
        <w:wordWrap w:val="0"/>
        <w:spacing w:line="48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现有合流制排水系统，应采取截流、调蓄和处理等措施，提高截流倍数，控制溢流污染；并应按城镇排水规划的要求，实施雨污分流改造。</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【条文说明】分流制是分别用雨水管渠和污水管道收集、输送雨水和污水的排水方式。合流制是用同一管渠系统收集、输送雨水和污水的排水方式。</w:t>
      </w:r>
    </w:p>
    <w:p>
      <w:pPr>
        <w:wordWrap w:val="0"/>
        <w:spacing w:line="460" w:lineRule="atLeast"/>
        <w:ind w:firstLine="560" w:firstLineChars="200"/>
        <w:rPr>
          <w:rFonts w:eastAsiaTheme="minorEastAsia"/>
          <w:color w:val="000000" w:themeColor="text1"/>
          <w:sz w:val="28"/>
          <w:szCs w:val="28"/>
        </w:rPr>
      </w:pPr>
      <w:r>
        <w:rPr>
          <w:rFonts w:eastAsiaTheme="minorEastAsia"/>
          <w:color w:val="000000" w:themeColor="text1"/>
          <w:sz w:val="28"/>
          <w:szCs w:val="28"/>
        </w:rPr>
        <w:t>分流制可根据当地规划的实施情况和经济情况，分期建设。污水由污水收集系统收集并输送到污水厂处理；雨水由雨水系统收集，并就近排入水体，可达到投资低，环境效益高的目的，因此规定除降雨量少的干旱地区外，新建地区应采用分流制。降雨量少一般指年均降雨量200mm以下的地区。我国200mm以下年等降水量线位于内蒙古自治区西部经河西走廊西部以及藏北高原一线，此线是干旱与半干旱地区分界线，也是我国沙漠与非沙漠区的分界线。旧城区由于历史原因，一般已采用合流制，故规定同一城镇的不同地区可采用不同的排水体制，但相邻排水系统如采用不同的排水体制，应明确各自的边界，严禁</w:t>
      </w:r>
      <w:r>
        <w:rPr>
          <w:rFonts w:hint="eastAsia" w:eastAsiaTheme="minorEastAsia"/>
          <w:color w:val="000000" w:themeColor="text1"/>
          <w:sz w:val="28"/>
          <w:szCs w:val="28"/>
        </w:rPr>
        <w:t>分流制雨水系统的排水管渠和合流制排水系统的合流管渠等连通</w:t>
      </w:r>
      <w:r>
        <w:rPr>
          <w:rFonts w:eastAsiaTheme="minorEastAsia"/>
          <w:color w:val="000000" w:themeColor="text1"/>
          <w:sz w:val="28"/>
          <w:szCs w:val="28"/>
        </w:rPr>
        <w:t>。径流污染控制是水体</w:t>
      </w:r>
      <w:r>
        <w:rPr>
          <w:rFonts w:hint="eastAsia" w:eastAsiaTheme="minorEastAsia"/>
          <w:color w:val="000000" w:themeColor="text1"/>
          <w:sz w:val="28"/>
          <w:szCs w:val="28"/>
        </w:rPr>
        <w:t>综合</w:t>
      </w:r>
      <w:r>
        <w:rPr>
          <w:rFonts w:eastAsiaTheme="minorEastAsia"/>
          <w:color w:val="000000" w:themeColor="text1"/>
          <w:sz w:val="28"/>
          <w:szCs w:val="28"/>
        </w:rPr>
        <w:t>整治的重要一环，在生态文明建设要求下，排水工程的雨水系统不仅要解决内涝防治，还要控制径流污染。因此，提出在分流制雨水管渠应避免污水混接、错接，并通过截流、调蓄和处理等措施控制雨水污染。对于现</w:t>
      </w:r>
      <w:r>
        <w:rPr>
          <w:rFonts w:hint="eastAsia" w:eastAsiaTheme="minorEastAsia"/>
          <w:color w:val="000000" w:themeColor="text1"/>
          <w:sz w:val="28"/>
          <w:szCs w:val="28"/>
        </w:rPr>
        <w:t>有</w:t>
      </w:r>
      <w:r>
        <w:rPr>
          <w:rFonts w:eastAsiaTheme="minorEastAsia"/>
          <w:color w:val="000000" w:themeColor="text1"/>
          <w:sz w:val="28"/>
          <w:szCs w:val="28"/>
        </w:rPr>
        <w:t>合流制排水系统，应科学分析现状标准、存在问题、改造难度和改造的经济性，结合城市更新改造，综合采取源头减排、截流管网改造、现状管网修复、调蓄、溢流堰（门）改造等措施，控制溢流污染，并应按城镇排水规划的要求，实施雨污分流改造。</w:t>
      </w:r>
    </w:p>
    <w:p>
      <w:pPr>
        <w:wordWrap w:val="0"/>
        <w:spacing w:line="360" w:lineRule="auto"/>
        <w:ind w:firstLine="565" w:firstLineChars="202"/>
        <w:jc w:val="center"/>
        <w:rPr>
          <w:rFonts w:eastAsiaTheme="minorEastAsia"/>
          <w:color w:val="000000" w:themeColor="text1"/>
          <w:sz w:val="28"/>
          <w:szCs w:val="28"/>
        </w:rPr>
      </w:pPr>
    </w:p>
    <w:p>
      <w:pPr>
        <w:pStyle w:val="3"/>
        <w:numPr>
          <w:ilvl w:val="0"/>
          <w:numId w:val="5"/>
        </w:numPr>
        <w:wordWrap w:val="0"/>
        <w:spacing w:before="0" w:after="0"/>
        <w:jc w:val="center"/>
        <w:rPr>
          <w:rFonts w:ascii="Times New Roman" w:hAnsi="Times New Roman" w:eastAsiaTheme="minorEastAsia"/>
          <w:b w:val="0"/>
          <w:color w:val="000000" w:themeColor="text1"/>
          <w:sz w:val="28"/>
          <w:szCs w:val="28"/>
        </w:rPr>
      </w:pPr>
      <w:bookmarkStart w:id="10" w:name="_Toc515281027"/>
      <w:r>
        <w:rPr>
          <w:rFonts w:ascii="Times New Roman" w:hAnsi="Times New Roman" w:eastAsiaTheme="minorEastAsia"/>
          <w:b w:val="0"/>
          <w:color w:val="000000" w:themeColor="text1"/>
          <w:sz w:val="28"/>
          <w:szCs w:val="28"/>
        </w:rPr>
        <w:t>雨水系统</w:t>
      </w:r>
      <w:bookmarkEnd w:id="10"/>
    </w:p>
    <w:p>
      <w:pPr>
        <w:pStyle w:val="30"/>
        <w:numPr>
          <w:ilvl w:val="0"/>
          <w:numId w:val="7"/>
        </w:numPr>
        <w:wordWrap w:val="0"/>
        <w:spacing w:line="360" w:lineRule="auto"/>
        <w:ind w:left="0" w:firstLine="6"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雨水系统应包括源头减排、排水管渠、排涝除险等工程性措施和应急管理的非工程性措施，并应与防洪设施相衔接。</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雨水系统是一项系统工程，涵盖从雨水径流的产生到末端排放的全过程控制，其中包括产流、汇流、调蓄、利用、排放、预警和应急措施等，而不仅仅指传统的排水管渠设施。本标准规定的雨水系统包括源头减排、排水管渠和排涝除险设施，分别与国际上常用的低影响开发（low impact development）、小排水系统（minor drainage system）和大排水系统（major drainage system）基本对应。</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源头减排措施在有些国家也称为低影响开发或分散式雨水管理，主要通过绿色屋顶、生物滞留设施、植草沟、调蓄设施和透水路面等控制降雨期间的水量和水质，既可减轻排水管渠设施的压力，又使雨水资源从源头得到利用。</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排水管渠措施主要由排水管道、沟渠、雨水调蓄设施和排水泵站等组成，主要应对短历时强降雨的大概率事件，其设计应考虑公众日常生活的便利，并满足较为频繁降雨事件的排水安全要求。</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排涝除险设施主要应对长历时降雨的小概率事件，这一系统可以包括：</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（1）</w:t>
      </w:r>
      <w:r>
        <w:rPr>
          <w:rFonts w:eastAsiaTheme="majorEastAsia"/>
          <w:sz w:val="28"/>
          <w:szCs w:val="28"/>
        </w:rPr>
        <w:t>城镇水体：</w:t>
      </w:r>
      <w:r>
        <w:rPr>
          <w:rFonts w:eastAsiaTheme="minorEastAsia"/>
          <w:color w:val="000000" w:themeColor="text1"/>
          <w:sz w:val="28"/>
          <w:szCs w:val="28"/>
        </w:rPr>
        <w:t>天然或者人工构筑的水体，包括河流、湖泊和池塘等。</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（2）调蓄设施：特别是在一些浅层排水管渠设施不能完全排除雨水的地区所设的地下大型调蓄设施。</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（3）行泄通道：包括开敞的洪水通道、规划预留的雨水行泄通道，道路两侧区域和其他排水通道。</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应急管理措施主要是以保障人身和财产安全为目标，既可针对设计重现期之内的暴雨，也可针对设计重现期之外的暴雨。</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雨水系统的目标包括城镇内涝防治和降雨径流污染控制。内涝防治主要是防治城镇范围内的强降雨或连续降雨超过城镇雨水排水管渠设施消纳能力后产生的地面积水，采取措施包括源头减排（减少场地雨水排放）、排水管渠提标、构建排涝除险系统（包括城市水体、调蓄设施、行泄通道等）和应急管理措施等。城市防洪措施主要是防止城市以外的洪水进入城市而发生灾害，包括河道的堤防，在所在流域的河流上游修建山谷水库或水库群承担城市的蓄洪任务，在城市附近利用分滞洪区分滞洪水，建立预报警系统等。由此可见，内涝防治和城市防洪的概念和措施是不一样的，洪水是源于城市之外，内涝是源于城市之内。近些年虽然每年都有洪涝灾害，但仅是因为城市内部降雨导致的灾害还是基本可以控制的，受灾严重的事件一般与外洪进城、外河水位过高影响城市排涝有很大关系。</w:t>
      </w:r>
    </w:p>
    <w:p>
      <w:pPr>
        <w:pStyle w:val="30"/>
        <w:numPr>
          <w:ilvl w:val="0"/>
          <w:numId w:val="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源头减排设施应有利于雨水就近入渗、调蓄或收集利用，降低雨水径流总量和峰值流量，控制径流污染。</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【条文说明】采取雨水渗透、调蓄等措施，可以从源头降低雨水径流产生量，并延缓出流时间，同时可以控制径流污染。</w:t>
      </w:r>
    </w:p>
    <w:p>
      <w:pPr>
        <w:pStyle w:val="30"/>
        <w:numPr>
          <w:ilvl w:val="0"/>
          <w:numId w:val="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排水管渠设施应确保雨水管渠设计重现期下雨水的转输和排放，并应考虑对下游排水管渠和受纳水体的影响。</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【条文说明】排水管渠设计中应考虑下游排水管渠河受纳水体的最不利情况，以避免下游顶托造成雨水无法正常排除。</w:t>
      </w:r>
    </w:p>
    <w:p>
      <w:pPr>
        <w:pStyle w:val="30"/>
        <w:numPr>
          <w:ilvl w:val="0"/>
          <w:numId w:val="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排涝除险设施应确保内涝防治设计重现期下雨水的转输、调蓄和排放。</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w:t>
      </w:r>
      <w:r>
        <w:rPr>
          <w:rFonts w:ascii="Times New Roman" w:hAnsi="Times New Roman" w:eastAsiaTheme="majorEastAsia"/>
          <w:sz w:val="28"/>
          <w:szCs w:val="28"/>
        </w:rPr>
        <w:t>排涝除险设施承担着在暴雨期间调蓄雨水径流、为超出源头减排设施和排水管渠设施承载能力的雨水径流提供行泄通道和最终出路等重要任务，是满足城镇内涝防治设计重现期标准的重要保障。排涝除险设施的建设，应充分利用自然蓄排水设施，发挥河道行洪能力和水库、洼地、湖泊调蓄雨水的功能，合理确定排水出路。</w:t>
      </w:r>
    </w:p>
    <w:p>
      <w:pPr>
        <w:pStyle w:val="30"/>
        <w:numPr>
          <w:ilvl w:val="0"/>
          <w:numId w:val="7"/>
        </w:numPr>
        <w:wordWrap w:val="0"/>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应通过工程和管理措施加强城市应对超过内涝防治设计重现期降雨的韧性，应采取应急措施避免人员伤亡，灾后迅速恢复城市正常秩序。</w:t>
      </w:r>
    </w:p>
    <w:p>
      <w:pPr>
        <w:pStyle w:val="30"/>
        <w:wordWrap w:val="0"/>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【条文说明】城市的韧性表现在，通过规划预控的冗余性、工程防治的多元性、应急管理的适应性，实现城市在极端降雨条件下的快速退水和安全运行，减少人员伤亡和财产损失，提高城市应对内涝灾害的能力。</w:t>
      </w:r>
    </w:p>
    <w:p>
      <w:pPr>
        <w:pStyle w:val="30"/>
        <w:numPr>
          <w:ilvl w:val="0"/>
          <w:numId w:val="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受有害物质污染的场地的降雨径流，应单独收集处理，达到相应标准后才能排入排水管渠。</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加油站、垃圾压缩站、垃圾堆场、工业区内受有害物质污染的露天场地，下雨时，地面径流夹带有害物质，直接排放，会对水体造成严重污染。不论受污染场地所处地采用何种排水体制，该场地内的受污染雨水都应单独收集，并根据污染物类型和污染浓度采取相应的调蓄或就地处理措施，避免受污染的降雨径流排入自然水体。受污染的降雨径流应满足现行国家标准《污水排入城镇下水道水质标准》GB/T31962的要求，才能排入市政污水管道。</w:t>
      </w:r>
    </w:p>
    <w:p>
      <w:pPr>
        <w:pStyle w:val="30"/>
        <w:numPr>
          <w:ilvl w:val="0"/>
          <w:numId w:val="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应采取必要的措施防止洪水对城镇排水系统的影响。</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由于全球气候变化，特大暴雨发生频率越来越高，引发洪水灾害频繁，为保障城镇居民生活和工厂企业运行正常，在城镇防洪体系中应采取措施防止洪水对城镇排水系统的影响而造成内涝。措施有设泄洪通道，城镇设圩垸等。</w:t>
      </w:r>
    </w:p>
    <w:p>
      <w:pPr>
        <w:pStyle w:val="30"/>
        <w:wordWrap w:val="0"/>
        <w:spacing w:line="360" w:lineRule="auto"/>
        <w:ind w:firstLine="0" w:firstLineChars="0"/>
        <w:rPr>
          <w:rFonts w:ascii="Times New Roman" w:hAnsi="Times New Roman" w:eastAsiaTheme="minorEastAsia"/>
          <w:color w:val="000000" w:themeColor="text1"/>
          <w:sz w:val="28"/>
          <w:szCs w:val="28"/>
        </w:rPr>
      </w:pPr>
    </w:p>
    <w:p>
      <w:pPr>
        <w:pStyle w:val="3"/>
        <w:numPr>
          <w:ilvl w:val="0"/>
          <w:numId w:val="5"/>
        </w:numPr>
        <w:wordWrap w:val="0"/>
        <w:spacing w:before="0" w:after="0"/>
        <w:jc w:val="center"/>
        <w:rPr>
          <w:rFonts w:ascii="Times New Roman" w:hAnsi="Times New Roman" w:eastAsiaTheme="minorEastAsia"/>
          <w:b w:val="0"/>
          <w:color w:val="000000" w:themeColor="text1"/>
          <w:sz w:val="28"/>
          <w:szCs w:val="28"/>
        </w:rPr>
      </w:pPr>
      <w:bookmarkStart w:id="11" w:name="_Toc515281028"/>
      <w:r>
        <w:rPr>
          <w:rFonts w:ascii="Times New Roman" w:hAnsi="Times New Roman" w:eastAsiaTheme="minorEastAsia"/>
          <w:b w:val="0"/>
          <w:color w:val="000000" w:themeColor="text1"/>
          <w:sz w:val="28"/>
          <w:szCs w:val="28"/>
        </w:rPr>
        <w:t>污水系统</w:t>
      </w:r>
      <w:bookmarkEnd w:id="11"/>
    </w:p>
    <w:p>
      <w:pPr>
        <w:pStyle w:val="30"/>
        <w:numPr>
          <w:ilvl w:val="0"/>
          <w:numId w:val="8"/>
        </w:numPr>
        <w:wordWrap w:val="0"/>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污水系统应包括污水管网、污水和再生水处理与污泥处理处置设施。</w:t>
      </w:r>
    </w:p>
    <w:p>
      <w:pPr>
        <w:pStyle w:val="30"/>
        <w:wordWrap w:val="0"/>
        <w:ind w:firstLine="0" w:firstLineChars="0"/>
        <w:rPr>
          <w:rFonts w:ascii="Times New Roman" w:hAnsi="Times New Roman" w:eastAsiaTheme="minorEastAsia"/>
          <w:color w:val="000000" w:themeColor="text1"/>
          <w:sz w:val="28"/>
          <w:szCs w:val="28"/>
        </w:rPr>
      </w:pPr>
      <w:r>
        <w:rPr>
          <w:rFonts w:hint="eastAsia" w:ascii="Times New Roman" w:hAnsi="Times New Roman" w:eastAsiaTheme="minorEastAsia"/>
          <w:color w:val="000000" w:themeColor="text1"/>
          <w:sz w:val="28"/>
          <w:szCs w:val="28"/>
        </w:rPr>
        <w:t>【条文说明】注重污水的系统性，从只注重污水的提标改造，转变为注重污水管网的收集率、完好率，同时注重泥水同治，妥善处理处置污水污泥。</w:t>
      </w:r>
    </w:p>
    <w:p>
      <w:pPr>
        <w:pStyle w:val="30"/>
        <w:numPr>
          <w:ilvl w:val="0"/>
          <w:numId w:val="8"/>
        </w:numPr>
        <w:wordWrap w:val="0"/>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城镇所有用水过程产生的污水</w:t>
      </w:r>
      <w:r>
        <w:rPr>
          <w:rFonts w:hint="eastAsia" w:ascii="Times New Roman" w:hAnsi="Times New Roman" w:eastAsiaTheme="minorEastAsia"/>
          <w:color w:val="000000" w:themeColor="text1"/>
          <w:sz w:val="28"/>
          <w:szCs w:val="28"/>
        </w:rPr>
        <w:t>和</w:t>
      </w:r>
      <w:r>
        <w:rPr>
          <w:rFonts w:ascii="Times New Roman" w:hAnsi="Times New Roman" w:eastAsiaTheme="minorEastAsia"/>
          <w:color w:val="000000" w:themeColor="text1"/>
          <w:sz w:val="28"/>
          <w:szCs w:val="28"/>
        </w:rPr>
        <w:t>受污染的降雨径流应纳入污水系统。配套管网应同步建设和同步投运，实现厂网一体化建设和运行。</w:t>
      </w:r>
    </w:p>
    <w:p>
      <w:pPr>
        <w:pStyle w:val="30"/>
        <w:wordWrap w:val="0"/>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径流污染控制是海绵城市建设考核的重要内容之一，和黑臭水体改造息息相关。污水系统的规划和建设应与海绵城市建设中径流污染控制的目标和要求接轨，将受污染的降雨径流，即截流雨水量的输送和处理纳入其中。此外，只有实现管网和污水厂的一体化，厂网同步建设同步运行才能确保污染治理达到预期的目标。</w:t>
      </w:r>
    </w:p>
    <w:p>
      <w:pPr>
        <w:pStyle w:val="30"/>
        <w:numPr>
          <w:ilvl w:val="0"/>
          <w:numId w:val="8"/>
        </w:numPr>
        <w:wordWrap w:val="0"/>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排入城镇污水管网的污水水质必须符合国家现行标准的规定。工业企业应向园区集中，工业园区的污、废水应优先考虑单独收集处理后达标排放。</w:t>
      </w:r>
    </w:p>
    <w:p>
      <w:pPr>
        <w:pStyle w:val="30"/>
        <w:wordWrap w:val="0"/>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部分工业废水中含有不可降解或者有毒有害的有机物和重金属，而市政污水厂的工艺流程对这些污染物的去除能力极其有限，在普遍提高市政污水厂处理标准的背景之下，工业废水即使达到纳管标准，</w:t>
      </w:r>
      <w:r>
        <w:rPr>
          <w:rFonts w:hint="eastAsia" w:ascii="Times New Roman" w:hAnsi="Times New Roman" w:eastAsiaTheme="minorEastAsia"/>
          <w:color w:val="000000" w:themeColor="text1"/>
          <w:sz w:val="28"/>
          <w:szCs w:val="28"/>
        </w:rPr>
        <w:t>也</w:t>
      </w:r>
      <w:r>
        <w:rPr>
          <w:rFonts w:ascii="Times New Roman" w:hAnsi="Times New Roman" w:eastAsiaTheme="minorEastAsia"/>
          <w:color w:val="000000" w:themeColor="text1"/>
          <w:sz w:val="28"/>
          <w:szCs w:val="28"/>
        </w:rPr>
        <w:t>会给市政污水厂的正常运行和达标排放带来困难。而且工业废水带入的有毒有害污染物富集在污水污泥中还会限制污泥处理处置的途径，令污泥无法回用土地，不利于污泥的资源化利用，因此本标准规定，工业企业应向园区集中，单独收集其排放的污、废水，单独处理，单独排放。当不具备单独处理的条件，需要向城镇污水集中处理设施排放工业废水时，必须符合现行的《污水综合排放标准》GB 8978、《污水排入城市下水道水质标准》CJ 3082等有关标准的规定。从全局着眼，工业企业有责任根据本企业废水水质进行预处理，使工业废水接入城镇排水系统后，对城镇排水管渠不阻塞，不损坏，不产生易燃、易爆和有毒有害气体，不传播致病菌和病原体，不危害操作养护人员，不妨碍污水的生物处理，不影响处理后出水的再生利用和安全排放，不影响污泥的处理和处置。</w:t>
      </w:r>
    </w:p>
    <w:p>
      <w:pPr>
        <w:pStyle w:val="30"/>
        <w:numPr>
          <w:ilvl w:val="0"/>
          <w:numId w:val="8"/>
        </w:numPr>
        <w:wordWrap w:val="0"/>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应</w:t>
      </w:r>
      <w:r>
        <w:rPr>
          <w:rFonts w:hint="eastAsia" w:ascii="Times New Roman" w:hAnsi="Times New Roman" w:eastAsiaTheme="minorEastAsia"/>
          <w:color w:val="000000" w:themeColor="text1"/>
          <w:sz w:val="28"/>
          <w:szCs w:val="28"/>
        </w:rPr>
        <w:t>有</w:t>
      </w:r>
      <w:r>
        <w:rPr>
          <w:rFonts w:ascii="Times New Roman" w:hAnsi="Times New Roman" w:eastAsiaTheme="minorEastAsia"/>
          <w:color w:val="000000" w:themeColor="text1"/>
          <w:sz w:val="28"/>
          <w:szCs w:val="28"/>
        </w:rPr>
        <w:t>防止外来水进入污水系统</w:t>
      </w:r>
      <w:r>
        <w:rPr>
          <w:rFonts w:hint="eastAsia" w:ascii="Times New Roman" w:hAnsi="Times New Roman" w:eastAsiaTheme="minorEastAsia"/>
          <w:color w:val="000000" w:themeColor="text1"/>
          <w:sz w:val="28"/>
          <w:szCs w:val="28"/>
        </w:rPr>
        <w:t>的措施</w:t>
      </w:r>
      <w:r>
        <w:rPr>
          <w:rFonts w:ascii="Times New Roman" w:hAnsi="Times New Roman" w:eastAsiaTheme="minorEastAsia"/>
          <w:color w:val="000000" w:themeColor="text1"/>
          <w:sz w:val="28"/>
          <w:szCs w:val="28"/>
        </w:rPr>
        <w:t>。</w:t>
      </w:r>
    </w:p>
    <w:p>
      <w:pPr>
        <w:pStyle w:val="30"/>
        <w:wordWrap w:val="0"/>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【条文说明】外来水是指从管渠或检查井缝隙渗漏进管道的地下水或河水、从雨污混接点进入管渠的雨水等，这是造成污水厂进水水质低、污水量大且污水处理设施效率低下的主要问题。</w:t>
      </w:r>
    </w:p>
    <w:p>
      <w:pPr>
        <w:pStyle w:val="30"/>
        <w:numPr>
          <w:ilvl w:val="0"/>
          <w:numId w:val="8"/>
        </w:numPr>
        <w:wordWrap w:val="0"/>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污水处理应根据国家排放标准、污水水质特征、处理后出水用途等科学确定污水处理程度，合理选择处理工艺。</w:t>
      </w:r>
    </w:p>
    <w:p>
      <w:pPr>
        <w:pStyle w:val="30"/>
        <w:numPr>
          <w:ilvl w:val="0"/>
          <w:numId w:val="8"/>
        </w:numPr>
        <w:wordWrap w:val="0"/>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污水处理中排放的水、泥、气和声应符合国家现行标准的规定。</w:t>
      </w:r>
    </w:p>
    <w:p>
      <w:pPr>
        <w:pStyle w:val="30"/>
        <w:numPr>
          <w:ilvl w:val="0"/>
          <w:numId w:val="8"/>
        </w:numPr>
        <w:wordWrap w:val="0"/>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城镇污水厂应同步建设污泥处理处置设施，应进行减量化、稳定化和无害化处理，在保证安全、环保和经济的前提下，实现污泥的能源和资源利用。</w:t>
      </w:r>
    </w:p>
    <w:p>
      <w:pPr>
        <w:wordWrap w:val="0"/>
        <w:rPr>
          <w:rFonts w:eastAsiaTheme="minorEastAsia"/>
          <w:color w:val="000000" w:themeColor="text1"/>
          <w:sz w:val="28"/>
          <w:szCs w:val="28"/>
        </w:rPr>
      </w:pPr>
      <w:r>
        <w:rPr>
          <w:rFonts w:eastAsiaTheme="minorEastAsia"/>
          <w:color w:val="000000" w:themeColor="text1"/>
          <w:sz w:val="28"/>
          <w:szCs w:val="28"/>
        </w:rPr>
        <w:t>【条文说明】我国幅员辽阔，地区经济条件、环境条件差异很大，因此采用的污泥处理处置技术也存在很大的差异，但是城镇污水污泥处理和处置的基本原则和目的是一致的。</w:t>
      </w:r>
    </w:p>
    <w:p>
      <w:pPr>
        <w:pStyle w:val="30"/>
        <w:wordWrap w:val="0"/>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城镇污水污泥的减量化处理包括使污泥的体积减小和污泥的质量减少，前者可采用污泥浓缩、脱水、干化等技术，后者可采用污泥消化、污泥焚烧等技术。</w:t>
      </w:r>
    </w:p>
    <w:p>
      <w:pPr>
        <w:pStyle w:val="30"/>
        <w:wordWrap w:val="0"/>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城镇污水污泥的稳定化处理是指使污泥得到稳定（不易腐败），以利于对污泥做进一步处理和利用。可以达到或部分达到减轻污泥重量，减少污泥体积，产生污泥气（沼气）、回收资源，改善污泥脱水性能，减少致病菌数量，降低污泥臭味等目的。实现污泥稳定可采用厌氧消化、好氧消化、污泥堆肥、加热干化、焚烧等技术。污泥稳定化处理应达到《城镇污水处理厂污泥处理 稳定标准》CJ/T 510的要求。</w:t>
      </w:r>
    </w:p>
    <w:p>
      <w:pPr>
        <w:pStyle w:val="30"/>
        <w:wordWrap w:val="0"/>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城镇污水污泥的无害化处理是指减少污泥中的致病菌和寄生虫卵数量、重金属和挥发性有机物含量，降低污泥臭味，广义的无害化处理还包括污泥稳定。</w:t>
      </w:r>
    </w:p>
    <w:p>
      <w:pPr>
        <w:pStyle w:val="30"/>
        <w:wordWrap w:val="0"/>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污泥处置应逐步提高污泥的资源化程度，变废为宝，例如用作营养土、燃料和建材等，做到污泥处理和处置的可持续发展。</w:t>
      </w:r>
    </w:p>
    <w:p>
      <w:pPr>
        <w:pStyle w:val="30"/>
        <w:wordWrap w:val="0"/>
        <w:ind w:firstLine="0" w:firstLineChars="0"/>
        <w:rPr>
          <w:rFonts w:ascii="Times New Roman" w:hAnsi="Times New Roman" w:eastAsiaTheme="minorEastAsia"/>
          <w:color w:val="000000" w:themeColor="text1"/>
          <w:sz w:val="28"/>
          <w:szCs w:val="28"/>
        </w:rPr>
      </w:pPr>
    </w:p>
    <w:p>
      <w:pPr>
        <w:pStyle w:val="3"/>
        <w:numPr>
          <w:ilvl w:val="0"/>
          <w:numId w:val="5"/>
        </w:numPr>
        <w:wordWrap w:val="0"/>
        <w:spacing w:before="0" w:after="0"/>
        <w:jc w:val="center"/>
        <w:rPr>
          <w:rFonts w:ascii="Times New Roman" w:hAnsi="Times New Roman" w:eastAsiaTheme="minorEastAsia"/>
          <w:b w:val="0"/>
          <w:color w:val="000000" w:themeColor="text1"/>
          <w:sz w:val="28"/>
          <w:szCs w:val="28"/>
        </w:rPr>
      </w:pPr>
      <w:bookmarkStart w:id="12" w:name="_Toc515281029"/>
      <w:r>
        <w:rPr>
          <w:rFonts w:ascii="Times New Roman" w:hAnsi="Times New Roman" w:eastAsiaTheme="minorEastAsia"/>
          <w:b w:val="0"/>
          <w:color w:val="000000" w:themeColor="text1"/>
          <w:sz w:val="28"/>
          <w:szCs w:val="28"/>
        </w:rPr>
        <w:t>再生水系统</w:t>
      </w:r>
      <w:bookmarkEnd w:id="12"/>
    </w:p>
    <w:p>
      <w:pPr>
        <w:pStyle w:val="30"/>
        <w:numPr>
          <w:ilvl w:val="0"/>
          <w:numId w:val="9"/>
        </w:numPr>
        <w:wordWrap w:val="0"/>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再生水系统应包括再生水处理和输配水系统。</w:t>
      </w:r>
    </w:p>
    <w:p>
      <w:pPr>
        <w:pStyle w:val="30"/>
        <w:numPr>
          <w:ilvl w:val="0"/>
          <w:numId w:val="9"/>
        </w:numPr>
        <w:wordWrap w:val="0"/>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应根据再生水规划、国家现行标准和再生利用的规定，确定再生水处理目标。</w:t>
      </w:r>
    </w:p>
    <w:p>
      <w:pPr>
        <w:pStyle w:val="30"/>
        <w:numPr>
          <w:ilvl w:val="0"/>
          <w:numId w:val="9"/>
        </w:numPr>
        <w:wordWrap w:val="0"/>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再生水管道系统严禁与饮用水管道系统、自备水源供水系统连接。</w:t>
      </w:r>
    </w:p>
    <w:p>
      <w:pPr>
        <w:wordWrap w:val="0"/>
        <w:jc w:val="left"/>
        <w:rPr>
          <w:rFonts w:eastAsiaTheme="minorEastAsia"/>
          <w:b/>
          <w:color w:val="000000" w:themeColor="text1"/>
          <w:spacing w:val="8"/>
          <w:kern w:val="0"/>
          <w:sz w:val="28"/>
          <w:szCs w:val="28"/>
        </w:rPr>
      </w:pPr>
      <w:r>
        <w:rPr>
          <w:rFonts w:eastAsiaTheme="minorEastAsia"/>
          <w:color w:val="000000" w:themeColor="text1"/>
          <w:sz w:val="28"/>
          <w:szCs w:val="28"/>
        </w:rPr>
        <w:t>【条文说明】再生水水质是保证污水回用工程安全运行的重要基础，其水质介于饮用水和城镇污水厂出厂水之间，为避免对饮用水和再生水水质的影响，再生水输配管道不得与其他管道相连接，尤其是严禁与城市饮用水管道连接。</w:t>
      </w:r>
      <w:r>
        <w:rPr>
          <w:rFonts w:eastAsiaTheme="minorEastAsia"/>
          <w:color w:val="000000" w:themeColor="text1"/>
          <w:sz w:val="28"/>
          <w:szCs w:val="28"/>
        </w:rPr>
        <w:br w:type="page"/>
      </w:r>
    </w:p>
    <w:p>
      <w:pPr>
        <w:pStyle w:val="2"/>
        <w:wordWrap w:val="0"/>
        <w:spacing w:before="312" w:after="312"/>
        <w:rPr>
          <w:sz w:val="28"/>
          <w:szCs w:val="28"/>
        </w:rPr>
      </w:pPr>
      <w:bookmarkStart w:id="13" w:name="_Toc515281030"/>
      <w:r>
        <w:rPr>
          <w:sz w:val="28"/>
          <w:szCs w:val="28"/>
        </w:rPr>
        <w:t>4 设计流量和设计水质</w:t>
      </w:r>
      <w:bookmarkEnd w:id="13"/>
    </w:p>
    <w:p>
      <w:pPr>
        <w:pStyle w:val="3"/>
        <w:numPr>
          <w:ilvl w:val="0"/>
          <w:numId w:val="10"/>
        </w:numPr>
        <w:wordWrap w:val="0"/>
        <w:spacing w:before="312" w:beforeLines="100" w:after="312" w:afterLines="100" w:line="415" w:lineRule="auto"/>
        <w:ind w:left="560" w:hanging="560" w:hangingChars="200"/>
        <w:jc w:val="center"/>
        <w:rPr>
          <w:rFonts w:ascii="Times New Roman" w:hAnsi="Times New Roman" w:eastAsiaTheme="minorEastAsia"/>
          <w:b w:val="0"/>
          <w:color w:val="000000" w:themeColor="text1"/>
          <w:sz w:val="28"/>
          <w:szCs w:val="28"/>
        </w:rPr>
      </w:pPr>
      <w:bookmarkStart w:id="14" w:name="_Toc515281031"/>
      <w:r>
        <w:rPr>
          <w:rFonts w:ascii="Times New Roman" w:hAnsi="Times New Roman" w:eastAsiaTheme="minorEastAsia"/>
          <w:b w:val="0"/>
          <w:color w:val="000000" w:themeColor="text1"/>
          <w:sz w:val="28"/>
          <w:szCs w:val="28"/>
        </w:rPr>
        <w:t>设计流量</w:t>
      </w:r>
      <w:bookmarkEnd w:id="14"/>
    </w:p>
    <w:p>
      <w:pPr>
        <w:pStyle w:val="30"/>
        <w:widowControl/>
        <w:wordWrap w:val="0"/>
        <w:ind w:left="420" w:firstLine="0" w:firstLineChars="0"/>
        <w:jc w:val="center"/>
        <w:rPr>
          <w:rFonts w:eastAsiaTheme="minorEastAsia"/>
          <w:color w:val="000000" w:themeColor="text1"/>
          <w:sz w:val="28"/>
          <w:szCs w:val="28"/>
        </w:rPr>
      </w:pPr>
      <w:r>
        <w:rPr>
          <w:rFonts w:ascii="Times New Roman" w:hAnsi="Times New Roman" w:eastAsiaTheme="minorEastAsia"/>
          <w:color w:val="000000" w:themeColor="text1"/>
          <w:sz w:val="28"/>
          <w:szCs w:val="28"/>
        </w:rPr>
        <w:fldChar w:fldCharType="begin"/>
      </w:r>
      <w:r>
        <w:rPr>
          <w:rFonts w:ascii="Times New Roman" w:hAnsi="Times New Roman" w:eastAsiaTheme="minorEastAsia"/>
          <w:color w:val="000000" w:themeColor="text1"/>
          <w:sz w:val="28"/>
          <w:szCs w:val="28"/>
        </w:rPr>
        <w:instrText xml:space="preserve"> = 1 \* ROMAN </w:instrText>
      </w:r>
      <w:r>
        <w:rPr>
          <w:rFonts w:ascii="Times New Roman" w:hAnsi="Times New Roman" w:eastAsiaTheme="minorEastAsia"/>
          <w:color w:val="000000" w:themeColor="text1"/>
          <w:sz w:val="28"/>
          <w:szCs w:val="28"/>
        </w:rPr>
        <w:fldChar w:fldCharType="separate"/>
      </w:r>
      <w:r>
        <w:rPr>
          <w:rFonts w:ascii="Times New Roman" w:hAnsi="Times New Roman" w:eastAsiaTheme="minorEastAsia"/>
          <w:color w:val="000000" w:themeColor="text1"/>
          <w:sz w:val="28"/>
          <w:szCs w:val="28"/>
        </w:rPr>
        <w:t>I</w:t>
      </w:r>
      <w:r>
        <w:rPr>
          <w:rFonts w:ascii="Times New Roman" w:hAnsi="Times New Roman" w:eastAsiaTheme="minorEastAsia"/>
          <w:color w:val="000000" w:themeColor="text1"/>
          <w:sz w:val="28"/>
          <w:szCs w:val="28"/>
        </w:rPr>
        <w:fldChar w:fldCharType="end"/>
      </w:r>
      <w:r>
        <w:rPr>
          <w:rFonts w:hint="eastAsia" w:eastAsiaTheme="minorEastAsia"/>
          <w:color w:val="000000" w:themeColor="text1"/>
          <w:sz w:val="28"/>
          <w:szCs w:val="28"/>
        </w:rPr>
        <w:t>雨水量</w:t>
      </w:r>
    </w:p>
    <w:p>
      <w:pPr>
        <w:rPr>
          <w:rFonts w:eastAsiaTheme="minorEastAsia"/>
        </w:rPr>
      </w:pP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bookmarkStart w:id="15" w:name="OLE_LINK8"/>
      <w:bookmarkStart w:id="16" w:name="OLE_LINK7"/>
      <w:r>
        <w:rPr>
          <w:rFonts w:ascii="Times New Roman" w:hAnsi="Times New Roman" w:eastAsiaTheme="minorEastAsia"/>
          <w:color w:val="000000" w:themeColor="text1"/>
          <w:sz w:val="28"/>
          <w:szCs w:val="28"/>
        </w:rPr>
        <w:t>采用推理公式法时，雨水设计流量应按下式计算</w:t>
      </w:r>
      <w:r>
        <w:rPr>
          <w:rFonts w:hint="eastAsia" w:ascii="Times New Roman" w:hAnsi="Times New Roman" w:eastAsiaTheme="minorEastAsia"/>
          <w:color w:val="000000" w:themeColor="text1"/>
          <w:sz w:val="28"/>
          <w:szCs w:val="28"/>
        </w:rPr>
        <w:t>。</w:t>
      </w:r>
      <w:r>
        <w:rPr>
          <w:rFonts w:ascii="Times New Roman" w:hAnsi="Times New Roman" w:eastAsiaTheme="minorEastAsia"/>
          <w:color w:val="000000" w:themeColor="text1"/>
          <w:sz w:val="28"/>
          <w:szCs w:val="28"/>
        </w:rPr>
        <w:t>当汇水面积大于2km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时，应考虑区域降雨和地面渗透性能的时空分布的不均匀性和管网汇流过程等因素，采用数学模型法确定雨水设计流量；并应校核内涝防治设计重现期下地面的积水深度等要素。</w:t>
      </w:r>
    </w:p>
    <w:p>
      <w:pPr>
        <w:wordWrap w:val="0"/>
        <w:spacing w:line="480" w:lineRule="atLeast"/>
        <w:ind w:left="1615" w:firstLine="510"/>
        <w:jc w:val="right"/>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s</w:t>
      </w:r>
      <w:r>
        <w:rPr>
          <w:rFonts w:eastAsiaTheme="minorEastAsia"/>
          <w:color w:val="000000" w:themeColor="text1"/>
          <w:sz w:val="28"/>
          <w:szCs w:val="28"/>
        </w:rPr>
        <w:t>=</w:t>
      </w:r>
      <w:r>
        <w:rPr>
          <w:rFonts w:eastAsiaTheme="minorEastAsia"/>
          <w:i/>
          <w:color w:val="000000" w:themeColor="text1"/>
          <w:sz w:val="28"/>
          <w:szCs w:val="28"/>
        </w:rPr>
        <w:t>qΨF</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(4.1.1)</w:t>
      </w:r>
    </w:p>
    <w:p>
      <w:pPr>
        <w:wordWrap w:val="0"/>
        <w:spacing w:line="480" w:lineRule="atLeast"/>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Q</w:t>
      </w:r>
      <w:r>
        <w:rPr>
          <w:rFonts w:eastAsiaTheme="minorEastAsia"/>
          <w:color w:val="000000" w:themeColor="text1"/>
          <w:sz w:val="28"/>
          <w:szCs w:val="28"/>
          <w:vertAlign w:val="subscript"/>
        </w:rPr>
        <w:t>s</w:t>
      </w:r>
      <w:r>
        <w:rPr>
          <w:rFonts w:eastAsiaTheme="minorEastAsia"/>
          <w:color w:val="000000" w:themeColor="text1"/>
          <w:sz w:val="28"/>
          <w:szCs w:val="28"/>
        </w:rPr>
        <w:t>——雨水设计流量（L/s）；</w:t>
      </w:r>
    </w:p>
    <w:p>
      <w:pPr>
        <w:wordWrap w:val="0"/>
        <w:spacing w:line="480" w:lineRule="atLeast"/>
        <w:ind w:firstLine="848" w:firstLineChars="303"/>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设计暴雨强度[L/(s·hm</w:t>
      </w:r>
      <w:r>
        <w:rPr>
          <w:rFonts w:eastAsiaTheme="minorEastAsia"/>
          <w:color w:val="000000" w:themeColor="text1"/>
          <w:sz w:val="28"/>
          <w:szCs w:val="28"/>
          <w:vertAlign w:val="superscript"/>
        </w:rPr>
        <w:t>2</w:t>
      </w:r>
      <w:r>
        <w:rPr>
          <w:rFonts w:eastAsiaTheme="minorEastAsia"/>
          <w:color w:val="000000" w:themeColor="text1"/>
          <w:sz w:val="28"/>
          <w:szCs w:val="28"/>
        </w:rPr>
        <w:t>)]；</w:t>
      </w:r>
    </w:p>
    <w:p>
      <w:pPr>
        <w:wordWrap w:val="0"/>
        <w:spacing w:line="480" w:lineRule="atLeast"/>
        <w:ind w:firstLine="848" w:firstLineChars="303"/>
        <w:rPr>
          <w:rFonts w:eastAsiaTheme="minorEastAsia"/>
          <w:color w:val="000000" w:themeColor="text1"/>
          <w:sz w:val="28"/>
          <w:szCs w:val="28"/>
        </w:rPr>
      </w:pPr>
      <w:r>
        <w:rPr>
          <w:rFonts w:eastAsiaTheme="minorEastAsia"/>
          <w:i/>
          <w:color w:val="000000" w:themeColor="text1"/>
          <w:sz w:val="28"/>
          <w:szCs w:val="28"/>
        </w:rPr>
        <w:t>Ψ——</w:t>
      </w:r>
      <w:r>
        <w:rPr>
          <w:rFonts w:eastAsiaTheme="minorEastAsia"/>
          <w:color w:val="000000" w:themeColor="text1"/>
          <w:sz w:val="28"/>
          <w:szCs w:val="28"/>
        </w:rPr>
        <w:t>径流系数；</w:t>
      </w:r>
    </w:p>
    <w:p>
      <w:pPr>
        <w:wordWrap w:val="0"/>
        <w:spacing w:line="480" w:lineRule="atLeast"/>
        <w:ind w:firstLine="848" w:firstLineChars="303"/>
        <w:rPr>
          <w:rFonts w:eastAsiaTheme="minorEastAsia"/>
          <w:color w:val="000000" w:themeColor="text1"/>
          <w:sz w:val="28"/>
          <w:szCs w:val="28"/>
        </w:rPr>
      </w:pPr>
      <w:r>
        <w:rPr>
          <w:rFonts w:eastAsiaTheme="minorEastAsia"/>
          <w:i/>
          <w:color w:val="000000" w:themeColor="text1"/>
          <w:sz w:val="28"/>
          <w:szCs w:val="28"/>
        </w:rPr>
        <w:t>F——</w:t>
      </w:r>
      <w:r>
        <w:rPr>
          <w:rFonts w:eastAsiaTheme="minorEastAsia"/>
          <w:color w:val="000000" w:themeColor="text1"/>
          <w:sz w:val="28"/>
          <w:szCs w:val="28"/>
        </w:rPr>
        <w:t>汇水面积（hm</w:t>
      </w:r>
      <w:r>
        <w:rPr>
          <w:rFonts w:eastAsiaTheme="minorEastAsia"/>
          <w:color w:val="000000" w:themeColor="text1"/>
          <w:sz w:val="28"/>
          <w:szCs w:val="28"/>
          <w:vertAlign w:val="superscript"/>
        </w:rPr>
        <w:t>2</w:t>
      </w:r>
      <w:r>
        <w:rPr>
          <w:rFonts w:eastAsiaTheme="minorEastAsia"/>
          <w:color w:val="000000" w:themeColor="text1"/>
          <w:sz w:val="28"/>
          <w:szCs w:val="28"/>
        </w:rPr>
        <w:t>）。</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我国目前采用恒定均匀流推理公式，即用式（4.1.1）计算雨水设计流量。恒定均匀流推理公式基于以下假设：降雨在整个汇水面积上的分布是均匀的；降雨强度在选定的降雨时段内均匀不变；汇水面积随集流时间增长的速度为常数，因此推理公式适用于较小规模排水系统的计算，当应用于较大规模排水系统的计算时会产生较大误差。随着技术的进步，管渠直径的放大、水泵能力的提高，排水系统汇水流域面积逐步扩大应该修正推理公式的精确度。发达国家已采用数学模型模拟降雨过程，把排水管渠作为一个系统考虑，并用数学模型对管网进行管理。美国一些城市规定的推理公式适用范围分别为：奥斯汀4km</w:t>
      </w:r>
      <w:r>
        <w:rPr>
          <w:rFonts w:eastAsiaTheme="minorEastAsia"/>
          <w:color w:val="000000" w:themeColor="text1"/>
          <w:sz w:val="28"/>
          <w:szCs w:val="28"/>
          <w:vertAlign w:val="superscript"/>
        </w:rPr>
        <w:t>2</w:t>
      </w:r>
      <w:r>
        <w:rPr>
          <w:rFonts w:eastAsiaTheme="minorEastAsia"/>
          <w:color w:val="000000" w:themeColor="text1"/>
          <w:sz w:val="28"/>
          <w:szCs w:val="28"/>
        </w:rPr>
        <w:t>，芝加哥0.8km</w:t>
      </w:r>
      <w:r>
        <w:rPr>
          <w:rFonts w:eastAsiaTheme="minorEastAsia"/>
          <w:color w:val="000000" w:themeColor="text1"/>
          <w:sz w:val="28"/>
          <w:szCs w:val="28"/>
          <w:vertAlign w:val="superscript"/>
        </w:rPr>
        <w:t>2</w:t>
      </w:r>
      <w:r>
        <w:rPr>
          <w:rFonts w:eastAsiaTheme="minorEastAsia"/>
          <w:color w:val="000000" w:themeColor="text1"/>
          <w:sz w:val="28"/>
          <w:szCs w:val="28"/>
        </w:rPr>
        <w:t>，纽约1.6km</w:t>
      </w:r>
      <w:r>
        <w:rPr>
          <w:rFonts w:eastAsiaTheme="minorEastAsia"/>
          <w:color w:val="000000" w:themeColor="text1"/>
          <w:sz w:val="28"/>
          <w:szCs w:val="28"/>
          <w:vertAlign w:val="superscript"/>
        </w:rPr>
        <w:t>2</w:t>
      </w:r>
      <w:r>
        <w:rPr>
          <w:rFonts w:eastAsiaTheme="minorEastAsia"/>
          <w:color w:val="000000" w:themeColor="text1"/>
          <w:sz w:val="28"/>
          <w:szCs w:val="28"/>
        </w:rPr>
        <w:t>，丹佛6.4km</w:t>
      </w:r>
      <w:r>
        <w:rPr>
          <w:rFonts w:eastAsiaTheme="minorEastAsia"/>
          <w:color w:val="000000" w:themeColor="text1"/>
          <w:sz w:val="28"/>
          <w:szCs w:val="28"/>
          <w:vertAlign w:val="superscript"/>
        </w:rPr>
        <w:t>2</w:t>
      </w:r>
      <w:r>
        <w:rPr>
          <w:rFonts w:eastAsiaTheme="minorEastAsia"/>
          <w:color w:val="000000" w:themeColor="text1"/>
          <w:sz w:val="28"/>
          <w:szCs w:val="28"/>
        </w:rPr>
        <w:t>且汇流时间小于10min；欧盟的排水设计规范要求当排水系统面积大于2km</w:t>
      </w:r>
      <w:r>
        <w:rPr>
          <w:rFonts w:eastAsiaTheme="minorEastAsia"/>
          <w:color w:val="000000" w:themeColor="text1"/>
          <w:sz w:val="28"/>
          <w:szCs w:val="28"/>
          <w:vertAlign w:val="superscript"/>
        </w:rPr>
        <w:t>2</w:t>
      </w:r>
      <w:r>
        <w:rPr>
          <w:rFonts w:eastAsiaTheme="minorEastAsia"/>
          <w:color w:val="000000" w:themeColor="text1"/>
          <w:sz w:val="28"/>
          <w:szCs w:val="28"/>
        </w:rPr>
        <w:t>或汇流时间大于15min时，应采用非恒定流模拟进行城市雨水管网水力计算。在总结国内外资料的基础上，本标准提出当汇水面积超过2km</w:t>
      </w:r>
      <w:r>
        <w:rPr>
          <w:rFonts w:eastAsiaTheme="minorEastAsia"/>
          <w:color w:val="000000" w:themeColor="text1"/>
          <w:sz w:val="28"/>
          <w:szCs w:val="28"/>
          <w:vertAlign w:val="superscript"/>
        </w:rPr>
        <w:t>2</w:t>
      </w:r>
      <w:r>
        <w:rPr>
          <w:rFonts w:eastAsiaTheme="minorEastAsia"/>
          <w:color w:val="000000" w:themeColor="text1"/>
          <w:sz w:val="28"/>
          <w:szCs w:val="28"/>
        </w:rPr>
        <w:t>时，雨水设计流量宜采用数学模型进行确定。</w:t>
      </w:r>
    </w:p>
    <w:p>
      <w:pPr>
        <w:wordWrap w:val="0"/>
        <w:ind w:firstLine="570"/>
        <w:rPr>
          <w:rFonts w:eastAsiaTheme="minorEastAsia"/>
          <w:color w:val="000000" w:themeColor="text1"/>
          <w:sz w:val="28"/>
          <w:szCs w:val="28"/>
        </w:rPr>
      </w:pPr>
      <w:r>
        <w:rPr>
          <w:rFonts w:eastAsiaTheme="minorEastAsia"/>
          <w:color w:val="000000" w:themeColor="text1"/>
          <w:sz w:val="28"/>
          <w:szCs w:val="28"/>
        </w:rPr>
        <w:t>排水工程设计常用的数学模型一般由降雨模型、产流模型、汇流模型、管网水动力模型等一系列模型组成，涵盖了排水系统的多个环节。数学模型可以考虑同一降雨事件中降雨强度在不同时间和空间的分布情况，因而可以更加准确地反映地表径流的产生过程和径流流量，也便于与后续的管网水动力学模型衔接。</w:t>
      </w:r>
    </w:p>
    <w:p>
      <w:pPr>
        <w:wordWrap w:val="0"/>
        <w:ind w:firstLine="560"/>
        <w:rPr>
          <w:rFonts w:eastAsiaTheme="minorEastAsia"/>
          <w:color w:val="000000" w:themeColor="text1"/>
          <w:sz w:val="28"/>
          <w:szCs w:val="28"/>
        </w:rPr>
      </w:pPr>
      <w:r>
        <w:rPr>
          <w:rFonts w:eastAsiaTheme="minorEastAsia"/>
          <w:color w:val="000000" w:themeColor="text1"/>
          <w:sz w:val="28"/>
          <w:szCs w:val="28"/>
        </w:rPr>
        <w:t>数学模型中用到的设计暴雨资料包括设计暴雨量和设计暴雨过程，即雨型。设计暴雨量可按城市暴雨强度公式计算，设计暴雨过程可按以下三种方法确定：</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1）设计暴雨统计模型。结合编制城市暴雨强度公式的采样过程，收集降雨过程资料和雨峰位置，根据常用重现期部分的降雨资料，采用统计分析方法确定设计降雨过程。</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2）芝加哥降雨模型。根据自记雨量资料统计分析城市暴雨强度公式，同时采集雨峰位置系数，雨峰位置系数取值为降雨雨峰位置除以降雨总历时。</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3）当地政府认可的降雨模型。采用当地水</w:t>
      </w:r>
      <w:r>
        <w:rPr>
          <w:rFonts w:hint="eastAsia" w:eastAsiaTheme="minorEastAsia"/>
          <w:color w:val="000000" w:themeColor="text1"/>
          <w:sz w:val="28"/>
          <w:szCs w:val="28"/>
        </w:rPr>
        <w:t>务</w:t>
      </w:r>
      <w:r>
        <w:rPr>
          <w:rFonts w:eastAsiaTheme="minorEastAsia"/>
          <w:color w:val="000000" w:themeColor="text1"/>
          <w:sz w:val="28"/>
          <w:szCs w:val="28"/>
        </w:rPr>
        <w:t>部门推荐的设计降雨雨型资料，必要时需做适当修正，并摈弃超过24h的长历时降雨。</w:t>
      </w:r>
    </w:p>
    <w:p>
      <w:pPr>
        <w:wordWrap w:val="0"/>
        <w:ind w:firstLine="570"/>
        <w:rPr>
          <w:rFonts w:eastAsiaTheme="minorEastAsia"/>
          <w:color w:val="000000" w:themeColor="text1"/>
          <w:sz w:val="28"/>
          <w:szCs w:val="28"/>
        </w:rPr>
      </w:pPr>
      <w:r>
        <w:rPr>
          <w:rFonts w:eastAsiaTheme="minorEastAsia"/>
          <w:color w:val="000000" w:themeColor="text1"/>
          <w:sz w:val="28"/>
          <w:szCs w:val="28"/>
        </w:rPr>
        <w:t>排水工程设计常用的产、汇流计算方法包括扣损法、径流系数法和单位线法（Unit Hydrograph）等。扣损法是参考径流形成的物理过程，扣除集水区蒸发、植被截留、低洼地面积蓄和土壤下渗等损失之后所形成径流过程的计算方法。降雨强度和下渗在地面径流的产生过程中具有决定性的作用，而低洼地面积蓄量和蒸发量一般较小，因此在城市暴雨计算中常常被忽略。Horton模型或Green-Ampt模型常被用来描述土壤下渗能力随时间变化的过程。当缺乏详细的土壤下渗系数等资料，或模拟城镇建筑较密集的地区时，可以将汇水面积划分成多个片区，采用径流系数法，即式（4.1.1）计算每个片区产生的径流，然后运用数学模型模拟地面漫流和雨水在管道的流动，以每个管段的最大峰值流量作为设计雨水量。单位线是指单位时段内均匀分布的单位净雨量在流域出口断面形成的地面径流过程线，利用单位线推求汇流过程线的方法称为单位线法。单位线可根据出流断面的实测流量通过倍比、叠加等数学方法生成，也可以通过解析公式如线性水库模型来获得。目前，单位线法在我国排水工程设计中应用较少。</w:t>
      </w:r>
    </w:p>
    <w:p>
      <w:pPr>
        <w:wordWrap w:val="0"/>
        <w:ind w:firstLine="570"/>
        <w:rPr>
          <w:rFonts w:eastAsiaTheme="minorEastAsia"/>
          <w:color w:val="000000" w:themeColor="text1"/>
          <w:sz w:val="28"/>
          <w:szCs w:val="28"/>
        </w:rPr>
      </w:pPr>
      <w:r>
        <w:rPr>
          <w:rFonts w:eastAsiaTheme="minorEastAsia"/>
          <w:color w:val="000000" w:themeColor="text1"/>
          <w:sz w:val="28"/>
          <w:szCs w:val="28"/>
        </w:rPr>
        <w:t>采用数学模型进行排水系统设计时，除应按本标准执行外，还应满足当地的地方设计标准，应对模型的适用条件和假定参数做详细分析和评估。当建立管道系统的数学模型时，应对系统的平面布置、管径和标高等参数进行核实，并运用实测资料对模型进行校正。</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综合径流系数应严格执行规划确定的控制，并应符合下列规定：</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综合径流系数高于0.7的地区应采用渗透、调蓄等措施；</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径流系数，可按本标准表4.1.2-1的规定取值；</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3</w:t>
      </w:r>
      <w:r>
        <w:rPr>
          <w:rFonts w:ascii="Times New Roman" w:hAnsi="Times New Roman" w:eastAsiaTheme="minorEastAsia"/>
          <w:color w:val="000000" w:themeColor="text1"/>
          <w:sz w:val="28"/>
          <w:szCs w:val="28"/>
        </w:rPr>
        <w:t>综合径流系数应按地面种类加权平均计算，可按表4.1.2-2的规定取值，并应核实地面种类的组成和比例；</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表4.1.2-1 径流系数</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50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地面种类</w:t>
            </w:r>
          </w:p>
        </w:tc>
        <w:tc>
          <w:tcPr>
            <w:tcW w:w="3452" w:type="dxa"/>
            <w:vAlign w:val="center"/>
          </w:tcPr>
          <w:p>
            <w:pPr>
              <w:wordWrap w:val="0"/>
              <w:jc w:val="center"/>
              <w:rPr>
                <w:rFonts w:eastAsiaTheme="minorEastAsia"/>
                <w:color w:val="000000" w:themeColor="text1"/>
                <w:sz w:val="28"/>
                <w:szCs w:val="28"/>
              </w:rPr>
            </w:pPr>
            <w:r>
              <w:rPr>
                <w:rFonts w:eastAsiaTheme="minorEastAsia"/>
                <w:i/>
                <w:color w:val="000000" w:themeColor="text1"/>
                <w:sz w:val="28"/>
                <w:szCs w:val="28"/>
              </w:rPr>
              <w:t>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50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各种屋面、混凝土或沥青路面</w:t>
            </w:r>
          </w:p>
        </w:tc>
        <w:tc>
          <w:tcPr>
            <w:tcW w:w="345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0.85~0.95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50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大块石铺砌路面或沥青表面各种的碎石路面</w:t>
            </w:r>
          </w:p>
        </w:tc>
        <w:tc>
          <w:tcPr>
            <w:tcW w:w="345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0.55~0.65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50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级配碎石路面</w:t>
            </w:r>
          </w:p>
        </w:tc>
        <w:tc>
          <w:tcPr>
            <w:tcW w:w="345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0.40~0.50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50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干砌砖石或碎石路面</w:t>
            </w:r>
          </w:p>
        </w:tc>
        <w:tc>
          <w:tcPr>
            <w:tcW w:w="345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0.35~0.40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82" w:hRule="atLeast"/>
        </w:trPr>
        <w:tc>
          <w:tcPr>
            <w:tcW w:w="50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非铺砌土路面</w:t>
            </w:r>
          </w:p>
        </w:tc>
        <w:tc>
          <w:tcPr>
            <w:tcW w:w="345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0.25~0.35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50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公园或绿地</w:t>
            </w:r>
          </w:p>
        </w:tc>
        <w:tc>
          <w:tcPr>
            <w:tcW w:w="345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0.10~0.20</w:t>
            </w:r>
          </w:p>
        </w:tc>
      </w:tr>
    </w:tbl>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表4.1.2-2 综合径流系数</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50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区域情况</w:t>
            </w:r>
          </w:p>
        </w:tc>
        <w:tc>
          <w:tcPr>
            <w:tcW w:w="3452" w:type="dxa"/>
            <w:vAlign w:val="center"/>
          </w:tcPr>
          <w:p>
            <w:pPr>
              <w:wordWrap w:val="0"/>
              <w:jc w:val="center"/>
              <w:rPr>
                <w:rFonts w:eastAsiaTheme="minorEastAsia"/>
                <w:color w:val="000000" w:themeColor="text1"/>
                <w:sz w:val="28"/>
                <w:szCs w:val="28"/>
              </w:rPr>
            </w:pPr>
            <w:r>
              <w:rPr>
                <w:rFonts w:eastAsiaTheme="minorEastAsia"/>
                <w:i/>
                <w:color w:val="000000" w:themeColor="text1"/>
                <w:sz w:val="28"/>
                <w:szCs w:val="28"/>
              </w:rPr>
              <w:t>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50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城镇建筑密集区</w:t>
            </w:r>
          </w:p>
        </w:tc>
        <w:tc>
          <w:tcPr>
            <w:tcW w:w="345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0.60~0.70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50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城镇建筑较密集区</w:t>
            </w:r>
          </w:p>
        </w:tc>
        <w:tc>
          <w:tcPr>
            <w:tcW w:w="345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0.45~0.60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50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城镇建筑稀疏区</w:t>
            </w:r>
          </w:p>
        </w:tc>
        <w:tc>
          <w:tcPr>
            <w:tcW w:w="345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0.20~0.45</w:t>
            </w:r>
          </w:p>
        </w:tc>
      </w:tr>
    </w:tbl>
    <w:p>
      <w:pPr>
        <w:wordWrap w:val="0"/>
        <w:spacing w:line="360" w:lineRule="auto"/>
        <w:ind w:firstLine="559" w:firstLineChars="188"/>
        <w:rPr>
          <w:rFonts w:eastAsiaTheme="minorEastAsia"/>
          <w:color w:val="000000" w:themeColor="text1"/>
          <w:spacing w:val="8"/>
          <w:sz w:val="28"/>
          <w:szCs w:val="28"/>
        </w:rPr>
      </w:pPr>
      <w:r>
        <w:rPr>
          <w:rFonts w:eastAsiaTheme="minorEastAsia"/>
          <w:b/>
          <w:color w:val="000000" w:themeColor="text1"/>
          <w:spacing w:val="8"/>
          <w:sz w:val="28"/>
          <w:szCs w:val="28"/>
        </w:rPr>
        <w:t>4</w:t>
      </w:r>
      <w:r>
        <w:rPr>
          <w:rFonts w:eastAsiaTheme="minorEastAsia"/>
          <w:color w:val="000000" w:themeColor="text1"/>
          <w:spacing w:val="8"/>
          <w:sz w:val="28"/>
          <w:szCs w:val="28"/>
        </w:rPr>
        <w:t xml:space="preserve"> 采用推理公式法进行内涝防治设计校核时，宜提高表4.1.</w:t>
      </w:r>
      <w:r>
        <w:rPr>
          <w:rFonts w:hint="eastAsia" w:eastAsiaTheme="minorEastAsia"/>
          <w:color w:val="000000" w:themeColor="text1"/>
          <w:spacing w:val="8"/>
          <w:sz w:val="28"/>
          <w:szCs w:val="28"/>
        </w:rPr>
        <w:t>2</w:t>
      </w:r>
      <w:r>
        <w:rPr>
          <w:rFonts w:eastAsiaTheme="minorEastAsia"/>
          <w:color w:val="000000" w:themeColor="text1"/>
          <w:spacing w:val="8"/>
          <w:sz w:val="28"/>
          <w:szCs w:val="28"/>
        </w:rPr>
        <w:t>-1中规定的径流系数。当设计重现期为20年~30年时，宜将径流系数提高10%~15%；当设计重现期为30年~50年时，宜提高20%~25%；当设计重现期为50年~100年时，宜提高30%~50%；当计算的径流系数大于1时，宜按1取值。</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建筑小区的开发，应体现低影响开发的理念，不应由市政设施的不断扩建与之适应，而应在建筑小区内进行源头控制。本条规定了应严格执行规划控制的综合径流系数，还提出了综合径流系数高于0.7的地区应采用渗透、调蓄等措施。</w:t>
      </w:r>
    </w:p>
    <w:p>
      <w:pPr>
        <w:wordWrap w:val="0"/>
        <w:spacing w:line="480" w:lineRule="atLeast"/>
        <w:ind w:firstLine="510"/>
        <w:rPr>
          <w:rFonts w:eastAsiaTheme="minorEastAsia"/>
          <w:color w:val="000000" w:themeColor="text1"/>
          <w:sz w:val="28"/>
          <w:szCs w:val="28"/>
        </w:rPr>
      </w:pPr>
      <w:r>
        <w:rPr>
          <w:rFonts w:eastAsiaTheme="minorEastAsia"/>
          <w:color w:val="000000" w:themeColor="text1"/>
          <w:sz w:val="28"/>
          <w:szCs w:val="28"/>
        </w:rPr>
        <w:t>可以采用遥感监测、实地勘测等方法核实地面种类的组成和比例。</w:t>
      </w:r>
    </w:p>
    <w:p>
      <w:pPr>
        <w:wordWrap w:val="0"/>
        <w:spacing w:line="480" w:lineRule="atLeast"/>
        <w:ind w:firstLine="510"/>
        <w:rPr>
          <w:rFonts w:eastAsiaTheme="minorEastAsia"/>
          <w:color w:val="000000" w:themeColor="text1"/>
          <w:sz w:val="28"/>
          <w:szCs w:val="28"/>
        </w:rPr>
      </w:pPr>
      <w:r>
        <w:rPr>
          <w:rFonts w:eastAsiaTheme="minorEastAsia"/>
          <w:color w:val="000000" w:themeColor="text1"/>
          <w:sz w:val="28"/>
          <w:szCs w:val="28"/>
        </w:rPr>
        <w:t>表4.1.2-1列出按地面种类分列的径流系数</w:t>
      </w:r>
      <w:r>
        <w:rPr>
          <w:rFonts w:eastAsiaTheme="minorEastAsia"/>
          <w:i/>
          <w:color w:val="000000" w:themeColor="text1"/>
          <w:sz w:val="28"/>
          <w:szCs w:val="28"/>
        </w:rPr>
        <w:t>Ψ</w:t>
      </w:r>
      <w:r>
        <w:rPr>
          <w:rFonts w:eastAsiaTheme="minorEastAsia"/>
          <w:color w:val="000000" w:themeColor="text1"/>
          <w:sz w:val="28"/>
          <w:szCs w:val="28"/>
        </w:rPr>
        <w:t>值。表4.1.2-2列出按区域情况分列的综合径流系数</w:t>
      </w:r>
      <w:r>
        <w:rPr>
          <w:rFonts w:eastAsiaTheme="minorEastAsia"/>
          <w:i/>
          <w:color w:val="000000" w:themeColor="text1"/>
          <w:sz w:val="28"/>
          <w:szCs w:val="28"/>
        </w:rPr>
        <w:t>Ψ</w:t>
      </w:r>
      <w:r>
        <w:rPr>
          <w:rFonts w:eastAsiaTheme="minorEastAsia"/>
          <w:color w:val="000000" w:themeColor="text1"/>
          <w:sz w:val="28"/>
          <w:szCs w:val="28"/>
        </w:rPr>
        <w:t>值。国内一些地区采用的综合径流系数见表1。《</w:t>
      </w:r>
      <w:r>
        <w:rPr>
          <w:rFonts w:eastAsia="宋体"/>
          <w:color w:val="000000" w:themeColor="text1"/>
          <w:sz w:val="28"/>
          <w:szCs w:val="28"/>
        </w:rPr>
        <w:t>日本下水道设计指南</w:t>
      </w:r>
      <w:r>
        <w:rPr>
          <w:rFonts w:eastAsiaTheme="minorEastAsia"/>
          <w:color w:val="000000" w:themeColor="text1"/>
          <w:sz w:val="28"/>
          <w:szCs w:val="28"/>
        </w:rPr>
        <w:t>》推荐的综合径流系数见表2。</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表1 国内一些地区采用的综合径流系数</w:t>
      </w:r>
    </w:p>
    <w:tbl>
      <w:tblPr>
        <w:tblStyle w:val="2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835"/>
        <w:gridCol w:w="1238"/>
        <w:gridCol w:w="2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6"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城市</w:t>
            </w:r>
          </w:p>
        </w:tc>
        <w:tc>
          <w:tcPr>
            <w:tcW w:w="2835"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综合径流系数</w:t>
            </w:r>
          </w:p>
        </w:tc>
        <w:tc>
          <w:tcPr>
            <w:tcW w:w="12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城市</w:t>
            </w:r>
          </w:p>
        </w:tc>
        <w:tc>
          <w:tcPr>
            <w:tcW w:w="292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综合径流系数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6"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北京</w:t>
            </w:r>
          </w:p>
        </w:tc>
        <w:tc>
          <w:tcPr>
            <w:tcW w:w="2835"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0.5～0.7</w:t>
            </w:r>
          </w:p>
        </w:tc>
        <w:tc>
          <w:tcPr>
            <w:tcW w:w="12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扬州</w:t>
            </w:r>
          </w:p>
        </w:tc>
        <w:tc>
          <w:tcPr>
            <w:tcW w:w="292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6"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上海</w:t>
            </w:r>
          </w:p>
        </w:tc>
        <w:tc>
          <w:tcPr>
            <w:tcW w:w="2835"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0.5～0.8</w:t>
            </w:r>
          </w:p>
        </w:tc>
        <w:tc>
          <w:tcPr>
            <w:tcW w:w="12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宜昌</w:t>
            </w:r>
          </w:p>
        </w:tc>
        <w:tc>
          <w:tcPr>
            <w:tcW w:w="292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0.65～0.8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6"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天津</w:t>
            </w:r>
          </w:p>
        </w:tc>
        <w:tc>
          <w:tcPr>
            <w:tcW w:w="2835"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0.45～0.6</w:t>
            </w:r>
          </w:p>
        </w:tc>
        <w:tc>
          <w:tcPr>
            <w:tcW w:w="12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南宁</w:t>
            </w:r>
          </w:p>
        </w:tc>
        <w:tc>
          <w:tcPr>
            <w:tcW w:w="292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0.5～0.75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6"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乌兰浩特</w:t>
            </w:r>
          </w:p>
        </w:tc>
        <w:tc>
          <w:tcPr>
            <w:tcW w:w="2835"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0.5</w:t>
            </w:r>
          </w:p>
        </w:tc>
        <w:tc>
          <w:tcPr>
            <w:tcW w:w="12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柳州</w:t>
            </w:r>
          </w:p>
        </w:tc>
        <w:tc>
          <w:tcPr>
            <w:tcW w:w="292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jc w:val="center"/>
        </w:trPr>
        <w:tc>
          <w:tcPr>
            <w:tcW w:w="1526"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南京</w:t>
            </w:r>
          </w:p>
        </w:tc>
        <w:tc>
          <w:tcPr>
            <w:tcW w:w="2835"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0.5～0.7</w:t>
            </w:r>
          </w:p>
        </w:tc>
        <w:tc>
          <w:tcPr>
            <w:tcW w:w="12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深圳</w:t>
            </w:r>
          </w:p>
        </w:tc>
        <w:tc>
          <w:tcPr>
            <w:tcW w:w="292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旧城区：0.7～0.8</w:t>
            </w:r>
          </w:p>
          <w:p>
            <w:pPr>
              <w:wordWrap w:val="0"/>
              <w:jc w:val="center"/>
              <w:rPr>
                <w:rFonts w:eastAsiaTheme="minorEastAsia"/>
                <w:color w:val="000000" w:themeColor="text1"/>
                <w:sz w:val="28"/>
                <w:szCs w:val="28"/>
              </w:rPr>
            </w:pPr>
            <w:r>
              <w:rPr>
                <w:rFonts w:eastAsiaTheme="minorEastAsia"/>
                <w:color w:val="000000" w:themeColor="text1"/>
                <w:sz w:val="28"/>
                <w:szCs w:val="28"/>
              </w:rPr>
              <w:t>新城区：0.6～0.7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6"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杭州</w:t>
            </w:r>
          </w:p>
        </w:tc>
        <w:tc>
          <w:tcPr>
            <w:tcW w:w="2835"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0.6～0.8</w:t>
            </w:r>
          </w:p>
        </w:tc>
        <w:tc>
          <w:tcPr>
            <w:tcW w:w="1238" w:type="dxa"/>
            <w:vAlign w:val="center"/>
          </w:tcPr>
          <w:p>
            <w:pPr>
              <w:wordWrap w:val="0"/>
              <w:jc w:val="center"/>
              <w:rPr>
                <w:rFonts w:eastAsiaTheme="minorEastAsia"/>
                <w:color w:val="000000" w:themeColor="text1"/>
                <w:sz w:val="28"/>
                <w:szCs w:val="28"/>
              </w:rPr>
            </w:pPr>
          </w:p>
        </w:tc>
        <w:tc>
          <w:tcPr>
            <w:tcW w:w="2923" w:type="dxa"/>
            <w:vAlign w:val="center"/>
          </w:tcPr>
          <w:p>
            <w:pPr>
              <w:wordWrap w:val="0"/>
              <w:jc w:val="center"/>
              <w:rPr>
                <w:rFonts w:eastAsiaTheme="minorEastAsia"/>
                <w:color w:val="000000" w:themeColor="text1"/>
                <w:sz w:val="28"/>
                <w:szCs w:val="28"/>
              </w:rPr>
            </w:pPr>
          </w:p>
        </w:tc>
      </w:tr>
    </w:tbl>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表2 日本下水道设计指南推荐的综合径流系数</w:t>
      </w:r>
    </w:p>
    <w:tbl>
      <w:tblPr>
        <w:tblStyle w:val="2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9"/>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49" w:type="dxa"/>
            <w:vAlign w:val="center"/>
          </w:tcPr>
          <w:p>
            <w:pPr>
              <w:wordWrap w:val="0"/>
              <w:jc w:val="center"/>
              <w:rPr>
                <w:rFonts w:eastAsiaTheme="minorEastAsia"/>
                <w:b/>
                <w:color w:val="000000" w:themeColor="text1"/>
                <w:sz w:val="28"/>
                <w:szCs w:val="28"/>
              </w:rPr>
            </w:pPr>
            <w:r>
              <w:rPr>
                <w:rFonts w:eastAsiaTheme="minorEastAsia"/>
                <w:color w:val="000000" w:themeColor="text1"/>
                <w:spacing w:val="8"/>
                <w:sz w:val="28"/>
                <w:szCs w:val="28"/>
              </w:rPr>
              <w:t>区域情况</w:t>
            </w:r>
          </w:p>
        </w:tc>
        <w:tc>
          <w:tcPr>
            <w:tcW w:w="1573" w:type="dxa"/>
            <w:vAlign w:val="center"/>
          </w:tcPr>
          <w:p>
            <w:pPr>
              <w:wordWrap w:val="0"/>
              <w:jc w:val="center"/>
              <w:rPr>
                <w:rFonts w:eastAsiaTheme="minorEastAsia"/>
                <w:b/>
                <w:color w:val="000000" w:themeColor="text1"/>
                <w:sz w:val="28"/>
                <w:szCs w:val="28"/>
              </w:rPr>
            </w:pPr>
            <w:r>
              <w:rPr>
                <w:rFonts w:eastAsiaTheme="minorEastAsia"/>
                <w:i/>
                <w:color w:val="000000" w:themeColor="text1"/>
                <w:sz w:val="28"/>
                <w:szCs w:val="28"/>
              </w:rPr>
              <w:t>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49" w:type="dxa"/>
            <w:vAlign w:val="center"/>
          </w:tcPr>
          <w:p>
            <w:pPr>
              <w:wordWrap w:val="0"/>
              <w:rPr>
                <w:rFonts w:eastAsiaTheme="minorEastAsia"/>
                <w:b/>
                <w:color w:val="000000" w:themeColor="text1"/>
                <w:sz w:val="28"/>
                <w:szCs w:val="28"/>
              </w:rPr>
            </w:pPr>
            <w:r>
              <w:rPr>
                <w:rFonts w:eastAsiaTheme="minorEastAsia"/>
                <w:color w:val="000000" w:themeColor="text1"/>
                <w:spacing w:val="8"/>
                <w:sz w:val="28"/>
                <w:szCs w:val="28"/>
              </w:rPr>
              <w:t>空地非常少的商业区或类似的住宅区</w:t>
            </w:r>
          </w:p>
        </w:tc>
        <w:tc>
          <w:tcPr>
            <w:tcW w:w="1573" w:type="dxa"/>
            <w:vAlign w:val="center"/>
          </w:tcPr>
          <w:p>
            <w:pPr>
              <w:wordWrap w:val="0"/>
              <w:jc w:val="center"/>
              <w:rPr>
                <w:rFonts w:eastAsiaTheme="minorEastAsia"/>
                <w:b/>
                <w:color w:val="000000" w:themeColor="text1"/>
                <w:sz w:val="28"/>
                <w:szCs w:val="28"/>
              </w:rPr>
            </w:pPr>
            <w:r>
              <w:rPr>
                <w:rFonts w:eastAsiaTheme="minorEastAsia"/>
                <w:color w:val="000000" w:themeColor="text1"/>
                <w:sz w:val="28"/>
                <w:szCs w:val="28"/>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49" w:type="dxa"/>
            <w:vAlign w:val="center"/>
          </w:tcPr>
          <w:p>
            <w:pPr>
              <w:wordWrap w:val="0"/>
              <w:rPr>
                <w:rFonts w:eastAsiaTheme="minorEastAsia"/>
                <w:b/>
                <w:color w:val="000000" w:themeColor="text1"/>
                <w:sz w:val="28"/>
                <w:szCs w:val="28"/>
              </w:rPr>
            </w:pPr>
            <w:r>
              <w:rPr>
                <w:rFonts w:eastAsiaTheme="minorEastAsia"/>
                <w:color w:val="000000" w:themeColor="text1"/>
                <w:spacing w:val="8"/>
                <w:sz w:val="28"/>
                <w:szCs w:val="28"/>
              </w:rPr>
              <w:t>有若干室外作业场等透水地面的工厂或有若干庭院的住宅区</w:t>
            </w:r>
          </w:p>
        </w:tc>
        <w:tc>
          <w:tcPr>
            <w:tcW w:w="1573" w:type="dxa"/>
            <w:vAlign w:val="center"/>
          </w:tcPr>
          <w:p>
            <w:pPr>
              <w:wordWrap w:val="0"/>
              <w:jc w:val="center"/>
              <w:rPr>
                <w:rFonts w:eastAsiaTheme="minorEastAsia"/>
                <w:b/>
                <w:color w:val="000000" w:themeColor="text1"/>
                <w:sz w:val="28"/>
                <w:szCs w:val="28"/>
              </w:rPr>
            </w:pPr>
            <w:r>
              <w:rPr>
                <w:rFonts w:eastAsiaTheme="minorEastAsia"/>
                <w:color w:val="000000" w:themeColor="text1"/>
                <w:sz w:val="28"/>
                <w:szCs w:val="2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49" w:type="dxa"/>
            <w:vAlign w:val="center"/>
          </w:tcPr>
          <w:p>
            <w:pPr>
              <w:wordWrap w:val="0"/>
              <w:rPr>
                <w:rFonts w:eastAsiaTheme="minorEastAsia"/>
                <w:b/>
                <w:color w:val="000000" w:themeColor="text1"/>
                <w:sz w:val="28"/>
                <w:szCs w:val="28"/>
              </w:rPr>
            </w:pPr>
            <w:r>
              <w:rPr>
                <w:rFonts w:eastAsiaTheme="minorEastAsia"/>
                <w:color w:val="000000" w:themeColor="text1"/>
                <w:spacing w:val="8"/>
                <w:sz w:val="28"/>
                <w:szCs w:val="28"/>
              </w:rPr>
              <w:t>房产公司住宅区之类的中等住宅区或单户住宅多的地区</w:t>
            </w:r>
          </w:p>
        </w:tc>
        <w:tc>
          <w:tcPr>
            <w:tcW w:w="1573" w:type="dxa"/>
            <w:vAlign w:val="center"/>
          </w:tcPr>
          <w:p>
            <w:pPr>
              <w:wordWrap w:val="0"/>
              <w:jc w:val="center"/>
              <w:rPr>
                <w:rFonts w:eastAsiaTheme="minorEastAsia"/>
                <w:b/>
                <w:color w:val="000000" w:themeColor="text1"/>
                <w:sz w:val="28"/>
                <w:szCs w:val="28"/>
              </w:rPr>
            </w:pPr>
            <w:r>
              <w:rPr>
                <w:rFonts w:eastAsiaTheme="minorEastAsia"/>
                <w:color w:val="000000" w:themeColor="text1"/>
                <w:sz w:val="28"/>
                <w:szCs w:val="28"/>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949" w:type="dxa"/>
            <w:vAlign w:val="center"/>
          </w:tcPr>
          <w:p>
            <w:pPr>
              <w:wordWrap w:val="0"/>
              <w:rPr>
                <w:rFonts w:eastAsiaTheme="minorEastAsia"/>
                <w:b/>
                <w:color w:val="000000" w:themeColor="text1"/>
                <w:sz w:val="28"/>
                <w:szCs w:val="28"/>
              </w:rPr>
            </w:pPr>
            <w:r>
              <w:rPr>
                <w:rFonts w:eastAsiaTheme="minorEastAsia"/>
                <w:color w:val="000000" w:themeColor="text1"/>
                <w:spacing w:val="8"/>
                <w:sz w:val="28"/>
                <w:szCs w:val="28"/>
              </w:rPr>
              <w:t>庭院多的高级住宅区或夹有耕地的郊区</w:t>
            </w:r>
          </w:p>
        </w:tc>
        <w:tc>
          <w:tcPr>
            <w:tcW w:w="1573" w:type="dxa"/>
            <w:vAlign w:val="center"/>
          </w:tcPr>
          <w:p>
            <w:pPr>
              <w:wordWrap w:val="0"/>
              <w:jc w:val="center"/>
              <w:rPr>
                <w:rFonts w:eastAsiaTheme="minorEastAsia"/>
                <w:b/>
                <w:color w:val="000000" w:themeColor="text1"/>
                <w:sz w:val="28"/>
                <w:szCs w:val="28"/>
              </w:rPr>
            </w:pPr>
            <w:r>
              <w:rPr>
                <w:rFonts w:eastAsiaTheme="minorEastAsia"/>
                <w:color w:val="000000" w:themeColor="text1"/>
                <w:sz w:val="28"/>
                <w:szCs w:val="28"/>
              </w:rPr>
              <w:t>0.35</w:t>
            </w:r>
          </w:p>
        </w:tc>
      </w:tr>
    </w:tbl>
    <w:p>
      <w:pPr>
        <w:pStyle w:val="30"/>
        <w:numPr>
          <w:ilvl w:val="0"/>
          <w:numId w:val="11"/>
        </w:numPr>
        <w:wordWrap w:val="0"/>
        <w:spacing w:line="360" w:lineRule="auto"/>
        <w:ind w:left="0" w:firstLine="0" w:firstLineChars="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当地区整体改建时，对于相同的设计重现期，改建后的径流量不得超过原有径流量。</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本条为强制性条文，必须严格执行。本条规定以径流量作为地区整体改建控制指标的规定。地区整体改建应充分体现海绵城市建设理念，除应执行规划控制的综合径流系数指标外，还应执行径流量控制指标。规定整体改建地区应采取措施确保改建后的径流量不超过原有径流量。本条所指的径流量为设计雨水径流量峰值，设计重现期包括雨水管渠设计重现期和内涝防治设计重现期。 可采取的综合措施包括建设下凹式绿地，设</w:t>
      </w:r>
      <w:r>
        <w:rPr>
          <w:rFonts w:hint="eastAsia" w:eastAsiaTheme="minorEastAsia"/>
          <w:color w:val="000000" w:themeColor="text1"/>
          <w:sz w:val="28"/>
          <w:szCs w:val="28"/>
        </w:rPr>
        <w:t>置</w:t>
      </w:r>
      <w:r>
        <w:rPr>
          <w:rFonts w:eastAsiaTheme="minorEastAsia"/>
          <w:color w:val="000000" w:themeColor="text1"/>
          <w:sz w:val="28"/>
          <w:szCs w:val="28"/>
        </w:rPr>
        <w:t>植草沟、渗透池等，人行道、停车场、广场和小区道路等可采用渗透性路面，促进雨水下渗，既达到雨水资源综合利用的目的，又不增加径流量。</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设计暴雨强度，应按下式计算：</w:t>
      </w:r>
    </w:p>
    <w:p>
      <w:pPr>
        <w:wordWrap w:val="0"/>
        <w:ind w:firstLine="1960" w:firstLineChars="700"/>
        <w:jc w:val="right"/>
        <w:rPr>
          <w:rFonts w:eastAsiaTheme="minorEastAsia"/>
          <w:color w:val="000000" w:themeColor="text1"/>
          <w:sz w:val="28"/>
          <w:szCs w:val="28"/>
        </w:rPr>
      </w:pPr>
      <w:r>
        <w:rPr>
          <w:rFonts w:eastAsiaTheme="minorEastAsia"/>
          <w:color w:val="000000" w:themeColor="text1"/>
          <w:position w:val="-28"/>
          <w:sz w:val="28"/>
          <w:szCs w:val="28"/>
        </w:rPr>
        <w:object>
          <v:shape id="_x0000_i1025" o:spt="75" type="#_x0000_t75" style="height:43pt;width:127.15pt;" o:ole="t" filled="f" o:preferrelative="t" stroked="f" coordsize="21600,21600">
            <v:path/>
            <v:fill on="f" focussize="0,0"/>
            <v:stroke on="f" joinstyle="miter"/>
            <v:imagedata r:id="rId12" o:title=""/>
            <o:lock v:ext="edit" aspectratio="t"/>
            <w10:wrap type="none"/>
            <w10:anchorlock/>
          </v:shape>
          <o:OLEObject Type="Embed" ProgID="Equation.DSMT4" ShapeID="_x0000_i1025" DrawAspect="Content" ObjectID="_1468075725" r:id="rId11">
            <o:LockedField>false</o:LockedField>
          </o:OLEObject>
        </w:object>
      </w:r>
      <w:r>
        <w:rPr>
          <w:rFonts w:eastAsiaTheme="minorEastAsia"/>
          <w:color w:val="000000" w:themeColor="text1"/>
          <w:position w:val="-28"/>
          <w:sz w:val="28"/>
          <w:szCs w:val="28"/>
        </w:rPr>
        <w:tab/>
      </w:r>
      <w:r>
        <w:rPr>
          <w:rFonts w:eastAsiaTheme="minorEastAsia"/>
          <w:color w:val="000000" w:themeColor="text1"/>
          <w:position w:val="-28"/>
          <w:sz w:val="28"/>
          <w:szCs w:val="28"/>
        </w:rPr>
        <w:tab/>
      </w:r>
      <w:r>
        <w:rPr>
          <w:rFonts w:eastAsiaTheme="minorEastAsia"/>
          <w:color w:val="000000" w:themeColor="text1"/>
          <w:position w:val="-28"/>
          <w:sz w:val="28"/>
          <w:szCs w:val="28"/>
        </w:rPr>
        <w:t xml:space="preserve">      </w:t>
      </w:r>
      <w:r>
        <w:rPr>
          <w:rFonts w:eastAsiaTheme="minorEastAsia"/>
          <w:color w:val="000000" w:themeColor="text1"/>
          <w:position w:val="-28"/>
          <w:sz w:val="28"/>
          <w:szCs w:val="28"/>
        </w:rPr>
        <w:tab/>
      </w:r>
      <w:r>
        <w:rPr>
          <w:rFonts w:eastAsiaTheme="minorEastAsia"/>
          <w:color w:val="000000" w:themeColor="text1"/>
          <w:position w:val="-28"/>
          <w:sz w:val="28"/>
          <w:szCs w:val="28"/>
        </w:rPr>
        <w:tab/>
      </w:r>
      <w:r>
        <w:rPr>
          <w:rFonts w:eastAsiaTheme="minorEastAsia"/>
          <w:color w:val="000000" w:themeColor="text1"/>
          <w:position w:val="-28"/>
          <w:sz w:val="28"/>
          <w:szCs w:val="28"/>
        </w:rPr>
        <w:tab/>
      </w:r>
      <w:r>
        <w:rPr>
          <w:rFonts w:eastAsiaTheme="minorEastAsia"/>
          <w:color w:val="000000" w:themeColor="text1"/>
          <w:sz w:val="28"/>
          <w:szCs w:val="28"/>
        </w:rPr>
        <w:t>（4.1.4）</w:t>
      </w:r>
    </w:p>
    <w:p>
      <w:pPr>
        <w:wordWrap w:val="0"/>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q——</w:t>
      </w:r>
      <w:r>
        <w:rPr>
          <w:rFonts w:eastAsiaTheme="minorEastAsia"/>
          <w:color w:val="000000" w:themeColor="text1"/>
          <w:sz w:val="28"/>
          <w:szCs w:val="28"/>
        </w:rPr>
        <w:t>设计暴雨强度[L/(s·hm</w:t>
      </w:r>
      <w:r>
        <w:rPr>
          <w:rFonts w:eastAsiaTheme="minorEastAsia"/>
          <w:color w:val="000000" w:themeColor="text1"/>
          <w:sz w:val="28"/>
          <w:szCs w:val="28"/>
          <w:vertAlign w:val="superscript"/>
        </w:rPr>
        <w:t>2</w:t>
      </w:r>
      <w:r>
        <w:rPr>
          <w:rFonts w:eastAsiaTheme="minorEastAsia"/>
          <w:color w:val="000000" w:themeColor="text1"/>
          <w:sz w:val="28"/>
          <w:szCs w:val="28"/>
        </w:rPr>
        <w:t>)]；</w:t>
      </w:r>
    </w:p>
    <w:p>
      <w:pPr>
        <w:wordWrap w:val="0"/>
        <w:ind w:left="420" w:firstLine="420"/>
        <w:rPr>
          <w:rFonts w:eastAsiaTheme="minorEastAsia"/>
          <w:color w:val="000000" w:themeColor="text1"/>
          <w:sz w:val="28"/>
          <w:szCs w:val="28"/>
        </w:rPr>
      </w:pPr>
      <w:r>
        <w:rPr>
          <w:rFonts w:eastAsiaTheme="minorEastAsia"/>
          <w:i/>
          <w:color w:val="000000" w:themeColor="text1"/>
          <w:sz w:val="28"/>
          <w:szCs w:val="28"/>
        </w:rPr>
        <w:t>P——</w:t>
      </w:r>
      <w:r>
        <w:rPr>
          <w:rFonts w:eastAsiaTheme="minorEastAsia"/>
          <w:color w:val="000000" w:themeColor="text1"/>
          <w:sz w:val="28"/>
          <w:szCs w:val="28"/>
        </w:rPr>
        <w:t>设计重现期（年）；</w:t>
      </w:r>
    </w:p>
    <w:p>
      <w:pPr>
        <w:wordWrap w:val="0"/>
        <w:ind w:left="420" w:firstLine="420"/>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rPr>
        <w:t>降雨历时（min）；</w:t>
      </w:r>
    </w:p>
    <w:p>
      <w:pPr>
        <w:wordWrap w:val="0"/>
        <w:ind w:firstLine="840" w:firstLineChars="300"/>
        <w:rPr>
          <w:rFonts w:eastAsiaTheme="minorEastAsia"/>
          <w:color w:val="000000" w:themeColor="text1"/>
          <w:sz w:val="28"/>
          <w:szCs w:val="28"/>
        </w:rPr>
      </w:pPr>
      <w:r>
        <w:rPr>
          <w:rFonts w:eastAsiaTheme="minorEastAsia"/>
          <w:i/>
          <w:color w:val="000000" w:themeColor="text1"/>
          <w:sz w:val="28"/>
          <w:szCs w:val="28"/>
        </w:rPr>
        <w:t>A</w:t>
      </w:r>
      <w:r>
        <w:rPr>
          <w:rFonts w:eastAsiaTheme="minorEastAsia"/>
          <w:color w:val="000000" w:themeColor="text1"/>
          <w:sz w:val="28"/>
          <w:szCs w:val="28"/>
          <w:vertAlign w:val="subscript"/>
        </w:rPr>
        <w:t>1</w:t>
      </w:r>
      <w:r>
        <w:rPr>
          <w:rFonts w:eastAsiaTheme="minorEastAsia"/>
          <w:color w:val="000000" w:themeColor="text1"/>
          <w:sz w:val="28"/>
          <w:szCs w:val="28"/>
        </w:rPr>
        <w:t>，</w:t>
      </w:r>
      <w:r>
        <w:rPr>
          <w:rFonts w:eastAsiaTheme="minorEastAsia"/>
          <w:i/>
          <w:color w:val="000000" w:themeColor="text1"/>
          <w:sz w:val="28"/>
          <w:szCs w:val="28"/>
        </w:rPr>
        <w:t>C</w:t>
      </w:r>
      <w:r>
        <w:rPr>
          <w:rFonts w:eastAsiaTheme="minorEastAsia"/>
          <w:color w:val="000000" w:themeColor="text1"/>
          <w:sz w:val="28"/>
          <w:szCs w:val="28"/>
        </w:rPr>
        <w:t>，</w:t>
      </w:r>
      <w:r>
        <w:rPr>
          <w:rFonts w:eastAsiaTheme="minorEastAsia"/>
          <w:i/>
          <w:color w:val="000000" w:themeColor="text1"/>
          <w:sz w:val="28"/>
          <w:szCs w:val="28"/>
        </w:rPr>
        <w:t>b</w:t>
      </w:r>
      <w:r>
        <w:rPr>
          <w:rFonts w:eastAsiaTheme="minorEastAsia"/>
          <w:color w:val="000000" w:themeColor="text1"/>
          <w:sz w:val="28"/>
          <w:szCs w:val="28"/>
        </w:rPr>
        <w:t>，</w:t>
      </w:r>
      <w:r>
        <w:rPr>
          <w:rFonts w:eastAsiaTheme="minorEastAsia"/>
          <w:i/>
          <w:color w:val="000000" w:themeColor="text1"/>
          <w:sz w:val="28"/>
          <w:szCs w:val="28"/>
        </w:rPr>
        <w:t>n</w:t>
      </w:r>
      <w:r>
        <w:rPr>
          <w:rFonts w:eastAsiaTheme="minorEastAsia"/>
          <w:color w:val="000000" w:themeColor="text1"/>
          <w:sz w:val="28"/>
          <w:szCs w:val="28"/>
        </w:rPr>
        <w:t>——参数，根据统计方法进行计算确定。</w:t>
      </w:r>
    </w:p>
    <w:bookmarkEnd w:id="15"/>
    <w:bookmarkEnd w:id="16"/>
    <w:p>
      <w:pPr>
        <w:pStyle w:val="13"/>
        <w:wordWrap w:val="0"/>
        <w:spacing w:after="0" w:line="360" w:lineRule="auto"/>
        <w:ind w:left="0" w:leftChars="0" w:firstLine="560" w:firstLineChars="200"/>
        <w:rPr>
          <w:rFonts w:eastAsiaTheme="minorEastAsia"/>
          <w:color w:val="000000" w:themeColor="text1"/>
          <w:sz w:val="28"/>
          <w:szCs w:val="28"/>
        </w:rPr>
      </w:pPr>
      <w:r>
        <w:rPr>
          <w:rFonts w:eastAsiaTheme="minorEastAsia"/>
          <w:color w:val="000000" w:themeColor="text1"/>
          <w:sz w:val="28"/>
          <w:szCs w:val="28"/>
        </w:rPr>
        <w:t>具有20年以上自动雨量记录的地区，排水系统设计暴雨强度公式应采用年最大值法，并按本标准附录A的有关规定编制。</w:t>
      </w:r>
    </w:p>
    <w:p>
      <w:pPr>
        <w:wordWrap w:val="0"/>
        <w:rPr>
          <w:rFonts w:eastAsiaTheme="minorEastAsia"/>
          <w:color w:val="000000" w:themeColor="text1"/>
          <w:sz w:val="28"/>
          <w:szCs w:val="28"/>
        </w:rPr>
      </w:pPr>
      <w:r>
        <w:rPr>
          <w:rFonts w:eastAsiaTheme="minorEastAsia"/>
          <w:color w:val="000000" w:themeColor="text1"/>
          <w:sz w:val="28"/>
          <w:szCs w:val="28"/>
        </w:rPr>
        <w:t>【条文说明】目前我国各地已积累了完整的自动雨量记录资料，可采用数理统计法计算确定暴雨强度公式。本条所列的计算公式为我国目前普遍采用的计算公式。</w:t>
      </w:r>
    </w:p>
    <w:p>
      <w:pPr>
        <w:wordWrap w:val="0"/>
        <w:ind w:firstLine="570"/>
        <w:rPr>
          <w:rFonts w:eastAsiaTheme="minorEastAsia"/>
          <w:color w:val="000000" w:themeColor="text1"/>
          <w:sz w:val="28"/>
          <w:szCs w:val="28"/>
        </w:rPr>
      </w:pPr>
      <w:r>
        <w:rPr>
          <w:rFonts w:eastAsiaTheme="minorEastAsia"/>
          <w:color w:val="000000" w:themeColor="text1"/>
          <w:sz w:val="28"/>
          <w:szCs w:val="28"/>
        </w:rPr>
        <w:t>水文统计学的取样方法有年最大值法和非年最大值法两类，国际上的发展趋势是采用年最大值法。日本在具有20年以上雨量记录的地区采用年最大值法，在不足20年雨量记录的地区采用非年最大值法，年多个样法是非年最大值法中的一种。由于以前国内自记雨量资料不多，因此多采用年多个样法。现在我国许多地区已具有40年以上的自记雨量资料，具备采用年最大值法的条件。所以，规定具有20年以上自动雨量记录的地区，应采用年最大值法。</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暴雨强度公式应根据气候变化进行修订。</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近年来城市暴雨内涝成为影响城市健康发展，威胁城市安全的突出问题，强降雨是导致城市暴雨内涝的直接原因之一。暴雨强度公式是反映降雨规律，指导城市排水防涝工程设计和相关设施建设的重要基础，其准确与否直接影响城市排水工程的安全性</w:t>
      </w:r>
      <w:r>
        <w:rPr>
          <w:rFonts w:hint="eastAsia" w:ascii="Times New Roman" w:hAnsi="Times New Roman" w:eastAsiaTheme="minorEastAsia"/>
          <w:color w:val="000000" w:themeColor="text1"/>
          <w:sz w:val="28"/>
          <w:szCs w:val="28"/>
        </w:rPr>
        <w:t>和</w:t>
      </w:r>
      <w:r>
        <w:rPr>
          <w:rFonts w:ascii="Times New Roman" w:hAnsi="Times New Roman" w:eastAsiaTheme="minorEastAsia"/>
          <w:color w:val="000000" w:themeColor="text1"/>
          <w:sz w:val="28"/>
          <w:szCs w:val="28"/>
        </w:rPr>
        <w:t>与经济性。为此，2014年5月住房城乡建设部和中国气象局联合发布“关于做好暴雨强度公式修订有关工作的通知”（建城[2014]66号），要求各地加快暴雨强度公式的制修订工作，一般情况下应根据降雨特点及时修订。</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雨水管渠设计重现期，应根据汇水地区性质、城镇类型、地形特点和气候特征等因素，经技术经济比较后按表4.1.6的规定取值，并应符合下列规定：</w:t>
      </w:r>
    </w:p>
    <w:p>
      <w:pPr>
        <w:wordWrap w:val="0"/>
        <w:spacing w:line="24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人口密集、内涝易发且经济条件较好的城镇，宜采用规定的上限；</w:t>
      </w:r>
    </w:p>
    <w:p>
      <w:pPr>
        <w:wordWrap w:val="0"/>
        <w:spacing w:line="24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新建地区应按本规定执行，原有地区应结合地区改建、道路建设等更新排水系统，并按本规定执行；</w:t>
      </w:r>
    </w:p>
    <w:p>
      <w:pPr>
        <w:wordWrap w:val="0"/>
        <w:spacing w:line="24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同一排水系统可采用不同的设计重现期。</w:t>
      </w:r>
    </w:p>
    <w:p>
      <w:pPr>
        <w:wordWrap w:val="0"/>
        <w:spacing w:line="480" w:lineRule="atLeast"/>
        <w:jc w:val="center"/>
        <w:rPr>
          <w:rFonts w:eastAsiaTheme="minorEastAsia"/>
          <w:b/>
          <w:color w:val="000000" w:themeColor="text1"/>
          <w:sz w:val="28"/>
          <w:szCs w:val="28"/>
        </w:rPr>
      </w:pPr>
      <w:r>
        <w:rPr>
          <w:rFonts w:eastAsiaTheme="minorEastAsia"/>
          <w:b/>
          <w:color w:val="000000" w:themeColor="text1"/>
          <w:sz w:val="28"/>
          <w:szCs w:val="28"/>
        </w:rPr>
        <w:t>表4.1.6</w:t>
      </w:r>
      <w:r>
        <w:rPr>
          <w:rFonts w:hint="eastAsia" w:eastAsiaTheme="minorEastAsia"/>
          <w:b/>
          <w:color w:val="000000" w:themeColor="text1"/>
          <w:sz w:val="28"/>
          <w:szCs w:val="28"/>
        </w:rPr>
        <w:t xml:space="preserve"> </w:t>
      </w:r>
      <w:r>
        <w:rPr>
          <w:rFonts w:eastAsiaTheme="minorEastAsia"/>
          <w:b/>
          <w:color w:val="000000" w:themeColor="text1"/>
          <w:sz w:val="28"/>
          <w:szCs w:val="28"/>
        </w:rPr>
        <w:t>雨水管渠设计重现期（年）</w:t>
      </w:r>
    </w:p>
    <w:tbl>
      <w:tblPr>
        <w:tblStyle w:val="2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523"/>
        <w:gridCol w:w="1417"/>
        <w:gridCol w:w="1701"/>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1704" w:type="dxa"/>
            <w:vAlign w:val="center"/>
          </w:tcPr>
          <w:p>
            <w:pPr>
              <w:wordWrap w:val="0"/>
              <w:ind w:firstLine="282" w:firstLineChars="101"/>
              <w:rPr>
                <w:rFonts w:eastAsiaTheme="minorEastAsia"/>
                <w:color w:val="000000" w:themeColor="text1"/>
                <w:sz w:val="28"/>
                <w:szCs w:val="28"/>
              </w:rPr>
            </w:pPr>
            <w:r>
              <w:rPr>
                <w:rFonts w:eastAsiaTheme="minorEastAsia"/>
                <w:color w:val="000000" w:themeColor="text1"/>
                <w:sz w:val="28"/>
                <w:szCs w:val="28"/>
              </w:rPr>
              <w:pict>
                <v:shape id="直接箭头连接符 2" o:spid="_x0000_s1131" o:spt="32" type="#_x0000_t32" style="position:absolute;left:0pt;margin-left:-5.75pt;margin-top:0.2pt;height:92.55pt;width:85.3pt;z-index:2516602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">
                  <v:path arrowok="t"/>
                  <v:fill on="f" focussize="0,0"/>
                  <v:stroke weight="0.5pt"/>
                  <v:imagedata o:title=""/>
                  <o:lock v:ext="edit"/>
                </v:shape>
              </w:pict>
            </w:r>
            <w:r>
              <w:rPr>
                <w:rFonts w:eastAsiaTheme="minorEastAsia"/>
                <w:color w:val="000000" w:themeColor="text1"/>
                <w:sz w:val="28"/>
                <w:szCs w:val="28"/>
              </w:rPr>
              <w:t>城区类型</w:t>
            </w:r>
          </w:p>
          <w:p>
            <w:pPr>
              <w:wordWrap w:val="0"/>
              <w:rPr>
                <w:rFonts w:eastAsiaTheme="minorEastAsia"/>
                <w:color w:val="000000" w:themeColor="text1"/>
                <w:sz w:val="28"/>
                <w:szCs w:val="28"/>
              </w:rPr>
            </w:pPr>
          </w:p>
          <w:p>
            <w:pPr>
              <w:wordWrap w:val="0"/>
              <w:rPr>
                <w:rFonts w:eastAsiaTheme="minorEastAsia"/>
                <w:color w:val="000000" w:themeColor="text1"/>
                <w:sz w:val="28"/>
                <w:szCs w:val="28"/>
              </w:rPr>
            </w:pPr>
            <w:r>
              <w:rPr>
                <w:rFonts w:eastAsiaTheme="minorEastAsia"/>
                <w:color w:val="000000" w:themeColor="text1"/>
                <w:sz w:val="28"/>
                <w:szCs w:val="28"/>
              </w:rPr>
              <w:t>城镇类型</w:t>
            </w:r>
          </w:p>
        </w:tc>
        <w:tc>
          <w:tcPr>
            <w:tcW w:w="152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中心城区</w:t>
            </w:r>
          </w:p>
        </w:tc>
        <w:tc>
          <w:tcPr>
            <w:tcW w:w="1417"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非中心城区</w:t>
            </w:r>
          </w:p>
        </w:tc>
        <w:tc>
          <w:tcPr>
            <w:tcW w:w="1701"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中心城区的</w:t>
            </w:r>
          </w:p>
          <w:p>
            <w:pPr>
              <w:wordWrap w:val="0"/>
              <w:jc w:val="center"/>
              <w:rPr>
                <w:rFonts w:eastAsiaTheme="minorEastAsia"/>
                <w:color w:val="000000" w:themeColor="text1"/>
                <w:sz w:val="28"/>
                <w:szCs w:val="28"/>
              </w:rPr>
            </w:pPr>
            <w:r>
              <w:rPr>
                <w:rFonts w:eastAsiaTheme="minorEastAsia"/>
                <w:color w:val="000000" w:themeColor="text1"/>
                <w:sz w:val="28"/>
                <w:szCs w:val="28"/>
              </w:rPr>
              <w:t>重要地区</w:t>
            </w:r>
          </w:p>
        </w:tc>
        <w:tc>
          <w:tcPr>
            <w:tcW w:w="2177"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中心城区地下通道和下沉式广场等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0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超大城市和特大城市</w:t>
            </w:r>
          </w:p>
        </w:tc>
        <w:tc>
          <w:tcPr>
            <w:tcW w:w="152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3~5</w:t>
            </w:r>
          </w:p>
        </w:tc>
        <w:tc>
          <w:tcPr>
            <w:tcW w:w="1417"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2~3</w:t>
            </w:r>
          </w:p>
        </w:tc>
        <w:tc>
          <w:tcPr>
            <w:tcW w:w="1701"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5~10</w:t>
            </w:r>
          </w:p>
        </w:tc>
        <w:tc>
          <w:tcPr>
            <w:tcW w:w="2177"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0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大城市</w:t>
            </w:r>
          </w:p>
        </w:tc>
        <w:tc>
          <w:tcPr>
            <w:tcW w:w="152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2~5</w:t>
            </w:r>
          </w:p>
        </w:tc>
        <w:tc>
          <w:tcPr>
            <w:tcW w:w="1417"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2~3</w:t>
            </w:r>
          </w:p>
        </w:tc>
        <w:tc>
          <w:tcPr>
            <w:tcW w:w="1701"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5~10</w:t>
            </w:r>
          </w:p>
        </w:tc>
        <w:tc>
          <w:tcPr>
            <w:tcW w:w="2177"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70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中等城市和小城市</w:t>
            </w:r>
          </w:p>
        </w:tc>
        <w:tc>
          <w:tcPr>
            <w:tcW w:w="152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2~3</w:t>
            </w:r>
          </w:p>
        </w:tc>
        <w:tc>
          <w:tcPr>
            <w:tcW w:w="1417"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2~3</w:t>
            </w:r>
          </w:p>
        </w:tc>
        <w:tc>
          <w:tcPr>
            <w:tcW w:w="1701"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3~5</w:t>
            </w:r>
          </w:p>
        </w:tc>
        <w:tc>
          <w:tcPr>
            <w:tcW w:w="2177"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10~20</w:t>
            </w:r>
          </w:p>
        </w:tc>
      </w:tr>
    </w:tbl>
    <w:p>
      <w:pPr>
        <w:wordWrap w:val="0"/>
        <w:spacing w:line="480" w:lineRule="atLeast"/>
        <w:ind w:left="1260" w:leftChars="200" w:hanging="840" w:hangingChars="300"/>
        <w:rPr>
          <w:rFonts w:eastAsiaTheme="minorEastAsia"/>
          <w:color w:val="000000" w:themeColor="text1"/>
          <w:sz w:val="28"/>
          <w:szCs w:val="28"/>
        </w:rPr>
      </w:pPr>
      <w:r>
        <w:rPr>
          <w:rFonts w:eastAsiaTheme="minorEastAsia"/>
          <w:color w:val="000000" w:themeColor="text1"/>
          <w:sz w:val="28"/>
          <w:szCs w:val="28"/>
        </w:rPr>
        <w:t>注：1表中所列设计重现期适用于采用年最大值法确定的暴雨强度公式；</w:t>
      </w:r>
    </w:p>
    <w:p>
      <w:pPr>
        <w:wordWrap w:val="0"/>
        <w:spacing w:line="480" w:lineRule="atLeast"/>
        <w:ind w:firstLine="560" w:firstLineChars="200"/>
        <w:rPr>
          <w:rFonts w:eastAsiaTheme="minorEastAsia"/>
          <w:color w:val="000000" w:themeColor="text1"/>
          <w:sz w:val="28"/>
          <w:szCs w:val="28"/>
        </w:rPr>
      </w:pPr>
      <w:r>
        <w:rPr>
          <w:rFonts w:eastAsiaTheme="minorEastAsia"/>
          <w:color w:val="000000" w:themeColor="text1"/>
          <w:sz w:val="28"/>
          <w:szCs w:val="28"/>
        </w:rPr>
        <w:t xml:space="preserve">   2雨水管渠应按重力流、满管流计算；</w:t>
      </w:r>
    </w:p>
    <w:p>
      <w:pPr>
        <w:wordWrap w:val="0"/>
        <w:spacing w:line="480" w:lineRule="atLeast"/>
        <w:ind w:left="1095" w:leftChars="455" w:hanging="140" w:hangingChars="50"/>
        <w:rPr>
          <w:rFonts w:eastAsiaTheme="minorEastAsia"/>
          <w:color w:val="000000" w:themeColor="text1"/>
          <w:sz w:val="28"/>
          <w:szCs w:val="28"/>
        </w:rPr>
      </w:pPr>
      <w:r>
        <w:rPr>
          <w:rFonts w:eastAsiaTheme="minorEastAsia"/>
          <w:color w:val="000000" w:themeColor="text1"/>
          <w:sz w:val="28"/>
          <w:szCs w:val="28"/>
        </w:rPr>
        <w:t>3超大城市指城区常住人口在1000万以上的城市；特大城市指城区常住人口500万以上1000万以下的城市；大城市指城区常住人口100万以上500万以下的城市；中等城市指城区常住人口50万以上100万以下的城市；小城市指城区常住人口在50万以下的城市（以上包括本数，以下不包括本数）。</w:t>
      </w:r>
    </w:p>
    <w:p>
      <w:pPr>
        <w:wordWrap w:val="0"/>
        <w:spacing w:before="156" w:beforeLines="50"/>
        <w:rPr>
          <w:rFonts w:eastAsiaTheme="minorEastAsia"/>
          <w:color w:val="000000" w:themeColor="text1"/>
          <w:sz w:val="28"/>
          <w:szCs w:val="28"/>
        </w:rPr>
      </w:pPr>
      <w:r>
        <w:rPr>
          <w:rFonts w:eastAsiaTheme="minorEastAsia"/>
          <w:color w:val="000000" w:themeColor="text1"/>
          <w:sz w:val="28"/>
          <w:szCs w:val="28"/>
        </w:rPr>
        <w:t>【条文说明】表3为我国目前雨水管渠设计重现期与发达国家和地区的对比情况。美国、日本等国在城镇</w:t>
      </w:r>
      <w:r>
        <w:rPr>
          <w:rFonts w:hint="eastAsia" w:eastAsiaTheme="minorEastAsia"/>
          <w:color w:val="000000" w:themeColor="text1"/>
          <w:sz w:val="28"/>
          <w:szCs w:val="28"/>
        </w:rPr>
        <w:t>排水管渠</w:t>
      </w:r>
      <w:r>
        <w:rPr>
          <w:rFonts w:eastAsiaTheme="minorEastAsia"/>
          <w:color w:val="000000" w:themeColor="text1"/>
          <w:sz w:val="28"/>
          <w:szCs w:val="28"/>
        </w:rPr>
        <w:t>设施上投入较大，城镇雨水管渠设计重现期一般采用5年~10年。《日本下水道设计指南》（2009年版）中规定，排水系统设计重现期在10年内应提高到10年~15年。所以本标准提出按照地区性质和城镇类型，并结合地形特点和气候特征等因素，经技术经济比较后，适当提高我国雨水管渠的设计重现期，并与发达国家和地区标准基本一致。</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表3发达国家和地区</w:t>
      </w:r>
      <w:r>
        <w:rPr>
          <w:rFonts w:hint="eastAsia" w:eastAsiaTheme="minorEastAsia"/>
          <w:b/>
          <w:color w:val="000000" w:themeColor="text1"/>
          <w:sz w:val="28"/>
          <w:szCs w:val="28"/>
        </w:rPr>
        <w:t>排水管渠设计重现期</w:t>
      </w:r>
    </w:p>
    <w:tbl>
      <w:tblPr>
        <w:tblStyle w:val="2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6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2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国家（地区）</w:t>
            </w:r>
          </w:p>
        </w:tc>
        <w:tc>
          <w:tcPr>
            <w:tcW w:w="679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设计暴雨重现期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2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中国香港</w:t>
            </w:r>
          </w:p>
        </w:tc>
        <w:tc>
          <w:tcPr>
            <w:tcW w:w="6794" w:type="dxa"/>
            <w:vAlign w:val="center"/>
          </w:tcPr>
          <w:p>
            <w:pPr>
              <w:wordWrap w:val="0"/>
              <w:rPr>
                <w:rFonts w:eastAsiaTheme="minorEastAsia"/>
                <w:color w:val="000000" w:themeColor="text1"/>
                <w:sz w:val="28"/>
                <w:szCs w:val="28"/>
              </w:rPr>
            </w:pPr>
            <w:r>
              <w:rPr>
                <w:rFonts w:eastAsiaTheme="minorEastAsia"/>
                <w:color w:val="000000" w:themeColor="text1"/>
                <w:sz w:val="28"/>
                <w:szCs w:val="28"/>
              </w:rPr>
              <w:t>高度利用的农业用地2年~5年；农村排水，包括开拓地项目的内部排水系统10年；城市排水支线系统50年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2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美国</w:t>
            </w:r>
          </w:p>
        </w:tc>
        <w:tc>
          <w:tcPr>
            <w:tcW w:w="6794" w:type="dxa"/>
            <w:vAlign w:val="center"/>
          </w:tcPr>
          <w:p>
            <w:pPr>
              <w:wordWrap w:val="0"/>
              <w:rPr>
                <w:rFonts w:eastAsiaTheme="minorEastAsia"/>
                <w:color w:val="000000" w:themeColor="text1"/>
                <w:sz w:val="28"/>
                <w:szCs w:val="28"/>
              </w:rPr>
            </w:pPr>
            <w:r>
              <w:rPr>
                <w:rFonts w:eastAsiaTheme="minorEastAsia"/>
                <w:color w:val="000000" w:themeColor="text1"/>
                <w:sz w:val="28"/>
                <w:szCs w:val="28"/>
              </w:rPr>
              <w:t>居住区2年~15年，一般取10年。商业和高价值地区10年~100年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2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欧盟</w:t>
            </w:r>
          </w:p>
        </w:tc>
        <w:tc>
          <w:tcPr>
            <w:tcW w:w="6794" w:type="dxa"/>
            <w:vAlign w:val="center"/>
          </w:tcPr>
          <w:p>
            <w:pPr>
              <w:wordWrap w:val="0"/>
              <w:rPr>
                <w:rFonts w:eastAsiaTheme="minorEastAsia"/>
                <w:color w:val="000000" w:themeColor="text1"/>
                <w:sz w:val="28"/>
                <w:szCs w:val="28"/>
              </w:rPr>
            </w:pPr>
            <w:r>
              <w:rPr>
                <w:rFonts w:eastAsiaTheme="minorEastAsia"/>
                <w:color w:val="000000" w:themeColor="text1"/>
                <w:sz w:val="28"/>
                <w:szCs w:val="28"/>
              </w:rPr>
              <w:t>农村地区1年、居民区2年、城市中心/工业区/商业区5年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2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英国</w:t>
            </w:r>
          </w:p>
        </w:tc>
        <w:tc>
          <w:tcPr>
            <w:tcW w:w="6794" w:type="dxa"/>
            <w:vAlign w:val="center"/>
          </w:tcPr>
          <w:p>
            <w:pPr>
              <w:wordWrap w:val="0"/>
              <w:rPr>
                <w:rFonts w:eastAsiaTheme="minorEastAsia"/>
                <w:color w:val="000000" w:themeColor="text1"/>
                <w:sz w:val="28"/>
                <w:szCs w:val="28"/>
              </w:rPr>
            </w:pPr>
            <w:r>
              <w:rPr>
                <w:rFonts w:eastAsiaTheme="minorEastAsia"/>
                <w:color w:val="000000" w:themeColor="text1"/>
                <w:sz w:val="28"/>
                <w:szCs w:val="28"/>
              </w:rPr>
              <w:t>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jc w:val="center"/>
        </w:trPr>
        <w:tc>
          <w:tcPr>
            <w:tcW w:w="172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日本</w:t>
            </w:r>
          </w:p>
        </w:tc>
        <w:tc>
          <w:tcPr>
            <w:tcW w:w="6794" w:type="dxa"/>
            <w:vAlign w:val="center"/>
          </w:tcPr>
          <w:p>
            <w:pPr>
              <w:wordWrap w:val="0"/>
              <w:rPr>
                <w:rFonts w:eastAsiaTheme="minorEastAsia"/>
                <w:color w:val="000000" w:themeColor="text1"/>
                <w:sz w:val="28"/>
                <w:szCs w:val="28"/>
              </w:rPr>
            </w:pPr>
            <w:r>
              <w:rPr>
                <w:rFonts w:eastAsiaTheme="minorEastAsia"/>
                <w:color w:val="000000" w:themeColor="text1"/>
                <w:sz w:val="28"/>
                <w:szCs w:val="28"/>
              </w:rPr>
              <w:t>3年~10年，10年内应提高至10年~15年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2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澳大利亚</w:t>
            </w:r>
          </w:p>
        </w:tc>
        <w:tc>
          <w:tcPr>
            <w:tcW w:w="6794" w:type="dxa"/>
            <w:vAlign w:val="center"/>
          </w:tcPr>
          <w:p>
            <w:pPr>
              <w:wordWrap w:val="0"/>
              <w:rPr>
                <w:rFonts w:eastAsiaTheme="minorEastAsia"/>
                <w:color w:val="000000" w:themeColor="text1"/>
                <w:sz w:val="28"/>
                <w:szCs w:val="28"/>
              </w:rPr>
            </w:pPr>
            <w:r>
              <w:rPr>
                <w:rFonts w:eastAsiaTheme="minorEastAsia"/>
                <w:color w:val="000000" w:themeColor="text1"/>
                <w:sz w:val="28"/>
                <w:szCs w:val="28"/>
              </w:rPr>
              <w:t>高密度开发的办公、商业和工业区20年~50年；其他地区以及住宅区为10年；较低密度的居民区和开放地区为5年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2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新加坡</w:t>
            </w:r>
          </w:p>
        </w:tc>
        <w:tc>
          <w:tcPr>
            <w:tcW w:w="6794" w:type="dxa"/>
            <w:vAlign w:val="center"/>
          </w:tcPr>
          <w:p>
            <w:pPr>
              <w:wordWrap w:val="0"/>
              <w:rPr>
                <w:rFonts w:eastAsiaTheme="minorEastAsia"/>
                <w:color w:val="000000" w:themeColor="text1"/>
                <w:sz w:val="28"/>
                <w:szCs w:val="28"/>
              </w:rPr>
            </w:pPr>
            <w:r>
              <w:rPr>
                <w:rFonts w:eastAsiaTheme="minorEastAsia"/>
                <w:color w:val="000000" w:themeColor="text1"/>
                <w:sz w:val="28"/>
                <w:szCs w:val="28"/>
              </w:rPr>
              <w:t>一般管渠、次要排水设施、小河道5年一遇机场、隧道等重要基础设施和地区50年一遇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28" w:type="dxa"/>
            <w:vAlign w:val="center"/>
          </w:tcPr>
          <w:p>
            <w:pPr>
              <w:wordWrap w:val="0"/>
              <w:jc w:val="center"/>
              <w:rPr>
                <w:rFonts w:eastAsiaTheme="minorEastAsia"/>
                <w:color w:val="000000" w:themeColor="text1"/>
                <w:sz w:val="28"/>
                <w:szCs w:val="28"/>
              </w:rPr>
            </w:pPr>
            <w:r>
              <w:rPr>
                <w:rFonts w:hint="eastAsia" w:eastAsiaTheme="minorEastAsia"/>
                <w:color w:val="000000" w:themeColor="text1"/>
                <w:sz w:val="28"/>
                <w:szCs w:val="28"/>
              </w:rPr>
              <w:t>本标准</w:t>
            </w:r>
          </w:p>
        </w:tc>
        <w:tc>
          <w:tcPr>
            <w:tcW w:w="6794" w:type="dxa"/>
            <w:vAlign w:val="center"/>
          </w:tcPr>
          <w:p>
            <w:pPr>
              <w:wordWrap w:val="0"/>
              <w:rPr>
                <w:rFonts w:eastAsiaTheme="minorEastAsia"/>
                <w:color w:val="000000" w:themeColor="text1"/>
                <w:sz w:val="28"/>
                <w:szCs w:val="28"/>
              </w:rPr>
            </w:pPr>
          </w:p>
        </w:tc>
      </w:tr>
    </w:tbl>
    <w:p>
      <w:pPr>
        <w:wordWrap w:val="0"/>
        <w:ind w:firstLine="576"/>
        <w:jc w:val="left"/>
        <w:rPr>
          <w:rFonts w:eastAsiaTheme="minorEastAsia"/>
          <w:color w:val="000000" w:themeColor="text1"/>
          <w:sz w:val="28"/>
          <w:szCs w:val="28"/>
        </w:rPr>
      </w:pPr>
      <w:r>
        <w:rPr>
          <w:rFonts w:eastAsiaTheme="minorEastAsia"/>
          <w:color w:val="000000" w:themeColor="text1"/>
          <w:sz w:val="28"/>
          <w:szCs w:val="28"/>
        </w:rPr>
        <w:t>根据2014年11月20日国务院下发的《国务院关于调整城市规模划分标准的通知》（国发[2014]51号），表4.1.6的城镇类型按城区常住人口划分为“超大城市和特大城市”、“大城市”和“中等城市和小城市”。城区类型则分为“中心城区”、“非中心城区”、“中心城区的重要地区”和“中心城区的地下通道和下沉式广场”。其中，中心城区重要地区主要指行政中心、交通枢纽、学校、医院和商业聚集区等。</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根据我国目前城市发展现状，并参照国外相关标准，将“中心城区地下通道和下沉式广场等”单独列出。以德国、美国为例，德国给水废水和废弃物协会（ATV-DVWK）推荐的设计标准（ATV-A118）中规定：地下铁道/地下通道的设计重现期为5年~20年。我国上海市虹桥商务区的规划中，将下沉式广场的设计重现期规定为50年。由于中心城区地下通道和下沉式广场的汇水面积可以控制，且一般不能与城镇内涝防治系统相结合，因此采用的设计重现期应与内涝防治设计重现期相协调。</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内涝防治设计重现期，应根据城镇类型、积水影响程度和内河水位变化等因素，经技术经济比较后按表4.1.7的规定取值，并应符合下列规定：</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人口密集、内涝易发且经济条件较好的城市，宜采用规定的上限；</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目前不具备条件的地区可分期达到标准；</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当地面积水不满足表4.1.7的要求时，应采取渗透、调蓄、设</w:t>
      </w:r>
      <w:r>
        <w:rPr>
          <w:rFonts w:hint="eastAsia" w:eastAsiaTheme="minorEastAsia"/>
          <w:color w:val="000000" w:themeColor="text1"/>
          <w:sz w:val="28"/>
          <w:szCs w:val="28"/>
        </w:rPr>
        <w:t>置</w:t>
      </w:r>
      <w:r>
        <w:rPr>
          <w:rFonts w:eastAsiaTheme="minorEastAsia"/>
          <w:color w:val="000000" w:themeColor="text1"/>
          <w:sz w:val="28"/>
          <w:szCs w:val="28"/>
        </w:rPr>
        <w:t>行泄通道和内河整治等措施；</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对超过内涝设计重现期的暴雨，应采取应急措施。</w:t>
      </w:r>
    </w:p>
    <w:p>
      <w:pPr>
        <w:wordWrap w:val="0"/>
        <w:spacing w:after="62" w:afterLines="20" w:line="480" w:lineRule="atLeast"/>
        <w:jc w:val="center"/>
        <w:rPr>
          <w:rFonts w:eastAsiaTheme="minorEastAsia"/>
          <w:b/>
          <w:color w:val="000000" w:themeColor="text1"/>
          <w:sz w:val="28"/>
          <w:szCs w:val="28"/>
        </w:rPr>
      </w:pPr>
      <w:r>
        <w:rPr>
          <w:rFonts w:eastAsiaTheme="minorEastAsia"/>
          <w:b/>
          <w:color w:val="000000" w:themeColor="text1"/>
          <w:sz w:val="28"/>
          <w:szCs w:val="28"/>
        </w:rPr>
        <w:t>表4.1.7</w:t>
      </w:r>
      <w:r>
        <w:rPr>
          <w:rFonts w:hint="eastAsia" w:eastAsiaTheme="minorEastAsia"/>
          <w:b/>
          <w:color w:val="000000" w:themeColor="text1"/>
          <w:sz w:val="28"/>
          <w:szCs w:val="28"/>
        </w:rPr>
        <w:t xml:space="preserve"> </w:t>
      </w:r>
      <w:r>
        <w:rPr>
          <w:rFonts w:eastAsiaTheme="minorEastAsia"/>
          <w:b/>
          <w:color w:val="000000" w:themeColor="text1"/>
          <w:sz w:val="28"/>
          <w:szCs w:val="28"/>
        </w:rPr>
        <w:t>内涝防治设计重现期</w:t>
      </w:r>
    </w:p>
    <w:tbl>
      <w:tblPr>
        <w:tblStyle w:val="25"/>
        <w:tblW w:w="86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7"/>
        <w:gridCol w:w="2268"/>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7" w:type="dxa"/>
            <w:vAlign w:val="center"/>
          </w:tcPr>
          <w:p>
            <w:pPr>
              <w:widowControl/>
              <w:wordWrap w:val="0"/>
              <w:jc w:val="center"/>
              <w:rPr>
                <w:rFonts w:eastAsiaTheme="minorEastAsia"/>
                <w:color w:val="000000" w:themeColor="text1"/>
                <w:sz w:val="28"/>
                <w:szCs w:val="28"/>
              </w:rPr>
            </w:pPr>
            <w:r>
              <w:rPr>
                <w:rFonts w:eastAsiaTheme="minorEastAsia"/>
                <w:color w:val="000000" w:themeColor="text1"/>
                <w:sz w:val="28"/>
                <w:szCs w:val="28"/>
              </w:rPr>
              <w:t>城镇类型</w:t>
            </w:r>
          </w:p>
        </w:tc>
        <w:tc>
          <w:tcPr>
            <w:tcW w:w="2268" w:type="dxa"/>
            <w:vAlign w:val="center"/>
          </w:tcPr>
          <w:p>
            <w:pPr>
              <w:widowControl/>
              <w:wordWrap w:val="0"/>
              <w:ind w:left="-107" w:leftChars="-51" w:firstLine="123" w:firstLineChars="44"/>
              <w:jc w:val="center"/>
              <w:rPr>
                <w:rFonts w:eastAsiaTheme="minorEastAsia"/>
                <w:color w:val="000000" w:themeColor="text1"/>
                <w:sz w:val="28"/>
                <w:szCs w:val="28"/>
              </w:rPr>
            </w:pPr>
            <w:r>
              <w:rPr>
                <w:rFonts w:eastAsiaTheme="minorEastAsia"/>
                <w:color w:val="000000" w:themeColor="text1"/>
                <w:sz w:val="28"/>
                <w:szCs w:val="28"/>
              </w:rPr>
              <w:t>重现期（年）</w:t>
            </w:r>
          </w:p>
        </w:tc>
        <w:tc>
          <w:tcPr>
            <w:tcW w:w="3878" w:type="dxa"/>
            <w:vAlign w:val="center"/>
          </w:tcPr>
          <w:p>
            <w:pPr>
              <w:widowControl/>
              <w:wordWrap w:val="0"/>
              <w:jc w:val="center"/>
              <w:rPr>
                <w:rFonts w:eastAsiaTheme="minorEastAsia"/>
                <w:color w:val="000000" w:themeColor="text1"/>
                <w:sz w:val="28"/>
                <w:szCs w:val="28"/>
              </w:rPr>
            </w:pPr>
            <w:r>
              <w:rPr>
                <w:rFonts w:eastAsiaTheme="minorEastAsia"/>
                <w:color w:val="000000" w:themeColor="text1"/>
                <w:sz w:val="28"/>
                <w:szCs w:val="28"/>
              </w:rPr>
              <w:t>地面积水设计标准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7" w:type="dxa"/>
            <w:vAlign w:val="center"/>
          </w:tcPr>
          <w:p>
            <w:pPr>
              <w:widowControl/>
              <w:wordWrap w:val="0"/>
              <w:jc w:val="center"/>
              <w:rPr>
                <w:rFonts w:eastAsiaTheme="minorEastAsia"/>
                <w:color w:val="000000" w:themeColor="text1"/>
                <w:sz w:val="28"/>
                <w:szCs w:val="28"/>
              </w:rPr>
            </w:pPr>
            <w:r>
              <w:rPr>
                <w:rFonts w:eastAsiaTheme="minorEastAsia"/>
                <w:color w:val="000000" w:themeColor="text1"/>
                <w:sz w:val="28"/>
                <w:szCs w:val="28"/>
              </w:rPr>
              <w:t>超大城市</w:t>
            </w:r>
          </w:p>
        </w:tc>
        <w:tc>
          <w:tcPr>
            <w:tcW w:w="2268" w:type="dxa"/>
            <w:vAlign w:val="center"/>
          </w:tcPr>
          <w:p>
            <w:pPr>
              <w:widowControl/>
              <w:wordWrap w:val="0"/>
              <w:ind w:left="-107" w:leftChars="-51" w:firstLine="123" w:firstLineChars="44"/>
              <w:jc w:val="center"/>
              <w:rPr>
                <w:rFonts w:eastAsiaTheme="minorEastAsia"/>
                <w:color w:val="000000" w:themeColor="text1"/>
                <w:sz w:val="28"/>
                <w:szCs w:val="28"/>
              </w:rPr>
            </w:pPr>
            <w:r>
              <w:rPr>
                <w:rFonts w:eastAsiaTheme="minorEastAsia"/>
                <w:color w:val="000000" w:themeColor="text1"/>
                <w:sz w:val="28"/>
                <w:szCs w:val="28"/>
              </w:rPr>
              <w:t>100</w:t>
            </w:r>
          </w:p>
        </w:tc>
        <w:tc>
          <w:tcPr>
            <w:tcW w:w="3878" w:type="dxa"/>
            <w:vMerge w:val="restart"/>
            <w:vAlign w:val="center"/>
          </w:tcPr>
          <w:p>
            <w:pPr>
              <w:wordWrap w:val="0"/>
              <w:ind w:firstLine="369" w:firstLineChars="132"/>
              <w:jc w:val="left"/>
              <w:rPr>
                <w:rFonts w:eastAsiaTheme="minorEastAsia"/>
                <w:color w:val="000000" w:themeColor="text1"/>
                <w:sz w:val="28"/>
                <w:szCs w:val="28"/>
              </w:rPr>
            </w:pPr>
            <w:r>
              <w:rPr>
                <w:rFonts w:eastAsiaTheme="minorEastAsia"/>
                <w:color w:val="000000" w:themeColor="text1"/>
                <w:sz w:val="28"/>
                <w:szCs w:val="28"/>
              </w:rPr>
              <w:t>1 居民住宅和工商业建筑物的底层不进水；</w:t>
            </w:r>
          </w:p>
          <w:p>
            <w:pPr>
              <w:wordWrap w:val="0"/>
              <w:ind w:firstLine="369" w:firstLineChars="132"/>
              <w:jc w:val="left"/>
              <w:rPr>
                <w:rFonts w:eastAsiaTheme="minorEastAsia"/>
                <w:color w:val="000000" w:themeColor="text1"/>
                <w:sz w:val="28"/>
                <w:szCs w:val="28"/>
              </w:rPr>
            </w:pPr>
            <w:r>
              <w:rPr>
                <w:rFonts w:eastAsiaTheme="minorEastAsia"/>
                <w:color w:val="000000" w:themeColor="text1"/>
                <w:sz w:val="28"/>
                <w:szCs w:val="28"/>
              </w:rPr>
              <w:t>2道路中一条车道的积水深度不超过15cm。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7"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特大城市</w:t>
            </w:r>
          </w:p>
        </w:tc>
        <w:tc>
          <w:tcPr>
            <w:tcW w:w="226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50~100</w:t>
            </w:r>
          </w:p>
        </w:tc>
        <w:tc>
          <w:tcPr>
            <w:tcW w:w="3878" w:type="dxa"/>
            <w:vMerge w:val="continue"/>
            <w:vAlign w:val="center"/>
          </w:tcPr>
          <w:p>
            <w:pPr>
              <w:wordWrap w:val="0"/>
              <w:ind w:firstLine="369" w:firstLineChars="132"/>
              <w:jc w:val="left"/>
              <w:rPr>
                <w:rFonts w:eastAsiaTheme="minorEastAsia"/>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7"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大城市</w:t>
            </w:r>
          </w:p>
        </w:tc>
        <w:tc>
          <w:tcPr>
            <w:tcW w:w="226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30~50</w:t>
            </w:r>
          </w:p>
        </w:tc>
        <w:tc>
          <w:tcPr>
            <w:tcW w:w="3878" w:type="dxa"/>
            <w:vMerge w:val="continue"/>
            <w:vAlign w:val="center"/>
          </w:tcPr>
          <w:p>
            <w:pPr>
              <w:wordWrap w:val="0"/>
              <w:jc w:val="center"/>
              <w:rPr>
                <w:rFonts w:eastAsiaTheme="minorEastAsia"/>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7"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中等城市和小城市</w:t>
            </w:r>
          </w:p>
        </w:tc>
        <w:tc>
          <w:tcPr>
            <w:tcW w:w="226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20~30</w:t>
            </w:r>
          </w:p>
        </w:tc>
        <w:tc>
          <w:tcPr>
            <w:tcW w:w="3878" w:type="dxa"/>
            <w:vMerge w:val="continue"/>
            <w:vAlign w:val="center"/>
          </w:tcPr>
          <w:p>
            <w:pPr>
              <w:wordWrap w:val="0"/>
              <w:jc w:val="center"/>
              <w:rPr>
                <w:rFonts w:eastAsiaTheme="minorEastAsia"/>
                <w:color w:val="000000" w:themeColor="text1"/>
                <w:sz w:val="28"/>
                <w:szCs w:val="28"/>
              </w:rPr>
            </w:pPr>
          </w:p>
        </w:tc>
      </w:tr>
    </w:tbl>
    <w:p>
      <w:pPr>
        <w:wordWrap w:val="0"/>
        <w:spacing w:line="480" w:lineRule="atLeast"/>
        <w:ind w:left="1260" w:leftChars="200" w:hanging="840" w:hangingChars="300"/>
        <w:rPr>
          <w:rFonts w:eastAsiaTheme="minorEastAsia"/>
          <w:color w:val="000000" w:themeColor="text1"/>
          <w:sz w:val="28"/>
          <w:szCs w:val="28"/>
        </w:rPr>
      </w:pPr>
      <w:r>
        <w:rPr>
          <w:rFonts w:eastAsiaTheme="minorEastAsia"/>
          <w:color w:val="000000" w:themeColor="text1"/>
          <w:sz w:val="28"/>
          <w:szCs w:val="28"/>
        </w:rPr>
        <w:t>注：1表中所列设计重现期适用于采用年最大值法确定的暴雨强度公式。</w:t>
      </w:r>
    </w:p>
    <w:p>
      <w:pPr>
        <w:wordWrap w:val="0"/>
        <w:spacing w:line="480" w:lineRule="atLeast"/>
        <w:ind w:left="1130" w:leftChars="405" w:hanging="280" w:hangingChars="100"/>
        <w:rPr>
          <w:rFonts w:eastAsiaTheme="minorEastAsia"/>
          <w:color w:val="000000" w:themeColor="text1"/>
          <w:sz w:val="28"/>
          <w:szCs w:val="28"/>
        </w:rPr>
      </w:pPr>
      <w:r>
        <w:rPr>
          <w:rFonts w:eastAsiaTheme="minorEastAsia"/>
          <w:color w:val="000000" w:themeColor="text1"/>
          <w:sz w:val="28"/>
          <w:szCs w:val="28"/>
        </w:rPr>
        <w:t>2超大城市指城区常住人口在1000万以上的城市；特大城市指城区常住人口500万以上1000万以下的城市；大城市指城区常住人口100万以上500万以下的城市；中等城市指城区常住人口50万以上100万以下的城市；小城市指城区常住人口在50万以下的城市（以上包括本数，以下不包括本数）。</w:t>
      </w:r>
    </w:p>
    <w:p>
      <w:pPr>
        <w:wordWrap w:val="0"/>
        <w:spacing w:line="480" w:lineRule="atLeast"/>
        <w:ind w:left="1130" w:leftChars="405" w:hanging="280" w:hangingChars="100"/>
        <w:rPr>
          <w:rFonts w:eastAsiaTheme="minorEastAsia"/>
          <w:b/>
          <w:color w:val="000000" w:themeColor="text1"/>
          <w:sz w:val="28"/>
          <w:szCs w:val="28"/>
        </w:rPr>
      </w:pPr>
      <w:r>
        <w:rPr>
          <w:rFonts w:eastAsiaTheme="minorEastAsia"/>
          <w:color w:val="000000" w:themeColor="text1"/>
          <w:sz w:val="28"/>
          <w:szCs w:val="28"/>
        </w:rPr>
        <w:t>3 本标准规定的地面积水设计标准没有包括具体的积水时间，各城市应根据地区重要性等因素，因地制宜确定设计地面积水时间。</w:t>
      </w:r>
    </w:p>
    <w:p>
      <w:pPr>
        <w:wordWrap w:val="0"/>
        <w:spacing w:line="480" w:lineRule="atLeast"/>
        <w:rPr>
          <w:rFonts w:eastAsiaTheme="minorEastAsia"/>
          <w:color w:val="000000" w:themeColor="text1"/>
          <w:sz w:val="28"/>
          <w:szCs w:val="28"/>
        </w:rPr>
      </w:pPr>
      <w:r>
        <w:rPr>
          <w:rFonts w:eastAsiaTheme="minorEastAsia"/>
          <w:color w:val="000000" w:themeColor="text1"/>
          <w:sz w:val="28"/>
          <w:szCs w:val="28"/>
        </w:rPr>
        <w:t>【条文说明】城镇内涝防治的主要目的是将降雨期间的地面积水控制在可接受的范围。本标准根据城镇类型确定不同的内涝防治设计重现期和对应的积水深度标准，用以规范和指导内涝防治设施的设计。本标准中的城镇类型划分同表4.1.6。</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根据内涝防治设计重现期校核地面积水排除能力时，应根据当地历史数据合理确定用于校核的降雨历时及该时段内的降雨量分布情况，有条件的地区</w:t>
      </w:r>
      <w:r>
        <w:rPr>
          <w:rFonts w:hint="eastAsia" w:eastAsiaTheme="minorEastAsia"/>
          <w:color w:val="000000" w:themeColor="text1"/>
          <w:sz w:val="28"/>
          <w:szCs w:val="28"/>
        </w:rPr>
        <w:t>应</w:t>
      </w:r>
      <w:r>
        <w:rPr>
          <w:rFonts w:eastAsiaTheme="minorEastAsia"/>
          <w:color w:val="000000" w:themeColor="text1"/>
          <w:sz w:val="28"/>
          <w:szCs w:val="28"/>
        </w:rPr>
        <w:t>采用数学模型计算。如校核结果不符合要求，应调整设计，包括放大管径、增设渗透设施、建设调蓄段或调蓄池等。执行表4.1.7标准时，雨水管渠按压力流计算，即雨水管渠应处于超载状态。</w:t>
      </w:r>
    </w:p>
    <w:p>
      <w:pPr>
        <w:wordWrap w:val="0"/>
        <w:ind w:firstLine="560" w:firstLineChars="200"/>
        <w:rPr>
          <w:rFonts w:eastAsiaTheme="minorEastAsia"/>
          <w:sz w:val="28"/>
          <w:szCs w:val="28"/>
        </w:rPr>
      </w:pPr>
      <w:r>
        <w:rPr>
          <w:rFonts w:eastAsiaTheme="minorEastAsia"/>
          <w:color w:val="000000" w:themeColor="text1"/>
          <w:sz w:val="28"/>
          <w:szCs w:val="28"/>
        </w:rPr>
        <w:t>表4.1.7“地面积水设计标准”中的道路积水深度是指靠近路拱处的车道上最深积水深度</w:t>
      </w:r>
      <w:r>
        <w:rPr>
          <w:rFonts w:eastAsiaTheme="minorEastAsia"/>
          <w:sz w:val="28"/>
          <w:szCs w:val="28"/>
        </w:rPr>
        <w:t>（如图2所示）</w:t>
      </w:r>
      <w:r>
        <w:rPr>
          <w:rFonts w:eastAsiaTheme="minorEastAsia"/>
          <w:color w:val="000000" w:themeColor="text1"/>
          <w:sz w:val="28"/>
          <w:szCs w:val="28"/>
        </w:rPr>
        <w:t>。当路面积水深度超过15cm时，车道可能因机动车熄火而完全中断，</w:t>
      </w:r>
      <w:r>
        <w:rPr>
          <w:rFonts w:eastAsiaTheme="minorEastAsia"/>
          <w:sz w:val="28"/>
          <w:szCs w:val="28"/>
        </w:rPr>
        <w:t>本规定能保证城镇道路不论宽窄，在内涝防治设计重现期下，至少有一车道能够通行。</w:t>
      </w:r>
      <w:r>
        <w:rPr>
          <w:rFonts w:eastAsiaTheme="minorEastAsia"/>
          <w:color w:val="000000" w:themeColor="text1"/>
          <w:sz w:val="28"/>
          <w:szCs w:val="28"/>
        </w:rPr>
        <w:t>发达国家和我国部分城市已有类似的规定，如美国丹佛市规定：当降雨强度不超过10年一遇时，非主干道路（collector）中央的积水深度不应超过15cm，主干道路和高速公路的中央不应有积水；当降雨强度为100年一遇时，非主干道路中央的积水深度不应超过30cm，主干道路和高速公路中央不应有积水。上海市关于</w:t>
      </w:r>
      <w:r>
        <w:rPr>
          <w:rFonts w:eastAsiaTheme="minorEastAsia"/>
          <w:sz w:val="28"/>
          <w:szCs w:val="28"/>
        </w:rPr>
        <w:t>判定</w:t>
      </w:r>
      <w:r>
        <w:rPr>
          <w:rFonts w:eastAsiaTheme="minorEastAsia"/>
          <w:color w:val="000000" w:themeColor="text1"/>
          <w:sz w:val="28"/>
          <w:szCs w:val="28"/>
        </w:rPr>
        <w:t>市政道路积水的标准</w:t>
      </w:r>
      <w:r>
        <w:rPr>
          <w:rFonts w:eastAsiaTheme="minorEastAsia"/>
          <w:sz w:val="28"/>
          <w:szCs w:val="28"/>
        </w:rPr>
        <w:t>有两个</w:t>
      </w:r>
      <w:r>
        <w:rPr>
          <w:rFonts w:eastAsiaTheme="minorEastAsia"/>
          <w:color w:val="000000" w:themeColor="text1"/>
          <w:sz w:val="28"/>
          <w:szCs w:val="28"/>
        </w:rPr>
        <w:t>：一</w:t>
      </w:r>
      <w:r>
        <w:rPr>
          <w:rFonts w:eastAsiaTheme="minorEastAsia"/>
          <w:sz w:val="28"/>
          <w:szCs w:val="28"/>
        </w:rPr>
        <w:t>是积水深度超过道路立缘石（侧石），上海市规定立缘石高出路面边缘一般为10cm~20cm；二是道路中心雨停后积水时间大于1h</w:t>
      </w:r>
      <w:r>
        <w:rPr>
          <w:rFonts w:eastAsiaTheme="minorEastAsia"/>
          <w:color w:val="000000" w:themeColor="text1"/>
          <w:sz w:val="28"/>
          <w:szCs w:val="28"/>
        </w:rPr>
        <w:t>。</w:t>
      </w:r>
      <w:r>
        <w:rPr>
          <w:rFonts w:eastAsiaTheme="minorEastAsia"/>
          <w:sz w:val="28"/>
          <w:szCs w:val="28"/>
        </w:rPr>
        <w:t>此外，上海市规定下穿式立体交叉道路在积水20cm时限行，在积水25cm时封闭；公共汽车超过规定的涉水深度（一般电车23cm、超级电容车18cm、并联式车辆30cm、汽车35cm）且积水区域长达100m以上时，车辆暂停行驶。</w:t>
      </w:r>
    </w:p>
    <w:p>
      <w:pPr>
        <w:wordWrap w:val="0"/>
        <w:ind w:firstLine="560" w:firstLineChars="200"/>
        <w:rPr>
          <w:rFonts w:eastAsiaTheme="minorEastAsia"/>
          <w:sz w:val="28"/>
          <w:szCs w:val="28"/>
        </w:rPr>
      </w:pPr>
      <w:r>
        <w:rPr>
          <w:rFonts w:eastAsiaTheme="minorEastAsia"/>
          <w:sz w:val="28"/>
          <w:szCs w:val="28"/>
        </w:rPr>
        <w:drawing>
          <wp:inline distT="0" distB="0" distL="0" distR="0">
            <wp:extent cx="3857625" cy="1508125"/>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l="-258" r="26660"/>
                    <a:stretch>
                      <a:fillRect/>
                    </a:stretch>
                  </pic:blipFill>
                  <pic:spPr>
                    <a:xfrm>
                      <a:off x="0" y="0"/>
                      <a:ext cx="3884646" cy="1518489"/>
                    </a:xfrm>
                    <a:prstGeom prst="rect">
                      <a:avLst/>
                    </a:prstGeom>
                    <a:noFill/>
                    <a:ln>
                      <a:noFill/>
                    </a:ln>
                  </pic:spPr>
                </pic:pic>
              </a:graphicData>
            </a:graphic>
          </wp:inline>
        </w:drawing>
      </w:r>
    </w:p>
    <w:p>
      <w:pPr>
        <w:wordWrap w:val="0"/>
        <w:spacing w:line="360" w:lineRule="auto"/>
        <w:ind w:firstLine="562"/>
        <w:jc w:val="center"/>
        <w:rPr>
          <w:rFonts w:eastAsiaTheme="minorEastAsia"/>
          <w:sz w:val="28"/>
          <w:szCs w:val="28"/>
        </w:rPr>
      </w:pPr>
      <w:r>
        <w:rPr>
          <w:rFonts w:eastAsiaTheme="minorEastAsia"/>
          <w:b/>
          <w:sz w:val="28"/>
          <w:szCs w:val="28"/>
        </w:rPr>
        <w:t>图2地面积水设计标准示意图</w:t>
      </w:r>
    </w:p>
    <w:p>
      <w:pPr>
        <w:wordWrap w:val="0"/>
        <w:ind w:firstLine="560" w:firstLineChars="200"/>
        <w:rPr>
          <w:rFonts w:eastAsiaTheme="minorEastAsia"/>
          <w:sz w:val="28"/>
          <w:szCs w:val="28"/>
        </w:rPr>
      </w:pPr>
      <w:r>
        <w:rPr>
          <w:rFonts w:eastAsiaTheme="minorEastAsia"/>
          <w:sz w:val="28"/>
          <w:szCs w:val="28"/>
        </w:rPr>
        <w:t>本标准规定的地面积水设计标准没有包括具体的积水时间，各城市应根据地区重要性等因素，因地制宜确定设计地面积水时间。在规定的积水深度和积水时间内，不应视作内涝。</w:t>
      </w:r>
      <w:r>
        <w:rPr>
          <w:rFonts w:hint="eastAsia" w:eastAsiaTheme="minorEastAsia"/>
          <w:sz w:val="28"/>
          <w:szCs w:val="28"/>
        </w:rPr>
        <w:t>目前上海、福州、常州、石家庄等城市排水管理部门反馈，当地退水时间基本控制在雨停后1h-2h之内。一些城市还根据当地不同的 降雨强度，制定了不同的退水时间。例如安徽省住建厅于2012年5月发布的“关于印发 《安徽省城市排水设施建设管理指导意见》的通知”（建城[</w:t>
      </w:r>
      <w:r>
        <w:rPr>
          <w:rFonts w:eastAsiaTheme="minorEastAsia"/>
          <w:sz w:val="28"/>
          <w:szCs w:val="28"/>
        </w:rPr>
        <w:t>2012]99</w:t>
      </w:r>
      <w:r>
        <w:rPr>
          <w:rFonts w:hint="eastAsia" w:eastAsiaTheme="minorEastAsia"/>
          <w:sz w:val="28"/>
          <w:szCs w:val="28"/>
        </w:rPr>
        <w:t>号）中指出，降雨强度在</w:t>
      </w:r>
      <w:r>
        <w:rPr>
          <w:rFonts w:eastAsiaTheme="minorEastAsia"/>
          <w:sz w:val="28"/>
          <w:szCs w:val="28"/>
        </w:rPr>
        <w:t>35mm/hr</w:t>
      </w:r>
      <w:r>
        <w:rPr>
          <w:rFonts w:hint="eastAsia" w:eastAsiaTheme="minorEastAsia"/>
          <w:sz w:val="28"/>
          <w:szCs w:val="28"/>
        </w:rPr>
        <w:t>以下，道路不积水，</w:t>
      </w:r>
      <w:r>
        <w:rPr>
          <w:rFonts w:eastAsiaTheme="minorEastAsia"/>
          <w:sz w:val="28"/>
          <w:szCs w:val="28"/>
        </w:rPr>
        <w:t>35mm/hr-45mm/hr,</w:t>
      </w:r>
      <w:r>
        <w:rPr>
          <w:rFonts w:hint="eastAsia" w:eastAsiaTheme="minorEastAsia"/>
          <w:sz w:val="28"/>
          <w:szCs w:val="28"/>
        </w:rPr>
        <w:t>雨后</w:t>
      </w:r>
      <w:r>
        <w:rPr>
          <w:rFonts w:eastAsiaTheme="minorEastAsia"/>
          <w:sz w:val="28"/>
          <w:szCs w:val="28"/>
        </w:rPr>
        <w:t>2</w:t>
      </w:r>
      <w:r>
        <w:rPr>
          <w:rFonts w:hint="eastAsia" w:eastAsiaTheme="minorEastAsia"/>
          <w:sz w:val="28"/>
          <w:szCs w:val="28"/>
        </w:rPr>
        <w:t>h排除积水，</w:t>
      </w:r>
      <w:r>
        <w:rPr>
          <w:rFonts w:eastAsiaTheme="minorEastAsia"/>
          <w:sz w:val="28"/>
          <w:szCs w:val="28"/>
        </w:rPr>
        <w:t xml:space="preserve"> </w:t>
      </w:r>
      <w:r>
        <w:rPr>
          <w:rFonts w:hint="eastAsia" w:eastAsiaTheme="minorEastAsia"/>
          <w:sz w:val="28"/>
          <w:szCs w:val="28"/>
        </w:rPr>
        <w:t>重要路段及交通枢纽不积水。超过设计标准，即</w:t>
      </w:r>
      <w:r>
        <w:rPr>
          <w:rFonts w:eastAsiaTheme="minorEastAsia"/>
          <w:sz w:val="28"/>
          <w:szCs w:val="28"/>
        </w:rPr>
        <w:t>45mm/hr-55mm/hr</w:t>
      </w:r>
      <w:r>
        <w:rPr>
          <w:rFonts w:hint="eastAsia" w:eastAsiaTheme="minorEastAsia"/>
          <w:sz w:val="28"/>
          <w:szCs w:val="28"/>
        </w:rPr>
        <w:t>降雨雨后</w:t>
      </w:r>
      <w:r>
        <w:rPr>
          <w:rFonts w:eastAsiaTheme="minorEastAsia"/>
          <w:sz w:val="28"/>
          <w:szCs w:val="28"/>
        </w:rPr>
        <w:t>6</w:t>
      </w:r>
      <w:r>
        <w:rPr>
          <w:rFonts w:hint="eastAsia" w:eastAsiaTheme="minorEastAsia"/>
          <w:sz w:val="28"/>
          <w:szCs w:val="28"/>
        </w:rPr>
        <w:t>h内排除积水。</w:t>
      </w:r>
      <w:r>
        <w:rPr>
          <w:rFonts w:eastAsiaTheme="minorEastAsia"/>
          <w:sz w:val="28"/>
          <w:szCs w:val="28"/>
        </w:rPr>
        <w:t>55mm/hr</w:t>
      </w:r>
      <w:r>
        <w:rPr>
          <w:rFonts w:hint="eastAsia" w:eastAsiaTheme="minorEastAsia"/>
          <w:sz w:val="28"/>
          <w:szCs w:val="28"/>
        </w:rPr>
        <w:t>以上，不发生人员伤亡及重大财产损失。</w:t>
      </w:r>
    </w:p>
    <w:p>
      <w:pPr>
        <w:wordWrap w:val="0"/>
        <w:ind w:firstLine="560" w:firstLineChars="200"/>
        <w:rPr>
          <w:rFonts w:eastAsiaTheme="minorEastAsia"/>
          <w:color w:val="000000" w:themeColor="text1"/>
          <w:kern w:val="0"/>
          <w:sz w:val="28"/>
          <w:szCs w:val="28"/>
        </w:rPr>
      </w:pPr>
      <w:r>
        <w:rPr>
          <w:rFonts w:eastAsiaTheme="minorEastAsia"/>
          <w:color w:val="000000" w:themeColor="text1"/>
          <w:kern w:val="0"/>
          <w:sz w:val="28"/>
          <w:szCs w:val="28"/>
        </w:rPr>
        <w:t>发达国家和地区的城市内涝防治系统包含雨水管渠、坡地、道路、河道和调蓄设施等所有雨水径流可能流经的地区。美国和澳大利亚的内涝防治设计重现期为100年或大于100年，英国为30年~100年，香港城市主干管为200年，郊区主排水渠为50年。</w:t>
      </w:r>
    </w:p>
    <w:p>
      <w:pPr>
        <w:wordWrap w:val="0"/>
        <w:ind w:firstLine="560" w:firstLineChars="200"/>
        <w:rPr>
          <w:rFonts w:eastAsiaTheme="minorEastAsia"/>
          <w:color w:val="000000" w:themeColor="text1"/>
          <w:kern w:val="0"/>
          <w:sz w:val="28"/>
          <w:szCs w:val="28"/>
        </w:rPr>
      </w:pPr>
      <w:r>
        <w:rPr>
          <w:rFonts w:eastAsiaTheme="minorEastAsia"/>
          <w:color w:val="000000" w:themeColor="text1"/>
          <w:kern w:val="0"/>
          <w:sz w:val="28"/>
          <w:szCs w:val="28"/>
        </w:rPr>
        <w:t>图3引自《日本下水道设计指南》（2001年版）中日本横滨市鹤见川地区的“不同设计重现期标准的综合应对措施”。图3反映了该地区从单一的城市排水管</w:t>
      </w:r>
      <w:r>
        <w:rPr>
          <w:rFonts w:hint="eastAsia" w:eastAsiaTheme="minorEastAsia"/>
          <w:color w:val="000000" w:themeColor="text1"/>
          <w:kern w:val="0"/>
          <w:sz w:val="28"/>
          <w:szCs w:val="28"/>
        </w:rPr>
        <w:t>渠</w:t>
      </w:r>
      <w:r>
        <w:rPr>
          <w:rFonts w:eastAsiaTheme="minorEastAsia"/>
          <w:color w:val="000000" w:themeColor="text1"/>
          <w:kern w:val="0"/>
          <w:sz w:val="28"/>
          <w:szCs w:val="28"/>
        </w:rPr>
        <w:t>系统到包含雨水管渠、内河和流域调蓄等综合应对措施在内的内涝防治系统的发展历程。当采用排水管道调蓄时，该地区的设计重现期可达10年一遇，可排除50mm/h的降雨；当采用雨水调蓄设施和利用内河调蓄时，设计重现期可进一步提高到40年一遇；在此基础上再利用流域调蓄时，可应对150年一遇的降雨。</w:t>
      </w:r>
    </w:p>
    <w:p>
      <w:pPr>
        <w:wordWrap w:val="0"/>
        <w:spacing w:before="156" w:beforeLines="50"/>
        <w:jc w:val="center"/>
        <w:rPr>
          <w:rFonts w:eastAsiaTheme="minorEastAsia"/>
          <w:color w:val="000000" w:themeColor="text1"/>
          <w:kern w:val="0"/>
          <w:sz w:val="28"/>
          <w:szCs w:val="28"/>
        </w:rPr>
      </w:pPr>
      <w:r>
        <w:rPr>
          <w:rFonts w:eastAsiaTheme="minorEastAsia"/>
          <w:color w:val="000000" w:themeColor="text1"/>
          <w:sz w:val="28"/>
          <w:szCs w:val="28"/>
        </w:rPr>
        <w:object>
          <v:shape id="_x0000_i1026" o:spt="75" type="#_x0000_t75" style="height:148.7pt;width:367.5pt;" o:ole="t" filled="f" o:preferrelative="t" stroked="f" coordsize="21600,21600">
            <v:path/>
            <v:fill on="f" focussize="0,0"/>
            <v:stroke on="f" joinstyle="miter"/>
            <v:imagedata r:id="rId15" cropleft="14738f" croptop="18102f" cropright="27070f" cropbottom="27153f" o:title=""/>
            <o:lock v:ext="edit" aspectratio="t"/>
            <w10:wrap type="none"/>
            <w10:anchorlock/>
          </v:shape>
          <o:OLEObject Type="Embed" ProgID="AutoCAD.Drawing.19" ShapeID="_x0000_i1026" DrawAspect="Content" ObjectID="_1468075726" r:id="rId14">
            <o:LockedField>false</o:LockedField>
          </o:OLEObject>
        </w:object>
      </w:r>
    </w:p>
    <w:p>
      <w:pPr>
        <w:wordWrap w:val="0"/>
        <w:spacing w:line="360" w:lineRule="auto"/>
        <w:ind w:firstLine="562" w:firstLineChars="200"/>
        <w:jc w:val="center"/>
        <w:rPr>
          <w:rFonts w:eastAsiaTheme="minorEastAsia"/>
          <w:b/>
          <w:color w:val="000000" w:themeColor="text1"/>
          <w:kern w:val="0"/>
          <w:sz w:val="28"/>
          <w:szCs w:val="28"/>
        </w:rPr>
      </w:pPr>
      <w:r>
        <w:rPr>
          <w:rFonts w:eastAsiaTheme="minorEastAsia"/>
          <w:b/>
          <w:color w:val="000000" w:themeColor="text1"/>
          <w:kern w:val="0"/>
          <w:sz w:val="28"/>
          <w:szCs w:val="28"/>
        </w:rPr>
        <w:t>图3不同设计重现期标准的综合应对措施（鹤见川地区）</w:t>
      </w:r>
    </w:p>
    <w:p>
      <w:pPr>
        <w:wordWrap w:val="0"/>
        <w:spacing w:line="360" w:lineRule="auto"/>
        <w:ind w:firstLine="560" w:firstLineChars="200"/>
        <w:rPr>
          <w:rFonts w:eastAsiaTheme="minorEastAsia"/>
          <w:color w:val="000000" w:themeColor="text1"/>
          <w:kern w:val="0"/>
          <w:sz w:val="28"/>
          <w:szCs w:val="28"/>
        </w:rPr>
      </w:pPr>
      <w:r>
        <w:rPr>
          <w:rFonts w:eastAsiaTheme="minorEastAsia"/>
          <w:color w:val="000000" w:themeColor="text1"/>
          <w:kern w:val="0"/>
          <w:sz w:val="28"/>
          <w:szCs w:val="28"/>
        </w:rPr>
        <w:t>欧盟标准《室外排水和污水系统》BS EN 752: 2008，见表4和表5。该标准中，“设计暴雨重现期（Design Storm Frequency）”与我国雨水管渠设计重现期相对应；“设计洪水重现期（Design Flooding Frequency）”与我国的内涝防治设计重现期概念相近。</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表4欧盟推荐设计暴雨重现期（Design Storm Frequency）</w:t>
      </w:r>
    </w:p>
    <w:tbl>
      <w:tblPr>
        <w:tblStyle w:val="25"/>
        <w:tblW w:w="82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8"/>
        <w:gridCol w:w="1984"/>
        <w:gridCol w:w="3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238" w:type="dxa"/>
            <w:vMerge w:val="restart"/>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地点</w:t>
            </w:r>
          </w:p>
        </w:tc>
        <w:tc>
          <w:tcPr>
            <w:tcW w:w="5022" w:type="dxa"/>
            <w:gridSpan w:val="2"/>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设计暴雨重现期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238" w:type="dxa"/>
            <w:vMerge w:val="continue"/>
            <w:vAlign w:val="center"/>
          </w:tcPr>
          <w:p>
            <w:pPr>
              <w:widowControl/>
              <w:wordWrap w:val="0"/>
              <w:jc w:val="center"/>
              <w:rPr>
                <w:rFonts w:eastAsiaTheme="minorEastAsia"/>
                <w:color w:val="000000" w:themeColor="text1"/>
                <w:sz w:val="28"/>
                <w:szCs w:val="28"/>
              </w:rPr>
            </w:pPr>
          </w:p>
        </w:tc>
        <w:tc>
          <w:tcPr>
            <w:tcW w:w="198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重现期（年）</w:t>
            </w:r>
          </w:p>
        </w:tc>
        <w:tc>
          <w:tcPr>
            <w:tcW w:w="30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超过1年一遇的概率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2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农村地区</w:t>
            </w:r>
          </w:p>
        </w:tc>
        <w:tc>
          <w:tcPr>
            <w:tcW w:w="198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w:t>
            </w:r>
          </w:p>
        </w:tc>
        <w:tc>
          <w:tcPr>
            <w:tcW w:w="30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2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居民区</w:t>
            </w:r>
          </w:p>
        </w:tc>
        <w:tc>
          <w:tcPr>
            <w:tcW w:w="198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w:t>
            </w:r>
          </w:p>
        </w:tc>
        <w:tc>
          <w:tcPr>
            <w:tcW w:w="30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2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城市中心/工业区/商业区</w:t>
            </w:r>
          </w:p>
        </w:tc>
        <w:tc>
          <w:tcPr>
            <w:tcW w:w="198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5</w:t>
            </w:r>
          </w:p>
        </w:tc>
        <w:tc>
          <w:tcPr>
            <w:tcW w:w="30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jc w:val="center"/>
        </w:trPr>
        <w:tc>
          <w:tcPr>
            <w:tcW w:w="32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地下铁路/地下通道</w:t>
            </w:r>
          </w:p>
        </w:tc>
        <w:tc>
          <w:tcPr>
            <w:tcW w:w="198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w:t>
            </w:r>
          </w:p>
        </w:tc>
        <w:tc>
          <w:tcPr>
            <w:tcW w:w="30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w:t>
            </w:r>
          </w:p>
        </w:tc>
      </w:tr>
    </w:tbl>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表5欧盟推荐设计洪水重现期（Design Flooding Frequency）</w:t>
      </w:r>
    </w:p>
    <w:tbl>
      <w:tblPr>
        <w:tblStyle w:val="2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0"/>
        <w:gridCol w:w="1984"/>
        <w:gridCol w:w="3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70" w:type="dxa"/>
            <w:vMerge w:val="restart"/>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地点</w:t>
            </w:r>
          </w:p>
        </w:tc>
        <w:tc>
          <w:tcPr>
            <w:tcW w:w="5152" w:type="dxa"/>
            <w:gridSpan w:val="2"/>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设计洪水重现期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70" w:type="dxa"/>
            <w:vMerge w:val="continue"/>
            <w:vAlign w:val="center"/>
          </w:tcPr>
          <w:p>
            <w:pPr>
              <w:widowControl/>
              <w:wordWrap w:val="0"/>
              <w:jc w:val="center"/>
              <w:rPr>
                <w:rFonts w:eastAsiaTheme="minorEastAsia"/>
                <w:color w:val="000000" w:themeColor="text1"/>
                <w:sz w:val="28"/>
                <w:szCs w:val="28"/>
              </w:rPr>
            </w:pPr>
          </w:p>
        </w:tc>
        <w:tc>
          <w:tcPr>
            <w:tcW w:w="198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重现期（年）</w:t>
            </w:r>
          </w:p>
        </w:tc>
        <w:tc>
          <w:tcPr>
            <w:tcW w:w="316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超过1年一遇的概率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农村地区</w:t>
            </w:r>
          </w:p>
        </w:tc>
        <w:tc>
          <w:tcPr>
            <w:tcW w:w="198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w:t>
            </w:r>
          </w:p>
        </w:tc>
        <w:tc>
          <w:tcPr>
            <w:tcW w:w="316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居民区</w:t>
            </w:r>
          </w:p>
        </w:tc>
        <w:tc>
          <w:tcPr>
            <w:tcW w:w="198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20</w:t>
            </w:r>
          </w:p>
        </w:tc>
        <w:tc>
          <w:tcPr>
            <w:tcW w:w="316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3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城市中心/工业区/商业区</w:t>
            </w:r>
          </w:p>
        </w:tc>
        <w:tc>
          <w:tcPr>
            <w:tcW w:w="198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30</w:t>
            </w:r>
          </w:p>
        </w:tc>
        <w:tc>
          <w:tcPr>
            <w:tcW w:w="316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jc w:val="center"/>
        </w:trPr>
        <w:tc>
          <w:tcPr>
            <w:tcW w:w="33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地下铁路/地下通道</w:t>
            </w:r>
          </w:p>
        </w:tc>
        <w:tc>
          <w:tcPr>
            <w:tcW w:w="1984"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50</w:t>
            </w:r>
          </w:p>
        </w:tc>
        <w:tc>
          <w:tcPr>
            <w:tcW w:w="316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w:t>
            </w:r>
          </w:p>
        </w:tc>
      </w:tr>
    </w:tbl>
    <w:p>
      <w:pPr>
        <w:wordWrap w:val="0"/>
        <w:spacing w:before="156" w:beforeLines="50"/>
        <w:ind w:firstLine="560" w:firstLineChars="200"/>
        <w:rPr>
          <w:rFonts w:eastAsiaTheme="minorEastAsia"/>
          <w:color w:val="000000" w:themeColor="text1"/>
          <w:sz w:val="28"/>
          <w:szCs w:val="28"/>
        </w:rPr>
      </w:pPr>
      <w:r>
        <w:rPr>
          <w:rFonts w:eastAsiaTheme="minorEastAsia"/>
          <w:color w:val="000000" w:themeColor="text1"/>
          <w:sz w:val="28"/>
          <w:szCs w:val="28"/>
        </w:rPr>
        <w:t>根据我国内涝防治整体现状，各地区应采取渗透、调蓄、设行泄通道和内河整治等措施，积极应对可能出现的超过雨水管渠设计重现期的暴雨，保障城镇安全运行。</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降雨历时，应按下式计算：</w:t>
      </w:r>
    </w:p>
    <w:p>
      <w:pPr>
        <w:wordWrap w:val="0"/>
        <w:spacing w:line="480" w:lineRule="atLeast"/>
        <w:ind w:left="1615"/>
        <w:jc w:val="right"/>
        <w:rPr>
          <w:rFonts w:eastAsiaTheme="minorEastAsia"/>
          <w:color w:val="000000" w:themeColor="text1"/>
          <w:sz w:val="28"/>
          <w:szCs w:val="28"/>
        </w:rPr>
      </w:pPr>
      <w:r>
        <w:rPr>
          <w:rFonts w:eastAsiaTheme="minorEastAsia"/>
          <w:i/>
          <w:color w:val="000000" w:themeColor="text1"/>
          <w:sz w:val="28"/>
          <w:szCs w:val="28"/>
        </w:rPr>
        <w:t>t = t</w:t>
      </w:r>
      <w:r>
        <w:rPr>
          <w:rFonts w:eastAsiaTheme="minorEastAsia"/>
          <w:i/>
          <w:color w:val="000000" w:themeColor="text1"/>
          <w:sz w:val="28"/>
          <w:szCs w:val="28"/>
          <w:vertAlign w:val="subscript"/>
        </w:rPr>
        <w:t>1</w:t>
      </w:r>
      <w:r>
        <w:rPr>
          <w:rFonts w:eastAsiaTheme="minorEastAsia"/>
          <w:i/>
          <w:color w:val="000000" w:themeColor="text1"/>
          <w:sz w:val="28"/>
          <w:szCs w:val="28"/>
        </w:rPr>
        <w:t xml:space="preserve"> + t</w:t>
      </w:r>
      <w:r>
        <w:rPr>
          <w:rFonts w:eastAsiaTheme="minorEastAsia"/>
          <w:i/>
          <w:color w:val="000000" w:themeColor="text1"/>
          <w:sz w:val="28"/>
          <w:szCs w:val="28"/>
          <w:vertAlign w:val="subscript"/>
        </w:rPr>
        <w:t>2</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(4.1.8)</w:t>
      </w:r>
    </w:p>
    <w:p>
      <w:pPr>
        <w:wordWrap w:val="0"/>
        <w:spacing w:line="480" w:lineRule="atLeast"/>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t</w:t>
      </w:r>
      <w:r>
        <w:rPr>
          <w:rFonts w:eastAsiaTheme="minorEastAsia"/>
          <w:color w:val="000000" w:themeColor="text1"/>
          <w:sz w:val="28"/>
          <w:szCs w:val="28"/>
        </w:rPr>
        <w:t>——降雨历时（min）；</w:t>
      </w:r>
    </w:p>
    <w:p>
      <w:pPr>
        <w:wordWrap w:val="0"/>
        <w:spacing w:line="480" w:lineRule="atLeast"/>
        <w:ind w:left="1560" w:hanging="709"/>
        <w:rPr>
          <w:rFonts w:eastAsiaTheme="minorEastAsia"/>
          <w:color w:val="000000" w:themeColor="text1"/>
          <w:sz w:val="28"/>
          <w:szCs w:val="28"/>
        </w:rPr>
      </w:pPr>
      <w:r>
        <w:rPr>
          <w:rFonts w:eastAsiaTheme="minorEastAsia"/>
          <w:i/>
          <w:color w:val="000000" w:themeColor="text1"/>
          <w:sz w:val="28"/>
          <w:szCs w:val="28"/>
        </w:rPr>
        <w:t>t</w:t>
      </w:r>
      <w:r>
        <w:rPr>
          <w:rFonts w:eastAsiaTheme="minorEastAsia"/>
          <w:i/>
          <w:color w:val="000000" w:themeColor="text1"/>
          <w:sz w:val="28"/>
          <w:szCs w:val="28"/>
          <w:vertAlign w:val="subscript"/>
        </w:rPr>
        <w:t>1</w:t>
      </w:r>
      <w:r>
        <w:rPr>
          <w:rFonts w:eastAsiaTheme="minorEastAsia"/>
          <w:color w:val="000000" w:themeColor="text1"/>
          <w:sz w:val="28"/>
          <w:szCs w:val="28"/>
        </w:rPr>
        <w:t>——地面集水时间（min），应根据汇水距离、地形坡度和地面种类通过计算确定，</w:t>
      </w:r>
      <w:r>
        <w:rPr>
          <w:rFonts w:hint="eastAsia" w:eastAsiaTheme="minorEastAsia"/>
          <w:color w:val="000000" w:themeColor="text1"/>
          <w:sz w:val="28"/>
          <w:szCs w:val="28"/>
        </w:rPr>
        <w:t>宜</w:t>
      </w:r>
      <w:r>
        <w:rPr>
          <w:rFonts w:eastAsiaTheme="minorEastAsia"/>
          <w:color w:val="000000" w:themeColor="text1"/>
          <w:sz w:val="28"/>
          <w:szCs w:val="28"/>
        </w:rPr>
        <w:t>采用5min～15min；</w:t>
      </w:r>
    </w:p>
    <w:p>
      <w:pPr>
        <w:wordWrap w:val="0"/>
        <w:spacing w:line="480" w:lineRule="atLeast"/>
        <w:ind w:left="1560" w:hanging="709"/>
        <w:rPr>
          <w:rFonts w:eastAsiaTheme="minorEastAsia"/>
          <w:color w:val="000000" w:themeColor="text1"/>
          <w:sz w:val="28"/>
          <w:szCs w:val="28"/>
        </w:rPr>
      </w:pPr>
      <w:r>
        <w:rPr>
          <w:rFonts w:eastAsiaTheme="minorEastAsia"/>
          <w:i/>
          <w:color w:val="000000" w:themeColor="text1"/>
          <w:sz w:val="28"/>
          <w:szCs w:val="28"/>
        </w:rPr>
        <w:t>t</w:t>
      </w:r>
      <w:r>
        <w:rPr>
          <w:rFonts w:eastAsiaTheme="minorEastAsia"/>
          <w:i/>
          <w:color w:val="000000" w:themeColor="text1"/>
          <w:sz w:val="28"/>
          <w:szCs w:val="28"/>
          <w:vertAlign w:val="subscript"/>
        </w:rPr>
        <w:t>2</w:t>
      </w:r>
      <w:r>
        <w:rPr>
          <w:rFonts w:eastAsiaTheme="minorEastAsia"/>
          <w:color w:val="000000" w:themeColor="text1"/>
          <w:sz w:val="28"/>
          <w:szCs w:val="28"/>
        </w:rPr>
        <w:t>——管渠内雨水流行时间（min）。</w:t>
      </w:r>
    </w:p>
    <w:p>
      <w:pPr>
        <w:wordWrap w:val="0"/>
        <w:spacing w:line="480" w:lineRule="atLeast"/>
        <w:rPr>
          <w:rFonts w:eastAsia="宋体"/>
          <w:color w:val="000000" w:themeColor="text1"/>
          <w:sz w:val="28"/>
          <w:szCs w:val="28"/>
        </w:rPr>
      </w:pPr>
      <w:r>
        <w:rPr>
          <w:rFonts w:eastAsiaTheme="minorEastAsia"/>
          <w:color w:val="000000" w:themeColor="text1"/>
          <w:sz w:val="28"/>
          <w:szCs w:val="28"/>
        </w:rPr>
        <w:t>【条文说明】</w:t>
      </w:r>
      <w:r>
        <w:rPr>
          <w:rFonts w:eastAsia="宋体"/>
          <w:color w:val="000000" w:themeColor="text1"/>
          <w:sz w:val="28"/>
          <w:szCs w:val="28"/>
        </w:rPr>
        <w:t>早年的版本中降雨历时采用的折减系数</w:t>
      </w:r>
      <w:r>
        <w:rPr>
          <w:i/>
          <w:color w:val="000000" w:themeColor="text1"/>
          <w:sz w:val="28"/>
          <w:szCs w:val="28"/>
        </w:rPr>
        <w:t>m</w:t>
      </w:r>
      <w:r>
        <w:rPr>
          <w:rFonts w:eastAsia="宋体"/>
          <w:color w:val="000000" w:themeColor="text1"/>
          <w:sz w:val="28"/>
          <w:szCs w:val="28"/>
        </w:rPr>
        <w:t>是根据前苏联的相关研究成果提出的数据。近年来，我国许多地区发生严重内涝，给人民生活和生产造成了极不利影响。为防止或减少类似事件，有必要提高城镇排水管渠设计标准，而采用降雨历时计算公式中的折减系数降低了设计标准。发达国家一般不采用折减系数。以此为了有效应对日益频发的城镇暴雨内涝灾害，提高我国城镇排水安全性，取消折减系数</w:t>
      </w:r>
      <w:r>
        <w:rPr>
          <w:i/>
          <w:color w:val="000000" w:themeColor="text1"/>
          <w:sz w:val="28"/>
          <w:szCs w:val="28"/>
        </w:rPr>
        <w:t>m</w:t>
      </w:r>
      <w:r>
        <w:rPr>
          <w:rFonts w:eastAsia="宋体"/>
          <w:color w:val="000000" w:themeColor="text1"/>
          <w:sz w:val="28"/>
          <w:szCs w:val="28"/>
        </w:rPr>
        <w:t>。</w:t>
      </w:r>
    </w:p>
    <w:p>
      <w:pPr>
        <w:wordWrap w:val="0"/>
        <w:spacing w:line="480" w:lineRule="atLeast"/>
        <w:ind w:firstLine="565" w:firstLineChars="202"/>
        <w:rPr>
          <w:rFonts w:eastAsiaTheme="minorEastAsia"/>
          <w:color w:val="000000" w:themeColor="text1"/>
          <w:sz w:val="28"/>
          <w:szCs w:val="28"/>
        </w:rPr>
      </w:pPr>
      <w:r>
        <w:rPr>
          <w:rFonts w:eastAsiaTheme="minorEastAsia"/>
          <w:color w:val="000000" w:themeColor="text1"/>
          <w:sz w:val="28"/>
          <w:szCs w:val="28"/>
        </w:rPr>
        <w:t>根据国内资料，地面集水时间采用的数据，大多不经计算，按经验确定。在地面平坦、地面种类接近、降雨强度相差不大的情况下，地面集水距离是决定集水时间长短的主要因素；地面集水距离的合理范围是50m～150m，采用的集水时间为5min～15min。国外常用的地面集水时间见表6。</w:t>
      </w:r>
    </w:p>
    <w:p>
      <w:pPr>
        <w:wordWrap w:val="0"/>
        <w:spacing w:line="360" w:lineRule="auto"/>
        <w:ind w:firstLine="573"/>
        <w:jc w:val="center"/>
        <w:rPr>
          <w:rFonts w:eastAsiaTheme="minorEastAsia"/>
          <w:b/>
          <w:color w:val="000000" w:themeColor="text1"/>
          <w:sz w:val="28"/>
          <w:szCs w:val="28"/>
        </w:rPr>
      </w:pPr>
      <w:r>
        <w:rPr>
          <w:rFonts w:eastAsiaTheme="minorEastAsia"/>
          <w:b/>
          <w:color w:val="000000" w:themeColor="text1"/>
          <w:sz w:val="28"/>
          <w:szCs w:val="28"/>
        </w:rPr>
        <w:t>表6 国外采用的地面集水时间</w:t>
      </w:r>
    </w:p>
    <w:tbl>
      <w:tblPr>
        <w:tblStyle w:val="25"/>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8"/>
        <w:gridCol w:w="3118"/>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22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资料来源</w:t>
            </w:r>
          </w:p>
        </w:tc>
        <w:tc>
          <w:tcPr>
            <w:tcW w:w="311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工程情况</w:t>
            </w:r>
          </w:p>
        </w:tc>
        <w:tc>
          <w:tcPr>
            <w:tcW w:w="1842" w:type="dxa"/>
            <w:vAlign w:val="center"/>
          </w:tcPr>
          <w:p>
            <w:pPr>
              <w:wordWrap w:val="0"/>
              <w:jc w:val="center"/>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1</w:t>
            </w:r>
            <w:r>
              <w:rPr>
                <w:rFonts w:eastAsiaTheme="minorEastAsia"/>
                <w:color w:val="000000" w:themeColor="text1"/>
                <w:sz w:val="28"/>
                <w:szCs w:val="28"/>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228" w:type="dxa"/>
            <w:vMerge w:val="restart"/>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《日本下水道设计指南》</w:t>
            </w:r>
          </w:p>
        </w:tc>
        <w:tc>
          <w:tcPr>
            <w:tcW w:w="311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人口密度大的地区</w:t>
            </w:r>
          </w:p>
        </w:tc>
        <w:tc>
          <w:tcPr>
            <w:tcW w:w="184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228" w:type="dxa"/>
            <w:vMerge w:val="continue"/>
            <w:vAlign w:val="center"/>
          </w:tcPr>
          <w:p>
            <w:pPr>
              <w:wordWrap w:val="0"/>
              <w:jc w:val="center"/>
              <w:rPr>
                <w:rFonts w:eastAsiaTheme="minorEastAsia"/>
                <w:color w:val="000000" w:themeColor="text1"/>
                <w:sz w:val="28"/>
                <w:szCs w:val="28"/>
              </w:rPr>
            </w:pPr>
          </w:p>
        </w:tc>
        <w:tc>
          <w:tcPr>
            <w:tcW w:w="311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人口密度小的地区</w:t>
            </w:r>
          </w:p>
        </w:tc>
        <w:tc>
          <w:tcPr>
            <w:tcW w:w="184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228" w:type="dxa"/>
            <w:vMerge w:val="continue"/>
            <w:vAlign w:val="center"/>
          </w:tcPr>
          <w:p>
            <w:pPr>
              <w:wordWrap w:val="0"/>
              <w:jc w:val="center"/>
              <w:rPr>
                <w:rFonts w:eastAsiaTheme="minorEastAsia"/>
                <w:color w:val="000000" w:themeColor="text1"/>
                <w:sz w:val="28"/>
                <w:szCs w:val="28"/>
              </w:rPr>
            </w:pPr>
          </w:p>
        </w:tc>
        <w:tc>
          <w:tcPr>
            <w:tcW w:w="311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平均</w:t>
            </w:r>
          </w:p>
        </w:tc>
        <w:tc>
          <w:tcPr>
            <w:tcW w:w="184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228" w:type="dxa"/>
            <w:vMerge w:val="continue"/>
            <w:vAlign w:val="center"/>
          </w:tcPr>
          <w:p>
            <w:pPr>
              <w:wordWrap w:val="0"/>
              <w:jc w:val="center"/>
              <w:rPr>
                <w:rFonts w:eastAsiaTheme="minorEastAsia"/>
                <w:color w:val="000000" w:themeColor="text1"/>
                <w:sz w:val="28"/>
                <w:szCs w:val="28"/>
              </w:rPr>
            </w:pPr>
          </w:p>
        </w:tc>
        <w:tc>
          <w:tcPr>
            <w:tcW w:w="311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干线</w:t>
            </w:r>
          </w:p>
        </w:tc>
        <w:tc>
          <w:tcPr>
            <w:tcW w:w="184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3228" w:type="dxa"/>
            <w:vMerge w:val="continue"/>
            <w:vAlign w:val="center"/>
          </w:tcPr>
          <w:p>
            <w:pPr>
              <w:wordWrap w:val="0"/>
              <w:jc w:val="center"/>
              <w:rPr>
                <w:rFonts w:eastAsiaTheme="minorEastAsia"/>
                <w:color w:val="000000" w:themeColor="text1"/>
                <w:sz w:val="28"/>
                <w:szCs w:val="28"/>
              </w:rPr>
            </w:pPr>
          </w:p>
        </w:tc>
        <w:tc>
          <w:tcPr>
            <w:tcW w:w="311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支线</w:t>
            </w:r>
          </w:p>
        </w:tc>
        <w:tc>
          <w:tcPr>
            <w:tcW w:w="184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228" w:type="dxa"/>
            <w:vMerge w:val="restart"/>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美国土木工程学会</w:t>
            </w:r>
          </w:p>
        </w:tc>
        <w:tc>
          <w:tcPr>
            <w:tcW w:w="311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全部铺装，排水管道完备的密集地区</w:t>
            </w:r>
          </w:p>
        </w:tc>
        <w:tc>
          <w:tcPr>
            <w:tcW w:w="184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228" w:type="dxa"/>
            <w:vMerge w:val="continue"/>
            <w:vAlign w:val="center"/>
          </w:tcPr>
          <w:p>
            <w:pPr>
              <w:wordWrap w:val="0"/>
              <w:jc w:val="center"/>
              <w:rPr>
                <w:rFonts w:eastAsiaTheme="minorEastAsia"/>
                <w:color w:val="000000" w:themeColor="text1"/>
                <w:sz w:val="28"/>
                <w:szCs w:val="28"/>
              </w:rPr>
            </w:pPr>
          </w:p>
        </w:tc>
        <w:tc>
          <w:tcPr>
            <w:tcW w:w="311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地面坡度较小的发展区</w:t>
            </w:r>
          </w:p>
        </w:tc>
        <w:tc>
          <w:tcPr>
            <w:tcW w:w="184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228" w:type="dxa"/>
            <w:vMerge w:val="continue"/>
            <w:vAlign w:val="center"/>
          </w:tcPr>
          <w:p>
            <w:pPr>
              <w:wordWrap w:val="0"/>
              <w:jc w:val="center"/>
              <w:rPr>
                <w:rFonts w:eastAsiaTheme="minorEastAsia"/>
                <w:color w:val="000000" w:themeColor="text1"/>
                <w:sz w:val="28"/>
                <w:szCs w:val="28"/>
              </w:rPr>
            </w:pPr>
          </w:p>
        </w:tc>
        <w:tc>
          <w:tcPr>
            <w:tcW w:w="311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平坦的住宅区</w:t>
            </w:r>
          </w:p>
        </w:tc>
        <w:tc>
          <w:tcPr>
            <w:tcW w:w="184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20~30</w:t>
            </w:r>
          </w:p>
        </w:tc>
      </w:tr>
    </w:tbl>
    <w:p>
      <w:pPr>
        <w:pStyle w:val="30"/>
        <w:wordWrap w:val="0"/>
        <w:spacing w:line="360" w:lineRule="auto"/>
        <w:ind w:left="340" w:firstLine="0" w:firstLineChars="0"/>
        <w:rPr>
          <w:rFonts w:ascii="Times New Roman" w:hAnsi="Times New Roman" w:eastAsiaTheme="minorEastAsia"/>
          <w:color w:val="000000" w:themeColor="text1"/>
          <w:sz w:val="28"/>
          <w:szCs w:val="28"/>
        </w:rPr>
      </w:pPr>
    </w:p>
    <w:p>
      <w:pPr>
        <w:pStyle w:val="30"/>
        <w:widowControl/>
        <w:ind w:left="340" w:firstLine="0" w:firstLineChars="0"/>
        <w:jc w:val="center"/>
        <w:rPr>
          <w:rFonts w:ascii="Times New Roman" w:hAnsi="Times New Roman" w:eastAsiaTheme="minorEastAsia"/>
          <w:color w:val="000000" w:themeColor="text1"/>
          <w:sz w:val="28"/>
          <w:szCs w:val="28"/>
        </w:rPr>
      </w:pPr>
      <w:r>
        <w:rPr>
          <w:rFonts w:eastAsiaTheme="minorEastAsia"/>
          <w:color w:val="000000" w:themeColor="text1"/>
          <w:sz w:val="28"/>
          <w:szCs w:val="28"/>
        </w:rPr>
        <w:fldChar w:fldCharType="begin"/>
      </w:r>
      <w:r>
        <w:rPr>
          <w:rFonts w:eastAsiaTheme="minorEastAsia"/>
          <w:color w:val="000000" w:themeColor="text1"/>
          <w:sz w:val="28"/>
          <w:szCs w:val="28"/>
        </w:rPr>
        <w:instrText xml:space="preserve"> </w:instrText>
      </w:r>
      <w:r>
        <w:rPr>
          <w:rFonts w:hint="eastAsia" w:eastAsiaTheme="minorEastAsia"/>
          <w:color w:val="000000" w:themeColor="text1"/>
          <w:sz w:val="28"/>
          <w:szCs w:val="28"/>
        </w:rPr>
        <w:instrText xml:space="preserve">= 2 \* ROMAN</w:instrText>
      </w:r>
      <w:r>
        <w:rPr>
          <w:rFonts w:eastAsiaTheme="minorEastAsia"/>
          <w:color w:val="000000" w:themeColor="text1"/>
          <w:sz w:val="28"/>
          <w:szCs w:val="28"/>
        </w:rPr>
        <w:instrText xml:space="preserve"> </w:instrText>
      </w:r>
      <w:r>
        <w:rPr>
          <w:rFonts w:eastAsiaTheme="minorEastAsia"/>
          <w:color w:val="000000" w:themeColor="text1"/>
          <w:sz w:val="28"/>
          <w:szCs w:val="28"/>
        </w:rPr>
        <w:fldChar w:fldCharType="separate"/>
      </w:r>
      <w:r>
        <w:rPr>
          <w:rFonts w:eastAsiaTheme="minorEastAsia"/>
          <w:color w:val="000000" w:themeColor="text1"/>
          <w:sz w:val="28"/>
          <w:szCs w:val="28"/>
        </w:rPr>
        <w:t>II</w:t>
      </w:r>
      <w:r>
        <w:rPr>
          <w:rFonts w:eastAsiaTheme="minorEastAsia"/>
          <w:color w:val="000000" w:themeColor="text1"/>
          <w:sz w:val="28"/>
          <w:szCs w:val="28"/>
        </w:rPr>
        <w:fldChar w:fldCharType="end"/>
      </w:r>
      <w:r>
        <w:rPr>
          <w:rFonts w:hint="eastAsia" w:eastAsiaTheme="minorEastAsia"/>
          <w:color w:val="000000" w:themeColor="text1"/>
          <w:sz w:val="28"/>
          <w:szCs w:val="28"/>
        </w:rPr>
        <w:t>污水量</w:t>
      </w:r>
    </w:p>
    <w:p>
      <w:pPr>
        <w:pStyle w:val="30"/>
        <w:numPr>
          <w:ilvl w:val="0"/>
          <w:numId w:val="11"/>
        </w:numPr>
        <w:wordWrap w:val="0"/>
        <w:spacing w:line="360" w:lineRule="auto"/>
        <w:ind w:firstLineChars="0"/>
        <w:rPr>
          <w:rFonts w:ascii="Times New Roman" w:hAnsi="Times New Roman" w:eastAsiaTheme="minorEastAsia"/>
          <w:color w:val="000000" w:themeColor="text1"/>
          <w:sz w:val="28"/>
          <w:szCs w:val="28"/>
        </w:rPr>
      </w:pPr>
      <w:r>
        <w:rPr>
          <w:rFonts w:hint="eastAsia" w:ascii="Times New Roman" w:hAnsi="Times New Roman" w:eastAsiaTheme="minorEastAsia"/>
          <w:color w:val="000000" w:themeColor="text1"/>
          <w:sz w:val="28"/>
          <w:szCs w:val="28"/>
        </w:rPr>
        <w:t>污水系统设计中应确定旱季设计流量和雨季设计流量。</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w:t>
      </w:r>
      <w:r>
        <w:rPr>
          <w:rFonts w:hint="eastAsia" w:eastAsiaTheme="minorEastAsia"/>
          <w:color w:val="000000" w:themeColor="text1"/>
          <w:sz w:val="28"/>
          <w:szCs w:val="28"/>
        </w:rPr>
        <w:t>雨水径流污染控制是海绵城市建设的一个重要指标。因此，污水系统的设计也应将受污染的雨水径流收集、输送至污水厂处理达标后排放，以缓解雨水径流对河道的污染。在英美发达国家，不论是排水体制采用合流制还是分流制，污水干管和污水厂的设计中都有在处理旱季流量之外，预留部分雨季流量处理的能力，根据当地不同环保要求和污水厂规模，雨季和旱季流量差异可高达3-8倍。</w:t>
      </w:r>
    </w:p>
    <w:p>
      <w:pPr>
        <w:pStyle w:val="30"/>
        <w:numPr>
          <w:ilvl w:val="0"/>
          <w:numId w:val="11"/>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kern w:val="0"/>
          <w:sz w:val="28"/>
          <w:szCs w:val="28"/>
          <w:lang w:val="zh-CN"/>
        </w:rPr>
        <w:t>污水系统的旱季设计流量，应按下式计算：</w:t>
      </w:r>
    </w:p>
    <w:p>
      <w:pPr>
        <w:pStyle w:val="30"/>
        <w:spacing w:line="360" w:lineRule="auto"/>
        <w:ind w:firstLine="0" w:firstLineChars="0"/>
        <w:jc w:val="right"/>
        <w:rPr>
          <w:rFonts w:ascii="Times New Roman" w:hAnsi="Times New Roman" w:eastAsiaTheme="minorEastAsia"/>
          <w:color w:val="000000" w:themeColor="text1"/>
          <w:kern w:val="0"/>
          <w:sz w:val="28"/>
          <w:szCs w:val="28"/>
        </w:rPr>
      </w:pPr>
      <w:r>
        <w:rPr>
          <w:rFonts w:ascii="Times New Roman" w:hAnsi="Times New Roman"/>
          <w:i/>
          <w:color w:val="000000"/>
          <w:sz w:val="28"/>
          <w:szCs w:val="28"/>
        </w:rPr>
        <w:t>Q</w:t>
      </w:r>
      <w:r>
        <w:rPr>
          <w:rFonts w:ascii="Times New Roman" w:hAnsi="Times New Roman"/>
          <w:color w:val="000000"/>
          <w:sz w:val="28"/>
          <w:szCs w:val="28"/>
          <w:vertAlign w:val="subscript"/>
        </w:rPr>
        <w:t>dr</w:t>
      </w:r>
      <w:r>
        <w:rPr>
          <w:rFonts w:ascii="Times New Roman" w:hAnsi="Times New Roman"/>
          <w:color w:val="000000"/>
          <w:sz w:val="28"/>
          <w:szCs w:val="28"/>
        </w:rPr>
        <w:t xml:space="preserve">= </w:t>
      </w:r>
      <w:r>
        <w:rPr>
          <w:rFonts w:ascii="Times New Roman" w:hAnsi="Times New Roman" w:eastAsiaTheme="minorEastAsia"/>
          <w:color w:val="000000"/>
          <w:sz w:val="28"/>
          <w:szCs w:val="28"/>
        </w:rPr>
        <w:t>K</w:t>
      </w:r>
      <w:r>
        <w:rPr>
          <w:rFonts w:ascii="Times New Roman" w:hAnsi="Times New Roman"/>
          <w:i/>
          <w:color w:val="000000"/>
          <w:sz w:val="28"/>
          <w:szCs w:val="28"/>
        </w:rPr>
        <w:t>Q</w:t>
      </w:r>
      <w:r>
        <w:rPr>
          <w:rFonts w:ascii="Times New Roman" w:hAnsi="Times New Roman"/>
          <w:color w:val="000000"/>
          <w:sz w:val="28"/>
          <w:szCs w:val="28"/>
          <w:vertAlign w:val="subscript"/>
        </w:rPr>
        <w:t>d</w:t>
      </w:r>
      <w:r>
        <w:rPr>
          <w:rFonts w:ascii="Times New Roman" w:hAnsi="Times New Roman"/>
          <w:color w:val="000000"/>
          <w:sz w:val="28"/>
          <w:szCs w:val="28"/>
        </w:rPr>
        <w:t>+</w:t>
      </w:r>
      <w:r>
        <w:rPr>
          <w:rFonts w:ascii="Times New Roman" w:hAnsi="Times New Roman" w:eastAsiaTheme="minorEastAsia"/>
          <w:color w:val="000000"/>
          <w:sz w:val="28"/>
          <w:szCs w:val="28"/>
        </w:rPr>
        <w:t xml:space="preserve"> K’</w:t>
      </w:r>
      <w:r>
        <w:rPr>
          <w:rFonts w:ascii="Times New Roman" w:hAnsi="Times New Roman"/>
          <w:i/>
          <w:color w:val="000000"/>
          <w:sz w:val="28"/>
          <w:szCs w:val="28"/>
        </w:rPr>
        <w:t>Q</w:t>
      </w:r>
      <w:r>
        <w:rPr>
          <w:rFonts w:ascii="Times New Roman" w:hAnsi="Times New Roman"/>
          <w:color w:val="000000"/>
          <w:sz w:val="28"/>
          <w:szCs w:val="28"/>
          <w:vertAlign w:val="subscript"/>
        </w:rPr>
        <w:t>m</w:t>
      </w:r>
      <w:r>
        <w:rPr>
          <w:rFonts w:ascii="Times New Roman" w:hAnsi="Times New Roman" w:eastAsiaTheme="minorEastAsia"/>
          <w:color w:val="000000"/>
          <w:sz w:val="28"/>
          <w:szCs w:val="28"/>
        </w:rPr>
        <w:t xml:space="preserve">+ </w:t>
      </w:r>
      <w:r>
        <w:rPr>
          <w:rFonts w:ascii="Times New Roman" w:hAnsi="Times New Roman"/>
          <w:i/>
          <w:color w:val="000000"/>
          <w:sz w:val="28"/>
          <w:szCs w:val="28"/>
        </w:rPr>
        <w:t>Q</w:t>
      </w:r>
      <w:r>
        <w:rPr>
          <w:rFonts w:ascii="Times New Roman" w:hAnsi="Times New Roman" w:eastAsiaTheme="minorEastAsia"/>
          <w:color w:val="000000"/>
          <w:sz w:val="28"/>
          <w:szCs w:val="28"/>
          <w:vertAlign w:val="subscript"/>
        </w:rPr>
        <w:t xml:space="preserve">u                             </w:t>
      </w:r>
      <w:r>
        <w:rPr>
          <w:rFonts w:ascii="Times New Roman" w:hAnsi="Times New Roman" w:eastAsia="宋体"/>
          <w:color w:val="000000"/>
          <w:sz w:val="28"/>
          <w:szCs w:val="28"/>
        </w:rPr>
        <w:t>（</w:t>
      </w:r>
      <w:r>
        <w:rPr>
          <w:rFonts w:ascii="Times New Roman" w:hAnsi="Times New Roman" w:eastAsiaTheme="minorEastAsia"/>
          <w:color w:val="000000"/>
          <w:sz w:val="28"/>
          <w:szCs w:val="28"/>
        </w:rPr>
        <w:t>4.1</w:t>
      </w:r>
      <w:r>
        <w:rPr>
          <w:rFonts w:ascii="Times New Roman" w:hAnsi="Times New Roman"/>
          <w:color w:val="000000"/>
          <w:sz w:val="28"/>
          <w:szCs w:val="28"/>
        </w:rPr>
        <w:t>.</w:t>
      </w:r>
      <w:r>
        <w:rPr>
          <w:rFonts w:hint="eastAsia" w:ascii="Times New Roman" w:hAnsi="Times New Roman" w:eastAsiaTheme="minorEastAsia"/>
          <w:color w:val="000000"/>
          <w:sz w:val="28"/>
          <w:szCs w:val="28"/>
        </w:rPr>
        <w:t>10</w:t>
      </w:r>
      <w:r>
        <w:rPr>
          <w:rFonts w:ascii="Times New Roman" w:hAnsi="Times New Roman" w:eastAsia="宋体"/>
          <w:color w:val="000000"/>
          <w:sz w:val="28"/>
          <w:szCs w:val="28"/>
        </w:rPr>
        <w:t>）</w:t>
      </w:r>
    </w:p>
    <w:p>
      <w:pPr>
        <w:spacing w:line="460" w:lineRule="atLeast"/>
        <w:rPr>
          <w:rFonts w:eastAsiaTheme="minorEastAsia"/>
          <w:color w:val="000000"/>
          <w:sz w:val="28"/>
          <w:szCs w:val="28"/>
        </w:rPr>
      </w:pPr>
      <w:r>
        <w:rPr>
          <w:rFonts w:eastAsia="宋体"/>
          <w:color w:val="000000"/>
          <w:sz w:val="28"/>
          <w:szCs w:val="28"/>
        </w:rPr>
        <w:t>式中：</w:t>
      </w:r>
      <w:r>
        <w:rPr>
          <w:i/>
          <w:color w:val="000000"/>
          <w:sz w:val="28"/>
          <w:szCs w:val="28"/>
        </w:rPr>
        <w:t>Q</w:t>
      </w:r>
      <w:r>
        <w:rPr>
          <w:color w:val="000000"/>
          <w:sz w:val="28"/>
          <w:szCs w:val="28"/>
          <w:vertAlign w:val="subscript"/>
        </w:rPr>
        <w:t>dr</w:t>
      </w:r>
      <w:r>
        <w:rPr>
          <w:color w:val="000000"/>
          <w:sz w:val="28"/>
          <w:szCs w:val="28"/>
        </w:rPr>
        <w:t>—</w:t>
      </w:r>
      <w:r>
        <w:rPr>
          <w:rFonts w:eastAsia="宋体"/>
          <w:color w:val="000000"/>
          <w:sz w:val="28"/>
          <w:szCs w:val="28"/>
        </w:rPr>
        <w:t>旱季设计流量（</w:t>
      </w:r>
      <w:r>
        <w:rPr>
          <w:color w:val="000000"/>
          <w:sz w:val="28"/>
          <w:szCs w:val="28"/>
        </w:rPr>
        <w:t>L/s</w:t>
      </w:r>
      <w:r>
        <w:rPr>
          <w:rFonts w:eastAsia="宋体"/>
          <w:color w:val="000000"/>
          <w:sz w:val="28"/>
          <w:szCs w:val="28"/>
        </w:rPr>
        <w:t>）</w:t>
      </w:r>
      <w:r>
        <w:rPr>
          <w:rFonts w:eastAsiaTheme="minorEastAsia"/>
          <w:color w:val="000000"/>
          <w:sz w:val="28"/>
          <w:szCs w:val="28"/>
        </w:rPr>
        <w:t>；</w:t>
      </w:r>
    </w:p>
    <w:p>
      <w:pPr>
        <w:spacing w:line="460" w:lineRule="atLeast"/>
        <w:ind w:firstLine="848" w:firstLineChars="303"/>
        <w:rPr>
          <w:rFonts w:eastAsiaTheme="minorEastAsia"/>
          <w:color w:val="000000"/>
          <w:sz w:val="28"/>
          <w:szCs w:val="28"/>
        </w:rPr>
      </w:pPr>
      <w:r>
        <w:rPr>
          <w:rFonts w:eastAsiaTheme="minorEastAsia"/>
          <w:color w:val="000000"/>
          <w:sz w:val="28"/>
          <w:szCs w:val="28"/>
        </w:rPr>
        <w:t>K</w:t>
      </w:r>
      <w:r>
        <w:rPr>
          <w:color w:val="000000"/>
          <w:sz w:val="28"/>
          <w:szCs w:val="28"/>
        </w:rPr>
        <w:t xml:space="preserve"> </w:t>
      </w:r>
      <w:r>
        <w:rPr>
          <w:rFonts w:eastAsiaTheme="minorEastAsia"/>
          <w:color w:val="000000" w:themeColor="text1"/>
          <w:sz w:val="28"/>
          <w:szCs w:val="28"/>
        </w:rPr>
        <w:t>——</w:t>
      </w:r>
      <w:r>
        <w:rPr>
          <w:rFonts w:eastAsia="宋体"/>
          <w:color w:val="000000"/>
          <w:sz w:val="28"/>
          <w:szCs w:val="28"/>
        </w:rPr>
        <w:t>综合生活污水量变化系数；</w:t>
      </w:r>
    </w:p>
    <w:p>
      <w:pPr>
        <w:spacing w:line="460" w:lineRule="atLeast"/>
        <w:ind w:firstLine="848" w:firstLineChars="303"/>
        <w:rPr>
          <w:rFonts w:eastAsiaTheme="minorEastAsia"/>
          <w:color w:val="000000"/>
          <w:sz w:val="28"/>
          <w:szCs w:val="28"/>
        </w:rPr>
      </w:pPr>
      <w:r>
        <w:rPr>
          <w:i/>
          <w:color w:val="000000"/>
          <w:sz w:val="28"/>
          <w:szCs w:val="28"/>
        </w:rPr>
        <w:t>Q</w:t>
      </w:r>
      <w:r>
        <w:rPr>
          <w:color w:val="000000"/>
          <w:sz w:val="28"/>
          <w:szCs w:val="28"/>
          <w:vertAlign w:val="subscript"/>
        </w:rPr>
        <w:t>d</w:t>
      </w:r>
      <w:r>
        <w:rPr>
          <w:color w:val="000000"/>
          <w:sz w:val="28"/>
          <w:szCs w:val="28"/>
        </w:rPr>
        <w:t xml:space="preserve"> —</w:t>
      </w:r>
      <w:r>
        <w:rPr>
          <w:rFonts w:eastAsia="宋体"/>
          <w:color w:val="000000"/>
          <w:sz w:val="28"/>
          <w:szCs w:val="28"/>
        </w:rPr>
        <w:t>设计综合生活污水量（</w:t>
      </w:r>
      <w:r>
        <w:rPr>
          <w:color w:val="000000"/>
          <w:sz w:val="28"/>
          <w:szCs w:val="28"/>
        </w:rPr>
        <w:t>L/s</w:t>
      </w:r>
      <w:r>
        <w:rPr>
          <w:rFonts w:eastAsia="宋体"/>
          <w:color w:val="000000"/>
          <w:sz w:val="28"/>
          <w:szCs w:val="28"/>
        </w:rPr>
        <w:t>）</w:t>
      </w:r>
      <w:r>
        <w:rPr>
          <w:rFonts w:eastAsiaTheme="minorEastAsia"/>
          <w:color w:val="000000"/>
          <w:sz w:val="28"/>
          <w:szCs w:val="28"/>
        </w:rPr>
        <w:t>；</w:t>
      </w:r>
    </w:p>
    <w:p>
      <w:pPr>
        <w:spacing w:line="460" w:lineRule="atLeast"/>
        <w:ind w:firstLine="848" w:firstLineChars="303"/>
        <w:rPr>
          <w:rFonts w:eastAsiaTheme="minorEastAsia"/>
          <w:color w:val="000000"/>
          <w:sz w:val="28"/>
          <w:szCs w:val="28"/>
        </w:rPr>
      </w:pPr>
      <w:r>
        <w:rPr>
          <w:i/>
          <w:color w:val="000000"/>
          <w:sz w:val="28"/>
          <w:szCs w:val="28"/>
        </w:rPr>
        <w:t>Q</w:t>
      </w:r>
      <w:r>
        <w:rPr>
          <w:color w:val="000000"/>
          <w:sz w:val="28"/>
          <w:szCs w:val="28"/>
          <w:vertAlign w:val="subscript"/>
        </w:rPr>
        <w:t>m</w:t>
      </w:r>
      <w:r>
        <w:rPr>
          <w:color w:val="000000"/>
          <w:sz w:val="28"/>
          <w:szCs w:val="28"/>
        </w:rPr>
        <w:t xml:space="preserve"> —</w:t>
      </w:r>
      <w:r>
        <w:rPr>
          <w:rFonts w:eastAsia="宋体"/>
          <w:color w:val="000000"/>
          <w:sz w:val="28"/>
          <w:szCs w:val="28"/>
        </w:rPr>
        <w:t>设计工业废水量（</w:t>
      </w:r>
      <w:r>
        <w:rPr>
          <w:color w:val="000000"/>
          <w:sz w:val="28"/>
          <w:szCs w:val="28"/>
        </w:rPr>
        <w:t>L/s</w:t>
      </w:r>
      <w:r>
        <w:rPr>
          <w:rFonts w:eastAsia="宋体"/>
          <w:color w:val="000000"/>
          <w:sz w:val="28"/>
          <w:szCs w:val="28"/>
        </w:rPr>
        <w:t>）</w:t>
      </w:r>
      <w:r>
        <w:rPr>
          <w:rFonts w:eastAsiaTheme="minorEastAsia"/>
          <w:color w:val="000000"/>
          <w:sz w:val="28"/>
          <w:szCs w:val="28"/>
        </w:rPr>
        <w:t>；</w:t>
      </w:r>
    </w:p>
    <w:p>
      <w:pPr>
        <w:spacing w:line="460" w:lineRule="atLeast"/>
        <w:ind w:firstLine="848" w:firstLineChars="303"/>
        <w:rPr>
          <w:rFonts w:eastAsia="宋体"/>
          <w:color w:val="000000"/>
          <w:sz w:val="28"/>
          <w:szCs w:val="28"/>
        </w:rPr>
      </w:pPr>
      <w:r>
        <w:rPr>
          <w:rFonts w:eastAsiaTheme="minorEastAsia"/>
          <w:color w:val="000000"/>
          <w:sz w:val="28"/>
          <w:szCs w:val="28"/>
        </w:rPr>
        <w:t>K’</w:t>
      </w:r>
      <w:r>
        <w:rPr>
          <w:color w:val="000000"/>
          <w:sz w:val="28"/>
          <w:szCs w:val="28"/>
        </w:rPr>
        <w:t xml:space="preserve"> </w:t>
      </w:r>
      <w:r>
        <w:rPr>
          <w:rFonts w:eastAsiaTheme="minorEastAsia"/>
          <w:color w:val="000000" w:themeColor="text1"/>
          <w:sz w:val="28"/>
          <w:szCs w:val="28"/>
        </w:rPr>
        <w:t>——</w:t>
      </w:r>
      <w:r>
        <w:rPr>
          <w:rFonts w:eastAsia="宋体"/>
          <w:color w:val="000000"/>
          <w:sz w:val="28"/>
          <w:szCs w:val="28"/>
        </w:rPr>
        <w:t>工业废水量变化系数；</w:t>
      </w:r>
    </w:p>
    <w:p>
      <w:pPr>
        <w:spacing w:line="460" w:lineRule="atLeast"/>
        <w:ind w:firstLine="848" w:firstLineChars="303"/>
        <w:rPr>
          <w:rFonts w:eastAsiaTheme="minorEastAsia"/>
          <w:color w:val="000000"/>
          <w:sz w:val="28"/>
          <w:szCs w:val="28"/>
        </w:rPr>
      </w:pPr>
      <w:r>
        <w:rPr>
          <w:i/>
          <w:color w:val="000000"/>
          <w:sz w:val="28"/>
          <w:szCs w:val="28"/>
        </w:rPr>
        <w:t>Q</w:t>
      </w:r>
      <w:r>
        <w:rPr>
          <w:color w:val="000000"/>
          <w:sz w:val="28"/>
          <w:szCs w:val="28"/>
          <w:vertAlign w:val="subscript"/>
        </w:rPr>
        <w:t>d</w:t>
      </w:r>
      <w:r>
        <w:rPr>
          <w:color w:val="000000"/>
          <w:sz w:val="28"/>
          <w:szCs w:val="28"/>
        </w:rPr>
        <w:t xml:space="preserve"> </w:t>
      </w:r>
      <w:r>
        <w:rPr>
          <w:rFonts w:eastAsiaTheme="minorEastAsia"/>
          <w:color w:val="000000" w:themeColor="text1"/>
          <w:sz w:val="28"/>
          <w:szCs w:val="28"/>
        </w:rPr>
        <w:t>——</w:t>
      </w:r>
      <w:r>
        <w:rPr>
          <w:rFonts w:eastAsia="宋体"/>
          <w:color w:val="000000"/>
          <w:sz w:val="28"/>
          <w:szCs w:val="28"/>
        </w:rPr>
        <w:t>设计综合生活污水量（</w:t>
      </w:r>
      <w:r>
        <w:rPr>
          <w:color w:val="000000"/>
          <w:sz w:val="28"/>
          <w:szCs w:val="28"/>
        </w:rPr>
        <w:t>L/s</w:t>
      </w:r>
      <w:r>
        <w:rPr>
          <w:rFonts w:eastAsia="宋体"/>
          <w:color w:val="000000"/>
          <w:sz w:val="28"/>
          <w:szCs w:val="28"/>
        </w:rPr>
        <w:t>）</w:t>
      </w:r>
      <w:r>
        <w:rPr>
          <w:rFonts w:eastAsiaTheme="minorEastAsia"/>
          <w:color w:val="000000"/>
          <w:sz w:val="28"/>
          <w:szCs w:val="28"/>
        </w:rPr>
        <w:t>；</w:t>
      </w:r>
    </w:p>
    <w:p>
      <w:pPr>
        <w:spacing w:line="460" w:lineRule="atLeast"/>
        <w:ind w:firstLine="848" w:firstLineChars="303"/>
        <w:rPr>
          <w:rFonts w:eastAsiaTheme="minorEastAsia"/>
          <w:color w:val="000000"/>
          <w:sz w:val="28"/>
          <w:szCs w:val="28"/>
        </w:rPr>
      </w:pPr>
      <w:r>
        <w:rPr>
          <w:i/>
          <w:color w:val="000000"/>
          <w:sz w:val="28"/>
          <w:szCs w:val="28"/>
        </w:rPr>
        <w:t>Q</w:t>
      </w:r>
      <w:r>
        <w:rPr>
          <w:rFonts w:eastAsiaTheme="minorEastAsia"/>
          <w:color w:val="000000"/>
          <w:sz w:val="28"/>
          <w:szCs w:val="28"/>
          <w:vertAlign w:val="subscript"/>
        </w:rPr>
        <w:t>u</w:t>
      </w:r>
      <w:r>
        <w:rPr>
          <w:color w:val="000000"/>
          <w:sz w:val="28"/>
          <w:szCs w:val="28"/>
        </w:rPr>
        <w:t xml:space="preserve"> —</w:t>
      </w:r>
      <w:r>
        <w:rPr>
          <w:rFonts w:eastAsia="宋体"/>
          <w:color w:val="000000"/>
          <w:sz w:val="28"/>
          <w:szCs w:val="28"/>
        </w:rPr>
        <w:t>入渗地下水量（</w:t>
      </w:r>
      <w:r>
        <w:rPr>
          <w:color w:val="000000"/>
          <w:sz w:val="28"/>
          <w:szCs w:val="28"/>
        </w:rPr>
        <w:t>L/s</w:t>
      </w:r>
      <w:r>
        <w:rPr>
          <w:rFonts w:eastAsia="宋体"/>
          <w:color w:val="000000"/>
          <w:sz w:val="28"/>
          <w:szCs w:val="28"/>
        </w:rPr>
        <w:t>），</w:t>
      </w:r>
      <w:r>
        <w:rPr>
          <w:rFonts w:eastAsiaTheme="minorEastAsia"/>
          <w:color w:val="000000" w:themeColor="text1"/>
          <w:kern w:val="0"/>
          <w:sz w:val="28"/>
          <w:szCs w:val="28"/>
          <w:lang w:val="zh-CN"/>
        </w:rPr>
        <w:t>在地下水位较高地区，应考虑</w:t>
      </w:r>
      <w:r>
        <w:rPr>
          <w:rFonts w:eastAsiaTheme="minorEastAsia"/>
          <w:color w:val="000000"/>
          <w:sz w:val="28"/>
          <w:szCs w:val="28"/>
        </w:rPr>
        <w:t>。</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w:t>
      </w:r>
      <w:r>
        <w:rPr>
          <w:rFonts w:ascii="Times New Roman" w:hAnsi="Times New Roman" w:eastAsiaTheme="minorEastAsia"/>
          <w:color w:val="000000" w:themeColor="text1"/>
          <w:kern w:val="0"/>
          <w:sz w:val="28"/>
          <w:szCs w:val="28"/>
          <w:lang w:val="zh-CN"/>
        </w:rPr>
        <w:t xml:space="preserve">旱季设计流量包括最高日最高时的综合生活污水量和工业废水量。地下水位较高地区，还应考虑入渗地下水量。综合生活污水由居民生活污水和公共建筑污水组成。居民生活污水指居民日常生活中洗涤、冲厕、洗澡等产生的污水。公共建筑污水指娱乐场所、宾馆、浴室、商业网点、学校和办公楼等产生的污水。  </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综合生活污水定额应根据当地采用的用水定额，结合建筑内部给排水设施水平确定，</w:t>
      </w:r>
      <w:r>
        <w:rPr>
          <w:rFonts w:hint="eastAsia" w:ascii="Times New Roman" w:hAnsi="Times New Roman" w:eastAsiaTheme="minorEastAsia"/>
          <w:color w:val="000000" w:themeColor="text1"/>
          <w:sz w:val="28"/>
          <w:szCs w:val="28"/>
        </w:rPr>
        <w:t>一般</w:t>
      </w:r>
      <w:r>
        <w:rPr>
          <w:rFonts w:ascii="Times New Roman" w:hAnsi="Times New Roman" w:eastAsiaTheme="minorEastAsia"/>
          <w:color w:val="000000" w:themeColor="text1"/>
          <w:sz w:val="28"/>
          <w:szCs w:val="28"/>
        </w:rPr>
        <w:t>可按当地相关用水定额的90%采用。</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【条文说明】按用水定额确定污水定额时，可按用水定额的90%计，建筑内部给排水设施水平不完善的地区可适当降低。</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综合生活污水量变化系数可根据当地实际综合生活污水量变化资料确定。无测定资料时，新建项目可按表4.1.1</w:t>
      </w:r>
      <w:r>
        <w:rPr>
          <w:rFonts w:hint="eastAsia" w:ascii="Times New Roman" w:hAnsi="Times New Roman" w:eastAsiaTheme="minorEastAsia"/>
          <w:color w:val="000000" w:themeColor="text1"/>
          <w:sz w:val="28"/>
          <w:szCs w:val="28"/>
        </w:rPr>
        <w:t>2</w:t>
      </w:r>
      <w:r>
        <w:rPr>
          <w:rFonts w:ascii="Times New Roman" w:hAnsi="Times New Roman" w:eastAsiaTheme="minorEastAsia"/>
          <w:color w:val="000000" w:themeColor="text1"/>
          <w:sz w:val="28"/>
          <w:szCs w:val="28"/>
        </w:rPr>
        <w:t>的规定取值；改、扩建项目可根据实际条件，</w:t>
      </w:r>
      <w:r>
        <w:rPr>
          <w:rFonts w:hint="eastAsia" w:ascii="Times New Roman" w:hAnsi="Times New Roman" w:eastAsiaTheme="minorEastAsia"/>
          <w:color w:val="000000" w:themeColor="text1"/>
          <w:sz w:val="28"/>
          <w:szCs w:val="28"/>
        </w:rPr>
        <w:t>经实际流量分析后确定，也可按</w:t>
      </w:r>
      <w:r>
        <w:rPr>
          <w:rFonts w:ascii="Times New Roman" w:hAnsi="Times New Roman" w:eastAsiaTheme="minorEastAsia"/>
          <w:color w:val="000000" w:themeColor="text1"/>
          <w:sz w:val="28"/>
          <w:szCs w:val="28"/>
        </w:rPr>
        <w:t>表4.1.1</w:t>
      </w:r>
      <w:r>
        <w:rPr>
          <w:rFonts w:hint="eastAsia" w:ascii="Times New Roman" w:hAnsi="Times New Roman" w:eastAsiaTheme="minorEastAsia"/>
          <w:color w:val="000000" w:themeColor="text1"/>
          <w:sz w:val="28"/>
          <w:szCs w:val="28"/>
        </w:rPr>
        <w:t>2</w:t>
      </w:r>
      <w:r>
        <w:rPr>
          <w:rFonts w:ascii="Times New Roman" w:hAnsi="Times New Roman" w:eastAsiaTheme="minorEastAsia"/>
          <w:color w:val="000000" w:themeColor="text1"/>
          <w:sz w:val="28"/>
          <w:szCs w:val="28"/>
        </w:rPr>
        <w:t>的规定，分期扩建。</w:t>
      </w:r>
    </w:p>
    <w:p>
      <w:pPr>
        <w:wordWrap w:val="0"/>
        <w:jc w:val="center"/>
        <w:rPr>
          <w:rFonts w:eastAsiaTheme="minorEastAsia"/>
          <w:b/>
          <w:color w:val="000000" w:themeColor="text1"/>
          <w:sz w:val="28"/>
          <w:szCs w:val="28"/>
        </w:rPr>
      </w:pPr>
      <w:r>
        <w:rPr>
          <w:rFonts w:eastAsiaTheme="minorEastAsia"/>
          <w:b/>
          <w:color w:val="000000" w:themeColor="text1"/>
          <w:sz w:val="28"/>
          <w:szCs w:val="28"/>
        </w:rPr>
        <w:t>表4.1.1</w:t>
      </w:r>
      <w:r>
        <w:rPr>
          <w:rFonts w:hint="eastAsia" w:eastAsiaTheme="minorEastAsia"/>
          <w:b/>
          <w:color w:val="000000" w:themeColor="text1"/>
          <w:sz w:val="28"/>
          <w:szCs w:val="28"/>
        </w:rPr>
        <w:t>2</w:t>
      </w:r>
      <w:r>
        <w:rPr>
          <w:rFonts w:eastAsiaTheme="minorEastAsia"/>
          <w:b/>
          <w:color w:val="000000" w:themeColor="text1"/>
          <w:sz w:val="28"/>
          <w:szCs w:val="28"/>
        </w:rPr>
        <w:t xml:space="preserve"> 综合生活污水量变化系数</w:t>
      </w:r>
    </w:p>
    <w:tbl>
      <w:tblPr>
        <w:tblStyle w:val="2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762"/>
        <w:gridCol w:w="762"/>
        <w:gridCol w:w="762"/>
        <w:gridCol w:w="762"/>
        <w:gridCol w:w="762"/>
        <w:gridCol w:w="762"/>
        <w:gridCol w:w="762"/>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平均日流量（L/s）</w:t>
            </w:r>
          </w:p>
        </w:tc>
        <w:tc>
          <w:tcPr>
            <w:tcW w:w="76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5</w:t>
            </w:r>
          </w:p>
        </w:tc>
        <w:tc>
          <w:tcPr>
            <w:tcW w:w="76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15</w:t>
            </w:r>
          </w:p>
        </w:tc>
        <w:tc>
          <w:tcPr>
            <w:tcW w:w="76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40</w:t>
            </w:r>
          </w:p>
        </w:tc>
        <w:tc>
          <w:tcPr>
            <w:tcW w:w="76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70</w:t>
            </w:r>
          </w:p>
        </w:tc>
        <w:tc>
          <w:tcPr>
            <w:tcW w:w="76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100</w:t>
            </w:r>
          </w:p>
        </w:tc>
        <w:tc>
          <w:tcPr>
            <w:tcW w:w="76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200</w:t>
            </w:r>
          </w:p>
        </w:tc>
        <w:tc>
          <w:tcPr>
            <w:tcW w:w="76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500</w:t>
            </w:r>
          </w:p>
        </w:tc>
        <w:tc>
          <w:tcPr>
            <w:tcW w:w="101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7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变化系数</w:t>
            </w:r>
          </w:p>
        </w:tc>
        <w:tc>
          <w:tcPr>
            <w:tcW w:w="762" w:type="dxa"/>
            <w:vAlign w:val="center"/>
          </w:tcPr>
          <w:p>
            <w:pPr>
              <w:pStyle w:val="50"/>
              <w:wordWrap w:val="0"/>
              <w:rPr>
                <w:rFonts w:eastAsiaTheme="minorEastAsia"/>
                <w:color w:val="000000" w:themeColor="text1"/>
                <w:sz w:val="28"/>
              </w:rPr>
            </w:pPr>
            <w:r>
              <w:rPr>
                <w:rFonts w:eastAsiaTheme="minorEastAsia"/>
                <w:color w:val="000000" w:themeColor="text1"/>
                <w:sz w:val="28"/>
              </w:rPr>
              <w:t>2.7</w:t>
            </w:r>
          </w:p>
        </w:tc>
        <w:tc>
          <w:tcPr>
            <w:tcW w:w="762" w:type="dxa"/>
            <w:vAlign w:val="center"/>
          </w:tcPr>
          <w:p>
            <w:pPr>
              <w:pStyle w:val="50"/>
              <w:wordWrap w:val="0"/>
              <w:rPr>
                <w:rFonts w:eastAsiaTheme="minorEastAsia"/>
                <w:color w:val="000000" w:themeColor="text1"/>
                <w:sz w:val="28"/>
              </w:rPr>
            </w:pPr>
            <w:r>
              <w:rPr>
                <w:rFonts w:eastAsiaTheme="minorEastAsia"/>
                <w:color w:val="000000" w:themeColor="text1"/>
                <w:sz w:val="28"/>
              </w:rPr>
              <w:t>2.4</w:t>
            </w:r>
          </w:p>
        </w:tc>
        <w:tc>
          <w:tcPr>
            <w:tcW w:w="762" w:type="dxa"/>
            <w:vAlign w:val="center"/>
          </w:tcPr>
          <w:p>
            <w:pPr>
              <w:pStyle w:val="50"/>
              <w:wordWrap w:val="0"/>
              <w:rPr>
                <w:rFonts w:eastAsiaTheme="minorEastAsia"/>
                <w:color w:val="000000" w:themeColor="text1"/>
                <w:sz w:val="28"/>
              </w:rPr>
            </w:pPr>
            <w:r>
              <w:rPr>
                <w:rFonts w:eastAsiaTheme="minorEastAsia"/>
                <w:color w:val="000000" w:themeColor="text1"/>
                <w:sz w:val="28"/>
              </w:rPr>
              <w:t>2.1</w:t>
            </w:r>
          </w:p>
        </w:tc>
        <w:tc>
          <w:tcPr>
            <w:tcW w:w="762" w:type="dxa"/>
            <w:vAlign w:val="center"/>
          </w:tcPr>
          <w:p>
            <w:pPr>
              <w:pStyle w:val="50"/>
              <w:wordWrap w:val="0"/>
              <w:rPr>
                <w:rFonts w:eastAsiaTheme="minorEastAsia"/>
                <w:color w:val="000000" w:themeColor="text1"/>
                <w:sz w:val="28"/>
              </w:rPr>
            </w:pPr>
            <w:r>
              <w:rPr>
                <w:rFonts w:eastAsiaTheme="minorEastAsia"/>
                <w:color w:val="000000" w:themeColor="text1"/>
                <w:sz w:val="28"/>
              </w:rPr>
              <w:t>2.0</w:t>
            </w:r>
          </w:p>
        </w:tc>
        <w:tc>
          <w:tcPr>
            <w:tcW w:w="762" w:type="dxa"/>
            <w:vAlign w:val="center"/>
          </w:tcPr>
          <w:p>
            <w:pPr>
              <w:pStyle w:val="50"/>
              <w:wordWrap w:val="0"/>
              <w:rPr>
                <w:rFonts w:eastAsiaTheme="minorEastAsia"/>
                <w:color w:val="000000" w:themeColor="text1"/>
                <w:sz w:val="28"/>
              </w:rPr>
            </w:pPr>
            <w:r>
              <w:rPr>
                <w:rFonts w:eastAsiaTheme="minorEastAsia"/>
                <w:color w:val="000000" w:themeColor="text1"/>
                <w:sz w:val="28"/>
              </w:rPr>
              <w:t>1.9</w:t>
            </w:r>
          </w:p>
        </w:tc>
        <w:tc>
          <w:tcPr>
            <w:tcW w:w="762" w:type="dxa"/>
            <w:vAlign w:val="center"/>
          </w:tcPr>
          <w:p>
            <w:pPr>
              <w:pStyle w:val="50"/>
              <w:wordWrap w:val="0"/>
              <w:rPr>
                <w:rFonts w:eastAsiaTheme="minorEastAsia"/>
                <w:color w:val="000000" w:themeColor="text1"/>
                <w:sz w:val="28"/>
              </w:rPr>
            </w:pPr>
            <w:r>
              <w:rPr>
                <w:rFonts w:eastAsiaTheme="minorEastAsia"/>
                <w:color w:val="000000" w:themeColor="text1"/>
                <w:sz w:val="28"/>
              </w:rPr>
              <w:t>1.8</w:t>
            </w:r>
          </w:p>
        </w:tc>
        <w:tc>
          <w:tcPr>
            <w:tcW w:w="762" w:type="dxa"/>
            <w:vAlign w:val="center"/>
          </w:tcPr>
          <w:p>
            <w:pPr>
              <w:pStyle w:val="50"/>
              <w:wordWrap w:val="0"/>
              <w:rPr>
                <w:rFonts w:eastAsiaTheme="minorEastAsia"/>
                <w:color w:val="000000" w:themeColor="text1"/>
                <w:sz w:val="28"/>
              </w:rPr>
            </w:pPr>
            <w:r>
              <w:rPr>
                <w:rFonts w:eastAsiaTheme="minorEastAsia"/>
                <w:color w:val="000000" w:themeColor="text1"/>
                <w:sz w:val="28"/>
              </w:rPr>
              <w:t>1.6</w:t>
            </w:r>
          </w:p>
        </w:tc>
        <w:tc>
          <w:tcPr>
            <w:tcW w:w="1018" w:type="dxa"/>
            <w:vAlign w:val="center"/>
          </w:tcPr>
          <w:p>
            <w:pPr>
              <w:pStyle w:val="50"/>
              <w:wordWrap w:val="0"/>
              <w:rPr>
                <w:rFonts w:eastAsiaTheme="minorEastAsia"/>
                <w:color w:val="000000" w:themeColor="text1"/>
                <w:sz w:val="28"/>
              </w:rPr>
            </w:pPr>
            <w:r>
              <w:rPr>
                <w:rFonts w:eastAsiaTheme="minorEastAsia"/>
                <w:color w:val="000000" w:themeColor="text1"/>
                <w:sz w:val="28"/>
              </w:rPr>
              <w:t>1.5</w:t>
            </w:r>
          </w:p>
        </w:tc>
      </w:tr>
    </w:tbl>
    <w:p>
      <w:pPr>
        <w:wordWrap w:val="0"/>
        <w:ind w:left="1012" w:leftChars="200" w:hanging="592" w:hangingChars="200"/>
        <w:rPr>
          <w:rFonts w:eastAsiaTheme="minorEastAsia"/>
          <w:color w:val="000000" w:themeColor="text1"/>
          <w:sz w:val="28"/>
          <w:szCs w:val="28"/>
        </w:rPr>
      </w:pPr>
      <w:r>
        <w:rPr>
          <w:rFonts w:eastAsiaTheme="minorEastAsia"/>
          <w:color w:val="000000" w:themeColor="text1"/>
          <w:spacing w:val="8"/>
          <w:sz w:val="28"/>
          <w:szCs w:val="28"/>
        </w:rPr>
        <w:t>注：当污水平均日流量为中间数值时，变化系数可用内插法求得。</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条文说明】本次修订对2006版的综合生活污水量总变化系数进行了调整。编制组收集了上海市80座污水泵站（不含节点泵站、合流泵站）2010年至2014年之间的日运行数据，为了消除雨污混接、泵站预抽空和雨水倒灌等诸多因素的干扰，在分析中剔除了雨天泵站运行数据。对剩余旱天运行数据整理和分析后，得到日流量与日变化系数对数值的线性拟合公式如下：Lg</w:t>
      </w:r>
      <w:r>
        <w:rPr>
          <w:rFonts w:eastAsiaTheme="minorEastAsia"/>
          <w:i/>
          <w:color w:val="000000" w:themeColor="text1"/>
          <w:sz w:val="28"/>
          <w:szCs w:val="28"/>
        </w:rPr>
        <w:t>K</w:t>
      </w:r>
      <w:r>
        <w:rPr>
          <w:rFonts w:eastAsiaTheme="minorEastAsia"/>
          <w:color w:val="000000" w:themeColor="text1"/>
          <w:sz w:val="28"/>
          <w:szCs w:val="28"/>
        </w:rPr>
        <w:t>=-0.1156Lg</w:t>
      </w:r>
      <w:r>
        <w:rPr>
          <w:rFonts w:eastAsiaTheme="minorEastAsia"/>
          <w:i/>
          <w:color w:val="000000" w:themeColor="text1"/>
          <w:sz w:val="28"/>
          <w:szCs w:val="28"/>
        </w:rPr>
        <w:t>Q</w:t>
      </w:r>
      <w:r>
        <w:rPr>
          <w:rFonts w:eastAsiaTheme="minorEastAsia"/>
          <w:color w:val="000000" w:themeColor="text1"/>
          <w:sz w:val="28"/>
          <w:szCs w:val="28"/>
        </w:rPr>
        <w:t>+0.5052（R</w:t>
      </w:r>
      <w:r>
        <w:rPr>
          <w:rFonts w:eastAsiaTheme="minorEastAsia"/>
          <w:color w:val="000000" w:themeColor="text1"/>
          <w:sz w:val="28"/>
          <w:szCs w:val="28"/>
          <w:vertAlign w:val="superscript"/>
        </w:rPr>
        <w:t>2</w:t>
      </w:r>
      <w:r>
        <w:rPr>
          <w:rFonts w:eastAsiaTheme="minorEastAsia"/>
          <w:color w:val="000000" w:themeColor="text1"/>
          <w:sz w:val="28"/>
          <w:szCs w:val="28"/>
        </w:rPr>
        <w:t>=0.5）。鉴于泵站数据无法统计时变化系数，因此仅以日流量变化系数的拟合公式，与国家标准《室外排水设计规范》（GB 50014-2006）和国外发达国家的生活污水量总变化系数做了对比，如表7所示。国外大多按照人口总数确定综合生活污水量总变化系数，并设定最小值。计算时，人口P值按250L/人.日的用水当量换算为表7中的流量。日本和加拿大安大略省采用Rabbitt Equation公式，且规定</w:t>
      </w:r>
      <w:r>
        <w:rPr>
          <w:rFonts w:eastAsiaTheme="minorEastAsia"/>
          <w:i/>
          <w:color w:val="000000" w:themeColor="text1"/>
          <w:sz w:val="28"/>
          <w:szCs w:val="28"/>
        </w:rPr>
        <w:t>K</w:t>
      </w:r>
      <w:r>
        <w:rPr>
          <w:rFonts w:eastAsiaTheme="minorEastAsia"/>
          <w:color w:val="000000" w:themeColor="text1"/>
          <w:sz w:val="28"/>
          <w:szCs w:val="28"/>
        </w:rPr>
        <w:t>值不低于2.0；美国十州和加拿大萨斯喀彻温省采用Harmon公式，加拿大萨斯喀彻温省规定K值不低于2.5；美国加州规定K值不低于1.8。</w:t>
      </w:r>
    </w:p>
    <w:p>
      <w:pPr>
        <w:pStyle w:val="30"/>
        <w:wordWrap w:val="0"/>
        <w:spacing w:line="360" w:lineRule="auto"/>
        <w:ind w:firstLine="568" w:firstLineChars="202"/>
        <w:jc w:val="center"/>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表7 变化系数比较</w:t>
      </w:r>
    </w:p>
    <w:tbl>
      <w:tblPr>
        <w:tblStyle w:val="25"/>
        <w:tblW w:w="102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9"/>
        <w:gridCol w:w="1057"/>
        <w:gridCol w:w="1056"/>
        <w:gridCol w:w="1056"/>
        <w:gridCol w:w="1056"/>
        <w:gridCol w:w="763"/>
        <w:gridCol w:w="763"/>
        <w:gridCol w:w="823"/>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669" w:type="dxa"/>
            <w:vAlign w:val="center"/>
          </w:tcPr>
          <w:p>
            <w:pPr>
              <w:pStyle w:val="50"/>
              <w:wordWrap w:val="0"/>
              <w:rPr>
                <w:rFonts w:eastAsiaTheme="minorEastAsia"/>
                <w:color w:val="000000" w:themeColor="text1"/>
                <w:sz w:val="28"/>
              </w:rPr>
            </w:pPr>
            <w:r>
              <w:rPr>
                <w:rFonts w:eastAsiaTheme="minorEastAsia"/>
                <w:color w:val="000000" w:themeColor="text1"/>
                <w:sz w:val="28"/>
              </w:rPr>
              <w:t>平均日流量(L/s)</w:t>
            </w:r>
          </w:p>
        </w:tc>
        <w:tc>
          <w:tcPr>
            <w:tcW w:w="1057" w:type="dxa"/>
            <w:vAlign w:val="center"/>
          </w:tcPr>
          <w:p>
            <w:pPr>
              <w:pStyle w:val="50"/>
              <w:wordWrap w:val="0"/>
              <w:rPr>
                <w:rFonts w:eastAsiaTheme="minorEastAsia"/>
                <w:color w:val="000000" w:themeColor="text1"/>
                <w:sz w:val="28"/>
              </w:rPr>
            </w:pPr>
            <w:r>
              <w:rPr>
                <w:rFonts w:eastAsiaTheme="minorEastAsia"/>
                <w:color w:val="000000" w:themeColor="text1"/>
                <w:sz w:val="28"/>
              </w:rPr>
              <w:t>5</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15</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40</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70</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100</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200</w:t>
            </w:r>
          </w:p>
        </w:tc>
        <w:tc>
          <w:tcPr>
            <w:tcW w:w="823" w:type="dxa"/>
            <w:vAlign w:val="center"/>
          </w:tcPr>
          <w:p>
            <w:pPr>
              <w:pStyle w:val="50"/>
              <w:wordWrap w:val="0"/>
              <w:rPr>
                <w:rFonts w:eastAsiaTheme="minorEastAsia"/>
                <w:color w:val="000000" w:themeColor="text1"/>
                <w:sz w:val="28"/>
              </w:rPr>
            </w:pPr>
            <w:r>
              <w:rPr>
                <w:rFonts w:eastAsiaTheme="minorEastAsia"/>
                <w:color w:val="000000" w:themeColor="text1"/>
                <w:sz w:val="28"/>
              </w:rPr>
              <w:t>500</w:t>
            </w:r>
          </w:p>
        </w:tc>
        <w:tc>
          <w:tcPr>
            <w:tcW w:w="967" w:type="dxa"/>
            <w:vAlign w:val="center"/>
          </w:tcPr>
          <w:p>
            <w:pPr>
              <w:pStyle w:val="50"/>
              <w:wordWrap w:val="0"/>
              <w:rPr>
                <w:rFonts w:eastAsiaTheme="minorEastAsia"/>
                <w:color w:val="000000" w:themeColor="text1"/>
                <w:sz w:val="28"/>
              </w:rPr>
            </w:pPr>
            <w:r>
              <w:rPr>
                <w:rFonts w:eastAsiaTheme="minorEastAsia"/>
                <w:color w:val="000000" w:themeColor="text1"/>
                <w:sz w:val="2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669" w:type="dxa"/>
            <w:vAlign w:val="center"/>
          </w:tcPr>
          <w:p>
            <w:pPr>
              <w:pStyle w:val="50"/>
              <w:wordWrap w:val="0"/>
              <w:rPr>
                <w:rFonts w:eastAsiaTheme="minorEastAsia"/>
                <w:color w:val="000000" w:themeColor="text1"/>
                <w:spacing w:val="-20"/>
                <w:sz w:val="28"/>
              </w:rPr>
            </w:pPr>
            <w:r>
              <w:rPr>
                <w:rFonts w:eastAsiaTheme="minorEastAsia"/>
                <w:color w:val="000000" w:themeColor="text1"/>
                <w:spacing w:val="-20"/>
                <w:sz w:val="28"/>
              </w:rPr>
              <w:t>上海泵站调研拟合得到的日变化系数</w:t>
            </w:r>
          </w:p>
        </w:tc>
        <w:tc>
          <w:tcPr>
            <w:tcW w:w="1057" w:type="dxa"/>
            <w:vAlign w:val="center"/>
          </w:tcPr>
          <w:p>
            <w:pPr>
              <w:pStyle w:val="50"/>
              <w:wordWrap w:val="0"/>
              <w:rPr>
                <w:rFonts w:eastAsiaTheme="minorEastAsia"/>
                <w:color w:val="000000" w:themeColor="text1"/>
                <w:sz w:val="28"/>
              </w:rPr>
            </w:pPr>
            <w:r>
              <w:rPr>
                <w:rFonts w:eastAsiaTheme="minorEastAsia"/>
                <w:color w:val="000000" w:themeColor="text1"/>
                <w:sz w:val="28"/>
              </w:rPr>
              <w:t>2.7</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2.4</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2.1</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2.0</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1.9</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1.8</w:t>
            </w:r>
          </w:p>
        </w:tc>
        <w:tc>
          <w:tcPr>
            <w:tcW w:w="823" w:type="dxa"/>
            <w:vAlign w:val="center"/>
          </w:tcPr>
          <w:p>
            <w:pPr>
              <w:pStyle w:val="50"/>
              <w:wordWrap w:val="0"/>
              <w:rPr>
                <w:rFonts w:eastAsiaTheme="minorEastAsia"/>
                <w:color w:val="000000" w:themeColor="text1"/>
                <w:sz w:val="28"/>
              </w:rPr>
            </w:pPr>
            <w:r>
              <w:rPr>
                <w:rFonts w:eastAsiaTheme="minorEastAsia"/>
                <w:color w:val="000000" w:themeColor="text1"/>
                <w:sz w:val="28"/>
              </w:rPr>
              <w:t>1.6</w:t>
            </w:r>
          </w:p>
        </w:tc>
        <w:tc>
          <w:tcPr>
            <w:tcW w:w="967" w:type="dxa"/>
            <w:vAlign w:val="center"/>
          </w:tcPr>
          <w:p>
            <w:pPr>
              <w:pStyle w:val="50"/>
              <w:wordWrap w:val="0"/>
              <w:rPr>
                <w:rFonts w:eastAsiaTheme="minorEastAsia"/>
                <w:color w:val="000000" w:themeColor="text1"/>
                <w:sz w:val="28"/>
              </w:rPr>
            </w:pPr>
            <w:r>
              <w:rPr>
                <w:rFonts w:eastAsiaTheme="minorEastAsia"/>
                <w:color w:val="000000" w:themeColor="text1"/>
                <w:sz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669" w:type="dxa"/>
            <w:vAlign w:val="center"/>
          </w:tcPr>
          <w:p>
            <w:pPr>
              <w:pStyle w:val="50"/>
              <w:wordWrap w:val="0"/>
              <w:rPr>
                <w:rFonts w:eastAsiaTheme="minorEastAsia"/>
                <w:color w:val="000000" w:themeColor="text1"/>
                <w:spacing w:val="-20"/>
                <w:sz w:val="28"/>
              </w:rPr>
            </w:pPr>
            <w:r>
              <w:rPr>
                <w:rFonts w:eastAsiaTheme="minorEastAsia"/>
                <w:color w:val="000000" w:themeColor="text1"/>
                <w:spacing w:val="-20"/>
                <w:sz w:val="28"/>
              </w:rPr>
              <w:t>《室外排水设计规范》（GB 50014-2006）</w:t>
            </w:r>
          </w:p>
          <w:p>
            <w:pPr>
              <w:pStyle w:val="50"/>
              <w:wordWrap w:val="0"/>
              <w:rPr>
                <w:rFonts w:eastAsiaTheme="minorEastAsia"/>
                <w:color w:val="000000" w:themeColor="text1"/>
                <w:spacing w:val="-20"/>
                <w:sz w:val="28"/>
              </w:rPr>
            </w:pPr>
            <w:r>
              <w:rPr>
                <w:rFonts w:eastAsiaTheme="minorEastAsia"/>
                <w:color w:val="000000" w:themeColor="text1"/>
                <w:spacing w:val="-20"/>
                <w:sz w:val="28"/>
              </w:rPr>
              <w:t>总变化系数 表3.1.3</w:t>
            </w:r>
          </w:p>
        </w:tc>
        <w:tc>
          <w:tcPr>
            <w:tcW w:w="1057" w:type="dxa"/>
            <w:vAlign w:val="center"/>
          </w:tcPr>
          <w:p>
            <w:pPr>
              <w:pStyle w:val="50"/>
              <w:wordWrap w:val="0"/>
              <w:rPr>
                <w:rFonts w:eastAsiaTheme="minorEastAsia"/>
                <w:color w:val="000000" w:themeColor="text1"/>
                <w:sz w:val="28"/>
              </w:rPr>
            </w:pPr>
            <w:r>
              <w:rPr>
                <w:rFonts w:eastAsiaTheme="minorEastAsia"/>
                <w:color w:val="000000" w:themeColor="text1"/>
                <w:sz w:val="28"/>
              </w:rPr>
              <w:t>2.3</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2.0</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1.8</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1.7</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1.6</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1.5</w:t>
            </w:r>
          </w:p>
        </w:tc>
        <w:tc>
          <w:tcPr>
            <w:tcW w:w="823" w:type="dxa"/>
            <w:vAlign w:val="center"/>
          </w:tcPr>
          <w:p>
            <w:pPr>
              <w:pStyle w:val="50"/>
              <w:wordWrap w:val="0"/>
              <w:rPr>
                <w:rFonts w:eastAsiaTheme="minorEastAsia"/>
                <w:color w:val="000000" w:themeColor="text1"/>
                <w:sz w:val="28"/>
              </w:rPr>
            </w:pPr>
            <w:r>
              <w:rPr>
                <w:rFonts w:eastAsiaTheme="minorEastAsia"/>
                <w:color w:val="000000" w:themeColor="text1"/>
                <w:sz w:val="28"/>
              </w:rPr>
              <w:t>1.4</w:t>
            </w:r>
          </w:p>
        </w:tc>
        <w:tc>
          <w:tcPr>
            <w:tcW w:w="967" w:type="dxa"/>
            <w:vAlign w:val="center"/>
          </w:tcPr>
          <w:p>
            <w:pPr>
              <w:pStyle w:val="50"/>
              <w:wordWrap w:val="0"/>
              <w:rPr>
                <w:rFonts w:eastAsiaTheme="minorEastAsia"/>
                <w:color w:val="000000" w:themeColor="text1"/>
                <w:sz w:val="28"/>
              </w:rPr>
            </w:pPr>
            <w:r>
              <w:rPr>
                <w:rFonts w:eastAsiaTheme="minorEastAsia"/>
                <w:color w:val="000000" w:themeColor="text1"/>
                <w:sz w:val="2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669" w:type="dxa"/>
            <w:vAlign w:val="center"/>
          </w:tcPr>
          <w:p>
            <w:pPr>
              <w:pStyle w:val="50"/>
              <w:wordWrap w:val="0"/>
              <w:rPr>
                <w:rFonts w:eastAsiaTheme="minorEastAsia"/>
                <w:color w:val="000000" w:themeColor="text1"/>
                <w:spacing w:val="-20"/>
                <w:sz w:val="28"/>
              </w:rPr>
            </w:pPr>
            <w:r>
              <w:rPr>
                <w:rFonts w:eastAsiaTheme="minorEastAsia"/>
                <w:color w:val="000000" w:themeColor="text1"/>
                <w:spacing w:val="-20"/>
                <w:sz w:val="28"/>
              </w:rPr>
              <w:t>美国加州采用的计算</w:t>
            </w:r>
            <w:r>
              <w:rPr>
                <w:rFonts w:eastAsiaTheme="minorEastAsia"/>
                <w:color w:val="000000" w:themeColor="text1"/>
                <w:sz w:val="28"/>
              </w:rPr>
              <w:t>公式</w:t>
            </w:r>
            <w:r>
              <w:rPr>
                <w:rFonts w:eastAsiaTheme="minorEastAsia"/>
                <w:i/>
                <w:color w:val="000000" w:themeColor="text1"/>
                <w:sz w:val="28"/>
              </w:rPr>
              <w:t>K</w:t>
            </w:r>
            <w:r>
              <w:rPr>
                <w:rFonts w:eastAsiaTheme="minorEastAsia"/>
                <w:color w:val="000000" w:themeColor="text1"/>
                <w:sz w:val="28"/>
              </w:rPr>
              <w:t>=5.453/</w:t>
            </w:r>
            <w:r>
              <w:rPr>
                <w:rFonts w:eastAsiaTheme="minorEastAsia"/>
                <w:i/>
                <w:color w:val="000000" w:themeColor="text1"/>
                <w:sz w:val="28"/>
              </w:rPr>
              <w:t>P</w:t>
            </w:r>
            <w:r>
              <w:rPr>
                <w:rFonts w:eastAsiaTheme="minorEastAsia"/>
                <w:color w:val="000000" w:themeColor="text1"/>
                <w:sz w:val="28"/>
                <w:vertAlign w:val="superscript"/>
              </w:rPr>
              <w:t>0.0963</w:t>
            </w:r>
          </w:p>
        </w:tc>
        <w:tc>
          <w:tcPr>
            <w:tcW w:w="1057" w:type="dxa"/>
            <w:vAlign w:val="center"/>
          </w:tcPr>
          <w:p>
            <w:pPr>
              <w:pStyle w:val="50"/>
              <w:wordWrap w:val="0"/>
              <w:rPr>
                <w:rFonts w:eastAsiaTheme="minorEastAsia"/>
                <w:color w:val="000000" w:themeColor="text1"/>
                <w:sz w:val="28"/>
              </w:rPr>
            </w:pPr>
            <w:r>
              <w:rPr>
                <w:rFonts w:eastAsiaTheme="minorEastAsia"/>
                <w:color w:val="000000" w:themeColor="text1"/>
                <w:sz w:val="28"/>
              </w:rPr>
              <w:t>2.7</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2.4</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2.2</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2.1</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2.0</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1.9</w:t>
            </w:r>
          </w:p>
        </w:tc>
        <w:tc>
          <w:tcPr>
            <w:tcW w:w="823" w:type="dxa"/>
            <w:vAlign w:val="center"/>
          </w:tcPr>
          <w:p>
            <w:pPr>
              <w:pStyle w:val="50"/>
              <w:wordWrap w:val="0"/>
              <w:rPr>
                <w:rFonts w:eastAsiaTheme="minorEastAsia"/>
                <w:color w:val="000000" w:themeColor="text1"/>
                <w:sz w:val="28"/>
              </w:rPr>
            </w:pPr>
            <w:r>
              <w:rPr>
                <w:rFonts w:eastAsiaTheme="minorEastAsia"/>
                <w:color w:val="000000" w:themeColor="text1"/>
                <w:sz w:val="28"/>
              </w:rPr>
              <w:t>1.8</w:t>
            </w:r>
          </w:p>
        </w:tc>
        <w:tc>
          <w:tcPr>
            <w:tcW w:w="967" w:type="dxa"/>
            <w:vAlign w:val="center"/>
          </w:tcPr>
          <w:p>
            <w:pPr>
              <w:pStyle w:val="50"/>
              <w:wordWrap w:val="0"/>
              <w:rPr>
                <w:rFonts w:eastAsiaTheme="minorEastAsia"/>
                <w:color w:val="000000" w:themeColor="text1"/>
                <w:sz w:val="28"/>
              </w:rPr>
            </w:pPr>
            <w:r>
              <w:rPr>
                <w:rFonts w:eastAsiaTheme="minorEastAsia"/>
                <w:color w:val="000000" w:themeColor="text1"/>
                <w:sz w:val="2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669" w:type="dxa"/>
            <w:vAlign w:val="center"/>
          </w:tcPr>
          <w:p>
            <w:pPr>
              <w:pStyle w:val="50"/>
              <w:wordWrap w:val="0"/>
              <w:rPr>
                <w:rFonts w:eastAsiaTheme="minorEastAsia"/>
                <w:color w:val="000000" w:themeColor="text1"/>
                <w:spacing w:val="-20"/>
                <w:sz w:val="28"/>
              </w:rPr>
            </w:pPr>
            <w:r>
              <w:rPr>
                <w:rFonts w:eastAsiaTheme="minorEastAsia"/>
                <w:color w:val="000000" w:themeColor="text1"/>
                <w:spacing w:val="-20"/>
                <w:sz w:val="28"/>
              </w:rPr>
              <w:t>Harrmon</w:t>
            </w:r>
            <w:r>
              <w:rPr>
                <w:rFonts w:eastAsiaTheme="minorEastAsia"/>
                <w:color w:val="000000" w:themeColor="text1"/>
                <w:sz w:val="28"/>
              </w:rPr>
              <w:t>公式</w:t>
            </w:r>
            <w:r>
              <w:rPr>
                <w:rFonts w:eastAsiaTheme="minorEastAsia"/>
                <w:i/>
                <w:color w:val="000000" w:themeColor="text1"/>
                <w:sz w:val="28"/>
              </w:rPr>
              <w:t>K</w:t>
            </w:r>
            <w:r>
              <w:rPr>
                <w:rFonts w:eastAsiaTheme="minorEastAsia"/>
                <w:color w:val="000000" w:themeColor="text1"/>
                <w:sz w:val="28"/>
              </w:rPr>
              <w:t>=1+14/(4+(</w:t>
            </w:r>
            <w:r>
              <w:rPr>
                <w:rFonts w:eastAsiaTheme="minorEastAsia"/>
                <w:i/>
                <w:color w:val="000000" w:themeColor="text1"/>
                <w:sz w:val="28"/>
              </w:rPr>
              <w:t>P</w:t>
            </w:r>
            <w:r>
              <w:rPr>
                <w:rFonts w:eastAsiaTheme="minorEastAsia"/>
                <w:color w:val="000000" w:themeColor="text1"/>
                <w:sz w:val="28"/>
              </w:rPr>
              <w:t>/1000))</w:t>
            </w:r>
            <w:r>
              <w:rPr>
                <w:rFonts w:eastAsiaTheme="minorEastAsia"/>
                <w:color w:val="000000" w:themeColor="text1"/>
                <w:sz w:val="28"/>
                <w:vertAlign w:val="superscript"/>
              </w:rPr>
              <w:t>0.5</w:t>
            </w:r>
          </w:p>
        </w:tc>
        <w:tc>
          <w:tcPr>
            <w:tcW w:w="1057" w:type="dxa"/>
            <w:vAlign w:val="center"/>
          </w:tcPr>
          <w:p>
            <w:pPr>
              <w:pStyle w:val="50"/>
              <w:wordWrap w:val="0"/>
              <w:rPr>
                <w:rFonts w:eastAsiaTheme="minorEastAsia"/>
                <w:color w:val="000000" w:themeColor="text1"/>
                <w:sz w:val="28"/>
              </w:rPr>
            </w:pPr>
            <w:r>
              <w:rPr>
                <w:rFonts w:eastAsiaTheme="minorEastAsia"/>
                <w:color w:val="000000" w:themeColor="text1"/>
                <w:sz w:val="28"/>
              </w:rPr>
              <w:t>3.6</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3.2</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2.8</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2.6</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2.4</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2.1</w:t>
            </w:r>
          </w:p>
        </w:tc>
        <w:tc>
          <w:tcPr>
            <w:tcW w:w="823" w:type="dxa"/>
            <w:vAlign w:val="center"/>
          </w:tcPr>
          <w:p>
            <w:pPr>
              <w:pStyle w:val="50"/>
              <w:wordWrap w:val="0"/>
              <w:rPr>
                <w:rFonts w:eastAsiaTheme="minorEastAsia"/>
                <w:color w:val="000000" w:themeColor="text1"/>
                <w:sz w:val="28"/>
              </w:rPr>
            </w:pPr>
            <w:r>
              <w:rPr>
                <w:rFonts w:eastAsiaTheme="minorEastAsia"/>
                <w:color w:val="000000" w:themeColor="text1"/>
                <w:sz w:val="28"/>
              </w:rPr>
              <w:t>2.0</w:t>
            </w:r>
          </w:p>
        </w:tc>
        <w:tc>
          <w:tcPr>
            <w:tcW w:w="967" w:type="dxa"/>
            <w:vAlign w:val="center"/>
          </w:tcPr>
          <w:p>
            <w:pPr>
              <w:pStyle w:val="50"/>
              <w:wordWrap w:val="0"/>
              <w:rPr>
                <w:rFonts w:eastAsiaTheme="minorEastAsia"/>
                <w:color w:val="000000" w:themeColor="text1"/>
                <w:sz w:val="28"/>
              </w:rPr>
            </w:pPr>
            <w:r>
              <w:rPr>
                <w:rFonts w:eastAsiaTheme="minorEastAsia"/>
                <w:color w:val="000000" w:themeColor="text1"/>
                <w:sz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2669" w:type="dxa"/>
            <w:vAlign w:val="center"/>
          </w:tcPr>
          <w:p>
            <w:pPr>
              <w:pStyle w:val="50"/>
              <w:wordWrap w:val="0"/>
              <w:rPr>
                <w:rFonts w:eastAsiaTheme="minorEastAsia"/>
                <w:color w:val="000000" w:themeColor="text1"/>
                <w:sz w:val="28"/>
              </w:rPr>
            </w:pPr>
            <w:r>
              <w:rPr>
                <w:rFonts w:eastAsiaTheme="minorEastAsia"/>
                <w:color w:val="000000" w:themeColor="text1"/>
                <w:sz w:val="28"/>
              </w:rPr>
              <w:t>Rabbitt公式</w:t>
            </w:r>
          </w:p>
          <w:p>
            <w:pPr>
              <w:pStyle w:val="50"/>
              <w:wordWrap w:val="0"/>
              <w:rPr>
                <w:rFonts w:eastAsiaTheme="minorEastAsia"/>
                <w:color w:val="000000" w:themeColor="text1"/>
                <w:spacing w:val="-20"/>
                <w:sz w:val="28"/>
              </w:rPr>
            </w:pPr>
            <w:r>
              <w:rPr>
                <w:rFonts w:eastAsiaTheme="minorEastAsia"/>
                <w:i/>
                <w:color w:val="000000" w:themeColor="text1"/>
                <w:sz w:val="28"/>
              </w:rPr>
              <w:t>K</w:t>
            </w:r>
            <w:r>
              <w:rPr>
                <w:rFonts w:eastAsiaTheme="minorEastAsia"/>
                <w:color w:val="000000" w:themeColor="text1"/>
                <w:sz w:val="28"/>
              </w:rPr>
              <w:t>=5/(</w:t>
            </w:r>
            <w:r>
              <w:rPr>
                <w:rFonts w:eastAsiaTheme="minorEastAsia"/>
                <w:i/>
                <w:color w:val="000000" w:themeColor="text1"/>
                <w:sz w:val="28"/>
              </w:rPr>
              <w:t>P</w:t>
            </w:r>
            <w:r>
              <w:rPr>
                <w:rFonts w:eastAsiaTheme="minorEastAsia"/>
                <w:color w:val="000000" w:themeColor="text1"/>
                <w:sz w:val="28"/>
              </w:rPr>
              <w:t>/1000)</w:t>
            </w:r>
            <w:r>
              <w:rPr>
                <w:rFonts w:eastAsiaTheme="minorEastAsia"/>
                <w:color w:val="000000" w:themeColor="text1"/>
                <w:sz w:val="28"/>
                <w:vertAlign w:val="superscript"/>
              </w:rPr>
              <w:t>0.2</w:t>
            </w:r>
          </w:p>
        </w:tc>
        <w:tc>
          <w:tcPr>
            <w:tcW w:w="1057" w:type="dxa"/>
            <w:vAlign w:val="center"/>
          </w:tcPr>
          <w:p>
            <w:pPr>
              <w:pStyle w:val="50"/>
              <w:wordWrap w:val="0"/>
              <w:rPr>
                <w:rFonts w:eastAsiaTheme="minorEastAsia"/>
                <w:color w:val="000000" w:themeColor="text1"/>
                <w:sz w:val="28"/>
              </w:rPr>
            </w:pPr>
            <w:r>
              <w:rPr>
                <w:rFonts w:eastAsiaTheme="minorEastAsia"/>
                <w:color w:val="000000" w:themeColor="text1"/>
                <w:sz w:val="28"/>
              </w:rPr>
              <w:t>4.5</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3.6</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2.9</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2.6</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2.5</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2.1</w:t>
            </w:r>
          </w:p>
        </w:tc>
        <w:tc>
          <w:tcPr>
            <w:tcW w:w="823" w:type="dxa"/>
            <w:vAlign w:val="center"/>
          </w:tcPr>
          <w:p>
            <w:pPr>
              <w:pStyle w:val="50"/>
              <w:wordWrap w:val="0"/>
              <w:rPr>
                <w:rFonts w:eastAsiaTheme="minorEastAsia"/>
                <w:color w:val="000000" w:themeColor="text1"/>
                <w:sz w:val="28"/>
              </w:rPr>
            </w:pPr>
            <w:r>
              <w:rPr>
                <w:rFonts w:eastAsiaTheme="minorEastAsia"/>
                <w:color w:val="000000" w:themeColor="text1"/>
                <w:sz w:val="28"/>
              </w:rPr>
              <w:t>2.0</w:t>
            </w:r>
          </w:p>
        </w:tc>
        <w:tc>
          <w:tcPr>
            <w:tcW w:w="967" w:type="dxa"/>
            <w:vAlign w:val="center"/>
          </w:tcPr>
          <w:p>
            <w:pPr>
              <w:pStyle w:val="50"/>
              <w:wordWrap w:val="0"/>
              <w:rPr>
                <w:rFonts w:eastAsiaTheme="minorEastAsia"/>
                <w:color w:val="000000" w:themeColor="text1"/>
                <w:sz w:val="28"/>
              </w:rPr>
            </w:pPr>
            <w:r>
              <w:rPr>
                <w:rFonts w:eastAsiaTheme="minorEastAsia"/>
                <w:color w:val="000000" w:themeColor="text1"/>
                <w:sz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669" w:type="dxa"/>
            <w:vAlign w:val="center"/>
          </w:tcPr>
          <w:p>
            <w:pPr>
              <w:pStyle w:val="50"/>
              <w:wordWrap w:val="0"/>
              <w:rPr>
                <w:rFonts w:eastAsiaTheme="minorEastAsia"/>
                <w:color w:val="000000" w:themeColor="text1"/>
                <w:sz w:val="28"/>
              </w:rPr>
            </w:pPr>
            <w:r>
              <w:rPr>
                <w:rFonts w:eastAsiaTheme="minorEastAsia"/>
                <w:color w:val="000000" w:themeColor="text1"/>
                <w:sz w:val="28"/>
              </w:rPr>
              <w:t>本标准采用值</w:t>
            </w:r>
          </w:p>
        </w:tc>
        <w:tc>
          <w:tcPr>
            <w:tcW w:w="1057" w:type="dxa"/>
            <w:vAlign w:val="center"/>
          </w:tcPr>
          <w:p>
            <w:pPr>
              <w:pStyle w:val="50"/>
              <w:wordWrap w:val="0"/>
              <w:rPr>
                <w:rFonts w:eastAsiaTheme="minorEastAsia"/>
                <w:color w:val="000000" w:themeColor="text1"/>
                <w:sz w:val="28"/>
              </w:rPr>
            </w:pPr>
            <w:r>
              <w:rPr>
                <w:rFonts w:eastAsiaTheme="minorEastAsia"/>
                <w:color w:val="000000" w:themeColor="text1"/>
                <w:sz w:val="28"/>
              </w:rPr>
              <w:t>2.7</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2.4</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2.1</w:t>
            </w:r>
          </w:p>
        </w:tc>
        <w:tc>
          <w:tcPr>
            <w:tcW w:w="1056" w:type="dxa"/>
            <w:vAlign w:val="center"/>
          </w:tcPr>
          <w:p>
            <w:pPr>
              <w:pStyle w:val="50"/>
              <w:wordWrap w:val="0"/>
              <w:rPr>
                <w:rFonts w:eastAsiaTheme="minorEastAsia"/>
                <w:color w:val="000000" w:themeColor="text1"/>
                <w:sz w:val="28"/>
              </w:rPr>
            </w:pPr>
            <w:r>
              <w:rPr>
                <w:rFonts w:eastAsiaTheme="minorEastAsia"/>
                <w:color w:val="000000" w:themeColor="text1"/>
                <w:sz w:val="28"/>
              </w:rPr>
              <w:t>2.0</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1.9</w:t>
            </w:r>
          </w:p>
        </w:tc>
        <w:tc>
          <w:tcPr>
            <w:tcW w:w="763" w:type="dxa"/>
            <w:vAlign w:val="center"/>
          </w:tcPr>
          <w:p>
            <w:pPr>
              <w:pStyle w:val="50"/>
              <w:wordWrap w:val="0"/>
              <w:rPr>
                <w:rFonts w:eastAsiaTheme="minorEastAsia"/>
                <w:color w:val="000000" w:themeColor="text1"/>
                <w:sz w:val="28"/>
              </w:rPr>
            </w:pPr>
            <w:r>
              <w:rPr>
                <w:rFonts w:eastAsiaTheme="minorEastAsia"/>
                <w:color w:val="000000" w:themeColor="text1"/>
                <w:sz w:val="28"/>
              </w:rPr>
              <w:t>1.8</w:t>
            </w:r>
          </w:p>
        </w:tc>
        <w:tc>
          <w:tcPr>
            <w:tcW w:w="823" w:type="dxa"/>
            <w:vAlign w:val="center"/>
          </w:tcPr>
          <w:p>
            <w:pPr>
              <w:pStyle w:val="50"/>
              <w:wordWrap w:val="0"/>
              <w:rPr>
                <w:rFonts w:eastAsiaTheme="minorEastAsia"/>
                <w:color w:val="000000" w:themeColor="text1"/>
                <w:sz w:val="28"/>
              </w:rPr>
            </w:pPr>
            <w:r>
              <w:rPr>
                <w:rFonts w:eastAsiaTheme="minorEastAsia"/>
                <w:color w:val="000000" w:themeColor="text1"/>
                <w:sz w:val="28"/>
              </w:rPr>
              <w:t>1.6</w:t>
            </w:r>
          </w:p>
        </w:tc>
        <w:tc>
          <w:tcPr>
            <w:tcW w:w="967" w:type="dxa"/>
            <w:vAlign w:val="center"/>
          </w:tcPr>
          <w:p>
            <w:pPr>
              <w:pStyle w:val="50"/>
              <w:wordWrap w:val="0"/>
              <w:rPr>
                <w:rFonts w:eastAsiaTheme="minorEastAsia"/>
                <w:color w:val="000000" w:themeColor="text1"/>
                <w:sz w:val="28"/>
              </w:rPr>
            </w:pPr>
            <w:r>
              <w:rPr>
                <w:rFonts w:eastAsiaTheme="minorEastAsia"/>
                <w:color w:val="000000" w:themeColor="text1"/>
                <w:sz w:val="28"/>
              </w:rPr>
              <w:t>1.5</w:t>
            </w:r>
          </w:p>
        </w:tc>
      </w:tr>
    </w:tbl>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由表7可见，拟合公式得到的日变化系数比现行国家标准《室外排水设计规范》（GB 50014-2006）中的生活污水总变化系数提高了约15%左右；与美国加利福尼亚州采用的</w:t>
      </w:r>
      <w:r>
        <w:rPr>
          <w:rFonts w:ascii="Times New Roman" w:hAnsi="Times New Roman" w:eastAsiaTheme="minorEastAsia"/>
          <w:i/>
          <w:color w:val="000000" w:themeColor="text1"/>
          <w:sz w:val="28"/>
          <w:szCs w:val="28"/>
        </w:rPr>
        <w:t>K</w:t>
      </w:r>
      <w:r>
        <w:rPr>
          <w:rFonts w:ascii="Times New Roman" w:hAnsi="Times New Roman" w:eastAsiaTheme="minorEastAsia"/>
          <w:color w:val="000000" w:themeColor="text1"/>
          <w:sz w:val="28"/>
          <w:szCs w:val="28"/>
        </w:rPr>
        <w:t>值计算公式得到的结果十分接近。虽然在100L/s以下流量范围中，拟合公式计算值远低于Baumann公式与Babbitt公式计算得到的变化系数值，考虑到变化系数对排水管网和污水厂规模以及投资的影响，暂</w:t>
      </w:r>
      <w:r>
        <w:rPr>
          <w:rFonts w:hint="eastAsia" w:ascii="Times New Roman" w:hAnsi="Times New Roman" w:eastAsiaTheme="minorEastAsia"/>
          <w:color w:val="000000" w:themeColor="text1"/>
          <w:sz w:val="28"/>
          <w:szCs w:val="28"/>
        </w:rPr>
        <w:t>按此数据调整</w:t>
      </w:r>
      <w:r>
        <w:rPr>
          <w:rFonts w:ascii="Times New Roman" w:hAnsi="Times New Roman" w:eastAsiaTheme="minorEastAsia"/>
          <w:color w:val="000000" w:themeColor="text1"/>
          <w:sz w:val="28"/>
          <w:szCs w:val="28"/>
        </w:rPr>
        <w:t>。</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工业废水量应根据工业企业工艺特点和生活污水量确定，并应符合国家和地方现行的工业取水定额和国家标准《建筑给水排水设计规范》GB 50015的有关规定。</w:t>
      </w:r>
    </w:p>
    <w:p>
      <w:pPr>
        <w:pStyle w:val="30"/>
        <w:wordWrap w:val="0"/>
        <w:spacing w:line="460" w:lineRule="atLeast"/>
        <w:ind w:left="1"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【条文说明】我国是一个水资源短缺的国家，城市缺水问题尤为突出，国家对水资源的开发利用和保护十分重视，有关部门制定了各工业的工业取水定额，排水工程设计时，应与之相协调</w:t>
      </w:r>
      <w:r>
        <w:rPr>
          <w:rFonts w:hint="eastAsia" w:ascii="Times New Roman" w:hAnsi="Times New Roman" w:eastAsiaTheme="minorEastAsia"/>
          <w:color w:val="000000" w:themeColor="text1"/>
          <w:sz w:val="28"/>
          <w:szCs w:val="28"/>
        </w:rPr>
        <w:t>，可以通过废水循环用水和处理回用，降低对新鲜水的消耗量</w:t>
      </w:r>
      <w:r>
        <w:rPr>
          <w:rFonts w:ascii="Times New Roman" w:hAnsi="Times New Roman" w:eastAsiaTheme="minorEastAsia"/>
          <w:color w:val="000000" w:themeColor="text1"/>
          <w:sz w:val="28"/>
          <w:szCs w:val="28"/>
        </w:rPr>
        <w:t>。</w:t>
      </w:r>
      <w:r>
        <w:rPr>
          <w:rFonts w:hint="eastAsia" w:ascii="Times New Roman" w:hAnsi="Times New Roman" w:eastAsiaTheme="minorEastAsia"/>
          <w:color w:val="000000" w:themeColor="text1"/>
          <w:sz w:val="28"/>
          <w:szCs w:val="28"/>
        </w:rPr>
        <w:t>工业废水变化系数需要根据生产过程特点、班次和生产性质确定。</w:t>
      </w:r>
    </w:p>
    <w:p>
      <w:pPr>
        <w:pStyle w:val="30"/>
        <w:numPr>
          <w:ilvl w:val="0"/>
          <w:numId w:val="11"/>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工业废水量变化系数的确定，应根据工艺特点和工作班次确定。</w:t>
      </w:r>
    </w:p>
    <w:p>
      <w:pPr>
        <w:pStyle w:val="30"/>
        <w:numPr>
          <w:ilvl w:val="0"/>
          <w:numId w:val="11"/>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入渗地下水量应根据地下水位情况和管渠性质确定。</w:t>
      </w:r>
    </w:p>
    <w:p>
      <w:pPr>
        <w:pStyle w:val="30"/>
        <w:wordWrap w:val="0"/>
        <w:spacing w:line="360" w:lineRule="auto"/>
        <w:ind w:firstLine="0" w:firstLineChars="0"/>
        <w:rPr>
          <w:rFonts w:ascii="Times New Roman" w:hAnsi="Times New Roman" w:eastAsia="宋体"/>
          <w:color w:val="000000"/>
          <w:sz w:val="28"/>
          <w:szCs w:val="28"/>
        </w:rPr>
      </w:pPr>
      <w:r>
        <w:rPr>
          <w:rFonts w:ascii="Times New Roman" w:hAnsi="Times New Roman" w:eastAsiaTheme="minorEastAsia"/>
          <w:color w:val="000000" w:themeColor="text1"/>
          <w:sz w:val="28"/>
          <w:szCs w:val="28"/>
        </w:rPr>
        <w:t>【条文说明】</w:t>
      </w:r>
      <w:r>
        <w:rPr>
          <w:rFonts w:ascii="Times New Roman" w:hAnsi="Times New Roman" w:eastAsia="宋体"/>
          <w:color w:val="000000"/>
          <w:sz w:val="28"/>
          <w:szCs w:val="28"/>
        </w:rPr>
        <w:t>因当地土质、地下水位、管道和接口材料以及施工质量、管道运行时间等因素的影响，当地下水位高于排水管渠时，排水系统设计应适当考虑入渗地下水量。根据上海地区排水系统地下水渗入情况调研发现，由于降雨充沛、地势平缓、地下水位高和部分区域的流沙性土壤，刚性接口的混凝土管道很容易因为受力不均匀导致接口开裂、错位漏水。</w:t>
      </w:r>
    </w:p>
    <w:p>
      <w:pPr>
        <w:pStyle w:val="30"/>
        <w:wordWrap w:val="0"/>
        <w:spacing w:line="360" w:lineRule="auto"/>
        <w:ind w:firstLine="565" w:firstLineChars="202"/>
        <w:rPr>
          <w:rFonts w:ascii="Times New Roman" w:hAnsi="Times New Roman" w:eastAsia="宋体"/>
          <w:color w:val="000000"/>
          <w:sz w:val="28"/>
          <w:szCs w:val="28"/>
        </w:rPr>
      </w:pPr>
      <w:r>
        <w:rPr>
          <w:rFonts w:ascii="Times New Roman" w:hAnsi="Times New Roman" w:eastAsia="宋体"/>
          <w:color w:val="000000"/>
          <w:sz w:val="28"/>
          <w:szCs w:val="28"/>
        </w:rPr>
        <w:t>入渗地下水量宜根据测定资料确定，一般按单位管长和管径的入渗地下水量计，也可按平均日综合生活污水和工业废水总量的</w:t>
      </w:r>
      <w:r>
        <w:rPr>
          <w:rFonts w:ascii="Times New Roman" w:hAnsi="Times New Roman"/>
          <w:color w:val="000000"/>
          <w:sz w:val="28"/>
          <w:szCs w:val="28"/>
        </w:rPr>
        <w:t>10%</w:t>
      </w:r>
      <w:r>
        <w:rPr>
          <w:rFonts w:ascii="Times New Roman" w:hAnsi="Times New Roman" w:eastAsia="宋体"/>
          <w:color w:val="000000"/>
          <w:sz w:val="28"/>
          <w:szCs w:val="28"/>
        </w:rPr>
        <w:t>～</w:t>
      </w:r>
      <w:r>
        <w:rPr>
          <w:rFonts w:ascii="Times New Roman" w:hAnsi="Times New Roman"/>
          <w:color w:val="000000"/>
          <w:sz w:val="28"/>
          <w:szCs w:val="28"/>
        </w:rPr>
        <w:t>15%</w:t>
      </w:r>
      <w:r>
        <w:rPr>
          <w:rFonts w:ascii="Times New Roman" w:hAnsi="Times New Roman" w:eastAsia="宋体"/>
          <w:color w:val="000000"/>
          <w:sz w:val="28"/>
          <w:szCs w:val="28"/>
        </w:rPr>
        <w:t>计，还可按每天每单位服务面积入渗的地下水量计。中国市政工程中南设计研究院和广州市市政园林局测定过管径为</w:t>
      </w:r>
      <w:r>
        <w:rPr>
          <w:rFonts w:ascii="Times New Roman" w:hAnsi="Times New Roman"/>
          <w:color w:val="000000"/>
          <w:sz w:val="28"/>
          <w:szCs w:val="28"/>
        </w:rPr>
        <w:t>1000mm</w:t>
      </w:r>
      <w:r>
        <w:rPr>
          <w:rFonts w:ascii="Times New Roman" w:hAnsi="Times New Roman" w:eastAsia="宋体"/>
          <w:color w:val="000000"/>
          <w:sz w:val="28"/>
          <w:szCs w:val="28"/>
        </w:rPr>
        <w:t>～</w:t>
      </w:r>
      <w:r>
        <w:rPr>
          <w:rFonts w:ascii="Times New Roman" w:hAnsi="Times New Roman"/>
          <w:color w:val="000000"/>
          <w:sz w:val="28"/>
          <w:szCs w:val="28"/>
        </w:rPr>
        <w:t>1350mm</w:t>
      </w:r>
      <w:r>
        <w:rPr>
          <w:rFonts w:ascii="Times New Roman" w:hAnsi="Times New Roman" w:eastAsia="宋体"/>
          <w:color w:val="000000"/>
          <w:sz w:val="28"/>
          <w:szCs w:val="28"/>
        </w:rPr>
        <w:t>的新铺钢筋混凝土管人渗地下水量，结果为：地下水位高于管底</w:t>
      </w:r>
      <w:r>
        <w:rPr>
          <w:rFonts w:ascii="Times New Roman" w:hAnsi="Times New Roman"/>
          <w:color w:val="000000"/>
          <w:sz w:val="28"/>
          <w:szCs w:val="28"/>
        </w:rPr>
        <w:t>3.2m</w:t>
      </w:r>
      <w:r>
        <w:rPr>
          <w:rFonts w:ascii="Times New Roman" w:hAnsi="Times New Roman" w:eastAsia="宋体"/>
          <w:color w:val="000000"/>
          <w:sz w:val="28"/>
          <w:szCs w:val="28"/>
        </w:rPr>
        <w:t>，入渗量为</w:t>
      </w:r>
      <w:r>
        <w:rPr>
          <w:rFonts w:ascii="Times New Roman" w:hAnsi="Times New Roman"/>
          <w:color w:val="000000"/>
          <w:sz w:val="28"/>
          <w:szCs w:val="28"/>
        </w:rPr>
        <w:t>94m</w:t>
      </w:r>
      <w:r>
        <w:rPr>
          <w:rFonts w:ascii="Times New Roman" w:hAnsi="Times New Roman"/>
          <w:color w:val="000000"/>
          <w:sz w:val="28"/>
          <w:szCs w:val="28"/>
          <w:vertAlign w:val="superscript"/>
        </w:rPr>
        <w:t>3</w:t>
      </w:r>
      <w:r>
        <w:rPr>
          <w:rFonts w:ascii="Times New Roman" w:hAnsi="Times New Roman"/>
          <w:color w:val="000000"/>
          <w:sz w:val="28"/>
          <w:szCs w:val="28"/>
        </w:rPr>
        <w:t>/(km·d)</w:t>
      </w:r>
      <w:r>
        <w:rPr>
          <w:rFonts w:ascii="Times New Roman" w:hAnsi="Times New Roman" w:eastAsia="宋体"/>
          <w:color w:val="000000"/>
          <w:sz w:val="28"/>
          <w:szCs w:val="28"/>
        </w:rPr>
        <w:t>；高于管底</w:t>
      </w:r>
      <w:r>
        <w:rPr>
          <w:rFonts w:ascii="Times New Roman" w:hAnsi="Times New Roman"/>
          <w:color w:val="000000"/>
          <w:sz w:val="28"/>
          <w:szCs w:val="28"/>
        </w:rPr>
        <w:t>4.2m</w:t>
      </w:r>
      <w:r>
        <w:rPr>
          <w:rFonts w:ascii="Times New Roman" w:hAnsi="Times New Roman" w:eastAsia="宋体"/>
          <w:color w:val="000000"/>
          <w:sz w:val="28"/>
          <w:szCs w:val="28"/>
        </w:rPr>
        <w:t>，入渗量为</w:t>
      </w:r>
      <w:r>
        <w:rPr>
          <w:rFonts w:ascii="Times New Roman" w:hAnsi="Times New Roman"/>
          <w:color w:val="000000"/>
          <w:sz w:val="28"/>
          <w:szCs w:val="28"/>
        </w:rPr>
        <w:t>196m</w:t>
      </w:r>
      <w:r>
        <w:rPr>
          <w:rFonts w:ascii="Times New Roman" w:hAnsi="Times New Roman"/>
          <w:color w:val="000000"/>
          <w:sz w:val="28"/>
          <w:szCs w:val="28"/>
          <w:vertAlign w:val="superscript"/>
        </w:rPr>
        <w:t>3</w:t>
      </w:r>
      <w:r>
        <w:rPr>
          <w:rFonts w:ascii="Times New Roman" w:hAnsi="Times New Roman"/>
          <w:color w:val="000000"/>
          <w:sz w:val="28"/>
          <w:szCs w:val="28"/>
        </w:rPr>
        <w:t>/(km·d)</w:t>
      </w:r>
      <w:r>
        <w:rPr>
          <w:rFonts w:ascii="Times New Roman" w:hAnsi="Times New Roman" w:eastAsia="宋体"/>
          <w:color w:val="000000"/>
          <w:sz w:val="28"/>
          <w:szCs w:val="28"/>
        </w:rPr>
        <w:t>；高于管底</w:t>
      </w:r>
      <w:r>
        <w:rPr>
          <w:rFonts w:ascii="Times New Roman" w:hAnsi="Times New Roman"/>
          <w:color w:val="000000"/>
          <w:sz w:val="28"/>
          <w:szCs w:val="28"/>
        </w:rPr>
        <w:t>6m</w:t>
      </w:r>
      <w:r>
        <w:rPr>
          <w:rFonts w:ascii="Times New Roman" w:hAnsi="Times New Roman" w:eastAsia="宋体"/>
          <w:color w:val="000000"/>
          <w:sz w:val="28"/>
          <w:szCs w:val="28"/>
        </w:rPr>
        <w:t>，入渗量为</w:t>
      </w:r>
      <w:r>
        <w:rPr>
          <w:rFonts w:ascii="Times New Roman" w:hAnsi="Times New Roman"/>
          <w:color w:val="000000"/>
          <w:sz w:val="28"/>
          <w:szCs w:val="28"/>
        </w:rPr>
        <w:t>800m</w:t>
      </w:r>
      <w:r>
        <w:rPr>
          <w:rFonts w:ascii="Times New Roman" w:hAnsi="Times New Roman"/>
          <w:color w:val="000000"/>
          <w:sz w:val="28"/>
          <w:szCs w:val="28"/>
          <w:vertAlign w:val="superscript"/>
        </w:rPr>
        <w:t>3</w:t>
      </w:r>
      <w:r>
        <w:rPr>
          <w:rFonts w:ascii="Times New Roman" w:hAnsi="Times New Roman"/>
          <w:color w:val="000000"/>
          <w:sz w:val="28"/>
          <w:szCs w:val="28"/>
        </w:rPr>
        <w:t>/(km</w:t>
      </w:r>
      <w:r>
        <w:rPr>
          <w:rFonts w:ascii="Times New Roman" w:hAnsi="Times New Roman" w:eastAsiaTheme="minorEastAsia"/>
          <w:color w:val="000000"/>
          <w:sz w:val="28"/>
          <w:szCs w:val="28"/>
        </w:rPr>
        <w:t>·</w:t>
      </w:r>
      <w:r>
        <w:rPr>
          <w:rFonts w:ascii="Times New Roman" w:hAnsi="Times New Roman"/>
          <w:color w:val="000000"/>
          <w:sz w:val="28"/>
          <w:szCs w:val="28"/>
        </w:rPr>
        <w:t>d)</w:t>
      </w:r>
      <w:r>
        <w:rPr>
          <w:rFonts w:ascii="Times New Roman" w:hAnsi="Times New Roman" w:eastAsia="宋体"/>
          <w:color w:val="000000"/>
          <w:sz w:val="28"/>
          <w:szCs w:val="28"/>
        </w:rPr>
        <w:t>；高于管底</w:t>
      </w:r>
      <w:r>
        <w:rPr>
          <w:rFonts w:ascii="Times New Roman" w:hAnsi="Times New Roman"/>
          <w:color w:val="000000"/>
          <w:sz w:val="28"/>
          <w:szCs w:val="28"/>
        </w:rPr>
        <w:t>6.9m</w:t>
      </w:r>
      <w:r>
        <w:rPr>
          <w:rFonts w:ascii="Times New Roman" w:hAnsi="Times New Roman" w:eastAsia="宋体"/>
          <w:color w:val="000000"/>
          <w:sz w:val="28"/>
          <w:szCs w:val="28"/>
        </w:rPr>
        <w:t>，入渗量为</w:t>
      </w:r>
      <w:r>
        <w:rPr>
          <w:rFonts w:ascii="Times New Roman" w:hAnsi="Times New Roman"/>
          <w:color w:val="000000"/>
          <w:sz w:val="28"/>
          <w:szCs w:val="28"/>
        </w:rPr>
        <w:t>1850m</w:t>
      </w:r>
      <w:r>
        <w:rPr>
          <w:rFonts w:ascii="Times New Roman" w:hAnsi="Times New Roman"/>
          <w:color w:val="000000"/>
          <w:sz w:val="28"/>
          <w:szCs w:val="28"/>
          <w:vertAlign w:val="superscript"/>
        </w:rPr>
        <w:t>3</w:t>
      </w:r>
      <w:r>
        <w:rPr>
          <w:rFonts w:ascii="Times New Roman" w:hAnsi="Times New Roman"/>
          <w:color w:val="000000"/>
          <w:sz w:val="28"/>
          <w:szCs w:val="28"/>
        </w:rPr>
        <w:t>/(km</w:t>
      </w:r>
      <w:r>
        <w:rPr>
          <w:rFonts w:ascii="Times New Roman" w:hAnsi="Times New Roman" w:eastAsiaTheme="minorEastAsia"/>
          <w:color w:val="000000"/>
          <w:sz w:val="28"/>
          <w:szCs w:val="28"/>
        </w:rPr>
        <w:t>·</w:t>
      </w:r>
      <w:r>
        <w:rPr>
          <w:rFonts w:ascii="Times New Roman" w:hAnsi="Times New Roman"/>
          <w:color w:val="000000"/>
          <w:sz w:val="28"/>
          <w:szCs w:val="28"/>
        </w:rPr>
        <w:t>d)</w:t>
      </w:r>
      <w:r>
        <w:rPr>
          <w:rFonts w:ascii="Times New Roman" w:hAnsi="Times New Roman" w:eastAsia="宋体"/>
          <w:color w:val="000000"/>
          <w:sz w:val="28"/>
          <w:szCs w:val="28"/>
        </w:rPr>
        <w:t>。上海某泵站冬夏两次测定，冬季为</w:t>
      </w:r>
      <w:r>
        <w:rPr>
          <w:rFonts w:ascii="Times New Roman" w:hAnsi="Times New Roman"/>
          <w:color w:val="000000"/>
          <w:sz w:val="28"/>
          <w:szCs w:val="28"/>
        </w:rPr>
        <w:t>3800m</w:t>
      </w:r>
      <w:r>
        <w:rPr>
          <w:rFonts w:ascii="Times New Roman" w:hAnsi="Times New Roman"/>
          <w:color w:val="000000"/>
          <w:sz w:val="28"/>
          <w:szCs w:val="28"/>
          <w:vertAlign w:val="superscript"/>
        </w:rPr>
        <w:t>3</w:t>
      </w:r>
      <w:r>
        <w:rPr>
          <w:rFonts w:ascii="Times New Roman" w:hAnsi="Times New Roman"/>
          <w:color w:val="000000"/>
          <w:sz w:val="28"/>
          <w:szCs w:val="28"/>
        </w:rPr>
        <w:t>/(km</w:t>
      </w:r>
      <w:r>
        <w:rPr>
          <w:rFonts w:ascii="Times New Roman" w:hAnsi="Times New Roman"/>
          <w:color w:val="000000"/>
          <w:sz w:val="28"/>
          <w:szCs w:val="28"/>
          <w:vertAlign w:val="superscript"/>
        </w:rPr>
        <w:t>2</w:t>
      </w:r>
      <w:r>
        <w:rPr>
          <w:rFonts w:ascii="Times New Roman" w:hAnsi="Times New Roman" w:eastAsiaTheme="minorEastAsia"/>
          <w:color w:val="000000"/>
          <w:sz w:val="28"/>
          <w:szCs w:val="28"/>
        </w:rPr>
        <w:t>·</w:t>
      </w:r>
      <w:r>
        <w:rPr>
          <w:rFonts w:ascii="Times New Roman" w:hAnsi="Times New Roman"/>
          <w:color w:val="000000"/>
          <w:sz w:val="28"/>
          <w:szCs w:val="28"/>
        </w:rPr>
        <w:t>d)</w:t>
      </w:r>
      <w:r>
        <w:rPr>
          <w:rFonts w:ascii="Times New Roman" w:hAnsi="Times New Roman" w:eastAsia="宋体"/>
          <w:color w:val="000000"/>
          <w:sz w:val="28"/>
          <w:szCs w:val="28"/>
        </w:rPr>
        <w:t>，夏季为</w:t>
      </w:r>
      <w:r>
        <w:rPr>
          <w:rFonts w:ascii="Times New Roman" w:hAnsi="Times New Roman"/>
          <w:color w:val="000000"/>
          <w:sz w:val="28"/>
          <w:szCs w:val="28"/>
        </w:rPr>
        <w:t>6300m</w:t>
      </w:r>
      <w:r>
        <w:rPr>
          <w:rFonts w:ascii="Times New Roman" w:hAnsi="Times New Roman"/>
          <w:color w:val="000000"/>
          <w:sz w:val="28"/>
          <w:szCs w:val="28"/>
          <w:vertAlign w:val="superscript"/>
        </w:rPr>
        <w:t>3</w:t>
      </w:r>
      <w:r>
        <w:rPr>
          <w:rFonts w:ascii="Times New Roman" w:hAnsi="Times New Roman"/>
          <w:color w:val="000000"/>
          <w:sz w:val="28"/>
          <w:szCs w:val="28"/>
        </w:rPr>
        <w:t>/(km</w:t>
      </w:r>
      <w:r>
        <w:rPr>
          <w:rFonts w:ascii="Times New Roman" w:hAnsi="Times New Roman"/>
          <w:color w:val="000000"/>
          <w:sz w:val="28"/>
          <w:szCs w:val="28"/>
          <w:vertAlign w:val="superscript"/>
        </w:rPr>
        <w:t>2</w:t>
      </w:r>
      <w:r>
        <w:rPr>
          <w:rFonts w:ascii="Times New Roman" w:hAnsi="Times New Roman" w:eastAsiaTheme="minorEastAsia"/>
          <w:color w:val="000000"/>
          <w:sz w:val="28"/>
          <w:szCs w:val="28"/>
        </w:rPr>
        <w:t>·</w:t>
      </w:r>
      <w:r>
        <w:rPr>
          <w:rFonts w:ascii="Times New Roman" w:hAnsi="Times New Roman"/>
          <w:color w:val="000000"/>
          <w:sz w:val="28"/>
          <w:szCs w:val="28"/>
        </w:rPr>
        <w:t>d)</w:t>
      </w:r>
      <w:r>
        <w:rPr>
          <w:rFonts w:ascii="Times New Roman" w:hAnsi="Times New Roman" w:eastAsia="宋体"/>
          <w:color w:val="000000"/>
          <w:sz w:val="28"/>
          <w:szCs w:val="28"/>
        </w:rPr>
        <w:t>；日本《下水道设施设计指南与解说》（日本下水道协会，</w:t>
      </w:r>
      <w:r>
        <w:rPr>
          <w:rFonts w:ascii="Times New Roman" w:hAnsi="Times New Roman"/>
          <w:color w:val="000000"/>
          <w:sz w:val="28"/>
          <w:szCs w:val="28"/>
        </w:rPr>
        <w:t>2001</w:t>
      </w:r>
      <w:r>
        <w:rPr>
          <w:rFonts w:ascii="Times New Roman" w:hAnsi="Times New Roman" w:eastAsia="宋体"/>
          <w:color w:val="000000"/>
          <w:sz w:val="28"/>
          <w:szCs w:val="28"/>
        </w:rPr>
        <w:t>年，以下简称日本指南）规定采用经验数据，按日最大综合污水量的</w:t>
      </w:r>
      <w:r>
        <w:rPr>
          <w:rFonts w:ascii="Times New Roman" w:hAnsi="Times New Roman"/>
          <w:color w:val="000000"/>
          <w:sz w:val="28"/>
          <w:szCs w:val="28"/>
        </w:rPr>
        <w:t>10%</w:t>
      </w:r>
      <w:r>
        <w:rPr>
          <w:rFonts w:ascii="Times New Roman" w:hAnsi="Times New Roman" w:eastAsia="宋体"/>
          <w:color w:val="000000"/>
          <w:sz w:val="28"/>
          <w:szCs w:val="28"/>
        </w:rPr>
        <w:t>～</w:t>
      </w:r>
      <w:r>
        <w:rPr>
          <w:rFonts w:ascii="Times New Roman" w:hAnsi="Times New Roman"/>
          <w:color w:val="000000"/>
          <w:sz w:val="28"/>
          <w:szCs w:val="28"/>
        </w:rPr>
        <w:t>20%</w:t>
      </w:r>
      <w:r>
        <w:rPr>
          <w:rFonts w:ascii="Times New Roman" w:hAnsi="Times New Roman" w:eastAsia="宋体"/>
          <w:color w:val="000000"/>
          <w:sz w:val="28"/>
          <w:szCs w:val="28"/>
        </w:rPr>
        <w:t>计；英国《污水处理厂》</w:t>
      </w:r>
      <w:r>
        <w:rPr>
          <w:rFonts w:ascii="Times New Roman" w:hAnsi="Times New Roman"/>
          <w:color w:val="000000"/>
          <w:sz w:val="28"/>
          <w:szCs w:val="28"/>
        </w:rPr>
        <w:t>BSEN 12255</w:t>
      </w:r>
      <w:r>
        <w:rPr>
          <w:rFonts w:ascii="Times New Roman" w:hAnsi="Times New Roman" w:eastAsia="宋体"/>
          <w:color w:val="000000"/>
          <w:sz w:val="28"/>
          <w:szCs w:val="28"/>
        </w:rPr>
        <w:t>（以下简称英国标准）建议按观测现有管道的夜间流量进行估算；德国</w:t>
      </w:r>
      <w:r>
        <w:rPr>
          <w:rFonts w:ascii="Times New Roman" w:hAnsi="Times New Roman"/>
          <w:color w:val="000000"/>
          <w:sz w:val="28"/>
          <w:szCs w:val="28"/>
        </w:rPr>
        <w:t>ATV</w:t>
      </w:r>
      <w:r>
        <w:rPr>
          <w:rFonts w:ascii="Times New Roman" w:hAnsi="Times New Roman" w:eastAsia="宋体"/>
          <w:color w:val="000000"/>
          <w:sz w:val="28"/>
          <w:szCs w:val="28"/>
        </w:rPr>
        <w:t>标准（德国废水工程协会，</w:t>
      </w:r>
      <w:r>
        <w:rPr>
          <w:rFonts w:ascii="Times New Roman" w:hAnsi="Times New Roman"/>
          <w:color w:val="000000"/>
          <w:sz w:val="28"/>
          <w:szCs w:val="28"/>
        </w:rPr>
        <w:t>2000</w:t>
      </w:r>
      <w:r>
        <w:rPr>
          <w:rFonts w:ascii="Times New Roman" w:hAnsi="Times New Roman" w:eastAsia="宋体"/>
          <w:color w:val="000000"/>
          <w:sz w:val="28"/>
          <w:szCs w:val="28"/>
        </w:rPr>
        <w:t>年，以下简称德国</w:t>
      </w:r>
      <w:r>
        <w:rPr>
          <w:rFonts w:ascii="Times New Roman" w:hAnsi="Times New Roman"/>
          <w:color w:val="000000"/>
          <w:sz w:val="28"/>
          <w:szCs w:val="28"/>
        </w:rPr>
        <w:t>ATV</w:t>
      </w:r>
      <w:r>
        <w:rPr>
          <w:rFonts w:ascii="Times New Roman" w:hAnsi="Times New Roman" w:eastAsia="宋体"/>
          <w:color w:val="000000"/>
          <w:sz w:val="28"/>
          <w:szCs w:val="28"/>
        </w:rPr>
        <w:t>）规定入渗水量不大于</w:t>
      </w:r>
      <w:r>
        <w:rPr>
          <w:rFonts w:ascii="Times New Roman" w:hAnsi="Times New Roman"/>
          <w:color w:val="000000"/>
          <w:sz w:val="28"/>
          <w:szCs w:val="28"/>
        </w:rPr>
        <w:t>0.15L/(s·hm</w:t>
      </w:r>
      <w:r>
        <w:rPr>
          <w:rFonts w:ascii="Times New Roman" w:hAnsi="Times New Roman"/>
          <w:color w:val="000000"/>
          <w:sz w:val="28"/>
          <w:szCs w:val="28"/>
          <w:vertAlign w:val="superscript"/>
        </w:rPr>
        <w:t>2</w:t>
      </w:r>
      <w:r>
        <w:rPr>
          <w:rFonts w:ascii="Times New Roman" w:hAnsi="Times New Roman"/>
          <w:color w:val="000000"/>
          <w:sz w:val="28"/>
          <w:szCs w:val="28"/>
        </w:rPr>
        <w:t>)</w:t>
      </w:r>
      <w:r>
        <w:rPr>
          <w:rFonts w:ascii="Times New Roman" w:hAnsi="Times New Roman" w:eastAsia="宋体"/>
          <w:color w:val="000000"/>
          <w:sz w:val="28"/>
          <w:szCs w:val="28"/>
        </w:rPr>
        <w:t>，如大于则应采取措施减少入渗；美国按</w:t>
      </w:r>
      <w:r>
        <w:rPr>
          <w:rFonts w:ascii="Times New Roman" w:hAnsi="Times New Roman"/>
          <w:color w:val="000000"/>
          <w:sz w:val="28"/>
          <w:szCs w:val="28"/>
        </w:rPr>
        <w:t>0</w:t>
      </w:r>
      <w:r>
        <w:rPr>
          <w:rFonts w:ascii="Times New Roman" w:hAnsi="Times New Roman" w:eastAsia="宋体"/>
          <w:color w:val="000000"/>
          <w:sz w:val="28"/>
          <w:szCs w:val="28"/>
        </w:rPr>
        <w:t>.</w:t>
      </w:r>
      <w:r>
        <w:rPr>
          <w:rFonts w:ascii="Times New Roman" w:hAnsi="Times New Roman"/>
          <w:color w:val="000000"/>
          <w:sz w:val="28"/>
          <w:szCs w:val="28"/>
        </w:rPr>
        <w:t>01m</w:t>
      </w:r>
      <w:r>
        <w:rPr>
          <w:rFonts w:ascii="Times New Roman" w:hAnsi="Times New Roman"/>
          <w:color w:val="000000"/>
          <w:sz w:val="28"/>
          <w:szCs w:val="28"/>
          <w:vertAlign w:val="superscript"/>
        </w:rPr>
        <w:t>3</w:t>
      </w:r>
      <w:r>
        <w:rPr>
          <w:rFonts w:ascii="Times New Roman" w:hAnsi="Times New Roman"/>
          <w:color w:val="000000"/>
          <w:sz w:val="28"/>
          <w:szCs w:val="28"/>
        </w:rPr>
        <w:t>/(d</w:t>
      </w:r>
      <w:r>
        <w:rPr>
          <w:rFonts w:ascii="Times New Roman" w:hAnsi="Times New Roman" w:eastAsiaTheme="minorEastAsia"/>
          <w:color w:val="000000"/>
          <w:sz w:val="28"/>
          <w:szCs w:val="28"/>
        </w:rPr>
        <w:t>·</w:t>
      </w:r>
      <w:r>
        <w:rPr>
          <w:rFonts w:ascii="Times New Roman" w:hAnsi="Times New Roman"/>
          <w:color w:val="000000"/>
          <w:sz w:val="28"/>
          <w:szCs w:val="28"/>
        </w:rPr>
        <w:t>mm-km)</w:t>
      </w:r>
      <w:r>
        <w:rPr>
          <w:rFonts w:ascii="Times New Roman" w:hAnsi="Times New Roman" w:eastAsia="宋体"/>
          <w:color w:val="000000"/>
          <w:sz w:val="28"/>
          <w:szCs w:val="28"/>
        </w:rPr>
        <w:t>～</w:t>
      </w:r>
      <w:r>
        <w:rPr>
          <w:rFonts w:ascii="Times New Roman" w:hAnsi="Times New Roman"/>
          <w:color w:val="000000"/>
          <w:sz w:val="28"/>
          <w:szCs w:val="28"/>
        </w:rPr>
        <w:t>1.0m</w:t>
      </w:r>
      <w:r>
        <w:rPr>
          <w:rFonts w:ascii="Times New Roman" w:hAnsi="Times New Roman"/>
          <w:color w:val="000000"/>
          <w:sz w:val="28"/>
          <w:szCs w:val="28"/>
          <w:vertAlign w:val="superscript"/>
        </w:rPr>
        <w:t>3</w:t>
      </w:r>
      <w:r>
        <w:rPr>
          <w:rFonts w:ascii="Times New Roman" w:hAnsi="Times New Roman"/>
          <w:color w:val="000000"/>
          <w:sz w:val="28"/>
          <w:szCs w:val="28"/>
        </w:rPr>
        <w:t>/(d</w:t>
      </w:r>
      <w:r>
        <w:rPr>
          <w:rFonts w:ascii="Times New Roman" w:hAnsi="Times New Roman" w:eastAsiaTheme="minorEastAsia"/>
          <w:color w:val="000000"/>
          <w:sz w:val="28"/>
          <w:szCs w:val="28"/>
        </w:rPr>
        <w:t>·</w:t>
      </w:r>
      <w:r>
        <w:rPr>
          <w:rFonts w:ascii="Times New Roman" w:hAnsi="Times New Roman"/>
          <w:color w:val="000000"/>
          <w:sz w:val="28"/>
          <w:szCs w:val="28"/>
        </w:rPr>
        <w:t>mm-km)</w:t>
      </w:r>
      <w:r>
        <w:rPr>
          <w:rFonts w:ascii="Times New Roman" w:hAnsi="Times New Roman" w:eastAsia="宋体"/>
          <w:color w:val="000000"/>
          <w:sz w:val="28"/>
          <w:szCs w:val="28"/>
        </w:rPr>
        <w:t>（</w:t>
      </w:r>
      <w:r>
        <w:rPr>
          <w:rFonts w:ascii="Times New Roman" w:hAnsi="Times New Roman"/>
          <w:color w:val="000000"/>
          <w:sz w:val="28"/>
          <w:szCs w:val="28"/>
        </w:rPr>
        <w:t>mm</w:t>
      </w:r>
      <w:r>
        <w:rPr>
          <w:rFonts w:ascii="Times New Roman" w:hAnsi="Times New Roman" w:eastAsia="宋体"/>
          <w:color w:val="000000"/>
          <w:sz w:val="28"/>
          <w:szCs w:val="28"/>
        </w:rPr>
        <w:t>为管径，</w:t>
      </w:r>
      <w:r>
        <w:rPr>
          <w:rFonts w:ascii="Times New Roman" w:hAnsi="Times New Roman"/>
          <w:color w:val="000000"/>
          <w:sz w:val="28"/>
          <w:szCs w:val="28"/>
        </w:rPr>
        <w:t>km</w:t>
      </w:r>
      <w:r>
        <w:rPr>
          <w:rFonts w:ascii="Times New Roman" w:hAnsi="Times New Roman" w:eastAsia="宋体"/>
          <w:color w:val="000000"/>
          <w:sz w:val="28"/>
          <w:szCs w:val="28"/>
        </w:rPr>
        <w:t>为管长）计，或按</w:t>
      </w:r>
      <w:r>
        <w:rPr>
          <w:rFonts w:ascii="Times New Roman" w:hAnsi="Times New Roman"/>
          <w:color w:val="000000"/>
          <w:sz w:val="28"/>
          <w:szCs w:val="28"/>
        </w:rPr>
        <w:t>0.2 m</w:t>
      </w:r>
      <w:r>
        <w:rPr>
          <w:rFonts w:ascii="Times New Roman" w:hAnsi="Times New Roman"/>
          <w:color w:val="000000"/>
          <w:sz w:val="28"/>
          <w:szCs w:val="28"/>
          <w:vertAlign w:val="superscript"/>
        </w:rPr>
        <w:t>3</w:t>
      </w:r>
      <w:r>
        <w:rPr>
          <w:rFonts w:ascii="Times New Roman" w:hAnsi="Times New Roman"/>
          <w:color w:val="000000"/>
          <w:sz w:val="28"/>
          <w:szCs w:val="28"/>
        </w:rPr>
        <w:t>/(hm</w:t>
      </w:r>
      <w:r>
        <w:rPr>
          <w:rFonts w:ascii="Times New Roman" w:hAnsi="Times New Roman"/>
          <w:color w:val="000000"/>
          <w:sz w:val="28"/>
          <w:szCs w:val="28"/>
          <w:vertAlign w:val="superscript"/>
        </w:rPr>
        <w:t>2</w:t>
      </w:r>
      <w:r>
        <w:rPr>
          <w:rFonts w:ascii="Times New Roman" w:hAnsi="Times New Roman"/>
          <w:color w:val="000000"/>
          <w:sz w:val="28"/>
          <w:szCs w:val="28"/>
        </w:rPr>
        <w:t>·d)</w:t>
      </w:r>
      <w:r>
        <w:rPr>
          <w:rFonts w:ascii="Times New Roman" w:hAnsi="Times New Roman" w:eastAsia="宋体"/>
          <w:color w:val="000000"/>
          <w:sz w:val="28"/>
          <w:szCs w:val="28"/>
        </w:rPr>
        <w:t>～</w:t>
      </w:r>
      <w:r>
        <w:rPr>
          <w:rFonts w:ascii="Times New Roman" w:hAnsi="Times New Roman"/>
          <w:color w:val="000000"/>
          <w:sz w:val="28"/>
          <w:szCs w:val="28"/>
        </w:rPr>
        <w:t>28m</w:t>
      </w:r>
      <w:r>
        <w:rPr>
          <w:rFonts w:ascii="Times New Roman" w:hAnsi="Times New Roman"/>
          <w:color w:val="000000"/>
          <w:sz w:val="28"/>
          <w:szCs w:val="28"/>
          <w:vertAlign w:val="superscript"/>
        </w:rPr>
        <w:t>3</w:t>
      </w:r>
      <w:r>
        <w:rPr>
          <w:rFonts w:ascii="Times New Roman" w:hAnsi="Times New Roman"/>
          <w:color w:val="000000"/>
          <w:sz w:val="28"/>
          <w:szCs w:val="28"/>
        </w:rPr>
        <w:t>/(hm</w:t>
      </w:r>
      <w:r>
        <w:rPr>
          <w:rFonts w:ascii="Times New Roman" w:hAnsi="Times New Roman"/>
          <w:color w:val="000000"/>
          <w:sz w:val="28"/>
          <w:szCs w:val="28"/>
          <w:vertAlign w:val="superscript"/>
        </w:rPr>
        <w:t>2</w:t>
      </w:r>
      <w:r>
        <w:rPr>
          <w:rFonts w:ascii="Times New Roman" w:hAnsi="Times New Roman" w:eastAsiaTheme="minorEastAsia"/>
          <w:color w:val="000000"/>
          <w:sz w:val="28"/>
          <w:szCs w:val="28"/>
        </w:rPr>
        <w:t>·</w:t>
      </w:r>
      <w:r>
        <w:rPr>
          <w:rFonts w:ascii="Times New Roman" w:hAnsi="Times New Roman"/>
          <w:color w:val="000000"/>
          <w:sz w:val="28"/>
          <w:szCs w:val="28"/>
        </w:rPr>
        <w:t>d)</w:t>
      </w:r>
      <w:r>
        <w:rPr>
          <w:rFonts w:ascii="Times New Roman" w:hAnsi="Times New Roman" w:eastAsia="宋体"/>
          <w:color w:val="000000"/>
          <w:sz w:val="28"/>
          <w:szCs w:val="28"/>
        </w:rPr>
        <w:t>计。</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hint="eastAsia" w:ascii="Times New Roman" w:hAnsi="Times New Roman" w:eastAsiaTheme="minorEastAsia"/>
          <w:color w:val="000000" w:themeColor="text1"/>
          <w:kern w:val="0"/>
          <w:sz w:val="28"/>
          <w:szCs w:val="28"/>
          <w:lang w:val="zh-CN"/>
        </w:rPr>
        <w:t>分流制</w:t>
      </w:r>
      <w:r>
        <w:rPr>
          <w:rFonts w:ascii="Times New Roman" w:hAnsi="Times New Roman" w:eastAsiaTheme="minorEastAsia"/>
          <w:color w:val="000000" w:themeColor="text1"/>
          <w:kern w:val="0"/>
          <w:sz w:val="28"/>
          <w:szCs w:val="28"/>
          <w:lang w:val="zh-CN"/>
        </w:rPr>
        <w:t>污水系统的雨季设计流量应</w:t>
      </w:r>
      <w:r>
        <w:rPr>
          <w:rFonts w:ascii="Times New Roman" w:hAnsi="Times New Roman" w:eastAsiaTheme="minorEastAsia"/>
          <w:color w:val="000000" w:themeColor="text1"/>
          <w:sz w:val="28"/>
          <w:szCs w:val="28"/>
        </w:rPr>
        <w:t>在旱季设计流量</w:t>
      </w:r>
      <w:r>
        <w:rPr>
          <w:rFonts w:hint="eastAsia" w:ascii="Times New Roman" w:hAnsi="Times New Roman" w:eastAsiaTheme="minorEastAsia"/>
          <w:color w:val="000000" w:themeColor="text1"/>
          <w:sz w:val="28"/>
          <w:szCs w:val="28"/>
        </w:rPr>
        <w:t>基础上，根据调查资料，</w:t>
      </w:r>
      <w:r>
        <w:rPr>
          <w:rFonts w:ascii="Times New Roman" w:hAnsi="Times New Roman" w:eastAsiaTheme="minorEastAsia"/>
          <w:color w:val="000000" w:themeColor="text1"/>
          <w:sz w:val="28"/>
          <w:szCs w:val="28"/>
        </w:rPr>
        <w:t>增加</w:t>
      </w:r>
      <w:r>
        <w:rPr>
          <w:rFonts w:hint="eastAsia" w:ascii="Times New Roman" w:hAnsi="Times New Roman" w:eastAsiaTheme="minorEastAsia"/>
          <w:color w:val="000000" w:themeColor="text1"/>
          <w:sz w:val="28"/>
          <w:szCs w:val="28"/>
        </w:rPr>
        <w:t>截流雨水</w:t>
      </w:r>
      <w:r>
        <w:rPr>
          <w:rFonts w:ascii="Times New Roman" w:hAnsi="Times New Roman" w:eastAsiaTheme="minorEastAsia"/>
          <w:color w:val="000000" w:themeColor="text1"/>
          <w:sz w:val="28"/>
          <w:szCs w:val="28"/>
        </w:rPr>
        <w:t>量。</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【条文说明】分流制的雨季设计流量是在旱季设计流量上增加</w:t>
      </w:r>
      <w:r>
        <w:rPr>
          <w:rFonts w:hint="eastAsia" w:ascii="Times New Roman" w:hAnsi="Times New Roman" w:eastAsiaTheme="minorEastAsia"/>
          <w:color w:val="000000" w:themeColor="text1"/>
          <w:sz w:val="28"/>
          <w:szCs w:val="28"/>
        </w:rPr>
        <w:t>截流雨</w:t>
      </w:r>
      <w:r>
        <w:rPr>
          <w:rFonts w:ascii="Times New Roman" w:hAnsi="Times New Roman" w:eastAsiaTheme="minorEastAsia"/>
          <w:color w:val="000000" w:themeColor="text1"/>
          <w:sz w:val="28"/>
          <w:szCs w:val="28"/>
        </w:rPr>
        <w:t>水量，合流制的雨季设计流量就是截流后的合流污水量。</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hint="eastAsia" w:ascii="Times New Roman" w:hAnsi="Times New Roman" w:eastAsiaTheme="minorEastAsia"/>
          <w:color w:val="000000" w:themeColor="text1"/>
          <w:kern w:val="0"/>
          <w:sz w:val="28"/>
          <w:szCs w:val="28"/>
          <w:lang w:val="zh-CN"/>
        </w:rPr>
        <w:t>分流制</w:t>
      </w:r>
      <w:r>
        <w:rPr>
          <w:rFonts w:ascii="Times New Roman" w:hAnsi="Times New Roman" w:eastAsiaTheme="minorEastAsia"/>
          <w:color w:val="000000" w:themeColor="text1"/>
          <w:sz w:val="28"/>
          <w:szCs w:val="28"/>
        </w:rPr>
        <w:t>雨水截流量应根据雨水受污染情况、雨型、受纳水体的环境容量和排水区域大小等因素确定。</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分流制污水管道应按旱季设计流量设计，并在雨季设计流量下校核，雨水管渠的设计流量应为雨水设计流量。</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【条文说明】旱季设计流量</w:t>
      </w:r>
      <w:r>
        <w:rPr>
          <w:rFonts w:hint="eastAsia" w:eastAsiaTheme="minorEastAsia"/>
          <w:color w:val="000000" w:themeColor="text1"/>
          <w:sz w:val="28"/>
          <w:szCs w:val="28"/>
        </w:rPr>
        <w:t>、</w:t>
      </w:r>
      <w:r>
        <w:rPr>
          <w:rFonts w:eastAsiaTheme="minorEastAsia"/>
          <w:color w:val="000000" w:themeColor="text1"/>
          <w:sz w:val="28"/>
          <w:szCs w:val="28"/>
        </w:rPr>
        <w:t>雨季设计流量</w:t>
      </w:r>
      <w:r>
        <w:rPr>
          <w:rFonts w:hint="eastAsia" w:eastAsiaTheme="minorEastAsia"/>
          <w:color w:val="000000" w:themeColor="text1"/>
          <w:sz w:val="28"/>
          <w:szCs w:val="28"/>
        </w:rPr>
        <w:t>和</w:t>
      </w:r>
      <w:r>
        <w:rPr>
          <w:rFonts w:eastAsiaTheme="minorEastAsia"/>
          <w:color w:val="000000" w:themeColor="text1"/>
          <w:sz w:val="28"/>
          <w:szCs w:val="28"/>
        </w:rPr>
        <w:t>雨水设计流量应分别参照本标准4.1</w:t>
      </w:r>
      <w:r>
        <w:rPr>
          <w:rFonts w:hint="eastAsia" w:eastAsiaTheme="minorEastAsia"/>
          <w:color w:val="000000" w:themeColor="text1"/>
          <w:sz w:val="28"/>
          <w:szCs w:val="28"/>
        </w:rPr>
        <w:t>节相关条文的规定</w:t>
      </w:r>
      <w:r>
        <w:rPr>
          <w:rFonts w:eastAsiaTheme="minorEastAsia"/>
          <w:color w:val="000000" w:themeColor="text1"/>
          <w:sz w:val="28"/>
          <w:szCs w:val="28"/>
        </w:rPr>
        <w:t>。污水管道在雨季设计流量下校核时，可采用满管流。</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合流制的雨季设计流量应</w:t>
      </w:r>
      <w:r>
        <w:rPr>
          <w:rFonts w:hint="eastAsia" w:ascii="Times New Roman" w:hAnsi="Times New Roman" w:eastAsiaTheme="minorEastAsia"/>
          <w:color w:val="000000" w:themeColor="text1"/>
          <w:sz w:val="28"/>
          <w:szCs w:val="28"/>
        </w:rPr>
        <w:t>为</w:t>
      </w:r>
      <w:r>
        <w:rPr>
          <w:rFonts w:ascii="Times New Roman" w:hAnsi="Times New Roman" w:eastAsiaTheme="minorEastAsia"/>
          <w:color w:val="000000" w:themeColor="text1"/>
          <w:sz w:val="28"/>
          <w:szCs w:val="28"/>
        </w:rPr>
        <w:t>截流后的合流污水量。</w:t>
      </w:r>
    </w:p>
    <w:p>
      <w:pPr>
        <w:pStyle w:val="30"/>
        <w:numPr>
          <w:ilvl w:val="0"/>
          <w:numId w:val="11"/>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截流井前合流管道的设计流量，应按下列公式计算：</w:t>
      </w:r>
    </w:p>
    <w:p>
      <w:pPr>
        <w:wordWrap w:val="0"/>
        <w:spacing w:line="460" w:lineRule="atLeast"/>
        <w:jc w:val="right"/>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 xml:space="preserve">= </w:t>
      </w:r>
      <w:r>
        <w:rPr>
          <w:rFonts w:eastAsiaTheme="minorEastAsia"/>
          <w:i/>
          <w:color w:val="000000" w:themeColor="text1"/>
          <w:sz w:val="28"/>
          <w:szCs w:val="28"/>
        </w:rPr>
        <w:t>Q</w:t>
      </w:r>
      <w:r>
        <w:rPr>
          <w:rFonts w:eastAsiaTheme="minorEastAsia"/>
          <w:color w:val="000000" w:themeColor="text1"/>
          <w:sz w:val="28"/>
          <w:szCs w:val="28"/>
          <w:vertAlign w:val="subscript"/>
        </w:rPr>
        <w:t>d</w:t>
      </w:r>
      <w:r>
        <w:rPr>
          <w:rFonts w:eastAsiaTheme="minorEastAsia"/>
          <w:color w:val="000000" w:themeColor="text1"/>
          <w:sz w:val="28"/>
          <w:szCs w:val="28"/>
        </w:rPr>
        <w:t>+</w:t>
      </w:r>
      <w:r>
        <w:rPr>
          <w:rFonts w:eastAsiaTheme="minorEastAsia"/>
          <w:i/>
          <w:color w:val="000000" w:themeColor="text1"/>
          <w:sz w:val="28"/>
          <w:szCs w:val="28"/>
        </w:rPr>
        <w:t>Q</w:t>
      </w:r>
      <w:r>
        <w:rPr>
          <w:rFonts w:eastAsiaTheme="minorEastAsia"/>
          <w:color w:val="000000" w:themeColor="text1"/>
          <w:sz w:val="28"/>
          <w:szCs w:val="28"/>
          <w:vertAlign w:val="subscript"/>
        </w:rPr>
        <w:t>m</w:t>
      </w:r>
      <w:r>
        <w:rPr>
          <w:rFonts w:eastAsiaTheme="minorEastAsia"/>
          <w:color w:val="000000" w:themeColor="text1"/>
          <w:sz w:val="28"/>
          <w:szCs w:val="28"/>
        </w:rPr>
        <w:t xml:space="preserve"> + </w:t>
      </w:r>
      <w:r>
        <w:rPr>
          <w:rFonts w:eastAsiaTheme="minorEastAsia"/>
          <w:i/>
          <w:color w:val="000000" w:themeColor="text1"/>
          <w:sz w:val="28"/>
          <w:szCs w:val="28"/>
        </w:rPr>
        <w:t>Q</w:t>
      </w:r>
      <w:r>
        <w:rPr>
          <w:rFonts w:eastAsiaTheme="minorEastAsia"/>
          <w:color w:val="000000" w:themeColor="text1"/>
          <w:sz w:val="28"/>
          <w:szCs w:val="28"/>
          <w:vertAlign w:val="subscript"/>
        </w:rPr>
        <w:t>s</w:t>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hint="eastAsia" w:eastAsiaTheme="minorEastAsia"/>
          <w:color w:val="000000" w:themeColor="text1"/>
          <w:sz w:val="28"/>
          <w:szCs w:val="28"/>
        </w:rPr>
        <w:t>4</w:t>
      </w:r>
      <w:r>
        <w:rPr>
          <w:rFonts w:eastAsiaTheme="minorEastAsia"/>
          <w:color w:val="000000" w:themeColor="text1"/>
          <w:sz w:val="28"/>
          <w:szCs w:val="28"/>
        </w:rPr>
        <w:t>.</w:t>
      </w:r>
      <w:r>
        <w:rPr>
          <w:rFonts w:hint="eastAsia" w:eastAsiaTheme="minorEastAsia"/>
          <w:color w:val="000000" w:themeColor="text1"/>
          <w:sz w:val="28"/>
          <w:szCs w:val="28"/>
        </w:rPr>
        <w:t>1</w:t>
      </w:r>
      <w:r>
        <w:rPr>
          <w:rFonts w:eastAsiaTheme="minorEastAsia"/>
          <w:color w:val="000000" w:themeColor="text1"/>
          <w:sz w:val="28"/>
          <w:szCs w:val="28"/>
        </w:rPr>
        <w:t>.</w:t>
      </w:r>
      <w:r>
        <w:rPr>
          <w:rFonts w:hint="eastAsia" w:eastAsiaTheme="minorEastAsia"/>
          <w:color w:val="000000" w:themeColor="text1"/>
          <w:sz w:val="28"/>
          <w:szCs w:val="28"/>
        </w:rPr>
        <w:t>20</w:t>
      </w:r>
      <w:r>
        <w:rPr>
          <w:rFonts w:eastAsiaTheme="minorEastAsia"/>
          <w:color w:val="000000" w:themeColor="text1"/>
          <w:sz w:val="28"/>
          <w:szCs w:val="28"/>
        </w:rPr>
        <w:t>）</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Q</w:t>
      </w:r>
      <w:r>
        <w:rPr>
          <w:rFonts w:eastAsiaTheme="minorEastAsia"/>
          <w:color w:val="000000" w:themeColor="text1"/>
          <w:sz w:val="28"/>
          <w:szCs w:val="28"/>
        </w:rPr>
        <w:t xml:space="preserve">——设计流量（L/s）； </w:t>
      </w:r>
    </w:p>
    <w:p>
      <w:pPr>
        <w:spacing w:line="460" w:lineRule="atLeast"/>
        <w:ind w:firstLine="848" w:firstLineChars="303"/>
        <w:rPr>
          <w:rFonts w:eastAsiaTheme="minorEastAsia"/>
          <w:color w:val="000000"/>
          <w:sz w:val="28"/>
          <w:szCs w:val="28"/>
        </w:rPr>
      </w:pPr>
      <w:r>
        <w:rPr>
          <w:i/>
          <w:color w:val="000000"/>
          <w:sz w:val="28"/>
          <w:szCs w:val="28"/>
        </w:rPr>
        <w:t>Q</w:t>
      </w:r>
      <w:r>
        <w:rPr>
          <w:color w:val="000000"/>
          <w:sz w:val="28"/>
          <w:szCs w:val="28"/>
          <w:vertAlign w:val="subscript"/>
        </w:rPr>
        <w:t>d</w:t>
      </w:r>
      <w:r>
        <w:rPr>
          <w:color w:val="000000"/>
          <w:sz w:val="28"/>
          <w:szCs w:val="28"/>
        </w:rPr>
        <w:t xml:space="preserve"> </w:t>
      </w:r>
      <w:r>
        <w:rPr>
          <w:rFonts w:eastAsiaTheme="minorEastAsia"/>
          <w:color w:val="000000" w:themeColor="text1"/>
          <w:sz w:val="28"/>
          <w:szCs w:val="28"/>
        </w:rPr>
        <w:t>——</w:t>
      </w:r>
      <w:r>
        <w:rPr>
          <w:rFonts w:eastAsia="宋体"/>
          <w:color w:val="000000"/>
          <w:sz w:val="28"/>
          <w:szCs w:val="28"/>
        </w:rPr>
        <w:t>设计综合生活污水量（</w:t>
      </w:r>
      <w:r>
        <w:rPr>
          <w:color w:val="000000"/>
          <w:sz w:val="28"/>
          <w:szCs w:val="28"/>
        </w:rPr>
        <w:t>L/s</w:t>
      </w:r>
      <w:r>
        <w:rPr>
          <w:rFonts w:eastAsia="宋体"/>
          <w:color w:val="000000"/>
          <w:sz w:val="28"/>
          <w:szCs w:val="28"/>
        </w:rPr>
        <w:t>）</w:t>
      </w:r>
      <w:r>
        <w:rPr>
          <w:rFonts w:eastAsiaTheme="minorEastAsia"/>
          <w:color w:val="000000"/>
          <w:sz w:val="28"/>
          <w:szCs w:val="28"/>
        </w:rPr>
        <w:t>；</w:t>
      </w:r>
    </w:p>
    <w:p>
      <w:pPr>
        <w:spacing w:line="460" w:lineRule="atLeast"/>
        <w:ind w:firstLine="848" w:firstLineChars="303"/>
        <w:rPr>
          <w:rFonts w:eastAsiaTheme="minorEastAsia"/>
          <w:color w:val="000000"/>
          <w:sz w:val="28"/>
          <w:szCs w:val="28"/>
        </w:rPr>
      </w:pPr>
      <w:r>
        <w:rPr>
          <w:i/>
          <w:color w:val="000000"/>
          <w:sz w:val="28"/>
          <w:szCs w:val="28"/>
        </w:rPr>
        <w:t>Q</w:t>
      </w:r>
      <w:r>
        <w:rPr>
          <w:color w:val="000000"/>
          <w:sz w:val="28"/>
          <w:szCs w:val="28"/>
          <w:vertAlign w:val="subscript"/>
        </w:rPr>
        <w:t>m</w:t>
      </w:r>
      <w:r>
        <w:rPr>
          <w:color w:val="000000"/>
          <w:sz w:val="28"/>
          <w:szCs w:val="28"/>
        </w:rPr>
        <w:t xml:space="preserve"> </w:t>
      </w:r>
      <w:r>
        <w:rPr>
          <w:rFonts w:eastAsiaTheme="minorEastAsia"/>
          <w:color w:val="000000" w:themeColor="text1"/>
          <w:sz w:val="28"/>
          <w:szCs w:val="28"/>
        </w:rPr>
        <w:t>——</w:t>
      </w:r>
      <w:r>
        <w:rPr>
          <w:rFonts w:eastAsia="宋体"/>
          <w:color w:val="000000"/>
          <w:sz w:val="28"/>
          <w:szCs w:val="28"/>
        </w:rPr>
        <w:t>设计工业废水量（</w:t>
      </w:r>
      <w:r>
        <w:rPr>
          <w:color w:val="000000"/>
          <w:sz w:val="28"/>
          <w:szCs w:val="28"/>
        </w:rPr>
        <w:t>L/s</w:t>
      </w:r>
      <w:r>
        <w:rPr>
          <w:rFonts w:eastAsia="宋体"/>
          <w:color w:val="000000"/>
          <w:sz w:val="28"/>
          <w:szCs w:val="28"/>
        </w:rPr>
        <w:t>）</w:t>
      </w:r>
      <w:r>
        <w:rPr>
          <w:rFonts w:eastAsiaTheme="minorEastAsia"/>
          <w:color w:val="000000"/>
          <w:sz w:val="28"/>
          <w:szCs w:val="28"/>
        </w:rPr>
        <w:t>；</w:t>
      </w:r>
    </w:p>
    <w:p>
      <w:pPr>
        <w:spacing w:line="460" w:lineRule="atLeast"/>
        <w:ind w:firstLine="848" w:firstLineChars="303"/>
        <w:rPr>
          <w:rFonts w:eastAsiaTheme="minorEastAsia"/>
          <w:color w:val="000000"/>
          <w:sz w:val="28"/>
          <w:szCs w:val="28"/>
        </w:rPr>
      </w:pPr>
      <w:r>
        <w:rPr>
          <w:i/>
          <w:color w:val="000000"/>
          <w:sz w:val="28"/>
          <w:szCs w:val="28"/>
        </w:rPr>
        <w:t>Q</w:t>
      </w:r>
      <w:r>
        <w:rPr>
          <w:rFonts w:eastAsiaTheme="minorEastAsia"/>
          <w:color w:val="000000"/>
          <w:sz w:val="28"/>
          <w:szCs w:val="28"/>
          <w:vertAlign w:val="subscript"/>
        </w:rPr>
        <w:t>s</w:t>
      </w:r>
      <w:r>
        <w:rPr>
          <w:color w:val="000000"/>
          <w:sz w:val="28"/>
          <w:szCs w:val="28"/>
        </w:rPr>
        <w:t xml:space="preserve"> </w:t>
      </w:r>
      <w:r>
        <w:rPr>
          <w:rFonts w:eastAsiaTheme="minorEastAsia"/>
          <w:color w:val="000000" w:themeColor="text1"/>
          <w:sz w:val="28"/>
          <w:szCs w:val="28"/>
        </w:rPr>
        <w:t>——雨水设计流量</w:t>
      </w:r>
      <w:r>
        <w:rPr>
          <w:rFonts w:eastAsia="宋体"/>
          <w:color w:val="000000"/>
          <w:sz w:val="28"/>
          <w:szCs w:val="28"/>
        </w:rPr>
        <w:t>（</w:t>
      </w:r>
      <w:r>
        <w:rPr>
          <w:color w:val="000000"/>
          <w:sz w:val="28"/>
          <w:szCs w:val="28"/>
        </w:rPr>
        <w:t>L/s</w:t>
      </w:r>
      <w:r>
        <w:rPr>
          <w:rFonts w:eastAsia="宋体"/>
          <w:color w:val="000000"/>
          <w:sz w:val="28"/>
          <w:szCs w:val="28"/>
        </w:rPr>
        <w:t>）</w:t>
      </w:r>
      <w:r>
        <w:rPr>
          <w:rFonts w:eastAsiaTheme="minorEastAsia"/>
          <w:color w:val="000000"/>
          <w:sz w:val="28"/>
          <w:szCs w:val="28"/>
        </w:rPr>
        <w:t>。</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【条文说明】设计综合生活污水量</w:t>
      </w:r>
      <w:r>
        <w:rPr>
          <w:rFonts w:eastAsiaTheme="minorEastAsia"/>
          <w:i/>
          <w:color w:val="000000" w:themeColor="text1"/>
          <w:sz w:val="28"/>
          <w:szCs w:val="28"/>
        </w:rPr>
        <w:t>Q</w:t>
      </w:r>
      <w:r>
        <w:rPr>
          <w:rFonts w:eastAsiaTheme="minorEastAsia"/>
          <w:color w:val="000000" w:themeColor="text1"/>
          <w:sz w:val="28"/>
          <w:szCs w:val="28"/>
          <w:vertAlign w:val="subscript"/>
        </w:rPr>
        <w:t>d</w:t>
      </w:r>
      <w:r>
        <w:rPr>
          <w:rFonts w:eastAsiaTheme="minorEastAsia"/>
          <w:color w:val="000000" w:themeColor="text1"/>
          <w:sz w:val="28"/>
          <w:szCs w:val="28"/>
        </w:rPr>
        <w:t>和设计工业废水量</w:t>
      </w:r>
      <w:r>
        <w:rPr>
          <w:rFonts w:eastAsiaTheme="minorEastAsia"/>
          <w:i/>
          <w:color w:val="000000" w:themeColor="text1"/>
          <w:sz w:val="28"/>
          <w:szCs w:val="28"/>
        </w:rPr>
        <w:t>Q</w:t>
      </w:r>
      <w:r>
        <w:rPr>
          <w:rFonts w:eastAsiaTheme="minorEastAsia"/>
          <w:color w:val="000000" w:themeColor="text1"/>
          <w:sz w:val="28"/>
          <w:szCs w:val="28"/>
          <w:vertAlign w:val="subscript"/>
        </w:rPr>
        <w:t>m</w:t>
      </w:r>
      <w:r>
        <w:rPr>
          <w:rFonts w:eastAsiaTheme="minorEastAsia"/>
          <w:color w:val="000000" w:themeColor="text1"/>
          <w:sz w:val="28"/>
          <w:szCs w:val="28"/>
        </w:rPr>
        <w:t>均以平均日流量计。</w:t>
      </w:r>
    </w:p>
    <w:p>
      <w:pPr>
        <w:pStyle w:val="30"/>
        <w:numPr>
          <w:ilvl w:val="0"/>
          <w:numId w:val="11"/>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截流井以后管渠的设计流量，应按下式计算：</w:t>
      </w:r>
    </w:p>
    <w:p>
      <w:pPr>
        <w:wordWrap w:val="0"/>
        <w:spacing w:line="460" w:lineRule="atLeast"/>
        <w:jc w:val="right"/>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 =（</w:t>
      </w:r>
      <w:r>
        <w:rPr>
          <w:rFonts w:eastAsiaTheme="minorEastAsia"/>
          <w:i/>
          <w:color w:val="000000" w:themeColor="text1"/>
          <w:sz w:val="28"/>
          <w:szCs w:val="28"/>
        </w:rPr>
        <w:t>n</w:t>
      </w:r>
      <w:r>
        <w:rPr>
          <w:rFonts w:eastAsiaTheme="minorEastAsia"/>
          <w:color w:val="000000" w:themeColor="text1"/>
          <w:sz w:val="28"/>
          <w:szCs w:val="28"/>
          <w:vertAlign w:val="subscript"/>
        </w:rPr>
        <w:t>o</w:t>
      </w:r>
      <w:r>
        <w:rPr>
          <w:rFonts w:eastAsiaTheme="minorEastAsia"/>
          <w:color w:val="000000" w:themeColor="text1"/>
          <w:sz w:val="28"/>
          <w:szCs w:val="28"/>
        </w:rPr>
        <w:t>+1）（Q</w:t>
      </w:r>
      <w:r>
        <w:rPr>
          <w:rFonts w:eastAsiaTheme="minorEastAsia"/>
          <w:color w:val="000000" w:themeColor="text1"/>
          <w:sz w:val="28"/>
          <w:szCs w:val="28"/>
          <w:vertAlign w:val="subscript"/>
        </w:rPr>
        <w:t>d</w:t>
      </w:r>
      <w:r>
        <w:rPr>
          <w:rFonts w:eastAsiaTheme="minorEastAsia"/>
          <w:color w:val="000000" w:themeColor="text1"/>
          <w:sz w:val="28"/>
          <w:szCs w:val="28"/>
        </w:rPr>
        <w:t>+Q</w:t>
      </w:r>
      <w:r>
        <w:rPr>
          <w:rFonts w:eastAsiaTheme="minorEastAsia"/>
          <w:color w:val="000000" w:themeColor="text1"/>
          <w:sz w:val="28"/>
          <w:szCs w:val="28"/>
          <w:vertAlign w:val="subscript"/>
        </w:rPr>
        <w:t>m</w:t>
      </w:r>
      <w:r>
        <w:rPr>
          <w:rFonts w:eastAsiaTheme="minorEastAsia"/>
          <w:color w:val="000000"/>
          <w:sz w:val="28"/>
          <w:szCs w:val="28"/>
        </w:rPr>
        <w:t xml:space="preserve">+ </w:t>
      </w:r>
      <w:r>
        <w:rPr>
          <w:i/>
          <w:color w:val="000000"/>
          <w:sz w:val="28"/>
          <w:szCs w:val="28"/>
        </w:rPr>
        <w:t>Q</w:t>
      </w:r>
      <w:r>
        <w:rPr>
          <w:rFonts w:eastAsiaTheme="minorEastAsia"/>
          <w:color w:val="000000"/>
          <w:sz w:val="28"/>
          <w:szCs w:val="28"/>
          <w:vertAlign w:val="subscript"/>
        </w:rPr>
        <w:t>u</w:t>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w:t>
      </w:r>
      <w:r>
        <w:rPr>
          <w:rFonts w:hint="eastAsia" w:eastAsiaTheme="minorEastAsia"/>
          <w:color w:val="000000" w:themeColor="text1"/>
          <w:sz w:val="28"/>
          <w:szCs w:val="28"/>
        </w:rPr>
        <w:t>4</w:t>
      </w:r>
      <w:r>
        <w:rPr>
          <w:rFonts w:eastAsiaTheme="minorEastAsia"/>
          <w:color w:val="000000" w:themeColor="text1"/>
          <w:sz w:val="28"/>
          <w:szCs w:val="28"/>
        </w:rPr>
        <w:t>.</w:t>
      </w:r>
      <w:r>
        <w:rPr>
          <w:rFonts w:hint="eastAsia" w:eastAsiaTheme="minorEastAsia"/>
          <w:color w:val="000000" w:themeColor="text1"/>
          <w:sz w:val="28"/>
          <w:szCs w:val="28"/>
        </w:rPr>
        <w:t>1</w:t>
      </w:r>
      <w:r>
        <w:rPr>
          <w:rFonts w:eastAsiaTheme="minorEastAsia"/>
          <w:color w:val="000000" w:themeColor="text1"/>
          <w:sz w:val="28"/>
          <w:szCs w:val="28"/>
        </w:rPr>
        <w:t>.</w:t>
      </w:r>
      <w:r>
        <w:rPr>
          <w:rFonts w:hint="eastAsia" w:eastAsiaTheme="minorEastAsia"/>
          <w:color w:val="000000" w:themeColor="text1"/>
          <w:sz w:val="28"/>
          <w:szCs w:val="28"/>
        </w:rPr>
        <w:t>21</w:t>
      </w:r>
      <w:r>
        <w:rPr>
          <w:rFonts w:eastAsiaTheme="minorEastAsia"/>
          <w:color w:val="000000" w:themeColor="text1"/>
          <w:sz w:val="28"/>
          <w:szCs w:val="28"/>
        </w:rPr>
        <w:t>）</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Q</w:t>
      </w:r>
      <w:r>
        <w:rPr>
          <w:rFonts w:eastAsiaTheme="minorEastAsia"/>
          <w:color w:val="000000" w:themeColor="text1"/>
          <w:sz w:val="28"/>
          <w:szCs w:val="28"/>
        </w:rPr>
        <w:t>′——截流井以后管渠的设计流量（L/s）；</w:t>
      </w:r>
    </w:p>
    <w:p>
      <w:pPr>
        <w:wordWrap w:val="0"/>
        <w:spacing w:line="460" w:lineRule="atLeast"/>
        <w:ind w:firstLine="848" w:firstLineChars="303"/>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o</w:t>
      </w:r>
      <w:r>
        <w:rPr>
          <w:rFonts w:eastAsiaTheme="minorEastAsia"/>
          <w:color w:val="000000" w:themeColor="text1"/>
          <w:sz w:val="28"/>
          <w:szCs w:val="28"/>
        </w:rPr>
        <w:t>——截流倍数；</w:t>
      </w:r>
    </w:p>
    <w:p>
      <w:pPr>
        <w:spacing w:line="460" w:lineRule="atLeast"/>
        <w:ind w:firstLine="848" w:firstLineChars="303"/>
        <w:rPr>
          <w:rFonts w:eastAsiaTheme="minorEastAsia"/>
          <w:color w:val="000000"/>
          <w:sz w:val="28"/>
          <w:szCs w:val="28"/>
        </w:rPr>
      </w:pPr>
      <w:r>
        <w:rPr>
          <w:i/>
          <w:color w:val="000000"/>
          <w:sz w:val="28"/>
          <w:szCs w:val="28"/>
        </w:rPr>
        <w:t>Q</w:t>
      </w:r>
      <w:r>
        <w:rPr>
          <w:color w:val="000000"/>
          <w:sz w:val="28"/>
          <w:szCs w:val="28"/>
          <w:vertAlign w:val="subscript"/>
        </w:rPr>
        <w:t>d</w:t>
      </w:r>
      <w:r>
        <w:rPr>
          <w:color w:val="000000"/>
          <w:sz w:val="28"/>
          <w:szCs w:val="28"/>
        </w:rPr>
        <w:t xml:space="preserve"> </w:t>
      </w:r>
      <w:r>
        <w:rPr>
          <w:rFonts w:eastAsiaTheme="minorEastAsia"/>
          <w:color w:val="000000" w:themeColor="text1"/>
          <w:sz w:val="28"/>
          <w:szCs w:val="28"/>
        </w:rPr>
        <w:t>——</w:t>
      </w:r>
      <w:r>
        <w:rPr>
          <w:rFonts w:eastAsia="宋体"/>
          <w:color w:val="000000"/>
          <w:sz w:val="28"/>
          <w:szCs w:val="28"/>
        </w:rPr>
        <w:t>设计综合生活污水量（</w:t>
      </w:r>
      <w:r>
        <w:rPr>
          <w:color w:val="000000"/>
          <w:sz w:val="28"/>
          <w:szCs w:val="28"/>
        </w:rPr>
        <w:t>L/s</w:t>
      </w:r>
      <w:r>
        <w:rPr>
          <w:rFonts w:eastAsia="宋体"/>
          <w:color w:val="000000"/>
          <w:sz w:val="28"/>
          <w:szCs w:val="28"/>
        </w:rPr>
        <w:t>）</w:t>
      </w:r>
      <w:r>
        <w:rPr>
          <w:rFonts w:eastAsiaTheme="minorEastAsia"/>
          <w:color w:val="000000"/>
          <w:sz w:val="28"/>
          <w:szCs w:val="28"/>
        </w:rPr>
        <w:t>；</w:t>
      </w:r>
    </w:p>
    <w:p>
      <w:pPr>
        <w:pStyle w:val="30"/>
        <w:wordWrap w:val="0"/>
        <w:spacing w:line="360" w:lineRule="auto"/>
        <w:ind w:firstLine="845" w:firstLineChars="302"/>
        <w:rPr>
          <w:rFonts w:ascii="Times New Roman" w:hAnsi="Times New Roman" w:eastAsia="宋体"/>
          <w:color w:val="000000"/>
          <w:sz w:val="28"/>
          <w:szCs w:val="28"/>
        </w:rPr>
      </w:pPr>
      <w:r>
        <w:rPr>
          <w:rFonts w:ascii="Times New Roman" w:hAnsi="Times New Roman"/>
          <w:i/>
          <w:color w:val="000000"/>
          <w:sz w:val="28"/>
          <w:szCs w:val="28"/>
        </w:rPr>
        <w:t>Q</w:t>
      </w:r>
      <w:r>
        <w:rPr>
          <w:rFonts w:ascii="Times New Roman" w:hAnsi="Times New Roman"/>
          <w:color w:val="000000"/>
          <w:sz w:val="28"/>
          <w:szCs w:val="28"/>
          <w:vertAlign w:val="subscript"/>
        </w:rPr>
        <w:t>m</w:t>
      </w:r>
      <w:r>
        <w:rPr>
          <w:rFonts w:ascii="Times New Roman" w:hAnsi="Times New Roman"/>
          <w:color w:val="000000"/>
          <w:sz w:val="28"/>
          <w:szCs w:val="28"/>
        </w:rPr>
        <w:t xml:space="preserve"> </w:t>
      </w:r>
      <w:r>
        <w:rPr>
          <w:rFonts w:ascii="Times New Roman" w:hAnsi="Times New Roman" w:eastAsiaTheme="minorEastAsia"/>
          <w:color w:val="000000" w:themeColor="text1"/>
          <w:sz w:val="28"/>
          <w:szCs w:val="28"/>
        </w:rPr>
        <w:t>——</w:t>
      </w:r>
      <w:r>
        <w:rPr>
          <w:rFonts w:ascii="Times New Roman" w:hAnsi="Times New Roman" w:eastAsia="宋体"/>
          <w:color w:val="000000"/>
          <w:sz w:val="28"/>
          <w:szCs w:val="28"/>
        </w:rPr>
        <w:t>设计工业废水量（</w:t>
      </w:r>
      <w:r>
        <w:rPr>
          <w:rFonts w:ascii="Times New Roman" w:hAnsi="Times New Roman"/>
          <w:color w:val="000000"/>
          <w:sz w:val="28"/>
          <w:szCs w:val="28"/>
        </w:rPr>
        <w:t>L/s</w:t>
      </w:r>
      <w:r>
        <w:rPr>
          <w:rFonts w:ascii="Times New Roman" w:hAnsi="Times New Roman" w:eastAsia="宋体"/>
          <w:color w:val="000000"/>
          <w:sz w:val="28"/>
          <w:szCs w:val="28"/>
        </w:rPr>
        <w:t>）；</w:t>
      </w:r>
    </w:p>
    <w:p>
      <w:pPr>
        <w:spacing w:line="460" w:lineRule="atLeast"/>
        <w:ind w:firstLine="848" w:firstLineChars="303"/>
        <w:rPr>
          <w:rFonts w:eastAsiaTheme="minorEastAsia"/>
          <w:color w:val="000000"/>
          <w:sz w:val="28"/>
          <w:szCs w:val="28"/>
        </w:rPr>
      </w:pPr>
      <w:r>
        <w:rPr>
          <w:i/>
          <w:color w:val="000000"/>
          <w:sz w:val="28"/>
          <w:szCs w:val="28"/>
        </w:rPr>
        <w:t>Q</w:t>
      </w:r>
      <w:r>
        <w:rPr>
          <w:rFonts w:eastAsiaTheme="minorEastAsia"/>
          <w:color w:val="000000"/>
          <w:sz w:val="28"/>
          <w:szCs w:val="28"/>
          <w:vertAlign w:val="subscript"/>
        </w:rPr>
        <w:t>u</w:t>
      </w:r>
      <w:r>
        <w:rPr>
          <w:color w:val="000000"/>
          <w:sz w:val="28"/>
          <w:szCs w:val="28"/>
        </w:rPr>
        <w:t xml:space="preserve"> —</w:t>
      </w:r>
      <w:r>
        <w:rPr>
          <w:rFonts w:eastAsia="宋体"/>
          <w:color w:val="000000"/>
          <w:sz w:val="28"/>
          <w:szCs w:val="28"/>
        </w:rPr>
        <w:t>入渗地下水量（</w:t>
      </w:r>
      <w:r>
        <w:rPr>
          <w:color w:val="000000"/>
          <w:sz w:val="28"/>
          <w:szCs w:val="28"/>
        </w:rPr>
        <w:t>L/s</w:t>
      </w:r>
      <w:r>
        <w:rPr>
          <w:rFonts w:eastAsia="宋体"/>
          <w:color w:val="000000"/>
          <w:sz w:val="28"/>
          <w:szCs w:val="28"/>
        </w:rPr>
        <w:t>），</w:t>
      </w:r>
      <w:r>
        <w:rPr>
          <w:rFonts w:eastAsiaTheme="minorEastAsia"/>
          <w:color w:val="000000" w:themeColor="text1"/>
          <w:kern w:val="0"/>
          <w:sz w:val="28"/>
          <w:szCs w:val="28"/>
          <w:lang w:val="zh-CN"/>
        </w:rPr>
        <w:t>在地下水位较高地区，应考虑</w:t>
      </w:r>
      <w:r>
        <w:rPr>
          <w:rFonts w:eastAsiaTheme="minorEastAsia"/>
          <w:color w:val="000000"/>
          <w:sz w:val="28"/>
          <w:szCs w:val="28"/>
        </w:rPr>
        <w:t>。</w:t>
      </w:r>
    </w:p>
    <w:p>
      <w:pPr>
        <w:pStyle w:val="30"/>
        <w:numPr>
          <w:ilvl w:val="0"/>
          <w:numId w:val="1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合流制截流倍数应根据旱流污水的水质、水量、受纳水体的环境容量和排水区域大小等因素经计算确定，宜采用2~5，并宜采取调蓄等措施，提高截流标准，减少合流制溢流污染对河道的影响。同一排水系统中可采用不同截流倍数。</w:t>
      </w:r>
    </w:p>
    <w:p>
      <w:pPr>
        <w:wordWrap w:val="0"/>
        <w:spacing w:line="480" w:lineRule="atLeast"/>
        <w:rPr>
          <w:rFonts w:eastAsiaTheme="minorEastAsia"/>
          <w:color w:val="000000" w:themeColor="text1"/>
          <w:sz w:val="28"/>
          <w:szCs w:val="28"/>
        </w:rPr>
      </w:pPr>
      <w:r>
        <w:rPr>
          <w:rFonts w:eastAsiaTheme="minorEastAsia"/>
          <w:color w:val="000000" w:themeColor="text1"/>
          <w:sz w:val="28"/>
          <w:szCs w:val="28"/>
        </w:rPr>
        <w:t>【条文说明】截流倍数的设置直接影响环境效益和经济效益，其取值应综合考虑受纳水体的水质要求、受纳水体的自净能力、城市类型、人口密度和降雨量等因素。当合流制排水系统具有排水能力较大的合流管渠时，可采用较小的截流倍数，或设置一定容量的调蓄设施。根据国外资料，英国截流倍数为5，德国为4，美国一般为1.5~5。目前我国的截流倍数与发达国家相比偏低，有的城市截流倍数仅为0.5。</w:t>
      </w:r>
    </w:p>
    <w:p>
      <w:pPr>
        <w:pStyle w:val="3"/>
        <w:numPr>
          <w:ilvl w:val="0"/>
          <w:numId w:val="10"/>
        </w:numPr>
        <w:wordWrap w:val="0"/>
        <w:spacing w:before="312" w:beforeLines="100" w:after="312" w:afterLines="100" w:line="415" w:lineRule="auto"/>
        <w:ind w:left="560" w:hanging="560" w:hangingChars="200"/>
        <w:jc w:val="center"/>
        <w:rPr>
          <w:rFonts w:ascii="Times New Roman" w:hAnsi="Times New Roman" w:eastAsiaTheme="minorEastAsia"/>
          <w:b w:val="0"/>
          <w:color w:val="000000" w:themeColor="text1"/>
          <w:sz w:val="28"/>
          <w:szCs w:val="28"/>
        </w:rPr>
      </w:pPr>
      <w:bookmarkStart w:id="17" w:name="_Toc515281032"/>
      <w:r>
        <w:rPr>
          <w:rFonts w:ascii="Times New Roman" w:hAnsi="Times New Roman" w:eastAsiaTheme="minorEastAsia"/>
          <w:b w:val="0"/>
          <w:color w:val="000000" w:themeColor="text1"/>
          <w:sz w:val="28"/>
          <w:szCs w:val="28"/>
        </w:rPr>
        <w:t>设计水质</w:t>
      </w:r>
      <w:bookmarkEnd w:id="17"/>
    </w:p>
    <w:p>
      <w:pPr>
        <w:pStyle w:val="30"/>
        <w:numPr>
          <w:ilvl w:val="0"/>
          <w:numId w:val="1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城镇污水的设计水质应根据调查资料确定，或参照邻近城镇、类似工业区和居住区的水质确定。无调查资料时，可按下列标准采用：</w:t>
      </w:r>
    </w:p>
    <w:p>
      <w:pPr>
        <w:wordWrap w:val="0"/>
        <w:spacing w:line="46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生活污水的五日生化需氧量可按每人每天40g～60g计算；</w:t>
      </w:r>
    </w:p>
    <w:p>
      <w:pPr>
        <w:wordWrap w:val="0"/>
        <w:spacing w:line="46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生活污水的悬浮固体量可按每人每天40g～70g计算；</w:t>
      </w:r>
    </w:p>
    <w:p>
      <w:pPr>
        <w:wordWrap w:val="0"/>
        <w:spacing w:line="46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生活污水的总氮量可按每人每天</w:t>
      </w:r>
      <w:r>
        <w:rPr>
          <w:rFonts w:hint="eastAsia" w:eastAsiaTheme="minorEastAsia"/>
          <w:color w:val="000000" w:themeColor="text1"/>
          <w:sz w:val="28"/>
          <w:szCs w:val="28"/>
        </w:rPr>
        <w:t>8</w:t>
      </w:r>
      <w:r>
        <w:rPr>
          <w:rFonts w:eastAsiaTheme="minorEastAsia"/>
          <w:color w:val="000000" w:themeColor="text1"/>
          <w:sz w:val="28"/>
          <w:szCs w:val="28"/>
        </w:rPr>
        <w:t>g～12g计算；</w:t>
      </w:r>
    </w:p>
    <w:p>
      <w:pPr>
        <w:wordWrap w:val="0"/>
        <w:spacing w:line="46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生活污水的总磷量可按每人每天0.</w:t>
      </w:r>
      <w:r>
        <w:rPr>
          <w:rFonts w:hint="eastAsia" w:eastAsiaTheme="minorEastAsia"/>
          <w:color w:val="000000" w:themeColor="text1"/>
          <w:sz w:val="28"/>
          <w:szCs w:val="28"/>
        </w:rPr>
        <w:t>9</w:t>
      </w:r>
      <w:r>
        <w:rPr>
          <w:rFonts w:eastAsiaTheme="minorEastAsia"/>
          <w:color w:val="000000" w:themeColor="text1"/>
          <w:sz w:val="28"/>
          <w:szCs w:val="28"/>
        </w:rPr>
        <w:t>g～2.5g计算；</w:t>
      </w:r>
    </w:p>
    <w:p>
      <w:pPr>
        <w:wordWrap w:val="0"/>
        <w:spacing w:line="460" w:lineRule="atLeast"/>
        <w:ind w:firstLine="562" w:firstLineChars="200"/>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 xml:space="preserve"> 工业废水的设计水质，可参照类似工业的资料采用，其五日生化需氧量、悬浮固体量、总氮量和总磷量，可折合人口当量计算。</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【条文说明】</w:t>
      </w:r>
      <w:r>
        <w:rPr>
          <w:rFonts w:eastAsia="宋体"/>
          <w:color w:val="000000" w:themeColor="text1"/>
          <w:sz w:val="28"/>
          <w:szCs w:val="28"/>
        </w:rPr>
        <w:t>一些国家的水质指标比较见表</w:t>
      </w:r>
      <w:r>
        <w:rPr>
          <w:rFonts w:eastAsiaTheme="minorEastAsia"/>
          <w:color w:val="000000" w:themeColor="text1"/>
          <w:sz w:val="28"/>
          <w:szCs w:val="28"/>
        </w:rPr>
        <w:t>8</w:t>
      </w:r>
      <w:r>
        <w:rPr>
          <w:rFonts w:eastAsia="宋体"/>
          <w:color w:val="000000" w:themeColor="text1"/>
          <w:sz w:val="28"/>
          <w:szCs w:val="28"/>
        </w:rPr>
        <w:t>。对照其他国家的水质数据，本次修订将所有污染物当量的上</w:t>
      </w:r>
      <w:r>
        <w:rPr>
          <w:rFonts w:hint="eastAsia" w:eastAsia="宋体"/>
          <w:color w:val="000000" w:themeColor="text1"/>
          <w:sz w:val="28"/>
          <w:szCs w:val="28"/>
        </w:rPr>
        <w:t>下</w:t>
      </w:r>
      <w:r>
        <w:rPr>
          <w:rFonts w:eastAsia="宋体"/>
          <w:color w:val="000000" w:themeColor="text1"/>
          <w:sz w:val="28"/>
          <w:szCs w:val="28"/>
        </w:rPr>
        <w:t>限略作调整。</w:t>
      </w:r>
      <w:r>
        <w:rPr>
          <w:rFonts w:eastAsiaTheme="minorEastAsia"/>
          <w:color w:val="000000" w:themeColor="text1"/>
          <w:sz w:val="28"/>
          <w:szCs w:val="28"/>
        </w:rPr>
        <w:t>2017年春季住建部城建司对全国23个城市生活小区排放总管的出流水质组织了取样分析。由于取样位置在生活小区，污水流量变化大，人口数基于估算，由实测污水浓度测算的人均污染当量数据的离散性很大。但是本次调研污染当量的平均值±标准差的范围基本在本条文规定的范围中。</w:t>
      </w:r>
    </w:p>
    <w:p>
      <w:pPr>
        <w:spacing w:line="460" w:lineRule="atLeast"/>
        <w:jc w:val="center"/>
        <w:rPr>
          <w:b/>
          <w:color w:val="000000" w:themeColor="text1"/>
          <w:sz w:val="28"/>
          <w:szCs w:val="28"/>
        </w:rPr>
      </w:pPr>
      <w:r>
        <w:rPr>
          <w:rFonts w:eastAsia="宋体"/>
          <w:b/>
          <w:color w:val="000000" w:themeColor="text1"/>
          <w:sz w:val="28"/>
          <w:szCs w:val="28"/>
        </w:rPr>
        <w:t>表</w:t>
      </w:r>
      <w:r>
        <w:rPr>
          <w:rFonts w:eastAsiaTheme="minorEastAsia"/>
          <w:b/>
          <w:color w:val="000000" w:themeColor="text1"/>
          <w:sz w:val="28"/>
          <w:szCs w:val="28"/>
        </w:rPr>
        <w:t>8</w:t>
      </w:r>
      <w:r>
        <w:rPr>
          <w:rFonts w:eastAsia="宋体"/>
          <w:b/>
          <w:color w:val="000000" w:themeColor="text1"/>
          <w:sz w:val="28"/>
          <w:szCs w:val="28"/>
        </w:rPr>
        <w:t>一些国家的水质指标比较</w:t>
      </w:r>
      <w:r>
        <w:rPr>
          <w:b/>
          <w:color w:val="000000" w:themeColor="text1"/>
          <w:sz w:val="28"/>
          <w:szCs w:val="28"/>
        </w:rPr>
        <w:t>[g/</w:t>
      </w:r>
      <w:r>
        <w:rPr>
          <w:rFonts w:eastAsia="宋体"/>
          <w:b/>
          <w:color w:val="000000" w:themeColor="text1"/>
          <w:sz w:val="28"/>
          <w:szCs w:val="28"/>
        </w:rPr>
        <w:t>（人</w:t>
      </w:r>
      <w:r>
        <w:rPr>
          <w:rFonts w:eastAsiaTheme="minorEastAsia"/>
          <w:b/>
          <w:color w:val="000000" w:themeColor="text1"/>
          <w:sz w:val="28"/>
          <w:szCs w:val="28"/>
        </w:rPr>
        <w:t>·</w:t>
      </w:r>
      <w:r>
        <w:rPr>
          <w:b/>
          <w:color w:val="000000" w:themeColor="text1"/>
          <w:sz w:val="28"/>
          <w:szCs w:val="28"/>
        </w:rPr>
        <w:t>d</w:t>
      </w:r>
      <w:r>
        <w:rPr>
          <w:rFonts w:eastAsia="宋体"/>
          <w:b/>
          <w:color w:val="000000" w:themeColor="text1"/>
          <w:sz w:val="28"/>
          <w:szCs w:val="28"/>
        </w:rPr>
        <w:t>）</w:t>
      </w:r>
      <w:r>
        <w:rPr>
          <w:b/>
          <w:color w:val="000000" w:themeColor="text1"/>
          <w:sz w:val="28"/>
          <w:szCs w:val="28"/>
        </w:rPr>
        <w:t>]</w:t>
      </w:r>
    </w:p>
    <w:tbl>
      <w:tblPr>
        <w:tblStyle w:val="2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4" w:type="dxa"/>
            <w:vAlign w:val="center"/>
          </w:tcPr>
          <w:p>
            <w:pPr>
              <w:spacing w:line="360" w:lineRule="auto"/>
              <w:jc w:val="center"/>
              <w:rPr>
                <w:color w:val="000000" w:themeColor="text1"/>
                <w:sz w:val="28"/>
                <w:szCs w:val="28"/>
              </w:rPr>
            </w:pPr>
            <w:r>
              <w:rPr>
                <w:rFonts w:eastAsia="宋体"/>
                <w:color w:val="000000" w:themeColor="text1"/>
                <w:sz w:val="28"/>
                <w:szCs w:val="28"/>
              </w:rPr>
              <w:t>国家</w:t>
            </w:r>
          </w:p>
        </w:tc>
        <w:tc>
          <w:tcPr>
            <w:tcW w:w="1704" w:type="dxa"/>
            <w:vAlign w:val="center"/>
          </w:tcPr>
          <w:p>
            <w:pPr>
              <w:spacing w:line="360" w:lineRule="auto"/>
              <w:jc w:val="center"/>
              <w:rPr>
                <w:color w:val="000000" w:themeColor="text1"/>
                <w:sz w:val="28"/>
                <w:szCs w:val="28"/>
              </w:rPr>
            </w:pPr>
            <w:r>
              <w:rPr>
                <w:rFonts w:eastAsia="宋体"/>
                <w:color w:val="000000" w:themeColor="text1"/>
                <w:sz w:val="28"/>
                <w:szCs w:val="28"/>
              </w:rPr>
              <w:t>五日生化需氧量</w:t>
            </w:r>
            <w:r>
              <w:rPr>
                <w:color w:val="000000" w:themeColor="text1"/>
                <w:sz w:val="28"/>
                <w:szCs w:val="28"/>
              </w:rPr>
              <w:t>BOD</w:t>
            </w:r>
            <w:r>
              <w:rPr>
                <w:color w:val="000000" w:themeColor="text1"/>
                <w:sz w:val="28"/>
                <w:szCs w:val="28"/>
                <w:vertAlign w:val="subscript"/>
              </w:rPr>
              <w:t>5</w:t>
            </w:r>
          </w:p>
        </w:tc>
        <w:tc>
          <w:tcPr>
            <w:tcW w:w="1704" w:type="dxa"/>
            <w:vAlign w:val="center"/>
          </w:tcPr>
          <w:p>
            <w:pPr>
              <w:spacing w:line="360" w:lineRule="auto"/>
              <w:jc w:val="center"/>
              <w:rPr>
                <w:color w:val="000000" w:themeColor="text1"/>
                <w:sz w:val="28"/>
                <w:szCs w:val="28"/>
              </w:rPr>
            </w:pPr>
            <w:r>
              <w:rPr>
                <w:rFonts w:eastAsia="宋体"/>
                <w:color w:val="000000" w:themeColor="text1"/>
                <w:sz w:val="28"/>
                <w:szCs w:val="28"/>
              </w:rPr>
              <w:t>悬浮固体</w:t>
            </w:r>
          </w:p>
          <w:p>
            <w:pPr>
              <w:spacing w:line="360" w:lineRule="auto"/>
              <w:jc w:val="center"/>
              <w:rPr>
                <w:color w:val="000000" w:themeColor="text1"/>
                <w:sz w:val="28"/>
                <w:szCs w:val="28"/>
              </w:rPr>
            </w:pPr>
            <w:r>
              <w:rPr>
                <w:color w:val="000000" w:themeColor="text1"/>
                <w:sz w:val="28"/>
                <w:szCs w:val="28"/>
              </w:rPr>
              <w:t>SS</w:t>
            </w:r>
          </w:p>
        </w:tc>
        <w:tc>
          <w:tcPr>
            <w:tcW w:w="1705" w:type="dxa"/>
            <w:vAlign w:val="center"/>
          </w:tcPr>
          <w:p>
            <w:pPr>
              <w:spacing w:line="360" w:lineRule="auto"/>
              <w:jc w:val="center"/>
              <w:rPr>
                <w:color w:val="000000" w:themeColor="text1"/>
                <w:sz w:val="28"/>
                <w:szCs w:val="28"/>
              </w:rPr>
            </w:pPr>
            <w:r>
              <w:rPr>
                <w:rFonts w:eastAsia="宋体"/>
                <w:color w:val="000000" w:themeColor="text1"/>
                <w:sz w:val="28"/>
                <w:szCs w:val="28"/>
              </w:rPr>
              <w:t>总氮</w:t>
            </w:r>
          </w:p>
          <w:p>
            <w:pPr>
              <w:spacing w:line="360" w:lineRule="auto"/>
              <w:jc w:val="center"/>
              <w:rPr>
                <w:color w:val="000000" w:themeColor="text1"/>
                <w:sz w:val="28"/>
                <w:szCs w:val="28"/>
              </w:rPr>
            </w:pPr>
            <w:r>
              <w:rPr>
                <w:color w:val="000000" w:themeColor="text1"/>
                <w:sz w:val="28"/>
                <w:szCs w:val="28"/>
              </w:rPr>
              <w:t>TN</w:t>
            </w:r>
          </w:p>
        </w:tc>
        <w:tc>
          <w:tcPr>
            <w:tcW w:w="1705" w:type="dxa"/>
            <w:vAlign w:val="center"/>
          </w:tcPr>
          <w:p>
            <w:pPr>
              <w:spacing w:line="360" w:lineRule="auto"/>
              <w:jc w:val="center"/>
              <w:rPr>
                <w:color w:val="000000" w:themeColor="text1"/>
                <w:sz w:val="28"/>
                <w:szCs w:val="28"/>
              </w:rPr>
            </w:pPr>
            <w:r>
              <w:rPr>
                <w:rFonts w:eastAsia="宋体"/>
                <w:color w:val="000000" w:themeColor="text1"/>
                <w:sz w:val="28"/>
                <w:szCs w:val="28"/>
              </w:rPr>
              <w:t>总磷</w:t>
            </w:r>
          </w:p>
          <w:p>
            <w:pPr>
              <w:spacing w:line="360" w:lineRule="auto"/>
              <w:jc w:val="center"/>
              <w:rPr>
                <w:color w:val="000000" w:themeColor="text1"/>
                <w:sz w:val="28"/>
                <w:szCs w:val="28"/>
              </w:rPr>
            </w:pPr>
            <w:r>
              <w:rPr>
                <w:color w:val="000000" w:themeColor="text1"/>
                <w:sz w:val="28"/>
                <w:szCs w:val="28"/>
              </w:rPr>
              <w:t>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4" w:type="dxa"/>
            <w:vAlign w:val="center"/>
          </w:tcPr>
          <w:p>
            <w:pPr>
              <w:spacing w:line="360" w:lineRule="auto"/>
              <w:jc w:val="center"/>
              <w:rPr>
                <w:color w:val="000000" w:themeColor="text1"/>
                <w:sz w:val="28"/>
                <w:szCs w:val="28"/>
              </w:rPr>
            </w:pPr>
            <w:r>
              <w:rPr>
                <w:rFonts w:eastAsia="宋体"/>
                <w:color w:val="000000" w:themeColor="text1"/>
                <w:sz w:val="28"/>
                <w:szCs w:val="28"/>
              </w:rPr>
              <w:t xml:space="preserve">日本* </w:t>
            </w:r>
          </w:p>
        </w:tc>
        <w:tc>
          <w:tcPr>
            <w:tcW w:w="1704" w:type="dxa"/>
            <w:vAlign w:val="center"/>
          </w:tcPr>
          <w:p>
            <w:pPr>
              <w:spacing w:line="360" w:lineRule="auto"/>
              <w:jc w:val="center"/>
              <w:rPr>
                <w:color w:val="000000" w:themeColor="text1"/>
                <w:sz w:val="28"/>
                <w:szCs w:val="28"/>
              </w:rPr>
            </w:pPr>
            <w:r>
              <w:rPr>
                <w:rFonts w:eastAsiaTheme="minorEastAsia"/>
                <w:color w:val="000000" w:themeColor="text1"/>
                <w:sz w:val="28"/>
                <w:szCs w:val="28"/>
              </w:rPr>
              <w:t>58</w:t>
            </w:r>
            <w:r>
              <w:rPr>
                <w:color w:val="000000" w:themeColor="text1"/>
                <w:sz w:val="28"/>
                <w:szCs w:val="28"/>
              </w:rPr>
              <w:t>±</w:t>
            </w:r>
            <w:r>
              <w:rPr>
                <w:rFonts w:eastAsiaTheme="minorEastAsia"/>
                <w:color w:val="000000" w:themeColor="text1"/>
                <w:sz w:val="28"/>
                <w:szCs w:val="28"/>
              </w:rPr>
              <w:t>17</w:t>
            </w:r>
          </w:p>
        </w:tc>
        <w:tc>
          <w:tcPr>
            <w:tcW w:w="1704" w:type="dxa"/>
            <w:vAlign w:val="center"/>
          </w:tcPr>
          <w:p>
            <w:pPr>
              <w:spacing w:line="360" w:lineRule="auto"/>
              <w:jc w:val="center"/>
              <w:rPr>
                <w:color w:val="000000" w:themeColor="text1"/>
                <w:sz w:val="28"/>
                <w:szCs w:val="28"/>
              </w:rPr>
            </w:pPr>
            <w:r>
              <w:rPr>
                <w:rFonts w:eastAsiaTheme="minorEastAsia"/>
                <w:color w:val="000000" w:themeColor="text1"/>
                <w:sz w:val="28"/>
                <w:szCs w:val="28"/>
              </w:rPr>
              <w:t>45</w:t>
            </w:r>
            <w:r>
              <w:rPr>
                <w:color w:val="000000" w:themeColor="text1"/>
                <w:sz w:val="28"/>
                <w:szCs w:val="28"/>
              </w:rPr>
              <w:t>±</w:t>
            </w:r>
            <w:r>
              <w:rPr>
                <w:rFonts w:eastAsiaTheme="minorEastAsia"/>
                <w:color w:val="000000" w:themeColor="text1"/>
                <w:sz w:val="28"/>
                <w:szCs w:val="28"/>
              </w:rPr>
              <w:t>16</w:t>
            </w:r>
          </w:p>
        </w:tc>
        <w:tc>
          <w:tcPr>
            <w:tcW w:w="1705" w:type="dxa"/>
            <w:vAlign w:val="center"/>
          </w:tcPr>
          <w:p>
            <w:pPr>
              <w:spacing w:line="360" w:lineRule="auto"/>
              <w:jc w:val="center"/>
              <w:rPr>
                <w:color w:val="000000" w:themeColor="text1"/>
                <w:sz w:val="28"/>
                <w:szCs w:val="28"/>
              </w:rPr>
            </w:pPr>
            <w:r>
              <w:rPr>
                <w:rFonts w:eastAsiaTheme="minorEastAsia"/>
                <w:color w:val="000000" w:themeColor="text1"/>
                <w:sz w:val="28"/>
                <w:szCs w:val="28"/>
              </w:rPr>
              <w:t>11</w:t>
            </w:r>
            <w:r>
              <w:rPr>
                <w:color w:val="000000" w:themeColor="text1"/>
                <w:sz w:val="28"/>
                <w:szCs w:val="28"/>
              </w:rPr>
              <w:t>±</w:t>
            </w:r>
            <w:r>
              <w:rPr>
                <w:rFonts w:eastAsiaTheme="minorEastAsia"/>
                <w:color w:val="000000" w:themeColor="text1"/>
                <w:sz w:val="28"/>
                <w:szCs w:val="28"/>
              </w:rPr>
              <w:t>3</w:t>
            </w:r>
          </w:p>
        </w:tc>
        <w:tc>
          <w:tcPr>
            <w:tcW w:w="1705" w:type="dxa"/>
            <w:vAlign w:val="center"/>
          </w:tcPr>
          <w:p>
            <w:pPr>
              <w:spacing w:line="360" w:lineRule="auto"/>
              <w:jc w:val="center"/>
              <w:rPr>
                <w:color w:val="000000" w:themeColor="text1"/>
                <w:sz w:val="28"/>
                <w:szCs w:val="28"/>
              </w:rPr>
            </w:pPr>
            <w:r>
              <w:rPr>
                <w:rFonts w:eastAsiaTheme="minorEastAsia"/>
                <w:color w:val="000000" w:themeColor="text1"/>
                <w:sz w:val="28"/>
                <w:szCs w:val="28"/>
              </w:rPr>
              <w:t>1.3</w:t>
            </w:r>
            <w:r>
              <w:rPr>
                <w:color w:val="000000" w:themeColor="text1"/>
                <w:sz w:val="28"/>
                <w:szCs w:val="28"/>
              </w:rPr>
              <w:t>±</w:t>
            </w:r>
            <w:r>
              <w:rPr>
                <w:rFonts w:eastAsiaTheme="minorEastAsia"/>
                <w:color w:val="000000" w:themeColor="text1"/>
                <w:sz w:val="28"/>
                <w:szCs w:val="28"/>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4" w:type="dxa"/>
            <w:vAlign w:val="center"/>
          </w:tcPr>
          <w:p>
            <w:pPr>
              <w:spacing w:line="360" w:lineRule="auto"/>
              <w:jc w:val="center"/>
              <w:rPr>
                <w:color w:val="000000" w:themeColor="text1"/>
                <w:sz w:val="28"/>
                <w:szCs w:val="28"/>
              </w:rPr>
            </w:pPr>
            <w:r>
              <w:rPr>
                <w:rFonts w:eastAsia="宋体"/>
                <w:color w:val="000000" w:themeColor="text1"/>
                <w:sz w:val="28"/>
                <w:szCs w:val="28"/>
              </w:rPr>
              <w:t>美国</w:t>
            </w:r>
          </w:p>
        </w:tc>
        <w:tc>
          <w:tcPr>
            <w:tcW w:w="1704" w:type="dxa"/>
            <w:vAlign w:val="center"/>
          </w:tcPr>
          <w:p>
            <w:pPr>
              <w:spacing w:line="360" w:lineRule="auto"/>
              <w:jc w:val="center"/>
              <w:rPr>
                <w:color w:val="000000" w:themeColor="text1"/>
                <w:sz w:val="28"/>
                <w:szCs w:val="28"/>
              </w:rPr>
            </w:pPr>
            <w:r>
              <w:rPr>
                <w:color w:val="000000" w:themeColor="text1"/>
                <w:sz w:val="28"/>
                <w:szCs w:val="28"/>
              </w:rPr>
              <w:t>50</w:t>
            </w:r>
            <w:r>
              <w:rPr>
                <w:rFonts w:eastAsia="宋体"/>
                <w:color w:val="000000" w:themeColor="text1"/>
                <w:sz w:val="28"/>
                <w:szCs w:val="28"/>
              </w:rPr>
              <w:t>～</w:t>
            </w:r>
            <w:r>
              <w:rPr>
                <w:color w:val="000000" w:themeColor="text1"/>
                <w:sz w:val="28"/>
                <w:szCs w:val="28"/>
              </w:rPr>
              <w:t>120</w:t>
            </w:r>
          </w:p>
        </w:tc>
        <w:tc>
          <w:tcPr>
            <w:tcW w:w="1704" w:type="dxa"/>
            <w:vAlign w:val="center"/>
          </w:tcPr>
          <w:p>
            <w:pPr>
              <w:spacing w:line="360" w:lineRule="auto"/>
              <w:jc w:val="center"/>
              <w:rPr>
                <w:color w:val="000000" w:themeColor="text1"/>
                <w:sz w:val="28"/>
                <w:szCs w:val="28"/>
              </w:rPr>
            </w:pPr>
            <w:r>
              <w:rPr>
                <w:color w:val="000000" w:themeColor="text1"/>
                <w:sz w:val="28"/>
                <w:szCs w:val="28"/>
              </w:rPr>
              <w:t>60</w:t>
            </w:r>
            <w:r>
              <w:rPr>
                <w:rFonts w:eastAsia="宋体"/>
                <w:color w:val="000000" w:themeColor="text1"/>
                <w:sz w:val="28"/>
                <w:szCs w:val="28"/>
              </w:rPr>
              <w:t>～</w:t>
            </w:r>
            <w:r>
              <w:rPr>
                <w:color w:val="000000" w:themeColor="text1"/>
                <w:sz w:val="28"/>
                <w:szCs w:val="28"/>
              </w:rPr>
              <w:t>150</w:t>
            </w:r>
          </w:p>
        </w:tc>
        <w:tc>
          <w:tcPr>
            <w:tcW w:w="1705" w:type="dxa"/>
            <w:vAlign w:val="center"/>
          </w:tcPr>
          <w:p>
            <w:pPr>
              <w:spacing w:line="360" w:lineRule="auto"/>
              <w:jc w:val="center"/>
              <w:rPr>
                <w:color w:val="000000" w:themeColor="text1"/>
                <w:sz w:val="28"/>
                <w:szCs w:val="28"/>
              </w:rPr>
            </w:pPr>
            <w:r>
              <w:rPr>
                <w:color w:val="000000" w:themeColor="text1"/>
                <w:sz w:val="28"/>
                <w:szCs w:val="28"/>
              </w:rPr>
              <w:t>9</w:t>
            </w:r>
            <w:r>
              <w:rPr>
                <w:rFonts w:eastAsia="宋体"/>
                <w:color w:val="000000" w:themeColor="text1"/>
                <w:sz w:val="28"/>
                <w:szCs w:val="28"/>
              </w:rPr>
              <w:t>～</w:t>
            </w:r>
            <w:r>
              <w:rPr>
                <w:color w:val="000000" w:themeColor="text1"/>
                <w:sz w:val="28"/>
                <w:szCs w:val="28"/>
              </w:rPr>
              <w:t>22</w:t>
            </w:r>
          </w:p>
        </w:tc>
        <w:tc>
          <w:tcPr>
            <w:tcW w:w="1705" w:type="dxa"/>
            <w:vAlign w:val="center"/>
          </w:tcPr>
          <w:p>
            <w:pPr>
              <w:spacing w:line="360" w:lineRule="auto"/>
              <w:jc w:val="center"/>
              <w:rPr>
                <w:color w:val="000000" w:themeColor="text1"/>
                <w:sz w:val="28"/>
                <w:szCs w:val="28"/>
              </w:rPr>
            </w:pPr>
            <w:r>
              <w:rPr>
                <w:color w:val="000000" w:themeColor="text1"/>
                <w:sz w:val="28"/>
                <w:szCs w:val="28"/>
              </w:rPr>
              <w:t>2.7</w:t>
            </w:r>
            <w:r>
              <w:rPr>
                <w:rFonts w:eastAsia="宋体"/>
                <w:color w:val="000000" w:themeColor="text1"/>
                <w:sz w:val="28"/>
                <w:szCs w:val="28"/>
              </w:rPr>
              <w:t>～</w:t>
            </w:r>
            <w:r>
              <w:rPr>
                <w:color w:val="000000" w:themeColor="text1"/>
                <w:sz w:val="28"/>
                <w:szCs w:val="28"/>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1704" w:type="dxa"/>
            <w:vAlign w:val="center"/>
          </w:tcPr>
          <w:p>
            <w:pPr>
              <w:spacing w:line="360" w:lineRule="auto"/>
              <w:jc w:val="center"/>
              <w:rPr>
                <w:color w:val="000000" w:themeColor="text1"/>
                <w:sz w:val="28"/>
                <w:szCs w:val="28"/>
              </w:rPr>
            </w:pPr>
            <w:r>
              <w:rPr>
                <w:rFonts w:eastAsia="宋体"/>
                <w:color w:val="000000" w:themeColor="text1"/>
                <w:sz w:val="28"/>
                <w:szCs w:val="28"/>
              </w:rPr>
              <w:t>德国</w:t>
            </w:r>
          </w:p>
        </w:tc>
        <w:tc>
          <w:tcPr>
            <w:tcW w:w="1704" w:type="dxa"/>
            <w:vAlign w:val="center"/>
          </w:tcPr>
          <w:p>
            <w:pPr>
              <w:spacing w:line="360" w:lineRule="auto"/>
              <w:jc w:val="center"/>
              <w:rPr>
                <w:color w:val="000000" w:themeColor="text1"/>
                <w:sz w:val="28"/>
                <w:szCs w:val="28"/>
              </w:rPr>
            </w:pPr>
            <w:r>
              <w:rPr>
                <w:color w:val="000000" w:themeColor="text1"/>
                <w:sz w:val="28"/>
                <w:szCs w:val="28"/>
              </w:rPr>
              <w:t>55</w:t>
            </w:r>
            <w:r>
              <w:rPr>
                <w:rFonts w:eastAsia="宋体"/>
                <w:color w:val="000000" w:themeColor="text1"/>
                <w:sz w:val="28"/>
                <w:szCs w:val="28"/>
              </w:rPr>
              <w:t>～</w:t>
            </w:r>
            <w:r>
              <w:rPr>
                <w:color w:val="000000" w:themeColor="text1"/>
                <w:sz w:val="28"/>
                <w:szCs w:val="28"/>
              </w:rPr>
              <w:t>68</w:t>
            </w:r>
          </w:p>
        </w:tc>
        <w:tc>
          <w:tcPr>
            <w:tcW w:w="1704" w:type="dxa"/>
            <w:vAlign w:val="center"/>
          </w:tcPr>
          <w:p>
            <w:pPr>
              <w:spacing w:line="360" w:lineRule="auto"/>
              <w:jc w:val="center"/>
              <w:rPr>
                <w:color w:val="000000" w:themeColor="text1"/>
                <w:sz w:val="28"/>
                <w:szCs w:val="28"/>
              </w:rPr>
            </w:pPr>
            <w:r>
              <w:rPr>
                <w:color w:val="000000" w:themeColor="text1"/>
                <w:sz w:val="28"/>
                <w:szCs w:val="28"/>
              </w:rPr>
              <w:t>82</w:t>
            </w:r>
            <w:r>
              <w:rPr>
                <w:rFonts w:eastAsia="宋体"/>
                <w:color w:val="000000" w:themeColor="text1"/>
                <w:sz w:val="28"/>
                <w:szCs w:val="28"/>
              </w:rPr>
              <w:t>～</w:t>
            </w:r>
            <w:r>
              <w:rPr>
                <w:color w:val="000000" w:themeColor="text1"/>
                <w:sz w:val="28"/>
                <w:szCs w:val="28"/>
              </w:rPr>
              <w:t>96</w:t>
            </w:r>
          </w:p>
        </w:tc>
        <w:tc>
          <w:tcPr>
            <w:tcW w:w="1705" w:type="dxa"/>
            <w:vAlign w:val="center"/>
          </w:tcPr>
          <w:p>
            <w:pPr>
              <w:spacing w:line="360" w:lineRule="auto"/>
              <w:jc w:val="center"/>
              <w:rPr>
                <w:color w:val="000000" w:themeColor="text1"/>
                <w:sz w:val="28"/>
                <w:szCs w:val="28"/>
              </w:rPr>
            </w:pPr>
            <w:r>
              <w:rPr>
                <w:color w:val="000000" w:themeColor="text1"/>
                <w:sz w:val="28"/>
                <w:szCs w:val="28"/>
              </w:rPr>
              <w:t>11</w:t>
            </w:r>
            <w:r>
              <w:rPr>
                <w:rFonts w:eastAsia="宋体"/>
                <w:color w:val="000000" w:themeColor="text1"/>
                <w:sz w:val="28"/>
                <w:szCs w:val="28"/>
              </w:rPr>
              <w:t>～</w:t>
            </w:r>
            <w:r>
              <w:rPr>
                <w:color w:val="000000" w:themeColor="text1"/>
                <w:sz w:val="28"/>
                <w:szCs w:val="28"/>
              </w:rPr>
              <w:t>16</w:t>
            </w:r>
          </w:p>
        </w:tc>
        <w:tc>
          <w:tcPr>
            <w:tcW w:w="1705" w:type="dxa"/>
            <w:vAlign w:val="center"/>
          </w:tcPr>
          <w:p>
            <w:pPr>
              <w:spacing w:line="360" w:lineRule="auto"/>
              <w:jc w:val="center"/>
              <w:rPr>
                <w:color w:val="000000" w:themeColor="text1"/>
                <w:sz w:val="28"/>
                <w:szCs w:val="28"/>
              </w:rPr>
            </w:pPr>
            <w:r>
              <w:rPr>
                <w:color w:val="000000" w:themeColor="text1"/>
                <w:sz w:val="28"/>
                <w:szCs w:val="28"/>
              </w:rPr>
              <w:t>1.2</w:t>
            </w:r>
            <w:r>
              <w:rPr>
                <w:rFonts w:eastAsia="宋体"/>
                <w:color w:val="000000" w:themeColor="text1"/>
                <w:sz w:val="28"/>
                <w:szCs w:val="28"/>
              </w:rPr>
              <w:t>～</w:t>
            </w:r>
            <w:r>
              <w:rPr>
                <w:color w:val="000000" w:themeColor="text1"/>
                <w:sz w:val="28"/>
                <w:szCs w:val="28"/>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4" w:type="dxa"/>
            <w:vAlign w:val="center"/>
          </w:tcPr>
          <w:p>
            <w:pPr>
              <w:spacing w:line="360" w:lineRule="auto"/>
              <w:jc w:val="center"/>
              <w:rPr>
                <w:rFonts w:eastAsia="宋体"/>
                <w:color w:val="000000" w:themeColor="text1"/>
                <w:sz w:val="28"/>
                <w:szCs w:val="28"/>
              </w:rPr>
            </w:pPr>
            <w:r>
              <w:rPr>
                <w:rFonts w:eastAsia="宋体"/>
                <w:color w:val="000000" w:themeColor="text1"/>
                <w:sz w:val="28"/>
                <w:szCs w:val="28"/>
              </w:rPr>
              <w:t>英国南方水务</w:t>
            </w:r>
          </w:p>
        </w:tc>
        <w:tc>
          <w:tcPr>
            <w:tcW w:w="1704" w:type="dxa"/>
            <w:vAlign w:val="center"/>
          </w:tcPr>
          <w:p>
            <w:pPr>
              <w:spacing w:line="360" w:lineRule="auto"/>
              <w:jc w:val="center"/>
              <w:rPr>
                <w:color w:val="000000" w:themeColor="text1"/>
                <w:sz w:val="28"/>
                <w:szCs w:val="28"/>
              </w:rPr>
            </w:pPr>
            <w:r>
              <w:rPr>
                <w:rFonts w:eastAsiaTheme="minorEastAsia"/>
                <w:color w:val="000000" w:themeColor="text1"/>
                <w:sz w:val="28"/>
                <w:szCs w:val="28"/>
              </w:rPr>
              <w:t>60</w:t>
            </w:r>
          </w:p>
        </w:tc>
        <w:tc>
          <w:tcPr>
            <w:tcW w:w="1704" w:type="dxa"/>
            <w:vAlign w:val="center"/>
          </w:tcPr>
          <w:p>
            <w:pPr>
              <w:spacing w:line="360" w:lineRule="auto"/>
              <w:jc w:val="center"/>
              <w:rPr>
                <w:color w:val="000000" w:themeColor="text1"/>
                <w:sz w:val="28"/>
                <w:szCs w:val="28"/>
              </w:rPr>
            </w:pPr>
            <w:r>
              <w:rPr>
                <w:rFonts w:eastAsiaTheme="minorEastAsia"/>
                <w:color w:val="000000" w:themeColor="text1"/>
                <w:sz w:val="28"/>
                <w:szCs w:val="28"/>
              </w:rPr>
              <w:t>80</w:t>
            </w:r>
          </w:p>
        </w:tc>
        <w:tc>
          <w:tcPr>
            <w:tcW w:w="1705" w:type="dxa"/>
            <w:vAlign w:val="center"/>
          </w:tcPr>
          <w:p>
            <w:pPr>
              <w:spacing w:line="360" w:lineRule="auto"/>
              <w:jc w:val="center"/>
              <w:rPr>
                <w:color w:val="000000" w:themeColor="text1"/>
                <w:sz w:val="28"/>
                <w:szCs w:val="28"/>
              </w:rPr>
            </w:pPr>
            <w:r>
              <w:rPr>
                <w:rFonts w:eastAsiaTheme="minorEastAsia"/>
                <w:color w:val="000000" w:themeColor="text1"/>
                <w:sz w:val="28"/>
                <w:szCs w:val="28"/>
              </w:rPr>
              <w:t>11**</w:t>
            </w:r>
          </w:p>
        </w:tc>
        <w:tc>
          <w:tcPr>
            <w:tcW w:w="1705" w:type="dxa"/>
            <w:vAlign w:val="center"/>
          </w:tcPr>
          <w:p>
            <w:pPr>
              <w:spacing w:line="360" w:lineRule="auto"/>
              <w:jc w:val="center"/>
              <w:rPr>
                <w:color w:val="000000" w:themeColor="text1"/>
                <w:sz w:val="28"/>
                <w:szCs w:val="28"/>
              </w:rPr>
            </w:pPr>
            <w:r>
              <w:rPr>
                <w:rFonts w:eastAsiaTheme="minorEastAsia"/>
                <w:color w:val="000000" w:themeColor="text1"/>
                <w:sz w:val="28"/>
                <w:szCs w:val="2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4" w:type="dxa"/>
            <w:vAlign w:val="center"/>
          </w:tcPr>
          <w:p>
            <w:pPr>
              <w:spacing w:line="360" w:lineRule="auto"/>
              <w:jc w:val="center"/>
              <w:rPr>
                <w:color w:val="000000" w:themeColor="text1"/>
                <w:sz w:val="28"/>
                <w:szCs w:val="28"/>
              </w:rPr>
            </w:pPr>
            <w:r>
              <w:rPr>
                <w:rFonts w:eastAsia="宋体"/>
                <w:color w:val="000000" w:themeColor="text1"/>
                <w:sz w:val="28"/>
                <w:szCs w:val="28"/>
              </w:rPr>
              <w:t>本标准</w:t>
            </w:r>
          </w:p>
        </w:tc>
        <w:tc>
          <w:tcPr>
            <w:tcW w:w="1704" w:type="dxa"/>
            <w:vAlign w:val="center"/>
          </w:tcPr>
          <w:p>
            <w:pPr>
              <w:spacing w:line="360" w:lineRule="auto"/>
              <w:jc w:val="center"/>
              <w:rPr>
                <w:color w:val="000000" w:themeColor="text1"/>
                <w:sz w:val="28"/>
                <w:szCs w:val="28"/>
              </w:rPr>
            </w:pPr>
            <w:r>
              <w:rPr>
                <w:rFonts w:hint="eastAsia" w:eastAsiaTheme="minorEastAsia"/>
                <w:color w:val="000000" w:themeColor="text1"/>
                <w:sz w:val="28"/>
                <w:szCs w:val="28"/>
              </w:rPr>
              <w:t>40</w:t>
            </w:r>
            <w:r>
              <w:rPr>
                <w:rFonts w:eastAsia="宋体"/>
                <w:color w:val="000000" w:themeColor="text1"/>
                <w:sz w:val="28"/>
                <w:szCs w:val="28"/>
              </w:rPr>
              <w:t>～</w:t>
            </w:r>
            <w:r>
              <w:rPr>
                <w:rFonts w:eastAsiaTheme="minorEastAsia"/>
                <w:color w:val="000000" w:themeColor="text1"/>
                <w:sz w:val="28"/>
                <w:szCs w:val="28"/>
              </w:rPr>
              <w:t>60</w:t>
            </w:r>
          </w:p>
        </w:tc>
        <w:tc>
          <w:tcPr>
            <w:tcW w:w="1704" w:type="dxa"/>
            <w:vAlign w:val="center"/>
          </w:tcPr>
          <w:p>
            <w:pPr>
              <w:spacing w:line="360" w:lineRule="auto"/>
              <w:jc w:val="center"/>
              <w:rPr>
                <w:color w:val="000000" w:themeColor="text1"/>
                <w:sz w:val="28"/>
                <w:szCs w:val="28"/>
              </w:rPr>
            </w:pPr>
            <w:r>
              <w:rPr>
                <w:color w:val="000000" w:themeColor="text1"/>
                <w:sz w:val="28"/>
                <w:szCs w:val="28"/>
              </w:rPr>
              <w:t>40</w:t>
            </w:r>
            <w:r>
              <w:rPr>
                <w:rFonts w:eastAsia="宋体"/>
                <w:color w:val="000000" w:themeColor="text1"/>
                <w:sz w:val="28"/>
                <w:szCs w:val="28"/>
              </w:rPr>
              <w:t>～</w:t>
            </w:r>
            <w:r>
              <w:rPr>
                <w:rFonts w:eastAsiaTheme="minorEastAsia"/>
                <w:color w:val="000000" w:themeColor="text1"/>
                <w:sz w:val="28"/>
                <w:szCs w:val="28"/>
              </w:rPr>
              <w:t>70</w:t>
            </w:r>
          </w:p>
        </w:tc>
        <w:tc>
          <w:tcPr>
            <w:tcW w:w="1705" w:type="dxa"/>
            <w:vAlign w:val="center"/>
          </w:tcPr>
          <w:p>
            <w:pPr>
              <w:spacing w:line="360" w:lineRule="auto"/>
              <w:jc w:val="center"/>
              <w:rPr>
                <w:color w:val="000000" w:themeColor="text1"/>
                <w:sz w:val="28"/>
                <w:szCs w:val="28"/>
              </w:rPr>
            </w:pPr>
            <w:r>
              <w:rPr>
                <w:rFonts w:hint="eastAsia" w:eastAsiaTheme="minorEastAsia"/>
                <w:color w:val="000000" w:themeColor="text1"/>
                <w:sz w:val="28"/>
                <w:szCs w:val="28"/>
              </w:rPr>
              <w:t>8</w:t>
            </w:r>
            <w:r>
              <w:rPr>
                <w:rFonts w:eastAsia="宋体"/>
                <w:color w:val="000000" w:themeColor="text1"/>
                <w:sz w:val="28"/>
                <w:szCs w:val="28"/>
              </w:rPr>
              <w:t>～</w:t>
            </w:r>
            <w:r>
              <w:rPr>
                <w:color w:val="000000" w:themeColor="text1"/>
                <w:sz w:val="28"/>
                <w:szCs w:val="28"/>
              </w:rPr>
              <w:t>1</w:t>
            </w:r>
            <w:r>
              <w:rPr>
                <w:rFonts w:eastAsiaTheme="minorEastAsia"/>
                <w:color w:val="000000" w:themeColor="text1"/>
                <w:sz w:val="28"/>
                <w:szCs w:val="28"/>
              </w:rPr>
              <w:t>2</w:t>
            </w:r>
          </w:p>
        </w:tc>
        <w:tc>
          <w:tcPr>
            <w:tcW w:w="1705" w:type="dxa"/>
            <w:vAlign w:val="center"/>
          </w:tcPr>
          <w:p>
            <w:pPr>
              <w:spacing w:line="360" w:lineRule="auto"/>
              <w:jc w:val="center"/>
              <w:rPr>
                <w:color w:val="000000" w:themeColor="text1"/>
                <w:sz w:val="28"/>
                <w:szCs w:val="28"/>
              </w:rPr>
            </w:pPr>
            <w:r>
              <w:rPr>
                <w:color w:val="000000" w:themeColor="text1"/>
                <w:sz w:val="28"/>
                <w:szCs w:val="28"/>
              </w:rPr>
              <w:t>0.</w:t>
            </w:r>
            <w:r>
              <w:rPr>
                <w:rFonts w:hint="eastAsia" w:eastAsiaTheme="minorEastAsia"/>
                <w:color w:val="000000" w:themeColor="text1"/>
                <w:sz w:val="28"/>
                <w:szCs w:val="28"/>
              </w:rPr>
              <w:t>9</w:t>
            </w:r>
            <w:r>
              <w:rPr>
                <w:rFonts w:eastAsia="宋体"/>
                <w:color w:val="000000" w:themeColor="text1"/>
                <w:sz w:val="28"/>
                <w:szCs w:val="28"/>
              </w:rPr>
              <w:t>～</w:t>
            </w:r>
            <w:r>
              <w:rPr>
                <w:rFonts w:eastAsiaTheme="minorEastAsia"/>
                <w:color w:val="000000" w:themeColor="text1"/>
                <w:sz w:val="28"/>
                <w:szCs w:val="28"/>
              </w:rPr>
              <w:t>2.5</w:t>
            </w:r>
          </w:p>
        </w:tc>
      </w:tr>
    </w:tbl>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注：*日本的数据是平均值±标准偏差。</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英国南方水务采用的不是总氮，而是总凯氏氮。</w:t>
      </w:r>
    </w:p>
    <w:p>
      <w:pPr>
        <w:pStyle w:val="30"/>
        <w:numPr>
          <w:ilvl w:val="0"/>
          <w:numId w:val="1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污水厂内生物处理构筑物进水的水温宜为10</w:t>
      </w:r>
      <w:r>
        <w:rPr>
          <w:rFonts w:ascii="Times New Roman" w:hAnsi="Times New Roman" w:eastAsia="宋体"/>
          <w:color w:val="000000" w:themeColor="text1"/>
          <w:sz w:val="28"/>
          <w:szCs w:val="28"/>
        </w:rPr>
        <w:t>°C</w:t>
      </w:r>
      <w:r>
        <w:rPr>
          <w:rFonts w:ascii="Times New Roman" w:hAnsi="Times New Roman" w:eastAsiaTheme="minorEastAsia"/>
          <w:color w:val="000000" w:themeColor="text1"/>
          <w:sz w:val="28"/>
          <w:szCs w:val="28"/>
        </w:rPr>
        <w:t>～37</w:t>
      </w:r>
      <w:r>
        <w:rPr>
          <w:rFonts w:ascii="Times New Roman" w:hAnsi="Times New Roman" w:eastAsia="宋体"/>
          <w:color w:val="000000" w:themeColor="text1"/>
          <w:sz w:val="28"/>
          <w:szCs w:val="28"/>
        </w:rPr>
        <w:t>°C</w:t>
      </w:r>
      <w:r>
        <w:rPr>
          <w:rFonts w:ascii="Times New Roman" w:hAnsi="Times New Roman" w:eastAsiaTheme="minorEastAsia"/>
          <w:color w:val="000000" w:themeColor="text1"/>
          <w:sz w:val="28"/>
          <w:szCs w:val="28"/>
        </w:rPr>
        <w:t>，pH值宜为6.5～9.5，营养组合比（五日生化需氧量：氮：磷）可为100:5:1。有工业废水进入时，应考虑有害物质的影响。</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【条文说明】根据国内污水厂的运行数据，提出如下规定：</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 xml:space="preserve">    （1）规定进水水温为10</w:t>
      </w:r>
      <w:r>
        <w:rPr>
          <w:rFonts w:eastAsia="宋体"/>
          <w:color w:val="000000" w:themeColor="text1"/>
          <w:sz w:val="28"/>
          <w:szCs w:val="28"/>
        </w:rPr>
        <w:t>°C</w:t>
      </w:r>
      <w:r>
        <w:rPr>
          <w:rFonts w:eastAsiaTheme="minorEastAsia"/>
          <w:color w:val="000000" w:themeColor="text1"/>
          <w:sz w:val="28"/>
          <w:szCs w:val="28"/>
        </w:rPr>
        <w:t>～37</w:t>
      </w:r>
      <w:r>
        <w:rPr>
          <w:rFonts w:eastAsia="宋体"/>
          <w:color w:val="000000" w:themeColor="text1"/>
          <w:sz w:val="28"/>
          <w:szCs w:val="28"/>
        </w:rPr>
        <w:t>°C</w:t>
      </w:r>
      <w:r>
        <w:rPr>
          <w:rFonts w:eastAsiaTheme="minorEastAsia"/>
          <w:color w:val="000000" w:themeColor="text1"/>
          <w:sz w:val="28"/>
          <w:szCs w:val="28"/>
        </w:rPr>
        <w:t>。微生物在生物处理过程中最适宜温度为20</w:t>
      </w:r>
      <w:r>
        <w:rPr>
          <w:rFonts w:eastAsia="宋体"/>
          <w:color w:val="000000" w:themeColor="text1"/>
          <w:sz w:val="28"/>
          <w:szCs w:val="28"/>
        </w:rPr>
        <w:t>°C</w:t>
      </w:r>
      <w:r>
        <w:rPr>
          <w:rFonts w:eastAsiaTheme="minorEastAsia"/>
          <w:color w:val="000000" w:themeColor="text1"/>
          <w:sz w:val="28"/>
          <w:szCs w:val="28"/>
        </w:rPr>
        <w:t>～35</w:t>
      </w:r>
      <w:r>
        <w:rPr>
          <w:rFonts w:eastAsia="宋体"/>
          <w:color w:val="000000" w:themeColor="text1"/>
          <w:sz w:val="28"/>
          <w:szCs w:val="28"/>
        </w:rPr>
        <w:t>°C</w:t>
      </w:r>
      <w:r>
        <w:rPr>
          <w:rFonts w:eastAsiaTheme="minorEastAsia"/>
          <w:color w:val="000000" w:themeColor="text1"/>
          <w:sz w:val="28"/>
          <w:szCs w:val="28"/>
        </w:rPr>
        <w:t>，当水温高至37</w:t>
      </w:r>
      <w:r>
        <w:rPr>
          <w:rFonts w:hint="eastAsia" w:ascii="宋体" w:hAnsi="宋体" w:eastAsia="宋体" w:cs="宋体"/>
          <w:color w:val="000000" w:themeColor="text1"/>
          <w:sz w:val="28"/>
          <w:szCs w:val="28"/>
        </w:rPr>
        <w:t>℃</w:t>
      </w:r>
      <w:r>
        <w:rPr>
          <w:rFonts w:eastAsiaTheme="minorEastAsia"/>
          <w:color w:val="000000" w:themeColor="text1"/>
          <w:sz w:val="28"/>
          <w:szCs w:val="28"/>
        </w:rPr>
        <w:t>或低至10°C时，还有一定的处理效果，超出此范围时，处理效率即显著下降。</w:t>
      </w:r>
    </w:p>
    <w:p>
      <w:pPr>
        <w:wordWrap w:val="0"/>
        <w:spacing w:line="460" w:lineRule="atLeast"/>
        <w:rPr>
          <w:rFonts w:eastAsiaTheme="minorEastAsia"/>
          <w:color w:val="000000" w:themeColor="text1"/>
          <w:sz w:val="28"/>
          <w:szCs w:val="28"/>
        </w:rPr>
      </w:pPr>
      <w:r>
        <w:rPr>
          <w:rFonts w:eastAsiaTheme="minorEastAsia"/>
          <w:color w:val="000000" w:themeColor="text1"/>
          <w:sz w:val="28"/>
          <w:szCs w:val="28"/>
        </w:rPr>
        <w:t xml:space="preserve">    （2）规定进水的pH值宜为6.5～9.5。在处理构筑物内污水的最适宜pH值为7～8，当pH值低于6.5或高于9.5时，微生物的活动能力下降。</w:t>
      </w:r>
    </w:p>
    <w:p>
      <w:pPr>
        <w:wordWrap w:val="0"/>
        <w:spacing w:line="460" w:lineRule="atLeast"/>
        <w:ind w:firstLine="570"/>
        <w:rPr>
          <w:rFonts w:eastAsiaTheme="minorEastAsia"/>
          <w:color w:val="000000" w:themeColor="text1"/>
          <w:sz w:val="28"/>
          <w:szCs w:val="28"/>
        </w:rPr>
      </w:pPr>
      <w:r>
        <w:rPr>
          <w:rFonts w:eastAsiaTheme="minorEastAsia"/>
          <w:color w:val="000000" w:themeColor="text1"/>
          <w:sz w:val="28"/>
          <w:szCs w:val="28"/>
        </w:rPr>
        <w:t>（3）规定营养组合比（五日生化需氧量</w:t>
      </w:r>
      <w:r>
        <w:rPr>
          <w:rFonts w:hint="eastAsia" w:ascii="宋体" w:hAnsi="宋体" w:eastAsia="宋体" w:cs="宋体"/>
          <w:color w:val="000000" w:themeColor="text1"/>
          <w:sz w:val="28"/>
          <w:szCs w:val="28"/>
        </w:rPr>
        <w:t>∶</w:t>
      </w:r>
      <w:r>
        <w:rPr>
          <w:rFonts w:eastAsiaTheme="minorEastAsia"/>
          <w:color w:val="000000" w:themeColor="text1"/>
          <w:sz w:val="28"/>
          <w:szCs w:val="28"/>
        </w:rPr>
        <w:t>氮</w:t>
      </w:r>
      <w:r>
        <w:rPr>
          <w:rFonts w:hint="eastAsia" w:ascii="宋体" w:hAnsi="宋体" w:eastAsia="宋体" w:cs="宋体"/>
          <w:color w:val="000000" w:themeColor="text1"/>
          <w:sz w:val="28"/>
          <w:szCs w:val="28"/>
        </w:rPr>
        <w:t>∶</w:t>
      </w:r>
      <w:r>
        <w:rPr>
          <w:rFonts w:eastAsiaTheme="minorEastAsia"/>
          <w:color w:val="000000" w:themeColor="text1"/>
          <w:sz w:val="28"/>
          <w:szCs w:val="28"/>
        </w:rPr>
        <w:t>磷）为100:5:1。一般而言，生活污水中氮、磷能满足生物处理的需要；当城镇污水中某些工业废水占较大比例时，微生物营养可能不足，为保证生物处理的效果，需人工添加至足量。为保证处理效果，有害物质不宜超过表9规定的允许浓度。</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表9 生物处理构筑物进水中有害物质允许浓度</w:t>
      </w:r>
    </w:p>
    <w:tbl>
      <w:tblPr>
        <w:tblStyle w:val="25"/>
        <w:tblW w:w="823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47"/>
        <w:gridCol w:w="3418"/>
        <w:gridCol w:w="32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序号</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有害物质名称</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允许浓度(mg/L)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三价铬</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六价铬</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铜</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锌</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镍</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铅</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镉</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铁</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锑</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汞</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11</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砷</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12</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石油类</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13</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烷基苯磺酸盐</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14</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拉开粉</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硫化物（以S计）</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16</w:t>
            </w:r>
          </w:p>
        </w:tc>
        <w:tc>
          <w:tcPr>
            <w:tcW w:w="3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氯化钠</w:t>
            </w:r>
          </w:p>
        </w:tc>
        <w:tc>
          <w:tcPr>
            <w:tcW w:w="326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4000</w:t>
            </w:r>
          </w:p>
        </w:tc>
      </w:tr>
    </w:tbl>
    <w:p>
      <w:pPr>
        <w:wordWrap w:val="0"/>
        <w:spacing w:line="460" w:lineRule="atLeast"/>
        <w:ind w:firstLine="560" w:firstLineChars="200"/>
        <w:rPr>
          <w:rFonts w:eastAsiaTheme="minorEastAsia"/>
          <w:color w:val="000000" w:themeColor="text1"/>
          <w:sz w:val="28"/>
          <w:szCs w:val="28"/>
        </w:rPr>
      </w:pPr>
      <w:r>
        <w:rPr>
          <w:rFonts w:eastAsiaTheme="minorEastAsia"/>
          <w:color w:val="000000" w:themeColor="text1"/>
          <w:sz w:val="28"/>
          <w:szCs w:val="28"/>
        </w:rPr>
        <w:t>注：表中允许浓度为持续性浓度，可按日平均浓度计。</w:t>
      </w:r>
      <w:bookmarkStart w:id="18" w:name="_Toc74992702"/>
      <w:bookmarkStart w:id="19" w:name="_Toc102292531"/>
    </w:p>
    <w:p>
      <w:pPr>
        <w:pStyle w:val="30"/>
        <w:numPr>
          <w:ilvl w:val="0"/>
          <w:numId w:val="12"/>
        </w:numPr>
        <w:wordWrap w:val="0"/>
        <w:spacing w:line="360" w:lineRule="auto"/>
        <w:ind w:left="0" w:firstLine="0" w:firstLineChars="0"/>
        <w:rPr>
          <w:rFonts w:eastAsiaTheme="minorEastAsia"/>
          <w:color w:val="000000" w:themeColor="text1"/>
          <w:spacing w:val="8"/>
          <w:kern w:val="0"/>
          <w:sz w:val="28"/>
          <w:szCs w:val="28"/>
        </w:rPr>
      </w:pPr>
      <w:r>
        <w:rPr>
          <w:rFonts w:hint="eastAsia" w:eastAsiaTheme="minorEastAsia"/>
          <w:color w:val="000000" w:themeColor="text1"/>
          <w:spacing w:val="8"/>
          <w:kern w:val="0"/>
          <w:sz w:val="28"/>
          <w:szCs w:val="28"/>
        </w:rPr>
        <w:t>已建有污水处理设施的排水系统不应设置化粪池。</w:t>
      </w:r>
    </w:p>
    <w:p>
      <w:pPr>
        <w:pStyle w:val="30"/>
        <w:wordWrap w:val="0"/>
        <w:spacing w:line="360" w:lineRule="auto"/>
        <w:ind w:firstLine="0" w:firstLineChars="0"/>
        <w:rPr>
          <w:rFonts w:eastAsiaTheme="minorEastAsia"/>
          <w:color w:val="000000" w:themeColor="text1"/>
          <w:spacing w:val="8"/>
          <w:kern w:val="0"/>
          <w:sz w:val="28"/>
          <w:szCs w:val="28"/>
        </w:rPr>
      </w:pPr>
      <w:r>
        <w:rPr>
          <w:rFonts w:hint="eastAsia" w:eastAsiaTheme="minorEastAsia"/>
          <w:color w:val="000000" w:themeColor="text1"/>
          <w:spacing w:val="8"/>
          <w:kern w:val="0"/>
          <w:sz w:val="28"/>
          <w:szCs w:val="28"/>
        </w:rPr>
        <w:t>【条文说明】在污水处理设施尚未建成时，设置化粪池可减少生活污水对水体的影响。随着我国大部分地区污水设施的逐步建成和完善，再设置化粪池将减低污水厂进水水质，不利于提高污水厂的效率。</w:t>
      </w:r>
    </w:p>
    <w:p>
      <w:pPr>
        <w:wordWrap w:val="0"/>
        <w:spacing w:line="360" w:lineRule="auto"/>
        <w:ind w:firstLine="594"/>
        <w:rPr>
          <w:rFonts w:eastAsiaTheme="minorEastAsia"/>
          <w:color w:val="000000" w:themeColor="text1"/>
          <w:spacing w:val="8"/>
          <w:kern w:val="0"/>
          <w:sz w:val="28"/>
          <w:szCs w:val="28"/>
        </w:rPr>
      </w:pPr>
    </w:p>
    <w:p>
      <w:pPr>
        <w:pStyle w:val="2"/>
        <w:wordWrap w:val="0"/>
        <w:spacing w:before="312" w:after="312"/>
        <w:rPr>
          <w:sz w:val="28"/>
          <w:szCs w:val="28"/>
        </w:rPr>
      </w:pPr>
      <w:bookmarkStart w:id="20" w:name="_Toc515281033"/>
      <w:r>
        <w:rPr>
          <w:sz w:val="28"/>
          <w:szCs w:val="28"/>
        </w:rPr>
        <w:t>5 排水管渠和附属构筑物</w:t>
      </w:r>
      <w:bookmarkEnd w:id="20"/>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21" w:name="_Toc515281034"/>
      <w:r>
        <w:rPr>
          <w:rFonts w:ascii="Times New Roman" w:hAnsi="Times New Roman" w:eastAsiaTheme="minorEastAsia"/>
          <w:b w:val="0"/>
          <w:color w:val="000000" w:themeColor="text1"/>
          <w:sz w:val="28"/>
          <w:szCs w:val="28"/>
        </w:rPr>
        <w:t>一般规定</w:t>
      </w:r>
      <w:bookmarkEnd w:id="21"/>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排水管渠系统应根据城镇总体规划和建设情况统一布置，分期建设。排水管渠断面尺寸应按远期规划设计流量设计，按现状水量复核，并考虑城镇远景发展的需要。</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【条文说明】排水管渠（包括输送污水和雨水的管道、明渠、盖板渠、暗渠）的系统设计，应按城镇总体规划和分期建设情况，全面考虑，统一布置，逐步实施。</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管渠一般使用年限较长，改建困难，如仅根据当前需要设计，不考虑规划，在发展过程中会造成被动和浪费；但是如按规划一次建成设计，不考虑分期建设，也会不适当地扩大建设规模，增加投资拆迁和其他方面的困难。为减少扩建时废弃管渠的数量，排水管渠的断面尺寸应根据排水规划，并考虑城镇远景发展需要确定；同时应按近期水量复核最小流速，防止流速过小造成淤积。规划期限应与城镇总体规划期限相一致。本条对排水管渠的设计期限作了重要规定，即需要考虑“远景”水量。</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管渠平面位置和高程，应根据地形、土质、地下水位、道路情况、原有的和规划的地下设施、施工条件以及养护管理方便等因素综合考虑确定，同时还需与源头减排设施和排涝除险设施的平面和竖向设计相协调。排水干管应布置在排水区域内地势较低或便于雨污水汇集的地带。排水管宜沿城镇道路敷设，并与道路中心线平行，宜设在快车道以外。截流干管宜沿受纳水体岸边布置。管渠高程设计除考虑地形坡度外，还应考虑与其他地下设施的关系以及接户管的连接方便。</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区域内排水管渠系统的高程应与源头减排和排涝除险设施之间的竖向有效衔接，保证源头减排设施发挥雨水蓄滞、净化和多余雨水排除；保证在内涝发生时，排涝除险设施能发挥作用，有序排除涝水。</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一般情况下，管渠布置应与其他地下设施综合考虑。污水管渠通常布置在道路人行道、绿化带或慢车道下，尽量避开快车道，如不可避免时，应充分考虑施工对交通和路面的影响。敷设的管道应是可巡视的，要有巡视养护通道。排水管渠在城镇道路下的埋设位置应符合</w:t>
      </w:r>
      <w:r>
        <w:rPr>
          <w:rFonts w:hint="eastAsia" w:ascii="Times New Roman" w:hAnsi="Times New Roman" w:eastAsiaTheme="minorEastAsia"/>
          <w:color w:val="000000" w:themeColor="text1"/>
          <w:sz w:val="28"/>
          <w:szCs w:val="28"/>
        </w:rPr>
        <w:t>现行国家标准</w:t>
      </w:r>
      <w:r>
        <w:rPr>
          <w:rFonts w:ascii="Times New Roman" w:hAnsi="Times New Roman" w:eastAsiaTheme="minorEastAsia"/>
          <w:color w:val="000000" w:themeColor="text1"/>
          <w:sz w:val="28"/>
          <w:szCs w:val="28"/>
        </w:rPr>
        <w:t>《城市工程管线综合规划规范》GB 50289的</w:t>
      </w:r>
      <w:r>
        <w:rPr>
          <w:rFonts w:hint="eastAsia" w:ascii="Times New Roman" w:hAnsi="Times New Roman" w:eastAsiaTheme="minorEastAsia"/>
          <w:color w:val="000000" w:themeColor="text1"/>
          <w:sz w:val="28"/>
          <w:szCs w:val="28"/>
        </w:rPr>
        <w:t>有关</w:t>
      </w:r>
      <w:r>
        <w:rPr>
          <w:rFonts w:ascii="Times New Roman" w:hAnsi="Times New Roman" w:eastAsiaTheme="minorEastAsia"/>
          <w:color w:val="000000" w:themeColor="text1"/>
          <w:sz w:val="28"/>
          <w:szCs w:val="28"/>
        </w:rPr>
        <w:t>规定。</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宋体"/>
          <w:color w:val="000000"/>
          <w:sz w:val="28"/>
          <w:szCs w:val="28"/>
        </w:rPr>
        <w:t>污水和合流污水输送应采用管道；雨水重力流输送可采用管道或明渠。</w:t>
      </w:r>
    </w:p>
    <w:p>
      <w:pPr>
        <w:pStyle w:val="30"/>
        <w:wordWrap w:val="0"/>
        <w:spacing w:line="360" w:lineRule="auto"/>
        <w:ind w:left="1"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w:t>
      </w:r>
      <w:r>
        <w:rPr>
          <w:rFonts w:ascii="Times New Roman" w:hAnsi="Times New Roman" w:eastAsia="宋体"/>
          <w:color w:val="000000"/>
          <w:sz w:val="28"/>
          <w:szCs w:val="28"/>
        </w:rPr>
        <w:t>从安全、卫生的角度考虑，</w:t>
      </w:r>
      <w:r>
        <w:rPr>
          <w:rFonts w:ascii="Times New Roman" w:hAnsi="Times New Roman" w:eastAsiaTheme="minorEastAsia"/>
          <w:color w:val="000000"/>
          <w:sz w:val="28"/>
          <w:szCs w:val="28"/>
        </w:rPr>
        <w:t>目前新建的</w:t>
      </w:r>
      <w:r>
        <w:rPr>
          <w:rFonts w:ascii="Times New Roman" w:hAnsi="Times New Roman" w:eastAsia="宋体"/>
          <w:color w:val="000000"/>
          <w:sz w:val="28"/>
          <w:szCs w:val="28"/>
        </w:rPr>
        <w:t>排水</w:t>
      </w:r>
      <w:r>
        <w:rPr>
          <w:rFonts w:ascii="Times New Roman" w:hAnsi="Times New Roman" w:eastAsiaTheme="minorEastAsia"/>
          <w:color w:val="000000"/>
          <w:sz w:val="28"/>
          <w:szCs w:val="28"/>
        </w:rPr>
        <w:t>系统</w:t>
      </w:r>
      <w:r>
        <w:rPr>
          <w:rFonts w:ascii="Times New Roman" w:hAnsi="Times New Roman" w:eastAsia="宋体"/>
          <w:color w:val="000000"/>
          <w:sz w:val="28"/>
          <w:szCs w:val="28"/>
        </w:rPr>
        <w:t>大多采用管道</w:t>
      </w:r>
      <w:r>
        <w:rPr>
          <w:rFonts w:hint="eastAsia" w:ascii="Times New Roman" w:hAnsi="Times New Roman" w:eastAsia="宋体"/>
          <w:color w:val="000000"/>
          <w:sz w:val="28"/>
          <w:szCs w:val="28"/>
        </w:rPr>
        <w:t>（包括箱涵）</w:t>
      </w:r>
      <w:r>
        <w:rPr>
          <w:rFonts w:ascii="Times New Roman" w:hAnsi="Times New Roman" w:eastAsia="宋体"/>
          <w:color w:val="000000"/>
          <w:sz w:val="28"/>
          <w:szCs w:val="28"/>
        </w:rPr>
        <w:t>。明渠主要是指按低影响开发理念设计的雨水输送渗透设施，如植草沟和渗透渠。</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管渠材质、管渠断面、管道基础、管道接口，应根据排水水质、水温、冰冻情况、断面尺寸、管内外所受压力、土质、地下水位、地下水侵蚀性、施工条件及对养护工具的适应性等因素进行选择与设计。</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管渠采用的材料一般有混凝土、钢筋混凝土、塑料、球墨铸铁、钢、钢筋混凝土箱涵以及土明渠等。塑料管道具有粗糙系数小，防腐性能好，抗不均匀沉降性能好、实施方便的优点，但刚度要求高，对管材质量控制和施工回填质量的要求较严。钢筋混凝土管道工艺成熟，质量稳定，管道强度好，但对管道基础要求较高，施工时间较长，管道粗糙系数大。金属管材使用时应充分考虑防腐要求。采用顶管施工方式的，可选用F型钢承口钢筋混凝土管、玻璃纤维增强塑料夹砂管、树脂钢筋混凝土管或顶管用球墨铸铁管。管道基础有砂石基础、混凝土基础、土弧基础等。管道接口有柔性接口和刚性接口等，应根据影响因素进行选择。</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输送污水、合流污水的管道必须采用耐腐蚀材料，其接口及附属构筑物必须采取相应的防腐蚀措施</w:t>
      </w:r>
      <w:r>
        <w:rPr>
          <w:rFonts w:ascii="Times New Roman" w:hAnsi="Times New Roman" w:eastAsiaTheme="minorEastAsia"/>
          <w:color w:val="000000" w:themeColor="text1"/>
          <w:sz w:val="28"/>
          <w:szCs w:val="28"/>
        </w:rPr>
        <w:t>。</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【条文说明】本条为强制性条文，必须严格执行。输送污水的管道、检查井和接口必须采取相应的防腐蚀措施，以保证管道系统的使用寿命。</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排水管渠的断面形状，应符合下列规定：</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排水管渠的断面形状应根据设计流量、埋设深度、工程环境条件，同时结合当地施工、制管技术水平和经济、养护管理要求综合确定，宜优先选用成品管；</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大型和特大型管渠的断面应方便维修、养护和管理。</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【条文说明】排水管渠断面形状应综合考虑下列因素后确定：受力稳定性好；断面过水流量大，在不淤流速下不发生沉淀；工程综合造价经济；便于冲洗和清通。</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排水工程常用管渠的断面形状有圆形、矩形、梯形和卵形等。圆形断面有较好的水力性能，结构强度高，使用材料经济，便于预制，因此是最常用的一种断面形式。</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矩形断面可以就地浇筑或砌筑，并可按需要调节深度，以增大排水量。排水管道工程中采用箱涵的主要因素有：受当地制管技术、施工环境条件和施工设备等限制，超出其能力的即用现浇箱涵；在地势较为平坦地区，采用矩形断面箱涵敷设，可减少埋深。</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梯形断面适用于明渠。</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卵形断面适用于流量变化大的场合，合流制排水系统可采用卵形断面。</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当输送易造成管道内沉析的污水时，管道断面形式的确定，必须考虑维护检修的方便。</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【条文说明】某些污水易造成管道内沉析，或因结垢、微生物和纤维类黏结而堵塞管道，因而管道形式和附属构筑物的确定，必须考虑维护检修方便，必要时要考虑更换的可能。底部增加流槽。</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分流制雨水管渠和合流管道除应满足雨水管渠设计重现期标准外，尚应与城镇内涝防治系统中的其他设施相协调，满足内涝防治的要求。</w:t>
      </w:r>
    </w:p>
    <w:p>
      <w:pPr>
        <w:wordWrap w:val="0"/>
        <w:rPr>
          <w:rFonts w:eastAsiaTheme="minorEastAsia"/>
          <w:color w:val="000000" w:themeColor="text1"/>
          <w:sz w:val="28"/>
          <w:szCs w:val="28"/>
        </w:rPr>
      </w:pPr>
      <w:r>
        <w:rPr>
          <w:rFonts w:eastAsiaTheme="minorEastAsia"/>
          <w:color w:val="000000" w:themeColor="text1"/>
          <w:sz w:val="28"/>
          <w:szCs w:val="28"/>
        </w:rPr>
        <w:t>【条文说明】排水管渠应在雨水管渠设计重现期条件下按重力流、满管流计算，并在内涝防治设计重现期条件下按压力流进行校核。</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合流管道的雨水设计重现期可适当高于同一情况下的雨水管道设计重现期。</w:t>
      </w:r>
    </w:p>
    <w:p>
      <w:pPr>
        <w:pStyle w:val="30"/>
        <w:wordWrap w:val="0"/>
        <w:spacing w:line="460" w:lineRule="atLeast"/>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【条文说明】合流管道的冒溢会污染环境，散发臭味，引起较严重的后果，故合流管道的雨水设计重现期可适当高于同一情况下的雨水管道设计重现期。</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排水管渠系统的设计，应以重力流为主，不设或少设提升泵站。当无法采用重力流或重力流不经济时，可采用压力流。</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【条文说明】提出排水管渠应以重力流为主的要求，当排水管道翻越高地或长距离输水等情况时，可采用压力流。</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雨水管渠系统的设计可结合城镇总体规划，考虑利用水体调蓄雨水，必要时可建人工调蓄和雨水处理设施。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【条文说明】目前城镇的公园湖泊、景观河道等有作为雨水调蓄水体和设施的可能性，雨水管渠的设计，可考虑利用这些条件，以节省工程投资。</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需要控制径流污染、削减降雨径流峰值流量、提高雨水利用程度时，宜设置雨水调蓄池。</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【条文说明】雨水调蓄池的设置有三种目的，即控制径流污染、防治内涝灾害和提高雨水利用程度。</w:t>
      </w:r>
    </w:p>
    <w:p>
      <w:pPr>
        <w:wordWrap w:val="0"/>
        <w:spacing w:line="360" w:lineRule="auto"/>
        <w:ind w:firstLine="570"/>
        <w:rPr>
          <w:rFonts w:eastAsiaTheme="minorEastAsia"/>
          <w:color w:val="000000" w:themeColor="text1"/>
          <w:sz w:val="28"/>
          <w:szCs w:val="28"/>
        </w:rPr>
      </w:pPr>
      <w:r>
        <w:rPr>
          <w:rFonts w:eastAsiaTheme="minorEastAsia"/>
          <w:color w:val="000000" w:themeColor="text1"/>
          <w:sz w:val="28"/>
          <w:szCs w:val="28"/>
        </w:rPr>
        <w:t>有些城镇地区合流制排水系统溢流污染物或分流制排水系统排放雨水已成为内河的主要污染源，在排水系统雨水排放口附近设置雨水调蓄池，可将污染物浓度较高的溢流污染或受污染雨水暂时储存在调蓄池中，待降雨结束后，再将储存的雨水通过污水管道输送至污水厂，达到控制径流污染控制、保护水体水质的目的。</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在内涝防治系统中，雨水调蓄工程也可分为源头调蓄工程、管渠调蓄工程和排涝除险调蓄工程。</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源头调蓄工程可与源头渗透工程等联合用于削减峰值流量、控制地表径流污染和提高雨水综合利用程度，一般包括小区景观水体、雨水塘和源头调蓄池等；管渠调蓄工程主要用于削减峰值流量和控制雨水径流污染，一般包括调蓄池和隧道调蓄工程等；排涝除险调蓄工程主要用于内涝设计重现期下削减峰值流量，一般包括内河内湖、下凹式绿地、下沉式广场和隧道调蓄工程等。</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随着城镇化的发展，降雨径流量增大，将降雨径流的峰值流量暂时储存在调蓄池中，待流量下降后，再从调蓄池中将水排出，以削减峰值流量，降低下游雨水干管的管径，提高区域的排水标准和防涝能力，减少内涝灾害。尤其是在排水系统提标改造中，可以通过在合适的位置设置径流峰值控制的雨水调蓄池，以有效减少下游排水管渠的翻排量。</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雨水利用工程中，为满足雨水利用的要求而设置调蓄池储存雨水，储存的雨水净化后可综合利用。</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污水、合流污水管道及湿陷土、膨胀土、流砂地区的雨水管道和附属构筑物应保证其严密性，并在安装完成后进行管道严密性试验。</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【条文说明】根据现行国家标准《给水排水管道工程及验收规范》GB 50268的</w:t>
      </w:r>
      <w:r>
        <w:rPr>
          <w:rFonts w:hint="eastAsia" w:eastAsiaTheme="minorEastAsia"/>
          <w:color w:val="000000" w:themeColor="text1"/>
          <w:sz w:val="28"/>
          <w:szCs w:val="28"/>
        </w:rPr>
        <w:t>有</w:t>
      </w:r>
      <w:r>
        <w:rPr>
          <w:rFonts w:eastAsiaTheme="minorEastAsia"/>
          <w:color w:val="000000" w:themeColor="text1"/>
          <w:sz w:val="28"/>
          <w:szCs w:val="28"/>
        </w:rPr>
        <w:t>关条文规定，压力和无压管道都要在安装完成后进行管道功能性试验，包括水压和严密性试验（闭水、闭气试验）。</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当排水管渠出水口受水体水位顶托时，应根据地区重要性和积水所造成的后果，设置潮门、闸门或泵站等设施。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【条文说明】管渠出水口的设计水位应高于或等于排放水体的设计洪水位。当低于时，应采取适当工程措施。</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排水管渠系统中，在排水泵站和倒虹管前，宜设置事故排出口。</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【条文说明】考虑事故、停电或检修时，排水要有出路。</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pacing w:val="8"/>
          <w:sz w:val="28"/>
          <w:szCs w:val="28"/>
        </w:rPr>
        <w:t>排水管道系统之间可设置连通管，应符合下列规定：</w:t>
      </w:r>
    </w:p>
    <w:p>
      <w:pPr>
        <w:wordWrap w:val="0"/>
        <w:spacing w:line="360" w:lineRule="auto"/>
        <w:ind w:firstLine="594" w:firstLineChars="200"/>
        <w:rPr>
          <w:rFonts w:eastAsiaTheme="minorEastAsia"/>
          <w:color w:val="000000" w:themeColor="text1"/>
          <w:spacing w:val="4"/>
          <w:sz w:val="28"/>
          <w:szCs w:val="28"/>
        </w:rPr>
      </w:pPr>
      <w:r>
        <w:rPr>
          <w:rFonts w:eastAsiaTheme="minorEastAsia"/>
          <w:b/>
          <w:color w:val="000000" w:themeColor="text1"/>
          <w:spacing w:val="8"/>
          <w:sz w:val="28"/>
          <w:szCs w:val="28"/>
        </w:rPr>
        <w:t xml:space="preserve">1 </w:t>
      </w:r>
      <w:r>
        <w:rPr>
          <w:rFonts w:eastAsiaTheme="minorEastAsia"/>
          <w:color w:val="000000" w:themeColor="text1"/>
          <w:spacing w:val="4"/>
          <w:sz w:val="28"/>
          <w:szCs w:val="28"/>
        </w:rPr>
        <w:t>雨水管渠系统与合流管道系统之间不得设置连通管；</w:t>
      </w:r>
    </w:p>
    <w:p>
      <w:pPr>
        <w:wordWrap w:val="0"/>
        <w:spacing w:line="360" w:lineRule="auto"/>
        <w:ind w:firstLine="594" w:firstLineChars="200"/>
        <w:rPr>
          <w:rFonts w:eastAsiaTheme="minorEastAsia"/>
          <w:color w:val="000000" w:themeColor="text1"/>
          <w:spacing w:val="4"/>
          <w:sz w:val="28"/>
          <w:szCs w:val="28"/>
        </w:rPr>
      </w:pPr>
      <w:r>
        <w:rPr>
          <w:rFonts w:eastAsiaTheme="minorEastAsia"/>
          <w:b/>
          <w:color w:val="000000" w:themeColor="text1"/>
          <w:spacing w:val="8"/>
          <w:sz w:val="28"/>
          <w:szCs w:val="28"/>
        </w:rPr>
        <w:t>2</w:t>
      </w:r>
      <w:r>
        <w:rPr>
          <w:rFonts w:eastAsiaTheme="minorEastAsia"/>
          <w:color w:val="000000" w:themeColor="text1"/>
          <w:sz w:val="28"/>
          <w:szCs w:val="28"/>
        </w:rPr>
        <w:t>雨水管</w:t>
      </w:r>
      <w:r>
        <w:rPr>
          <w:rFonts w:eastAsiaTheme="minorEastAsia"/>
          <w:color w:val="000000" w:themeColor="text1"/>
          <w:spacing w:val="4"/>
          <w:sz w:val="28"/>
          <w:szCs w:val="28"/>
        </w:rPr>
        <w:t>渠</w:t>
      </w:r>
      <w:r>
        <w:rPr>
          <w:rFonts w:eastAsiaTheme="minorEastAsia"/>
          <w:color w:val="000000" w:themeColor="text1"/>
          <w:sz w:val="28"/>
          <w:szCs w:val="28"/>
        </w:rPr>
        <w:t>系统之间或合流管道系统之间可根据需要设置连通管。</w:t>
      </w:r>
      <w:r>
        <w:rPr>
          <w:rFonts w:eastAsiaTheme="minorEastAsia"/>
          <w:color w:val="000000" w:themeColor="text1"/>
          <w:spacing w:val="4"/>
          <w:sz w:val="28"/>
          <w:szCs w:val="28"/>
        </w:rPr>
        <w:t>必要时可在连通管处设闸槽或闸门。连通管和附近闸门井应考虑维护管理的方便；</w:t>
      </w:r>
    </w:p>
    <w:p>
      <w:pPr>
        <w:wordWrap w:val="0"/>
        <w:spacing w:line="360" w:lineRule="auto"/>
        <w:ind w:firstLine="594" w:firstLineChars="200"/>
        <w:rPr>
          <w:rFonts w:eastAsiaTheme="minorEastAsia"/>
          <w:color w:val="000000" w:themeColor="text1"/>
          <w:spacing w:val="4"/>
          <w:sz w:val="28"/>
          <w:szCs w:val="28"/>
        </w:rPr>
      </w:pPr>
      <w:r>
        <w:rPr>
          <w:rFonts w:eastAsiaTheme="minorEastAsia"/>
          <w:b/>
          <w:color w:val="000000" w:themeColor="text1"/>
          <w:spacing w:val="8"/>
          <w:sz w:val="28"/>
          <w:szCs w:val="28"/>
        </w:rPr>
        <w:t>3</w:t>
      </w:r>
      <w:r>
        <w:rPr>
          <w:rFonts w:eastAsiaTheme="minorEastAsia"/>
          <w:color w:val="000000" w:themeColor="text1"/>
          <w:spacing w:val="4"/>
          <w:sz w:val="28"/>
          <w:szCs w:val="28"/>
        </w:rPr>
        <w:t>同一圩区内排入不同受纳水体的自排雨水系统之间，根据受纳水体与管道标高情况，在安全前提下可设置连通管。</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在分流制和合流制排水系统并存的地区，为防止系统之间的雨污混接，规定雨水管道系统与合流管道系统之间不得设置连通管，特别在分流制地区，实施临时排水措施过程中应避免不同系统之间的直接连通。</w:t>
      </w:r>
    </w:p>
    <w:p>
      <w:pPr>
        <w:tabs>
          <w:tab w:val="left" w:pos="0"/>
        </w:tabs>
        <w:wordWrap w:val="0"/>
        <w:spacing w:line="360" w:lineRule="auto"/>
        <w:ind w:firstLine="570"/>
        <w:rPr>
          <w:rFonts w:eastAsiaTheme="minorEastAsia"/>
          <w:color w:val="000000" w:themeColor="text1"/>
          <w:sz w:val="28"/>
          <w:szCs w:val="28"/>
        </w:rPr>
      </w:pPr>
      <w:r>
        <w:rPr>
          <w:rFonts w:eastAsiaTheme="minorEastAsia"/>
          <w:color w:val="000000" w:themeColor="text1"/>
          <w:sz w:val="28"/>
          <w:szCs w:val="28"/>
        </w:rPr>
        <w:t>由于各个雨水管道系统或各个合流管道系统的汇水面积、集水时间均不相同，高峰流量同时发生的概率比较低，如在两个雨水管道系统或两个合流管道系统之间适当位置设置连通管，可相互调剂水量，改善地区排水情况。</w:t>
      </w:r>
    </w:p>
    <w:p>
      <w:pPr>
        <w:tabs>
          <w:tab w:val="left" w:pos="0"/>
        </w:tabs>
        <w:wordWrap w:val="0"/>
        <w:spacing w:line="360" w:lineRule="auto"/>
        <w:ind w:firstLine="570"/>
        <w:rPr>
          <w:rFonts w:eastAsiaTheme="minorEastAsia"/>
          <w:color w:val="000000" w:themeColor="text1"/>
          <w:sz w:val="28"/>
          <w:szCs w:val="28"/>
        </w:rPr>
      </w:pPr>
      <w:r>
        <w:rPr>
          <w:rFonts w:eastAsiaTheme="minorEastAsia"/>
          <w:color w:val="000000" w:themeColor="text1"/>
          <w:sz w:val="28"/>
          <w:szCs w:val="28"/>
        </w:rPr>
        <w:t xml:space="preserve">为了便于控制和防止管道检修时污水或雨水从连通管倒流，可设置闸槽或闸门并应考虑检修和养护的方便。 </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排入同一</w:t>
      </w:r>
      <w:r>
        <w:rPr>
          <w:rFonts w:eastAsiaTheme="minorEastAsia"/>
          <w:color w:val="000000" w:themeColor="text1"/>
          <w:spacing w:val="4"/>
          <w:sz w:val="28"/>
          <w:szCs w:val="28"/>
        </w:rPr>
        <w:t>圩</w:t>
      </w:r>
      <w:r>
        <w:rPr>
          <w:rFonts w:eastAsiaTheme="minorEastAsia"/>
          <w:color w:val="000000" w:themeColor="text1"/>
          <w:sz w:val="28"/>
          <w:szCs w:val="28"/>
        </w:rPr>
        <w:t>区不同受纳水体的自排雨水系统的连通需要进行安全性复核。如果直接连通，可能因为受纳水体水位不同而发生河水倒灌雨水系统的问题。若自排系统的受纳水体变化相近且雨水管道服务区域内管道标高也接近，经复核安全可设连通管。</w:t>
      </w:r>
    </w:p>
    <w:p>
      <w:pPr>
        <w:pStyle w:val="30"/>
        <w:numPr>
          <w:ilvl w:val="0"/>
          <w:numId w:val="1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有条件地区，污水输送干管之间宜设置连通管。</w:t>
      </w:r>
    </w:p>
    <w:p>
      <w:pPr>
        <w:wordWrap w:val="0"/>
        <w:rPr>
          <w:rFonts w:eastAsiaTheme="minorEastAsia"/>
          <w:color w:val="000000" w:themeColor="text1"/>
          <w:sz w:val="28"/>
          <w:szCs w:val="28"/>
        </w:rPr>
      </w:pPr>
      <w:r>
        <w:rPr>
          <w:rFonts w:eastAsiaTheme="minorEastAsia"/>
          <w:color w:val="000000" w:themeColor="text1"/>
          <w:sz w:val="28"/>
          <w:szCs w:val="28"/>
        </w:rPr>
        <w:t>【条文说明】污水干管连通能实现污水厂之间互为备用，利于提高污水厂的效率和运行安全性。</w:t>
      </w: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22" w:name="_Toc515281035"/>
      <w:r>
        <w:rPr>
          <w:rFonts w:ascii="Times New Roman" w:hAnsi="Times New Roman" w:eastAsiaTheme="minorEastAsia"/>
          <w:b w:val="0"/>
          <w:color w:val="000000" w:themeColor="text1"/>
          <w:sz w:val="28"/>
          <w:szCs w:val="28"/>
        </w:rPr>
        <w:t>水力计算</w:t>
      </w:r>
      <w:bookmarkEnd w:id="22"/>
    </w:p>
    <w:p>
      <w:pPr>
        <w:pStyle w:val="30"/>
        <w:numPr>
          <w:ilvl w:val="0"/>
          <w:numId w:val="15"/>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排水管渠的流量，应按下式计算：</w:t>
      </w:r>
    </w:p>
    <w:p>
      <w:pPr>
        <w:wordWrap w:val="0"/>
        <w:spacing w:line="360" w:lineRule="auto"/>
        <w:jc w:val="right"/>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w:t>
      </w:r>
      <w:r>
        <w:rPr>
          <w:rFonts w:eastAsiaTheme="minorEastAsia"/>
          <w:i/>
          <w:color w:val="000000" w:themeColor="text1"/>
          <w:sz w:val="28"/>
          <w:szCs w:val="28"/>
        </w:rPr>
        <w:t>Av</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（5.</w:t>
      </w:r>
      <w:r>
        <w:rPr>
          <w:rFonts w:hint="eastAsia" w:eastAsiaTheme="minorEastAsia"/>
          <w:color w:val="000000" w:themeColor="text1"/>
          <w:sz w:val="28"/>
          <w:szCs w:val="28"/>
        </w:rPr>
        <w:t>2</w:t>
      </w:r>
      <w:r>
        <w:rPr>
          <w:rFonts w:eastAsiaTheme="minorEastAsia"/>
          <w:color w:val="000000" w:themeColor="text1"/>
          <w:sz w:val="28"/>
          <w:szCs w:val="28"/>
        </w:rPr>
        <w:t>.1）</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Q</w:t>
      </w:r>
      <w:r>
        <w:rPr>
          <w:rFonts w:eastAsiaTheme="minorEastAsia"/>
          <w:color w:val="000000" w:themeColor="text1"/>
          <w:sz w:val="28"/>
          <w:szCs w:val="28"/>
        </w:rPr>
        <w:t>——设计流量（m</w:t>
      </w:r>
      <w:r>
        <w:rPr>
          <w:rFonts w:eastAsiaTheme="minorEastAsia"/>
          <w:color w:val="000000" w:themeColor="text1"/>
          <w:sz w:val="28"/>
          <w:szCs w:val="28"/>
          <w:vertAlign w:val="superscript"/>
        </w:rPr>
        <w:t>3</w:t>
      </w:r>
      <w:r>
        <w:rPr>
          <w:rFonts w:eastAsiaTheme="minorEastAsia"/>
          <w:color w:val="000000" w:themeColor="text1"/>
          <w:sz w:val="28"/>
          <w:szCs w:val="28"/>
        </w:rPr>
        <w:t>/s）；</w:t>
      </w:r>
    </w:p>
    <w:p>
      <w:pPr>
        <w:wordWrap w:val="0"/>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A</w:t>
      </w:r>
      <w:r>
        <w:rPr>
          <w:rFonts w:eastAsiaTheme="minorEastAsia"/>
          <w:color w:val="000000" w:themeColor="text1"/>
          <w:sz w:val="28"/>
          <w:szCs w:val="28"/>
        </w:rPr>
        <w:t>——水流有效断面面积（m</w:t>
      </w:r>
      <w:r>
        <w:rPr>
          <w:rFonts w:eastAsiaTheme="minorEastAsia"/>
          <w:color w:val="000000" w:themeColor="text1"/>
          <w:sz w:val="28"/>
          <w:szCs w:val="28"/>
          <w:vertAlign w:val="superscript"/>
        </w:rPr>
        <w:t>2</w:t>
      </w:r>
      <w:r>
        <w:rPr>
          <w:rFonts w:eastAsiaTheme="minorEastAsia"/>
          <w:color w:val="000000" w:themeColor="text1"/>
          <w:sz w:val="28"/>
          <w:szCs w:val="28"/>
        </w:rPr>
        <w:t>）；</w:t>
      </w:r>
    </w:p>
    <w:p>
      <w:pPr>
        <w:wordWrap w:val="0"/>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v</w:t>
      </w:r>
      <w:r>
        <w:rPr>
          <w:rFonts w:eastAsiaTheme="minorEastAsia"/>
          <w:color w:val="000000" w:themeColor="text1"/>
          <w:sz w:val="28"/>
          <w:szCs w:val="28"/>
        </w:rPr>
        <w:t>——流速（m/s）。</w:t>
      </w:r>
    </w:p>
    <w:p>
      <w:pPr>
        <w:pStyle w:val="30"/>
        <w:numPr>
          <w:ilvl w:val="0"/>
          <w:numId w:val="1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恒定流条件下排水管渠的流速，应按下式计算：</w:t>
      </w:r>
    </w:p>
    <w:p>
      <w:pPr>
        <w:wordWrap w:val="0"/>
        <w:spacing w:line="360" w:lineRule="auto"/>
        <w:jc w:val="right"/>
        <w:rPr>
          <w:rFonts w:eastAsiaTheme="minorEastAsia"/>
          <w:color w:val="000000" w:themeColor="text1"/>
          <w:sz w:val="28"/>
          <w:szCs w:val="28"/>
        </w:rPr>
      </w:pPr>
      <w:r>
        <w:rPr>
          <w:rFonts w:eastAsiaTheme="minorEastAsia"/>
          <w:color w:val="000000" w:themeColor="text1"/>
          <w:sz w:val="28"/>
          <w:szCs w:val="28"/>
        </w:rPr>
        <w:object>
          <v:shape id="_x0000_i1027" o:spt="75" type="#_x0000_t75" style="height:29pt;width:56.1pt;" o:ole="t" fillcolor="#000005 [-4142]" filled="f" o:preferrelative="t" stroked="f" coordsize="21600,21600">
            <v:path/>
            <v:fill on="f" focussize="0,0"/>
            <v:stroke on="f" joinstyle="miter"/>
            <v:imagedata r:id="rId17" o:title=""/>
            <o:lock v:ext="edit" aspectratio="t"/>
            <w10:wrap type="none"/>
            <w10:anchorlock/>
          </v:shape>
          <o:OLEObject Type="Embed" ProgID="Equation.3" ShapeID="_x0000_i1027" DrawAspect="Content" ObjectID="_1468075727" r:id="rId16">
            <o:LockedField>false</o:LockedField>
          </o:OLEObject>
        </w:object>
      </w:r>
      <w:r>
        <w:rPr>
          <w:rFonts w:eastAsiaTheme="minorEastAsia"/>
          <w:color w:val="000000" w:themeColor="text1"/>
          <w:sz w:val="28"/>
          <w:szCs w:val="28"/>
        </w:rPr>
        <w:object>
          <v:shape id="_x0000_i1028" o:spt="75" type="#_x0000_t75" style="height:18.7pt;width:9.35pt;" o:ole="t" fillcolor="#000005 [-4142]"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8" r:id="rId18">
            <o:LockedField>false</o:LockedField>
          </o:OLEObject>
        </w:object>
      </w:r>
      <w:r>
        <w:rPr>
          <w:rFonts w:eastAsiaTheme="minorEastAsia"/>
          <w:color w:val="000000" w:themeColor="text1"/>
          <w:sz w:val="28"/>
          <w:szCs w:val="28"/>
        </w:rPr>
        <w:object>
          <v:shape id="_x0000_i1029" o:spt="75" type="#_x0000_t75" style="height:18.7pt;width:9.35pt;" o:ole="t" fillcolor="#000005 [-4142]" filled="f" o:preferrelative="t" stroked="f" coordsize="21600,21600">
            <v:path/>
            <v:fill on="f" focussize="0,0"/>
            <v:stroke on="f" joinstyle="miter"/>
            <v:imagedata r:id="rId19" o:title=""/>
            <o:lock v:ext="edit" aspectratio="t"/>
            <w10:wrap type="none"/>
            <w10:anchorlock/>
          </v:shape>
          <o:OLEObject Type="Embed" ProgID="Equation.3" ShapeID="_x0000_i1029" DrawAspect="Content" ObjectID="_1468075729" r:id="rId20">
            <o:LockedField>false</o:LockedField>
          </o:OLEObject>
        </w:objec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（5.</w:t>
      </w:r>
      <w:r>
        <w:rPr>
          <w:rFonts w:hint="eastAsia" w:eastAsiaTheme="minorEastAsia"/>
          <w:color w:val="000000" w:themeColor="text1"/>
          <w:sz w:val="28"/>
          <w:szCs w:val="28"/>
        </w:rPr>
        <w:t>2</w:t>
      </w:r>
      <w:r>
        <w:rPr>
          <w:rFonts w:eastAsiaTheme="minorEastAsia"/>
          <w:color w:val="000000" w:themeColor="text1"/>
          <w:sz w:val="28"/>
          <w:szCs w:val="28"/>
        </w:rPr>
        <w:t>.2）</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v</w:t>
      </w:r>
      <w:r>
        <w:rPr>
          <w:rFonts w:eastAsiaTheme="minorEastAsia"/>
          <w:color w:val="000000" w:themeColor="text1"/>
          <w:sz w:val="28"/>
          <w:szCs w:val="28"/>
        </w:rPr>
        <w:t>——流速（m/s）；</w:t>
      </w:r>
    </w:p>
    <w:p>
      <w:pPr>
        <w:wordWrap w:val="0"/>
        <w:spacing w:line="360" w:lineRule="auto"/>
        <w:ind w:firstLine="840" w:firstLineChars="300"/>
        <w:rPr>
          <w:rFonts w:eastAsiaTheme="minorEastAsia"/>
          <w:color w:val="000000" w:themeColor="text1"/>
          <w:sz w:val="28"/>
          <w:szCs w:val="28"/>
        </w:rPr>
      </w:pPr>
      <w:r>
        <w:rPr>
          <w:rFonts w:eastAsiaTheme="minorEastAsia"/>
          <w:i/>
          <w:color w:val="000000" w:themeColor="text1"/>
          <w:sz w:val="28"/>
          <w:szCs w:val="28"/>
        </w:rPr>
        <w:t>R</w:t>
      </w:r>
      <w:r>
        <w:rPr>
          <w:rFonts w:eastAsiaTheme="minorEastAsia"/>
          <w:color w:val="000000" w:themeColor="text1"/>
          <w:sz w:val="28"/>
          <w:szCs w:val="28"/>
        </w:rPr>
        <w:t>——水力半径（m）；</w:t>
      </w:r>
    </w:p>
    <w:p>
      <w:pPr>
        <w:wordWrap w:val="0"/>
        <w:spacing w:line="360" w:lineRule="auto"/>
        <w:ind w:firstLine="840" w:firstLineChars="300"/>
        <w:rPr>
          <w:rFonts w:eastAsiaTheme="minorEastAsia"/>
          <w:color w:val="000000" w:themeColor="text1"/>
          <w:sz w:val="28"/>
          <w:szCs w:val="28"/>
        </w:rPr>
      </w:pPr>
      <w:r>
        <w:rPr>
          <w:rFonts w:eastAsiaTheme="minorEastAsia"/>
          <w:i/>
          <w:color w:val="000000" w:themeColor="text1"/>
          <w:sz w:val="28"/>
          <w:szCs w:val="28"/>
        </w:rPr>
        <w:t>I</w:t>
      </w:r>
      <w:r>
        <w:rPr>
          <w:rFonts w:eastAsiaTheme="minorEastAsia"/>
          <w:color w:val="000000" w:themeColor="text1"/>
          <w:sz w:val="28"/>
          <w:szCs w:val="28"/>
        </w:rPr>
        <w:t>——水力坡降；</w:t>
      </w:r>
    </w:p>
    <w:p>
      <w:pPr>
        <w:wordWrap w:val="0"/>
        <w:spacing w:line="360" w:lineRule="auto"/>
        <w:ind w:firstLine="840" w:firstLineChars="300"/>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rPr>
        <w:t>——粗糙系数。</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【条文说明】排水管渠的水力计算根据流态可以分为恒定流和非恒定流两种，本条规定了恒定流条件下的流速计算公式，非恒定流计算条件下的排水管渠流速计算应根据具体数学模型确定。</w:t>
      </w:r>
    </w:p>
    <w:p>
      <w:pPr>
        <w:pStyle w:val="30"/>
        <w:numPr>
          <w:ilvl w:val="0"/>
          <w:numId w:val="1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排水管渠粗糙系数，宜按本标准表5.</w:t>
      </w:r>
      <w:r>
        <w:rPr>
          <w:rFonts w:hint="eastAsia" w:ascii="Times New Roman" w:hAnsi="Times New Roman" w:eastAsiaTheme="minorEastAsia"/>
          <w:color w:val="000000" w:themeColor="text1"/>
          <w:sz w:val="28"/>
          <w:szCs w:val="28"/>
        </w:rPr>
        <w:t>2</w:t>
      </w:r>
      <w:r>
        <w:rPr>
          <w:rFonts w:ascii="Times New Roman" w:hAnsi="Times New Roman" w:eastAsiaTheme="minorEastAsia"/>
          <w:color w:val="000000" w:themeColor="text1"/>
          <w:sz w:val="28"/>
          <w:szCs w:val="28"/>
        </w:rPr>
        <w:t>.3的规定取值。</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表5.</w:t>
      </w:r>
      <w:r>
        <w:rPr>
          <w:rFonts w:hint="eastAsia" w:eastAsiaTheme="minorEastAsia"/>
          <w:b/>
          <w:color w:val="000000" w:themeColor="text1"/>
          <w:sz w:val="28"/>
          <w:szCs w:val="28"/>
        </w:rPr>
        <w:t>2</w:t>
      </w:r>
      <w:r>
        <w:rPr>
          <w:rFonts w:eastAsiaTheme="minorEastAsia"/>
          <w:b/>
          <w:color w:val="000000" w:themeColor="text1"/>
          <w:sz w:val="28"/>
          <w:szCs w:val="28"/>
        </w:rPr>
        <w:t>.3  排水管渠粗糙系数</w:t>
      </w:r>
    </w:p>
    <w:tbl>
      <w:tblPr>
        <w:tblStyle w:val="25"/>
        <w:tblW w:w="8250"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572"/>
        <w:gridCol w:w="1559"/>
        <w:gridCol w:w="1362"/>
        <w:gridCol w:w="17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572"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管渠类别</w:t>
            </w:r>
          </w:p>
        </w:tc>
        <w:tc>
          <w:tcPr>
            <w:tcW w:w="1559" w:type="dxa"/>
            <w:vAlign w:val="center"/>
          </w:tcPr>
          <w:p>
            <w:pPr>
              <w:wordWrap w:val="0"/>
              <w:spacing w:line="360" w:lineRule="auto"/>
              <w:rPr>
                <w:rFonts w:eastAsiaTheme="minorEastAsia"/>
                <w:i/>
                <w:color w:val="000000" w:themeColor="text1"/>
                <w:sz w:val="28"/>
                <w:szCs w:val="28"/>
              </w:rPr>
            </w:pPr>
            <w:r>
              <w:rPr>
                <w:rFonts w:eastAsiaTheme="minorEastAsia"/>
                <w:color w:val="000000" w:themeColor="text1"/>
                <w:sz w:val="28"/>
                <w:szCs w:val="28"/>
              </w:rPr>
              <w:t>粗糙系数</w:t>
            </w:r>
            <w:r>
              <w:rPr>
                <w:rFonts w:eastAsiaTheme="minorEastAsia"/>
                <w:i/>
                <w:color w:val="000000" w:themeColor="text1"/>
                <w:sz w:val="28"/>
                <w:szCs w:val="28"/>
              </w:rPr>
              <w:t>n</w:t>
            </w:r>
          </w:p>
        </w:tc>
        <w:tc>
          <w:tcPr>
            <w:tcW w:w="1362"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管渠类别</w:t>
            </w:r>
          </w:p>
        </w:tc>
        <w:tc>
          <w:tcPr>
            <w:tcW w:w="1757" w:type="dxa"/>
            <w:vAlign w:val="center"/>
          </w:tcPr>
          <w:p>
            <w:pPr>
              <w:wordWrap w:val="0"/>
              <w:spacing w:line="360" w:lineRule="auto"/>
              <w:rPr>
                <w:rFonts w:eastAsiaTheme="minorEastAsia"/>
                <w:i/>
                <w:color w:val="000000" w:themeColor="text1"/>
                <w:sz w:val="28"/>
                <w:szCs w:val="28"/>
              </w:rPr>
            </w:pPr>
            <w:r>
              <w:rPr>
                <w:rFonts w:eastAsiaTheme="minorEastAsia"/>
                <w:color w:val="000000" w:themeColor="text1"/>
                <w:sz w:val="28"/>
                <w:szCs w:val="28"/>
              </w:rPr>
              <w:t>粗糙系数</w:t>
            </w:r>
            <w:r>
              <w:rPr>
                <w:rFonts w:eastAsiaTheme="minorEastAsia"/>
                <w:i/>
                <w:color w:val="000000" w:themeColor="text1"/>
                <w:sz w:val="28"/>
                <w:szCs w:val="28"/>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572"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混凝土管、钢筋混凝土管、水泥砂浆抹面渠道</w:t>
            </w:r>
          </w:p>
        </w:tc>
        <w:tc>
          <w:tcPr>
            <w:tcW w:w="1559"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0.013~0.014</w:t>
            </w:r>
          </w:p>
        </w:tc>
        <w:tc>
          <w:tcPr>
            <w:tcW w:w="1362"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土明渠（包括带草皮）</w:t>
            </w:r>
          </w:p>
        </w:tc>
        <w:tc>
          <w:tcPr>
            <w:tcW w:w="1757"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0.025~0.030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572"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球墨铸铁管</w:t>
            </w:r>
          </w:p>
        </w:tc>
        <w:tc>
          <w:tcPr>
            <w:tcW w:w="1559"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0.011-0.012</w:t>
            </w:r>
          </w:p>
        </w:tc>
        <w:tc>
          <w:tcPr>
            <w:tcW w:w="1362"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干砌块石渠道</w:t>
            </w:r>
          </w:p>
        </w:tc>
        <w:tc>
          <w:tcPr>
            <w:tcW w:w="1757"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0.020~0.025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jc w:val="center"/>
        </w:trPr>
        <w:tc>
          <w:tcPr>
            <w:tcW w:w="3572"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石棉水泥管、钢管</w:t>
            </w:r>
          </w:p>
        </w:tc>
        <w:tc>
          <w:tcPr>
            <w:tcW w:w="1559"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0.012</w:t>
            </w:r>
          </w:p>
        </w:tc>
        <w:tc>
          <w:tcPr>
            <w:tcW w:w="1362"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浆砌块石渠道</w:t>
            </w:r>
          </w:p>
        </w:tc>
        <w:tc>
          <w:tcPr>
            <w:tcW w:w="1757"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0.017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572"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UPVC管、PE管、玻璃钢管</w:t>
            </w:r>
          </w:p>
        </w:tc>
        <w:tc>
          <w:tcPr>
            <w:tcW w:w="1559"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0.009~0.01</w:t>
            </w:r>
          </w:p>
        </w:tc>
        <w:tc>
          <w:tcPr>
            <w:tcW w:w="1362"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浆砌砖渠道</w:t>
            </w:r>
          </w:p>
        </w:tc>
        <w:tc>
          <w:tcPr>
            <w:tcW w:w="1757"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0.015</w:t>
            </w:r>
          </w:p>
        </w:tc>
      </w:tr>
    </w:tbl>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【条文说明】根据现行行业标准《埋地塑料排水管道技术规程》CJJ143-2010，塑料管道的粗糙系数</w:t>
      </w:r>
      <w:r>
        <w:rPr>
          <w:rFonts w:eastAsiaTheme="minorEastAsia"/>
          <w:i/>
          <w:color w:val="000000" w:themeColor="text1"/>
          <w:sz w:val="28"/>
          <w:szCs w:val="28"/>
        </w:rPr>
        <w:t>n</w:t>
      </w:r>
      <w:r>
        <w:rPr>
          <w:rFonts w:eastAsiaTheme="minorEastAsia"/>
          <w:color w:val="000000" w:themeColor="text1"/>
          <w:sz w:val="28"/>
          <w:szCs w:val="28"/>
        </w:rPr>
        <w:t>均为0.009-0.011。具体设计时，可根据管道加工方法和管道使用条件等确定。无资料时，按0.011取值。根据现行《室外给水设计标准》GB 50013，水泥砂浆内衬铸铁管的粗糙系数修改为0.011-0.012。</w:t>
      </w:r>
    </w:p>
    <w:p>
      <w:pPr>
        <w:pStyle w:val="30"/>
        <w:numPr>
          <w:ilvl w:val="0"/>
          <w:numId w:val="1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排水管渠的最大设计充满度和超高，应符合下列规定：</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重力流污水管道应按非满流计算，其最大设计充满度，应按本标准表5.</w:t>
      </w:r>
      <w:r>
        <w:rPr>
          <w:rFonts w:hint="eastAsia" w:eastAsiaTheme="minorEastAsia"/>
          <w:color w:val="000000" w:themeColor="text1"/>
          <w:sz w:val="28"/>
          <w:szCs w:val="28"/>
        </w:rPr>
        <w:t>2</w:t>
      </w:r>
      <w:r>
        <w:rPr>
          <w:rFonts w:eastAsiaTheme="minorEastAsia"/>
          <w:color w:val="000000" w:themeColor="text1"/>
          <w:sz w:val="28"/>
          <w:szCs w:val="28"/>
        </w:rPr>
        <w:t>.4的规定取值；</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表5.</w:t>
      </w:r>
      <w:r>
        <w:rPr>
          <w:rFonts w:hint="eastAsia" w:eastAsiaTheme="minorEastAsia"/>
          <w:b/>
          <w:color w:val="000000" w:themeColor="text1"/>
          <w:sz w:val="28"/>
          <w:szCs w:val="28"/>
        </w:rPr>
        <w:t>2</w:t>
      </w:r>
      <w:r>
        <w:rPr>
          <w:rFonts w:eastAsiaTheme="minorEastAsia"/>
          <w:b/>
          <w:color w:val="000000" w:themeColor="text1"/>
          <w:sz w:val="28"/>
          <w:szCs w:val="28"/>
        </w:rPr>
        <w:t>.4  最大设计充满度</w:t>
      </w:r>
    </w:p>
    <w:tbl>
      <w:tblPr>
        <w:tblStyle w:val="25"/>
        <w:tblW w:w="831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941"/>
        <w:gridCol w:w="33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49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管径或渠高（mm）</w:t>
            </w:r>
          </w:p>
        </w:tc>
        <w:tc>
          <w:tcPr>
            <w:tcW w:w="337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最大设计充满度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49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200~300</w:t>
            </w:r>
          </w:p>
        </w:tc>
        <w:tc>
          <w:tcPr>
            <w:tcW w:w="337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49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350~450</w:t>
            </w:r>
          </w:p>
        </w:tc>
        <w:tc>
          <w:tcPr>
            <w:tcW w:w="337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0.65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jc w:val="center"/>
        </w:trPr>
        <w:tc>
          <w:tcPr>
            <w:tcW w:w="49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500~900</w:t>
            </w:r>
          </w:p>
        </w:tc>
        <w:tc>
          <w:tcPr>
            <w:tcW w:w="337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49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≥1000</w:t>
            </w:r>
          </w:p>
        </w:tc>
        <w:tc>
          <w:tcPr>
            <w:tcW w:w="337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0.75</w:t>
            </w:r>
          </w:p>
        </w:tc>
      </w:tr>
    </w:tbl>
    <w:p>
      <w:pPr>
        <w:wordWrap w:val="0"/>
        <w:spacing w:line="360" w:lineRule="auto"/>
        <w:ind w:left="980" w:leftChars="200" w:hanging="560" w:hangingChars="200"/>
        <w:rPr>
          <w:rFonts w:eastAsiaTheme="minorEastAsia"/>
          <w:color w:val="000000" w:themeColor="text1"/>
          <w:sz w:val="28"/>
          <w:szCs w:val="28"/>
        </w:rPr>
      </w:pPr>
      <w:r>
        <w:rPr>
          <w:rFonts w:eastAsiaTheme="minorEastAsia"/>
          <w:color w:val="000000" w:themeColor="text1"/>
          <w:sz w:val="28"/>
          <w:szCs w:val="28"/>
        </w:rPr>
        <w:t>注：在计算污水管道充满度时，不包括短时突然增加的污水量，但当管径小于或等于300mm时，应按满流复核。</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雨水管道和合流管道应按满流计算；</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明渠超高不得小于0.2m。</w:t>
      </w:r>
    </w:p>
    <w:p>
      <w:pPr>
        <w:pStyle w:val="30"/>
        <w:numPr>
          <w:ilvl w:val="0"/>
          <w:numId w:val="1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排水管道的最大设计流速，宜符合下列规定</w:t>
      </w:r>
      <w:r>
        <w:rPr>
          <w:rFonts w:hint="eastAsia" w:ascii="Times New Roman" w:hAnsi="Times New Roman" w:eastAsiaTheme="minorEastAsia"/>
          <w:color w:val="000000" w:themeColor="text1"/>
          <w:sz w:val="28"/>
          <w:szCs w:val="28"/>
        </w:rPr>
        <w:t>：</w:t>
      </w:r>
      <w:r>
        <w:rPr>
          <w:rFonts w:ascii="Times New Roman" w:hAnsi="Times New Roman" w:eastAsiaTheme="minorEastAsia"/>
          <w:color w:val="000000" w:themeColor="text1"/>
          <w:sz w:val="28"/>
          <w:szCs w:val="28"/>
        </w:rPr>
        <w:t xml:space="preserve"> </w:t>
      </w:r>
    </w:p>
    <w:p>
      <w:pPr>
        <w:pStyle w:val="30"/>
        <w:wordWrap w:val="0"/>
        <w:spacing w:line="360" w:lineRule="auto"/>
        <w:ind w:firstLine="562"/>
        <w:rPr>
          <w:rFonts w:eastAsiaTheme="minorEastAsia"/>
          <w:color w:val="000000" w:themeColor="text1"/>
          <w:sz w:val="28"/>
          <w:szCs w:val="28"/>
        </w:rPr>
      </w:pPr>
      <w:r>
        <w:rPr>
          <w:rFonts w:eastAsiaTheme="minorEastAsia"/>
          <w:b/>
          <w:color w:val="000000" w:themeColor="text1"/>
          <w:sz w:val="28"/>
          <w:szCs w:val="28"/>
        </w:rPr>
        <w:t xml:space="preserve">1 </w:t>
      </w:r>
      <w:r>
        <w:rPr>
          <w:rFonts w:eastAsiaTheme="minorEastAsia"/>
          <w:color w:val="000000" w:themeColor="text1"/>
          <w:sz w:val="28"/>
          <w:szCs w:val="28"/>
        </w:rPr>
        <w:t>金属管道</w:t>
      </w:r>
      <w:r>
        <w:rPr>
          <w:rFonts w:hint="eastAsia" w:eastAsiaTheme="minorEastAsia"/>
          <w:color w:val="000000" w:themeColor="text1"/>
          <w:sz w:val="28"/>
          <w:szCs w:val="28"/>
        </w:rPr>
        <w:t>宜</w:t>
      </w:r>
      <w:r>
        <w:rPr>
          <w:rFonts w:eastAsiaTheme="minorEastAsia"/>
          <w:color w:val="000000" w:themeColor="text1"/>
          <w:sz w:val="28"/>
          <w:szCs w:val="28"/>
        </w:rPr>
        <w:t>为 10.0m/s；</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非金属管道</w:t>
      </w:r>
      <w:r>
        <w:rPr>
          <w:rFonts w:hint="eastAsia" w:eastAsiaTheme="minorEastAsia"/>
          <w:color w:val="000000" w:themeColor="text1"/>
          <w:sz w:val="28"/>
          <w:szCs w:val="28"/>
        </w:rPr>
        <w:t>宜</w:t>
      </w:r>
      <w:r>
        <w:rPr>
          <w:rFonts w:eastAsiaTheme="minorEastAsia"/>
          <w:color w:val="000000" w:themeColor="text1"/>
          <w:sz w:val="28"/>
          <w:szCs w:val="28"/>
        </w:rPr>
        <w:t>为5.0m/s</w:t>
      </w:r>
      <w:r>
        <w:rPr>
          <w:rFonts w:hint="eastAsia" w:eastAsiaTheme="minorEastAsia"/>
          <w:color w:val="000000" w:themeColor="text1"/>
          <w:sz w:val="28"/>
          <w:szCs w:val="28"/>
        </w:rPr>
        <w:t>，</w:t>
      </w:r>
      <w:r>
        <w:rPr>
          <w:rFonts w:eastAsiaTheme="minorEastAsia"/>
          <w:color w:val="000000" w:themeColor="text1"/>
          <w:sz w:val="28"/>
          <w:szCs w:val="28"/>
        </w:rPr>
        <w:t>经试验验证可适当提高。</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非金属管种类繁多，耐冲刷等性能各异。我国幅员辽阔，各地地形差异较大，山城重庆有些管渠的埋设坡度达到10%以上，甚至达到20%，实践证明，在污水计算流速达到最大设计流速3倍或以上的情况下，部分钢筋混凝土管和硬聚氯乙烯管等非金属管道仍可正常工作。南宁市某排水系统，采用钢筋混凝土管，管径为1800mm，最高流速为7.2m/s，投入运行后无破损，管道和接口无渗水，管内基本无淤泥沉积，使用效果良好。根据塑料管道试验结果，分别采用含7%和14%石英砂、流速为7.0m/s的水对聚乙烯管和钢管进行试验对比，结果显示聚乙烯管的耐磨性优于钢管。根据以上情况，规定通过试验验证，可适当提高非金属管道最大设计流速。</w:t>
      </w:r>
    </w:p>
    <w:p>
      <w:pPr>
        <w:pStyle w:val="30"/>
        <w:numPr>
          <w:ilvl w:val="0"/>
          <w:numId w:val="1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排水明渠的最大设计流速，应符合下列规定：</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当水流深度为0.4m~1.0 m时，宜按本标准表5.</w:t>
      </w:r>
      <w:r>
        <w:rPr>
          <w:rFonts w:hint="eastAsia" w:eastAsiaTheme="minorEastAsia"/>
          <w:color w:val="000000" w:themeColor="text1"/>
          <w:sz w:val="28"/>
          <w:szCs w:val="28"/>
        </w:rPr>
        <w:t>2</w:t>
      </w:r>
      <w:r>
        <w:rPr>
          <w:rFonts w:eastAsiaTheme="minorEastAsia"/>
          <w:color w:val="000000" w:themeColor="text1"/>
          <w:sz w:val="28"/>
          <w:szCs w:val="28"/>
        </w:rPr>
        <w:t>.6的规定取值。</w:t>
      </w:r>
    </w:p>
    <w:p>
      <w:pPr>
        <w:wordWrap w:val="0"/>
        <w:spacing w:line="360" w:lineRule="auto"/>
        <w:ind w:firstLine="427" w:firstLineChars="152"/>
        <w:jc w:val="center"/>
        <w:rPr>
          <w:rFonts w:eastAsiaTheme="minorEastAsia"/>
          <w:b/>
          <w:color w:val="000000" w:themeColor="text1"/>
          <w:sz w:val="28"/>
          <w:szCs w:val="28"/>
        </w:rPr>
      </w:pPr>
      <w:r>
        <w:rPr>
          <w:rFonts w:eastAsiaTheme="minorEastAsia"/>
          <w:b/>
          <w:color w:val="000000" w:themeColor="text1"/>
          <w:sz w:val="28"/>
          <w:szCs w:val="28"/>
        </w:rPr>
        <w:t>表5.</w:t>
      </w:r>
      <w:r>
        <w:rPr>
          <w:rFonts w:hint="eastAsia" w:eastAsiaTheme="minorEastAsia"/>
          <w:b/>
          <w:color w:val="000000" w:themeColor="text1"/>
          <w:sz w:val="28"/>
          <w:szCs w:val="28"/>
        </w:rPr>
        <w:t>2</w:t>
      </w:r>
      <w:r>
        <w:rPr>
          <w:rFonts w:eastAsiaTheme="minorEastAsia"/>
          <w:b/>
          <w:color w:val="000000" w:themeColor="text1"/>
          <w:sz w:val="28"/>
          <w:szCs w:val="28"/>
        </w:rPr>
        <w:t>.6  排水明渠最大设计流速</w:t>
      </w:r>
    </w:p>
    <w:tbl>
      <w:tblPr>
        <w:tblStyle w:val="25"/>
        <w:tblW w:w="6545"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568"/>
        <w:gridCol w:w="29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56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明渠类别</w:t>
            </w:r>
          </w:p>
        </w:tc>
        <w:tc>
          <w:tcPr>
            <w:tcW w:w="297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最大设计流速（m/s）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56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粗砂或低塑性粉质黏土</w:t>
            </w:r>
          </w:p>
        </w:tc>
        <w:tc>
          <w:tcPr>
            <w:tcW w:w="297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56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粉质黏土</w:t>
            </w:r>
          </w:p>
        </w:tc>
        <w:tc>
          <w:tcPr>
            <w:tcW w:w="297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jc w:val="center"/>
        </w:trPr>
        <w:tc>
          <w:tcPr>
            <w:tcW w:w="356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黏土</w:t>
            </w:r>
          </w:p>
        </w:tc>
        <w:tc>
          <w:tcPr>
            <w:tcW w:w="297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56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草皮护面</w:t>
            </w:r>
          </w:p>
        </w:tc>
        <w:tc>
          <w:tcPr>
            <w:tcW w:w="297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56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干砌块石</w:t>
            </w:r>
          </w:p>
        </w:tc>
        <w:tc>
          <w:tcPr>
            <w:tcW w:w="297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56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浆砌块石或浆砌砖</w:t>
            </w:r>
          </w:p>
        </w:tc>
        <w:tc>
          <w:tcPr>
            <w:tcW w:w="297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jc w:val="center"/>
        </w:trPr>
        <w:tc>
          <w:tcPr>
            <w:tcW w:w="356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石灰岩和中砂岩</w:t>
            </w:r>
          </w:p>
        </w:tc>
        <w:tc>
          <w:tcPr>
            <w:tcW w:w="297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56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混凝土</w:t>
            </w:r>
          </w:p>
        </w:tc>
        <w:tc>
          <w:tcPr>
            <w:tcW w:w="297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4.0</w:t>
            </w:r>
          </w:p>
        </w:tc>
      </w:tr>
    </w:tbl>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 xml:space="preserve">2 </w:t>
      </w:r>
      <w:r>
        <w:rPr>
          <w:rFonts w:eastAsiaTheme="minorEastAsia"/>
          <w:color w:val="000000" w:themeColor="text1"/>
          <w:sz w:val="28"/>
          <w:szCs w:val="28"/>
        </w:rPr>
        <w:t>当水流深度在0.4m~1.0 m范围以外时，本标准表5.</w:t>
      </w:r>
      <w:r>
        <w:rPr>
          <w:rFonts w:hint="eastAsia" w:eastAsiaTheme="minorEastAsia"/>
          <w:color w:val="000000" w:themeColor="text1"/>
          <w:sz w:val="28"/>
          <w:szCs w:val="28"/>
        </w:rPr>
        <w:t>2</w:t>
      </w:r>
      <w:r>
        <w:rPr>
          <w:rFonts w:eastAsiaTheme="minorEastAsia"/>
          <w:color w:val="000000" w:themeColor="text1"/>
          <w:sz w:val="28"/>
          <w:szCs w:val="28"/>
        </w:rPr>
        <w:t>.6所列最大设计流速宜乘以下列系数：</w:t>
      </w:r>
    </w:p>
    <w:p>
      <w:pPr>
        <w:wordWrap w:val="0"/>
        <w:spacing w:line="360" w:lineRule="auto"/>
        <w:ind w:firstLine="560" w:firstLineChars="200"/>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rPr>
        <w:t>&lt;0.4 m          0.85；</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1.0m&lt;</w:t>
      </w:r>
      <w:r>
        <w:rPr>
          <w:rFonts w:eastAsiaTheme="minorEastAsia"/>
          <w:i/>
          <w:color w:val="000000" w:themeColor="text1"/>
          <w:sz w:val="28"/>
          <w:szCs w:val="28"/>
        </w:rPr>
        <w:t>h</w:t>
      </w:r>
      <w:r>
        <w:rPr>
          <w:rFonts w:eastAsiaTheme="minorEastAsia"/>
          <w:color w:val="000000" w:themeColor="text1"/>
          <w:sz w:val="28"/>
          <w:szCs w:val="28"/>
        </w:rPr>
        <w:t>&lt;2.0 m      1.25；</w:t>
      </w:r>
    </w:p>
    <w:p>
      <w:pPr>
        <w:wordWrap w:val="0"/>
        <w:spacing w:line="360" w:lineRule="auto"/>
        <w:ind w:firstLine="560" w:firstLineChars="200"/>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rPr>
        <w:t>≥2.0 m          1.40。</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注：</w:t>
      </w:r>
      <w:r>
        <w:rPr>
          <w:rFonts w:eastAsiaTheme="minorEastAsia"/>
          <w:i/>
          <w:color w:val="000000" w:themeColor="text1"/>
          <w:sz w:val="28"/>
          <w:szCs w:val="28"/>
        </w:rPr>
        <w:t>h</w:t>
      </w:r>
      <w:r>
        <w:rPr>
          <w:rFonts w:eastAsiaTheme="minorEastAsia"/>
          <w:color w:val="000000" w:themeColor="text1"/>
          <w:sz w:val="28"/>
          <w:szCs w:val="28"/>
        </w:rPr>
        <w:t>为水深。</w:t>
      </w:r>
    </w:p>
    <w:p>
      <w:pPr>
        <w:pStyle w:val="30"/>
        <w:numPr>
          <w:ilvl w:val="0"/>
          <w:numId w:val="1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排水管渠的最小设计流速，应符合下列规定：</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污水管道在设计充满度下</w:t>
      </w:r>
      <w:r>
        <w:rPr>
          <w:rFonts w:hint="eastAsia" w:eastAsiaTheme="minorEastAsia"/>
          <w:color w:val="000000" w:themeColor="text1"/>
          <w:sz w:val="28"/>
          <w:szCs w:val="28"/>
        </w:rPr>
        <w:t>应</w:t>
      </w:r>
      <w:r>
        <w:rPr>
          <w:rFonts w:eastAsiaTheme="minorEastAsia"/>
          <w:color w:val="000000" w:themeColor="text1"/>
          <w:sz w:val="28"/>
          <w:szCs w:val="28"/>
        </w:rPr>
        <w:t>为0.6m/s；</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雨水管道和合流管道在满流时</w:t>
      </w:r>
      <w:r>
        <w:rPr>
          <w:rFonts w:hint="eastAsia" w:eastAsiaTheme="minorEastAsia"/>
          <w:color w:val="000000" w:themeColor="text1"/>
          <w:sz w:val="28"/>
          <w:szCs w:val="28"/>
        </w:rPr>
        <w:t>应</w:t>
      </w:r>
      <w:r>
        <w:rPr>
          <w:rFonts w:eastAsiaTheme="minorEastAsia"/>
          <w:color w:val="000000" w:themeColor="text1"/>
          <w:sz w:val="28"/>
          <w:szCs w:val="28"/>
        </w:rPr>
        <w:t>为0.75m/s；</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明渠</w:t>
      </w:r>
      <w:r>
        <w:rPr>
          <w:rFonts w:hint="eastAsia" w:eastAsiaTheme="minorEastAsia"/>
          <w:color w:val="000000" w:themeColor="text1"/>
          <w:sz w:val="28"/>
          <w:szCs w:val="28"/>
        </w:rPr>
        <w:t>应</w:t>
      </w:r>
      <w:r>
        <w:rPr>
          <w:rFonts w:eastAsiaTheme="minorEastAsia"/>
          <w:color w:val="000000" w:themeColor="text1"/>
          <w:sz w:val="28"/>
          <w:szCs w:val="28"/>
        </w:rPr>
        <w:t>为0.4m/s；</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设计流速不满足最小设计流速时，应增设清淤措施。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【条文说明】含有金属、矿物固体或重油杂质等的污水管道，其最小设计流速宜适当加大。当起点污水管段中的流速不能满足条文中的规定时，应按本标准表5.</w:t>
      </w:r>
      <w:r>
        <w:rPr>
          <w:rFonts w:hint="eastAsia" w:eastAsiaTheme="minorEastAsia"/>
          <w:color w:val="000000" w:themeColor="text1"/>
          <w:sz w:val="28"/>
          <w:szCs w:val="28"/>
        </w:rPr>
        <w:t>2</w:t>
      </w:r>
      <w:r>
        <w:rPr>
          <w:rFonts w:eastAsiaTheme="minorEastAsia"/>
          <w:color w:val="000000" w:themeColor="text1"/>
          <w:sz w:val="28"/>
          <w:szCs w:val="28"/>
        </w:rPr>
        <w:t>.10的规定取值。</w:t>
      </w:r>
    </w:p>
    <w:p>
      <w:pPr>
        <w:pStyle w:val="30"/>
        <w:numPr>
          <w:ilvl w:val="0"/>
          <w:numId w:val="1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压力输泥管的最小设计流速，一般可按本标准表5.</w:t>
      </w:r>
      <w:r>
        <w:rPr>
          <w:rFonts w:hint="eastAsia" w:ascii="Times New Roman" w:hAnsi="Times New Roman" w:eastAsiaTheme="minorEastAsia"/>
          <w:color w:val="000000" w:themeColor="text1"/>
          <w:sz w:val="28"/>
          <w:szCs w:val="28"/>
        </w:rPr>
        <w:t>2</w:t>
      </w:r>
      <w:r>
        <w:rPr>
          <w:rFonts w:ascii="Times New Roman" w:hAnsi="Times New Roman" w:eastAsiaTheme="minorEastAsia"/>
          <w:color w:val="000000" w:themeColor="text1"/>
          <w:sz w:val="28"/>
          <w:szCs w:val="28"/>
        </w:rPr>
        <w:t>.8的规定取值。</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表5.</w:t>
      </w:r>
      <w:r>
        <w:rPr>
          <w:rFonts w:hint="eastAsia" w:eastAsiaTheme="minorEastAsia"/>
          <w:b/>
          <w:color w:val="000000" w:themeColor="text1"/>
          <w:sz w:val="28"/>
          <w:szCs w:val="28"/>
        </w:rPr>
        <w:t>2</w:t>
      </w:r>
      <w:r>
        <w:rPr>
          <w:rFonts w:eastAsiaTheme="minorEastAsia"/>
          <w:b/>
          <w:color w:val="000000" w:themeColor="text1"/>
          <w:sz w:val="28"/>
          <w:szCs w:val="28"/>
        </w:rPr>
        <w:t>.8 压力输泥管最小设计流速</w:t>
      </w:r>
    </w:p>
    <w:tbl>
      <w:tblPr>
        <w:tblStyle w:val="25"/>
        <w:tblW w:w="7727"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34"/>
        <w:gridCol w:w="2813"/>
        <w:gridCol w:w="26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88" w:hRule="atLeast"/>
          <w:jc w:val="center"/>
        </w:trPr>
        <w:tc>
          <w:tcPr>
            <w:tcW w:w="2234"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污泥含水率（%）</w:t>
            </w:r>
          </w:p>
        </w:tc>
        <w:tc>
          <w:tcPr>
            <w:tcW w:w="5493" w:type="dxa"/>
            <w:gridSpan w:val="2"/>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最小设计流速（m/s）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87" w:hRule="atLeast"/>
          <w:jc w:val="center"/>
        </w:trPr>
        <w:tc>
          <w:tcPr>
            <w:tcW w:w="2234" w:type="dxa"/>
            <w:vMerge w:val="continue"/>
            <w:vAlign w:val="center"/>
          </w:tcPr>
          <w:p>
            <w:pPr>
              <w:wordWrap w:val="0"/>
              <w:spacing w:line="360" w:lineRule="auto"/>
              <w:jc w:val="center"/>
              <w:rPr>
                <w:rFonts w:eastAsiaTheme="minorEastAsia"/>
                <w:color w:val="000000" w:themeColor="text1"/>
                <w:sz w:val="28"/>
                <w:szCs w:val="28"/>
              </w:rPr>
            </w:pPr>
          </w:p>
        </w:tc>
        <w:tc>
          <w:tcPr>
            <w:tcW w:w="2813"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管径150mm~250mm</w:t>
            </w:r>
          </w:p>
        </w:tc>
        <w:tc>
          <w:tcPr>
            <w:tcW w:w="2680"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管径300mm~400mm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87" w:hRule="atLeast"/>
          <w:jc w:val="center"/>
        </w:trPr>
        <w:tc>
          <w:tcPr>
            <w:tcW w:w="2234"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90</w:t>
            </w:r>
          </w:p>
        </w:tc>
        <w:tc>
          <w:tcPr>
            <w:tcW w:w="2813"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w:t>
            </w:r>
          </w:p>
        </w:tc>
        <w:tc>
          <w:tcPr>
            <w:tcW w:w="2680"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87" w:hRule="atLeast"/>
          <w:jc w:val="center"/>
        </w:trPr>
        <w:tc>
          <w:tcPr>
            <w:tcW w:w="2234"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91</w:t>
            </w:r>
          </w:p>
        </w:tc>
        <w:tc>
          <w:tcPr>
            <w:tcW w:w="2813"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1.4</w:t>
            </w:r>
          </w:p>
        </w:tc>
        <w:tc>
          <w:tcPr>
            <w:tcW w:w="2680"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87" w:hRule="atLeast"/>
          <w:jc w:val="center"/>
        </w:trPr>
        <w:tc>
          <w:tcPr>
            <w:tcW w:w="2234"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92</w:t>
            </w:r>
          </w:p>
        </w:tc>
        <w:tc>
          <w:tcPr>
            <w:tcW w:w="2813"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1.3</w:t>
            </w:r>
          </w:p>
        </w:tc>
        <w:tc>
          <w:tcPr>
            <w:tcW w:w="2680"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187" w:hRule="atLeast"/>
          <w:jc w:val="center"/>
        </w:trPr>
        <w:tc>
          <w:tcPr>
            <w:tcW w:w="2234"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93</w:t>
            </w:r>
          </w:p>
        </w:tc>
        <w:tc>
          <w:tcPr>
            <w:tcW w:w="2813"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1.2</w:t>
            </w:r>
          </w:p>
        </w:tc>
        <w:tc>
          <w:tcPr>
            <w:tcW w:w="2680"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87" w:hRule="atLeast"/>
          <w:jc w:val="center"/>
        </w:trPr>
        <w:tc>
          <w:tcPr>
            <w:tcW w:w="2234"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94</w:t>
            </w:r>
          </w:p>
        </w:tc>
        <w:tc>
          <w:tcPr>
            <w:tcW w:w="2813"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1.1</w:t>
            </w:r>
          </w:p>
        </w:tc>
        <w:tc>
          <w:tcPr>
            <w:tcW w:w="2680"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87" w:hRule="atLeast"/>
          <w:jc w:val="center"/>
        </w:trPr>
        <w:tc>
          <w:tcPr>
            <w:tcW w:w="2234"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95</w:t>
            </w:r>
          </w:p>
        </w:tc>
        <w:tc>
          <w:tcPr>
            <w:tcW w:w="2813"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w:t>
            </w:r>
          </w:p>
        </w:tc>
        <w:tc>
          <w:tcPr>
            <w:tcW w:w="2680"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87" w:hRule="atLeast"/>
          <w:jc w:val="center"/>
        </w:trPr>
        <w:tc>
          <w:tcPr>
            <w:tcW w:w="2234"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96</w:t>
            </w:r>
          </w:p>
        </w:tc>
        <w:tc>
          <w:tcPr>
            <w:tcW w:w="2813"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0.9</w:t>
            </w:r>
          </w:p>
        </w:tc>
        <w:tc>
          <w:tcPr>
            <w:tcW w:w="2680"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87" w:hRule="atLeast"/>
          <w:jc w:val="center"/>
        </w:trPr>
        <w:tc>
          <w:tcPr>
            <w:tcW w:w="2234"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97</w:t>
            </w:r>
          </w:p>
        </w:tc>
        <w:tc>
          <w:tcPr>
            <w:tcW w:w="2813"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0.8</w:t>
            </w:r>
          </w:p>
        </w:tc>
        <w:tc>
          <w:tcPr>
            <w:tcW w:w="2680"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87" w:hRule="atLeast"/>
          <w:jc w:val="center"/>
        </w:trPr>
        <w:tc>
          <w:tcPr>
            <w:tcW w:w="2234"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98</w:t>
            </w:r>
          </w:p>
        </w:tc>
        <w:tc>
          <w:tcPr>
            <w:tcW w:w="2813"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0.7</w:t>
            </w:r>
          </w:p>
        </w:tc>
        <w:tc>
          <w:tcPr>
            <w:tcW w:w="2680"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0.8</w:t>
            </w:r>
          </w:p>
        </w:tc>
      </w:tr>
    </w:tbl>
    <w:p>
      <w:pPr>
        <w:pStyle w:val="30"/>
        <w:numPr>
          <w:ilvl w:val="0"/>
          <w:numId w:val="1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排水管道采用压力流时，压力管道的设计流速宜采用0.7m/s~</w:t>
      </w:r>
    </w:p>
    <w:p>
      <w:pPr>
        <w:pStyle w:val="30"/>
        <w:numPr>
          <w:ilvl w:val="0"/>
          <w:numId w:val="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2.0m/s。</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【条文说明】压力管道在排水工程泵站输水中较为适用。使用压力管道，可以减少埋深、缩小管径、便于施工。但应综合考虑管材强度，压力管道长度，水流条件等因素，确定经济流速。</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随着综合管廊的不断普及，污水压力输送也给污水管入廊创造良好条件。</w:t>
      </w:r>
    </w:p>
    <w:p>
      <w:pPr>
        <w:pStyle w:val="30"/>
        <w:numPr>
          <w:ilvl w:val="0"/>
          <w:numId w:val="1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排水管道的最小管径与相应最小设计坡度，宜按本标准表5.</w:t>
      </w:r>
      <w:r>
        <w:rPr>
          <w:rFonts w:hint="eastAsia" w:ascii="Times New Roman" w:hAnsi="Times New Roman" w:eastAsiaTheme="minorEastAsia"/>
          <w:color w:val="000000" w:themeColor="text1"/>
          <w:sz w:val="28"/>
          <w:szCs w:val="28"/>
        </w:rPr>
        <w:t>2</w:t>
      </w:r>
      <w:r>
        <w:rPr>
          <w:rFonts w:ascii="Times New Roman" w:hAnsi="Times New Roman" w:eastAsiaTheme="minorEastAsia"/>
          <w:color w:val="000000" w:themeColor="text1"/>
          <w:sz w:val="28"/>
          <w:szCs w:val="28"/>
        </w:rPr>
        <w:t>.10的规定取值。</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表5.</w:t>
      </w:r>
      <w:r>
        <w:rPr>
          <w:rFonts w:hint="eastAsia" w:eastAsiaTheme="minorEastAsia"/>
          <w:b/>
          <w:color w:val="000000" w:themeColor="text1"/>
          <w:sz w:val="28"/>
          <w:szCs w:val="28"/>
        </w:rPr>
        <w:t>2</w:t>
      </w:r>
      <w:r>
        <w:rPr>
          <w:rFonts w:eastAsiaTheme="minorEastAsia"/>
          <w:b/>
          <w:color w:val="000000" w:themeColor="text1"/>
          <w:sz w:val="28"/>
          <w:szCs w:val="28"/>
        </w:rPr>
        <w:t>.10 最小管径与相应最小设计坡度</w:t>
      </w:r>
    </w:p>
    <w:tbl>
      <w:tblPr>
        <w:tblStyle w:val="25"/>
        <w:tblW w:w="800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403"/>
        <w:gridCol w:w="2072"/>
        <w:gridCol w:w="353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240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管道类别</w:t>
            </w:r>
          </w:p>
        </w:tc>
        <w:tc>
          <w:tcPr>
            <w:tcW w:w="20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最小管径（mm）</w:t>
            </w:r>
          </w:p>
        </w:tc>
        <w:tc>
          <w:tcPr>
            <w:tcW w:w="353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相应最小设计坡度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240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污水管</w:t>
            </w:r>
          </w:p>
        </w:tc>
        <w:tc>
          <w:tcPr>
            <w:tcW w:w="20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300</w:t>
            </w:r>
          </w:p>
        </w:tc>
        <w:tc>
          <w:tcPr>
            <w:tcW w:w="353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塑料管0.002，其他管0.003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240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雨水管和合流管</w:t>
            </w:r>
          </w:p>
        </w:tc>
        <w:tc>
          <w:tcPr>
            <w:tcW w:w="20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300</w:t>
            </w:r>
          </w:p>
        </w:tc>
        <w:tc>
          <w:tcPr>
            <w:tcW w:w="353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塑料管0.002，其他管0.003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240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雨水口连接管</w:t>
            </w:r>
          </w:p>
        </w:tc>
        <w:tc>
          <w:tcPr>
            <w:tcW w:w="20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200</w:t>
            </w:r>
          </w:p>
        </w:tc>
        <w:tc>
          <w:tcPr>
            <w:tcW w:w="353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240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压力输泥管</w:t>
            </w:r>
          </w:p>
        </w:tc>
        <w:tc>
          <w:tcPr>
            <w:tcW w:w="20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150</w:t>
            </w:r>
          </w:p>
        </w:tc>
        <w:tc>
          <w:tcPr>
            <w:tcW w:w="353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315" w:hRule="atLeast"/>
          <w:jc w:val="center"/>
        </w:trPr>
        <w:tc>
          <w:tcPr>
            <w:tcW w:w="240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重力输泥管</w:t>
            </w:r>
          </w:p>
        </w:tc>
        <w:tc>
          <w:tcPr>
            <w:tcW w:w="20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200</w:t>
            </w:r>
          </w:p>
        </w:tc>
        <w:tc>
          <w:tcPr>
            <w:tcW w:w="353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0.01</w:t>
            </w:r>
          </w:p>
        </w:tc>
      </w:tr>
    </w:tbl>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随着城镇建设发展，街道楼房增多，排水量增大，应适当增大最小管径，并调整最小设计坡度。常用管径的最小设计坡度，可按设计充满度下不淤流速控制，当管道坡度不能满足不淤流速要求时，应有防淤、清淤措施。通常管径的最小设计坡度见表9。</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表9 常用管径的最小设计坡度（钢筋混凝土管非满流）</w:t>
      </w:r>
    </w:p>
    <w:tbl>
      <w:tblPr>
        <w:tblStyle w:val="25"/>
        <w:tblW w:w="5386" w:type="dxa"/>
        <w:tblInd w:w="1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35"/>
        <w:gridCol w:w="26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7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管径(mm)</w:t>
            </w:r>
          </w:p>
        </w:tc>
        <w:tc>
          <w:tcPr>
            <w:tcW w:w="2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最小设计坡度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7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400</w:t>
            </w:r>
          </w:p>
        </w:tc>
        <w:tc>
          <w:tcPr>
            <w:tcW w:w="2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7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500</w:t>
            </w:r>
          </w:p>
        </w:tc>
        <w:tc>
          <w:tcPr>
            <w:tcW w:w="2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7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600</w:t>
            </w:r>
          </w:p>
        </w:tc>
        <w:tc>
          <w:tcPr>
            <w:tcW w:w="2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7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800</w:t>
            </w:r>
          </w:p>
        </w:tc>
        <w:tc>
          <w:tcPr>
            <w:tcW w:w="2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7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1000</w:t>
            </w:r>
          </w:p>
        </w:tc>
        <w:tc>
          <w:tcPr>
            <w:tcW w:w="2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7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1200</w:t>
            </w:r>
          </w:p>
        </w:tc>
        <w:tc>
          <w:tcPr>
            <w:tcW w:w="2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7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1400</w:t>
            </w:r>
          </w:p>
        </w:tc>
        <w:tc>
          <w:tcPr>
            <w:tcW w:w="2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7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1500</w:t>
            </w:r>
          </w:p>
        </w:tc>
        <w:tc>
          <w:tcPr>
            <w:tcW w:w="2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0.0005</w:t>
            </w:r>
          </w:p>
        </w:tc>
      </w:tr>
    </w:tbl>
    <w:p>
      <w:pPr>
        <w:pStyle w:val="30"/>
        <w:numPr>
          <w:ilvl w:val="0"/>
          <w:numId w:val="1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管道在坡度变陡处，其管径可根据水力计算确定</w:t>
      </w:r>
      <w:r>
        <w:rPr>
          <w:rFonts w:hint="eastAsia" w:ascii="Times New Roman" w:hAnsi="Times New Roman" w:eastAsiaTheme="minorEastAsia"/>
          <w:color w:val="000000" w:themeColor="text1"/>
          <w:sz w:val="28"/>
          <w:szCs w:val="28"/>
        </w:rPr>
        <w:t>，</w:t>
      </w:r>
      <w:r>
        <w:rPr>
          <w:rFonts w:ascii="Times New Roman" w:hAnsi="Times New Roman" w:eastAsiaTheme="minorEastAsia"/>
          <w:color w:val="000000" w:themeColor="text1"/>
          <w:sz w:val="28"/>
          <w:szCs w:val="28"/>
        </w:rPr>
        <w:t>由大改小，但不得超过2级，并不得小于相应条件下的最小管径。</w:t>
      </w:r>
    </w:p>
    <w:p>
      <w:pPr>
        <w:wordWrap w:val="0"/>
        <w:rPr>
          <w:rFonts w:eastAsiaTheme="minorEastAsia"/>
          <w:color w:val="000000" w:themeColor="text1"/>
          <w:sz w:val="28"/>
          <w:szCs w:val="28"/>
        </w:rPr>
      </w:pP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23" w:name="_Toc515281036"/>
      <w:r>
        <w:rPr>
          <w:rFonts w:ascii="Times New Roman" w:hAnsi="Times New Roman" w:eastAsiaTheme="minorEastAsia"/>
          <w:b w:val="0"/>
          <w:color w:val="000000" w:themeColor="text1"/>
          <w:sz w:val="28"/>
          <w:szCs w:val="28"/>
        </w:rPr>
        <w:t>管道</w:t>
      </w:r>
      <w:bookmarkEnd w:id="23"/>
    </w:p>
    <w:p>
      <w:pPr>
        <w:pStyle w:val="30"/>
        <w:numPr>
          <w:ilvl w:val="0"/>
          <w:numId w:val="1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不同直径的管道在检查井内的连接，应采用管顶平接或水面平接。</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【条文说明】采用管顶平接，可便利施工，但可能增加管道埋深；采用管道内按设计水面平接，可减少埋深，但施工不便，易发生误差。设计时应因地制宜选用不同的连接方式。</w:t>
      </w:r>
    </w:p>
    <w:p>
      <w:pPr>
        <w:pStyle w:val="30"/>
        <w:numPr>
          <w:ilvl w:val="0"/>
          <w:numId w:val="16"/>
        </w:numPr>
        <w:wordWrap w:val="0"/>
        <w:spacing w:line="360" w:lineRule="auto"/>
        <w:ind w:left="0" w:firstLine="0" w:firstLineChars="0"/>
        <w:rPr>
          <w:rFonts w:eastAsiaTheme="minorEastAsia"/>
          <w:color w:val="000000" w:themeColor="text1"/>
          <w:sz w:val="28"/>
          <w:szCs w:val="28"/>
        </w:rPr>
      </w:pPr>
      <w:r>
        <w:rPr>
          <w:rFonts w:ascii="Times New Roman" w:hAnsi="Times New Roman" w:eastAsiaTheme="minorEastAsia"/>
          <w:color w:val="000000" w:themeColor="text1"/>
          <w:sz w:val="28"/>
          <w:szCs w:val="28"/>
        </w:rPr>
        <w:t>管道转弯和交接处，其水流转角不应小于90°。当管径小于等于300mm，跌水水头大于0.3 m时，可不受此限制。</w:t>
      </w:r>
    </w:p>
    <w:p>
      <w:pPr>
        <w:pStyle w:val="30"/>
        <w:numPr>
          <w:ilvl w:val="0"/>
          <w:numId w:val="1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管道基础应根据管道材质、管道接口和地质条件确定，对地基松软或不均匀沉降地段，管道基础应采取加固措施。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为了防止污水外泄污染环境，同时也为了防止地下水内渗，以及保证污水管道使用年限，管道基础的处理非常重要，对排水管道的基础处理应严格执行国家相关标准的规定。对于各种化学制品管材，也应严格按照相关施工规范处理好管道基础。</w:t>
      </w:r>
    </w:p>
    <w:p>
      <w:pPr>
        <w:pStyle w:val="30"/>
        <w:numPr>
          <w:ilvl w:val="0"/>
          <w:numId w:val="1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管道接口应根据管道材质和地质条件确定，并应符合现行国家标准《室外给水排水和燃气热力工程抗震设计规范》GB 50032的要求。当管道穿过粉砂、细砂层并在最高地下水位以下，或在地震设防烈度为7度及以上设防区时，必须采用柔性接口。</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【条文说明】根据现行国家标准《室外给水排水和燃气热力工程抗震设计规范》GB 50032的要求，排水管道采用承插式管道时，应采用柔性接口避免不均匀沉降或地震造成的接口错位。</w:t>
      </w:r>
    </w:p>
    <w:p>
      <w:pPr>
        <w:pStyle w:val="30"/>
        <w:numPr>
          <w:ilvl w:val="0"/>
          <w:numId w:val="1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当矩形钢筋混凝土箱涵敷设在软土地基或不均匀地基上时，宜采用钢带橡胶止水圈结合上下企口式接口形式。</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钢筋混凝土箱涵一般采用平接口，抗地基不均匀沉降能力较差，在顶部覆土和附加荷载的作用下，易引起箱涵接口上、下严重错位和翘曲变形，造成箱涵接口止水带的变形，形成箱涵混凝土与橡胶接口止水带之间的空隙，严重的会使止水带拉裂，最终导致漏水。钢带橡胶止水圈采用复合型止水带，突破了原橡胶止水带的单一材料结构形式，具有较好的抗渗漏性能。箱涵接口采用上下企口抗错位的新结构形式，能限制接口上下错位和翘曲变形。</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上海市污水治理二期工程敷设的41km的矩形箱涵，采用钢带橡胶止水圈，经过多年的运行，除外环线施工时堆土较大，超出设计值造成漏水外，其余均未发现接口渗漏现象。</w:t>
      </w:r>
    </w:p>
    <w:p>
      <w:pPr>
        <w:pStyle w:val="30"/>
        <w:numPr>
          <w:ilvl w:val="0"/>
          <w:numId w:val="1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设计排水管道时，应防止在压力流情况下使接户管发生倒灌。</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【条文说明】明确指出设计排水管道时，应防止在压力流情况下使接户管发生倒灌溢水。</w:t>
      </w:r>
    </w:p>
    <w:p>
      <w:pPr>
        <w:pStyle w:val="30"/>
        <w:numPr>
          <w:ilvl w:val="0"/>
          <w:numId w:val="1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污水管道和合流管道应根据需要设通风设施。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为防止发生人员中毒、爆炸起火等事故，应排除管道内产生的有毒有害气体，为此，根据管道内产生气体情况、水力条件、周围环境，在下列地点可考虑设通风设施：在管道充满度较高的管段内，设有沉泥槽处，管道转弯处，倒虹管进、出水处，管道高程有突变处。</w:t>
      </w:r>
    </w:p>
    <w:p>
      <w:pPr>
        <w:pStyle w:val="30"/>
        <w:numPr>
          <w:ilvl w:val="0"/>
          <w:numId w:val="1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管顶最小覆土深度，应根据管材强度、外部荷载、土壤冰冻深度和土壤性质等条件，结合当地埋管经验确定。管顶最小覆土深度宜为：人行道下0.6m，车行道下0.7m。</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【条文说明】一般情况下，宜执行最小覆土深度的规定：人行道下0.6m，车行道下0.7m。不能执行上述规定时，需对管道采取加固措施。</w:t>
      </w:r>
    </w:p>
    <w:p>
      <w:pPr>
        <w:pStyle w:val="30"/>
        <w:numPr>
          <w:ilvl w:val="0"/>
          <w:numId w:val="1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冰冻地区的排水管道宜埋设在冰冻线以下。当该地区或条件相似地区有浅埋经验或采取相应措施时，也可埋设在冰冻线以上，其浅埋数值应根据该地区经验确定，但应保证排水管道安全运行。</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【条文说明】一般情况下，排水管道埋设在冰冻线以下，有利于安全运行。当有可靠依据时，也可埋设在冰冻线以上。这样，可节省投资，但增加了运行风险，应综合比较确定。</w:t>
      </w:r>
    </w:p>
    <w:p>
      <w:pPr>
        <w:pStyle w:val="30"/>
        <w:numPr>
          <w:ilvl w:val="0"/>
          <w:numId w:val="1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道路红线宽度超过40m的城市干道，宜在道路两侧布置排水管道。</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【条文说明】本标准第5.</w:t>
      </w:r>
      <w:r>
        <w:rPr>
          <w:rFonts w:hint="eastAsia" w:eastAsiaTheme="minorEastAsia"/>
          <w:color w:val="000000" w:themeColor="text1"/>
          <w:sz w:val="28"/>
          <w:szCs w:val="28"/>
        </w:rPr>
        <w:t>7</w:t>
      </w:r>
      <w:r>
        <w:rPr>
          <w:rFonts w:eastAsiaTheme="minorEastAsia"/>
          <w:color w:val="000000" w:themeColor="text1"/>
          <w:sz w:val="28"/>
          <w:szCs w:val="28"/>
        </w:rPr>
        <w:t>.3条规定：“雨水口连接管长度不宜超过25m”，为与之协调，要求道路红线宽度超过40m的城镇干道，宜在道路两侧布置排水管道，减少横穿管，降低管道埋深。</w:t>
      </w:r>
    </w:p>
    <w:p>
      <w:pPr>
        <w:pStyle w:val="30"/>
        <w:numPr>
          <w:ilvl w:val="0"/>
          <w:numId w:val="1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管道的排气排空装置，应符合下列规定：</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 xml:space="preserve"> 重力流管道系统可设排气装置；</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 xml:space="preserve"> 在倒虹管、长距离直线输送后变化段宜设排气装置；</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3</w:t>
      </w:r>
      <w:r>
        <w:rPr>
          <w:rFonts w:ascii="Times New Roman" w:hAnsi="Times New Roman" w:eastAsiaTheme="minorEastAsia"/>
          <w:color w:val="000000" w:themeColor="text1"/>
          <w:sz w:val="28"/>
          <w:szCs w:val="28"/>
        </w:rPr>
        <w:t xml:space="preserve"> 压力管道应考虑水锤的影响；</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4</w:t>
      </w:r>
      <w:r>
        <w:rPr>
          <w:rFonts w:ascii="Times New Roman" w:hAnsi="Times New Roman" w:eastAsiaTheme="minorEastAsia"/>
          <w:color w:val="000000" w:themeColor="text1"/>
          <w:sz w:val="28"/>
          <w:szCs w:val="28"/>
        </w:rPr>
        <w:t xml:space="preserve"> 在管道的高点以及每隔一定距离处，应设排气装置；</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5</w:t>
      </w:r>
      <w:r>
        <w:rPr>
          <w:rFonts w:ascii="Times New Roman" w:hAnsi="Times New Roman" w:eastAsiaTheme="minorEastAsia"/>
          <w:color w:val="000000" w:themeColor="text1"/>
          <w:sz w:val="28"/>
          <w:szCs w:val="28"/>
        </w:rPr>
        <w:t xml:space="preserve"> 排气装置有排气井、排气阀等，排气井的建筑应与周边环境相协调；</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6</w:t>
      </w:r>
      <w:r>
        <w:rPr>
          <w:rFonts w:ascii="Times New Roman" w:hAnsi="Times New Roman" w:eastAsiaTheme="minorEastAsia"/>
          <w:color w:val="000000" w:themeColor="text1"/>
          <w:sz w:val="28"/>
          <w:szCs w:val="28"/>
        </w:rPr>
        <w:t xml:space="preserve"> 在管道的低点以及每隔一定距离处，应设排空装置。</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【条文说明】重力流管道在倒虹管、长距离直线输送后变化段会产生气体的逸出，为防止产生气阻现象，宜设排气装置。</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当压力管道内流速较大或管路很长时应有消除水锤的措施。为使压力管道内空气流通、压力稳定，防止污水中产生的气体逸出后在高点堵塞管道，需设排气装置。</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为考虑检修，故需在管道低点设排空装置。</w:t>
      </w:r>
    </w:p>
    <w:p>
      <w:pPr>
        <w:pStyle w:val="30"/>
        <w:numPr>
          <w:ilvl w:val="0"/>
          <w:numId w:val="1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承插式压力管道应根据管径、流速、转弯角度、试压标准和接口的摩擦力等因素，通过计算确定是否在垂直或水平方向转弯处设置支墩。</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对流速较大的压力管道，应保证管道在交叉或转弯处的稳定。由于液体流动方向突变所产生的冲力或离心力，可能造成管道本身在垂直或水平方向发生位移，为避免影响输水，需经过计算确定是否设置支墩及其位置和大小。</w:t>
      </w:r>
    </w:p>
    <w:p>
      <w:pPr>
        <w:pStyle w:val="30"/>
        <w:numPr>
          <w:ilvl w:val="0"/>
          <w:numId w:val="1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压力管接入自流管渠时，应有消能设施。</w:t>
      </w:r>
    </w:p>
    <w:p>
      <w:pPr>
        <w:pStyle w:val="30"/>
        <w:numPr>
          <w:ilvl w:val="0"/>
          <w:numId w:val="1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管道的施工方法，应根据管道所处土层性质、埋深、管径、地下水位、附近地下和地上建筑物等因素，经技术经济比较，确定采用开槽、顶管或盾构施工等。</w:t>
      </w:r>
    </w:p>
    <w:p>
      <w:pPr>
        <w:wordWrap w:val="0"/>
        <w:rPr>
          <w:rFonts w:eastAsiaTheme="minorEastAsia"/>
          <w:color w:val="000000" w:themeColor="text1"/>
          <w:sz w:val="28"/>
          <w:szCs w:val="28"/>
        </w:rPr>
      </w:pP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24" w:name="_Toc515281037"/>
      <w:r>
        <w:rPr>
          <w:rFonts w:ascii="Times New Roman" w:hAnsi="Times New Roman" w:eastAsiaTheme="minorEastAsia"/>
          <w:b w:val="0"/>
          <w:color w:val="000000" w:themeColor="text1"/>
          <w:sz w:val="28"/>
          <w:szCs w:val="28"/>
        </w:rPr>
        <w:t>检查井</w:t>
      </w:r>
      <w:bookmarkEnd w:id="24"/>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检查井的位置，应设在管道交汇处、转弯处、管径或坡度改变处、跌水处以及直线管段上每隔一定距离处。</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污水管、雨水管和合流污水管的检查井井盖应有标识。</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【条文说明】建筑物和小区内均应采用分流制排水系统。为防止接出管道误接，产生雨污混接现象，应在井盖上分别标识“雨”和“污”，合流污水管应标识“污”。</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检查井宜采用成品井，其位置应充分考虑成品管节的长度，避免现场切割。污水检查井不得使用实心黏土砖砌检查井。埋深大于5m时宜采用钢筋混凝土检查井，砖砌和钢筋混凝土检查井应采用钢筋混凝土底板。污水和合流污水检查井应进行严密性试验。</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为防止渗漏、提高工程质量、加快建设进度，检查井宜采用钢筋混凝土成品井或塑料成品井。成品检查井的布置应尽量避免现场切割成品管道，因为管道切割后接口施工很难保证严密，容易造成地下水渗入。</w:t>
      </w:r>
      <w:r>
        <w:rPr>
          <w:rFonts w:eastAsiaTheme="minorEastAsia"/>
          <w:color w:val="000000" w:themeColor="text1"/>
          <w:spacing w:val="8"/>
          <w:sz w:val="28"/>
          <w:szCs w:val="28"/>
        </w:rPr>
        <w:t>为防止污染地下水以及地下水渗入等，污水检查井应采用成品井或钢筋混凝土井。为减小渗漏并延长使用寿命，埋深大于5m的检查井宜采用钢筋混凝土检查井，砖砌和钢筋混凝土检查井应采用钢筋混凝土底板。</w:t>
      </w:r>
      <w:r>
        <w:rPr>
          <w:rFonts w:eastAsiaTheme="minorEastAsia"/>
          <w:color w:val="000000" w:themeColor="text1"/>
          <w:sz w:val="28"/>
          <w:szCs w:val="28"/>
        </w:rPr>
        <w:t>污水和合流污水检查井应进行严密性试验，防止污水外渗。</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检查井在直线管段的最大间距应根据疏通方法等具体情况确定，在不影响街坊接户管的前提下，一般宜按表5.4.4的规定取值。对于无法实施机械养护的区域，检查井的最大间距不宜大于40m。</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表5.</w:t>
      </w:r>
      <w:r>
        <w:rPr>
          <w:rFonts w:hint="eastAsia" w:eastAsiaTheme="minorEastAsia"/>
          <w:b/>
          <w:color w:val="000000" w:themeColor="text1"/>
          <w:sz w:val="28"/>
          <w:szCs w:val="28"/>
        </w:rPr>
        <w:t>4</w:t>
      </w:r>
      <w:r>
        <w:rPr>
          <w:rFonts w:eastAsiaTheme="minorEastAsia"/>
          <w:b/>
          <w:color w:val="000000" w:themeColor="text1"/>
          <w:sz w:val="28"/>
          <w:szCs w:val="28"/>
        </w:rPr>
        <w:t>.4检查井最大间距</w:t>
      </w:r>
    </w:p>
    <w:tbl>
      <w:tblPr>
        <w:tblStyle w:val="25"/>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452"/>
        <w:gridCol w:w="1737"/>
        <w:gridCol w:w="1736"/>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93" w:type="dxa"/>
            <w:shd w:val="clear" w:color="auto" w:fill="auto"/>
            <w:vAlign w:val="center"/>
          </w:tcPr>
          <w:p>
            <w:pPr>
              <w:wordWrap w:val="0"/>
              <w:snapToGrid w:val="0"/>
              <w:jc w:val="center"/>
              <w:rPr>
                <w:rFonts w:eastAsiaTheme="minorEastAsia"/>
                <w:color w:val="000000" w:themeColor="text1"/>
                <w:spacing w:val="8"/>
                <w:sz w:val="28"/>
                <w:szCs w:val="28"/>
              </w:rPr>
            </w:pPr>
            <w:r>
              <w:rPr>
                <w:rFonts w:eastAsiaTheme="minorEastAsia"/>
                <w:color w:val="000000" w:themeColor="text1"/>
                <w:spacing w:val="8"/>
                <w:sz w:val="28"/>
                <w:szCs w:val="28"/>
              </w:rPr>
              <w:t>管径（mm）</w:t>
            </w:r>
          </w:p>
        </w:tc>
        <w:tc>
          <w:tcPr>
            <w:tcW w:w="1452" w:type="dxa"/>
            <w:shd w:val="clear" w:color="auto" w:fill="auto"/>
            <w:vAlign w:val="center"/>
          </w:tcPr>
          <w:p>
            <w:pPr>
              <w:wordWrap w:val="0"/>
              <w:snapToGrid w:val="0"/>
              <w:jc w:val="center"/>
              <w:rPr>
                <w:rFonts w:eastAsiaTheme="minorEastAsia"/>
                <w:b/>
                <w:color w:val="000000" w:themeColor="text1"/>
                <w:spacing w:val="8"/>
                <w:sz w:val="28"/>
                <w:szCs w:val="28"/>
              </w:rPr>
            </w:pPr>
            <w:r>
              <w:rPr>
                <w:rFonts w:eastAsiaTheme="minorEastAsia"/>
                <w:color w:val="000000" w:themeColor="text1"/>
                <w:spacing w:val="8"/>
                <w:sz w:val="28"/>
                <w:szCs w:val="28"/>
              </w:rPr>
              <w:t>300~600</w:t>
            </w:r>
          </w:p>
        </w:tc>
        <w:tc>
          <w:tcPr>
            <w:tcW w:w="1737" w:type="dxa"/>
            <w:shd w:val="clear" w:color="auto" w:fill="auto"/>
            <w:vAlign w:val="center"/>
          </w:tcPr>
          <w:p>
            <w:pPr>
              <w:wordWrap w:val="0"/>
              <w:snapToGrid w:val="0"/>
              <w:jc w:val="center"/>
              <w:rPr>
                <w:rFonts w:eastAsiaTheme="minorEastAsia"/>
                <w:b/>
                <w:color w:val="000000" w:themeColor="text1"/>
                <w:spacing w:val="8"/>
                <w:sz w:val="28"/>
                <w:szCs w:val="28"/>
              </w:rPr>
            </w:pPr>
            <w:r>
              <w:rPr>
                <w:rFonts w:eastAsiaTheme="minorEastAsia"/>
                <w:color w:val="000000" w:themeColor="text1"/>
                <w:spacing w:val="8"/>
                <w:sz w:val="28"/>
                <w:szCs w:val="28"/>
              </w:rPr>
              <w:t>700～1000</w:t>
            </w:r>
          </w:p>
        </w:tc>
        <w:tc>
          <w:tcPr>
            <w:tcW w:w="1736" w:type="dxa"/>
            <w:shd w:val="clear" w:color="auto" w:fill="auto"/>
            <w:vAlign w:val="center"/>
          </w:tcPr>
          <w:p>
            <w:pPr>
              <w:wordWrap w:val="0"/>
              <w:snapToGrid w:val="0"/>
              <w:jc w:val="center"/>
              <w:rPr>
                <w:rFonts w:eastAsiaTheme="minorEastAsia"/>
                <w:b/>
                <w:color w:val="000000" w:themeColor="text1"/>
                <w:spacing w:val="8"/>
                <w:sz w:val="28"/>
                <w:szCs w:val="28"/>
              </w:rPr>
            </w:pPr>
            <w:r>
              <w:rPr>
                <w:rFonts w:eastAsiaTheme="minorEastAsia"/>
                <w:color w:val="000000" w:themeColor="text1"/>
                <w:spacing w:val="8"/>
                <w:sz w:val="28"/>
                <w:szCs w:val="28"/>
              </w:rPr>
              <w:t>1100～1500</w:t>
            </w:r>
          </w:p>
        </w:tc>
        <w:tc>
          <w:tcPr>
            <w:tcW w:w="1737" w:type="dxa"/>
            <w:shd w:val="clear" w:color="auto" w:fill="auto"/>
            <w:vAlign w:val="center"/>
          </w:tcPr>
          <w:p>
            <w:pPr>
              <w:wordWrap w:val="0"/>
              <w:snapToGrid w:val="0"/>
              <w:jc w:val="center"/>
              <w:rPr>
                <w:rFonts w:eastAsiaTheme="minorEastAsia"/>
                <w:b/>
                <w:color w:val="000000" w:themeColor="text1"/>
                <w:spacing w:val="8"/>
                <w:sz w:val="28"/>
                <w:szCs w:val="28"/>
              </w:rPr>
            </w:pPr>
            <w:r>
              <w:rPr>
                <w:rFonts w:eastAsiaTheme="minorEastAsia"/>
                <w:color w:val="000000" w:themeColor="text1"/>
                <w:spacing w:val="8"/>
                <w:sz w:val="28"/>
                <w:szCs w:val="28"/>
              </w:rPr>
              <w:t>1600～2000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93" w:type="dxa"/>
            <w:shd w:val="clear" w:color="auto" w:fill="auto"/>
            <w:vAlign w:val="center"/>
          </w:tcPr>
          <w:p>
            <w:pPr>
              <w:wordWrap w:val="0"/>
              <w:snapToGrid w:val="0"/>
              <w:jc w:val="center"/>
              <w:rPr>
                <w:rFonts w:eastAsiaTheme="minorEastAsia"/>
                <w:color w:val="000000" w:themeColor="text1"/>
                <w:spacing w:val="8"/>
                <w:sz w:val="28"/>
                <w:szCs w:val="28"/>
              </w:rPr>
            </w:pPr>
            <w:r>
              <w:rPr>
                <w:rFonts w:eastAsiaTheme="minorEastAsia"/>
                <w:color w:val="000000" w:themeColor="text1"/>
                <w:spacing w:val="8"/>
                <w:sz w:val="28"/>
                <w:szCs w:val="28"/>
              </w:rPr>
              <w:t>最大间距(m)</w:t>
            </w:r>
          </w:p>
        </w:tc>
        <w:tc>
          <w:tcPr>
            <w:tcW w:w="1452" w:type="dxa"/>
            <w:shd w:val="clear" w:color="auto" w:fill="auto"/>
            <w:vAlign w:val="center"/>
          </w:tcPr>
          <w:p>
            <w:pPr>
              <w:wordWrap w:val="0"/>
              <w:snapToGrid w:val="0"/>
              <w:jc w:val="center"/>
              <w:rPr>
                <w:rFonts w:eastAsiaTheme="minorEastAsia"/>
                <w:color w:val="000000" w:themeColor="text1"/>
                <w:spacing w:val="8"/>
                <w:sz w:val="28"/>
                <w:szCs w:val="28"/>
              </w:rPr>
            </w:pPr>
            <w:r>
              <w:rPr>
                <w:rFonts w:eastAsiaTheme="minorEastAsia"/>
                <w:color w:val="000000" w:themeColor="text1"/>
                <w:spacing w:val="8"/>
                <w:sz w:val="28"/>
                <w:szCs w:val="28"/>
              </w:rPr>
              <w:t>75</w:t>
            </w:r>
          </w:p>
        </w:tc>
        <w:tc>
          <w:tcPr>
            <w:tcW w:w="1737" w:type="dxa"/>
            <w:shd w:val="clear" w:color="auto" w:fill="auto"/>
            <w:vAlign w:val="center"/>
          </w:tcPr>
          <w:p>
            <w:pPr>
              <w:wordWrap w:val="0"/>
              <w:snapToGrid w:val="0"/>
              <w:jc w:val="center"/>
              <w:rPr>
                <w:rFonts w:eastAsiaTheme="minorEastAsia"/>
                <w:color w:val="000000" w:themeColor="text1"/>
                <w:spacing w:val="8"/>
                <w:sz w:val="28"/>
                <w:szCs w:val="28"/>
              </w:rPr>
            </w:pPr>
            <w:r>
              <w:rPr>
                <w:rFonts w:eastAsiaTheme="minorEastAsia"/>
                <w:color w:val="000000" w:themeColor="text1"/>
                <w:spacing w:val="8"/>
                <w:sz w:val="28"/>
                <w:szCs w:val="28"/>
              </w:rPr>
              <w:t>100</w:t>
            </w:r>
          </w:p>
        </w:tc>
        <w:tc>
          <w:tcPr>
            <w:tcW w:w="1736" w:type="dxa"/>
            <w:shd w:val="clear" w:color="auto" w:fill="auto"/>
            <w:vAlign w:val="center"/>
          </w:tcPr>
          <w:p>
            <w:pPr>
              <w:wordWrap w:val="0"/>
              <w:snapToGrid w:val="0"/>
              <w:jc w:val="center"/>
              <w:rPr>
                <w:rFonts w:eastAsiaTheme="minorEastAsia"/>
                <w:color w:val="000000" w:themeColor="text1"/>
                <w:spacing w:val="8"/>
                <w:sz w:val="28"/>
                <w:szCs w:val="28"/>
              </w:rPr>
            </w:pPr>
            <w:r>
              <w:rPr>
                <w:rFonts w:eastAsiaTheme="minorEastAsia"/>
                <w:color w:val="000000" w:themeColor="text1"/>
                <w:spacing w:val="8"/>
                <w:sz w:val="28"/>
                <w:szCs w:val="28"/>
              </w:rPr>
              <w:t>150</w:t>
            </w:r>
          </w:p>
        </w:tc>
        <w:tc>
          <w:tcPr>
            <w:tcW w:w="1737" w:type="dxa"/>
            <w:shd w:val="clear" w:color="auto" w:fill="auto"/>
            <w:vAlign w:val="center"/>
          </w:tcPr>
          <w:p>
            <w:pPr>
              <w:wordWrap w:val="0"/>
              <w:snapToGrid w:val="0"/>
              <w:jc w:val="center"/>
              <w:rPr>
                <w:rFonts w:eastAsiaTheme="minorEastAsia"/>
                <w:color w:val="000000" w:themeColor="text1"/>
                <w:spacing w:val="8"/>
                <w:sz w:val="28"/>
                <w:szCs w:val="28"/>
              </w:rPr>
            </w:pPr>
            <w:r>
              <w:rPr>
                <w:rFonts w:eastAsiaTheme="minorEastAsia"/>
                <w:color w:val="000000" w:themeColor="text1"/>
                <w:spacing w:val="8"/>
                <w:sz w:val="28"/>
                <w:szCs w:val="28"/>
              </w:rPr>
              <w:t>200</w:t>
            </w:r>
          </w:p>
        </w:tc>
      </w:tr>
    </w:tbl>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随着养护技术的发展，管道检测、清淤和修复的服务距离增大，检查井的最大间距也可适当增大。此次修订后，检查井最大间距接近《日本下水道设计指南》（2009年版）中对检查井最大间距的规定，如表10所示。</w:t>
      </w:r>
    </w:p>
    <w:p>
      <w:pPr>
        <w:pStyle w:val="52"/>
        <w:wordWrap w:val="0"/>
        <w:ind w:firstLine="0" w:firstLineChars="0"/>
        <w:jc w:val="center"/>
        <w:rPr>
          <w:rFonts w:eastAsiaTheme="minorEastAsia"/>
          <w:color w:val="000000" w:themeColor="text1"/>
          <w:szCs w:val="28"/>
        </w:rPr>
      </w:pPr>
      <w:r>
        <w:rPr>
          <w:rFonts w:eastAsiaTheme="minorEastAsia"/>
          <w:color w:val="000000" w:themeColor="text1"/>
          <w:szCs w:val="28"/>
        </w:rPr>
        <w:t>表10检查井最大间距</w:t>
      </w:r>
    </w:p>
    <w:tbl>
      <w:tblPr>
        <w:tblStyle w:val="25"/>
        <w:tblW w:w="8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665"/>
        <w:gridCol w:w="1666"/>
        <w:gridCol w:w="1666"/>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93" w:type="dxa"/>
            <w:shd w:val="clear" w:color="auto" w:fill="auto"/>
            <w:vAlign w:val="center"/>
          </w:tcPr>
          <w:p>
            <w:pPr>
              <w:wordWrap w:val="0"/>
              <w:snapToGrid w:val="0"/>
              <w:jc w:val="center"/>
              <w:rPr>
                <w:rFonts w:eastAsiaTheme="minorEastAsia"/>
                <w:color w:val="000000" w:themeColor="text1"/>
                <w:spacing w:val="8"/>
                <w:sz w:val="28"/>
                <w:szCs w:val="28"/>
              </w:rPr>
            </w:pPr>
            <w:r>
              <w:rPr>
                <w:rFonts w:eastAsiaTheme="minorEastAsia"/>
                <w:color w:val="000000" w:themeColor="text1"/>
                <w:spacing w:val="8"/>
                <w:sz w:val="28"/>
                <w:szCs w:val="28"/>
              </w:rPr>
              <w:t>管径（mm）</w:t>
            </w:r>
          </w:p>
        </w:tc>
        <w:tc>
          <w:tcPr>
            <w:tcW w:w="1665" w:type="dxa"/>
            <w:shd w:val="clear" w:color="auto" w:fill="auto"/>
            <w:vAlign w:val="center"/>
          </w:tcPr>
          <w:p>
            <w:pPr>
              <w:wordWrap w:val="0"/>
              <w:snapToGrid w:val="0"/>
              <w:jc w:val="center"/>
              <w:rPr>
                <w:rFonts w:eastAsiaTheme="minorEastAsia"/>
                <w:b/>
                <w:color w:val="000000" w:themeColor="text1"/>
                <w:spacing w:val="8"/>
                <w:sz w:val="28"/>
                <w:szCs w:val="28"/>
              </w:rPr>
            </w:pPr>
            <w:r>
              <w:rPr>
                <w:rFonts w:eastAsiaTheme="minorEastAsia"/>
                <w:color w:val="000000" w:themeColor="text1"/>
                <w:spacing w:val="8"/>
                <w:sz w:val="28"/>
                <w:szCs w:val="28"/>
              </w:rPr>
              <w:t>600以下</w:t>
            </w:r>
          </w:p>
        </w:tc>
        <w:tc>
          <w:tcPr>
            <w:tcW w:w="1666" w:type="dxa"/>
            <w:shd w:val="clear" w:color="auto" w:fill="auto"/>
            <w:vAlign w:val="center"/>
          </w:tcPr>
          <w:p>
            <w:pPr>
              <w:wordWrap w:val="0"/>
              <w:snapToGrid w:val="0"/>
              <w:jc w:val="center"/>
              <w:rPr>
                <w:rFonts w:eastAsiaTheme="minorEastAsia"/>
                <w:b/>
                <w:color w:val="000000" w:themeColor="text1"/>
                <w:spacing w:val="8"/>
                <w:sz w:val="28"/>
                <w:szCs w:val="28"/>
              </w:rPr>
            </w:pPr>
            <w:r>
              <w:rPr>
                <w:rFonts w:eastAsiaTheme="minorEastAsia"/>
                <w:color w:val="000000" w:themeColor="text1"/>
                <w:spacing w:val="8"/>
                <w:sz w:val="28"/>
                <w:szCs w:val="28"/>
              </w:rPr>
              <w:t>1000以下</w:t>
            </w:r>
          </w:p>
        </w:tc>
        <w:tc>
          <w:tcPr>
            <w:tcW w:w="1666" w:type="dxa"/>
            <w:shd w:val="clear" w:color="auto" w:fill="auto"/>
            <w:vAlign w:val="center"/>
          </w:tcPr>
          <w:p>
            <w:pPr>
              <w:wordWrap w:val="0"/>
              <w:snapToGrid w:val="0"/>
              <w:jc w:val="center"/>
              <w:rPr>
                <w:rFonts w:eastAsiaTheme="minorEastAsia"/>
                <w:b/>
                <w:color w:val="000000" w:themeColor="text1"/>
                <w:spacing w:val="8"/>
                <w:sz w:val="28"/>
                <w:szCs w:val="28"/>
              </w:rPr>
            </w:pPr>
            <w:r>
              <w:rPr>
                <w:rFonts w:eastAsiaTheme="minorEastAsia"/>
                <w:color w:val="000000" w:themeColor="text1"/>
                <w:spacing w:val="8"/>
                <w:sz w:val="28"/>
                <w:szCs w:val="28"/>
              </w:rPr>
              <w:t>1500以下</w:t>
            </w:r>
          </w:p>
        </w:tc>
        <w:tc>
          <w:tcPr>
            <w:tcW w:w="1666" w:type="dxa"/>
            <w:shd w:val="clear" w:color="auto" w:fill="auto"/>
            <w:vAlign w:val="center"/>
          </w:tcPr>
          <w:p>
            <w:pPr>
              <w:wordWrap w:val="0"/>
              <w:snapToGrid w:val="0"/>
              <w:jc w:val="center"/>
              <w:rPr>
                <w:rFonts w:eastAsiaTheme="minorEastAsia"/>
                <w:b/>
                <w:color w:val="000000" w:themeColor="text1"/>
                <w:spacing w:val="8"/>
                <w:sz w:val="28"/>
                <w:szCs w:val="28"/>
              </w:rPr>
            </w:pPr>
            <w:r>
              <w:rPr>
                <w:rFonts w:eastAsiaTheme="minorEastAsia"/>
                <w:color w:val="000000" w:themeColor="text1"/>
                <w:spacing w:val="8"/>
                <w:sz w:val="28"/>
                <w:szCs w:val="28"/>
              </w:rPr>
              <w:t>1650以上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93" w:type="dxa"/>
            <w:shd w:val="clear" w:color="auto" w:fill="auto"/>
            <w:vAlign w:val="center"/>
          </w:tcPr>
          <w:p>
            <w:pPr>
              <w:wordWrap w:val="0"/>
              <w:snapToGrid w:val="0"/>
              <w:jc w:val="center"/>
              <w:rPr>
                <w:rFonts w:eastAsiaTheme="minorEastAsia"/>
                <w:color w:val="000000" w:themeColor="text1"/>
                <w:spacing w:val="8"/>
                <w:sz w:val="28"/>
                <w:szCs w:val="28"/>
              </w:rPr>
            </w:pPr>
            <w:r>
              <w:rPr>
                <w:rFonts w:eastAsiaTheme="minorEastAsia"/>
                <w:color w:val="000000" w:themeColor="text1"/>
                <w:spacing w:val="8"/>
                <w:sz w:val="28"/>
                <w:szCs w:val="28"/>
              </w:rPr>
              <w:t>最大间距(m)</w:t>
            </w:r>
          </w:p>
        </w:tc>
        <w:tc>
          <w:tcPr>
            <w:tcW w:w="1665" w:type="dxa"/>
            <w:shd w:val="clear" w:color="auto" w:fill="auto"/>
            <w:vAlign w:val="center"/>
          </w:tcPr>
          <w:p>
            <w:pPr>
              <w:wordWrap w:val="0"/>
              <w:snapToGrid w:val="0"/>
              <w:jc w:val="center"/>
              <w:rPr>
                <w:rFonts w:eastAsiaTheme="minorEastAsia"/>
                <w:color w:val="000000" w:themeColor="text1"/>
                <w:spacing w:val="8"/>
                <w:sz w:val="28"/>
                <w:szCs w:val="28"/>
              </w:rPr>
            </w:pPr>
            <w:r>
              <w:rPr>
                <w:rFonts w:eastAsiaTheme="minorEastAsia"/>
                <w:color w:val="000000" w:themeColor="text1"/>
                <w:spacing w:val="8"/>
                <w:sz w:val="28"/>
                <w:szCs w:val="28"/>
              </w:rPr>
              <w:t>75</w:t>
            </w:r>
          </w:p>
        </w:tc>
        <w:tc>
          <w:tcPr>
            <w:tcW w:w="1666" w:type="dxa"/>
            <w:shd w:val="clear" w:color="auto" w:fill="auto"/>
            <w:vAlign w:val="center"/>
          </w:tcPr>
          <w:p>
            <w:pPr>
              <w:wordWrap w:val="0"/>
              <w:snapToGrid w:val="0"/>
              <w:jc w:val="center"/>
              <w:rPr>
                <w:rFonts w:eastAsiaTheme="minorEastAsia"/>
                <w:color w:val="000000" w:themeColor="text1"/>
                <w:spacing w:val="8"/>
                <w:sz w:val="28"/>
                <w:szCs w:val="28"/>
              </w:rPr>
            </w:pPr>
            <w:r>
              <w:rPr>
                <w:rFonts w:eastAsiaTheme="minorEastAsia"/>
                <w:color w:val="000000" w:themeColor="text1"/>
                <w:spacing w:val="8"/>
                <w:sz w:val="28"/>
                <w:szCs w:val="28"/>
              </w:rPr>
              <w:t>100</w:t>
            </w:r>
          </w:p>
        </w:tc>
        <w:tc>
          <w:tcPr>
            <w:tcW w:w="1666" w:type="dxa"/>
            <w:shd w:val="clear" w:color="auto" w:fill="auto"/>
            <w:vAlign w:val="center"/>
          </w:tcPr>
          <w:p>
            <w:pPr>
              <w:wordWrap w:val="0"/>
              <w:snapToGrid w:val="0"/>
              <w:jc w:val="center"/>
              <w:rPr>
                <w:rFonts w:eastAsiaTheme="minorEastAsia"/>
                <w:color w:val="000000" w:themeColor="text1"/>
                <w:spacing w:val="8"/>
                <w:sz w:val="28"/>
                <w:szCs w:val="28"/>
              </w:rPr>
            </w:pPr>
            <w:r>
              <w:rPr>
                <w:rFonts w:eastAsiaTheme="minorEastAsia"/>
                <w:color w:val="000000" w:themeColor="text1"/>
                <w:spacing w:val="8"/>
                <w:sz w:val="28"/>
                <w:szCs w:val="28"/>
              </w:rPr>
              <w:t>150</w:t>
            </w:r>
          </w:p>
        </w:tc>
        <w:tc>
          <w:tcPr>
            <w:tcW w:w="1666" w:type="dxa"/>
            <w:shd w:val="clear" w:color="auto" w:fill="auto"/>
            <w:vAlign w:val="center"/>
          </w:tcPr>
          <w:p>
            <w:pPr>
              <w:wordWrap w:val="0"/>
              <w:snapToGrid w:val="0"/>
              <w:jc w:val="center"/>
              <w:rPr>
                <w:rFonts w:eastAsiaTheme="minorEastAsia"/>
                <w:color w:val="000000" w:themeColor="text1"/>
                <w:spacing w:val="8"/>
                <w:sz w:val="28"/>
                <w:szCs w:val="28"/>
              </w:rPr>
            </w:pPr>
            <w:r>
              <w:rPr>
                <w:rFonts w:eastAsiaTheme="minorEastAsia"/>
                <w:color w:val="000000" w:themeColor="text1"/>
                <w:spacing w:val="8"/>
                <w:sz w:val="28"/>
                <w:szCs w:val="28"/>
              </w:rPr>
              <w:t>200</w:t>
            </w:r>
          </w:p>
        </w:tc>
      </w:tr>
    </w:tbl>
    <w:p>
      <w:pPr>
        <w:wordWrap w:val="0"/>
        <w:spacing w:line="360" w:lineRule="auto"/>
        <w:ind w:firstLine="560" w:firstLineChars="200"/>
        <w:rPr>
          <w:rFonts w:eastAsiaTheme="minorEastAsia"/>
          <w:color w:val="000000" w:themeColor="text1"/>
          <w:spacing w:val="8"/>
          <w:sz w:val="28"/>
          <w:szCs w:val="28"/>
        </w:rPr>
      </w:pPr>
      <w:r>
        <w:rPr>
          <w:rFonts w:eastAsiaTheme="minorEastAsia"/>
          <w:color w:val="000000" w:themeColor="text1"/>
          <w:sz w:val="28"/>
          <w:szCs w:val="28"/>
        </w:rPr>
        <w:t>随着城镇范围的扩大，排水设施标准的提高，有些城镇出现口径大于2000mm的排水管渠。此类管渠内的净高度可允许养护工人或机械进入管渠内检查养护。大城市干道上的大直径直线管段，检查井最大间距可按养护机械的要求确定。</w:t>
      </w:r>
      <w:r>
        <w:rPr>
          <w:rFonts w:eastAsiaTheme="minorEastAsia"/>
          <w:color w:val="000000" w:themeColor="text1"/>
          <w:spacing w:val="8"/>
          <w:sz w:val="28"/>
          <w:szCs w:val="28"/>
        </w:rPr>
        <w:t>对于养护车辆难以进入的道路（如采用透水铺装的步行街等），检查井的最大间距应按照人工养护的要求确定，一般宜小于40m。</w:t>
      </w:r>
    </w:p>
    <w:p>
      <w:pPr>
        <w:wordWrap w:val="0"/>
        <w:spacing w:line="360" w:lineRule="auto"/>
        <w:ind w:firstLine="592" w:firstLineChars="200"/>
        <w:rPr>
          <w:rFonts w:eastAsiaTheme="minorEastAsia"/>
          <w:color w:val="000000" w:themeColor="text1"/>
          <w:sz w:val="28"/>
          <w:szCs w:val="28"/>
        </w:rPr>
      </w:pPr>
      <w:r>
        <w:rPr>
          <w:rFonts w:eastAsiaTheme="minorEastAsia"/>
          <w:color w:val="000000" w:themeColor="text1"/>
          <w:spacing w:val="8"/>
          <w:sz w:val="28"/>
          <w:szCs w:val="28"/>
        </w:rPr>
        <w:t>压力管道应根据地形地势标高设置排气阀、排泥阀等阀门井，间距约1km左右。</w:t>
      </w:r>
      <w:r>
        <w:rPr>
          <w:rFonts w:eastAsiaTheme="minorEastAsia"/>
          <w:color w:val="000000" w:themeColor="text1"/>
          <w:sz w:val="28"/>
          <w:szCs w:val="28"/>
        </w:rPr>
        <w:t>检查井最大间距大于表5.</w:t>
      </w:r>
      <w:r>
        <w:rPr>
          <w:rFonts w:hint="eastAsia" w:eastAsiaTheme="minorEastAsia"/>
          <w:color w:val="000000" w:themeColor="text1"/>
          <w:sz w:val="28"/>
          <w:szCs w:val="28"/>
        </w:rPr>
        <w:t>4</w:t>
      </w:r>
      <w:r>
        <w:rPr>
          <w:rFonts w:eastAsiaTheme="minorEastAsia"/>
          <w:color w:val="000000" w:themeColor="text1"/>
          <w:sz w:val="28"/>
          <w:szCs w:val="28"/>
        </w:rPr>
        <w:t>.4数据的管段应设置冲洗设施。</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检查井各部尺寸，应符合下列规定：</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 xml:space="preserve">1 </w:t>
      </w:r>
      <w:r>
        <w:rPr>
          <w:rFonts w:eastAsiaTheme="minorEastAsia"/>
          <w:color w:val="000000" w:themeColor="text1"/>
          <w:sz w:val="28"/>
          <w:szCs w:val="28"/>
        </w:rPr>
        <w:t>井口、井筒和井室的尺寸应便于养护和检修，爬梯和脚窝的尺寸、位置应便于检修和上下安全；</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 xml:space="preserve">2 </w:t>
      </w:r>
      <w:r>
        <w:rPr>
          <w:rFonts w:eastAsiaTheme="minorEastAsia"/>
          <w:color w:val="000000" w:themeColor="text1"/>
          <w:sz w:val="28"/>
          <w:szCs w:val="28"/>
        </w:rPr>
        <w:t>检修室高度在管道埋深许可时</w:t>
      </w:r>
      <w:r>
        <w:rPr>
          <w:rFonts w:hint="eastAsia" w:eastAsiaTheme="minorEastAsia"/>
          <w:color w:val="000000" w:themeColor="text1"/>
          <w:sz w:val="28"/>
          <w:szCs w:val="28"/>
        </w:rPr>
        <w:t>宜</w:t>
      </w:r>
      <w:r>
        <w:rPr>
          <w:rFonts w:eastAsiaTheme="minorEastAsia"/>
          <w:color w:val="000000" w:themeColor="text1"/>
          <w:sz w:val="28"/>
          <w:szCs w:val="28"/>
        </w:rPr>
        <w:t>为1.8m，污水检查井由流槽顶起算，雨水（合流）检查井由管底起算。</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【条文说明】据管理单位反映，在设计检查井时尚应注意以下问题：</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在我国北方及中部地区，在冬季检修时，因工人操作时多穿棉衣，井口、井筒小于700mm时，出入不便，对需要经常检修的井，井口、井筒大于800mm为宜；</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以往爬梯发生事故较多，爬梯设计应牢固、防腐蚀，便于上下操作。砖砌检查井内不宜设钢筋爬梯；井内检修室高度，是根据一般工人可直立操作而规定的。</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检查井井底应设流槽。污水检查井流槽顶可与0.85倍大管管径处相平，雨水（合流）检查井流槽顶可与0.5倍大管管径处相平。流槽顶部宽度宜满足检修要求。</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【条文说明】总结各地经验，为创造良好的水流条件，宜在检查井内设置流槽。流槽顶部宽度应便于在井内养护操作，一般为0.15m～0.2m，随管径、井深增加，宽度还需加大。</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在管道转弯处，检查井内流槽中心线的弯曲半径应按转角大小和管径大小确定，但不宜小于大管管径。</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【条文说明】为创造良好的水力条件，流槽转弯的弯曲半径不宜太小。</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位于车行道的检查井，应采用具有足够承载力和稳定性良好的井盖与井座。</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【条文说明】位于车行道的检查井，必须在任何车辆荷重下，包括在道路碾压机荷重下，确保井盖井座牢固安全，同时应具有良好的稳定性，防止车速过快造成井盖振动。</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设置在主干道上检查井的井盖基座应和井体分离。</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【条文说明】采用井盖基座和井体分离的检查井，可避免不均匀沉降时对交通的影响。</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检查井宜采用具有防盗功能的井盖。位于路面上的井盖，宜与路面持平；位于绿化带内井盖，不应低于地面。</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【条文说明】井盖应有防盗功能，保证井盖不被盗窃丢失，避免发生伤亡事故。</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在道路以外的检查井，尤其在绿化带时，为防止地面径流水从井盖流入井内，井盖可高出地面，但不能妨碍观瞻。</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排水系统检查井应安装防坠落装置。</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为避免在检查井盖损坏或缺失时发生行人坠落检查井的事故，规定污水、雨水和合流污水检查井应安装防坠落装置。防坠落装置应牢固可靠，具有一定的承重能力（≥100kg），并具备较大的过水能力，避免暴雨期间雨水从井底涌出时被冲走。目前国内已使用的检查井防坠落装置包括防坠落网、防坠落井箅等。</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在污水干管每隔适当距离的检查井内，需要时可设置闸槽。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【条文说明】根据北京、上海等地经验，在污水干管中，当流量和流速都较大，检修管道需放空时，采用草袋等措施断流，困难较多，为了方便检修，故规定可设置闸槽。</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接入检查井的支管（接户管或连接管）管径大于300mm时，支管数不宜超过3条。</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支管是指接户管等小管径管道。检查井接入管径大于300mm以上的支管过多，维护管理工人会操作不便，故予以规定。管径小于300mm的支管对维护管理影响不大，在符合结构安全条件下适当将支管集中，有利于减少检查井数量和维护工作量。</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检查井与管渠接口处，应采取防止不均匀沉降的措施。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在地基松软或不均匀沉降地段，检查井与管渠接口处常发生断裂。处理办法：做好检查井与管渠的地基和基础处理，防止两者产生不均匀沉降；在检查井与管渠接口处，采用柔性连接，消除地基不均匀沉降的影响。</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检查井和塑料管道的连接应符合现行国家标准《室外给水排水和燃气热力工程抗震设计规范》GB 50032的要求。</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【条文说明】为适应检查井和管道间的不均匀沉降和变形要求而制定本条规定。</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在排水管道每隔适当距离的检查井内、泵站前一检查井内和每一个街坊接户井内，宜设置沉泥槽</w:t>
      </w:r>
      <w:r>
        <w:rPr>
          <w:rFonts w:hint="eastAsia" w:ascii="Times New Roman" w:hAnsi="Times New Roman" w:eastAsiaTheme="minorEastAsia"/>
          <w:color w:val="000000" w:themeColor="text1"/>
          <w:sz w:val="28"/>
          <w:szCs w:val="28"/>
        </w:rPr>
        <w:t>并考虑沉积淤泥的处理处置。</w:t>
      </w:r>
      <w:r>
        <w:rPr>
          <w:rFonts w:ascii="Times New Roman" w:hAnsi="Times New Roman" w:eastAsiaTheme="minorEastAsia"/>
          <w:color w:val="000000" w:themeColor="text1"/>
          <w:sz w:val="28"/>
          <w:szCs w:val="28"/>
        </w:rPr>
        <w:t>沉泥槽深度宜为0.5m~0.7m。</w:t>
      </w:r>
      <w:r>
        <w:rPr>
          <w:rFonts w:ascii="Times New Roman" w:hAnsi="Times New Roman" w:eastAsiaTheme="minorEastAsia"/>
          <w:color w:val="000000" w:themeColor="text1"/>
          <w:spacing w:val="8"/>
          <w:sz w:val="28"/>
          <w:szCs w:val="28"/>
        </w:rPr>
        <w:t>设沉泥槽的检查井内可不做流槽。</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【条文说明】沉泥槽设置的目的是为了便于管道内的污泥从检查井中用工具清除。应根据各地情况，在每隔一定距离的检查井和泵站前一检查井设沉泥槽。 </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为防止地块支管接入带来的泥沙，在每一个街坊接户井内也应设置沉泥槽。一般情况下，污水检查井不设沉泥槽，有支管接入处、变径处、转折处等雨水检查井内也不设沉泥槽。考虑到过浅的沉泥槽深度不利于机械清捞管道淤泥，因此规定沉泥槽的深度宜为0.5m~0.7m。</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在压力管道上应设置压力检查井。</w:t>
      </w:r>
    </w:p>
    <w:p>
      <w:pPr>
        <w:pStyle w:val="30"/>
        <w:numPr>
          <w:ilvl w:val="0"/>
          <w:numId w:val="1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高流速排水管道坡度突然变化的第一座检查井宜采用高流槽排水检查井，并采取增强井筒抗冲击和冲刷能力的措施，井盖宜采用排气井盖。</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【条文说明】检查井内采用高流槽，可使急速下泄的水流在流槽内顺利通过，避免使用普通低流槽产生的水流溢出而发生冲刷井壁的现象。</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管道坡度变化较大处，水流速度发生突变，流速差产生的冲击力会对检查井产生较大的推动力，宜采取增强井筒抗冲击和冲刷能力的措施。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水在流动时会挟带管内气体一起流动，呈气水两相流，气水冲刷和上升气泡的振动反复冲刷管道内壁，使管道内壁易破碎、脱落、积气。在流速突变处，急速的气水两相撞击井壁，气水迅速分离，气体上升冲击井盖，产生较大的上升顶力。某机场排水管道坡度突变处的检查井井盖曾被气体顶起，造成井盖变形和损坏。</w:t>
      </w: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25" w:name="_Toc515281038"/>
      <w:r>
        <w:rPr>
          <w:rFonts w:ascii="Times New Roman" w:hAnsi="Times New Roman" w:eastAsiaTheme="minorEastAsia"/>
          <w:b w:val="0"/>
          <w:color w:val="000000" w:themeColor="text1"/>
          <w:sz w:val="28"/>
          <w:szCs w:val="28"/>
        </w:rPr>
        <w:t>跌水井</w:t>
      </w:r>
      <w:bookmarkEnd w:id="25"/>
    </w:p>
    <w:p>
      <w:pPr>
        <w:pStyle w:val="30"/>
        <w:numPr>
          <w:ilvl w:val="0"/>
          <w:numId w:val="1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管道跌水水头为1.0m～2.0m时，宜设跌水井；跌水水头大于2.0m时，应设跌水井。管道转弯处不宜设跌水井。</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据各地调查，支管接入跌水井水头为1.0m左右时，一般不设跌水井。化工部某设计院一般在跌水水头大于2.0m时才设跌水井；沈阳某设计院亦有类似意见。上海某设计院反映，上海未用过跌水井。据此，本条作了较灵活的规定。</w:t>
      </w:r>
    </w:p>
    <w:p>
      <w:pPr>
        <w:pStyle w:val="30"/>
        <w:numPr>
          <w:ilvl w:val="0"/>
          <w:numId w:val="1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跌水井的进水管管径不大于200mm时，一次跌水水头高度不得大于6m；管径为300mm～600mm时，一次</w:t>
      </w:r>
      <w:r>
        <w:rPr>
          <w:rFonts w:hint="eastAsia" w:ascii="Times New Roman" w:hAnsi="Times New Roman" w:eastAsiaTheme="minorEastAsia"/>
          <w:color w:val="000000" w:themeColor="text1"/>
          <w:sz w:val="28"/>
          <w:szCs w:val="28"/>
        </w:rPr>
        <w:t>跌水水头高度</w:t>
      </w:r>
      <w:r>
        <w:rPr>
          <w:rFonts w:ascii="Times New Roman" w:hAnsi="Times New Roman" w:eastAsiaTheme="minorEastAsia"/>
          <w:color w:val="000000" w:themeColor="text1"/>
          <w:sz w:val="28"/>
          <w:szCs w:val="28"/>
        </w:rPr>
        <w:t>不宜大于4m。跌水方式可采用竖管或矩形竖槽。管径大于600mm时，其一次跌水水头高度及跌水方式应按水力计算确定。</w:t>
      </w:r>
    </w:p>
    <w:p>
      <w:pPr>
        <w:pStyle w:val="30"/>
        <w:numPr>
          <w:ilvl w:val="0"/>
          <w:numId w:val="1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污水和合流干管上的跌水井，宜设排气通风措施，并应在该跌水井和上下游各一个检查井的井室内部以及这三个检查井之间的管道内壁采取可靠的防腐措施。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依据北京排水管网运营养护单位多年养护经验，目前已建污水干线在跌水井处的井室及紧邻的上下游管段管道和检查井内壁均腐蚀严重，维修困难，造成运行安全隐患。为保证管网系统安全提出此项规定。</w:t>
      </w:r>
    </w:p>
    <w:p>
      <w:pPr>
        <w:wordWrap w:val="0"/>
        <w:spacing w:line="360" w:lineRule="auto"/>
        <w:rPr>
          <w:rFonts w:eastAsiaTheme="minorEastAsia"/>
          <w:color w:val="000000" w:themeColor="text1"/>
          <w:sz w:val="28"/>
          <w:szCs w:val="28"/>
        </w:rPr>
      </w:pP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26" w:name="_Toc515281039"/>
      <w:r>
        <w:rPr>
          <w:rFonts w:ascii="Times New Roman" w:hAnsi="Times New Roman" w:eastAsiaTheme="minorEastAsia"/>
          <w:b w:val="0"/>
          <w:color w:val="000000" w:themeColor="text1"/>
          <w:sz w:val="28"/>
          <w:szCs w:val="28"/>
        </w:rPr>
        <w:t>水封井</w:t>
      </w:r>
      <w:bookmarkEnd w:id="26"/>
    </w:p>
    <w:p>
      <w:pPr>
        <w:pStyle w:val="30"/>
        <w:numPr>
          <w:ilvl w:val="0"/>
          <w:numId w:val="1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当工业废水能产生引起爆炸或火灾的气体时，其管道系统中必须设置水封井。水封井位置应设在产生上述废水的排出口处及其干管上每隔适当距离处。</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【条文说明】水封井是一旦废水中产生的气体发生爆炸或火灾时，防止通过管道蔓延的重要安全装置。国内石油化工厂、油品库和油品转运站等含有易燃易爆的工业废水管渠系统中均设置水封井。</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当其他管道必须与输送易燃易爆废水的管道连接时，其连接处也应设置水封井。</w:t>
      </w:r>
    </w:p>
    <w:p>
      <w:pPr>
        <w:pStyle w:val="30"/>
        <w:numPr>
          <w:ilvl w:val="0"/>
          <w:numId w:val="1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水封深度不应小于0.25m，井上宜设通风设施，井底应设沉泥槽。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【条文说明】水封深度与管径、流量和废水含易燃易爆物质的浓度有关，水封深度不应小于0.25m。</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水封井设置通风管可将井内有害气体及时排出，其直径不得小于100mm。设置时应注意：</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（1）避开锅炉房或其他明火装置。</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（2）不得靠近操作台或通风机进口。</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（3）通风管有足够的高度，使有害气体在大气中充分扩散。</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（4）通风管处设立标志，避免工作人员靠近。</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水封井底设置沉泥槽，是为了养护方便，其深度一般采用0.5m～0.7m。</w:t>
      </w:r>
    </w:p>
    <w:p>
      <w:pPr>
        <w:pStyle w:val="30"/>
        <w:numPr>
          <w:ilvl w:val="0"/>
          <w:numId w:val="1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水封井以及同一管道系统中的其他检查井，均不应设在车行道和行人众多的地段，并应适当远离产生明火的场地。</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【条文说明】水封井位置应考虑一旦管道内发生爆炸时造成的影响最小，故不应设在车行道和行人众多的地段。</w:t>
      </w: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27" w:name="_Toc515281040"/>
      <w:r>
        <w:rPr>
          <w:rFonts w:ascii="Times New Roman" w:hAnsi="Times New Roman" w:eastAsiaTheme="minorEastAsia"/>
          <w:b w:val="0"/>
          <w:color w:val="000000" w:themeColor="text1"/>
          <w:sz w:val="28"/>
          <w:szCs w:val="28"/>
        </w:rPr>
        <w:t>雨水口</w:t>
      </w:r>
      <w:bookmarkEnd w:id="27"/>
    </w:p>
    <w:p>
      <w:pPr>
        <w:pStyle w:val="30"/>
        <w:numPr>
          <w:ilvl w:val="0"/>
          <w:numId w:val="2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口的形式、数量和布置，应按汇水面积所产生的流量、雨水口的泄水能力和道路形式确定。立箅式雨水口的宽度和平箅式雨水口的开孔长度和开孔方向应根据设计流量、道路纵坡和横坡等参数确定。雨水口宜设置污物截留设施，合流制系统中的雨水口应采取防止臭气外溢的措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雨水口的形式主要有立箅式和平箅式两类。平箅式雨水口水流通畅，但暴雨时易被树枝等杂物堵塞，影响收水能力。立箅式雨水口不易堵塞，但有的城镇因逐年维修道路，路面加高，使立箅断面减小，影响收水能力。各地可根据具体情况和经验确定适宜的雨水口形式。</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雨水口布置应根据地形和汇水面积确定，同时本次修订补充规定立箅式雨水口的宽度和平箅式雨水口的开孔长度应根据设计流量、道路纵坡和横坡等参数确定，以避免有的地区不经计算，完全按道路长度均匀布置，雨水口尺寸也按经验选择，造成投资浪费或排水不畅。</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规定雨水口宜设污物截留设施，目的是减少由地表径流产生的非溶解性污染物进入受纳水体。合流制系统中的雨水口，为避免出现由污水产生的臭气外溢的现象，应采取设置水封或投加药剂等措施，防止臭气外溢。</w:t>
      </w:r>
    </w:p>
    <w:p>
      <w:pPr>
        <w:pStyle w:val="30"/>
        <w:numPr>
          <w:ilvl w:val="0"/>
          <w:numId w:val="2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雨水口和雨水连接管流量应为雨水管渠设计重现期计算流量的1.5 倍~3倍。</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雨水口易被路面垃圾和杂物堵塞，平箅雨水口在设计中应考虑50%被堵塞，立箅式雨水口应考虑10%被堵塞。在暴雨期间排除道路积水的过程中，雨水管道一般处于承压状态，其所能排除的水量要大于重力流情况下的设计流量，因此本次修订规定雨水口和雨水连接管流量按照雨水管渠设计重现期所计算流量的1.5倍~3倍计，通过提高路面进入地下排水系统的径流量，缓解道路积水。</w:t>
      </w:r>
    </w:p>
    <w:p>
      <w:pPr>
        <w:pStyle w:val="30"/>
        <w:numPr>
          <w:ilvl w:val="0"/>
          <w:numId w:val="2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雨水口间距宜为25m～50m。连接管串联雨水口组数不宜超过3组。雨水口连接管长度不宜超过25m。</w:t>
      </w:r>
    </w:p>
    <w:p>
      <w:pPr>
        <w:wordWrap w:val="0"/>
        <w:rPr>
          <w:rFonts w:eastAsiaTheme="minorEastAsia"/>
          <w:color w:val="000000" w:themeColor="text1"/>
          <w:sz w:val="28"/>
          <w:szCs w:val="28"/>
        </w:rPr>
      </w:pPr>
      <w:r>
        <w:rPr>
          <w:rFonts w:eastAsiaTheme="minorEastAsia"/>
          <w:color w:val="000000" w:themeColor="text1"/>
          <w:sz w:val="28"/>
          <w:szCs w:val="28"/>
        </w:rPr>
        <w:t>【条文说明】根据各地设计、管理的经验和建议，确定雨水口间距、连接管横向雨水口串联的个数和雨水口连接管的长度。</w:t>
      </w:r>
    </w:p>
    <w:p>
      <w:pPr>
        <w:wordWrap w:val="0"/>
        <w:rPr>
          <w:rFonts w:eastAsiaTheme="minorEastAsia"/>
          <w:color w:val="000000" w:themeColor="text1"/>
          <w:sz w:val="28"/>
          <w:szCs w:val="28"/>
        </w:rPr>
      </w:pPr>
      <w:r>
        <w:rPr>
          <w:rFonts w:eastAsiaTheme="minorEastAsia"/>
          <w:color w:val="000000" w:themeColor="text1"/>
          <w:sz w:val="28"/>
          <w:szCs w:val="28"/>
        </w:rPr>
        <w:t xml:space="preserve">    为保证路面雨水宣泄通畅，又便于维护，雨水口只宜横向串联，不应横、纵向一起串联。</w:t>
      </w:r>
    </w:p>
    <w:p>
      <w:pPr>
        <w:wordWrap w:val="0"/>
        <w:rPr>
          <w:rFonts w:eastAsiaTheme="minorEastAsia"/>
          <w:color w:val="000000" w:themeColor="text1"/>
          <w:sz w:val="28"/>
          <w:szCs w:val="28"/>
        </w:rPr>
      </w:pPr>
      <w:r>
        <w:rPr>
          <w:rFonts w:eastAsiaTheme="minorEastAsia"/>
          <w:color w:val="000000" w:themeColor="text1"/>
          <w:sz w:val="28"/>
          <w:szCs w:val="28"/>
        </w:rPr>
        <w:t xml:space="preserve">    对于低洼和易积水地段，雨水径流面积大，径流量较多，如有植物落叶，容易造成雨水口的堵塞。为提高收水速度，需根据实际情况适当增加雨水口，或采用带侧边进水的联合式雨水口和道路横沟。</w:t>
      </w:r>
    </w:p>
    <w:p>
      <w:pPr>
        <w:pStyle w:val="30"/>
        <w:numPr>
          <w:ilvl w:val="0"/>
          <w:numId w:val="20"/>
        </w:numPr>
        <w:wordWrap w:val="0"/>
        <w:spacing w:line="360" w:lineRule="auto"/>
        <w:ind w:left="0" w:firstLine="0" w:firstLineChars="0"/>
        <w:rPr>
          <w:rFonts w:eastAsiaTheme="minorEastAsia"/>
          <w:color w:val="000000" w:themeColor="text1"/>
          <w:sz w:val="28"/>
          <w:szCs w:val="28"/>
        </w:rPr>
      </w:pPr>
      <w:r>
        <w:rPr>
          <w:rFonts w:hint="eastAsia" w:ascii="Times New Roman" w:hAnsi="Times New Roman" w:eastAsiaTheme="minorEastAsia"/>
          <w:color w:val="000000" w:themeColor="text1"/>
          <w:sz w:val="28"/>
          <w:szCs w:val="28"/>
        </w:rPr>
        <w:t>道路横坡坡度不应小于</w:t>
      </w:r>
      <w:r>
        <w:rPr>
          <w:rFonts w:ascii="Times New Roman" w:hAnsi="Times New Roman" w:eastAsiaTheme="minorEastAsia"/>
          <w:color w:val="000000" w:themeColor="text1"/>
          <w:sz w:val="28"/>
          <w:szCs w:val="28"/>
        </w:rPr>
        <w:t>1.5%</w:t>
      </w:r>
      <w:r>
        <w:rPr>
          <w:rFonts w:hint="eastAsia" w:ascii="Times New Roman" w:hAnsi="Times New Roman" w:eastAsiaTheme="minorEastAsia"/>
          <w:color w:val="000000" w:themeColor="text1"/>
          <w:sz w:val="28"/>
          <w:szCs w:val="28"/>
        </w:rPr>
        <w:t>，平箅式</w:t>
      </w:r>
      <w:commentRangeStart w:id="3"/>
      <w:r>
        <w:rPr>
          <w:rFonts w:hint="eastAsia" w:ascii="Times New Roman" w:hAnsi="Times New Roman" w:eastAsiaTheme="minorEastAsia"/>
          <w:color w:val="000000" w:themeColor="text1"/>
          <w:sz w:val="28"/>
          <w:szCs w:val="28"/>
        </w:rPr>
        <w:t>雨水口</w:t>
      </w:r>
      <w:commentRangeEnd w:id="3"/>
      <w:r>
        <w:rPr>
          <w:rStyle w:val="24"/>
          <w:rFonts w:ascii="Times New Roman" w:hAnsi="Times New Roman"/>
        </w:rPr>
        <w:commentReference w:id="3"/>
      </w:r>
      <w:r>
        <w:rPr>
          <w:rFonts w:hint="eastAsia" w:ascii="Times New Roman" w:hAnsi="Times New Roman" w:eastAsiaTheme="minorEastAsia"/>
          <w:color w:val="000000" w:themeColor="text1"/>
          <w:sz w:val="28"/>
          <w:szCs w:val="28"/>
        </w:rPr>
        <w:t>的箅面标高应比周围路面标高低</w:t>
      </w:r>
      <w:r>
        <w:rPr>
          <w:rFonts w:ascii="Times New Roman" w:hAnsi="Times New Roman" w:eastAsiaTheme="minorEastAsia"/>
          <w:color w:val="000000" w:themeColor="text1"/>
          <w:sz w:val="28"/>
          <w:szCs w:val="28"/>
        </w:rPr>
        <w:t>3cm~5cm</w:t>
      </w:r>
      <w:r>
        <w:rPr>
          <w:rFonts w:hint="eastAsia" w:ascii="Times New Roman" w:hAnsi="Times New Roman" w:eastAsiaTheme="minorEastAsia"/>
          <w:color w:val="000000" w:themeColor="text1"/>
          <w:sz w:val="28"/>
          <w:szCs w:val="28"/>
        </w:rPr>
        <w:t>，立箅式雨水口进水处路面标高应比周围路面标高低</w:t>
      </w:r>
      <w:r>
        <w:rPr>
          <w:rFonts w:ascii="Times New Roman" w:hAnsi="Times New Roman" w:eastAsiaTheme="minorEastAsia"/>
          <w:color w:val="000000" w:themeColor="text1"/>
          <w:sz w:val="28"/>
          <w:szCs w:val="28"/>
        </w:rPr>
        <w:t>5cm</w:t>
      </w:r>
      <w:r>
        <w:rPr>
          <w:rFonts w:hint="eastAsia" w:ascii="Times New Roman" w:hAnsi="Times New Roman" w:eastAsiaTheme="minorEastAsia"/>
          <w:color w:val="000000" w:themeColor="text1"/>
          <w:sz w:val="28"/>
          <w:szCs w:val="28"/>
        </w:rPr>
        <w:t>。</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【条文说明】为就近排除道路积水，规定道路横坡坡度不应小于1.5%，平箅式雨水口的箅面标高应比附近路面标高低3cm~5cm，立箅式雨水口进水处路面标高应比周围路面标高低5cm，有助于雨水口对径流的截流。</w:t>
      </w:r>
    </w:p>
    <w:p>
      <w:pPr>
        <w:pStyle w:val="30"/>
        <w:numPr>
          <w:ilvl w:val="0"/>
          <w:numId w:val="2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当设置于下凹式绿地中时，雨水口的箅面标高应根据雨水调蓄设计要求确定，且应高于周围绿地平面标高。</w:t>
      </w:r>
    </w:p>
    <w:p>
      <w:pPr>
        <w:tabs>
          <w:tab w:val="left" w:pos="6402"/>
        </w:tabs>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【条文说明】在下凹式绿地中，雨水口的箅面标高应高于周边绿地，以增强下凹式绿地对雨水的渗透和调蓄作用。</w:t>
      </w:r>
    </w:p>
    <w:p>
      <w:pPr>
        <w:pStyle w:val="30"/>
        <w:numPr>
          <w:ilvl w:val="0"/>
          <w:numId w:val="2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当道路纵坡大于0.02时，雨水口的间距可大于50m，其型式、数量和布置应根据具体情况和计算确定。坡段较短时可在最低点处集中收水，其雨水口的数量或面积应适当增加。</w:t>
      </w:r>
    </w:p>
    <w:p>
      <w:pPr>
        <w:wordWrap w:val="0"/>
        <w:rPr>
          <w:rFonts w:eastAsiaTheme="minorEastAsia"/>
          <w:color w:val="000000" w:themeColor="text1"/>
          <w:sz w:val="28"/>
          <w:szCs w:val="28"/>
        </w:rPr>
      </w:pPr>
      <w:r>
        <w:rPr>
          <w:rFonts w:eastAsiaTheme="minorEastAsia"/>
          <w:color w:val="000000" w:themeColor="text1"/>
          <w:sz w:val="28"/>
          <w:szCs w:val="28"/>
        </w:rPr>
        <w:t>【条文说明】根据各地经验，对丘陵地区、立交道路引道等，当道路纵坡大于0.02时，因纵坡大于横坡，雨水流入雨水口少，故沿途可少设或不设雨水口。坡段较短（一般在300m以内）时，往往在道路低点处集中收水，较为经济合理。</w:t>
      </w:r>
    </w:p>
    <w:p>
      <w:pPr>
        <w:pStyle w:val="30"/>
        <w:numPr>
          <w:ilvl w:val="0"/>
          <w:numId w:val="2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雨水口深度不宜大于1m，并根据需要设置沉泥槽。遇特殊情况需要浅埋时，应采取加固措施。有冻胀影响地区的雨水口深度，可根据当地经验确定。</w:t>
      </w:r>
    </w:p>
    <w:p>
      <w:pPr>
        <w:wordWrap w:val="0"/>
        <w:rPr>
          <w:rFonts w:eastAsiaTheme="minorEastAsia"/>
          <w:color w:val="000000" w:themeColor="text1"/>
          <w:sz w:val="28"/>
          <w:szCs w:val="28"/>
        </w:rPr>
      </w:pPr>
      <w:r>
        <w:rPr>
          <w:rFonts w:eastAsiaTheme="minorEastAsia"/>
          <w:color w:val="000000" w:themeColor="text1"/>
          <w:sz w:val="28"/>
          <w:szCs w:val="28"/>
        </w:rPr>
        <w:t>【条文说明】雨水口不宜过深，若埋设较深会给养护带来困难，并增加投资。故规定雨水口深度不宜大于1m。</w:t>
      </w:r>
    </w:p>
    <w:p>
      <w:pPr>
        <w:wordWrap w:val="0"/>
        <w:rPr>
          <w:rFonts w:eastAsiaTheme="minorEastAsia"/>
          <w:color w:val="000000" w:themeColor="text1"/>
          <w:sz w:val="28"/>
          <w:szCs w:val="28"/>
        </w:rPr>
      </w:pPr>
      <w:r>
        <w:rPr>
          <w:rFonts w:eastAsiaTheme="minorEastAsia"/>
          <w:color w:val="000000" w:themeColor="text1"/>
          <w:sz w:val="28"/>
          <w:szCs w:val="28"/>
        </w:rPr>
        <w:t xml:space="preserve">    雨水口深度指雨水口井盖至连接管管底的距离，不包括沉泥槽深度。</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在交通繁忙行人稠密的地区，根据各地养护经验，可设置沉泥槽</w:t>
      </w:r>
    </w:p>
    <w:p>
      <w:pPr>
        <w:pStyle w:val="30"/>
        <w:numPr>
          <w:ilvl w:val="0"/>
          <w:numId w:val="20"/>
        </w:numPr>
        <w:wordWrap w:val="0"/>
        <w:spacing w:line="360" w:lineRule="auto"/>
        <w:ind w:left="709" w:hanging="709"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雨水口宜采用成品雨水口。</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w:t>
      </w:r>
      <w:r>
        <w:rPr>
          <w:rFonts w:eastAsiaTheme="minorEastAsia"/>
          <w:color w:val="000000" w:themeColor="text1"/>
          <w:spacing w:val="8"/>
          <w:sz w:val="28"/>
          <w:szCs w:val="28"/>
        </w:rPr>
        <w:t>成品雨水口比现场施工的雨水口在质量控制和施工便利方面更有优势</w:t>
      </w:r>
      <w:r>
        <w:rPr>
          <w:rFonts w:eastAsiaTheme="minorEastAsia"/>
          <w:color w:val="000000" w:themeColor="text1"/>
          <w:sz w:val="28"/>
          <w:szCs w:val="28"/>
        </w:rPr>
        <w:t>。</w:t>
      </w: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28" w:name="_Toc515281041"/>
      <w:r>
        <w:rPr>
          <w:rFonts w:ascii="Times New Roman" w:hAnsi="Times New Roman" w:eastAsiaTheme="minorEastAsia"/>
          <w:b w:val="0"/>
          <w:color w:val="000000" w:themeColor="text1"/>
          <w:sz w:val="28"/>
          <w:szCs w:val="28"/>
        </w:rPr>
        <w:t>截流井</w:t>
      </w:r>
      <w:bookmarkEnd w:id="28"/>
    </w:p>
    <w:p>
      <w:pPr>
        <w:pStyle w:val="30"/>
        <w:numPr>
          <w:ilvl w:val="0"/>
          <w:numId w:val="2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截流井的位置，应根据污水截流干管位置、合流管渠位置、溢流管下游水位高程和周围环境等因素确定。</w:t>
      </w:r>
    </w:p>
    <w:p>
      <w:pPr>
        <w:wordWrap w:val="0"/>
        <w:rPr>
          <w:rFonts w:eastAsiaTheme="minorEastAsia"/>
          <w:color w:val="000000" w:themeColor="text1"/>
          <w:sz w:val="28"/>
          <w:szCs w:val="28"/>
        </w:rPr>
      </w:pPr>
      <w:r>
        <w:rPr>
          <w:rFonts w:eastAsiaTheme="minorEastAsia"/>
          <w:color w:val="000000" w:themeColor="text1"/>
          <w:sz w:val="28"/>
          <w:szCs w:val="28"/>
        </w:rPr>
        <w:t>【条文说明】截流井一般设在合流管渠的人河口前，也有的设在城区内，将旧有合流支线接入新建分流制系统。溢流管出口的下游水位包括受纳水体的水位或受纳管渠的水位。</w:t>
      </w:r>
    </w:p>
    <w:p>
      <w:pPr>
        <w:pStyle w:val="30"/>
        <w:numPr>
          <w:ilvl w:val="0"/>
          <w:numId w:val="2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截流井宜采用槽式，也可采用堰式或槽堰结合式。管渠高程允许时，应选用槽式，当选用堰式或槽堰结合式时，堰高和堰长应进行水力计算。</w:t>
      </w:r>
    </w:p>
    <w:p>
      <w:pPr>
        <w:wordWrap w:val="0"/>
        <w:rPr>
          <w:rFonts w:eastAsiaTheme="minorEastAsia"/>
          <w:color w:val="000000" w:themeColor="text1"/>
          <w:sz w:val="28"/>
          <w:szCs w:val="28"/>
        </w:rPr>
      </w:pPr>
      <w:r>
        <w:rPr>
          <w:rFonts w:eastAsiaTheme="minorEastAsia"/>
          <w:color w:val="000000" w:themeColor="text1"/>
          <w:sz w:val="28"/>
          <w:szCs w:val="28"/>
        </w:rPr>
        <w:t>【条文说明】国内常用的截流井形式是槽式和堰式。据调查，北京市的槽式和堰式截流井占截流井总数的80.4%。槽堰式截流井兼有槽式和堰式的优点，也可选用。</w:t>
      </w:r>
    </w:p>
    <w:p>
      <w:pPr>
        <w:wordWrap w:val="0"/>
        <w:rPr>
          <w:rFonts w:eastAsiaTheme="minorEastAsia"/>
          <w:color w:val="000000" w:themeColor="text1"/>
          <w:sz w:val="28"/>
          <w:szCs w:val="28"/>
        </w:rPr>
      </w:pPr>
      <w:r>
        <w:rPr>
          <w:rFonts w:eastAsiaTheme="minorEastAsia"/>
          <w:color w:val="000000" w:themeColor="text1"/>
          <w:sz w:val="28"/>
          <w:szCs w:val="28"/>
        </w:rPr>
        <w:t xml:space="preserve">    槽式截流井的截流效果好，不影响合流管渠排水能力，当管渠高程允许时，应选用。</w:t>
      </w:r>
    </w:p>
    <w:p>
      <w:pPr>
        <w:pStyle w:val="30"/>
        <w:numPr>
          <w:ilvl w:val="0"/>
          <w:numId w:val="2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当污水截流管管径为300mm～600mm时，堰式截流井内各类堰（正堰、斜堰、曲线堰）的堰高，可按下列公式计算：</w:t>
      </w:r>
    </w:p>
    <w:p>
      <w:pPr>
        <w:wordWrap w:val="0"/>
        <w:ind w:firstLine="427" w:firstLineChars="152"/>
        <w:jc w:val="right"/>
        <w:rPr>
          <w:rFonts w:eastAsiaTheme="minorEastAsia"/>
          <w:color w:val="000000" w:themeColor="text1"/>
          <w:sz w:val="28"/>
          <w:szCs w:val="28"/>
        </w:rPr>
      </w:pPr>
      <w:r>
        <w:rPr>
          <w:rFonts w:eastAsiaTheme="minorEastAsia"/>
          <w:b/>
          <w:color w:val="000000" w:themeColor="text1"/>
          <w:sz w:val="28"/>
          <w:szCs w:val="28"/>
        </w:rPr>
        <w:t xml:space="preserve">  1</w:t>
      </w:r>
      <w:r>
        <w:rPr>
          <w:rFonts w:eastAsiaTheme="minorEastAsia"/>
          <w:color w:val="000000" w:themeColor="text1"/>
          <w:sz w:val="28"/>
          <w:szCs w:val="28"/>
        </w:rPr>
        <w:t xml:space="preserve">  </w:t>
      </w:r>
      <w:r>
        <w:rPr>
          <w:rFonts w:eastAsiaTheme="minorEastAsia"/>
          <w:i/>
          <w:color w:val="000000" w:themeColor="text1"/>
          <w:sz w:val="28"/>
          <w:szCs w:val="28"/>
        </w:rPr>
        <w:t>d</w:t>
      </w:r>
      <w:r>
        <w:rPr>
          <w:rFonts w:eastAsiaTheme="minorEastAsia"/>
          <w:color w:val="000000" w:themeColor="text1"/>
          <w:sz w:val="28"/>
          <w:szCs w:val="28"/>
        </w:rPr>
        <w:t>=300mm，</w:t>
      </w:r>
      <w:r>
        <w:rPr>
          <w:rFonts w:eastAsiaTheme="minorEastAsia"/>
          <w:i/>
          <w:color w:val="000000" w:themeColor="text1"/>
          <w:sz w:val="28"/>
          <w:szCs w:val="28"/>
        </w:rPr>
        <w:t>H</w:t>
      </w:r>
      <w:r>
        <w:rPr>
          <w:rFonts w:eastAsiaTheme="minorEastAsia"/>
          <w:color w:val="000000" w:themeColor="text1"/>
          <w:sz w:val="28"/>
          <w:szCs w:val="28"/>
          <w:vertAlign w:val="subscript"/>
        </w:rPr>
        <w:t>1</w:t>
      </w:r>
      <w:r>
        <w:rPr>
          <w:rFonts w:eastAsiaTheme="minorEastAsia"/>
          <w:color w:val="000000" w:themeColor="text1"/>
          <w:sz w:val="28"/>
          <w:szCs w:val="28"/>
        </w:rPr>
        <w:t>=（0.233＋0.013Q</w:t>
      </w:r>
      <w:r>
        <w:rPr>
          <w:rFonts w:eastAsiaTheme="minorEastAsia"/>
          <w:color w:val="000000" w:themeColor="text1"/>
          <w:sz w:val="28"/>
          <w:szCs w:val="28"/>
          <w:vertAlign w:val="subscript"/>
        </w:rPr>
        <w:t>j</w:t>
      </w:r>
      <w:r>
        <w:rPr>
          <w:rFonts w:eastAsiaTheme="minorEastAsia"/>
          <w:color w:val="000000" w:themeColor="text1"/>
          <w:sz w:val="28"/>
          <w:szCs w:val="28"/>
        </w:rPr>
        <w:t>）·</w:t>
      </w:r>
      <w:r>
        <w:rPr>
          <w:rFonts w:eastAsiaTheme="minorEastAsia"/>
          <w:i/>
          <w:color w:val="000000" w:themeColor="text1"/>
          <w:sz w:val="28"/>
          <w:szCs w:val="28"/>
        </w:rPr>
        <w:t>d</w:t>
      </w:r>
      <w:r>
        <w:rPr>
          <w:rFonts w:eastAsiaTheme="minorEastAsia"/>
          <w:color w:val="000000" w:themeColor="text1"/>
          <w:sz w:val="28"/>
          <w:szCs w:val="28"/>
        </w:rPr>
        <w:t>·</w:t>
      </w:r>
      <w:r>
        <w:rPr>
          <w:rFonts w:eastAsiaTheme="minorEastAsia"/>
          <w:i/>
          <w:color w:val="000000" w:themeColor="text1"/>
          <w:sz w:val="28"/>
          <w:szCs w:val="28"/>
        </w:rPr>
        <w:t>k</w:t>
      </w:r>
      <w:r>
        <w:rPr>
          <w:rFonts w:eastAsiaTheme="minorEastAsia"/>
          <w:color w:val="000000" w:themeColor="text1"/>
          <w:sz w:val="28"/>
          <w:szCs w:val="28"/>
        </w:rPr>
        <w:t xml:space="preserve">       （5.</w:t>
      </w:r>
      <w:r>
        <w:rPr>
          <w:rFonts w:hint="eastAsia" w:eastAsiaTheme="minorEastAsia"/>
          <w:color w:val="000000" w:themeColor="text1"/>
          <w:sz w:val="28"/>
          <w:szCs w:val="28"/>
        </w:rPr>
        <w:t>8</w:t>
      </w:r>
      <w:r>
        <w:rPr>
          <w:rFonts w:eastAsiaTheme="minorEastAsia"/>
          <w:color w:val="000000" w:themeColor="text1"/>
          <w:sz w:val="28"/>
          <w:szCs w:val="28"/>
        </w:rPr>
        <w:t>.3-1）</w:t>
      </w:r>
    </w:p>
    <w:p>
      <w:pPr>
        <w:wordWrap w:val="0"/>
        <w:ind w:firstLine="427" w:firstLineChars="152"/>
        <w:jc w:val="right"/>
        <w:rPr>
          <w:rFonts w:eastAsiaTheme="minorEastAsia"/>
          <w:color w:val="000000" w:themeColor="text1"/>
          <w:sz w:val="28"/>
          <w:szCs w:val="28"/>
        </w:rPr>
      </w:pPr>
      <w:r>
        <w:rPr>
          <w:rFonts w:eastAsiaTheme="minorEastAsia"/>
          <w:b/>
          <w:color w:val="000000" w:themeColor="text1"/>
          <w:sz w:val="28"/>
          <w:szCs w:val="28"/>
        </w:rPr>
        <w:t xml:space="preserve">  2</w:t>
      </w:r>
      <w:r>
        <w:rPr>
          <w:rFonts w:eastAsiaTheme="minorEastAsia"/>
          <w:color w:val="000000" w:themeColor="text1"/>
          <w:sz w:val="28"/>
          <w:szCs w:val="28"/>
        </w:rPr>
        <w:t xml:space="preserve">  </w:t>
      </w:r>
      <w:r>
        <w:rPr>
          <w:rFonts w:eastAsiaTheme="minorEastAsia"/>
          <w:i/>
          <w:color w:val="000000" w:themeColor="text1"/>
          <w:sz w:val="28"/>
          <w:szCs w:val="28"/>
        </w:rPr>
        <w:t>d</w:t>
      </w:r>
      <w:r>
        <w:rPr>
          <w:rFonts w:eastAsiaTheme="minorEastAsia"/>
          <w:color w:val="000000" w:themeColor="text1"/>
          <w:sz w:val="28"/>
          <w:szCs w:val="28"/>
        </w:rPr>
        <w:t>=400mm，</w:t>
      </w:r>
      <w:r>
        <w:rPr>
          <w:rFonts w:eastAsiaTheme="minorEastAsia"/>
          <w:i/>
          <w:color w:val="000000" w:themeColor="text1"/>
          <w:sz w:val="28"/>
          <w:szCs w:val="28"/>
        </w:rPr>
        <w:t>H</w:t>
      </w:r>
      <w:r>
        <w:rPr>
          <w:rFonts w:eastAsiaTheme="minorEastAsia"/>
          <w:color w:val="000000" w:themeColor="text1"/>
          <w:sz w:val="28"/>
          <w:szCs w:val="28"/>
          <w:vertAlign w:val="subscript"/>
        </w:rPr>
        <w:t>1</w:t>
      </w:r>
      <w:r>
        <w:rPr>
          <w:rFonts w:eastAsiaTheme="minorEastAsia"/>
          <w:color w:val="000000" w:themeColor="text1"/>
          <w:sz w:val="28"/>
          <w:szCs w:val="28"/>
        </w:rPr>
        <w:t>=（0.226＋0.007Q</w:t>
      </w:r>
      <w:r>
        <w:rPr>
          <w:rFonts w:eastAsiaTheme="minorEastAsia"/>
          <w:color w:val="000000" w:themeColor="text1"/>
          <w:sz w:val="28"/>
          <w:szCs w:val="28"/>
          <w:vertAlign w:val="subscript"/>
        </w:rPr>
        <w:t>j</w:t>
      </w:r>
      <w:r>
        <w:rPr>
          <w:rFonts w:eastAsiaTheme="minorEastAsia"/>
          <w:color w:val="000000" w:themeColor="text1"/>
          <w:sz w:val="28"/>
          <w:szCs w:val="28"/>
        </w:rPr>
        <w:t>）·</w:t>
      </w:r>
      <w:r>
        <w:rPr>
          <w:rFonts w:eastAsiaTheme="minorEastAsia"/>
          <w:i/>
          <w:color w:val="000000" w:themeColor="text1"/>
          <w:sz w:val="28"/>
          <w:szCs w:val="28"/>
        </w:rPr>
        <w:t>d</w:t>
      </w:r>
      <w:r>
        <w:rPr>
          <w:rFonts w:eastAsiaTheme="minorEastAsia"/>
          <w:color w:val="000000" w:themeColor="text1"/>
          <w:sz w:val="28"/>
          <w:szCs w:val="28"/>
        </w:rPr>
        <w:t>·</w:t>
      </w:r>
      <w:r>
        <w:rPr>
          <w:rFonts w:eastAsiaTheme="minorEastAsia"/>
          <w:i/>
          <w:color w:val="000000" w:themeColor="text1"/>
          <w:sz w:val="28"/>
          <w:szCs w:val="28"/>
        </w:rPr>
        <w:t>k</w:t>
      </w:r>
      <w:r>
        <w:rPr>
          <w:rFonts w:eastAsiaTheme="minorEastAsia"/>
          <w:color w:val="000000" w:themeColor="text1"/>
          <w:sz w:val="28"/>
          <w:szCs w:val="28"/>
        </w:rPr>
        <w:t xml:space="preserve">       （5.</w:t>
      </w:r>
      <w:r>
        <w:rPr>
          <w:rFonts w:hint="eastAsia" w:eastAsiaTheme="minorEastAsia"/>
          <w:color w:val="000000" w:themeColor="text1"/>
          <w:sz w:val="28"/>
          <w:szCs w:val="28"/>
        </w:rPr>
        <w:t>8</w:t>
      </w:r>
      <w:r>
        <w:rPr>
          <w:rFonts w:eastAsiaTheme="minorEastAsia"/>
          <w:color w:val="000000" w:themeColor="text1"/>
          <w:sz w:val="28"/>
          <w:szCs w:val="28"/>
        </w:rPr>
        <w:t>.3-2）</w:t>
      </w:r>
    </w:p>
    <w:p>
      <w:pPr>
        <w:wordWrap w:val="0"/>
        <w:ind w:firstLine="427" w:firstLineChars="152"/>
        <w:jc w:val="right"/>
        <w:rPr>
          <w:rFonts w:eastAsiaTheme="minorEastAsia"/>
          <w:color w:val="000000" w:themeColor="text1"/>
          <w:sz w:val="28"/>
          <w:szCs w:val="28"/>
        </w:rPr>
      </w:pPr>
      <w:r>
        <w:rPr>
          <w:rFonts w:eastAsiaTheme="minorEastAsia"/>
          <w:b/>
          <w:color w:val="000000" w:themeColor="text1"/>
          <w:sz w:val="28"/>
          <w:szCs w:val="28"/>
        </w:rPr>
        <w:t xml:space="preserve">  3</w:t>
      </w:r>
      <w:r>
        <w:rPr>
          <w:rFonts w:eastAsiaTheme="minorEastAsia"/>
          <w:color w:val="000000" w:themeColor="text1"/>
          <w:sz w:val="28"/>
          <w:szCs w:val="28"/>
        </w:rPr>
        <w:t xml:space="preserve">  </w:t>
      </w:r>
      <w:r>
        <w:rPr>
          <w:rFonts w:eastAsiaTheme="minorEastAsia"/>
          <w:i/>
          <w:color w:val="000000" w:themeColor="text1"/>
          <w:sz w:val="28"/>
          <w:szCs w:val="28"/>
        </w:rPr>
        <w:t>d</w:t>
      </w:r>
      <w:r>
        <w:rPr>
          <w:rFonts w:eastAsiaTheme="minorEastAsia"/>
          <w:color w:val="000000" w:themeColor="text1"/>
          <w:sz w:val="28"/>
          <w:szCs w:val="28"/>
        </w:rPr>
        <w:t>=500mm，</w:t>
      </w:r>
      <w:r>
        <w:rPr>
          <w:rFonts w:eastAsiaTheme="minorEastAsia"/>
          <w:i/>
          <w:color w:val="000000" w:themeColor="text1"/>
          <w:sz w:val="28"/>
          <w:szCs w:val="28"/>
        </w:rPr>
        <w:t>H</w:t>
      </w:r>
      <w:r>
        <w:rPr>
          <w:rFonts w:eastAsiaTheme="minorEastAsia"/>
          <w:color w:val="000000" w:themeColor="text1"/>
          <w:sz w:val="28"/>
          <w:szCs w:val="28"/>
          <w:vertAlign w:val="subscript"/>
        </w:rPr>
        <w:t>1</w:t>
      </w:r>
      <w:r>
        <w:rPr>
          <w:rFonts w:eastAsiaTheme="minorEastAsia"/>
          <w:color w:val="000000" w:themeColor="text1"/>
          <w:sz w:val="28"/>
          <w:szCs w:val="28"/>
        </w:rPr>
        <w:t>=（0.219＋0.004Q</w:t>
      </w:r>
      <w:r>
        <w:rPr>
          <w:rFonts w:eastAsiaTheme="minorEastAsia"/>
          <w:color w:val="000000" w:themeColor="text1"/>
          <w:sz w:val="28"/>
          <w:szCs w:val="28"/>
          <w:vertAlign w:val="subscript"/>
        </w:rPr>
        <w:t>j</w:t>
      </w:r>
      <w:r>
        <w:rPr>
          <w:rFonts w:eastAsiaTheme="minorEastAsia"/>
          <w:color w:val="000000" w:themeColor="text1"/>
          <w:sz w:val="28"/>
          <w:szCs w:val="28"/>
        </w:rPr>
        <w:t>）·</w:t>
      </w:r>
      <w:r>
        <w:rPr>
          <w:rFonts w:eastAsiaTheme="minorEastAsia"/>
          <w:i/>
          <w:color w:val="000000" w:themeColor="text1"/>
          <w:sz w:val="28"/>
          <w:szCs w:val="28"/>
        </w:rPr>
        <w:t>d</w:t>
      </w:r>
      <w:r>
        <w:rPr>
          <w:rFonts w:eastAsiaTheme="minorEastAsia"/>
          <w:color w:val="000000" w:themeColor="text1"/>
          <w:sz w:val="28"/>
          <w:szCs w:val="28"/>
        </w:rPr>
        <w:t>·</w:t>
      </w:r>
      <w:r>
        <w:rPr>
          <w:rFonts w:eastAsiaTheme="minorEastAsia"/>
          <w:i/>
          <w:color w:val="000000" w:themeColor="text1"/>
          <w:sz w:val="28"/>
          <w:szCs w:val="28"/>
        </w:rPr>
        <w:t>k</w:t>
      </w:r>
      <w:r>
        <w:rPr>
          <w:rFonts w:eastAsiaTheme="minorEastAsia"/>
          <w:color w:val="000000" w:themeColor="text1"/>
          <w:sz w:val="28"/>
          <w:szCs w:val="28"/>
        </w:rPr>
        <w:t xml:space="preserve">       （5.</w:t>
      </w:r>
      <w:r>
        <w:rPr>
          <w:rFonts w:hint="eastAsia" w:eastAsiaTheme="minorEastAsia"/>
          <w:color w:val="000000" w:themeColor="text1"/>
          <w:sz w:val="28"/>
          <w:szCs w:val="28"/>
        </w:rPr>
        <w:t>8</w:t>
      </w:r>
      <w:r>
        <w:rPr>
          <w:rFonts w:eastAsiaTheme="minorEastAsia"/>
          <w:color w:val="000000" w:themeColor="text1"/>
          <w:sz w:val="28"/>
          <w:szCs w:val="28"/>
        </w:rPr>
        <w:t>.3-3）</w:t>
      </w:r>
    </w:p>
    <w:p>
      <w:pPr>
        <w:wordWrap w:val="0"/>
        <w:ind w:firstLine="427" w:firstLineChars="152"/>
        <w:jc w:val="right"/>
        <w:rPr>
          <w:rFonts w:eastAsiaTheme="minorEastAsia"/>
          <w:color w:val="000000" w:themeColor="text1"/>
          <w:sz w:val="28"/>
          <w:szCs w:val="28"/>
        </w:rPr>
      </w:pPr>
      <w:r>
        <w:rPr>
          <w:rFonts w:eastAsiaTheme="minorEastAsia"/>
          <w:b/>
          <w:color w:val="000000" w:themeColor="text1"/>
          <w:sz w:val="28"/>
          <w:szCs w:val="28"/>
        </w:rPr>
        <w:t xml:space="preserve">  4</w:t>
      </w:r>
      <w:r>
        <w:rPr>
          <w:rFonts w:eastAsiaTheme="minorEastAsia"/>
          <w:color w:val="000000" w:themeColor="text1"/>
          <w:sz w:val="28"/>
          <w:szCs w:val="28"/>
        </w:rPr>
        <w:t xml:space="preserve">  </w:t>
      </w:r>
      <w:r>
        <w:rPr>
          <w:rFonts w:eastAsiaTheme="minorEastAsia"/>
          <w:i/>
          <w:color w:val="000000" w:themeColor="text1"/>
          <w:sz w:val="28"/>
          <w:szCs w:val="28"/>
        </w:rPr>
        <w:t>d</w:t>
      </w:r>
      <w:r>
        <w:rPr>
          <w:rFonts w:eastAsiaTheme="minorEastAsia"/>
          <w:color w:val="000000" w:themeColor="text1"/>
          <w:sz w:val="28"/>
          <w:szCs w:val="28"/>
        </w:rPr>
        <w:t>=600mm，</w:t>
      </w:r>
      <w:r>
        <w:rPr>
          <w:rFonts w:eastAsiaTheme="minorEastAsia"/>
          <w:i/>
          <w:color w:val="000000" w:themeColor="text1"/>
          <w:sz w:val="28"/>
          <w:szCs w:val="28"/>
        </w:rPr>
        <w:t>H</w:t>
      </w:r>
      <w:r>
        <w:rPr>
          <w:rFonts w:eastAsiaTheme="minorEastAsia"/>
          <w:color w:val="000000" w:themeColor="text1"/>
          <w:sz w:val="28"/>
          <w:szCs w:val="28"/>
          <w:vertAlign w:val="subscript"/>
        </w:rPr>
        <w:t>1</w:t>
      </w:r>
      <w:r>
        <w:rPr>
          <w:rFonts w:eastAsiaTheme="minorEastAsia"/>
          <w:color w:val="000000" w:themeColor="text1"/>
          <w:sz w:val="28"/>
          <w:szCs w:val="28"/>
        </w:rPr>
        <w:t>=（0.202＋0.003Q</w:t>
      </w:r>
      <w:r>
        <w:rPr>
          <w:rFonts w:eastAsiaTheme="minorEastAsia"/>
          <w:color w:val="000000" w:themeColor="text1"/>
          <w:sz w:val="28"/>
          <w:szCs w:val="28"/>
          <w:vertAlign w:val="subscript"/>
        </w:rPr>
        <w:t>j</w:t>
      </w:r>
      <w:r>
        <w:rPr>
          <w:rFonts w:eastAsiaTheme="minorEastAsia"/>
          <w:color w:val="000000" w:themeColor="text1"/>
          <w:sz w:val="28"/>
          <w:szCs w:val="28"/>
        </w:rPr>
        <w:t>）·</w:t>
      </w:r>
      <w:r>
        <w:rPr>
          <w:rFonts w:eastAsiaTheme="minorEastAsia"/>
          <w:i/>
          <w:color w:val="000000" w:themeColor="text1"/>
          <w:sz w:val="28"/>
          <w:szCs w:val="28"/>
        </w:rPr>
        <w:t>d</w:t>
      </w:r>
      <w:r>
        <w:rPr>
          <w:rFonts w:eastAsiaTheme="minorEastAsia"/>
          <w:color w:val="000000" w:themeColor="text1"/>
          <w:sz w:val="28"/>
          <w:szCs w:val="28"/>
        </w:rPr>
        <w:t>·</w:t>
      </w:r>
      <w:r>
        <w:rPr>
          <w:rFonts w:eastAsiaTheme="minorEastAsia"/>
          <w:i/>
          <w:color w:val="000000" w:themeColor="text1"/>
          <w:sz w:val="28"/>
          <w:szCs w:val="28"/>
        </w:rPr>
        <w:t>k</w:t>
      </w:r>
      <w:r>
        <w:rPr>
          <w:rFonts w:eastAsiaTheme="minorEastAsia"/>
          <w:color w:val="000000" w:themeColor="text1"/>
          <w:sz w:val="28"/>
          <w:szCs w:val="28"/>
        </w:rPr>
        <w:t xml:space="preserve">       （5.</w:t>
      </w:r>
      <w:r>
        <w:rPr>
          <w:rFonts w:hint="eastAsia" w:eastAsiaTheme="minorEastAsia"/>
          <w:color w:val="000000" w:themeColor="text1"/>
          <w:sz w:val="28"/>
          <w:szCs w:val="28"/>
        </w:rPr>
        <w:t>8</w:t>
      </w:r>
      <w:r>
        <w:rPr>
          <w:rFonts w:eastAsiaTheme="minorEastAsia"/>
          <w:color w:val="000000" w:themeColor="text1"/>
          <w:sz w:val="28"/>
          <w:szCs w:val="28"/>
        </w:rPr>
        <w:t>.3-4）</w:t>
      </w:r>
    </w:p>
    <w:p>
      <w:pPr>
        <w:wordWrap w:val="0"/>
        <w:ind w:right="1120" w:firstLine="992" w:firstLineChars="353"/>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 xml:space="preserve">  </w:t>
      </w:r>
      <w:r>
        <w:rPr>
          <w:rFonts w:eastAsiaTheme="minorEastAsia"/>
          <w:i/>
          <w:color w:val="000000" w:themeColor="text1"/>
          <w:sz w:val="28"/>
          <w:szCs w:val="28"/>
        </w:rPr>
        <w:t>Q</w:t>
      </w:r>
      <w:r>
        <w:rPr>
          <w:rFonts w:eastAsiaTheme="minorEastAsia"/>
          <w:color w:val="000000" w:themeColor="text1"/>
          <w:sz w:val="28"/>
          <w:szCs w:val="28"/>
          <w:vertAlign w:val="subscript"/>
        </w:rPr>
        <w:t>j</w:t>
      </w:r>
      <w:r>
        <w:rPr>
          <w:rFonts w:eastAsiaTheme="minorEastAsia"/>
          <w:color w:val="000000" w:themeColor="text1"/>
          <w:sz w:val="28"/>
          <w:szCs w:val="28"/>
        </w:rPr>
        <w:t>=（1＋</w:t>
      </w:r>
      <w:r>
        <w:rPr>
          <w:rFonts w:eastAsiaTheme="minorEastAsia"/>
          <w:i/>
          <w:color w:val="000000" w:themeColor="text1"/>
          <w:sz w:val="28"/>
          <w:szCs w:val="28"/>
        </w:rPr>
        <w:t>n</w:t>
      </w:r>
      <w:r>
        <w:rPr>
          <w:rFonts w:eastAsiaTheme="minorEastAsia"/>
          <w:color w:val="000000" w:themeColor="text1"/>
          <w:sz w:val="28"/>
          <w:szCs w:val="28"/>
          <w:vertAlign w:val="subscript"/>
        </w:rPr>
        <w:t>0</w:t>
      </w:r>
      <w:r>
        <w:rPr>
          <w:rFonts w:eastAsiaTheme="minorEastAsia"/>
          <w:color w:val="000000" w:themeColor="text1"/>
          <w:sz w:val="28"/>
          <w:szCs w:val="28"/>
        </w:rPr>
        <w:t>）·（Q</w:t>
      </w:r>
      <w:r>
        <w:rPr>
          <w:rFonts w:eastAsiaTheme="minorEastAsia"/>
          <w:color w:val="000000" w:themeColor="text1"/>
          <w:sz w:val="28"/>
          <w:szCs w:val="28"/>
          <w:vertAlign w:val="subscript"/>
        </w:rPr>
        <w:t>d</w:t>
      </w:r>
      <w:r>
        <w:rPr>
          <w:rFonts w:eastAsiaTheme="minorEastAsia"/>
          <w:color w:val="000000" w:themeColor="text1"/>
          <w:sz w:val="28"/>
          <w:szCs w:val="28"/>
        </w:rPr>
        <w:t>+Q</w:t>
      </w:r>
      <w:r>
        <w:rPr>
          <w:rFonts w:eastAsiaTheme="minorEastAsia"/>
          <w:color w:val="000000" w:themeColor="text1"/>
          <w:sz w:val="28"/>
          <w:szCs w:val="28"/>
          <w:vertAlign w:val="subscript"/>
        </w:rPr>
        <w:t>m</w:t>
      </w:r>
      <w:r>
        <w:rPr>
          <w:rFonts w:eastAsiaTheme="minorEastAsia"/>
          <w:color w:val="000000"/>
          <w:sz w:val="28"/>
          <w:szCs w:val="28"/>
        </w:rPr>
        <w:t xml:space="preserve">+ </w:t>
      </w:r>
      <w:r>
        <w:rPr>
          <w:i/>
          <w:color w:val="000000"/>
          <w:sz w:val="28"/>
          <w:szCs w:val="28"/>
        </w:rPr>
        <w:t>Q</w:t>
      </w:r>
      <w:r>
        <w:rPr>
          <w:rFonts w:eastAsiaTheme="minorEastAsia"/>
          <w:color w:val="000000"/>
          <w:sz w:val="28"/>
          <w:szCs w:val="28"/>
          <w:vertAlign w:val="subscript"/>
        </w:rPr>
        <w:t>u</w:t>
      </w:r>
      <w:r>
        <w:rPr>
          <w:rFonts w:eastAsiaTheme="minorEastAsia"/>
          <w:color w:val="000000" w:themeColor="text1"/>
          <w:sz w:val="28"/>
          <w:szCs w:val="28"/>
        </w:rPr>
        <w:t xml:space="preserve">）   </w:t>
      </w:r>
      <w:r>
        <w:rPr>
          <w:rFonts w:hint="eastAsia" w:eastAsiaTheme="minorEastAsia"/>
          <w:color w:val="000000" w:themeColor="text1"/>
          <w:sz w:val="28"/>
          <w:szCs w:val="28"/>
        </w:rPr>
        <w:t xml:space="preserve">    </w:t>
      </w:r>
      <w:r>
        <w:rPr>
          <w:rFonts w:eastAsiaTheme="minorEastAsia"/>
          <w:color w:val="000000" w:themeColor="text1"/>
          <w:sz w:val="28"/>
          <w:szCs w:val="28"/>
        </w:rPr>
        <w:t xml:space="preserve">  （5.</w:t>
      </w:r>
      <w:r>
        <w:rPr>
          <w:rFonts w:hint="eastAsia" w:eastAsiaTheme="minorEastAsia"/>
          <w:color w:val="000000" w:themeColor="text1"/>
          <w:sz w:val="28"/>
          <w:szCs w:val="28"/>
        </w:rPr>
        <w:t>8</w:t>
      </w:r>
      <w:r>
        <w:rPr>
          <w:rFonts w:eastAsiaTheme="minorEastAsia"/>
          <w:color w:val="000000" w:themeColor="text1"/>
          <w:sz w:val="28"/>
          <w:szCs w:val="28"/>
        </w:rPr>
        <w:t>.3-5）        式中：</w:t>
      </w:r>
      <w:r>
        <w:rPr>
          <w:rFonts w:eastAsiaTheme="minorEastAsia"/>
          <w:i/>
          <w:color w:val="000000" w:themeColor="text1"/>
          <w:sz w:val="28"/>
          <w:szCs w:val="28"/>
        </w:rPr>
        <w:t>H</w:t>
      </w:r>
      <w:r>
        <w:rPr>
          <w:rFonts w:eastAsiaTheme="minorEastAsia"/>
          <w:color w:val="000000" w:themeColor="text1"/>
          <w:sz w:val="28"/>
          <w:szCs w:val="28"/>
          <w:vertAlign w:val="subscript"/>
        </w:rPr>
        <w:t>1</w:t>
      </w:r>
      <w:r>
        <w:rPr>
          <w:rFonts w:eastAsiaTheme="minorEastAsia"/>
          <w:color w:val="000000" w:themeColor="text1"/>
          <w:sz w:val="28"/>
          <w:szCs w:val="28"/>
        </w:rPr>
        <w:t>——堰高（mm）；</w:t>
      </w:r>
    </w:p>
    <w:p>
      <w:pPr>
        <w:wordWrap w:val="0"/>
        <w:ind w:firstLine="848" w:firstLineChars="303"/>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j</w:t>
      </w:r>
      <w:r>
        <w:rPr>
          <w:rFonts w:eastAsiaTheme="minorEastAsia"/>
          <w:color w:val="000000" w:themeColor="text1"/>
          <w:sz w:val="28"/>
          <w:szCs w:val="28"/>
        </w:rPr>
        <w:t>——污水截流量（L/s）；</w:t>
      </w:r>
    </w:p>
    <w:p>
      <w:pPr>
        <w:wordWrap w:val="0"/>
        <w:ind w:firstLine="848" w:firstLineChars="303"/>
        <w:rPr>
          <w:rFonts w:eastAsiaTheme="minorEastAsia"/>
          <w:color w:val="000000" w:themeColor="text1"/>
          <w:sz w:val="28"/>
          <w:szCs w:val="28"/>
        </w:rPr>
      </w:pPr>
      <w:r>
        <w:rPr>
          <w:rFonts w:eastAsiaTheme="minorEastAsia"/>
          <w:i/>
          <w:color w:val="000000" w:themeColor="text1"/>
          <w:sz w:val="28"/>
          <w:szCs w:val="28"/>
        </w:rPr>
        <w:t>d</w:t>
      </w:r>
      <w:r>
        <w:rPr>
          <w:rFonts w:eastAsiaTheme="minorEastAsia"/>
          <w:color w:val="000000" w:themeColor="text1"/>
          <w:sz w:val="28"/>
          <w:szCs w:val="28"/>
        </w:rPr>
        <w:t>——污水截流管管径（mm）；</w:t>
      </w:r>
    </w:p>
    <w:p>
      <w:pPr>
        <w:wordWrap w:val="0"/>
        <w:ind w:firstLine="848" w:firstLineChars="303"/>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rPr>
        <w:t>——修正系数，k=1.1～1.3；</w:t>
      </w:r>
    </w:p>
    <w:p>
      <w:pPr>
        <w:wordWrap w:val="0"/>
        <w:ind w:firstLine="848" w:firstLineChars="303"/>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0</w:t>
      </w:r>
      <w:r>
        <w:rPr>
          <w:rFonts w:eastAsiaTheme="minorEastAsia"/>
          <w:color w:val="000000" w:themeColor="text1"/>
          <w:sz w:val="28"/>
          <w:szCs w:val="28"/>
        </w:rPr>
        <w:t>——截流倍数；</w:t>
      </w:r>
    </w:p>
    <w:p>
      <w:pPr>
        <w:pStyle w:val="30"/>
        <w:spacing w:line="460" w:lineRule="atLeast"/>
        <w:ind w:left="340" w:firstLine="366" w:firstLineChars="131"/>
        <w:rPr>
          <w:rFonts w:eastAsiaTheme="minorEastAsia"/>
          <w:color w:val="000000"/>
          <w:sz w:val="28"/>
          <w:szCs w:val="28"/>
        </w:rPr>
      </w:pPr>
      <w:r>
        <w:rPr>
          <w:i/>
          <w:color w:val="000000"/>
          <w:sz w:val="28"/>
          <w:szCs w:val="28"/>
        </w:rPr>
        <w:t>Q</w:t>
      </w:r>
      <w:r>
        <w:rPr>
          <w:color w:val="000000"/>
          <w:sz w:val="28"/>
          <w:szCs w:val="28"/>
          <w:vertAlign w:val="subscript"/>
        </w:rPr>
        <w:t>d</w:t>
      </w:r>
      <w:r>
        <w:rPr>
          <w:color w:val="000000"/>
          <w:sz w:val="28"/>
          <w:szCs w:val="28"/>
        </w:rPr>
        <w:t xml:space="preserve"> </w:t>
      </w:r>
      <w:r>
        <w:rPr>
          <w:rFonts w:eastAsiaTheme="minorEastAsia"/>
          <w:color w:val="000000" w:themeColor="text1"/>
          <w:sz w:val="28"/>
          <w:szCs w:val="28"/>
        </w:rPr>
        <w:t>——</w:t>
      </w:r>
      <w:r>
        <w:rPr>
          <w:rFonts w:eastAsia="宋体"/>
          <w:color w:val="000000"/>
          <w:sz w:val="28"/>
          <w:szCs w:val="28"/>
        </w:rPr>
        <w:t>设计综合生活污水量（</w:t>
      </w:r>
      <w:r>
        <w:rPr>
          <w:color w:val="000000"/>
          <w:sz w:val="28"/>
          <w:szCs w:val="28"/>
        </w:rPr>
        <w:t>L/s</w:t>
      </w:r>
      <w:r>
        <w:rPr>
          <w:rFonts w:eastAsia="宋体"/>
          <w:color w:val="000000"/>
          <w:sz w:val="28"/>
          <w:szCs w:val="28"/>
        </w:rPr>
        <w:t>）</w:t>
      </w:r>
      <w:r>
        <w:rPr>
          <w:rFonts w:eastAsiaTheme="minorEastAsia"/>
          <w:color w:val="000000"/>
          <w:sz w:val="28"/>
          <w:szCs w:val="28"/>
        </w:rPr>
        <w:t>；</w:t>
      </w:r>
    </w:p>
    <w:p>
      <w:pPr>
        <w:pStyle w:val="30"/>
        <w:wordWrap w:val="0"/>
        <w:spacing w:line="360" w:lineRule="auto"/>
        <w:ind w:left="340" w:firstLine="366" w:firstLineChars="131"/>
        <w:rPr>
          <w:rFonts w:ascii="Times New Roman" w:hAnsi="Times New Roman" w:eastAsia="宋体"/>
          <w:color w:val="000000"/>
          <w:sz w:val="28"/>
          <w:szCs w:val="28"/>
        </w:rPr>
      </w:pPr>
      <w:r>
        <w:rPr>
          <w:rFonts w:ascii="Times New Roman" w:hAnsi="Times New Roman"/>
          <w:i/>
          <w:color w:val="000000"/>
          <w:sz w:val="28"/>
          <w:szCs w:val="28"/>
        </w:rPr>
        <w:t>Q</w:t>
      </w:r>
      <w:r>
        <w:rPr>
          <w:rFonts w:ascii="Times New Roman" w:hAnsi="Times New Roman"/>
          <w:color w:val="000000"/>
          <w:sz w:val="28"/>
          <w:szCs w:val="28"/>
          <w:vertAlign w:val="subscript"/>
        </w:rPr>
        <w:t>m</w:t>
      </w:r>
      <w:r>
        <w:rPr>
          <w:rFonts w:ascii="Times New Roman" w:hAnsi="Times New Roman"/>
          <w:color w:val="000000"/>
          <w:sz w:val="28"/>
          <w:szCs w:val="28"/>
        </w:rPr>
        <w:t xml:space="preserve"> </w:t>
      </w:r>
      <w:r>
        <w:rPr>
          <w:rFonts w:ascii="Times New Roman" w:hAnsi="Times New Roman" w:eastAsiaTheme="minorEastAsia"/>
          <w:color w:val="000000" w:themeColor="text1"/>
          <w:sz w:val="28"/>
          <w:szCs w:val="28"/>
        </w:rPr>
        <w:t>——</w:t>
      </w:r>
      <w:r>
        <w:rPr>
          <w:rFonts w:ascii="Times New Roman" w:hAnsi="Times New Roman" w:eastAsia="宋体"/>
          <w:color w:val="000000"/>
          <w:sz w:val="28"/>
          <w:szCs w:val="28"/>
        </w:rPr>
        <w:t>设计工业废水量（</w:t>
      </w:r>
      <w:r>
        <w:rPr>
          <w:rFonts w:ascii="Times New Roman" w:hAnsi="Times New Roman"/>
          <w:color w:val="000000"/>
          <w:sz w:val="28"/>
          <w:szCs w:val="28"/>
        </w:rPr>
        <w:t>L/s</w:t>
      </w:r>
      <w:r>
        <w:rPr>
          <w:rFonts w:ascii="Times New Roman" w:hAnsi="Times New Roman" w:eastAsia="宋体"/>
          <w:color w:val="000000"/>
          <w:sz w:val="28"/>
          <w:szCs w:val="28"/>
        </w:rPr>
        <w:t>）；</w:t>
      </w:r>
    </w:p>
    <w:p>
      <w:pPr>
        <w:pStyle w:val="30"/>
        <w:spacing w:line="460" w:lineRule="atLeast"/>
        <w:ind w:left="340" w:firstLine="366" w:firstLineChars="131"/>
        <w:rPr>
          <w:rFonts w:eastAsiaTheme="minorEastAsia"/>
          <w:color w:val="000000"/>
          <w:sz w:val="28"/>
          <w:szCs w:val="28"/>
        </w:rPr>
      </w:pPr>
      <w:r>
        <w:rPr>
          <w:i/>
          <w:color w:val="000000"/>
          <w:sz w:val="28"/>
          <w:szCs w:val="28"/>
        </w:rPr>
        <w:t>Q</w:t>
      </w:r>
      <w:r>
        <w:rPr>
          <w:rFonts w:eastAsiaTheme="minorEastAsia"/>
          <w:color w:val="000000"/>
          <w:sz w:val="28"/>
          <w:szCs w:val="28"/>
          <w:vertAlign w:val="subscript"/>
        </w:rPr>
        <w:t>u</w:t>
      </w:r>
      <w:r>
        <w:rPr>
          <w:color w:val="000000"/>
          <w:sz w:val="28"/>
          <w:szCs w:val="28"/>
        </w:rPr>
        <w:t xml:space="preserve"> —</w:t>
      </w:r>
      <w:r>
        <w:rPr>
          <w:rFonts w:eastAsia="宋体"/>
          <w:color w:val="000000"/>
          <w:sz w:val="28"/>
          <w:szCs w:val="28"/>
        </w:rPr>
        <w:t>入渗地下水量（</w:t>
      </w:r>
      <w:r>
        <w:rPr>
          <w:color w:val="000000"/>
          <w:sz w:val="28"/>
          <w:szCs w:val="28"/>
        </w:rPr>
        <w:t>L/s</w:t>
      </w:r>
      <w:r>
        <w:rPr>
          <w:rFonts w:eastAsia="宋体"/>
          <w:color w:val="000000"/>
          <w:sz w:val="28"/>
          <w:szCs w:val="28"/>
        </w:rPr>
        <w:t>），</w:t>
      </w:r>
      <w:r>
        <w:rPr>
          <w:rFonts w:eastAsiaTheme="minorEastAsia"/>
          <w:color w:val="000000" w:themeColor="text1"/>
          <w:kern w:val="0"/>
          <w:sz w:val="28"/>
          <w:szCs w:val="28"/>
          <w:lang w:val="zh-CN"/>
        </w:rPr>
        <w:t>在地下水位较高地区，应考虑</w:t>
      </w:r>
      <w:r>
        <w:rPr>
          <w:rFonts w:eastAsiaTheme="minorEastAsia"/>
          <w:color w:val="000000"/>
          <w:sz w:val="28"/>
          <w:szCs w:val="28"/>
        </w:rPr>
        <w:t>。</w:t>
      </w:r>
    </w:p>
    <w:p>
      <w:pPr>
        <w:pStyle w:val="30"/>
        <w:numPr>
          <w:ilvl w:val="0"/>
          <w:numId w:val="2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当污水截流管管径为300mm～600mm时，槽式截流井的槽深、槽宽，应按下列公式计算：</w:t>
      </w:r>
    </w:p>
    <w:p>
      <w:pPr>
        <w:wordWrap w:val="0"/>
        <w:jc w:val="right"/>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vertAlign w:val="subscript"/>
        </w:rPr>
        <w:t>2</w:t>
      </w:r>
      <w:r>
        <w:rPr>
          <w:rFonts w:eastAsiaTheme="minorEastAsia"/>
          <w:color w:val="000000" w:themeColor="text1"/>
          <w:sz w:val="28"/>
          <w:szCs w:val="28"/>
        </w:rPr>
        <w:t>=63.9</w:t>
      </w:r>
      <w:r>
        <w:rPr>
          <w:rFonts w:eastAsiaTheme="minorEastAsia"/>
          <w:i/>
          <w:color w:val="000000" w:themeColor="text1"/>
          <w:sz w:val="28"/>
          <w:szCs w:val="28"/>
        </w:rPr>
        <w:t>Q</w:t>
      </w:r>
      <w:r>
        <w:rPr>
          <w:rFonts w:eastAsiaTheme="minorEastAsia"/>
          <w:color w:val="000000" w:themeColor="text1"/>
          <w:sz w:val="28"/>
          <w:szCs w:val="28"/>
          <w:vertAlign w:val="subscript"/>
        </w:rPr>
        <w:t>j</w:t>
      </w:r>
      <w:r>
        <w:rPr>
          <w:rFonts w:eastAsiaTheme="minorEastAsia"/>
          <w:color w:val="000000" w:themeColor="text1"/>
          <w:sz w:val="28"/>
          <w:szCs w:val="28"/>
        </w:rPr>
        <w:t>0.43</w:t>
      </w:r>
      <w:r>
        <w:rPr>
          <w:rFonts w:eastAsiaTheme="minorEastAsia"/>
          <w:i/>
          <w:color w:val="000000" w:themeColor="text1"/>
          <w:sz w:val="28"/>
          <w:szCs w:val="28"/>
        </w:rPr>
        <w:t>k</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（5.</w:t>
      </w:r>
      <w:r>
        <w:rPr>
          <w:rFonts w:hint="eastAsia" w:eastAsiaTheme="minorEastAsia"/>
          <w:color w:val="000000" w:themeColor="text1"/>
          <w:sz w:val="28"/>
          <w:szCs w:val="28"/>
        </w:rPr>
        <w:t>8</w:t>
      </w:r>
      <w:r>
        <w:rPr>
          <w:rFonts w:eastAsiaTheme="minorEastAsia"/>
          <w:color w:val="000000" w:themeColor="text1"/>
          <w:sz w:val="28"/>
          <w:szCs w:val="28"/>
        </w:rPr>
        <w:t>.4-1）</w:t>
      </w:r>
    </w:p>
    <w:p>
      <w:pPr>
        <w:wordWrap w:val="0"/>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H</w:t>
      </w:r>
      <w:r>
        <w:rPr>
          <w:rFonts w:eastAsiaTheme="minorEastAsia"/>
          <w:color w:val="000000" w:themeColor="text1"/>
          <w:sz w:val="28"/>
          <w:szCs w:val="28"/>
          <w:vertAlign w:val="subscript"/>
        </w:rPr>
        <w:t>2</w:t>
      </w:r>
      <w:r>
        <w:rPr>
          <w:rFonts w:eastAsiaTheme="minorEastAsia"/>
          <w:color w:val="000000" w:themeColor="text1"/>
          <w:sz w:val="28"/>
          <w:szCs w:val="28"/>
        </w:rPr>
        <w:t>——槽深（mm）</w:t>
      </w:r>
    </w:p>
    <w:p>
      <w:pPr>
        <w:wordWrap w:val="0"/>
        <w:ind w:firstLine="848" w:firstLineChars="303"/>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j</w:t>
      </w:r>
      <w:r>
        <w:rPr>
          <w:rFonts w:eastAsiaTheme="minorEastAsia"/>
          <w:color w:val="000000" w:themeColor="text1"/>
          <w:sz w:val="28"/>
          <w:szCs w:val="28"/>
        </w:rPr>
        <w:t>——污水截流量（L/s）；</w:t>
      </w:r>
    </w:p>
    <w:p>
      <w:pPr>
        <w:wordWrap w:val="0"/>
        <w:ind w:firstLine="848" w:firstLineChars="303"/>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rPr>
        <w:t>——修正系数，k=1.1～1.3；</w:t>
      </w:r>
    </w:p>
    <w:p>
      <w:pPr>
        <w:wordWrap w:val="0"/>
        <w:jc w:val="right"/>
        <w:rPr>
          <w:rFonts w:eastAsiaTheme="minorEastAsia"/>
          <w:color w:val="000000" w:themeColor="text1"/>
          <w:sz w:val="28"/>
          <w:szCs w:val="28"/>
        </w:rPr>
      </w:pPr>
      <w:r>
        <w:rPr>
          <w:rFonts w:eastAsiaTheme="minorEastAsia"/>
          <w:i/>
          <w:color w:val="000000" w:themeColor="text1"/>
          <w:sz w:val="28"/>
          <w:szCs w:val="28"/>
        </w:rPr>
        <w:t>B</w:t>
      </w:r>
      <w:r>
        <w:rPr>
          <w:rFonts w:eastAsiaTheme="minorEastAsia"/>
          <w:color w:val="000000" w:themeColor="text1"/>
          <w:sz w:val="28"/>
          <w:szCs w:val="28"/>
        </w:rPr>
        <w:t>=</w:t>
      </w:r>
      <w:r>
        <w:rPr>
          <w:rFonts w:eastAsiaTheme="minorEastAsia"/>
          <w:i/>
          <w:color w:val="000000" w:themeColor="text1"/>
          <w:sz w:val="28"/>
          <w:szCs w:val="28"/>
        </w:rPr>
        <w:t>d</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（5.</w:t>
      </w:r>
      <w:r>
        <w:rPr>
          <w:rFonts w:hint="eastAsia" w:eastAsiaTheme="minorEastAsia"/>
          <w:color w:val="000000" w:themeColor="text1"/>
          <w:sz w:val="28"/>
          <w:szCs w:val="28"/>
        </w:rPr>
        <w:t>8</w:t>
      </w:r>
      <w:r>
        <w:rPr>
          <w:rFonts w:eastAsiaTheme="minorEastAsia"/>
          <w:color w:val="000000" w:themeColor="text1"/>
          <w:sz w:val="28"/>
          <w:szCs w:val="28"/>
        </w:rPr>
        <w:t>.4-2）</w:t>
      </w:r>
    </w:p>
    <w:p>
      <w:pPr>
        <w:wordWrap w:val="0"/>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B</w:t>
      </w:r>
      <w:r>
        <w:rPr>
          <w:rFonts w:eastAsiaTheme="minorEastAsia"/>
          <w:color w:val="000000" w:themeColor="text1"/>
          <w:sz w:val="28"/>
          <w:szCs w:val="28"/>
        </w:rPr>
        <w:t>——槽宽（mm）；</w:t>
      </w:r>
    </w:p>
    <w:p>
      <w:pPr>
        <w:wordWrap w:val="0"/>
        <w:ind w:firstLine="848" w:firstLineChars="303"/>
        <w:rPr>
          <w:rFonts w:eastAsiaTheme="minorEastAsia"/>
          <w:color w:val="000000" w:themeColor="text1"/>
          <w:sz w:val="28"/>
          <w:szCs w:val="28"/>
        </w:rPr>
      </w:pPr>
      <w:r>
        <w:rPr>
          <w:rFonts w:eastAsiaTheme="minorEastAsia"/>
          <w:i/>
          <w:color w:val="000000" w:themeColor="text1"/>
          <w:sz w:val="28"/>
          <w:szCs w:val="28"/>
        </w:rPr>
        <w:t>d</w:t>
      </w:r>
      <w:r>
        <w:rPr>
          <w:rFonts w:eastAsiaTheme="minorEastAsia"/>
          <w:color w:val="000000" w:themeColor="text1"/>
          <w:sz w:val="28"/>
          <w:szCs w:val="28"/>
        </w:rPr>
        <w:t>——污水截流管管径（mm）；</w:t>
      </w:r>
    </w:p>
    <w:p>
      <w:pPr>
        <w:pStyle w:val="30"/>
        <w:numPr>
          <w:ilvl w:val="0"/>
          <w:numId w:val="2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槽堰结合式截流井的槽深、堰高，应按下列公式计算：</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根据地形条件和管道调和允许降落可能性，确定槽深</w:t>
      </w:r>
      <w:r>
        <w:rPr>
          <w:rFonts w:eastAsiaTheme="minorEastAsia"/>
          <w:i/>
          <w:color w:val="000000" w:themeColor="text1"/>
          <w:sz w:val="28"/>
          <w:szCs w:val="28"/>
        </w:rPr>
        <w:t>H</w:t>
      </w:r>
      <w:r>
        <w:rPr>
          <w:rFonts w:eastAsiaTheme="minorEastAsia"/>
          <w:color w:val="000000" w:themeColor="text1"/>
          <w:sz w:val="28"/>
          <w:szCs w:val="28"/>
          <w:vertAlign w:val="subscript"/>
        </w:rPr>
        <w:t>2</w:t>
      </w:r>
      <w:r>
        <w:rPr>
          <w:rFonts w:eastAsiaTheme="minorEastAsia"/>
          <w:color w:val="000000" w:themeColor="text1"/>
          <w:sz w:val="28"/>
          <w:szCs w:val="28"/>
        </w:rPr>
        <w:t>；</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根据截流量，计算确定截流管管径</w:t>
      </w:r>
      <w:r>
        <w:rPr>
          <w:rFonts w:eastAsiaTheme="minorEastAsia"/>
          <w:i/>
          <w:color w:val="000000" w:themeColor="text1"/>
          <w:sz w:val="28"/>
          <w:szCs w:val="28"/>
        </w:rPr>
        <w:t>d</w:t>
      </w:r>
      <w:r>
        <w:rPr>
          <w:rFonts w:eastAsiaTheme="minorEastAsia"/>
          <w:color w:val="000000" w:themeColor="text1"/>
          <w:sz w:val="28"/>
          <w:szCs w:val="28"/>
        </w:rPr>
        <w:t>；</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假设</w:t>
      </w:r>
      <w:r>
        <w:rPr>
          <w:rFonts w:eastAsiaTheme="minorEastAsia"/>
          <w:i/>
          <w:color w:val="000000" w:themeColor="text1"/>
          <w:sz w:val="28"/>
          <w:szCs w:val="28"/>
        </w:rPr>
        <w:t>H</w:t>
      </w:r>
      <w:r>
        <w:rPr>
          <w:rFonts w:eastAsiaTheme="minorEastAsia"/>
          <w:color w:val="000000" w:themeColor="text1"/>
          <w:sz w:val="28"/>
          <w:szCs w:val="28"/>
          <w:vertAlign w:val="subscript"/>
        </w:rPr>
        <w:t>1</w:t>
      </w:r>
      <w:r>
        <w:rPr>
          <w:rFonts w:eastAsiaTheme="minorEastAsia"/>
          <w:color w:val="000000" w:themeColor="text1"/>
          <w:sz w:val="28"/>
          <w:szCs w:val="28"/>
        </w:rPr>
        <w:t>/</w:t>
      </w:r>
      <w:r>
        <w:rPr>
          <w:rFonts w:eastAsiaTheme="minorEastAsia"/>
          <w:i/>
          <w:color w:val="000000" w:themeColor="text1"/>
          <w:sz w:val="28"/>
          <w:szCs w:val="28"/>
        </w:rPr>
        <w:t>H</w:t>
      </w:r>
      <w:r>
        <w:rPr>
          <w:rFonts w:eastAsiaTheme="minorEastAsia"/>
          <w:color w:val="000000" w:themeColor="text1"/>
          <w:sz w:val="28"/>
          <w:szCs w:val="28"/>
          <w:vertAlign w:val="subscript"/>
        </w:rPr>
        <w:t>2</w:t>
      </w:r>
      <w:r>
        <w:rPr>
          <w:rFonts w:eastAsiaTheme="minorEastAsia"/>
          <w:color w:val="000000" w:themeColor="text1"/>
          <w:sz w:val="28"/>
          <w:szCs w:val="28"/>
        </w:rPr>
        <w:t>比值，按表5.8.5计算确定槽堰总高</w:t>
      </w:r>
      <w:r>
        <w:rPr>
          <w:rFonts w:eastAsiaTheme="minorEastAsia"/>
          <w:i/>
          <w:color w:val="000000" w:themeColor="text1"/>
          <w:sz w:val="28"/>
          <w:szCs w:val="28"/>
        </w:rPr>
        <w:t>H</w:t>
      </w:r>
      <w:r>
        <w:rPr>
          <w:rFonts w:eastAsiaTheme="minorEastAsia"/>
          <w:color w:val="000000" w:themeColor="text1"/>
          <w:sz w:val="28"/>
          <w:szCs w:val="28"/>
        </w:rPr>
        <w:t>；</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表5.8.5  槽堰结合式井的槽堰总高计算表</w:t>
      </w:r>
    </w:p>
    <w:tbl>
      <w:tblPr>
        <w:tblStyle w:val="25"/>
        <w:tblW w:w="7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2888"/>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7" w:type="dxa"/>
          </w:tcPr>
          <w:p>
            <w:pPr>
              <w:wordWrap w:val="0"/>
              <w:spacing w:line="360" w:lineRule="auto"/>
              <w:jc w:val="center"/>
              <w:rPr>
                <w:rFonts w:eastAsiaTheme="minorEastAsia"/>
                <w:color w:val="000000" w:themeColor="text1"/>
                <w:sz w:val="28"/>
                <w:szCs w:val="28"/>
              </w:rPr>
            </w:pPr>
            <w:r>
              <w:rPr>
                <w:rFonts w:eastAsiaTheme="minorEastAsia"/>
                <w:i/>
                <w:color w:val="000000" w:themeColor="text1"/>
                <w:sz w:val="28"/>
                <w:szCs w:val="28"/>
              </w:rPr>
              <w:t>D</w:t>
            </w:r>
            <w:r>
              <w:rPr>
                <w:rFonts w:eastAsiaTheme="minorEastAsia"/>
                <w:color w:val="000000" w:themeColor="text1"/>
                <w:sz w:val="28"/>
                <w:szCs w:val="28"/>
              </w:rPr>
              <w:t>（mm）</w:t>
            </w:r>
          </w:p>
        </w:tc>
        <w:tc>
          <w:tcPr>
            <w:tcW w:w="2888" w:type="dxa"/>
          </w:tcPr>
          <w:p>
            <w:pPr>
              <w:wordWrap w:val="0"/>
              <w:spacing w:line="360" w:lineRule="auto"/>
              <w:jc w:val="center"/>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vertAlign w:val="subscript"/>
              </w:rPr>
              <w:t>1</w:t>
            </w:r>
            <w:r>
              <w:rPr>
                <w:rFonts w:eastAsiaTheme="minorEastAsia"/>
                <w:color w:val="000000" w:themeColor="text1"/>
                <w:sz w:val="28"/>
                <w:szCs w:val="28"/>
              </w:rPr>
              <w:t>/</w:t>
            </w:r>
            <w:r>
              <w:rPr>
                <w:rFonts w:eastAsiaTheme="minorEastAsia"/>
                <w:i/>
                <w:color w:val="000000" w:themeColor="text1"/>
                <w:sz w:val="28"/>
                <w:szCs w:val="28"/>
              </w:rPr>
              <w:t>H</w:t>
            </w:r>
            <w:r>
              <w:rPr>
                <w:rFonts w:eastAsiaTheme="minorEastAsia"/>
                <w:color w:val="000000" w:themeColor="text1"/>
                <w:sz w:val="28"/>
                <w:szCs w:val="28"/>
                <w:vertAlign w:val="subscript"/>
              </w:rPr>
              <w:t>2</w:t>
            </w:r>
            <w:r>
              <w:rPr>
                <w:rFonts w:hint="eastAsia" w:ascii="宋体" w:hAnsi="宋体" w:eastAsia="宋体" w:cs="宋体"/>
                <w:color w:val="000000" w:themeColor="text1"/>
                <w:sz w:val="28"/>
                <w:szCs w:val="28"/>
              </w:rPr>
              <w:t>≦</w:t>
            </w:r>
            <w:r>
              <w:rPr>
                <w:rFonts w:eastAsiaTheme="minorEastAsia"/>
                <w:color w:val="000000" w:themeColor="text1"/>
                <w:sz w:val="28"/>
                <w:szCs w:val="28"/>
              </w:rPr>
              <w:t>1.3</w:t>
            </w:r>
          </w:p>
        </w:tc>
        <w:tc>
          <w:tcPr>
            <w:tcW w:w="3086" w:type="dxa"/>
          </w:tcPr>
          <w:p>
            <w:pPr>
              <w:wordWrap w:val="0"/>
              <w:spacing w:line="360" w:lineRule="auto"/>
              <w:jc w:val="center"/>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vertAlign w:val="subscript"/>
              </w:rPr>
              <w:t>1</w:t>
            </w:r>
            <w:r>
              <w:rPr>
                <w:rFonts w:eastAsiaTheme="minorEastAsia"/>
                <w:color w:val="000000" w:themeColor="text1"/>
                <w:sz w:val="28"/>
                <w:szCs w:val="28"/>
              </w:rPr>
              <w:t>/</w:t>
            </w:r>
            <w:r>
              <w:rPr>
                <w:rFonts w:eastAsiaTheme="minorEastAsia"/>
                <w:i/>
                <w:color w:val="000000" w:themeColor="text1"/>
                <w:sz w:val="28"/>
                <w:szCs w:val="28"/>
              </w:rPr>
              <w:t>H</w:t>
            </w:r>
            <w:r>
              <w:rPr>
                <w:rFonts w:eastAsiaTheme="minorEastAsia"/>
                <w:color w:val="000000" w:themeColor="text1"/>
                <w:sz w:val="28"/>
                <w:szCs w:val="28"/>
                <w:vertAlign w:val="subscript"/>
              </w:rPr>
              <w:t>2</w:t>
            </w:r>
            <w:r>
              <w:rPr>
                <w:rFonts w:eastAsiaTheme="minorEastAsia"/>
                <w:color w:val="000000" w:themeColor="text1"/>
                <w:sz w:val="28"/>
                <w:szCs w:val="28"/>
              </w:rPr>
              <w:t>&gt;1.3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7"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300</w:t>
            </w:r>
          </w:p>
        </w:tc>
        <w:tc>
          <w:tcPr>
            <w:tcW w:w="2888" w:type="dxa"/>
          </w:tcPr>
          <w:p>
            <w:pPr>
              <w:wordWrap w:val="0"/>
              <w:spacing w:line="360" w:lineRule="auto"/>
              <w:jc w:val="center"/>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rPr>
              <w:t>=（4.22</w:t>
            </w:r>
            <w:r>
              <w:rPr>
                <w:rFonts w:eastAsiaTheme="minorEastAsia"/>
                <w:i/>
                <w:color w:val="000000" w:themeColor="text1"/>
                <w:sz w:val="28"/>
                <w:szCs w:val="28"/>
              </w:rPr>
              <w:t>Q</w:t>
            </w:r>
            <w:r>
              <w:rPr>
                <w:rFonts w:eastAsiaTheme="minorEastAsia"/>
                <w:color w:val="000000" w:themeColor="text1"/>
                <w:sz w:val="28"/>
                <w:szCs w:val="28"/>
                <w:vertAlign w:val="subscript"/>
              </w:rPr>
              <w:t>j</w:t>
            </w:r>
            <w:r>
              <w:rPr>
                <w:rFonts w:eastAsiaTheme="minorEastAsia"/>
                <w:color w:val="000000" w:themeColor="text1"/>
                <w:sz w:val="28"/>
                <w:szCs w:val="28"/>
              </w:rPr>
              <w:t>＋94.3）∙</w:t>
            </w:r>
            <w:r>
              <w:rPr>
                <w:rFonts w:eastAsiaTheme="minorEastAsia"/>
                <w:i/>
                <w:color w:val="000000" w:themeColor="text1"/>
                <w:sz w:val="28"/>
                <w:szCs w:val="28"/>
              </w:rPr>
              <w:t>k</w:t>
            </w:r>
          </w:p>
        </w:tc>
        <w:tc>
          <w:tcPr>
            <w:tcW w:w="3086" w:type="dxa"/>
          </w:tcPr>
          <w:p>
            <w:pPr>
              <w:wordWrap w:val="0"/>
              <w:spacing w:line="360" w:lineRule="auto"/>
              <w:jc w:val="center"/>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rPr>
              <w:t>=（4.08</w:t>
            </w:r>
            <w:r>
              <w:rPr>
                <w:rFonts w:eastAsiaTheme="minorEastAsia"/>
                <w:i/>
                <w:color w:val="000000" w:themeColor="text1"/>
                <w:sz w:val="28"/>
                <w:szCs w:val="28"/>
              </w:rPr>
              <w:t>Q</w:t>
            </w:r>
            <w:r>
              <w:rPr>
                <w:rFonts w:eastAsiaTheme="minorEastAsia"/>
                <w:color w:val="000000" w:themeColor="text1"/>
                <w:sz w:val="28"/>
                <w:szCs w:val="28"/>
                <w:vertAlign w:val="subscript"/>
              </w:rPr>
              <w:t>j</w:t>
            </w:r>
            <w:r>
              <w:rPr>
                <w:rFonts w:eastAsiaTheme="minorEastAsia"/>
                <w:color w:val="000000" w:themeColor="text1"/>
                <w:sz w:val="28"/>
                <w:szCs w:val="28"/>
              </w:rPr>
              <w:t>＋69.9）·</w:t>
            </w:r>
            <w:r>
              <w:rPr>
                <w:rFonts w:eastAsiaTheme="minorEastAsia"/>
                <w:i/>
                <w:color w:val="000000" w:themeColor="text1"/>
                <w:sz w:val="28"/>
                <w:szCs w:val="2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7"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400</w:t>
            </w:r>
          </w:p>
        </w:tc>
        <w:tc>
          <w:tcPr>
            <w:tcW w:w="2888" w:type="dxa"/>
          </w:tcPr>
          <w:p>
            <w:pPr>
              <w:wordWrap w:val="0"/>
              <w:spacing w:line="360" w:lineRule="auto"/>
              <w:jc w:val="center"/>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rPr>
              <w:t>=（3.43</w:t>
            </w:r>
            <w:r>
              <w:rPr>
                <w:rFonts w:eastAsiaTheme="minorEastAsia"/>
                <w:i/>
                <w:color w:val="000000" w:themeColor="text1"/>
                <w:sz w:val="28"/>
                <w:szCs w:val="28"/>
              </w:rPr>
              <w:t>Q</w:t>
            </w:r>
            <w:r>
              <w:rPr>
                <w:rFonts w:eastAsiaTheme="minorEastAsia"/>
                <w:color w:val="000000" w:themeColor="text1"/>
                <w:sz w:val="28"/>
                <w:szCs w:val="28"/>
                <w:vertAlign w:val="subscript"/>
              </w:rPr>
              <w:t>j</w:t>
            </w:r>
            <w:r>
              <w:rPr>
                <w:rFonts w:eastAsiaTheme="minorEastAsia"/>
                <w:color w:val="000000" w:themeColor="text1"/>
                <w:sz w:val="28"/>
                <w:szCs w:val="28"/>
              </w:rPr>
              <w:t>＋96.4）·</w:t>
            </w:r>
            <w:r>
              <w:rPr>
                <w:rFonts w:eastAsiaTheme="minorEastAsia"/>
                <w:i/>
                <w:color w:val="000000" w:themeColor="text1"/>
                <w:sz w:val="28"/>
                <w:szCs w:val="28"/>
              </w:rPr>
              <w:t>k</w:t>
            </w:r>
          </w:p>
        </w:tc>
        <w:tc>
          <w:tcPr>
            <w:tcW w:w="3086" w:type="dxa"/>
          </w:tcPr>
          <w:p>
            <w:pPr>
              <w:wordWrap w:val="0"/>
              <w:spacing w:line="360" w:lineRule="auto"/>
              <w:jc w:val="center"/>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rPr>
              <w:t>=（3.08</w:t>
            </w:r>
            <w:r>
              <w:rPr>
                <w:rFonts w:eastAsiaTheme="minorEastAsia"/>
                <w:i/>
                <w:color w:val="000000" w:themeColor="text1"/>
                <w:sz w:val="28"/>
                <w:szCs w:val="28"/>
              </w:rPr>
              <w:t>Q</w:t>
            </w:r>
            <w:r>
              <w:rPr>
                <w:rFonts w:eastAsiaTheme="minorEastAsia"/>
                <w:color w:val="000000" w:themeColor="text1"/>
                <w:sz w:val="28"/>
                <w:szCs w:val="28"/>
                <w:vertAlign w:val="subscript"/>
              </w:rPr>
              <w:t>j</w:t>
            </w:r>
            <w:r>
              <w:rPr>
                <w:rFonts w:eastAsiaTheme="minorEastAsia"/>
                <w:color w:val="000000" w:themeColor="text1"/>
                <w:sz w:val="28"/>
                <w:szCs w:val="28"/>
              </w:rPr>
              <w:t>＋72.3）·</w:t>
            </w:r>
            <w:r>
              <w:rPr>
                <w:rFonts w:eastAsiaTheme="minorEastAsia"/>
                <w:i/>
                <w:color w:val="000000" w:themeColor="text1"/>
                <w:sz w:val="28"/>
                <w:szCs w:val="2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597"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500</w:t>
            </w:r>
          </w:p>
        </w:tc>
        <w:tc>
          <w:tcPr>
            <w:tcW w:w="2888" w:type="dxa"/>
          </w:tcPr>
          <w:p>
            <w:pPr>
              <w:wordWrap w:val="0"/>
              <w:spacing w:line="360" w:lineRule="auto"/>
              <w:jc w:val="center"/>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rPr>
              <w:t>=（2.22</w:t>
            </w:r>
            <w:r>
              <w:rPr>
                <w:rFonts w:eastAsiaTheme="minorEastAsia"/>
                <w:i/>
                <w:color w:val="000000" w:themeColor="text1"/>
                <w:sz w:val="28"/>
                <w:szCs w:val="28"/>
              </w:rPr>
              <w:t>Q</w:t>
            </w:r>
            <w:r>
              <w:rPr>
                <w:rFonts w:eastAsiaTheme="minorEastAsia"/>
                <w:color w:val="000000" w:themeColor="text1"/>
                <w:sz w:val="28"/>
                <w:szCs w:val="28"/>
                <w:vertAlign w:val="subscript"/>
              </w:rPr>
              <w:t>j</w:t>
            </w:r>
            <w:r>
              <w:rPr>
                <w:rFonts w:eastAsiaTheme="minorEastAsia"/>
                <w:color w:val="000000" w:themeColor="text1"/>
                <w:sz w:val="28"/>
                <w:szCs w:val="28"/>
              </w:rPr>
              <w:t>＋136.4）·</w:t>
            </w:r>
            <w:r>
              <w:rPr>
                <w:rFonts w:eastAsiaTheme="minorEastAsia"/>
                <w:i/>
                <w:color w:val="000000" w:themeColor="text1"/>
                <w:sz w:val="28"/>
                <w:szCs w:val="28"/>
              </w:rPr>
              <w:t>k</w:t>
            </w:r>
          </w:p>
        </w:tc>
        <w:tc>
          <w:tcPr>
            <w:tcW w:w="3086" w:type="dxa"/>
          </w:tcPr>
          <w:p>
            <w:pPr>
              <w:wordWrap w:val="0"/>
              <w:spacing w:line="360" w:lineRule="auto"/>
              <w:jc w:val="center"/>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rPr>
              <w:t>=（2.42</w:t>
            </w:r>
            <w:r>
              <w:rPr>
                <w:rFonts w:eastAsiaTheme="minorEastAsia"/>
                <w:i/>
                <w:color w:val="000000" w:themeColor="text1"/>
                <w:sz w:val="28"/>
                <w:szCs w:val="28"/>
              </w:rPr>
              <w:t>Q</w:t>
            </w:r>
            <w:r>
              <w:rPr>
                <w:rFonts w:eastAsiaTheme="minorEastAsia"/>
                <w:color w:val="000000" w:themeColor="text1"/>
                <w:sz w:val="28"/>
                <w:szCs w:val="28"/>
                <w:vertAlign w:val="subscript"/>
              </w:rPr>
              <w:t>j</w:t>
            </w:r>
            <w:r>
              <w:rPr>
                <w:rFonts w:eastAsiaTheme="minorEastAsia"/>
                <w:color w:val="000000" w:themeColor="text1"/>
                <w:sz w:val="28"/>
                <w:szCs w:val="28"/>
              </w:rPr>
              <w:t>＋124.0）·</w:t>
            </w:r>
            <w:r>
              <w:rPr>
                <w:rFonts w:eastAsiaTheme="minorEastAsia"/>
                <w:i/>
                <w:color w:val="000000" w:themeColor="text1"/>
                <w:sz w:val="28"/>
                <w:szCs w:val="28"/>
              </w:rPr>
              <w:t>k</w:t>
            </w:r>
          </w:p>
        </w:tc>
      </w:tr>
    </w:tbl>
    <w:p>
      <w:pPr>
        <w:wordWrap w:val="0"/>
        <w:ind w:firstLine="427" w:firstLineChars="152"/>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堰高</w:t>
      </w:r>
      <w:r>
        <w:rPr>
          <w:rFonts w:eastAsiaTheme="minorEastAsia"/>
          <w:i/>
          <w:color w:val="000000" w:themeColor="text1"/>
          <w:sz w:val="28"/>
          <w:szCs w:val="28"/>
        </w:rPr>
        <w:t>H</w:t>
      </w:r>
      <w:r>
        <w:rPr>
          <w:rFonts w:eastAsiaTheme="minorEastAsia"/>
          <w:color w:val="000000" w:themeColor="text1"/>
          <w:sz w:val="28"/>
          <w:szCs w:val="28"/>
          <w:vertAlign w:val="subscript"/>
        </w:rPr>
        <w:t>1</w:t>
      </w:r>
      <w:r>
        <w:rPr>
          <w:rFonts w:eastAsiaTheme="minorEastAsia"/>
          <w:color w:val="000000" w:themeColor="text1"/>
          <w:sz w:val="28"/>
          <w:szCs w:val="28"/>
        </w:rPr>
        <w:t>，可按下式计算：</w:t>
      </w:r>
    </w:p>
    <w:p>
      <w:pPr>
        <w:wordWrap w:val="0"/>
        <w:ind w:firstLine="425" w:firstLineChars="152"/>
        <w:jc w:val="right"/>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vertAlign w:val="subscript"/>
        </w:rPr>
        <w:t>1</w:t>
      </w:r>
      <w:r>
        <w:rPr>
          <w:rFonts w:eastAsiaTheme="minorEastAsia"/>
          <w:color w:val="000000" w:themeColor="text1"/>
          <w:sz w:val="28"/>
          <w:szCs w:val="28"/>
        </w:rPr>
        <w:t>=</w:t>
      </w:r>
      <w:r>
        <w:rPr>
          <w:rFonts w:eastAsiaTheme="minorEastAsia"/>
          <w:i/>
          <w:color w:val="000000" w:themeColor="text1"/>
          <w:sz w:val="28"/>
          <w:szCs w:val="28"/>
        </w:rPr>
        <w:t>H</w:t>
      </w:r>
      <w:r>
        <w:rPr>
          <w:rFonts w:eastAsiaTheme="minorEastAsia"/>
          <w:color w:val="000000" w:themeColor="text1"/>
          <w:sz w:val="28"/>
          <w:szCs w:val="28"/>
        </w:rPr>
        <w:t>-</w:t>
      </w:r>
      <w:r>
        <w:rPr>
          <w:rFonts w:eastAsiaTheme="minorEastAsia"/>
          <w:i/>
          <w:color w:val="000000" w:themeColor="text1"/>
          <w:sz w:val="28"/>
          <w:szCs w:val="28"/>
        </w:rPr>
        <w:t>H</w:t>
      </w:r>
      <w:r>
        <w:rPr>
          <w:rFonts w:eastAsiaTheme="minorEastAsia"/>
          <w:color w:val="000000" w:themeColor="text1"/>
          <w:sz w:val="28"/>
          <w:szCs w:val="28"/>
          <w:vertAlign w:val="subscript"/>
        </w:rPr>
        <w:t>2</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（5.</w:t>
      </w:r>
      <w:r>
        <w:rPr>
          <w:rFonts w:hint="eastAsia" w:eastAsiaTheme="minorEastAsia"/>
          <w:color w:val="000000" w:themeColor="text1"/>
          <w:sz w:val="28"/>
          <w:szCs w:val="28"/>
        </w:rPr>
        <w:t>8</w:t>
      </w:r>
      <w:r>
        <w:rPr>
          <w:rFonts w:eastAsiaTheme="minorEastAsia"/>
          <w:color w:val="000000" w:themeColor="text1"/>
          <w:sz w:val="28"/>
          <w:szCs w:val="28"/>
        </w:rPr>
        <w:t>.5）</w:t>
      </w:r>
    </w:p>
    <w:p>
      <w:pPr>
        <w:wordWrap w:val="0"/>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H</w:t>
      </w:r>
      <w:r>
        <w:rPr>
          <w:rFonts w:eastAsiaTheme="minorEastAsia"/>
          <w:color w:val="000000" w:themeColor="text1"/>
          <w:sz w:val="28"/>
          <w:szCs w:val="28"/>
          <w:vertAlign w:val="subscript"/>
        </w:rPr>
        <w:t>1</w:t>
      </w:r>
      <w:r>
        <w:rPr>
          <w:rFonts w:eastAsiaTheme="minorEastAsia"/>
          <w:color w:val="000000" w:themeColor="text1"/>
          <w:sz w:val="28"/>
          <w:szCs w:val="28"/>
        </w:rPr>
        <w:t>——堰高（mm）；</w:t>
      </w:r>
    </w:p>
    <w:p>
      <w:pPr>
        <w:wordWrap w:val="0"/>
        <w:ind w:firstLine="854" w:firstLineChars="305"/>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rPr>
        <w:t>——槽堰总高（mm）；</w:t>
      </w:r>
    </w:p>
    <w:p>
      <w:pPr>
        <w:wordWrap w:val="0"/>
        <w:ind w:firstLine="854" w:firstLineChars="305"/>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vertAlign w:val="subscript"/>
        </w:rPr>
        <w:t>2</w:t>
      </w:r>
      <w:r>
        <w:rPr>
          <w:rFonts w:eastAsiaTheme="minorEastAsia"/>
          <w:color w:val="000000" w:themeColor="text1"/>
          <w:sz w:val="28"/>
          <w:szCs w:val="28"/>
        </w:rPr>
        <w:t>——槽深（mm）；</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 xml:space="preserve"> 校核</w:t>
      </w:r>
      <w:r>
        <w:rPr>
          <w:rFonts w:eastAsiaTheme="minorEastAsia"/>
          <w:i/>
          <w:color w:val="000000" w:themeColor="text1"/>
          <w:sz w:val="28"/>
          <w:szCs w:val="28"/>
        </w:rPr>
        <w:t>H</w:t>
      </w:r>
      <w:r>
        <w:rPr>
          <w:rFonts w:eastAsiaTheme="minorEastAsia"/>
          <w:color w:val="000000" w:themeColor="text1"/>
          <w:sz w:val="28"/>
          <w:szCs w:val="28"/>
          <w:vertAlign w:val="subscript"/>
        </w:rPr>
        <w:t>1</w:t>
      </w:r>
      <w:r>
        <w:rPr>
          <w:rFonts w:eastAsiaTheme="minorEastAsia"/>
          <w:color w:val="000000" w:themeColor="text1"/>
          <w:sz w:val="28"/>
          <w:szCs w:val="28"/>
        </w:rPr>
        <w:t>/</w:t>
      </w:r>
      <w:r>
        <w:rPr>
          <w:rFonts w:eastAsiaTheme="minorEastAsia"/>
          <w:i/>
          <w:color w:val="000000" w:themeColor="text1"/>
          <w:sz w:val="28"/>
          <w:szCs w:val="28"/>
        </w:rPr>
        <w:t>H</w:t>
      </w:r>
      <w:r>
        <w:rPr>
          <w:rFonts w:eastAsiaTheme="minorEastAsia"/>
          <w:color w:val="000000" w:themeColor="text1"/>
          <w:sz w:val="28"/>
          <w:szCs w:val="28"/>
          <w:vertAlign w:val="subscript"/>
        </w:rPr>
        <w:t>2</w:t>
      </w:r>
      <w:r>
        <w:rPr>
          <w:rFonts w:eastAsiaTheme="minorEastAsia"/>
          <w:color w:val="000000" w:themeColor="text1"/>
          <w:sz w:val="28"/>
          <w:szCs w:val="28"/>
        </w:rPr>
        <w:t>是否符合本条第3款的假设条件，</w:t>
      </w:r>
      <w:r>
        <w:rPr>
          <w:rFonts w:hint="eastAsia" w:eastAsiaTheme="minorEastAsia"/>
          <w:color w:val="000000" w:themeColor="text1"/>
          <w:sz w:val="28"/>
          <w:szCs w:val="28"/>
        </w:rPr>
        <w:t>不符合时应</w:t>
      </w:r>
      <w:r>
        <w:rPr>
          <w:rFonts w:eastAsiaTheme="minorEastAsia"/>
          <w:color w:val="000000" w:themeColor="text1"/>
          <w:sz w:val="28"/>
          <w:szCs w:val="28"/>
        </w:rPr>
        <w:t>改用相应公式重复上述计算；</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6</w:t>
      </w:r>
      <w:r>
        <w:rPr>
          <w:rFonts w:eastAsiaTheme="minorEastAsia"/>
          <w:color w:val="000000" w:themeColor="text1"/>
          <w:sz w:val="28"/>
          <w:szCs w:val="28"/>
        </w:rPr>
        <w:t xml:space="preserve"> 槽宽计算同公式（5.</w:t>
      </w:r>
      <w:r>
        <w:rPr>
          <w:rFonts w:hint="eastAsia" w:eastAsiaTheme="minorEastAsia"/>
          <w:color w:val="000000" w:themeColor="text1"/>
          <w:sz w:val="28"/>
          <w:szCs w:val="28"/>
        </w:rPr>
        <w:t>8</w:t>
      </w:r>
      <w:r>
        <w:rPr>
          <w:rFonts w:eastAsiaTheme="minorEastAsia"/>
          <w:color w:val="000000" w:themeColor="text1"/>
          <w:sz w:val="28"/>
          <w:szCs w:val="28"/>
        </w:rPr>
        <w:t>.4-2）。</w:t>
      </w:r>
    </w:p>
    <w:p>
      <w:pPr>
        <w:pStyle w:val="30"/>
        <w:numPr>
          <w:ilvl w:val="0"/>
          <w:numId w:val="2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截流井溢流水位，应在设计洪水位或受纳管道设计水位以上，当不能满足要求时，应设置闸门等防倒灌设施。</w:t>
      </w:r>
    </w:p>
    <w:p>
      <w:pPr>
        <w:wordWrap w:val="0"/>
        <w:rPr>
          <w:rFonts w:eastAsiaTheme="minorEastAsia"/>
          <w:color w:val="000000" w:themeColor="text1"/>
          <w:sz w:val="28"/>
          <w:szCs w:val="28"/>
        </w:rPr>
      </w:pPr>
      <w:r>
        <w:rPr>
          <w:rFonts w:eastAsiaTheme="minorEastAsia"/>
          <w:color w:val="000000" w:themeColor="text1"/>
          <w:sz w:val="28"/>
          <w:szCs w:val="28"/>
        </w:rPr>
        <w:t>【条文说明】关于截流井溢流水位的规定。</w:t>
      </w:r>
    </w:p>
    <w:p>
      <w:pPr>
        <w:wordWrap w:val="0"/>
        <w:rPr>
          <w:rFonts w:eastAsiaTheme="minorEastAsia"/>
          <w:color w:val="000000" w:themeColor="text1"/>
          <w:sz w:val="28"/>
          <w:szCs w:val="28"/>
        </w:rPr>
      </w:pPr>
      <w:r>
        <w:rPr>
          <w:rFonts w:eastAsiaTheme="minorEastAsia"/>
          <w:color w:val="000000" w:themeColor="text1"/>
          <w:sz w:val="28"/>
          <w:szCs w:val="28"/>
        </w:rPr>
        <w:t xml:space="preserve">    截流井溢流水位，应在接口下游洪水位或受纳管道设计水位以上，以防止下游水倒灌，否则溢流管道上应设置闸门等防倒灌设施。</w:t>
      </w:r>
    </w:p>
    <w:p>
      <w:pPr>
        <w:pStyle w:val="30"/>
        <w:numPr>
          <w:ilvl w:val="0"/>
          <w:numId w:val="2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截流井内宜设流量控制设施。</w:t>
      </w: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29" w:name="_Toc515281042"/>
      <w:r>
        <w:rPr>
          <w:rFonts w:ascii="Times New Roman" w:hAnsi="Times New Roman" w:eastAsiaTheme="minorEastAsia"/>
          <w:b w:val="0"/>
          <w:color w:val="000000" w:themeColor="text1"/>
          <w:sz w:val="28"/>
          <w:szCs w:val="28"/>
        </w:rPr>
        <w:t>出水口</w:t>
      </w:r>
      <w:bookmarkEnd w:id="29"/>
    </w:p>
    <w:p>
      <w:pPr>
        <w:pStyle w:val="30"/>
        <w:numPr>
          <w:ilvl w:val="0"/>
          <w:numId w:val="2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排水管渠出水口位置、型式和出口流速，应根据受纳水体的水质要求、水体的流量、水位变化幅度、水流方向、波浪状况、稀释自净能力、地形变迁和气候特征等因素确定。</w:t>
      </w:r>
    </w:p>
    <w:p>
      <w:pPr>
        <w:wordWrap w:val="0"/>
        <w:rPr>
          <w:rFonts w:eastAsiaTheme="minorEastAsia"/>
          <w:color w:val="000000" w:themeColor="text1"/>
          <w:sz w:val="28"/>
          <w:szCs w:val="28"/>
        </w:rPr>
      </w:pPr>
      <w:r>
        <w:rPr>
          <w:rFonts w:eastAsiaTheme="minorEastAsia"/>
          <w:color w:val="000000" w:themeColor="text1"/>
          <w:sz w:val="28"/>
          <w:szCs w:val="28"/>
        </w:rPr>
        <w:t>【条文说明】雨水排水管渠出水口的设计要求是：</w:t>
      </w:r>
    </w:p>
    <w:p>
      <w:pPr>
        <w:wordWrap w:val="0"/>
        <w:rPr>
          <w:rFonts w:eastAsiaTheme="minorEastAsia"/>
          <w:color w:val="000000" w:themeColor="text1"/>
          <w:sz w:val="28"/>
          <w:szCs w:val="28"/>
        </w:rPr>
      </w:pPr>
      <w:r>
        <w:rPr>
          <w:rFonts w:eastAsiaTheme="minorEastAsia"/>
          <w:color w:val="000000" w:themeColor="text1"/>
          <w:sz w:val="28"/>
          <w:szCs w:val="28"/>
        </w:rPr>
        <w:t xml:space="preserve">    （1）对航运、给水等水体原有的各种用途无不良影响。</w:t>
      </w:r>
    </w:p>
    <w:p>
      <w:pPr>
        <w:wordWrap w:val="0"/>
        <w:rPr>
          <w:rFonts w:eastAsiaTheme="minorEastAsia"/>
          <w:color w:val="000000" w:themeColor="text1"/>
          <w:sz w:val="28"/>
          <w:szCs w:val="28"/>
        </w:rPr>
      </w:pPr>
      <w:r>
        <w:rPr>
          <w:rFonts w:eastAsiaTheme="minorEastAsia"/>
          <w:color w:val="000000" w:themeColor="text1"/>
          <w:sz w:val="28"/>
          <w:szCs w:val="28"/>
        </w:rPr>
        <w:t xml:space="preserve">    （2）能使排水迅速与水体混合，不妨碍景观和影响环境。</w:t>
      </w:r>
    </w:p>
    <w:p>
      <w:pPr>
        <w:wordWrap w:val="0"/>
        <w:rPr>
          <w:rFonts w:eastAsiaTheme="minorEastAsia"/>
          <w:color w:val="000000" w:themeColor="text1"/>
          <w:sz w:val="28"/>
          <w:szCs w:val="28"/>
        </w:rPr>
      </w:pPr>
      <w:r>
        <w:rPr>
          <w:rFonts w:eastAsiaTheme="minorEastAsia"/>
          <w:color w:val="000000" w:themeColor="text1"/>
          <w:sz w:val="28"/>
          <w:szCs w:val="28"/>
        </w:rPr>
        <w:t xml:space="preserve">    （3）岸滩稳定，河床变化不大，结构安全，施工方便。</w:t>
      </w:r>
    </w:p>
    <w:p>
      <w:pPr>
        <w:wordWrap w:val="0"/>
        <w:rPr>
          <w:rFonts w:eastAsiaTheme="minorEastAsia"/>
          <w:color w:val="000000" w:themeColor="text1"/>
          <w:sz w:val="28"/>
          <w:szCs w:val="28"/>
        </w:rPr>
      </w:pPr>
      <w:r>
        <w:rPr>
          <w:rFonts w:eastAsiaTheme="minorEastAsia"/>
          <w:color w:val="000000" w:themeColor="text1"/>
          <w:sz w:val="28"/>
          <w:szCs w:val="28"/>
        </w:rPr>
        <w:t xml:space="preserve">    出水口的设计包括位置、形式、出口流速等，是一个比较复杂的问题，情况不同，差异很大，很难做出具体规定。本条仅根据上述要求，提出应综合考虑的各种因素。由于它牵涉面比较广，设计应取得规划、卫生、环保、航运等有关部门同意，如原有水体系鱼类通道，或重要水产资源基地，还应取得相关部门同意。</w:t>
      </w:r>
    </w:p>
    <w:p>
      <w:pPr>
        <w:pStyle w:val="30"/>
        <w:numPr>
          <w:ilvl w:val="0"/>
          <w:numId w:val="2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出水口应采取防冲刷、消能、加固等措施，并应设置警示标志。</w:t>
      </w:r>
    </w:p>
    <w:p>
      <w:pPr>
        <w:wordWrap w:val="0"/>
        <w:rPr>
          <w:rFonts w:eastAsiaTheme="minorEastAsia"/>
          <w:color w:val="000000" w:themeColor="text1"/>
          <w:sz w:val="28"/>
          <w:szCs w:val="28"/>
        </w:rPr>
      </w:pPr>
      <w:r>
        <w:rPr>
          <w:rFonts w:eastAsiaTheme="minorEastAsia"/>
          <w:color w:val="000000" w:themeColor="text1"/>
          <w:sz w:val="28"/>
          <w:szCs w:val="28"/>
        </w:rPr>
        <w:t>【条文说明】据北京、上海等地经验，一般仅设翼墙的出口，在较大流量和无断流的河道上，易受水流冲刷，致底部掏空，甚至底板折断损坏，并危及岸坡，为此规定应采取防冲、加固措施。一般在出水口底部打桩，或加深齿墙。当出水口跌水水头较大时，尚应考虑消能。</w:t>
      </w:r>
    </w:p>
    <w:p>
      <w:pPr>
        <w:pStyle w:val="30"/>
        <w:numPr>
          <w:ilvl w:val="0"/>
          <w:numId w:val="2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有冻胀影响的地区的出水口，应考虑用耐冻胀材料砌筑，出水口的基础必须设在冰冻线以下。</w:t>
      </w:r>
    </w:p>
    <w:p>
      <w:pPr>
        <w:wordWrap w:val="0"/>
        <w:rPr>
          <w:rFonts w:eastAsiaTheme="minorEastAsia"/>
          <w:color w:val="000000" w:themeColor="text1"/>
          <w:sz w:val="28"/>
          <w:szCs w:val="28"/>
        </w:rPr>
      </w:pPr>
      <w:r>
        <w:rPr>
          <w:rFonts w:eastAsiaTheme="minorEastAsia"/>
          <w:color w:val="000000" w:themeColor="text1"/>
          <w:sz w:val="28"/>
          <w:szCs w:val="28"/>
        </w:rPr>
        <w:t>【条文说明】在有冻胀影响的地区，凡采用砖砌的出水口，一般3年～5年即损坏。北京地区采用浆砌块石，未因冻胀而损坏，故设计时应采取块石等耐冻胀材料砌筑。</w:t>
      </w:r>
    </w:p>
    <w:p>
      <w:pPr>
        <w:wordWrap w:val="0"/>
        <w:rPr>
          <w:rFonts w:eastAsiaTheme="minorEastAsia"/>
          <w:color w:val="000000" w:themeColor="text1"/>
          <w:sz w:val="28"/>
          <w:szCs w:val="28"/>
        </w:rPr>
      </w:pPr>
      <w:r>
        <w:rPr>
          <w:rFonts w:eastAsiaTheme="minorEastAsia"/>
          <w:color w:val="000000" w:themeColor="text1"/>
          <w:sz w:val="28"/>
          <w:szCs w:val="28"/>
        </w:rPr>
        <w:t xml:space="preserve">    据东北地区调查，凡基础在冰冻线上的，大多冻胀损坏；在冰冻线下的，一般完好，如长春市伊通河出水口等。</w:t>
      </w: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30" w:name="_Toc515281043"/>
      <w:r>
        <w:rPr>
          <w:rFonts w:ascii="Times New Roman" w:hAnsi="Times New Roman" w:eastAsiaTheme="minorEastAsia"/>
          <w:b w:val="0"/>
          <w:color w:val="000000" w:themeColor="text1"/>
          <w:sz w:val="28"/>
          <w:szCs w:val="28"/>
        </w:rPr>
        <w:t>立体交叉道路排水</w:t>
      </w:r>
      <w:bookmarkEnd w:id="30"/>
    </w:p>
    <w:p>
      <w:pPr>
        <w:pStyle w:val="30"/>
        <w:numPr>
          <w:ilvl w:val="0"/>
          <w:numId w:val="2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立体交叉道路排水应排除汇水区域的地面径流水和影响道路功能的地下水，其形式应根据当地规划、现场水文地质条件、立交型式等工程特点确定。</w:t>
      </w:r>
    </w:p>
    <w:p>
      <w:pPr>
        <w:wordWrap w:val="0"/>
        <w:rPr>
          <w:rFonts w:eastAsiaTheme="minorEastAsia"/>
          <w:color w:val="000000" w:themeColor="text1"/>
          <w:sz w:val="28"/>
          <w:szCs w:val="28"/>
        </w:rPr>
      </w:pPr>
      <w:r>
        <w:rPr>
          <w:rFonts w:eastAsiaTheme="minorEastAsia"/>
          <w:color w:val="000000" w:themeColor="text1"/>
          <w:sz w:val="28"/>
          <w:szCs w:val="28"/>
        </w:rPr>
        <w:t>【条文说明】立体交叉道路分为高架道路和下穿立交道路两种，其排水主要任务是解决降雨的地面径流和影响道路功能的地下水的排除，一般不考虑降雪的影响。对个别雪量大的地区应进行融雪流量校核。</w:t>
      </w:r>
    </w:p>
    <w:p>
      <w:pPr>
        <w:pStyle w:val="30"/>
        <w:numPr>
          <w:ilvl w:val="0"/>
          <w:numId w:val="2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有条件的地区，立体交叉道路排水系统宜控制降雨初期的径流污染。</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立体交叉道路路面一般有少量汽车用油，特别是下穿立交道路区域标高较低、空间狭小、纳污容量相对较高。对于受纳水体环境敏感的地区，立体交叉道路排水系统宜控制降雨初期的径流污染，收集的受污染雨水宜就近排入污水管道或就地处理设施。</w:t>
      </w:r>
    </w:p>
    <w:p>
      <w:pPr>
        <w:pStyle w:val="30"/>
        <w:numPr>
          <w:ilvl w:val="0"/>
          <w:numId w:val="2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高架道路排水系统的设计，应符合下列规定：</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 xml:space="preserve"> 高架道路雨水管渠设计重现期不</w:t>
      </w:r>
      <w:r>
        <w:rPr>
          <w:rFonts w:hint="eastAsia" w:ascii="Times New Roman" w:hAnsi="Times New Roman" w:eastAsiaTheme="minorEastAsia"/>
          <w:color w:val="000000" w:themeColor="text1"/>
          <w:sz w:val="28"/>
          <w:szCs w:val="28"/>
        </w:rPr>
        <w:t>应</w:t>
      </w:r>
      <w:r>
        <w:rPr>
          <w:rFonts w:ascii="Times New Roman" w:hAnsi="Times New Roman" w:eastAsiaTheme="minorEastAsia"/>
          <w:color w:val="000000" w:themeColor="text1"/>
          <w:sz w:val="28"/>
          <w:szCs w:val="28"/>
        </w:rPr>
        <w:t>小于5年，且不得小于地面道路雨水管渠设计重现期，同一高架道路的不同部位可采用不同的重现期；</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 xml:space="preserve">2 </w:t>
      </w:r>
      <w:r>
        <w:rPr>
          <w:rFonts w:ascii="Times New Roman" w:hAnsi="Times New Roman" w:eastAsiaTheme="minorEastAsia"/>
          <w:color w:val="000000" w:themeColor="text1"/>
          <w:sz w:val="28"/>
          <w:szCs w:val="28"/>
        </w:rPr>
        <w:t>集水时间应根据道路坡长、坡度和路面粗糙度等计算确定，</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为2min~5min。当道路形状较为规则时，可采用曼宁公式计算，当道路形状不规则或边界条件不明确且坡长不大于370</w:t>
      </w:r>
      <w:r>
        <w:rPr>
          <w:rFonts w:hint="eastAsia"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rPr>
        <w:t>时，坡面汇流可按下式计算：</w:t>
      </w:r>
    </w:p>
    <w:p>
      <w:pPr>
        <w:pStyle w:val="53"/>
        <w:tabs>
          <w:tab w:val="left" w:pos="8306"/>
        </w:tabs>
        <w:wordWrap w:val="0"/>
        <w:ind w:right="-58" w:firstLine="562" w:firstLineChars="201"/>
        <w:jc w:val="right"/>
        <w:rPr>
          <w:rFonts w:eastAsiaTheme="minorEastAsia"/>
          <w:color w:val="000000" w:themeColor="text1"/>
          <w:kern w:val="2"/>
          <w:sz w:val="28"/>
          <w:szCs w:val="28"/>
        </w:rPr>
      </w:pPr>
      <w:r>
        <w:rPr>
          <w:rFonts w:eastAsiaTheme="minorEastAsia"/>
          <w:color w:val="000000" w:themeColor="text1"/>
          <w:position w:val="-32"/>
          <w:sz w:val="28"/>
          <w:szCs w:val="28"/>
        </w:rPr>
        <w:object>
          <v:shape id="_x0000_i1030" o:spt="75" type="#_x0000_t75" style="height:43pt;width:115pt;" o:ole="t" fillcolor="#000005 [-4142]" filled="f" o:preferrelative="t" stroked="f" coordsize="21600,21600">
            <v:path/>
            <v:fill on="f" focussize="0,0"/>
            <v:stroke on="f" joinstyle="miter"/>
            <v:imagedata r:id="rId22" o:title=""/>
            <o:lock v:ext="edit" aspectratio="t"/>
            <w10:wrap type="none"/>
            <w10:anchorlock/>
          </v:shape>
          <o:OLEObject Type="Embed" ProgID="Equation.3" ShapeID="_x0000_i1030" DrawAspect="Content" ObjectID="_1468075730" r:id="rId21">
            <o:LockedField>false</o:LockedField>
          </o:OLEObject>
        </w:object>
      </w:r>
      <w:r>
        <w:rPr>
          <w:rFonts w:eastAsiaTheme="minorEastAsia"/>
          <w:color w:val="000000" w:themeColor="text1"/>
          <w:position w:val="-24"/>
          <w:sz w:val="28"/>
          <w:szCs w:val="28"/>
        </w:rPr>
        <w:t xml:space="preserve">             </w:t>
      </w:r>
      <w:r>
        <w:rPr>
          <w:rFonts w:eastAsiaTheme="minorEastAsia"/>
          <w:color w:val="000000" w:themeColor="text1"/>
          <w:kern w:val="2"/>
          <w:sz w:val="28"/>
          <w:szCs w:val="28"/>
        </w:rPr>
        <w:t>（5.1</w:t>
      </w:r>
      <w:r>
        <w:rPr>
          <w:rFonts w:hint="eastAsia" w:eastAsiaTheme="minorEastAsia"/>
          <w:color w:val="000000" w:themeColor="text1"/>
          <w:kern w:val="2"/>
          <w:sz w:val="28"/>
          <w:szCs w:val="28"/>
        </w:rPr>
        <w:t>0</w:t>
      </w:r>
      <w:r>
        <w:rPr>
          <w:rFonts w:eastAsiaTheme="minorEastAsia"/>
          <w:color w:val="000000" w:themeColor="text1"/>
          <w:kern w:val="2"/>
          <w:sz w:val="28"/>
          <w:szCs w:val="28"/>
        </w:rPr>
        <w:t>.3）</w:t>
      </w:r>
    </w:p>
    <w:p>
      <w:pPr>
        <w:pStyle w:val="53"/>
        <w:wordWrap w:val="0"/>
        <w:spacing w:line="360" w:lineRule="auto"/>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t</w:t>
      </w:r>
      <w:r>
        <w:rPr>
          <w:rFonts w:eastAsiaTheme="minorEastAsia"/>
          <w:color w:val="000000" w:themeColor="text1"/>
          <w:sz w:val="28"/>
          <w:szCs w:val="28"/>
          <w:vertAlign w:val="subscript"/>
        </w:rPr>
        <w:t>1</w:t>
      </w:r>
      <w:r>
        <w:rPr>
          <w:rFonts w:eastAsiaTheme="minorEastAsia"/>
          <w:color w:val="000000" w:themeColor="text1"/>
          <w:sz w:val="28"/>
          <w:szCs w:val="28"/>
        </w:rPr>
        <w:t>——集水时间；</w:t>
      </w:r>
    </w:p>
    <w:p>
      <w:pPr>
        <w:pStyle w:val="53"/>
        <w:wordWrap w:val="0"/>
        <w:spacing w:line="360" w:lineRule="auto"/>
        <w:rPr>
          <w:rFonts w:eastAsiaTheme="minorEastAsia"/>
          <w:color w:val="000000" w:themeColor="text1"/>
          <w:sz w:val="28"/>
          <w:szCs w:val="28"/>
        </w:rPr>
      </w:pPr>
      <w:r>
        <w:rPr>
          <w:rFonts w:eastAsiaTheme="minorEastAsia"/>
          <w:i/>
          <w:color w:val="000000" w:themeColor="text1"/>
          <w:sz w:val="28"/>
          <w:szCs w:val="28"/>
        </w:rPr>
        <w:t xml:space="preserve">      n’</w:t>
      </w:r>
      <w:r>
        <w:rPr>
          <w:rFonts w:eastAsiaTheme="minorEastAsia"/>
          <w:color w:val="000000" w:themeColor="text1"/>
          <w:sz w:val="28"/>
          <w:szCs w:val="28"/>
        </w:rPr>
        <w:t>——地面粗糙度；</w:t>
      </w:r>
    </w:p>
    <w:p>
      <w:pPr>
        <w:pStyle w:val="53"/>
        <w:wordWrap w:val="0"/>
        <w:spacing w:line="360" w:lineRule="auto"/>
        <w:ind w:firstLine="842" w:firstLineChars="301"/>
        <w:rPr>
          <w:rFonts w:eastAsiaTheme="minorEastAsia"/>
          <w:color w:val="000000" w:themeColor="text1"/>
          <w:sz w:val="28"/>
          <w:szCs w:val="28"/>
        </w:rPr>
      </w:pPr>
      <w:r>
        <w:rPr>
          <w:rFonts w:eastAsiaTheme="minorEastAsia"/>
          <w:i/>
          <w:color w:val="000000" w:themeColor="text1"/>
          <w:sz w:val="28"/>
          <w:szCs w:val="28"/>
        </w:rPr>
        <w:t>L</w:t>
      </w:r>
      <w:r>
        <w:rPr>
          <w:rFonts w:eastAsiaTheme="minorEastAsia"/>
          <w:color w:val="000000" w:themeColor="text1"/>
          <w:sz w:val="28"/>
          <w:szCs w:val="28"/>
        </w:rPr>
        <w:t>——坡长；</w:t>
      </w:r>
    </w:p>
    <w:p>
      <w:pPr>
        <w:pStyle w:val="53"/>
        <w:wordWrap w:val="0"/>
        <w:spacing w:line="360" w:lineRule="auto"/>
        <w:ind w:firstLine="842" w:firstLineChars="301"/>
        <w:rPr>
          <w:rFonts w:eastAsiaTheme="minorEastAsia"/>
          <w:color w:val="000000" w:themeColor="text1"/>
          <w:sz w:val="28"/>
          <w:szCs w:val="28"/>
        </w:rPr>
      </w:pPr>
      <w:r>
        <w:rPr>
          <w:rFonts w:eastAsiaTheme="minorEastAsia"/>
          <w:i/>
          <w:color w:val="000000" w:themeColor="text1"/>
          <w:sz w:val="28"/>
          <w:szCs w:val="28"/>
        </w:rPr>
        <w:t>i</w:t>
      </w:r>
      <w:r>
        <w:rPr>
          <w:rFonts w:eastAsiaTheme="minorEastAsia"/>
          <w:color w:val="000000" w:themeColor="text1"/>
          <w:sz w:val="28"/>
          <w:szCs w:val="28"/>
        </w:rPr>
        <w:t>——地面坡度。</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3</w:t>
      </w:r>
      <w:r>
        <w:rPr>
          <w:rFonts w:ascii="Times New Roman" w:hAnsi="Times New Roman" w:eastAsiaTheme="minorEastAsia"/>
          <w:color w:val="000000" w:themeColor="text1"/>
          <w:sz w:val="28"/>
          <w:szCs w:val="28"/>
        </w:rPr>
        <w:t xml:space="preserve"> 径流系数</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为0.9~1.0；</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 xml:space="preserve">4 </w:t>
      </w:r>
      <w:r>
        <w:rPr>
          <w:rFonts w:ascii="Times New Roman" w:hAnsi="Times New Roman" w:eastAsiaTheme="minorEastAsia"/>
          <w:color w:val="000000" w:themeColor="text1"/>
          <w:sz w:val="28"/>
          <w:szCs w:val="28"/>
        </w:rPr>
        <w:t>有条件的地区，高架道路雨水管道宜设置单独的收集管和出水口；</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5</w:t>
      </w:r>
      <w:r>
        <w:rPr>
          <w:rFonts w:ascii="Times New Roman" w:hAnsi="Times New Roman" w:eastAsiaTheme="minorEastAsia"/>
          <w:color w:val="000000" w:themeColor="text1"/>
          <w:sz w:val="28"/>
          <w:szCs w:val="28"/>
        </w:rPr>
        <w:t xml:space="preserve"> 当高架道路直接与地下道路连接时，宜在接地段设置线型横截沟，同时在道路两翼设置挡墙，控制汇水面积，封闭汇水范围，避免客水汇入。</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w:t>
      </w:r>
    </w:p>
    <w:p>
      <w:pPr>
        <w:wordWrap w:val="0"/>
        <w:spacing w:line="360" w:lineRule="auto"/>
        <w:ind w:firstLine="568" w:firstLineChars="202"/>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由于高架道路路面标高高于周边道路、地块标高，在一般情况下，高架道路不会发生严重的积水事故。高架道路排水设计的要点在于削峰，减少高架道路雨水对地面排水系统的冲击，防止高架道路雨水流入地道排水系统。高架道路雨水管渠设计暴雨重现期不得低于地面道路雨水管渠设计重现期。</w:t>
      </w:r>
    </w:p>
    <w:p>
      <w:pPr>
        <w:wordWrap w:val="0"/>
        <w:spacing w:line="360" w:lineRule="auto"/>
        <w:ind w:firstLine="568" w:firstLineChars="202"/>
        <w:rPr>
          <w:rFonts w:eastAsiaTheme="minorEastAsia"/>
          <w:i/>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由于部分高架道路（如上下匝道）坡度大，坡长短，集水时间常常小于5min。鉴于道路设计千差万别，坡度、坡长均不相同，应通过计算确定集水时间。</w:t>
      </w:r>
    </w:p>
    <w:p>
      <w:pPr>
        <w:wordWrap w:val="0"/>
        <w:spacing w:line="360" w:lineRule="auto"/>
        <w:ind w:firstLine="568" w:firstLineChars="202"/>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高架道路除路面有少量渗蓄和蒸发外，径流系数一般较大，宜取0.9~1.0。</w:t>
      </w:r>
    </w:p>
    <w:p>
      <w:pPr>
        <w:pStyle w:val="30"/>
        <w:wordWrap w:val="0"/>
        <w:spacing w:line="360" w:lineRule="auto"/>
        <w:ind w:firstLine="568" w:firstLineChars="20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4</w:t>
      </w:r>
      <w:r>
        <w:rPr>
          <w:rFonts w:ascii="Times New Roman" w:hAnsi="Times New Roman" w:eastAsiaTheme="minorEastAsia"/>
          <w:color w:val="000000" w:themeColor="text1"/>
          <w:sz w:val="28"/>
          <w:szCs w:val="28"/>
        </w:rPr>
        <w:t xml:space="preserve"> 对于开发密度大的城市，高架道路雨水一般直接接至地面雨水系统，导致高架和立管附近的地面常常发生积水，因此，在有条件的地区宜设置单独的收集管和出水口。高架道路出水管接入地面雨水管道时，应充分考虑高架立管雨水冲击，并复核受纳雨水管道的排水能力。</w:t>
      </w:r>
    </w:p>
    <w:p>
      <w:pPr>
        <w:pStyle w:val="30"/>
        <w:numPr>
          <w:ilvl w:val="0"/>
          <w:numId w:val="2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高架道路雨水口的间距宜为20m～30m。每个雨水口</w:t>
      </w:r>
      <w:r>
        <w:rPr>
          <w:rFonts w:hint="eastAsia" w:ascii="Times New Roman" w:hAnsi="Times New Roman" w:eastAsiaTheme="minorEastAsia"/>
          <w:color w:val="000000" w:themeColor="text1"/>
          <w:sz w:val="28"/>
          <w:szCs w:val="28"/>
        </w:rPr>
        <w:t>应</w:t>
      </w:r>
      <w:r>
        <w:rPr>
          <w:rFonts w:ascii="Times New Roman" w:hAnsi="Times New Roman" w:eastAsiaTheme="minorEastAsia"/>
          <w:color w:val="000000" w:themeColor="text1"/>
          <w:sz w:val="28"/>
          <w:szCs w:val="28"/>
        </w:rPr>
        <w:t>单独用立管引至地面排水系统。雨水口的入口应设置格网。</w:t>
      </w:r>
    </w:p>
    <w:p>
      <w:pPr>
        <w:pStyle w:val="30"/>
        <w:numPr>
          <w:ilvl w:val="0"/>
          <w:numId w:val="2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下穿立交道路排水系统的设计，应符合下列规定：</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雨水管渠设计重现期不应小于10年，位于中心城区的重要地区，设计重现期应为20年~30年，同一下穿立交道路的不同部位可采用不同的重现期；</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地面集水时间应根据道路坡长、坡度和路面粗糙度等计算确定，宜为2min~10min；</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径流系数宜为0.9~1.0；</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下穿立交道路的地面径流，具备自流条件的，可采用自流排除，不具备自流条件的，应设泵站排除；</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当采用泵站排除地面径流时，应校核泵站及配电设备的安全高度，采取措施防止变配电设施受淹；</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6</w:t>
      </w:r>
      <w:r>
        <w:rPr>
          <w:rFonts w:eastAsiaTheme="minorEastAsia"/>
          <w:color w:val="000000" w:themeColor="text1"/>
          <w:sz w:val="28"/>
          <w:szCs w:val="28"/>
        </w:rPr>
        <w:t>下穿立交道路引道应在两翼设置挡墙与驼峰合围，封闭汇水范围，避免</w:t>
      </w:r>
      <w:r>
        <w:rPr>
          <w:rFonts w:hint="eastAsia" w:eastAsiaTheme="minorEastAsia"/>
          <w:color w:val="000000" w:themeColor="text1"/>
          <w:sz w:val="28"/>
          <w:szCs w:val="28"/>
        </w:rPr>
        <w:t>客水汇入</w:t>
      </w:r>
      <w:r>
        <w:rPr>
          <w:rFonts w:eastAsiaTheme="minorEastAsia"/>
          <w:color w:val="000000" w:themeColor="text1"/>
          <w:sz w:val="28"/>
          <w:szCs w:val="28"/>
        </w:rPr>
        <w:t>；</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7</w:t>
      </w:r>
      <w:r>
        <w:rPr>
          <w:rFonts w:eastAsiaTheme="minorEastAsia"/>
          <w:color w:val="000000" w:themeColor="text1"/>
          <w:sz w:val="28"/>
          <w:szCs w:val="28"/>
        </w:rPr>
        <w:t>宜采取设置调蓄池等综合措施达到规定的设计重现期。</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w:t>
      </w:r>
    </w:p>
    <w:p>
      <w:pPr>
        <w:pStyle w:val="30"/>
        <w:wordWrap w:val="0"/>
        <w:spacing w:line="360" w:lineRule="auto"/>
        <w:ind w:firstLine="568" w:firstLineChars="20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 xml:space="preserve"> 立体交叉道路的下穿部分往往是所处汇水区域最低洼的部分，雨水径流汇流至此后再无其他出路，只能通过泵站强排至附近河湖等水体或雨水管道中，如果排水不及时，必然会引起严重积水。国外相关标准中均对立体交叉道路排水系统设计重现期有较高要求，美国联邦高速公路管理局规定，高速公路“低洼点”（包括下立交）的设计标准为最低50年一遇。原《室外排水设计规范》GB 50014-2006（2011年版）对立体交叉道路的排水设计重现期的规定偏低，因此，参照发达国家和我国部分城市的经验，将下穿立交道路的排水系统设计重现期规定为不小于10年，位于中心城区的重要地区，设计重现期为20年~30年。对同一立交道路的不同部位可采用不同重现期。</w:t>
      </w:r>
    </w:p>
    <w:p>
      <w:pPr>
        <w:wordWrap w:val="0"/>
        <w:spacing w:line="360" w:lineRule="auto"/>
        <w:ind w:firstLine="568" w:firstLineChars="202"/>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立体交叉道路集水时间的计算方法与高架道路集水时间计算相同，可按照本标准5.1</w:t>
      </w:r>
      <w:r>
        <w:rPr>
          <w:rFonts w:hint="eastAsia" w:eastAsiaTheme="minorEastAsia"/>
          <w:color w:val="000000" w:themeColor="text1"/>
          <w:sz w:val="28"/>
          <w:szCs w:val="28"/>
        </w:rPr>
        <w:t>0</w:t>
      </w:r>
      <w:r>
        <w:rPr>
          <w:rFonts w:eastAsiaTheme="minorEastAsia"/>
          <w:color w:val="000000" w:themeColor="text1"/>
          <w:sz w:val="28"/>
          <w:szCs w:val="28"/>
        </w:rPr>
        <w:t>.3第2款计算。</w:t>
      </w:r>
    </w:p>
    <w:p>
      <w:pPr>
        <w:wordWrap w:val="0"/>
        <w:spacing w:line="360" w:lineRule="auto"/>
        <w:ind w:firstLine="568" w:firstLineChars="202"/>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 xml:space="preserve"> 下穿立交道路的排水泵站为保证在设计重现期内的降雨期间水泵能正常启动和运转，应对排水泵站及配电设备的安全高度进行计算校核。当不具备将泵站整体地面标高抬高的条件时，应提高配电设备设置高度。</w:t>
      </w:r>
    </w:p>
    <w:p>
      <w:pPr>
        <w:wordWrap w:val="0"/>
        <w:spacing w:line="360" w:lineRule="auto"/>
        <w:ind w:firstLine="568" w:firstLineChars="202"/>
        <w:rPr>
          <w:rFonts w:eastAsiaTheme="minorEastAsia"/>
          <w:color w:val="000000" w:themeColor="text1"/>
          <w:sz w:val="28"/>
          <w:szCs w:val="28"/>
        </w:rPr>
      </w:pPr>
      <w:r>
        <w:rPr>
          <w:rFonts w:eastAsiaTheme="minorEastAsia"/>
          <w:b/>
          <w:color w:val="000000" w:themeColor="text1"/>
          <w:sz w:val="28"/>
          <w:szCs w:val="28"/>
        </w:rPr>
        <w:t>6</w:t>
      </w:r>
      <w:r>
        <w:rPr>
          <w:rFonts w:eastAsiaTheme="minorEastAsia"/>
          <w:color w:val="000000" w:themeColor="text1"/>
          <w:sz w:val="28"/>
          <w:szCs w:val="28"/>
        </w:rPr>
        <w:t xml:space="preserve"> 合理确定立体交叉道路排水系统的汇水面积、高水高排、低水低排，并采取有效的防止高水进入低水系统的拦截措施，是排除立体交叉道路（尤其是下穿立交道路）积水的关键问题。下穿立交引道驼峰高度建议不低于0.5m。</w:t>
      </w:r>
    </w:p>
    <w:p>
      <w:pPr>
        <w:wordWrap w:val="0"/>
        <w:spacing w:line="360" w:lineRule="auto"/>
        <w:ind w:firstLine="568" w:firstLineChars="202"/>
        <w:rPr>
          <w:rFonts w:eastAsiaTheme="minorEastAsia"/>
          <w:color w:val="000000" w:themeColor="text1"/>
          <w:sz w:val="28"/>
          <w:szCs w:val="28"/>
        </w:rPr>
      </w:pPr>
      <w:r>
        <w:rPr>
          <w:rFonts w:eastAsiaTheme="minorEastAsia"/>
          <w:b/>
          <w:color w:val="000000" w:themeColor="text1"/>
          <w:sz w:val="28"/>
          <w:szCs w:val="28"/>
        </w:rPr>
        <w:t>7</w:t>
      </w:r>
      <w:r>
        <w:rPr>
          <w:rFonts w:eastAsiaTheme="minorEastAsia"/>
          <w:color w:val="000000" w:themeColor="text1"/>
          <w:sz w:val="28"/>
          <w:szCs w:val="28"/>
        </w:rPr>
        <w:t xml:space="preserve"> 为满足规定的设计重现期要求，应采取调蓄等措施应对。超过设计重现期的暴雨将产生内涝，应采取包括非工程性措施在内的综合应对措施。</w:t>
      </w:r>
    </w:p>
    <w:p>
      <w:pPr>
        <w:pStyle w:val="30"/>
        <w:numPr>
          <w:ilvl w:val="0"/>
          <w:numId w:val="2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下穿立交道路应设独立的排水系统，其出水口必须可靠，并应符合下列规定：</w:t>
      </w:r>
    </w:p>
    <w:p>
      <w:pPr>
        <w:pStyle w:val="30"/>
        <w:wordWrap w:val="0"/>
        <w:spacing w:line="360" w:lineRule="auto"/>
        <w:ind w:firstLine="568" w:firstLineChars="202"/>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当下穿立交道路出水靠近受纳水体时，出水应就近排入受纳水体，出水口的水流速度宜小于0.5m/s；</w:t>
      </w:r>
    </w:p>
    <w:p>
      <w:pPr>
        <w:pStyle w:val="30"/>
        <w:wordWrap w:val="0"/>
        <w:spacing w:line="360" w:lineRule="auto"/>
        <w:ind w:firstLine="568" w:firstLineChars="20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 xml:space="preserve">2 </w:t>
      </w:r>
      <w:r>
        <w:rPr>
          <w:rFonts w:ascii="Times New Roman" w:hAnsi="Times New Roman" w:eastAsiaTheme="minorEastAsia"/>
          <w:color w:val="000000" w:themeColor="text1"/>
          <w:sz w:val="28"/>
          <w:szCs w:val="28"/>
        </w:rPr>
        <w:t>当下穿立交道路出水远离受纳水体，出水管只能接入雨水管道时，应复核受纳雨水管道的排水能力及排水安全性；</w:t>
      </w:r>
    </w:p>
    <w:p>
      <w:pPr>
        <w:pStyle w:val="30"/>
        <w:wordWrap w:val="0"/>
        <w:spacing w:line="360" w:lineRule="auto"/>
        <w:ind w:firstLine="568" w:firstLineChars="20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3</w:t>
      </w:r>
      <w:r>
        <w:rPr>
          <w:rFonts w:ascii="Times New Roman" w:hAnsi="Times New Roman" w:eastAsiaTheme="minorEastAsia"/>
          <w:color w:val="000000" w:themeColor="text1"/>
          <w:sz w:val="28"/>
          <w:szCs w:val="28"/>
        </w:rPr>
        <w:t>应采取防倒灌和调蓄等综合措施，保障排水通畅，使得下穿立交道路排水满足雨水管道设计重现期和内涝防治设计重现期的要求。</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下穿立交道路排水的可靠程度主要取决于排水系统出水口的畅通，故下穿立交道路排水应设独立排水系统，不宜利用其他排水管道排出。有条件的地区，下穿立交道路排水出水应就近排入受纳水体。若就近受纳水体排水能力不足时，可选择排水能力更强的受纳水体接入。当不具备排入水体的条件时，可将出水管接入雨水管网，但不可超过受纳雨水管网的排水能力。出水管末端应设防倒流装置，以免发生水流倒灌。有条件的地区可设置下穿立交道路调蓄设施。</w:t>
      </w:r>
    </w:p>
    <w:p>
      <w:pPr>
        <w:pStyle w:val="30"/>
        <w:numPr>
          <w:ilvl w:val="0"/>
          <w:numId w:val="2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当下穿立交道路的最低点位于地下水位以下时,应采取排水或控制地下水的措施。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据天津、上海等地设计经验，应全面详细调查工程所在地的水文、地质、气候资料，以便确定排出或控制地下水的设施，一般推荐盲沟收集排除地下水，或设泵站排除地下水；也可采取控制地下水进入措施。</w:t>
      </w:r>
    </w:p>
    <w:p>
      <w:pPr>
        <w:pStyle w:val="30"/>
        <w:numPr>
          <w:ilvl w:val="0"/>
          <w:numId w:val="2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下穿立交道路应设置地面积水深度标尺、标识线和提醒标语等警示标识。</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【条文说明】为防止行人或机动车进入积水较深的下穿立交道路区域，造成人身伤害和财产损失，应在进入下穿立交道路前较明显的位置设置标尺，表明下穿立交道路的积水深度和标识线，并设置提醒标语等。</w:t>
      </w:r>
    </w:p>
    <w:p>
      <w:pPr>
        <w:pStyle w:val="30"/>
        <w:numPr>
          <w:ilvl w:val="0"/>
          <w:numId w:val="2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下穿立交道路宜设置积水自动监测和报警装置。</w:t>
      </w:r>
    </w:p>
    <w:p>
      <w:pPr>
        <w:pStyle w:val="31"/>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积水自动监测设施可设置于下穿立交道路路面最低点和泵站集水池内，积水自动监测结果可通过信息控制系统传输至LED智能报警系统或声光报警系统，实现水位变化检测、积水智能报警、信息发布和远程监控指挥，做到提前预警和警示。目前上海在全市的下穿式立体交叉道路都安装了积水自动监测和报警，出现超过20cm积水且无有效手段降低或抑制水位上升时，采取措施限行；当出现超过25cm积水，水位得不到有效控制时，应采取封闭交通，从而有效保证下穿立交运行的安全性。</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当采用超声波液位计进行积水自动检测时，安装位置设计应避免仪表盲区对测量的影响，宜增加浮筒液位开关作为超高水位后备报警。</w:t>
      </w: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31" w:name="_Toc515281044"/>
      <w:r>
        <w:rPr>
          <w:rFonts w:ascii="Times New Roman" w:hAnsi="Times New Roman" w:eastAsiaTheme="minorEastAsia"/>
          <w:b w:val="0"/>
          <w:color w:val="000000" w:themeColor="text1"/>
          <w:sz w:val="28"/>
          <w:szCs w:val="28"/>
        </w:rPr>
        <w:t>倒虹管</w:t>
      </w:r>
      <w:bookmarkEnd w:id="31"/>
    </w:p>
    <w:p>
      <w:pPr>
        <w:pStyle w:val="30"/>
        <w:numPr>
          <w:ilvl w:val="0"/>
          <w:numId w:val="2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通过河道的倒虹管，不宜少于两条；通过谷地、旱沟或小河的倒虹管可采用一条。通过障碍物的倒虹管，尚应符合与该障碍物相交的有关规定。</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【条文说明】倒虹管宜设置两条以上，以便一条发生故障时，另一条可继续使用。平时也能逐条清通。通过谷地、旱沟或小河时，因维修难度不大，可以采用一条。</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通过铁路、航运河道、公路等障碍物时，应符合与该障碍物相交的有关规定。</w:t>
      </w:r>
    </w:p>
    <w:p>
      <w:pPr>
        <w:pStyle w:val="30"/>
        <w:numPr>
          <w:ilvl w:val="0"/>
          <w:numId w:val="2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倒虹管的设计，应符合下列规定：</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最小管径宜为200mm；</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管内设计流速应大于0.9m/s，并应大于进水管内的流速，当管内设计流速不能满足上述要求时，应增加定期冲洗措施，冲洗时流速不应小于1.2m/s；</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倒虹管的管顶距规划河底距离不宜小于1.0m，通过航运河道时，其位置和管顶距规划河底距离应与当地航运管理部门协商确定，并设置标志，遇冲刷河床应考虑防冲措施；</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倒虹管宜设置事故排出口。 </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我国以往设计，都采用倒虹管内流速应大于0.9m/s，并大于进水管内流速，如达不到时，定期冲洗的水流流速不应小于1.2m/s。此次调查中未发现问题。日本指南规定：倒虹管内的流速，应比进水管渠增加20%～30%，与本标准规定基本一致。</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倒虹管在穿过航运河道时，必须与当地航运管理等部门协商，确定河道规划的有关情况，对冲刷河道还应考虑抛石等防冲措施。</w:t>
      </w:r>
    </w:p>
    <w:p>
      <w:pPr>
        <w:wordWrap w:val="0"/>
        <w:spacing w:line="360" w:lineRule="auto"/>
        <w:ind w:firstLine="570"/>
        <w:rPr>
          <w:rFonts w:eastAsiaTheme="minorEastAsia"/>
          <w:color w:val="000000" w:themeColor="text1"/>
          <w:sz w:val="28"/>
          <w:szCs w:val="28"/>
        </w:rPr>
      </w:pPr>
      <w:r>
        <w:rPr>
          <w:rFonts w:eastAsiaTheme="minorEastAsia"/>
          <w:color w:val="000000" w:themeColor="text1"/>
          <w:sz w:val="28"/>
          <w:szCs w:val="28"/>
        </w:rPr>
        <w:t>为考虑倒虹管道检修时排水，倒虹管进水端宜设置事故排出口。</w:t>
      </w:r>
    </w:p>
    <w:p>
      <w:pPr>
        <w:pStyle w:val="30"/>
        <w:numPr>
          <w:ilvl w:val="0"/>
          <w:numId w:val="2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倒虹管采用开槽埋管施工时，应根据管道材质、接口形式和地质条件，对管道基础进行加固或保护。刚性管道宜采用钢筋混凝土基础，柔性管道应采用包封措施。</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由于倒虹管道相对敷设难度大，一次敷设完成后，应尽量确保管道安全性，减少维修工作量。考虑到基础地质沉降、河道疏浚等因素可能对管道造成的不利影响，本条针对不同材质管道的倒虹管（刚性管道、柔性管道）提出了管道基础或包封措施要求。对于金属材质半柔性的管道，则根据具体土质情况，确定采用钢筋混凝土基础还是钢筋混凝土包封。</w:t>
      </w:r>
    </w:p>
    <w:p>
      <w:pPr>
        <w:pStyle w:val="30"/>
        <w:numPr>
          <w:ilvl w:val="0"/>
          <w:numId w:val="2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合流管道设倒虹管时，应按旱流污水量校核流速。</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【条文说明】鉴于合流制中旱流污水量与设计合流污水量数值差异极大，根据天津、北京等地设计经验，合流管道的倒虹管应对旱流污水量进行流速校核，当不能达到最小流速0.9m/s时，应采取相应的技术措施。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为保证合流制倒虹管在旱流和合流情况下均能正常运行，设计中对合流制倒虹管可设两条，分别使用于旱季</w:t>
      </w:r>
      <w:r>
        <w:rPr>
          <w:rFonts w:hint="eastAsia" w:eastAsiaTheme="minorEastAsia"/>
          <w:color w:val="000000" w:themeColor="text1"/>
          <w:sz w:val="28"/>
          <w:szCs w:val="28"/>
        </w:rPr>
        <w:t>旱流</w:t>
      </w:r>
      <w:r>
        <w:rPr>
          <w:rFonts w:eastAsiaTheme="minorEastAsia"/>
          <w:color w:val="000000" w:themeColor="text1"/>
          <w:sz w:val="28"/>
          <w:szCs w:val="28"/>
        </w:rPr>
        <w:t>和雨季</w:t>
      </w:r>
      <w:r>
        <w:rPr>
          <w:rFonts w:hint="eastAsia" w:eastAsiaTheme="minorEastAsia"/>
          <w:color w:val="000000" w:themeColor="text1"/>
          <w:sz w:val="28"/>
          <w:szCs w:val="28"/>
        </w:rPr>
        <w:t>合流</w:t>
      </w:r>
      <w:r>
        <w:rPr>
          <w:rFonts w:eastAsiaTheme="minorEastAsia"/>
          <w:color w:val="000000" w:themeColor="text1"/>
          <w:sz w:val="28"/>
          <w:szCs w:val="28"/>
        </w:rPr>
        <w:t>两种情况。</w:t>
      </w:r>
    </w:p>
    <w:p>
      <w:pPr>
        <w:pStyle w:val="30"/>
        <w:numPr>
          <w:ilvl w:val="0"/>
          <w:numId w:val="2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倒虹管进出水井的检修室净高宜高于2m。进出水井较深时，井内应设检修台，其宽度应满足检修要求。当倒虹管为复线时，井盖的中心宜设在各条管道的中心线上。</w:t>
      </w:r>
    </w:p>
    <w:p>
      <w:pPr>
        <w:pStyle w:val="30"/>
        <w:numPr>
          <w:ilvl w:val="0"/>
          <w:numId w:val="2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倒虹管进出水井内应设闸槽或闸门。</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【条文说明】设计闸槽或闸门时必须确保在事故发生或维修时，能顺利发挥其作用。</w:t>
      </w:r>
    </w:p>
    <w:p>
      <w:pPr>
        <w:pStyle w:val="30"/>
        <w:numPr>
          <w:ilvl w:val="0"/>
          <w:numId w:val="2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倒虹管进水井的前一检查井，应设置沉泥槽。</w:t>
      </w:r>
    </w:p>
    <w:p>
      <w:pPr>
        <w:wordWrap w:val="0"/>
        <w:rPr>
          <w:rFonts w:eastAsiaTheme="minorEastAsia"/>
          <w:color w:val="000000" w:themeColor="text1"/>
          <w:sz w:val="28"/>
          <w:szCs w:val="28"/>
        </w:rPr>
      </w:pPr>
      <w:r>
        <w:rPr>
          <w:rFonts w:eastAsiaTheme="minorEastAsia"/>
          <w:color w:val="000000" w:themeColor="text1"/>
          <w:sz w:val="28"/>
          <w:szCs w:val="28"/>
        </w:rPr>
        <w:t>【条文说明】沉泥槽作用是沉淀泥土、杂物，保证管道内水流通畅。</w:t>
      </w: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32" w:name="_Toc515281045"/>
      <w:r>
        <w:rPr>
          <w:rFonts w:ascii="Times New Roman" w:hAnsi="Times New Roman" w:eastAsiaTheme="majorEastAsia"/>
          <w:b w:val="0"/>
          <w:kern w:val="0"/>
          <w:sz w:val="28"/>
          <w:szCs w:val="28"/>
        </w:rPr>
        <w:t>渗透管渠</w:t>
      </w:r>
      <w:bookmarkEnd w:id="32"/>
    </w:p>
    <w:p>
      <w:pPr>
        <w:pStyle w:val="30"/>
        <w:numPr>
          <w:ilvl w:val="0"/>
          <w:numId w:val="25"/>
        </w:numPr>
        <w:wordWrap w:val="0"/>
        <w:spacing w:line="360" w:lineRule="auto"/>
        <w:ind w:firstLineChars="0"/>
        <w:rPr>
          <w:rFonts w:ascii="Times New Roman" w:hAnsi="Times New Roman" w:eastAsiaTheme="majorEastAsia"/>
          <w:kern w:val="0"/>
          <w:sz w:val="28"/>
          <w:szCs w:val="28"/>
        </w:rPr>
      </w:pPr>
      <w:r>
        <w:rPr>
          <w:rFonts w:ascii="Times New Roman" w:hAnsi="Times New Roman" w:eastAsiaTheme="majorEastAsia"/>
          <w:kern w:val="0"/>
          <w:sz w:val="28"/>
          <w:szCs w:val="28"/>
        </w:rPr>
        <w:t>当采用渗透管渠进行雨水转输和临时储存时，应符合下列规定：</w:t>
      </w:r>
    </w:p>
    <w:p>
      <w:pPr>
        <w:spacing w:line="360" w:lineRule="auto"/>
        <w:ind w:firstLine="562" w:firstLineChars="200"/>
        <w:rPr>
          <w:rFonts w:eastAsiaTheme="majorEastAsia"/>
          <w:color w:val="000000"/>
          <w:sz w:val="28"/>
          <w:szCs w:val="28"/>
        </w:rPr>
      </w:pPr>
      <w:r>
        <w:rPr>
          <w:rFonts w:eastAsiaTheme="majorEastAsia"/>
          <w:b/>
          <w:color w:val="000000"/>
          <w:sz w:val="28"/>
          <w:szCs w:val="28"/>
        </w:rPr>
        <w:t>1</w:t>
      </w:r>
      <w:r>
        <w:rPr>
          <w:rFonts w:eastAsiaTheme="majorEastAsia"/>
          <w:color w:val="000000"/>
          <w:sz w:val="28"/>
          <w:szCs w:val="28"/>
        </w:rPr>
        <w:t xml:space="preserve"> 渗透管渠宜采用穿孔塑料、无砂混凝土等透水材料；</w:t>
      </w:r>
    </w:p>
    <w:p>
      <w:pPr>
        <w:spacing w:line="360" w:lineRule="auto"/>
        <w:ind w:firstLine="562" w:firstLineChars="200"/>
        <w:rPr>
          <w:rFonts w:eastAsiaTheme="majorEastAsia"/>
          <w:color w:val="000000"/>
          <w:sz w:val="28"/>
          <w:szCs w:val="28"/>
        </w:rPr>
      </w:pPr>
      <w:r>
        <w:rPr>
          <w:rFonts w:eastAsiaTheme="majorEastAsia"/>
          <w:b/>
          <w:color w:val="000000"/>
          <w:sz w:val="28"/>
          <w:szCs w:val="28"/>
        </w:rPr>
        <w:t>2</w:t>
      </w:r>
      <w:r>
        <w:rPr>
          <w:rFonts w:eastAsiaTheme="majorEastAsia"/>
          <w:color w:val="000000"/>
          <w:sz w:val="28"/>
          <w:szCs w:val="28"/>
        </w:rPr>
        <w:t>渗透管渠开孔率宜为1%~3%，无砂混凝土管的孔隙率应大于20%；</w:t>
      </w:r>
    </w:p>
    <w:p>
      <w:pPr>
        <w:spacing w:line="360" w:lineRule="auto"/>
        <w:ind w:firstLine="562" w:firstLineChars="200"/>
        <w:rPr>
          <w:rFonts w:eastAsiaTheme="majorEastAsia"/>
          <w:color w:val="000000"/>
          <w:sz w:val="28"/>
          <w:szCs w:val="28"/>
        </w:rPr>
      </w:pPr>
      <w:r>
        <w:rPr>
          <w:rFonts w:eastAsiaTheme="majorEastAsia"/>
          <w:b/>
          <w:color w:val="000000"/>
          <w:sz w:val="28"/>
          <w:szCs w:val="28"/>
        </w:rPr>
        <w:t>3</w:t>
      </w:r>
      <w:r>
        <w:rPr>
          <w:rFonts w:eastAsiaTheme="majorEastAsia"/>
          <w:color w:val="000000"/>
          <w:sz w:val="28"/>
          <w:szCs w:val="28"/>
        </w:rPr>
        <w:t xml:space="preserve"> 渗透管渠应设置预处理设施；</w:t>
      </w:r>
    </w:p>
    <w:p>
      <w:pPr>
        <w:spacing w:line="360" w:lineRule="auto"/>
        <w:ind w:firstLine="562" w:firstLineChars="200"/>
        <w:rPr>
          <w:rFonts w:eastAsiaTheme="majorEastAsia"/>
          <w:color w:val="000000"/>
          <w:sz w:val="28"/>
          <w:szCs w:val="28"/>
        </w:rPr>
      </w:pPr>
      <w:r>
        <w:rPr>
          <w:rFonts w:eastAsiaTheme="majorEastAsia"/>
          <w:b/>
          <w:color w:val="000000"/>
          <w:sz w:val="28"/>
          <w:szCs w:val="28"/>
        </w:rPr>
        <w:t>4</w:t>
      </w:r>
      <w:r>
        <w:rPr>
          <w:rFonts w:eastAsiaTheme="majorEastAsia"/>
          <w:color w:val="000000"/>
          <w:sz w:val="28"/>
          <w:szCs w:val="28"/>
        </w:rPr>
        <w:t xml:space="preserve"> 地面雨水进入渗透管渠处、渗透管渠交汇处、转弯处和直线管段每隔一定距离处应设置渗透检查井；</w:t>
      </w:r>
    </w:p>
    <w:p>
      <w:pPr>
        <w:pStyle w:val="30"/>
        <w:wordWrap w:val="0"/>
        <w:spacing w:line="360" w:lineRule="auto"/>
        <w:ind w:firstLine="568" w:firstLineChars="202"/>
        <w:rPr>
          <w:rFonts w:ascii="Times New Roman" w:hAnsi="Times New Roman" w:eastAsiaTheme="minorEastAsia"/>
          <w:color w:val="000000" w:themeColor="text1"/>
          <w:sz w:val="28"/>
          <w:szCs w:val="28"/>
        </w:rPr>
      </w:pPr>
      <w:r>
        <w:rPr>
          <w:rFonts w:ascii="Times New Roman" w:hAnsi="Times New Roman" w:eastAsiaTheme="majorEastAsia"/>
          <w:b/>
          <w:color w:val="000000"/>
          <w:sz w:val="28"/>
          <w:szCs w:val="28"/>
        </w:rPr>
        <w:t xml:space="preserve">5 </w:t>
      </w:r>
      <w:r>
        <w:rPr>
          <w:rFonts w:ascii="Times New Roman" w:hAnsi="Times New Roman" w:eastAsiaTheme="majorEastAsia"/>
          <w:color w:val="000000"/>
          <w:sz w:val="28"/>
          <w:szCs w:val="28"/>
        </w:rPr>
        <w:t>渗透管渠四周应填充砾石或其他多孔材料，砾石层外应包透水土工布，土工布搭接宽度不应小于200mm</w:t>
      </w:r>
      <w:r>
        <w:rPr>
          <w:rFonts w:ascii="Times New Roman" w:hAnsi="Times New Roman" w:eastAsiaTheme="minorEastAsia"/>
          <w:color w:val="000000" w:themeColor="text1"/>
          <w:sz w:val="28"/>
          <w:szCs w:val="28"/>
        </w:rPr>
        <w:t>。</w:t>
      </w:r>
    </w:p>
    <w:p>
      <w:pPr>
        <w:wordWrap w:val="0"/>
        <w:rPr>
          <w:rFonts w:eastAsiaTheme="minorEastAsia"/>
          <w:color w:val="000000" w:themeColor="text1"/>
          <w:sz w:val="28"/>
          <w:szCs w:val="28"/>
        </w:rPr>
      </w:pPr>
      <w:r>
        <w:rPr>
          <w:rFonts w:eastAsiaTheme="minorEastAsia"/>
          <w:color w:val="000000" w:themeColor="text1"/>
          <w:sz w:val="28"/>
          <w:szCs w:val="28"/>
        </w:rPr>
        <w:t>【条文说明】遵循海绵城市建设要求，雨水采取雨水渗透措施可促进雨水下渗综合利用。</w:t>
      </w:r>
      <w:r>
        <w:rPr>
          <w:rFonts w:eastAsiaTheme="majorEastAsia"/>
          <w:color w:val="000000"/>
          <w:sz w:val="28"/>
          <w:szCs w:val="28"/>
        </w:rPr>
        <w:t>雨水渗透管渠可设置在绿化带、停车场和人行道下，起到避免地面积水、减少市政排水管渠排水压力和补充地下水的作用。渗透管渠应设置植草沟、沉淀池或沉砂池等预处理设施。当渗透管渠承担输送排水任务时，其敷设坡度应符合本标准中排水管渠的设计要求。渗透检查井的设置，应</w:t>
      </w:r>
      <w:r>
        <w:rPr>
          <w:rFonts w:eastAsiaTheme="majorEastAsia"/>
          <w:sz w:val="28"/>
          <w:szCs w:val="28"/>
        </w:rPr>
        <w:t>符合本标准中</w:t>
      </w:r>
      <w:r>
        <w:rPr>
          <w:rFonts w:eastAsiaTheme="majorEastAsia"/>
          <w:color w:val="000000"/>
          <w:sz w:val="28"/>
          <w:szCs w:val="28"/>
        </w:rPr>
        <w:t>关于雨水管渠检查井的相关规定。</w:t>
      </w:r>
    </w:p>
    <w:p>
      <w:pPr>
        <w:rPr>
          <w:rFonts w:eastAsiaTheme="minorEastAsia"/>
          <w:sz w:val="28"/>
          <w:szCs w:val="28"/>
        </w:rPr>
      </w:pP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33" w:name="_Toc515281046"/>
      <w:r>
        <w:rPr>
          <w:rFonts w:ascii="Times New Roman" w:hAnsi="Times New Roman" w:eastAsiaTheme="minorEastAsia"/>
          <w:b w:val="0"/>
          <w:color w:val="000000" w:themeColor="text1"/>
          <w:sz w:val="28"/>
          <w:szCs w:val="28"/>
        </w:rPr>
        <w:t>渠道</w:t>
      </w:r>
      <w:bookmarkEnd w:id="33"/>
    </w:p>
    <w:p>
      <w:pPr>
        <w:pStyle w:val="30"/>
        <w:numPr>
          <w:ilvl w:val="0"/>
          <w:numId w:val="2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在地形平坦地区、埋设深度或出水口深度受限制的地区，可采用渠道（明渠或盖板渠）排除雨水。盖板渠宜就地取材，构造宜方便维护，渠壁可与道路侧石联合砌筑。</w:t>
      </w:r>
    </w:p>
    <w:p>
      <w:pPr>
        <w:pStyle w:val="30"/>
        <w:numPr>
          <w:ilvl w:val="0"/>
          <w:numId w:val="2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明渠和盖板渠的底宽，不宜小于0.3m。无铺砌的明渠边坡，应根据不同的地质按本标准表5.13.2的规定取值；用砖石或混凝土块铺砌的明渠可采用1:0.75~1:1的边坡。</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表5.1</w:t>
      </w:r>
      <w:r>
        <w:rPr>
          <w:rFonts w:hint="eastAsia" w:eastAsiaTheme="minorEastAsia"/>
          <w:b/>
          <w:color w:val="000000" w:themeColor="text1"/>
          <w:sz w:val="28"/>
          <w:szCs w:val="28"/>
        </w:rPr>
        <w:t>3</w:t>
      </w:r>
      <w:r>
        <w:rPr>
          <w:rFonts w:eastAsiaTheme="minorEastAsia"/>
          <w:b/>
          <w:color w:val="000000" w:themeColor="text1"/>
          <w:sz w:val="28"/>
          <w:szCs w:val="28"/>
        </w:rPr>
        <w:t xml:space="preserve">.2  </w:t>
      </w:r>
      <w:r>
        <w:rPr>
          <w:rFonts w:hint="eastAsia" w:eastAsiaTheme="minorEastAsia"/>
          <w:b/>
          <w:color w:val="000000" w:themeColor="text1"/>
          <w:sz w:val="28"/>
          <w:szCs w:val="28"/>
        </w:rPr>
        <w:t>无铺砌的</w:t>
      </w:r>
      <w:r>
        <w:rPr>
          <w:rFonts w:eastAsiaTheme="minorEastAsia"/>
          <w:b/>
          <w:color w:val="000000" w:themeColor="text1"/>
          <w:sz w:val="28"/>
          <w:szCs w:val="28"/>
        </w:rPr>
        <w:t>明渠边坡值</w:t>
      </w:r>
    </w:p>
    <w:tbl>
      <w:tblPr>
        <w:tblStyle w:val="25"/>
        <w:tblW w:w="5770"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95"/>
        <w:gridCol w:w="167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409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地  质</w:t>
            </w:r>
          </w:p>
        </w:tc>
        <w:tc>
          <w:tcPr>
            <w:tcW w:w="167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边  坡  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409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粉砂</w:t>
            </w:r>
          </w:p>
        </w:tc>
        <w:tc>
          <w:tcPr>
            <w:tcW w:w="167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1:3~1:3.5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409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松散的细砂、中砂和粗砂</w:t>
            </w:r>
          </w:p>
        </w:tc>
        <w:tc>
          <w:tcPr>
            <w:tcW w:w="167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1:2~1:2.5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jc w:val="center"/>
        </w:trPr>
        <w:tc>
          <w:tcPr>
            <w:tcW w:w="409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密实的细砂、中砂、粗砂或黏质粉土</w:t>
            </w:r>
          </w:p>
        </w:tc>
        <w:tc>
          <w:tcPr>
            <w:tcW w:w="167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1:1.5~1:2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409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粉质黏土或黏土砾石或卵石</w:t>
            </w:r>
          </w:p>
        </w:tc>
        <w:tc>
          <w:tcPr>
            <w:tcW w:w="167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1:1.25~1:1.5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409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半岩性土</w:t>
            </w:r>
          </w:p>
        </w:tc>
        <w:tc>
          <w:tcPr>
            <w:tcW w:w="167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1:0.5~1:1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409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风化岩石</w:t>
            </w:r>
          </w:p>
        </w:tc>
        <w:tc>
          <w:tcPr>
            <w:tcW w:w="167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1:0.25~1:0.5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jc w:val="center"/>
        </w:trPr>
        <w:tc>
          <w:tcPr>
            <w:tcW w:w="409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岩石</w:t>
            </w:r>
          </w:p>
        </w:tc>
        <w:tc>
          <w:tcPr>
            <w:tcW w:w="1675" w:type="dxa"/>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1:0.1~1:0.25</w:t>
            </w:r>
          </w:p>
        </w:tc>
      </w:tr>
    </w:tbl>
    <w:p>
      <w:pPr>
        <w:pStyle w:val="30"/>
        <w:numPr>
          <w:ilvl w:val="0"/>
          <w:numId w:val="2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渠道和涵洞连接时，应符合下列规定：</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渠道接入涵洞时，应考虑断面收缩、流速变化等因素造成明渠水面壅高的影响；</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涵洞断面应按渠道水面达到设计超高时的泄水量计算；</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 xml:space="preserve">3 </w:t>
      </w:r>
      <w:r>
        <w:rPr>
          <w:rFonts w:eastAsiaTheme="minorEastAsia"/>
          <w:color w:val="000000" w:themeColor="text1"/>
          <w:sz w:val="28"/>
          <w:szCs w:val="28"/>
        </w:rPr>
        <w:t>涵洞两端应设挡土墙，并护坡和护底；</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涵洞宜做成方形，如为圆管时，管底可适当低于渠底，其降低部分不计入过水断面。</w:t>
      </w:r>
    </w:p>
    <w:p>
      <w:pPr>
        <w:pStyle w:val="30"/>
        <w:numPr>
          <w:ilvl w:val="0"/>
          <w:numId w:val="2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渠道和管道连接处应设挡土墙等衔接设施。渠道接入管道处应设置格栅。</w:t>
      </w:r>
    </w:p>
    <w:p>
      <w:pPr>
        <w:pStyle w:val="30"/>
        <w:numPr>
          <w:ilvl w:val="0"/>
          <w:numId w:val="2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明渠转弯处，其中心线的弯曲半径不宜小于设计水面宽度的5倍；盖板渠和铺砌明渠可采用不小于设计水面宽度的2.5倍。</w:t>
      </w: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34" w:name="_Toc515281047"/>
      <w:r>
        <w:rPr>
          <w:rFonts w:ascii="Times New Roman" w:hAnsi="Times New Roman" w:eastAsiaTheme="minorEastAsia"/>
          <w:b w:val="0"/>
          <w:color w:val="000000" w:themeColor="text1"/>
          <w:sz w:val="28"/>
          <w:szCs w:val="28"/>
        </w:rPr>
        <w:t>雨水调蓄池</w:t>
      </w:r>
      <w:bookmarkEnd w:id="34"/>
    </w:p>
    <w:p>
      <w:pPr>
        <w:pStyle w:val="30"/>
        <w:numPr>
          <w:ilvl w:val="0"/>
          <w:numId w:val="2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雨水调蓄池的设置应尽量利用现有设施。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【条文说明】充分利用现有河道、池塘、人工湖、景观水池等设施建设雨水调蓄池，可降低建设费用，取得良好的社会效益。</w:t>
      </w:r>
    </w:p>
    <w:p>
      <w:pPr>
        <w:pStyle w:val="30"/>
        <w:numPr>
          <w:ilvl w:val="0"/>
          <w:numId w:val="2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雨水调蓄池的位置应根据调蓄目的、排水体制、管网布置、溢流管下游水位高程和周围环境等综合考虑后确定。</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根据调蓄池在排水系统中的位置，可分为末端调蓄池和中间调蓄池。末端调蓄池位于排水系统的末端，主要用于径流污染控制，如上海市成都北路调蓄池。中间调蓄池位于一个排水系统的起端或中间位置，可用于削减洪峰流量和提高雨水利用程度。当用于削减洪峰流量时，调蓄池一般设置于系统干管之前，以减少排水系统达标改造工程量；当用于雨水利用储存时，调蓄池应靠近用水量较大的地方，以减少雨水利用管渠的工程量。</w:t>
      </w:r>
    </w:p>
    <w:p>
      <w:pPr>
        <w:pStyle w:val="30"/>
        <w:numPr>
          <w:ilvl w:val="0"/>
          <w:numId w:val="2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当调蓄设施用于合流制排水系统径流污染控制时，调蓄量可按下式计算：</w:t>
      </w:r>
    </w:p>
    <w:p>
      <w:pPr>
        <w:pStyle w:val="30"/>
        <w:spacing w:line="360" w:lineRule="auto"/>
        <w:ind w:left="340" w:firstLine="0" w:firstLineChars="0"/>
        <w:jc w:val="right"/>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V</w:t>
      </w:r>
      <w:r>
        <w:rPr>
          <w:rFonts w:ascii="Times New Roman" w:hAnsi="Times New Roman" w:eastAsiaTheme="minorEastAsia"/>
          <w:color w:val="000000" w:themeColor="text1"/>
          <w:sz w:val="28"/>
          <w:szCs w:val="28"/>
        </w:rPr>
        <w:t xml:space="preserve">=3600 </w:t>
      </w:r>
      <w:r>
        <w:rPr>
          <w:rFonts w:ascii="Times New Roman" w:hAnsi="Times New Roman" w:eastAsiaTheme="minorEastAsia"/>
          <w:i/>
          <w:color w:val="000000" w:themeColor="text1"/>
          <w:sz w:val="28"/>
          <w:szCs w:val="28"/>
        </w:rPr>
        <w:t>t</w:t>
      </w:r>
      <w:r>
        <w:rPr>
          <w:rFonts w:ascii="Times New Roman" w:hAnsi="Times New Roman" w:eastAsiaTheme="minorEastAsia"/>
          <w:color w:val="000000" w:themeColor="text1"/>
          <w:sz w:val="28"/>
          <w:szCs w:val="28"/>
          <w:vertAlign w:val="subscript"/>
        </w:rPr>
        <w:t>i</w:t>
      </w:r>
      <w:r>
        <w:rPr>
          <w:rFonts w:ascii="Times New Roman" w:hAnsi="Times New Roman" w:eastAsiaTheme="minorEastAsia"/>
          <w:color w:val="000000" w:themeColor="text1"/>
          <w:sz w:val="28"/>
          <w:szCs w:val="28"/>
        </w:rPr>
        <w:t>(</w:t>
      </w:r>
      <w:r>
        <w:rPr>
          <w:rFonts w:ascii="Times New Roman" w:hAnsi="Times New Roman" w:eastAsiaTheme="minorEastAsia"/>
          <w:i/>
          <w:color w:val="000000" w:themeColor="text1"/>
          <w:sz w:val="28"/>
          <w:szCs w:val="28"/>
        </w:rPr>
        <w:t>n</w:t>
      </w:r>
      <w:r>
        <w:rPr>
          <w:rFonts w:ascii="Times New Roman" w:hAnsi="Times New Roman" w:eastAsiaTheme="minorEastAsia"/>
          <w:color w:val="000000" w:themeColor="text1"/>
          <w:sz w:val="28"/>
          <w:szCs w:val="28"/>
          <w:vertAlign w:val="subscript"/>
        </w:rPr>
        <w:t>1</w:t>
      </w:r>
      <w:r>
        <w:rPr>
          <w:rFonts w:ascii="Times New Roman" w:hAnsi="Times New Roman" w:eastAsiaTheme="minorEastAsia"/>
          <w:color w:val="000000" w:themeColor="text1"/>
          <w:sz w:val="28"/>
          <w:szCs w:val="28"/>
        </w:rPr>
        <w:t>-</w:t>
      </w:r>
      <w:r>
        <w:rPr>
          <w:rFonts w:ascii="Times New Roman" w:hAnsi="Times New Roman" w:eastAsiaTheme="minorEastAsia"/>
          <w:i/>
          <w:color w:val="000000" w:themeColor="text1"/>
          <w:sz w:val="28"/>
          <w:szCs w:val="28"/>
        </w:rPr>
        <w:t>n</w:t>
      </w:r>
      <w:r>
        <w:rPr>
          <w:rFonts w:ascii="Times New Roman" w:hAnsi="Times New Roman" w:eastAsiaTheme="minorEastAsia"/>
          <w:color w:val="000000" w:themeColor="text1"/>
          <w:sz w:val="28"/>
          <w:szCs w:val="28"/>
          <w:vertAlign w:val="subscript"/>
        </w:rPr>
        <w:t>0</w:t>
      </w:r>
      <w:r>
        <w:rPr>
          <w:rFonts w:ascii="Times New Roman" w:hAnsi="Times New Roman" w:eastAsiaTheme="minorEastAsia"/>
          <w:color w:val="000000" w:themeColor="text1"/>
          <w:sz w:val="28"/>
          <w:szCs w:val="28"/>
        </w:rPr>
        <w:t>) （Q</w:t>
      </w:r>
      <w:r>
        <w:rPr>
          <w:rFonts w:ascii="Times New Roman" w:hAnsi="Times New Roman" w:eastAsiaTheme="minorEastAsia"/>
          <w:color w:val="000000" w:themeColor="text1"/>
          <w:sz w:val="28"/>
          <w:szCs w:val="28"/>
          <w:vertAlign w:val="subscript"/>
        </w:rPr>
        <w:t>d</w:t>
      </w:r>
      <w:r>
        <w:rPr>
          <w:rFonts w:ascii="Times New Roman" w:hAnsi="Times New Roman" w:eastAsiaTheme="minorEastAsia"/>
          <w:color w:val="000000" w:themeColor="text1"/>
          <w:sz w:val="28"/>
          <w:szCs w:val="28"/>
        </w:rPr>
        <w:t>+Q</w:t>
      </w:r>
      <w:r>
        <w:rPr>
          <w:rFonts w:ascii="Times New Roman" w:hAnsi="Times New Roman" w:eastAsiaTheme="minorEastAsia"/>
          <w:color w:val="000000" w:themeColor="text1"/>
          <w:sz w:val="28"/>
          <w:szCs w:val="28"/>
          <w:vertAlign w:val="subscript"/>
        </w:rPr>
        <w:t>m</w:t>
      </w:r>
      <w:r>
        <w:rPr>
          <w:rFonts w:ascii="Times New Roman" w:hAnsi="Times New Roman" w:eastAsiaTheme="minorEastAsia"/>
          <w:color w:val="000000"/>
          <w:sz w:val="28"/>
          <w:szCs w:val="28"/>
        </w:rPr>
        <w:t xml:space="preserve">+ </w:t>
      </w:r>
      <w:r>
        <w:rPr>
          <w:rFonts w:ascii="Times New Roman" w:hAnsi="Times New Roman"/>
          <w:i/>
          <w:color w:val="000000"/>
          <w:sz w:val="28"/>
          <w:szCs w:val="28"/>
        </w:rPr>
        <w:t>Q</w:t>
      </w:r>
      <w:r>
        <w:rPr>
          <w:rFonts w:ascii="Times New Roman" w:hAnsi="Times New Roman" w:eastAsiaTheme="minorEastAsia"/>
          <w:color w:val="000000"/>
          <w:sz w:val="28"/>
          <w:szCs w:val="28"/>
          <w:vertAlign w:val="subscript"/>
        </w:rPr>
        <w:t>u</w:t>
      </w:r>
      <w:r>
        <w:rPr>
          <w:rFonts w:ascii="Times New Roman" w:hAnsi="Times New Roman" w:eastAsiaTheme="minorEastAsia"/>
          <w:color w:val="000000" w:themeColor="text1"/>
          <w:sz w:val="28"/>
          <w:szCs w:val="28"/>
        </w:rPr>
        <w:t xml:space="preserve">） </w:t>
      </w:r>
      <w:r>
        <w:rPr>
          <w:rFonts w:ascii="Times New Roman" w:hAnsi="Times New Roman" w:eastAsiaTheme="minorEastAsia"/>
          <w:i/>
          <w:color w:val="000000" w:themeColor="text1"/>
          <w:sz w:val="28"/>
          <w:szCs w:val="28"/>
        </w:rPr>
        <w:t xml:space="preserve"> β</w:t>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 xml:space="preserve">          （5.1</w:t>
      </w:r>
      <w:r>
        <w:rPr>
          <w:rFonts w:hint="eastAsia" w:ascii="Times New Roman" w:hAnsi="Times New Roman" w:eastAsiaTheme="minorEastAsia"/>
          <w:color w:val="000000" w:themeColor="text1"/>
          <w:sz w:val="28"/>
          <w:szCs w:val="28"/>
        </w:rPr>
        <w:t>4</w:t>
      </w:r>
      <w:r>
        <w:rPr>
          <w:rFonts w:ascii="Times New Roman" w:hAnsi="Times New Roman" w:eastAsiaTheme="minorEastAsia"/>
          <w:color w:val="000000" w:themeColor="text1"/>
          <w:sz w:val="28"/>
          <w:szCs w:val="28"/>
        </w:rPr>
        <w:t>.3）</w:t>
      </w:r>
    </w:p>
    <w:p>
      <w:pPr>
        <w:pStyle w:val="30"/>
        <w:wordWrap w:val="0"/>
        <w:spacing w:line="360" w:lineRule="auto"/>
        <w:ind w:left="1"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式中：</w:t>
      </w:r>
      <w:r>
        <w:rPr>
          <w:rFonts w:ascii="Times New Roman" w:hAnsi="Times New Roman" w:eastAsiaTheme="minorEastAsia"/>
          <w:i/>
          <w:color w:val="000000" w:themeColor="text1"/>
          <w:sz w:val="28"/>
          <w:szCs w:val="28"/>
        </w:rPr>
        <w:t>V</w:t>
      </w:r>
      <w:r>
        <w:rPr>
          <w:rFonts w:ascii="Times New Roman" w:hAnsi="Times New Roman" w:eastAsiaTheme="minorEastAsia"/>
          <w:color w:val="000000" w:themeColor="text1"/>
          <w:sz w:val="28"/>
          <w:szCs w:val="28"/>
        </w:rPr>
        <w:t>——调蓄量或调蓄设施有效容积（m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w:t>
      </w:r>
    </w:p>
    <w:p>
      <w:pPr>
        <w:pStyle w:val="30"/>
        <w:wordWrap w:val="0"/>
        <w:spacing w:line="360" w:lineRule="auto"/>
        <w:ind w:left="1540" w:leftChars="400" w:hanging="700" w:hangingChars="250"/>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t</w:t>
      </w:r>
      <w:r>
        <w:rPr>
          <w:rFonts w:ascii="Times New Roman" w:hAnsi="Times New Roman" w:eastAsiaTheme="minorEastAsia"/>
          <w:color w:val="000000" w:themeColor="text1"/>
          <w:sz w:val="28"/>
          <w:szCs w:val="28"/>
          <w:vertAlign w:val="subscript"/>
        </w:rPr>
        <w:t>i</w:t>
      </w:r>
      <w:r>
        <w:rPr>
          <w:rFonts w:ascii="Times New Roman" w:hAnsi="Times New Roman" w:eastAsiaTheme="minorEastAsia"/>
          <w:color w:val="000000" w:themeColor="text1"/>
          <w:sz w:val="28"/>
          <w:szCs w:val="28"/>
        </w:rPr>
        <w:t>——调蓄设施进水时间（h），宜采用0.5h～1h，当合流制排水系统雨天溢流污水水质在单次降雨事件中无明显初期效应时，宜取上限；反之，可取下限；</w:t>
      </w:r>
    </w:p>
    <w:p>
      <w:pPr>
        <w:pStyle w:val="30"/>
        <w:wordWrap w:val="0"/>
        <w:spacing w:line="360" w:lineRule="auto"/>
        <w:ind w:left="1680" w:leftChars="400" w:hanging="840" w:hangingChars="300"/>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n</w:t>
      </w:r>
      <w:r>
        <w:rPr>
          <w:rFonts w:ascii="Times New Roman" w:hAnsi="Times New Roman" w:eastAsiaTheme="minorEastAsia"/>
          <w:color w:val="000000" w:themeColor="text1"/>
          <w:sz w:val="28"/>
          <w:szCs w:val="28"/>
          <w:vertAlign w:val="subscript"/>
        </w:rPr>
        <w:t>1</w:t>
      </w:r>
      <w:r>
        <w:rPr>
          <w:rFonts w:ascii="Times New Roman" w:hAnsi="Times New Roman" w:eastAsiaTheme="minorEastAsia"/>
          <w:color w:val="000000" w:themeColor="text1"/>
          <w:sz w:val="28"/>
          <w:szCs w:val="28"/>
        </w:rPr>
        <w:t>——调蓄设施建成运行后的截流倍数，由要求的污染负荷目标削减率、下游排水系统运行负荷、系统原截流倍数和截流量占降雨量比例之间的关系等确定；</w:t>
      </w:r>
    </w:p>
    <w:p>
      <w:pPr>
        <w:spacing w:line="460" w:lineRule="atLeast"/>
        <w:ind w:firstLine="848" w:firstLineChars="303"/>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0</w:t>
      </w:r>
      <w:r>
        <w:rPr>
          <w:rFonts w:eastAsiaTheme="minorEastAsia"/>
          <w:color w:val="000000" w:themeColor="text1"/>
          <w:sz w:val="28"/>
          <w:szCs w:val="28"/>
        </w:rPr>
        <w:t>——系统原截流倍数；</w:t>
      </w:r>
    </w:p>
    <w:p>
      <w:pPr>
        <w:spacing w:line="460" w:lineRule="atLeast"/>
        <w:ind w:firstLine="848" w:firstLineChars="303"/>
        <w:rPr>
          <w:rFonts w:eastAsiaTheme="minorEastAsia"/>
          <w:color w:val="000000"/>
          <w:sz w:val="28"/>
          <w:szCs w:val="28"/>
        </w:rPr>
      </w:pPr>
      <w:r>
        <w:rPr>
          <w:i/>
          <w:color w:val="000000"/>
          <w:sz w:val="28"/>
          <w:szCs w:val="28"/>
        </w:rPr>
        <w:t>Q</w:t>
      </w:r>
      <w:r>
        <w:rPr>
          <w:color w:val="000000"/>
          <w:sz w:val="28"/>
          <w:szCs w:val="28"/>
          <w:vertAlign w:val="subscript"/>
        </w:rPr>
        <w:t>d</w:t>
      </w:r>
      <w:r>
        <w:rPr>
          <w:color w:val="000000"/>
          <w:sz w:val="28"/>
          <w:szCs w:val="28"/>
        </w:rPr>
        <w:t xml:space="preserve"> </w:t>
      </w:r>
      <w:r>
        <w:rPr>
          <w:rFonts w:eastAsiaTheme="minorEastAsia"/>
          <w:color w:val="000000" w:themeColor="text1"/>
          <w:sz w:val="28"/>
          <w:szCs w:val="28"/>
        </w:rPr>
        <w:t>——</w:t>
      </w:r>
      <w:r>
        <w:rPr>
          <w:rFonts w:eastAsia="宋体"/>
          <w:color w:val="000000"/>
          <w:sz w:val="28"/>
          <w:szCs w:val="28"/>
        </w:rPr>
        <w:t>设计综合生活污水量（</w:t>
      </w:r>
      <w:r>
        <w:rPr>
          <w:color w:val="000000"/>
          <w:sz w:val="28"/>
          <w:szCs w:val="28"/>
        </w:rPr>
        <w:t>L/s</w:t>
      </w:r>
      <w:r>
        <w:rPr>
          <w:rFonts w:eastAsia="宋体"/>
          <w:color w:val="000000"/>
          <w:sz w:val="28"/>
          <w:szCs w:val="28"/>
        </w:rPr>
        <w:t>）</w:t>
      </w:r>
      <w:r>
        <w:rPr>
          <w:rFonts w:eastAsiaTheme="minorEastAsia"/>
          <w:color w:val="000000"/>
          <w:sz w:val="28"/>
          <w:szCs w:val="28"/>
        </w:rPr>
        <w:t>；</w:t>
      </w:r>
    </w:p>
    <w:p>
      <w:pPr>
        <w:pStyle w:val="30"/>
        <w:wordWrap w:val="0"/>
        <w:spacing w:line="360" w:lineRule="auto"/>
        <w:ind w:firstLine="845" w:firstLineChars="302"/>
        <w:rPr>
          <w:rFonts w:ascii="Times New Roman" w:hAnsi="Times New Roman" w:eastAsia="宋体"/>
          <w:color w:val="000000"/>
          <w:sz w:val="28"/>
          <w:szCs w:val="28"/>
        </w:rPr>
      </w:pPr>
      <w:r>
        <w:rPr>
          <w:rFonts w:ascii="Times New Roman" w:hAnsi="Times New Roman"/>
          <w:i/>
          <w:color w:val="000000"/>
          <w:sz w:val="28"/>
          <w:szCs w:val="28"/>
        </w:rPr>
        <w:t>Q</w:t>
      </w:r>
      <w:r>
        <w:rPr>
          <w:rFonts w:ascii="Times New Roman" w:hAnsi="Times New Roman"/>
          <w:color w:val="000000"/>
          <w:sz w:val="28"/>
          <w:szCs w:val="28"/>
          <w:vertAlign w:val="subscript"/>
        </w:rPr>
        <w:t>m</w:t>
      </w:r>
      <w:r>
        <w:rPr>
          <w:rFonts w:ascii="Times New Roman" w:hAnsi="Times New Roman"/>
          <w:color w:val="000000"/>
          <w:sz w:val="28"/>
          <w:szCs w:val="28"/>
        </w:rPr>
        <w:t xml:space="preserve"> </w:t>
      </w:r>
      <w:r>
        <w:rPr>
          <w:rFonts w:ascii="Times New Roman" w:hAnsi="Times New Roman" w:eastAsiaTheme="minorEastAsia"/>
          <w:color w:val="000000" w:themeColor="text1"/>
          <w:sz w:val="28"/>
          <w:szCs w:val="28"/>
        </w:rPr>
        <w:t>——</w:t>
      </w:r>
      <w:r>
        <w:rPr>
          <w:rFonts w:ascii="Times New Roman" w:hAnsi="Times New Roman" w:eastAsia="宋体"/>
          <w:color w:val="000000"/>
          <w:sz w:val="28"/>
          <w:szCs w:val="28"/>
        </w:rPr>
        <w:t>设计工业废水量（</w:t>
      </w:r>
      <w:r>
        <w:rPr>
          <w:rFonts w:ascii="Times New Roman" w:hAnsi="Times New Roman"/>
          <w:color w:val="000000"/>
          <w:sz w:val="28"/>
          <w:szCs w:val="28"/>
        </w:rPr>
        <w:t>L/s</w:t>
      </w:r>
      <w:r>
        <w:rPr>
          <w:rFonts w:ascii="Times New Roman" w:hAnsi="Times New Roman" w:eastAsia="宋体"/>
          <w:color w:val="000000"/>
          <w:sz w:val="28"/>
          <w:szCs w:val="28"/>
        </w:rPr>
        <w:t>）；</w:t>
      </w:r>
    </w:p>
    <w:p>
      <w:pPr>
        <w:spacing w:line="460" w:lineRule="atLeast"/>
        <w:ind w:firstLine="848" w:firstLineChars="303"/>
        <w:rPr>
          <w:rFonts w:eastAsiaTheme="minorEastAsia"/>
          <w:color w:val="000000"/>
          <w:sz w:val="28"/>
          <w:szCs w:val="28"/>
        </w:rPr>
      </w:pPr>
      <w:r>
        <w:rPr>
          <w:i/>
          <w:color w:val="000000"/>
          <w:sz w:val="28"/>
          <w:szCs w:val="28"/>
        </w:rPr>
        <w:t>Q</w:t>
      </w:r>
      <w:r>
        <w:rPr>
          <w:rFonts w:eastAsiaTheme="minorEastAsia"/>
          <w:color w:val="000000"/>
          <w:sz w:val="28"/>
          <w:szCs w:val="28"/>
          <w:vertAlign w:val="subscript"/>
        </w:rPr>
        <w:t>u</w:t>
      </w:r>
      <w:r>
        <w:rPr>
          <w:color w:val="000000"/>
          <w:sz w:val="28"/>
          <w:szCs w:val="28"/>
        </w:rPr>
        <w:t xml:space="preserve"> —</w:t>
      </w:r>
      <w:r>
        <w:rPr>
          <w:rFonts w:eastAsia="宋体"/>
          <w:color w:val="000000"/>
          <w:sz w:val="28"/>
          <w:szCs w:val="28"/>
        </w:rPr>
        <w:t>入渗地下水量（</w:t>
      </w:r>
      <w:r>
        <w:rPr>
          <w:color w:val="000000"/>
          <w:sz w:val="28"/>
          <w:szCs w:val="28"/>
        </w:rPr>
        <w:t>L/s</w:t>
      </w:r>
      <w:r>
        <w:rPr>
          <w:rFonts w:eastAsia="宋体"/>
          <w:color w:val="000000"/>
          <w:sz w:val="28"/>
          <w:szCs w:val="28"/>
        </w:rPr>
        <w:t>），</w:t>
      </w:r>
      <w:r>
        <w:rPr>
          <w:rFonts w:eastAsiaTheme="minorEastAsia"/>
          <w:color w:val="000000" w:themeColor="text1"/>
          <w:kern w:val="0"/>
          <w:sz w:val="28"/>
          <w:szCs w:val="28"/>
          <w:lang w:val="zh-CN"/>
        </w:rPr>
        <w:t>在地下水位较高地区，应考虑</w:t>
      </w:r>
      <w:r>
        <w:rPr>
          <w:rFonts w:eastAsiaTheme="minorEastAsia"/>
          <w:color w:val="000000"/>
          <w:sz w:val="28"/>
          <w:szCs w:val="28"/>
        </w:rPr>
        <w:t>；</w:t>
      </w:r>
    </w:p>
    <w:p>
      <w:pPr>
        <w:pStyle w:val="30"/>
        <w:wordWrap w:val="0"/>
        <w:spacing w:line="360" w:lineRule="auto"/>
        <w:ind w:left="1" w:firstLine="840" w:firstLineChars="300"/>
        <w:rPr>
          <w:rFonts w:ascii="Times New Roman" w:hAnsi="Times New Roman" w:eastAsiaTheme="minorEastAsia"/>
          <w:color w:val="000000" w:themeColor="text1"/>
          <w:sz w:val="28"/>
          <w:szCs w:val="28"/>
        </w:rPr>
      </w:pPr>
      <w:r>
        <w:rPr>
          <w:rFonts w:ascii="Times New Roman" w:hAnsi="Times New Roman" w:eastAsia="宋体"/>
          <w:i/>
          <w:color w:val="000000" w:themeColor="text1"/>
          <w:sz w:val="28"/>
          <w:szCs w:val="28"/>
        </w:rPr>
        <w:t>β</w:t>
      </w:r>
      <w:r>
        <w:rPr>
          <w:rFonts w:ascii="Times New Roman" w:hAnsi="Times New Roman" w:eastAsiaTheme="minorEastAsia"/>
          <w:color w:val="000000" w:themeColor="text1"/>
          <w:sz w:val="28"/>
          <w:szCs w:val="28"/>
        </w:rPr>
        <w:t>——安全系数，可取1.1～1.5。</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【条文说明】截流倍数计算法是一种基于合流制排水系统设计截流倍数的计算方法。由于雨水径流量和污水量并无直接的比例关系，因此，通过公式（5.1</w:t>
      </w:r>
      <w:r>
        <w:rPr>
          <w:rFonts w:hint="eastAsia" w:eastAsiaTheme="minorEastAsia"/>
          <w:color w:val="000000" w:themeColor="text1"/>
          <w:sz w:val="28"/>
          <w:szCs w:val="28"/>
        </w:rPr>
        <w:t>4</w:t>
      </w:r>
      <w:r>
        <w:rPr>
          <w:rFonts w:eastAsiaTheme="minorEastAsia"/>
          <w:color w:val="000000" w:themeColor="text1"/>
          <w:sz w:val="28"/>
          <w:szCs w:val="28"/>
        </w:rPr>
        <w:t>.3）得到的调蓄量不能直接反映合流制排水系统中溢流污水被截流的程度。一些发达国家常用的指标是合流污水的截流率，即截流量占降雨量的百分比。上海等地曾通过统计总结了当地截流倍数和合流污水截流率直接的关系，并用于调蓄工程的设计。</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截流倍数计算法是一种简化计算方法，该方法建立在降雨事件为均匀降雨的基础上，且假设调蓄工程的运行时间不小于发生溢流的降雨历时，以及调蓄工程的放空时间小于两场降雨的间隔，而实际情况很难满足上述两种假设。因此，以截流倍数计算法得到的调蓄量偏小，计算得到的调蓄量在实际运行过程中发挥的效益小于设定的调蓄效益，在设计中应乘以安全系数</w:t>
      </w:r>
      <w:r>
        <w:rPr>
          <w:rFonts w:eastAsiaTheme="minorEastAsia"/>
          <w:i/>
          <w:color w:val="000000" w:themeColor="text1"/>
          <w:sz w:val="28"/>
          <w:szCs w:val="28"/>
        </w:rPr>
        <w:t>β</w:t>
      </w:r>
      <w:r>
        <w:rPr>
          <w:rFonts w:eastAsiaTheme="minorEastAsia"/>
          <w:color w:val="000000" w:themeColor="text1"/>
          <w:sz w:val="28"/>
          <w:szCs w:val="28"/>
        </w:rPr>
        <w:t>，根据上海等地工程实践，可取1.1～1.5。</w:t>
      </w:r>
    </w:p>
    <w:p>
      <w:pPr>
        <w:pStyle w:val="30"/>
        <w:numPr>
          <w:ilvl w:val="0"/>
          <w:numId w:val="2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当调蓄设施用于源头径流总量和污染控制及分流制排水系统径流污染控制时，调蓄量的确定可按下式计算：</w:t>
      </w:r>
    </w:p>
    <w:p>
      <w:pPr>
        <w:pStyle w:val="30"/>
        <w:spacing w:line="360" w:lineRule="auto"/>
        <w:ind w:left="1" w:firstLine="0" w:firstLineChars="0"/>
        <w:jc w:val="right"/>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V</w:t>
      </w:r>
      <w:r>
        <w:rPr>
          <w:rFonts w:ascii="Times New Roman" w:hAnsi="Times New Roman" w:eastAsiaTheme="minorEastAsia"/>
          <w:color w:val="000000" w:themeColor="text1"/>
          <w:sz w:val="28"/>
          <w:szCs w:val="28"/>
        </w:rPr>
        <w:t>=10</w:t>
      </w:r>
      <w:r>
        <w:rPr>
          <w:rFonts w:ascii="Times New Roman" w:hAnsi="Times New Roman" w:eastAsiaTheme="minorEastAsia"/>
          <w:i/>
          <w:color w:val="000000" w:themeColor="text1"/>
          <w:sz w:val="28"/>
          <w:szCs w:val="28"/>
        </w:rPr>
        <w:t>DFψβ</w:t>
      </w:r>
      <w:r>
        <w:rPr>
          <w:rFonts w:ascii="Times New Roman" w:hAnsi="Times New Roman" w:eastAsiaTheme="minorEastAsia"/>
          <w:i/>
          <w:color w:val="000000" w:themeColor="text1"/>
          <w:sz w:val="28"/>
          <w:szCs w:val="28"/>
        </w:rPr>
        <w:tab/>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 xml:space="preserve">          </w:t>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（5.1</w:t>
      </w:r>
      <w:r>
        <w:rPr>
          <w:rFonts w:hint="eastAsia" w:ascii="Times New Roman" w:hAnsi="Times New Roman" w:eastAsiaTheme="minorEastAsia"/>
          <w:color w:val="000000" w:themeColor="text1"/>
          <w:sz w:val="28"/>
          <w:szCs w:val="28"/>
        </w:rPr>
        <w:t>4</w:t>
      </w:r>
      <w:r>
        <w:rPr>
          <w:rFonts w:ascii="Times New Roman" w:hAnsi="Times New Roman" w:eastAsiaTheme="minorEastAsia"/>
          <w:color w:val="000000" w:themeColor="text1"/>
          <w:sz w:val="28"/>
          <w:szCs w:val="28"/>
        </w:rPr>
        <w:t>.4）</w:t>
      </w:r>
    </w:p>
    <w:p>
      <w:pPr>
        <w:pStyle w:val="30"/>
        <w:wordWrap w:val="0"/>
        <w:spacing w:line="360" w:lineRule="auto"/>
        <w:ind w:left="1"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式中：</w:t>
      </w:r>
      <w:r>
        <w:rPr>
          <w:rFonts w:ascii="Times New Roman" w:hAnsi="Times New Roman" w:eastAsiaTheme="minorEastAsia"/>
          <w:i/>
          <w:color w:val="000000" w:themeColor="text1"/>
          <w:sz w:val="28"/>
          <w:szCs w:val="28"/>
        </w:rPr>
        <w:t>V</w:t>
      </w:r>
      <w:r>
        <w:rPr>
          <w:rFonts w:ascii="Times New Roman" w:hAnsi="Times New Roman" w:eastAsiaTheme="minorEastAsia"/>
          <w:color w:val="000000" w:themeColor="text1"/>
          <w:sz w:val="28"/>
          <w:szCs w:val="28"/>
        </w:rPr>
        <w:t>——调蓄量或调蓄设施有效容积（m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w:t>
      </w:r>
    </w:p>
    <w:p>
      <w:pPr>
        <w:pStyle w:val="30"/>
        <w:wordWrap w:val="0"/>
        <w:spacing w:line="360" w:lineRule="auto"/>
        <w:ind w:left="1680" w:leftChars="400" w:hanging="840" w:hangingChars="300"/>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D</w:t>
      </w:r>
      <w:r>
        <w:rPr>
          <w:rFonts w:ascii="Times New Roman" w:hAnsi="Times New Roman" w:eastAsiaTheme="minorEastAsia"/>
          <w:color w:val="000000" w:themeColor="text1"/>
          <w:sz w:val="28"/>
          <w:szCs w:val="28"/>
        </w:rPr>
        <w:t>——单位面积调蓄深度（mm），源头雨水调蓄工程可按年径流总量控制率对应的单位面积调蓄深度进行计算；分流制排水系统径流污染控制的雨水调蓄工程可取4mm～8mm；</w:t>
      </w:r>
    </w:p>
    <w:p>
      <w:pPr>
        <w:pStyle w:val="30"/>
        <w:wordWrap w:val="0"/>
        <w:spacing w:line="360" w:lineRule="auto"/>
        <w:ind w:left="340" w:firstLine="652" w:firstLineChars="233"/>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F</w:t>
      </w:r>
      <w:r>
        <w:rPr>
          <w:rFonts w:ascii="Times New Roman" w:hAnsi="Times New Roman" w:eastAsiaTheme="minorEastAsia"/>
          <w:color w:val="000000" w:themeColor="text1"/>
          <w:sz w:val="28"/>
          <w:szCs w:val="28"/>
        </w:rPr>
        <w:t>——汇水面积（hm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w:t>
      </w:r>
    </w:p>
    <w:p>
      <w:pPr>
        <w:pStyle w:val="30"/>
        <w:wordWrap w:val="0"/>
        <w:spacing w:line="360" w:lineRule="auto"/>
        <w:ind w:left="340" w:firstLine="652" w:firstLineChars="233"/>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Ψ</w:t>
      </w:r>
      <w:r>
        <w:rPr>
          <w:rFonts w:ascii="Times New Roman" w:hAnsi="Times New Roman" w:eastAsiaTheme="minorEastAsia"/>
          <w:color w:val="000000" w:themeColor="text1"/>
          <w:sz w:val="28"/>
          <w:szCs w:val="28"/>
        </w:rPr>
        <w:t>——径流系数；</w:t>
      </w:r>
    </w:p>
    <w:p>
      <w:pPr>
        <w:pStyle w:val="30"/>
        <w:wordWrap w:val="0"/>
        <w:spacing w:line="360" w:lineRule="auto"/>
        <w:ind w:left="340" w:firstLine="652" w:firstLineChars="233"/>
        <w:rPr>
          <w:rFonts w:ascii="Times New Roman" w:hAnsi="Times New Roman" w:eastAsiaTheme="minorEastAsia"/>
          <w:color w:val="000000" w:themeColor="text1"/>
          <w:sz w:val="28"/>
          <w:szCs w:val="28"/>
        </w:rPr>
      </w:pPr>
      <w:r>
        <w:rPr>
          <w:rFonts w:ascii="Times New Roman" w:hAnsi="Times New Roman" w:eastAsia="宋体"/>
          <w:i/>
          <w:color w:val="000000" w:themeColor="text1"/>
          <w:sz w:val="28"/>
          <w:szCs w:val="28"/>
        </w:rPr>
        <w:t>β</w:t>
      </w:r>
      <w:r>
        <w:rPr>
          <w:rFonts w:ascii="Times New Roman" w:hAnsi="Times New Roman" w:eastAsiaTheme="minorEastAsia"/>
          <w:color w:val="000000" w:themeColor="text1"/>
          <w:sz w:val="28"/>
          <w:szCs w:val="28"/>
        </w:rPr>
        <w:t>——安全系数，可取1.1～1.5。</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用于源头径流总量和污染控制的雨水调蓄工程，其调蓄量可按当地年径流总量控制率对应的单位面积调蓄深度计算后确定。住房城乡建设部发布的“海绵城市建设技术指南”中列举了部分城市不同年径流总量控制率对应的单位面积调蓄深度，在缺乏相关资料时，可作为参考。</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用于分流制排水系统径流污染控制的雨水调蓄工程，其调蓄量的确定应综合考虑当地降雨特征、受纳水体的环境容量、降雨初期的雨水水质水量特征、排水系统服务面积和下游污水处理系统的受纳能力等因素。国外有研究认为，1h雨量达到12.7mm的降雨能冲刷掉90%以上的地表污染物；同济大学对上海芙蓉江、水城路等地区的雨水地面径流研究表明，在降雨量达到10mm时，径流水质已基本稳定；国内还有研究认为一般控制量在6mm~8mm左右可控制约60%~80%的污染量。因此，结合我国实际情况，调蓄量可取4mm~8mm，地面清洁程度较差的区域宜取上限。</w:t>
      </w:r>
    </w:p>
    <w:p>
      <w:pPr>
        <w:pStyle w:val="30"/>
        <w:numPr>
          <w:ilvl w:val="0"/>
          <w:numId w:val="2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当调蓄设施用于削减峰值流量时，调蓄量的确定应符合下列规定：</w:t>
      </w:r>
    </w:p>
    <w:p>
      <w:pPr>
        <w:pStyle w:val="30"/>
        <w:wordWrap w:val="0"/>
        <w:spacing w:line="360" w:lineRule="auto"/>
        <w:ind w:firstLine="568" w:firstLineChars="20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 xml:space="preserve">1 </w:t>
      </w:r>
      <w:r>
        <w:rPr>
          <w:rFonts w:ascii="Times New Roman" w:hAnsi="Times New Roman" w:eastAsiaTheme="minorEastAsia"/>
          <w:color w:val="000000" w:themeColor="text1"/>
          <w:sz w:val="28"/>
          <w:szCs w:val="28"/>
        </w:rPr>
        <w:t>应根据设计标准，通过比较雨水调蓄工程上下游的流量过程线，按下式计算：</w:t>
      </w:r>
    </w:p>
    <w:p>
      <w:pPr>
        <w:wordWrap w:val="0"/>
        <w:spacing w:line="360" w:lineRule="auto"/>
        <w:ind w:firstLine="565" w:firstLineChars="202"/>
        <w:jc w:val="right"/>
        <w:rPr>
          <w:rFonts w:eastAsiaTheme="minorEastAsia"/>
          <w:color w:val="000000" w:themeColor="text1"/>
          <w:sz w:val="28"/>
          <w:szCs w:val="28"/>
        </w:rPr>
      </w:pPr>
      <w:r>
        <w:rPr>
          <w:rFonts w:eastAsiaTheme="minorEastAsia"/>
          <w:color w:val="000000" w:themeColor="text1"/>
          <w:sz w:val="28"/>
          <w:szCs w:val="28"/>
        </w:rPr>
        <w:t xml:space="preserve">        </w:t>
      </w:r>
      <w:r>
        <w:rPr>
          <w:position w:val="-10"/>
          <w:sz w:val="28"/>
          <w:szCs w:val="28"/>
        </w:rPr>
        <w:object>
          <v:shape id="_x0000_i1031" o:spt="75" type="#_x0000_t75" style="height:23.4pt;width:150.55pt;" o:ole="t" filled="f" o:preferrelative="t" stroked="f" coordsize="21600,21600">
            <v:path/>
            <v:fill on="f" focussize="0,0"/>
            <v:stroke on="f" joinstyle="miter"/>
            <v:imagedata r:id="rId24" o:title=""/>
            <o:lock v:ext="edit" aspectratio="t"/>
            <w10:wrap type="none"/>
            <w10:anchorlock/>
          </v:shape>
          <o:OLEObject Type="Embed" ProgID="Equation.3" ShapeID="_x0000_i1031" DrawAspect="Content" ObjectID="_1468075731" r:id="rId23">
            <o:LockedField>false</o:LockedField>
          </o:OLEObject>
        </w:object>
      </w:r>
      <w:r>
        <w:rPr>
          <w:rFonts w:eastAsiaTheme="minorEastAsia"/>
          <w:color w:val="000000" w:themeColor="text1"/>
          <w:sz w:val="28"/>
          <w:szCs w:val="28"/>
        </w:rPr>
        <w:t xml:space="preserve">          (5.1</w:t>
      </w:r>
      <w:r>
        <w:rPr>
          <w:rFonts w:hint="eastAsia" w:eastAsiaTheme="minorEastAsia"/>
          <w:color w:val="000000" w:themeColor="text1"/>
          <w:sz w:val="28"/>
          <w:szCs w:val="28"/>
        </w:rPr>
        <w:t>4</w:t>
      </w:r>
      <w:r>
        <w:rPr>
          <w:rFonts w:eastAsiaTheme="minorEastAsia"/>
          <w:color w:val="000000" w:themeColor="text1"/>
          <w:sz w:val="28"/>
          <w:szCs w:val="28"/>
        </w:rPr>
        <w:t>.5-1)</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式中：</w:t>
      </w:r>
      <w:r>
        <w:rPr>
          <w:rFonts w:ascii="Times New Roman" w:hAnsi="Times New Roman" w:eastAsiaTheme="minorEastAsia"/>
          <w:i/>
          <w:color w:val="000000" w:themeColor="text1"/>
          <w:sz w:val="28"/>
          <w:szCs w:val="28"/>
        </w:rPr>
        <w:t>V</w:t>
      </w:r>
      <w:r>
        <w:rPr>
          <w:rFonts w:ascii="Times New Roman" w:hAnsi="Times New Roman" w:eastAsiaTheme="minorEastAsia"/>
          <w:color w:val="000000" w:themeColor="text1"/>
          <w:sz w:val="28"/>
          <w:szCs w:val="28"/>
        </w:rPr>
        <w:t>——调蓄量或调蓄设施有效容积（m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w:t>
      </w:r>
    </w:p>
    <w:p>
      <w:pPr>
        <w:wordWrap w:val="0"/>
        <w:spacing w:line="360" w:lineRule="auto"/>
        <w:ind w:firstLine="837" w:firstLineChars="299"/>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i</w:t>
      </w:r>
      <w:r>
        <w:rPr>
          <w:rFonts w:eastAsiaTheme="minorEastAsia"/>
          <w:color w:val="000000" w:themeColor="text1"/>
          <w:sz w:val="28"/>
          <w:szCs w:val="28"/>
        </w:rPr>
        <w:tab/>
      </w:r>
      <w:r>
        <w:rPr>
          <w:rFonts w:eastAsiaTheme="minorEastAsia"/>
          <w:color w:val="000000" w:themeColor="text1"/>
          <w:sz w:val="28"/>
          <w:szCs w:val="28"/>
        </w:rPr>
        <w:t>——调蓄设施上游设计流量（m</w:t>
      </w:r>
      <w:r>
        <w:rPr>
          <w:rFonts w:eastAsiaTheme="minorEastAsia"/>
          <w:color w:val="000000" w:themeColor="text1"/>
          <w:sz w:val="28"/>
          <w:szCs w:val="28"/>
          <w:vertAlign w:val="superscript"/>
        </w:rPr>
        <w:t>3</w:t>
      </w:r>
      <w:r>
        <w:rPr>
          <w:rFonts w:eastAsiaTheme="minorEastAsia"/>
          <w:color w:val="000000" w:themeColor="text1"/>
          <w:sz w:val="28"/>
          <w:szCs w:val="28"/>
        </w:rPr>
        <w:t>/s）；</w:t>
      </w:r>
    </w:p>
    <w:p>
      <w:pPr>
        <w:wordWrap w:val="0"/>
        <w:spacing w:line="360" w:lineRule="auto"/>
        <w:ind w:firstLine="837" w:firstLineChars="299"/>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o</w:t>
      </w:r>
      <w:r>
        <w:rPr>
          <w:rFonts w:eastAsiaTheme="minorEastAsia"/>
          <w:color w:val="000000" w:themeColor="text1"/>
          <w:sz w:val="28"/>
          <w:szCs w:val="28"/>
        </w:rPr>
        <w:t>——</w:t>
      </w:r>
      <w:r>
        <w:rPr>
          <w:rFonts w:eastAsiaTheme="minorEastAsia"/>
          <w:color w:val="000000" w:themeColor="text1"/>
          <w:sz w:val="28"/>
          <w:szCs w:val="28"/>
        </w:rPr>
        <w:tab/>
      </w:r>
      <w:r>
        <w:rPr>
          <w:rFonts w:eastAsiaTheme="minorEastAsia"/>
          <w:color w:val="000000" w:themeColor="text1"/>
          <w:sz w:val="28"/>
          <w:szCs w:val="28"/>
        </w:rPr>
        <w:t>调蓄设施下游设计流量（m</w:t>
      </w:r>
      <w:r>
        <w:rPr>
          <w:rFonts w:eastAsiaTheme="minorEastAsia"/>
          <w:color w:val="000000" w:themeColor="text1"/>
          <w:sz w:val="28"/>
          <w:szCs w:val="28"/>
          <w:vertAlign w:val="superscript"/>
        </w:rPr>
        <w:t>3</w:t>
      </w:r>
      <w:r>
        <w:rPr>
          <w:rFonts w:eastAsiaTheme="minorEastAsia"/>
          <w:color w:val="000000" w:themeColor="text1"/>
          <w:sz w:val="28"/>
          <w:szCs w:val="28"/>
        </w:rPr>
        <w:t>/s）；</w:t>
      </w:r>
    </w:p>
    <w:p>
      <w:pPr>
        <w:wordWrap w:val="0"/>
        <w:spacing w:line="360" w:lineRule="auto"/>
        <w:ind w:firstLine="837" w:firstLineChars="299"/>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rPr>
        <w:t>——</w:t>
      </w:r>
      <w:r>
        <w:rPr>
          <w:rFonts w:eastAsiaTheme="minorEastAsia"/>
          <w:color w:val="000000" w:themeColor="text1"/>
          <w:sz w:val="28"/>
          <w:szCs w:val="28"/>
        </w:rPr>
        <w:tab/>
      </w:r>
      <w:r>
        <w:rPr>
          <w:rFonts w:eastAsiaTheme="minorEastAsia"/>
          <w:color w:val="000000" w:themeColor="text1"/>
          <w:sz w:val="28"/>
          <w:szCs w:val="28"/>
        </w:rPr>
        <w:t>降雨历时（min）。</w:t>
      </w:r>
    </w:p>
    <w:p>
      <w:pPr>
        <w:pStyle w:val="30"/>
        <w:wordWrap/>
        <w:spacing w:line="360" w:lineRule="auto"/>
        <w:ind w:firstLine="0" w:firstLineChars="0"/>
        <w:jc w:val="left"/>
        <w:rPr>
          <w:rFonts w:ascii="Times New Roman" w:hAnsi="Times New Roman" w:eastAsiaTheme="minorEastAsia"/>
          <w:color w:val="000000" w:themeColor="text1"/>
          <w:sz w:val="28"/>
          <w:szCs w:val="28"/>
        </w:rPr>
      </w:pPr>
      <w:r>
        <w:rPr>
          <w:rFonts w:hint="eastAsia" w:ascii="Times New Roman" w:hAnsi="Times New Roman" w:eastAsiaTheme="minorEastAsia"/>
          <w:b/>
          <w:color w:val="000000" w:themeColor="text1"/>
          <w:sz w:val="28"/>
          <w:szCs w:val="28"/>
        </w:rPr>
        <w:t xml:space="preserve">    </w:t>
      </w: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 xml:space="preserve"> 当缺乏上下游流量过程线资料时，可采用脱过系数法，按下式计算：</w:t>
      </w:r>
    </w:p>
    <w:p>
      <w:pPr>
        <w:snapToGrid w:val="0"/>
        <w:spacing w:line="360" w:lineRule="auto"/>
        <w:jc w:val="right"/>
        <w:rPr>
          <w:rFonts w:eastAsiaTheme="minorEastAsia"/>
          <w:color w:val="000000" w:themeColor="text1"/>
          <w:sz w:val="28"/>
          <w:szCs w:val="28"/>
        </w:rPr>
      </w:pPr>
      <w:r>
        <w:rPr>
          <w:rFonts w:eastAsiaTheme="minorEastAsia"/>
          <w:color w:val="000000" w:themeColor="text1"/>
          <w:sz w:val="28"/>
          <w:szCs w:val="28"/>
        </w:rPr>
        <w:t xml:space="preserve">        </w:t>
      </w:r>
      <w:r>
        <w:rPr>
          <w:position w:val="-28"/>
          <w:sz w:val="28"/>
          <w:szCs w:val="28"/>
        </w:rPr>
        <w:object>
          <v:shape id="_x0000_i1032" o:spt="75" type="#_x0000_t75" style="height:43.95pt;width:342.25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2" r:id="rId25">
            <o:LockedField>false</o:LockedField>
          </o:OLEObject>
        </w:object>
      </w:r>
      <w:r>
        <w:rPr>
          <w:rFonts w:eastAsiaTheme="minorEastAsia"/>
          <w:color w:val="000000" w:themeColor="text1"/>
          <w:sz w:val="28"/>
          <w:szCs w:val="28"/>
        </w:rPr>
        <w:t>(5.1</w:t>
      </w:r>
      <w:r>
        <w:rPr>
          <w:rFonts w:hint="eastAsia" w:eastAsiaTheme="minorEastAsia"/>
          <w:color w:val="000000" w:themeColor="text1"/>
          <w:sz w:val="28"/>
          <w:szCs w:val="28"/>
        </w:rPr>
        <w:t>4</w:t>
      </w:r>
      <w:r>
        <w:rPr>
          <w:rFonts w:eastAsiaTheme="minorEastAsia"/>
          <w:color w:val="000000" w:themeColor="text1"/>
          <w:sz w:val="28"/>
          <w:szCs w:val="28"/>
        </w:rPr>
        <w:t>.5-2)</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式中：</w:t>
      </w:r>
      <w:r>
        <w:rPr>
          <w:rFonts w:ascii="Times New Roman" w:hAnsi="Times New Roman" w:eastAsiaTheme="minorEastAsia"/>
          <w:i/>
          <w:color w:val="000000" w:themeColor="text1"/>
          <w:sz w:val="28"/>
          <w:szCs w:val="28"/>
        </w:rPr>
        <w:t>V</w:t>
      </w:r>
      <w:r>
        <w:rPr>
          <w:rFonts w:ascii="Times New Roman" w:hAnsi="Times New Roman" w:eastAsiaTheme="minorEastAsia"/>
          <w:color w:val="000000" w:themeColor="text1"/>
          <w:sz w:val="28"/>
          <w:szCs w:val="28"/>
        </w:rPr>
        <w:t>——调蓄量或调蓄设施有效容积（m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w:t>
      </w:r>
    </w:p>
    <w:p>
      <w:pPr>
        <w:pStyle w:val="30"/>
        <w:wordWrap w:val="0"/>
        <w:spacing w:line="360" w:lineRule="auto"/>
        <w:ind w:firstLine="848" w:firstLineChars="303"/>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b</w:t>
      </w:r>
      <w:r>
        <w:rPr>
          <w:rFonts w:ascii="Times New Roman" w:hAnsi="Times New Roman" w:eastAsiaTheme="minorEastAsia"/>
          <w:color w:val="000000" w:themeColor="text1"/>
          <w:sz w:val="28"/>
          <w:szCs w:val="28"/>
        </w:rPr>
        <w:t>——暴雨强度公式参数；</w:t>
      </w:r>
    </w:p>
    <w:p>
      <w:pPr>
        <w:pStyle w:val="30"/>
        <w:wordWrap w:val="0"/>
        <w:spacing w:line="360" w:lineRule="auto"/>
        <w:ind w:firstLine="848" w:firstLineChars="303"/>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n</w:t>
      </w:r>
      <w:r>
        <w:rPr>
          <w:rFonts w:ascii="Times New Roman" w:hAnsi="Times New Roman" w:eastAsiaTheme="minorEastAsia"/>
          <w:color w:val="000000" w:themeColor="text1"/>
          <w:sz w:val="28"/>
          <w:szCs w:val="28"/>
        </w:rPr>
        <w:t>——暴雨强度公式参数；</w:t>
      </w:r>
    </w:p>
    <w:p>
      <w:pPr>
        <w:pStyle w:val="30"/>
        <w:wordWrap w:val="0"/>
        <w:spacing w:line="360" w:lineRule="auto"/>
        <w:ind w:firstLine="848" w:firstLineChars="303"/>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t</w:t>
      </w:r>
      <w:r>
        <w:rPr>
          <w:rFonts w:ascii="Times New Roman" w:hAnsi="Times New Roman" w:eastAsiaTheme="minorEastAsia"/>
          <w:color w:val="000000" w:themeColor="text1"/>
          <w:sz w:val="28"/>
          <w:szCs w:val="28"/>
        </w:rPr>
        <w:t>——降雨历时（min）；</w:t>
      </w:r>
    </w:p>
    <w:p>
      <w:pPr>
        <w:pStyle w:val="30"/>
        <w:wordWrap w:val="0"/>
        <w:spacing w:line="360" w:lineRule="auto"/>
        <w:ind w:left="1701" w:leftChars="406" w:hanging="848" w:hangingChars="303"/>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α</w:t>
      </w:r>
      <w:r>
        <w:rPr>
          <w:rFonts w:ascii="Times New Roman" w:hAnsi="Times New Roman" w:eastAsiaTheme="minorEastAsia"/>
          <w:color w:val="000000" w:themeColor="text1"/>
          <w:sz w:val="28"/>
          <w:szCs w:val="28"/>
        </w:rPr>
        <w:t>——脱过系数，取值为调蓄设施下游和上游设计流量之比。选取脱过系数时，调蓄设施上游的设计流量，应根据其上游服务面积的雨水设计流量确定；调蓄设施下游的设计流量，不应超过其下游排水设施的最大受纳能力；降雨历时不应大于编制暴雨强度公式时采纳的最大降雨历时；</w:t>
      </w:r>
    </w:p>
    <w:p>
      <w:pPr>
        <w:pStyle w:val="30"/>
        <w:wordWrap w:val="0"/>
        <w:spacing w:line="360" w:lineRule="auto"/>
        <w:ind w:firstLine="848" w:firstLineChars="303"/>
        <w:rPr>
          <w:rFonts w:ascii="Times New Roman" w:hAnsi="Times New Roman" w:eastAsiaTheme="minorEastAsia"/>
          <w:color w:val="000000" w:themeColor="text1"/>
          <w:sz w:val="28"/>
          <w:szCs w:val="28"/>
        </w:rPr>
      </w:pPr>
      <w:r>
        <w:rPr>
          <w:rFonts w:ascii="Times New Roman" w:hAnsi="Times New Roman" w:eastAsiaTheme="minorEastAsia"/>
          <w:i/>
          <w:color w:val="000000" w:themeColor="text1"/>
          <w:sz w:val="28"/>
          <w:szCs w:val="28"/>
        </w:rPr>
        <w:t>Q</w:t>
      </w:r>
      <w:r>
        <w:rPr>
          <w:rFonts w:ascii="Times New Roman" w:hAnsi="Times New Roman" w:eastAsiaTheme="minorEastAsia"/>
          <w:color w:val="000000" w:themeColor="text1"/>
          <w:sz w:val="28"/>
          <w:szCs w:val="28"/>
          <w:vertAlign w:val="subscript"/>
        </w:rPr>
        <w:t>i</w:t>
      </w:r>
      <w:r>
        <w:rPr>
          <w:rFonts w:ascii="Times New Roman" w:hAnsi="Times New Roman" w:eastAsiaTheme="minorEastAsia"/>
          <w:color w:val="000000" w:themeColor="text1"/>
          <w:sz w:val="28"/>
          <w:szCs w:val="28"/>
        </w:rPr>
        <w:t>——</w:t>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调蓄设施上游设计流量（m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/s）。</w:t>
      </w:r>
    </w:p>
    <w:p>
      <w:pPr>
        <w:pStyle w:val="30"/>
        <w:wordWrap w:val="0"/>
        <w:spacing w:line="360" w:lineRule="auto"/>
        <w:ind w:firstLine="568" w:firstLineChars="20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3</w:t>
      </w:r>
      <w:r>
        <w:rPr>
          <w:rFonts w:hint="eastAsia" w:ascii="Times New Roman" w:hAnsi="Times New Roman" w:eastAsiaTheme="minorEastAsia"/>
          <w:b/>
          <w:color w:val="000000" w:themeColor="text1"/>
          <w:sz w:val="28"/>
          <w:szCs w:val="28"/>
        </w:rPr>
        <w:t xml:space="preserve"> </w:t>
      </w:r>
      <w:r>
        <w:rPr>
          <w:rFonts w:ascii="Times New Roman" w:hAnsi="Times New Roman" w:eastAsiaTheme="minorEastAsia"/>
          <w:color w:val="000000" w:themeColor="text1"/>
          <w:sz w:val="28"/>
          <w:szCs w:val="28"/>
        </w:rPr>
        <w:t>设计降雨历时，应符合下列规定：</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1）宜采用3h~24h较长降雨历时进行试算复核，并应采用适合当地的设计雨型；</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2）当缺乏当地雨型数据时，可采用附近地区的资料，也可采用当地具有代表性的一场暴雨的降雨历程；</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3）应与当地其他用于内涝防治工程设计的降雨历时一致；</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4）应与当地用于内涝防治设计重现期校核的降雨历时一致。</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公式（5.14.5-1）是基于水流的连续性方差，通过在不同设计暴雨重现期条件下，计算入流和出流过程线确定所需调蓄量的基本理论公式。其中入流过程线根据设计标准计算确定，设计标准可以是当地的内涝防治设计重现期、雨水管渠设计重现期或者径流量控制标准；出流过程线是按调蓄池下游系统受纳能力确定的。式中的降雨历时t指设计降雨过程的总持续时间，应与计算暴雨强度时的集水时间加以区别。描述式中的入流和出流过程线</w:t>
      </w:r>
      <w:r>
        <w:rPr>
          <w:rFonts w:eastAsiaTheme="minorEastAsia"/>
          <w:i/>
          <w:color w:val="000000" w:themeColor="text1"/>
          <w:sz w:val="28"/>
          <w:szCs w:val="28"/>
        </w:rPr>
        <w:t>Q</w:t>
      </w:r>
      <w:r>
        <w:rPr>
          <w:rFonts w:eastAsiaTheme="minorEastAsia"/>
          <w:color w:val="000000" w:themeColor="text1"/>
          <w:sz w:val="28"/>
          <w:szCs w:val="28"/>
        </w:rPr>
        <w:t>i和</w:t>
      </w:r>
      <w:r>
        <w:rPr>
          <w:rFonts w:eastAsiaTheme="minorEastAsia"/>
          <w:i/>
          <w:color w:val="000000" w:themeColor="text1"/>
          <w:sz w:val="28"/>
          <w:szCs w:val="28"/>
        </w:rPr>
        <w:t>Q</w:t>
      </w:r>
      <w:r>
        <w:rPr>
          <w:rFonts w:eastAsiaTheme="minorEastAsia"/>
          <w:color w:val="000000" w:themeColor="text1"/>
          <w:sz w:val="28"/>
          <w:szCs w:val="28"/>
        </w:rPr>
        <w:t>o时，需以下基本资料：</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 xml:space="preserve">（1）调蓄工程具有确定的上下游边界条件； </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 xml:space="preserve">（2）掌握足够的降雨资料。特别是较长历时的降雨资料； </w:t>
      </w:r>
    </w:p>
    <w:p>
      <w:pPr>
        <w:wordWrap w:val="0"/>
        <w:spacing w:line="360" w:lineRule="auto"/>
        <w:ind w:left="105" w:leftChars="50" w:firstLine="420" w:firstLineChars="150"/>
        <w:rPr>
          <w:rFonts w:eastAsiaTheme="minorEastAsia"/>
          <w:color w:val="000000" w:themeColor="text1"/>
          <w:sz w:val="28"/>
          <w:szCs w:val="28"/>
        </w:rPr>
      </w:pPr>
      <w:r>
        <w:rPr>
          <w:rFonts w:eastAsiaTheme="minorEastAsia"/>
          <w:color w:val="000000" w:themeColor="text1"/>
          <w:sz w:val="28"/>
          <w:szCs w:val="28"/>
        </w:rPr>
        <w:t>（3） 掌握足够的下垫面条件数据。如径流系数、土壤渗透系数、不透水面积所占比例等，用于计算汇水区域内的产流和汇流过程；</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（4）调蓄设施的形式和各部位尺寸。用于计算调蓄设施的出口流量随随时间和设施内水深等因素的变化过程。</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此外，</w:t>
      </w:r>
      <w:r>
        <w:rPr>
          <w:rFonts w:eastAsiaTheme="minorEastAsia"/>
          <w:i/>
          <w:color w:val="000000" w:themeColor="text1"/>
          <w:sz w:val="28"/>
          <w:szCs w:val="28"/>
        </w:rPr>
        <w:t>Q</w:t>
      </w:r>
      <w:r>
        <w:rPr>
          <w:rFonts w:eastAsiaTheme="minorEastAsia"/>
          <w:color w:val="000000" w:themeColor="text1"/>
          <w:sz w:val="28"/>
          <w:szCs w:val="28"/>
          <w:vertAlign w:val="subscript"/>
        </w:rPr>
        <w:t>o</w:t>
      </w:r>
      <w:r>
        <w:rPr>
          <w:rFonts w:eastAsiaTheme="minorEastAsia"/>
          <w:color w:val="000000" w:themeColor="text1"/>
          <w:sz w:val="28"/>
          <w:szCs w:val="28"/>
        </w:rPr>
        <w:t>的取值不应超过区域开发前相同设计重现期下的雨水峰值流量和调蓄工程下游的受纳能力。</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式（5.14.5-1）所需的基础资料较多，且所得的调蓄设施有效容积需根据试算结果不断修正，以满足设计要求。当汇水区域面积较小时，可对调蓄设施的入流和出流过程进行适当简化。</w:t>
      </w:r>
    </w:p>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美国联邦政府开发的FAA法是一种常见的简化方法，即：</w:t>
      </w:r>
    </w:p>
    <w:p>
      <w:pPr>
        <w:wordWrap w:val="0"/>
        <w:spacing w:line="360" w:lineRule="auto"/>
        <w:ind w:firstLine="565" w:firstLineChars="202"/>
        <w:jc w:val="right"/>
        <w:rPr>
          <w:rFonts w:eastAsiaTheme="minorEastAsia"/>
          <w:color w:val="000000" w:themeColor="text1"/>
          <w:sz w:val="28"/>
          <w:szCs w:val="28"/>
        </w:rPr>
      </w:pP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i/>
          <w:color w:val="000000" w:themeColor="text1"/>
          <w:sz w:val="28"/>
          <w:szCs w:val="28"/>
        </w:rPr>
        <w:t>V</w:t>
      </w:r>
      <w:r>
        <w:rPr>
          <w:rFonts w:eastAsiaTheme="minorEastAsia"/>
          <w:color w:val="000000" w:themeColor="text1"/>
          <w:sz w:val="28"/>
          <w:szCs w:val="28"/>
        </w:rPr>
        <w:t>=(</w:t>
      </w:r>
      <w:r>
        <w:rPr>
          <w:rFonts w:eastAsiaTheme="minorEastAsia"/>
          <w:i/>
          <w:color w:val="000000" w:themeColor="text1"/>
          <w:sz w:val="28"/>
          <w:szCs w:val="28"/>
        </w:rPr>
        <w:t>Q</w:t>
      </w:r>
      <w:r>
        <w:rPr>
          <w:rFonts w:eastAsiaTheme="minorEastAsia"/>
          <w:color w:val="000000" w:themeColor="text1"/>
          <w:sz w:val="28"/>
          <w:szCs w:val="28"/>
          <w:vertAlign w:val="subscript"/>
        </w:rPr>
        <w:t>i</w:t>
      </w:r>
      <w:r>
        <w:rPr>
          <w:rFonts w:eastAsiaTheme="minorEastAsia"/>
          <w:color w:val="000000" w:themeColor="text1"/>
          <w:sz w:val="28"/>
          <w:szCs w:val="28"/>
          <w:vertAlign w:val="superscript"/>
        </w:rPr>
        <w:t>‘</w:t>
      </w:r>
      <w:r>
        <w:rPr>
          <w:rFonts w:eastAsiaTheme="minorEastAsia"/>
          <w:color w:val="000000" w:themeColor="text1"/>
          <w:sz w:val="28"/>
          <w:szCs w:val="28"/>
        </w:rPr>
        <w:t>-</w:t>
      </w:r>
      <w:r>
        <w:rPr>
          <w:rFonts w:eastAsiaTheme="minorEastAsia"/>
          <w:i/>
          <w:color w:val="000000" w:themeColor="text1"/>
          <w:sz w:val="28"/>
          <w:szCs w:val="28"/>
        </w:rPr>
        <w:t>Q</w:t>
      </w:r>
      <w:r>
        <w:rPr>
          <w:rFonts w:eastAsiaTheme="minorEastAsia"/>
          <w:color w:val="000000" w:themeColor="text1"/>
          <w:sz w:val="28"/>
          <w:szCs w:val="28"/>
          <w:vertAlign w:val="subscript"/>
        </w:rPr>
        <w:t>o</w:t>
      </w:r>
      <w:r>
        <w:rPr>
          <w:rFonts w:eastAsiaTheme="minorEastAsia"/>
          <w:color w:val="000000" w:themeColor="text1"/>
          <w:sz w:val="28"/>
          <w:szCs w:val="28"/>
        </w:rPr>
        <w:t>)</w:t>
      </w:r>
      <w:r>
        <w:rPr>
          <w:rFonts w:eastAsiaTheme="minorEastAsia"/>
          <w:i/>
          <w:color w:val="000000" w:themeColor="text1"/>
          <w:sz w:val="28"/>
          <w:szCs w:val="28"/>
        </w:rPr>
        <w:t>t</w:t>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（1）</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V</w:t>
      </w:r>
      <w:r>
        <w:rPr>
          <w:rFonts w:eastAsiaTheme="minorEastAsia"/>
          <w:color w:val="000000" w:themeColor="text1"/>
          <w:sz w:val="28"/>
          <w:szCs w:val="28"/>
        </w:rPr>
        <w:t>——调蓄量或调蓄设施有效容积（m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ordWrap w:val="0"/>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i</w:t>
      </w:r>
      <w:r>
        <w:rPr>
          <w:rFonts w:eastAsiaTheme="minorEastAsia"/>
          <w:color w:val="000000" w:themeColor="text1"/>
          <w:sz w:val="28"/>
          <w:szCs w:val="28"/>
        </w:rPr>
        <w:t>’——暴雨峰值流量，通过暴雨强度公式获得，（m</w:t>
      </w:r>
      <w:r>
        <w:rPr>
          <w:rFonts w:eastAsiaTheme="minorEastAsia"/>
          <w:color w:val="000000" w:themeColor="text1"/>
          <w:sz w:val="28"/>
          <w:szCs w:val="28"/>
          <w:vertAlign w:val="superscript"/>
        </w:rPr>
        <w:t>3</w:t>
      </w:r>
      <w:r>
        <w:rPr>
          <w:rFonts w:eastAsiaTheme="minorEastAsia"/>
          <w:color w:val="000000" w:themeColor="text1"/>
          <w:sz w:val="28"/>
          <w:szCs w:val="28"/>
        </w:rPr>
        <w:t>/s）；</w:t>
      </w:r>
    </w:p>
    <w:p>
      <w:pPr>
        <w:wordWrap w:val="0"/>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o</w:t>
      </w:r>
      <w:r>
        <w:rPr>
          <w:rFonts w:eastAsiaTheme="minorEastAsia"/>
          <w:color w:val="000000" w:themeColor="text1"/>
          <w:sz w:val="28"/>
          <w:szCs w:val="28"/>
        </w:rPr>
        <w:t>——调蓄设施平均出口流量（适用于串联式调蓄池）或下游排水系统设计流量（适用于并联式调蓄池），（m</w:t>
      </w:r>
      <w:r>
        <w:rPr>
          <w:rFonts w:eastAsiaTheme="minorEastAsia"/>
          <w:color w:val="000000" w:themeColor="text1"/>
          <w:sz w:val="28"/>
          <w:szCs w:val="28"/>
          <w:vertAlign w:val="superscript"/>
        </w:rPr>
        <w:t>3</w:t>
      </w:r>
      <w:r>
        <w:rPr>
          <w:rFonts w:eastAsiaTheme="minorEastAsia"/>
          <w:color w:val="000000" w:themeColor="text1"/>
          <w:sz w:val="28"/>
          <w:szCs w:val="28"/>
        </w:rPr>
        <w:t>/s）；</w:t>
      </w:r>
    </w:p>
    <w:p>
      <w:pPr>
        <w:wordWrap w:val="0"/>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rPr>
        <w:t>——降雨历时（min）。</w:t>
      </w:r>
    </w:p>
    <w:p>
      <w:pPr>
        <w:wordWrap w:val="0"/>
        <w:spacing w:line="360" w:lineRule="auto"/>
        <w:ind w:firstLine="848" w:firstLineChars="303"/>
        <w:rPr>
          <w:rFonts w:eastAsiaTheme="minorEastAsia"/>
          <w:color w:val="000000" w:themeColor="text1"/>
          <w:sz w:val="28"/>
          <w:szCs w:val="28"/>
        </w:rPr>
      </w:pPr>
      <w:r>
        <w:rPr>
          <w:rFonts w:eastAsiaTheme="minorEastAsia"/>
          <w:color w:val="000000" w:themeColor="text1"/>
          <w:sz w:val="28"/>
          <w:szCs w:val="28"/>
        </w:rPr>
        <w:t>鉴于上式中</w:t>
      </w:r>
      <w:r>
        <w:rPr>
          <w:rFonts w:eastAsiaTheme="minorEastAsia"/>
          <w:i/>
          <w:color w:val="000000" w:themeColor="text1"/>
          <w:sz w:val="28"/>
          <w:szCs w:val="28"/>
        </w:rPr>
        <w:t>Q</w:t>
      </w:r>
      <w:r>
        <w:rPr>
          <w:rFonts w:eastAsiaTheme="minorEastAsia"/>
          <w:color w:val="000000" w:themeColor="text1"/>
          <w:sz w:val="28"/>
          <w:szCs w:val="28"/>
          <w:vertAlign w:val="subscript"/>
        </w:rPr>
        <w:t>o</w:t>
      </w:r>
      <w:r>
        <w:rPr>
          <w:rFonts w:eastAsiaTheme="minorEastAsia"/>
          <w:color w:val="000000" w:themeColor="text1"/>
          <w:sz w:val="28"/>
          <w:szCs w:val="28"/>
        </w:rPr>
        <w:t>的定义不够明确，美国科罗拉多大学丹佛分校的Jam</w:t>
      </w:r>
      <w:r>
        <w:rPr>
          <w:sz w:val="28"/>
          <w:szCs w:val="28"/>
        </w:rPr>
        <w:t xml:space="preserve"> </w:t>
      </w:r>
      <w:r>
        <w:rPr>
          <w:rFonts w:eastAsiaTheme="minorEastAsia"/>
          <w:color w:val="000000" w:themeColor="text1"/>
          <w:sz w:val="28"/>
          <w:szCs w:val="28"/>
        </w:rPr>
        <w:t>es C. Y. Guo（郭纯园）教授对FAA法进行了如下修正：</w:t>
      </w:r>
    </w:p>
    <w:p>
      <w:pPr>
        <w:wordWrap w:val="0"/>
        <w:spacing w:line="360" w:lineRule="auto"/>
        <w:ind w:firstLine="565" w:firstLineChars="202"/>
        <w:jc w:val="right"/>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i/>
          <w:color w:val="000000" w:themeColor="text1"/>
          <w:sz w:val="28"/>
          <w:szCs w:val="28"/>
        </w:rPr>
        <w:t xml:space="preserve"> V</w:t>
      </w:r>
      <w:r>
        <w:rPr>
          <w:rFonts w:eastAsiaTheme="minorEastAsia"/>
          <w:color w:val="000000" w:themeColor="text1"/>
          <w:sz w:val="28"/>
          <w:szCs w:val="28"/>
        </w:rPr>
        <w:t>=</w:t>
      </w:r>
      <w:r>
        <w:rPr>
          <w:rFonts w:eastAsiaTheme="minorEastAsia"/>
          <w:i/>
          <w:color w:val="000000" w:themeColor="text1"/>
          <w:sz w:val="28"/>
          <w:szCs w:val="28"/>
        </w:rPr>
        <w:t>Q</w:t>
      </w:r>
      <w:r>
        <w:rPr>
          <w:rFonts w:eastAsiaTheme="minorEastAsia"/>
          <w:color w:val="000000" w:themeColor="text1"/>
          <w:sz w:val="28"/>
          <w:szCs w:val="28"/>
          <w:vertAlign w:val="subscript"/>
        </w:rPr>
        <w:t>i</w:t>
      </w:r>
      <w:r>
        <w:rPr>
          <w:rFonts w:eastAsiaTheme="minorEastAsia"/>
          <w:color w:val="000000" w:themeColor="text1"/>
          <w:sz w:val="28"/>
          <w:szCs w:val="28"/>
        </w:rPr>
        <w:t>-0.5</w:t>
      </w:r>
      <w:r>
        <w:rPr>
          <w:rFonts w:eastAsiaTheme="minorEastAsia"/>
          <w:i/>
          <w:color w:val="000000" w:themeColor="text1"/>
          <w:sz w:val="28"/>
          <w:szCs w:val="28"/>
        </w:rPr>
        <w:t>Q</w:t>
      </w:r>
      <w:r>
        <w:rPr>
          <w:rFonts w:eastAsiaTheme="minorEastAsia"/>
          <w:color w:val="000000" w:themeColor="text1"/>
          <w:sz w:val="28"/>
          <w:szCs w:val="28"/>
          <w:vertAlign w:val="subscript"/>
        </w:rPr>
        <w:t>a</w:t>
      </w:r>
      <w:r>
        <w:rPr>
          <w:rFonts w:eastAsiaTheme="minorEastAsia"/>
          <w:color w:val="000000" w:themeColor="text1"/>
          <w:sz w:val="28"/>
          <w:szCs w:val="28"/>
        </w:rPr>
        <w:t>(</w:t>
      </w:r>
      <w:r>
        <w:rPr>
          <w:rFonts w:eastAsiaTheme="minorEastAsia"/>
          <w:i/>
          <w:color w:val="000000" w:themeColor="text1"/>
          <w:sz w:val="28"/>
          <w:szCs w:val="28"/>
        </w:rPr>
        <w:t>t+t</w:t>
      </w:r>
      <w:r>
        <w:rPr>
          <w:rFonts w:eastAsiaTheme="minorEastAsia"/>
          <w:i/>
          <w:color w:val="000000" w:themeColor="text1"/>
          <w:sz w:val="28"/>
          <w:szCs w:val="28"/>
          <w:vertAlign w:val="subscript"/>
        </w:rPr>
        <w:t>c</w:t>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 xml:space="preserve">               （2）</w:t>
      </w:r>
    </w:p>
    <w:p>
      <w:pPr>
        <w:wordWrap w:val="0"/>
        <w:spacing w:line="360" w:lineRule="auto"/>
        <w:rPr>
          <w:rFonts w:eastAsiaTheme="minorEastAsia"/>
          <w:color w:val="000000" w:themeColor="text1"/>
          <w:sz w:val="28"/>
          <w:szCs w:val="28"/>
        </w:rPr>
      </w:pP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V</w:t>
      </w:r>
      <w:r>
        <w:rPr>
          <w:rFonts w:eastAsiaTheme="minorEastAsia"/>
          <w:color w:val="000000" w:themeColor="text1"/>
          <w:sz w:val="28"/>
          <w:szCs w:val="28"/>
        </w:rPr>
        <w:tab/>
      </w:r>
      <w:r>
        <w:rPr>
          <w:rFonts w:eastAsiaTheme="minorEastAsia"/>
          <w:color w:val="000000" w:themeColor="text1"/>
          <w:sz w:val="28"/>
          <w:szCs w:val="28"/>
        </w:rPr>
        <w:t>——</w:t>
      </w:r>
      <w:r>
        <w:rPr>
          <w:rFonts w:eastAsiaTheme="minorEastAsia"/>
          <w:color w:val="000000" w:themeColor="text1"/>
          <w:sz w:val="28"/>
          <w:szCs w:val="28"/>
        </w:rPr>
        <w:tab/>
      </w:r>
      <w:r>
        <w:rPr>
          <w:rFonts w:eastAsiaTheme="minorEastAsia"/>
          <w:color w:val="000000" w:themeColor="text1"/>
          <w:sz w:val="28"/>
          <w:szCs w:val="28"/>
        </w:rPr>
        <w:t>调蓄量或调蓄设施有效容积（m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ordWrap w:val="0"/>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i</w:t>
      </w:r>
      <w:r>
        <w:rPr>
          <w:rFonts w:eastAsiaTheme="minorEastAsia"/>
          <w:color w:val="000000" w:themeColor="text1"/>
          <w:sz w:val="28"/>
          <w:szCs w:val="28"/>
        </w:rPr>
        <w:t>——</w:t>
      </w:r>
      <w:r>
        <w:rPr>
          <w:rFonts w:eastAsiaTheme="minorEastAsia"/>
          <w:color w:val="000000" w:themeColor="text1"/>
          <w:sz w:val="28"/>
          <w:szCs w:val="28"/>
        </w:rPr>
        <w:tab/>
      </w:r>
      <w:r>
        <w:rPr>
          <w:rFonts w:eastAsiaTheme="minorEastAsia"/>
          <w:color w:val="000000" w:themeColor="text1"/>
          <w:sz w:val="28"/>
          <w:szCs w:val="28"/>
        </w:rPr>
        <w:t>调蓄设施上游设计流量（m</w:t>
      </w:r>
      <w:r>
        <w:rPr>
          <w:rFonts w:eastAsiaTheme="minorEastAsia"/>
          <w:color w:val="000000" w:themeColor="text1"/>
          <w:sz w:val="28"/>
          <w:szCs w:val="28"/>
          <w:vertAlign w:val="superscript"/>
        </w:rPr>
        <w:t>3</w:t>
      </w:r>
      <w:r>
        <w:rPr>
          <w:rFonts w:eastAsiaTheme="minorEastAsia"/>
          <w:color w:val="000000" w:themeColor="text1"/>
          <w:sz w:val="28"/>
          <w:szCs w:val="28"/>
        </w:rPr>
        <w:t>/s）；</w:t>
      </w:r>
    </w:p>
    <w:p>
      <w:pPr>
        <w:wordWrap w:val="0"/>
        <w:spacing w:line="360" w:lineRule="auto"/>
        <w:ind w:left="1841" w:leftChars="405" w:hanging="991" w:hangingChars="354"/>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a</w:t>
      </w:r>
      <w:r>
        <w:rPr>
          <w:rFonts w:eastAsiaTheme="minorEastAsia"/>
          <w:color w:val="000000" w:themeColor="text1"/>
          <w:sz w:val="28"/>
          <w:szCs w:val="28"/>
        </w:rPr>
        <w:t>——调蓄设施的最大允许出口流量（适用于串联式调蓄池）或下游排水系统设计流量（适用于并联式调蓄池），（m</w:t>
      </w:r>
      <w:r>
        <w:rPr>
          <w:rFonts w:eastAsiaTheme="minorEastAsia"/>
          <w:color w:val="000000" w:themeColor="text1"/>
          <w:sz w:val="28"/>
          <w:szCs w:val="28"/>
          <w:vertAlign w:val="superscript"/>
        </w:rPr>
        <w:t>3</w:t>
      </w:r>
      <w:r>
        <w:rPr>
          <w:rFonts w:eastAsiaTheme="minorEastAsia"/>
          <w:color w:val="000000" w:themeColor="text1"/>
          <w:sz w:val="28"/>
          <w:szCs w:val="28"/>
        </w:rPr>
        <w:t>/s）；</w:t>
      </w:r>
    </w:p>
    <w:p>
      <w:pPr>
        <w:wordWrap w:val="0"/>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rPr>
        <w:t>——降雨历时（min）；</w:t>
      </w:r>
    </w:p>
    <w:p>
      <w:pPr>
        <w:wordWrap w:val="0"/>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c</w:t>
      </w:r>
      <w:r>
        <w:rPr>
          <w:rFonts w:eastAsiaTheme="minorEastAsia"/>
          <w:color w:val="000000" w:themeColor="text1"/>
          <w:sz w:val="28"/>
          <w:szCs w:val="28"/>
        </w:rPr>
        <w:t>——集水时间（有别于降雨历时t），（min）。</w:t>
      </w:r>
    </w:p>
    <w:p>
      <w:pPr>
        <w:wordWrap w:val="0"/>
        <w:spacing w:line="360" w:lineRule="auto"/>
        <w:ind w:firstLine="568" w:firstLineChars="202"/>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脱过系数法是一种采用由径流成因所推理的流量过程线推求调蓄容积的方法。由于脱过系数法是在暴雨强度公式的基础上推理得到的，因此该方法的适用范围应与暴雨强度公式的适用范围相同。鉴于我国目前暴雨强度公式的降雨历时大多不超过180min，因此，运用脱过系数法确定调蓄量时应注意其适用范围。</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用于削减峰值流量雨水调蓄工程的设计过程中需进行内涝防治设计重现期的校核，应考虑工程对雨水的调蓄作用，因此宜采用较长历时降雨，且应考虑降雨历程，即雨型的影响。</w:t>
      </w:r>
    </w:p>
    <w:p>
      <w:pPr>
        <w:wordWrap w:val="0"/>
        <w:spacing w:line="360" w:lineRule="auto"/>
        <w:ind w:firstLine="568" w:firstLineChars="202"/>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发达国家采用的降雨历时一般为3h~24h，如美国德克萨斯州交通部颁布的水力设计手册（2011年版）规定一般采用24h。美国丹佛市的城市暴雨排水标准（2011年版，第一卷）规定：服务面积小于10平方英里（约25.9 km</w:t>
      </w:r>
      <w:r>
        <w:rPr>
          <w:rFonts w:eastAsiaTheme="minorEastAsia"/>
          <w:color w:val="000000" w:themeColor="text1"/>
          <w:sz w:val="28"/>
          <w:szCs w:val="28"/>
          <w:vertAlign w:val="superscript"/>
        </w:rPr>
        <w:t>2</w:t>
      </w:r>
      <w:r>
        <w:rPr>
          <w:rFonts w:eastAsiaTheme="minorEastAsia"/>
          <w:color w:val="000000" w:themeColor="text1"/>
          <w:sz w:val="28"/>
          <w:szCs w:val="28"/>
        </w:rPr>
        <w:t>），最小降雨历时为2h；10平方英里~20平方英里，最小降雨历时为3h；大于20平方英里（约51.8 km</w:t>
      </w:r>
      <w:r>
        <w:rPr>
          <w:rFonts w:eastAsiaTheme="minorEastAsia"/>
          <w:color w:val="000000" w:themeColor="text1"/>
          <w:sz w:val="28"/>
          <w:szCs w:val="28"/>
          <w:vertAlign w:val="superscript"/>
        </w:rPr>
        <w:t>2</w:t>
      </w:r>
      <w:r>
        <w:rPr>
          <w:rFonts w:eastAsiaTheme="minorEastAsia"/>
          <w:color w:val="000000" w:themeColor="text1"/>
          <w:sz w:val="28"/>
          <w:szCs w:val="28"/>
        </w:rPr>
        <w:t>），最小降雨历时为6h。美国休斯顿设计手册第九章雨水设计要求（2005年版）规定：小于200 英亩（约0.8 km</w:t>
      </w:r>
      <w:r>
        <w:rPr>
          <w:rFonts w:eastAsiaTheme="minorEastAsia"/>
          <w:color w:val="000000" w:themeColor="text1"/>
          <w:sz w:val="28"/>
          <w:szCs w:val="28"/>
          <w:vertAlign w:val="superscript"/>
        </w:rPr>
        <w:t>2</w:t>
      </w:r>
      <w:r>
        <w:rPr>
          <w:rFonts w:eastAsiaTheme="minorEastAsia"/>
          <w:color w:val="000000" w:themeColor="text1"/>
          <w:sz w:val="28"/>
          <w:szCs w:val="28"/>
        </w:rPr>
        <w:t>）时，最小降雨历时为3h；大于200 英亩时，最小降雨历时为6h。因此，本规范规定用于削减峰值流量的雨水调蓄工程的调蓄量计算中，设计降雨历时宜选用3h~24h，计算该范围内不同降雨历时下出入调蓄设施的雨水量之差，得到在每个降雨历时情况下所需的调蓄容积，最大值即为所需的调蓄设施容积。另外，建设雨水调蓄工程是满足城镇内涝防治设计重现期的重要手段之一，因此，用于雨水调蓄工程设计的降雨历时应和该地区用于其他内涝防治工程采用的降雨历时一致，也应和用于校核地面积水排除能力的内涝防治设计重现期一致。</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当雨型的统计资料匮乏时，排水系统的设计一般假定在一定降雨历时范围内暴雨强度保持恒定，不考虑雨型。当当地雨型资料缺乏时，可以采用附近城市或地区的雨型，或采用当地发生过的有代表性的典型暴雨过程。</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典型暴雨过程应在暴雨特性一致的气候区内选择有代表性的雨量过程。所谓有代表性就是指暴雨特性能够反映设计地区情况，符合设计要求。主要遵循以下几个原则：</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（1） 历史上已经发生过的流域性特大暴雨，雨量时空分布资料充分和可靠。</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（2） 造成特大洪涝灾害的暴雨，水文气象条件较接近规划情况。</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（3） 暴雨类型和时空分布特征具有代表性。</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（4） 对规划调蓄工程不利的雨型。</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4.</w:t>
      </w:r>
      <w:r>
        <w:rPr>
          <w:rFonts w:hint="eastAsia" w:eastAsiaTheme="minorEastAsia"/>
          <w:color w:val="000000" w:themeColor="text1"/>
          <w:sz w:val="28"/>
          <w:szCs w:val="28"/>
        </w:rPr>
        <w:t xml:space="preserve"> </w:t>
      </w:r>
      <w:r>
        <w:rPr>
          <w:rFonts w:eastAsiaTheme="minorEastAsia"/>
          <w:color w:val="000000" w:themeColor="text1"/>
          <w:sz w:val="28"/>
          <w:szCs w:val="28"/>
        </w:rPr>
        <w:t>选定了典型暴雨过程后，就可用同频率或同倍比设计暴雨量控制方法，对典型暴雨分段进行缩放。不同时段控制放大时，控制时段划分不宜过细（如江苏省各市控制时段主要采用5min），对暴雨核心分不宜过细（如江苏省各市控制时段主要采用5min），对暴雨核心部分24h暴雨的时程分配，时段划分视流域大小和汇流计算所用的时段而定。</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（1）同频率放大法</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在放大典型过程线时，按雨峰和不同历时的雨量分别采用不同倍比，使放大后的过程线的雨峰和各种历时的雨量分别等于设计雨峰和设计雨量。也就是说，经放大后的过程线，其雨峰值和各种历时的降雨总量都等于同一设计频率，称为同频率放大法。</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同频率放大法可保证指定设计时段规划区域和指定分区雨量等于设计频率，满足各种规划方案水文计算要求。缺点是对雨量时空分布分时段和分区域缩放会引起雨型时空分布的变形，且统计时段和分区数愈多，雨型变形愈大。</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（2）同倍比放大法</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用同一放大倍比</w:t>
      </w:r>
      <w:r>
        <w:rPr>
          <w:rFonts w:eastAsiaTheme="minorEastAsia"/>
          <w:i/>
          <w:color w:val="000000" w:themeColor="text1"/>
          <w:sz w:val="28"/>
          <w:szCs w:val="28"/>
        </w:rPr>
        <w:t>k</w:t>
      </w:r>
      <w:r>
        <w:rPr>
          <w:rFonts w:eastAsiaTheme="minorEastAsia"/>
          <w:color w:val="000000" w:themeColor="text1"/>
          <w:sz w:val="28"/>
          <w:szCs w:val="28"/>
        </w:rPr>
        <w:t>值放大典型暴雨过程线的雨量坐标，使放大后的暴雨量等于设计暴雨量（</w:t>
      </w:r>
      <w:r>
        <w:rPr>
          <w:rFonts w:eastAsiaTheme="minorEastAsia"/>
          <w:i/>
          <w:color w:val="000000" w:themeColor="text1"/>
          <w:sz w:val="28"/>
          <w:szCs w:val="28"/>
        </w:rPr>
        <w:t>P</w:t>
      </w:r>
      <w:r>
        <w:rPr>
          <w:rFonts w:eastAsiaTheme="minorEastAsia"/>
          <w:color w:val="000000" w:themeColor="text1"/>
          <w:sz w:val="28"/>
          <w:szCs w:val="28"/>
          <w:vertAlign w:val="subscript"/>
        </w:rPr>
        <w:t>mp</w:t>
      </w:r>
      <w:r>
        <w:rPr>
          <w:rFonts w:eastAsiaTheme="minorEastAsia"/>
          <w:color w:val="000000" w:themeColor="text1"/>
          <w:sz w:val="28"/>
          <w:szCs w:val="28"/>
        </w:rPr>
        <w:t>），或使放大后的控制时段</w:t>
      </w:r>
      <w:r>
        <w:rPr>
          <w:rFonts w:eastAsiaTheme="minorEastAsia"/>
          <w:i/>
          <w:color w:val="000000" w:themeColor="text1"/>
          <w:sz w:val="28"/>
          <w:szCs w:val="28"/>
        </w:rPr>
        <w:t>t</w:t>
      </w:r>
      <w:r>
        <w:rPr>
          <w:rFonts w:eastAsiaTheme="minorEastAsia"/>
          <w:color w:val="000000" w:themeColor="text1"/>
          <w:sz w:val="28"/>
          <w:szCs w:val="28"/>
          <w:vertAlign w:val="subscript"/>
        </w:rPr>
        <w:t>k</w:t>
      </w:r>
      <w:r>
        <w:rPr>
          <w:rFonts w:eastAsiaTheme="minorEastAsia"/>
          <w:color w:val="000000" w:themeColor="text1"/>
          <w:sz w:val="28"/>
          <w:szCs w:val="28"/>
        </w:rPr>
        <w:t>的暴雨量等于设计暴雨量（</w:t>
      </w:r>
      <w:r>
        <w:rPr>
          <w:rFonts w:eastAsiaTheme="minorEastAsia"/>
          <w:i/>
          <w:color w:val="000000" w:themeColor="text1"/>
          <w:sz w:val="28"/>
          <w:szCs w:val="28"/>
        </w:rPr>
        <w:t>P</w:t>
      </w:r>
      <w:r>
        <w:rPr>
          <w:rFonts w:eastAsiaTheme="minorEastAsia"/>
          <w:color w:val="000000" w:themeColor="text1"/>
          <w:sz w:val="28"/>
          <w:szCs w:val="28"/>
          <w:vertAlign w:val="subscript"/>
        </w:rPr>
        <w:t>kp</w:t>
      </w:r>
      <w:r>
        <w:rPr>
          <w:rFonts w:eastAsiaTheme="minorEastAsia"/>
          <w:color w:val="000000" w:themeColor="text1"/>
          <w:sz w:val="28"/>
          <w:szCs w:val="28"/>
        </w:rPr>
        <w:t>），称为同倍比放大法。</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同倍比放大法计算出的暴雨时间和空间分布的形状不会发生变化，仅降雨强度的同倍比改变。缺点是仅一个时段的雨量满足设计频率，当区域设计暴雨的敏感历时未知或变化时，或者各项内涝防治工程具有不同的敏感历时，同倍比放大法得出的设计暴雨结果无法满足要求。</w:t>
      </w:r>
    </w:p>
    <w:p>
      <w:pPr>
        <w:pStyle w:val="30"/>
        <w:numPr>
          <w:ilvl w:val="0"/>
          <w:numId w:val="2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用于雨水利用时，雨水调蓄池的有效容积应根据降雨特征、用水需求和经济效益等确定。</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雨水调蓄池容积可通过数学模型，根据流量过程线计算。为简化计算，用于雨水收集储存的调蓄池也可根据当地气候资料，按一定设计重现期降雨量（如24h最大降雨量）计算。合理确定雨水调蓄池容积是一个十分重要且复杂的问题，除了调蓄目的外，还需要根据投资效益等综合考虑。</w:t>
      </w:r>
    </w:p>
    <w:p>
      <w:pPr>
        <w:pStyle w:val="30"/>
        <w:numPr>
          <w:ilvl w:val="0"/>
          <w:numId w:val="2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调蓄池放空可采用重力放空、水泵排空和两者相结合的方式。有条件时，应采用重力放空，出水管管径应根据放空时间确定，且出水管排水能力不应超过下游管渠排水能力，出口流量和放空时间，应按下列公式计算：</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采用管道就近重力出流的调蓄池，出口流量应按下式计算：</w:t>
      </w:r>
    </w:p>
    <w:p>
      <w:pPr>
        <w:wordWrap w:val="0"/>
        <w:spacing w:line="360" w:lineRule="auto"/>
        <w:jc w:val="right"/>
        <w:rPr>
          <w:rFonts w:eastAsiaTheme="minorEastAsia"/>
          <w:color w:val="000000" w:themeColor="text1"/>
          <w:sz w:val="28"/>
          <w:szCs w:val="28"/>
        </w:rPr>
      </w:pPr>
      <w:r>
        <w:rPr>
          <w:rFonts w:eastAsiaTheme="minorEastAsia"/>
          <w:color w:val="000000" w:themeColor="text1"/>
          <w:position w:val="-12"/>
          <w:sz w:val="28"/>
          <w:szCs w:val="28"/>
        </w:rPr>
        <w:object>
          <v:shape id="_x0000_i1033" o:spt="75" type="#_x0000_t75" style="height:20.55pt;width:115pt;" o:ole="t" filled="f" o:preferrelative="t" stroked="f" coordsize="21600,21600">
            <v:path/>
            <v:fill on="f" focussize="0,0"/>
            <v:stroke on="f" joinstyle="miter"/>
            <v:imagedata r:id="rId28" o:title=""/>
            <o:lock v:ext="edit" aspectratio="t"/>
            <w10:wrap type="none"/>
            <w10:anchorlock/>
          </v:shape>
          <o:OLEObject Type="Embed" ProgID="Equation.3" ShapeID="_x0000_i1033" DrawAspect="Content" ObjectID="_1468075733" r:id="rId27">
            <o:LockedField>false</o:LockedField>
          </o:OLEObject>
        </w:objec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（5.1</w:t>
      </w:r>
      <w:r>
        <w:rPr>
          <w:rFonts w:hint="eastAsia" w:eastAsiaTheme="minorEastAsia"/>
          <w:color w:val="000000" w:themeColor="text1"/>
          <w:sz w:val="28"/>
          <w:szCs w:val="28"/>
        </w:rPr>
        <w:t>4</w:t>
      </w:r>
      <w:r>
        <w:rPr>
          <w:rFonts w:eastAsiaTheme="minorEastAsia"/>
          <w:color w:val="000000" w:themeColor="text1"/>
          <w:sz w:val="28"/>
          <w:szCs w:val="28"/>
        </w:rPr>
        <w:t>.7-1）</w:t>
      </w:r>
    </w:p>
    <w:p>
      <w:pPr>
        <w:spacing w:line="360" w:lineRule="auto"/>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Q</w:t>
      </w:r>
      <w:r>
        <w:rPr>
          <w:rFonts w:eastAsiaTheme="minorEastAsia"/>
          <w:color w:val="000000" w:themeColor="text1"/>
          <w:sz w:val="28"/>
          <w:szCs w:val="28"/>
          <w:vertAlign w:val="subscript"/>
        </w:rPr>
        <w:t>1</w:t>
      </w:r>
      <w:r>
        <w:rPr>
          <w:rFonts w:eastAsiaTheme="minorEastAsia"/>
          <w:color w:val="000000" w:themeColor="text1"/>
          <w:sz w:val="28"/>
          <w:szCs w:val="28"/>
        </w:rPr>
        <w:t>——调蓄池出口流量（m</w:t>
      </w:r>
      <w:r>
        <w:rPr>
          <w:rFonts w:eastAsiaTheme="minorEastAsia"/>
          <w:color w:val="000000" w:themeColor="text1"/>
          <w:sz w:val="28"/>
          <w:szCs w:val="28"/>
          <w:vertAlign w:val="superscript"/>
        </w:rPr>
        <w:t>3</w:t>
      </w:r>
      <w:r>
        <w:rPr>
          <w:rFonts w:eastAsiaTheme="minorEastAsia"/>
          <w:color w:val="000000" w:themeColor="text1"/>
          <w:sz w:val="28"/>
          <w:szCs w:val="28"/>
        </w:rPr>
        <w:t>/s）；</w:t>
      </w:r>
    </w:p>
    <w:p>
      <w:pPr>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C</w:t>
      </w:r>
      <w:r>
        <w:rPr>
          <w:rFonts w:eastAsiaTheme="minorEastAsia"/>
          <w:color w:val="000000" w:themeColor="text1"/>
          <w:sz w:val="28"/>
          <w:szCs w:val="28"/>
          <w:vertAlign w:val="subscript"/>
        </w:rPr>
        <w:t>d</w:t>
      </w:r>
      <w:r>
        <w:rPr>
          <w:rFonts w:eastAsiaTheme="minorEastAsia"/>
          <w:color w:val="000000" w:themeColor="text1"/>
          <w:sz w:val="28"/>
          <w:szCs w:val="28"/>
        </w:rPr>
        <w:t>——出口管道流量系数，取0.62；</w:t>
      </w:r>
    </w:p>
    <w:p>
      <w:pPr>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A</w:t>
      </w:r>
      <w:r>
        <w:rPr>
          <w:rFonts w:eastAsiaTheme="minorEastAsia"/>
          <w:color w:val="000000" w:themeColor="text1"/>
          <w:sz w:val="28"/>
          <w:szCs w:val="28"/>
        </w:rPr>
        <w:t>——调蓄池出口截面积（m</w:t>
      </w:r>
      <w:r>
        <w:rPr>
          <w:rFonts w:eastAsiaTheme="minorEastAsia"/>
          <w:color w:val="000000" w:themeColor="text1"/>
          <w:sz w:val="28"/>
          <w:szCs w:val="28"/>
          <w:vertAlign w:val="superscript"/>
        </w:rPr>
        <w:t>2</w:t>
      </w:r>
      <w:r>
        <w:rPr>
          <w:rFonts w:eastAsiaTheme="minorEastAsia"/>
          <w:color w:val="000000" w:themeColor="text1"/>
          <w:sz w:val="28"/>
          <w:szCs w:val="28"/>
        </w:rPr>
        <w:t>）；</w:t>
      </w:r>
    </w:p>
    <w:p>
      <w:pPr>
        <w:spacing w:line="360" w:lineRule="auto"/>
        <w:ind w:firstLine="840" w:firstLineChars="300"/>
        <w:rPr>
          <w:rFonts w:eastAsiaTheme="minorEastAsia"/>
          <w:color w:val="000000" w:themeColor="text1"/>
          <w:sz w:val="28"/>
          <w:szCs w:val="28"/>
        </w:rPr>
      </w:pPr>
      <w:r>
        <w:rPr>
          <w:rFonts w:eastAsiaTheme="minorEastAsia"/>
          <w:i/>
          <w:color w:val="000000" w:themeColor="text1"/>
          <w:sz w:val="28"/>
          <w:szCs w:val="28"/>
        </w:rPr>
        <w:t>g</w:t>
      </w:r>
      <w:r>
        <w:rPr>
          <w:rFonts w:eastAsiaTheme="minorEastAsia"/>
          <w:color w:val="000000" w:themeColor="text1"/>
          <w:sz w:val="28"/>
          <w:szCs w:val="28"/>
        </w:rPr>
        <w:t>——重力加速度（m/s</w:t>
      </w:r>
      <w:r>
        <w:rPr>
          <w:rFonts w:eastAsiaTheme="minorEastAsia"/>
          <w:color w:val="000000" w:themeColor="text1"/>
          <w:sz w:val="28"/>
          <w:szCs w:val="28"/>
          <w:vertAlign w:val="superscript"/>
        </w:rPr>
        <w:t>2</w:t>
      </w:r>
      <w:r>
        <w:rPr>
          <w:rFonts w:eastAsiaTheme="minorEastAsia"/>
          <w:color w:val="000000" w:themeColor="text1"/>
          <w:sz w:val="28"/>
          <w:szCs w:val="28"/>
        </w:rPr>
        <w:t>）；</w:t>
      </w:r>
    </w:p>
    <w:p>
      <w:pPr>
        <w:spacing w:line="360" w:lineRule="auto"/>
        <w:ind w:firstLine="840" w:firstLineChars="300"/>
        <w:rPr>
          <w:rFonts w:eastAsiaTheme="minorEastAsia"/>
          <w:color w:val="000000" w:themeColor="text1"/>
          <w:sz w:val="28"/>
          <w:szCs w:val="28"/>
        </w:rPr>
      </w:pPr>
      <w:r>
        <w:rPr>
          <w:rFonts w:eastAsiaTheme="minorEastAsia"/>
          <w:color w:val="000000" w:themeColor="text1"/>
          <w:sz w:val="28"/>
          <w:szCs w:val="28"/>
        </w:rPr>
        <w:t>∆</w:t>
      </w:r>
      <w:r>
        <w:rPr>
          <w:rFonts w:eastAsiaTheme="minorEastAsia"/>
          <w:i/>
          <w:color w:val="000000" w:themeColor="text1"/>
          <w:sz w:val="28"/>
          <w:szCs w:val="28"/>
        </w:rPr>
        <w:t>H</w:t>
      </w:r>
      <w:r>
        <w:rPr>
          <w:rFonts w:eastAsiaTheme="minorEastAsia"/>
          <w:color w:val="000000" w:themeColor="text1"/>
          <w:sz w:val="28"/>
          <w:szCs w:val="28"/>
        </w:rPr>
        <w:t>——调蓄池上下游的水力高差（m）。</w:t>
      </w:r>
    </w:p>
    <w:p>
      <w:pPr>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采用管道就近重力出流的调蓄池，放空时间应按下式计算：</w:t>
      </w:r>
    </w:p>
    <w:p>
      <w:pPr>
        <w:wordWrap w:val="0"/>
        <w:spacing w:line="360" w:lineRule="auto"/>
        <w:jc w:val="right"/>
        <w:rPr>
          <w:rFonts w:eastAsiaTheme="minorEastAsia"/>
          <w:color w:val="000000" w:themeColor="text1"/>
          <w:sz w:val="28"/>
          <w:szCs w:val="28"/>
        </w:rPr>
      </w:pPr>
      <w:r>
        <w:rPr>
          <w:rFonts w:eastAsiaTheme="minorEastAsia"/>
          <w:color w:val="000000" w:themeColor="text1"/>
          <w:position w:val="-30"/>
          <w:sz w:val="28"/>
          <w:szCs w:val="28"/>
        </w:rPr>
        <w:object>
          <v:shape id="_x0000_i1034" o:spt="75" type="#_x0000_t75" style="height:43pt;width:151.5pt;" o:ole="t" filled="f" o:preferrelative="t" stroked="f" coordsize="21600,21600">
            <v:path/>
            <v:fill on="f" focussize="0,0"/>
            <v:stroke on="f" joinstyle="miter"/>
            <v:imagedata r:id="rId30" o:title=""/>
            <o:lock v:ext="edit" aspectratio="t"/>
            <w10:wrap type="none"/>
            <w10:anchorlock/>
          </v:shape>
          <o:OLEObject Type="Embed" ProgID="Equation.3" ShapeID="_x0000_i1034" DrawAspect="Content" ObjectID="_1468075734" r:id="rId29">
            <o:LockedField>false</o:LockedField>
          </o:OLEObject>
        </w:objec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 xml:space="preserve">    （5.1</w:t>
      </w:r>
      <w:r>
        <w:rPr>
          <w:rFonts w:hint="eastAsia" w:eastAsiaTheme="minorEastAsia"/>
          <w:color w:val="000000" w:themeColor="text1"/>
          <w:sz w:val="28"/>
          <w:szCs w:val="28"/>
        </w:rPr>
        <w:t>4</w:t>
      </w:r>
      <w:r>
        <w:rPr>
          <w:rFonts w:eastAsiaTheme="minorEastAsia"/>
          <w:color w:val="000000" w:themeColor="text1"/>
          <w:sz w:val="28"/>
          <w:szCs w:val="28"/>
        </w:rPr>
        <w:t>.7-2）</w:t>
      </w:r>
    </w:p>
    <w:p>
      <w:pPr>
        <w:spacing w:line="360" w:lineRule="auto"/>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t</w:t>
      </w:r>
      <w:r>
        <w:rPr>
          <w:rFonts w:eastAsiaTheme="minorEastAsia"/>
          <w:color w:val="000000" w:themeColor="text1"/>
          <w:sz w:val="28"/>
          <w:szCs w:val="28"/>
          <w:vertAlign w:val="subscript"/>
        </w:rPr>
        <w:t>o</w:t>
      </w:r>
      <w:r>
        <w:rPr>
          <w:rFonts w:eastAsiaTheme="minorEastAsia"/>
          <w:color w:val="000000" w:themeColor="text1"/>
          <w:sz w:val="28"/>
          <w:szCs w:val="28"/>
        </w:rPr>
        <w:t>——放空时间（h）；</w:t>
      </w:r>
    </w:p>
    <w:p>
      <w:pPr>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vertAlign w:val="subscript"/>
        </w:rPr>
        <w:t>2</w:t>
      </w:r>
      <w:r>
        <w:rPr>
          <w:rFonts w:eastAsiaTheme="minorEastAsia"/>
          <w:color w:val="000000" w:themeColor="text1"/>
          <w:sz w:val="28"/>
          <w:szCs w:val="28"/>
        </w:rPr>
        <w:t>——放空后调蓄池水深（m）；</w:t>
      </w:r>
    </w:p>
    <w:p>
      <w:pPr>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vertAlign w:val="subscript"/>
        </w:rPr>
        <w:t>1</w:t>
      </w:r>
      <w:r>
        <w:rPr>
          <w:rFonts w:eastAsiaTheme="minorEastAsia"/>
          <w:color w:val="000000" w:themeColor="text1"/>
          <w:sz w:val="28"/>
          <w:szCs w:val="28"/>
        </w:rPr>
        <w:tab/>
      </w:r>
      <w:r>
        <w:rPr>
          <w:rFonts w:eastAsiaTheme="minorEastAsia"/>
          <w:color w:val="000000" w:themeColor="text1"/>
          <w:sz w:val="28"/>
          <w:szCs w:val="28"/>
        </w:rPr>
        <w:t>——放空前调蓄池水深（m）；</w:t>
      </w:r>
    </w:p>
    <w:p>
      <w:pPr>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A</w:t>
      </w:r>
      <w:r>
        <w:rPr>
          <w:rFonts w:eastAsiaTheme="minorEastAsia"/>
          <w:color w:val="000000" w:themeColor="text1"/>
          <w:sz w:val="28"/>
          <w:szCs w:val="28"/>
          <w:vertAlign w:val="subscript"/>
        </w:rPr>
        <w:t>t</w:t>
      </w:r>
      <w:r>
        <w:rPr>
          <w:rFonts w:eastAsiaTheme="minorEastAsia"/>
          <w:color w:val="000000" w:themeColor="text1"/>
          <w:sz w:val="28"/>
          <w:szCs w:val="28"/>
        </w:rPr>
        <w:tab/>
      </w:r>
      <w:r>
        <w:rPr>
          <w:rFonts w:eastAsiaTheme="minorEastAsia"/>
          <w:color w:val="000000" w:themeColor="text1"/>
          <w:sz w:val="28"/>
          <w:szCs w:val="28"/>
        </w:rPr>
        <w:t>——t时刻调蓄池表面积（m</w:t>
      </w:r>
      <w:r>
        <w:rPr>
          <w:rFonts w:eastAsiaTheme="minorEastAsia"/>
          <w:color w:val="000000" w:themeColor="text1"/>
          <w:sz w:val="28"/>
          <w:szCs w:val="28"/>
          <w:vertAlign w:val="superscript"/>
        </w:rPr>
        <w:t>2</w:t>
      </w:r>
      <w:r>
        <w:rPr>
          <w:rFonts w:eastAsiaTheme="minorEastAsia"/>
          <w:color w:val="000000" w:themeColor="text1"/>
          <w:sz w:val="28"/>
          <w:szCs w:val="28"/>
        </w:rPr>
        <w:t>）；</w:t>
      </w:r>
    </w:p>
    <w:p>
      <w:pPr>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C</w:t>
      </w:r>
      <w:r>
        <w:rPr>
          <w:rFonts w:eastAsiaTheme="minorEastAsia"/>
          <w:color w:val="000000" w:themeColor="text1"/>
          <w:sz w:val="28"/>
          <w:szCs w:val="28"/>
          <w:vertAlign w:val="subscript"/>
        </w:rPr>
        <w:t>d</w:t>
      </w:r>
      <w:r>
        <w:rPr>
          <w:rFonts w:eastAsiaTheme="minorEastAsia"/>
          <w:color w:val="000000" w:themeColor="text1"/>
          <w:sz w:val="28"/>
          <w:szCs w:val="28"/>
        </w:rPr>
        <w:t>——出口管道流量系数；</w:t>
      </w:r>
    </w:p>
    <w:p>
      <w:pPr>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A</w:t>
      </w:r>
      <w:r>
        <w:rPr>
          <w:rFonts w:eastAsiaTheme="minorEastAsia"/>
          <w:color w:val="000000" w:themeColor="text1"/>
          <w:sz w:val="28"/>
          <w:szCs w:val="28"/>
        </w:rPr>
        <w:t>——调蓄池出口截面积（m</w:t>
      </w:r>
      <w:r>
        <w:rPr>
          <w:rFonts w:eastAsiaTheme="minorEastAsia"/>
          <w:color w:val="000000" w:themeColor="text1"/>
          <w:sz w:val="28"/>
          <w:szCs w:val="28"/>
          <w:vertAlign w:val="superscript"/>
        </w:rPr>
        <w:t>2</w:t>
      </w:r>
      <w:r>
        <w:rPr>
          <w:rFonts w:eastAsiaTheme="minorEastAsia"/>
          <w:color w:val="000000" w:themeColor="text1"/>
          <w:sz w:val="28"/>
          <w:szCs w:val="28"/>
        </w:rPr>
        <w:t>）；</w:t>
      </w:r>
    </w:p>
    <w:p>
      <w:pPr>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g</w:t>
      </w:r>
      <w:r>
        <w:rPr>
          <w:rFonts w:eastAsiaTheme="minorEastAsia"/>
          <w:color w:val="000000" w:themeColor="text1"/>
          <w:sz w:val="28"/>
          <w:szCs w:val="28"/>
        </w:rPr>
        <w:t>——重力加速度（m/s</w:t>
      </w:r>
      <w:r>
        <w:rPr>
          <w:rFonts w:eastAsiaTheme="minorEastAsia"/>
          <w:color w:val="000000" w:themeColor="text1"/>
          <w:sz w:val="28"/>
          <w:szCs w:val="28"/>
          <w:vertAlign w:val="superscript"/>
        </w:rPr>
        <w:t>2</w:t>
      </w:r>
      <w:r>
        <w:rPr>
          <w:rFonts w:eastAsiaTheme="minorEastAsia"/>
          <w:color w:val="000000" w:themeColor="text1"/>
          <w:sz w:val="28"/>
          <w:szCs w:val="28"/>
        </w:rPr>
        <w:t>）</w:t>
      </w:r>
    </w:p>
    <w:p>
      <w:pPr>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h</w:t>
      </w:r>
      <w:r>
        <w:rPr>
          <w:rFonts w:eastAsiaTheme="minorEastAsia"/>
          <w:color w:val="000000" w:themeColor="text1"/>
          <w:sz w:val="28"/>
          <w:szCs w:val="28"/>
        </w:rPr>
        <w:t>——调蓄池水深(m)。</w:t>
      </w:r>
    </w:p>
    <w:p>
      <w:pPr>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采用水泵排空的调蓄池，放空时间可按下式计算：</w:t>
      </w:r>
    </w:p>
    <w:p>
      <w:pPr>
        <w:wordWrap w:val="0"/>
        <w:spacing w:line="360" w:lineRule="auto"/>
        <w:jc w:val="right"/>
        <w:rPr>
          <w:rFonts w:eastAsiaTheme="minorEastAsia"/>
          <w:color w:val="000000" w:themeColor="text1"/>
          <w:sz w:val="28"/>
          <w:szCs w:val="28"/>
        </w:rPr>
      </w:pPr>
      <w:r>
        <w:rPr>
          <w:rFonts w:eastAsiaTheme="minorEastAsia"/>
          <w:color w:val="000000" w:themeColor="text1"/>
          <w:sz w:val="28"/>
          <w:szCs w:val="28"/>
        </w:rPr>
        <w:drawing>
          <wp:inline distT="0" distB="0" distL="0" distR="0">
            <wp:extent cx="1000125" cy="46545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31" cstate="print"/>
                    <a:srcRect/>
                    <a:stretch>
                      <a:fillRect/>
                    </a:stretch>
                  </pic:blipFill>
                  <pic:spPr>
                    <a:xfrm>
                      <a:off x="0" y="0"/>
                      <a:ext cx="1016277" cy="473094"/>
                    </a:xfrm>
                    <a:prstGeom prst="rect">
                      <a:avLst/>
                    </a:prstGeom>
                    <a:noFill/>
                    <a:ln w="9525">
                      <a:noFill/>
                      <a:miter lim="800000"/>
                      <a:headEnd/>
                      <a:tailEnd/>
                    </a:ln>
                  </pic:spPr>
                </pic:pic>
              </a:graphicData>
            </a:graphic>
          </wp:inline>
        </w:drawing>
      </w:r>
      <w:r>
        <w:rPr>
          <w:rFonts w:eastAsiaTheme="minorEastAsia"/>
          <w:color w:val="000000" w:themeColor="text1"/>
          <w:sz w:val="28"/>
          <w:szCs w:val="28"/>
        </w:rPr>
        <w:t xml:space="preserve">               （5.1</w:t>
      </w:r>
      <w:r>
        <w:rPr>
          <w:rFonts w:hint="eastAsia" w:eastAsiaTheme="minorEastAsia"/>
          <w:color w:val="000000" w:themeColor="text1"/>
          <w:sz w:val="28"/>
          <w:szCs w:val="28"/>
        </w:rPr>
        <w:t>4</w:t>
      </w:r>
      <w:r>
        <w:rPr>
          <w:rFonts w:eastAsiaTheme="minorEastAsia"/>
          <w:color w:val="000000" w:themeColor="text1"/>
          <w:sz w:val="28"/>
          <w:szCs w:val="28"/>
        </w:rPr>
        <w:t>.7-3）</w:t>
      </w:r>
    </w:p>
    <w:p>
      <w:pPr>
        <w:spacing w:line="360" w:lineRule="auto"/>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t</w:t>
      </w:r>
      <w:r>
        <w:rPr>
          <w:rFonts w:eastAsiaTheme="minorEastAsia"/>
          <w:color w:val="000000" w:themeColor="text1"/>
          <w:sz w:val="28"/>
          <w:szCs w:val="28"/>
          <w:vertAlign w:val="subscript"/>
        </w:rPr>
        <w:t>o</w:t>
      </w:r>
      <w:r>
        <w:rPr>
          <w:rFonts w:eastAsiaTheme="minorEastAsia"/>
          <w:color w:val="000000" w:themeColor="text1"/>
          <w:sz w:val="28"/>
          <w:szCs w:val="28"/>
        </w:rPr>
        <w:t>——放空时间（h）；</w:t>
      </w:r>
    </w:p>
    <w:p>
      <w:pPr>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V</w:t>
      </w:r>
      <w:r>
        <w:rPr>
          <w:rFonts w:eastAsiaTheme="minorEastAsia"/>
          <w:color w:val="000000" w:themeColor="text1"/>
          <w:sz w:val="28"/>
          <w:szCs w:val="28"/>
        </w:rPr>
        <w:t>——调蓄量或调蓄设施有效容积（m</w:t>
      </w:r>
      <w:r>
        <w:rPr>
          <w:rFonts w:eastAsiaTheme="minorEastAsia"/>
          <w:color w:val="000000" w:themeColor="text1"/>
          <w:sz w:val="28"/>
          <w:szCs w:val="28"/>
          <w:vertAlign w:val="superscript"/>
        </w:rPr>
        <w:t>3</w:t>
      </w:r>
      <w:r>
        <w:rPr>
          <w:rFonts w:eastAsiaTheme="minorEastAsia"/>
          <w:color w:val="000000" w:themeColor="text1"/>
          <w:sz w:val="28"/>
          <w:szCs w:val="28"/>
        </w:rPr>
        <w:t>）；</w:t>
      </w:r>
    </w:p>
    <w:p>
      <w:pPr>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′——下游排水管渠或设施的受纳能力（m</w:t>
      </w:r>
      <w:r>
        <w:rPr>
          <w:rFonts w:eastAsiaTheme="minorEastAsia"/>
          <w:color w:val="000000" w:themeColor="text1"/>
          <w:sz w:val="28"/>
          <w:szCs w:val="28"/>
          <w:vertAlign w:val="superscript"/>
        </w:rPr>
        <w:t>3</w:t>
      </w:r>
      <w:r>
        <w:rPr>
          <w:rFonts w:eastAsiaTheme="minorEastAsia"/>
          <w:color w:val="000000" w:themeColor="text1"/>
          <w:sz w:val="28"/>
          <w:szCs w:val="28"/>
        </w:rPr>
        <w:t>/s）；</w:t>
      </w:r>
    </w:p>
    <w:p>
      <w:pPr>
        <w:spacing w:line="360" w:lineRule="auto"/>
        <w:ind w:firstLine="848" w:firstLineChars="303"/>
        <w:rPr>
          <w:rFonts w:eastAsiaTheme="minorEastAsia"/>
          <w:color w:val="000000" w:themeColor="text1"/>
          <w:sz w:val="28"/>
          <w:szCs w:val="28"/>
        </w:rPr>
      </w:pPr>
      <w:r>
        <w:rPr>
          <w:rFonts w:eastAsiaTheme="minorEastAsia"/>
          <w:i/>
          <w:color w:val="000000" w:themeColor="text1"/>
          <w:sz w:val="28"/>
          <w:szCs w:val="28"/>
        </w:rPr>
        <w:t>η</w:t>
      </w:r>
      <w:r>
        <w:rPr>
          <w:rFonts w:eastAsiaTheme="minorEastAsia"/>
          <w:color w:val="000000" w:themeColor="text1"/>
          <w:sz w:val="28"/>
          <w:szCs w:val="28"/>
        </w:rPr>
        <w:t>——排放效率。</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条文说明】调蓄池放空可采用重力放空、水泵排空和两者相结合的方式。上海市苏州河环境综合整治工程中建设的江苏路调蓄池、成都路调蓄池和梦清园调蓄池等均采用重力放空和水泵排空相结合的方式，其中梦清园调蓄池25000m</w:t>
      </w:r>
      <w:r>
        <w:rPr>
          <w:rFonts w:eastAsiaTheme="minorEastAsia"/>
          <w:color w:val="000000" w:themeColor="text1"/>
          <w:sz w:val="28"/>
          <w:szCs w:val="28"/>
          <w:vertAlign w:val="superscript"/>
        </w:rPr>
        <w:t>3</w:t>
      </w:r>
      <w:r>
        <w:rPr>
          <w:rFonts w:eastAsiaTheme="minorEastAsia"/>
          <w:color w:val="000000" w:themeColor="text1"/>
          <w:sz w:val="28"/>
          <w:szCs w:val="28"/>
        </w:rPr>
        <w:t>有效容积中，重力放空部分的容积为18000m</w:t>
      </w:r>
      <w:r>
        <w:rPr>
          <w:rFonts w:eastAsiaTheme="minorEastAsia"/>
          <w:color w:val="000000" w:themeColor="text1"/>
          <w:sz w:val="28"/>
          <w:szCs w:val="28"/>
          <w:vertAlign w:val="superscript"/>
        </w:rPr>
        <w:t>3</w:t>
      </w:r>
      <w:r>
        <w:rPr>
          <w:rFonts w:eastAsiaTheme="minorEastAsia"/>
          <w:color w:val="000000" w:themeColor="text1"/>
          <w:sz w:val="28"/>
          <w:szCs w:val="28"/>
        </w:rPr>
        <w:t>，DN 1400放空管的最大流量可达10.6m</w:t>
      </w:r>
      <w:r>
        <w:rPr>
          <w:rFonts w:eastAsiaTheme="minorEastAsia"/>
          <w:color w:val="000000" w:themeColor="text1"/>
          <w:sz w:val="28"/>
          <w:szCs w:val="28"/>
          <w:vertAlign w:val="superscript"/>
        </w:rPr>
        <w:t>3</w:t>
      </w:r>
      <w:r>
        <w:rPr>
          <w:rFonts w:eastAsiaTheme="minorEastAsia"/>
          <w:color w:val="000000" w:themeColor="text1"/>
          <w:sz w:val="28"/>
          <w:szCs w:val="28"/>
        </w:rPr>
        <w:t>/s，重力放空耗时约1h。</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重力放空的优点是无需电力或机械驱动，符合节能环保政策，且控制简单。依靠重力排放的调蓄池，其出口流量随调蓄池上下游水位的变化而改变，出流过程线也随之改变。因此，确定调蓄池的容积时，应考虑出流过程线的变化。采用式（5.14.7-2）时，还需事先确定调蓄池表面积</w:t>
      </w:r>
      <w:r>
        <w:rPr>
          <w:rFonts w:eastAsiaTheme="minorEastAsia"/>
          <w:i/>
          <w:color w:val="000000" w:themeColor="text1"/>
          <w:sz w:val="28"/>
          <w:szCs w:val="28"/>
        </w:rPr>
        <w:t>A</w:t>
      </w:r>
      <w:r>
        <w:rPr>
          <w:rFonts w:eastAsiaTheme="minorEastAsia"/>
          <w:color w:val="000000" w:themeColor="text1"/>
          <w:sz w:val="28"/>
          <w:szCs w:val="28"/>
          <w:vertAlign w:val="subscript"/>
        </w:rPr>
        <w:t>t</w:t>
      </w:r>
      <w:r>
        <w:rPr>
          <w:rFonts w:eastAsiaTheme="minorEastAsia"/>
          <w:color w:val="000000" w:themeColor="text1"/>
          <w:sz w:val="28"/>
          <w:szCs w:val="28"/>
        </w:rPr>
        <w:t>随水位</w:t>
      </w:r>
      <w:r>
        <w:rPr>
          <w:rFonts w:eastAsiaTheme="minorEastAsia"/>
          <w:i/>
          <w:color w:val="000000" w:themeColor="text1"/>
          <w:sz w:val="28"/>
          <w:szCs w:val="28"/>
        </w:rPr>
        <w:t>h</w:t>
      </w:r>
      <w:r>
        <w:rPr>
          <w:rFonts w:eastAsiaTheme="minorEastAsia"/>
          <w:color w:val="000000" w:themeColor="text1"/>
          <w:sz w:val="28"/>
          <w:szCs w:val="28"/>
        </w:rPr>
        <w:t>变化的关系。对于矩形或圆形调蓄设施等表面积不随水深发生变化的调蓄池，如不考虑调蓄池水深变化对出流流速的影响，调蓄池的出流可简化按恒定流计算，其放空时间可按下式估算：</w:t>
      </w:r>
    </w:p>
    <w:p>
      <w:pPr>
        <w:wordWrap w:val="0"/>
        <w:spacing w:line="360" w:lineRule="auto"/>
        <w:ind w:firstLine="565" w:firstLineChars="202"/>
        <w:jc w:val="right"/>
        <w:rPr>
          <w:rFonts w:eastAsiaTheme="minorEastAsia"/>
          <w:sz w:val="28"/>
          <w:szCs w:val="28"/>
          <w:lang w:val="pt-BR"/>
        </w:rPr>
      </w:pPr>
      <m:oMath>
        <m:sSub>
          <m:sSubPr>
            <m:ctrlPr>
              <w:rPr>
                <w:rFonts w:ascii="Cambria Math" w:hAnsi="Cambria Math" w:eastAsiaTheme="minorEastAsia"/>
                <w:sz w:val="28"/>
                <w:szCs w:val="28"/>
                <w:lang w:val="pt-BR"/>
              </w:rPr>
            </m:ctrlPr>
          </m:sSubPr>
          <m:e>
            <m:r>
              <m:rPr>
                <m:nor/>
              </m:rPr>
              <w:rPr>
                <w:rFonts w:eastAsiaTheme="minorEastAsia"/>
                <w:i/>
                <w:sz w:val="28"/>
                <w:szCs w:val="28"/>
                <w:lang w:val="pt-BR"/>
              </w:rPr>
              <m:t>t</m:t>
            </m:r>
            <m:ctrlPr>
              <w:rPr>
                <w:rFonts w:ascii="Cambria Math" w:hAnsi="Cambria Math" w:eastAsiaTheme="minorEastAsia"/>
                <w:sz w:val="28"/>
                <w:szCs w:val="28"/>
                <w:lang w:val="pt-BR"/>
              </w:rPr>
            </m:ctrlPr>
          </m:e>
          <m:sub>
            <m:r>
              <m:rPr>
                <m:nor/>
                <m:sty m:val="p"/>
              </m:rPr>
              <w:rPr>
                <w:rFonts w:eastAsiaTheme="minorEastAsia"/>
                <w:b w:val="0"/>
                <w:i w:val="0"/>
                <w:sz w:val="28"/>
                <w:szCs w:val="28"/>
                <w:lang w:val="pt-BR"/>
              </w:rPr>
              <m:t>o</m:t>
            </m:r>
            <m:ctrlPr>
              <w:rPr>
                <w:rFonts w:ascii="Cambria Math" w:hAnsi="Cambria Math" w:eastAsiaTheme="minorEastAsia"/>
                <w:sz w:val="28"/>
                <w:szCs w:val="28"/>
                <w:lang w:val="pt-BR"/>
              </w:rPr>
            </m:ctrlPr>
          </m:sub>
        </m:sSub>
        <m:r>
          <m:rPr>
            <m:nor/>
            <m:sty m:val="p"/>
          </m:rPr>
          <w:rPr>
            <w:rFonts w:eastAsiaTheme="minorEastAsia"/>
            <w:b w:val="0"/>
            <w:i w:val="0"/>
            <w:sz w:val="28"/>
            <w:szCs w:val="28"/>
            <w:lang w:val="pt-BR"/>
          </w:rPr>
          <m:t>=</m:t>
        </m:r>
        <m:f>
          <m:fPr>
            <m:ctrlPr>
              <w:rPr>
                <w:rFonts w:ascii="Cambria Math" w:hAnsi="Cambria Math" w:eastAsiaTheme="minorEastAsia"/>
                <w:i/>
                <w:sz w:val="28"/>
                <w:szCs w:val="28"/>
                <w:lang w:val="pt-BR"/>
              </w:rPr>
            </m:ctrlPr>
          </m:fPr>
          <m:num>
            <m:sSub>
              <m:sSubPr>
                <m:ctrlPr>
                  <w:rPr>
                    <w:rFonts w:ascii="Cambria Math" w:hAnsi="Cambria Math" w:eastAsiaTheme="minorEastAsia"/>
                    <w:i/>
                    <w:sz w:val="28"/>
                    <w:szCs w:val="28"/>
                    <w:lang w:val="pt-BR"/>
                  </w:rPr>
                </m:ctrlPr>
              </m:sSubPr>
              <m:e>
                <m:r>
                  <m:rPr>
                    <m:nor/>
                  </m:rPr>
                  <w:rPr>
                    <w:rFonts w:eastAsiaTheme="minorEastAsia"/>
                    <w:i/>
                    <w:sz w:val="28"/>
                    <w:szCs w:val="28"/>
                    <w:lang w:val="pt-BR"/>
                  </w:rPr>
                  <m:t>h</m:t>
                </m:r>
                <m:ctrlPr>
                  <w:rPr>
                    <w:rFonts w:ascii="Cambria Math" w:hAnsi="Cambria Math" w:eastAsiaTheme="minorEastAsia"/>
                    <w:i/>
                    <w:sz w:val="28"/>
                    <w:szCs w:val="28"/>
                    <w:lang w:val="pt-BR"/>
                  </w:rPr>
                </m:ctrlPr>
              </m:e>
              <m:sub>
                <m:r>
                  <m:rPr>
                    <m:nor/>
                    <m:sty m:val="p"/>
                  </m:rPr>
                  <w:rPr>
                    <w:rFonts w:eastAsiaTheme="minorEastAsia"/>
                    <w:b w:val="0"/>
                    <w:i w:val="0"/>
                    <w:sz w:val="28"/>
                    <w:szCs w:val="28"/>
                    <w:lang w:val="pt-BR"/>
                  </w:rPr>
                  <m:t>1</m:t>
                </m:r>
                <m:ctrlPr>
                  <w:rPr>
                    <w:rFonts w:ascii="Cambria Math" w:hAnsi="Cambria Math" w:eastAsiaTheme="minorEastAsia"/>
                    <w:i/>
                    <w:sz w:val="28"/>
                    <w:szCs w:val="28"/>
                    <w:lang w:val="pt-BR"/>
                  </w:rPr>
                </m:ctrlPr>
              </m:sub>
            </m:sSub>
            <m:r>
              <m:rPr>
                <m:nor/>
                <m:sty m:val="p"/>
              </m:rPr>
              <w:rPr>
                <w:rFonts w:eastAsiaTheme="minorEastAsia"/>
                <w:b w:val="0"/>
                <w:i w:val="0"/>
                <w:sz w:val="28"/>
                <w:szCs w:val="28"/>
                <w:lang w:val="pt-BR"/>
              </w:rPr>
              <m:t>-</m:t>
            </m:r>
            <m:sSub>
              <m:sSubPr>
                <m:ctrlPr>
                  <w:rPr>
                    <w:rFonts w:ascii="Cambria Math" w:hAnsi="Cambria Math" w:eastAsiaTheme="minorEastAsia"/>
                    <w:i/>
                    <w:sz w:val="28"/>
                    <w:szCs w:val="28"/>
                    <w:lang w:val="pt-BR"/>
                  </w:rPr>
                </m:ctrlPr>
              </m:sSubPr>
              <m:e>
                <m:r>
                  <m:rPr>
                    <m:nor/>
                  </m:rPr>
                  <w:rPr>
                    <w:rFonts w:eastAsiaTheme="minorEastAsia"/>
                    <w:i/>
                    <w:sz w:val="28"/>
                    <w:szCs w:val="28"/>
                    <w:lang w:val="pt-BR"/>
                  </w:rPr>
                  <m:t>h</m:t>
                </m:r>
                <m:ctrlPr>
                  <w:rPr>
                    <w:rFonts w:ascii="Cambria Math" w:hAnsi="Cambria Math" w:eastAsiaTheme="minorEastAsia"/>
                    <w:i/>
                    <w:sz w:val="28"/>
                    <w:szCs w:val="28"/>
                    <w:lang w:val="pt-BR"/>
                  </w:rPr>
                </m:ctrlPr>
              </m:e>
              <m:sub>
                <m:r>
                  <m:rPr>
                    <m:nor/>
                    <m:sty m:val="p"/>
                  </m:rPr>
                  <w:rPr>
                    <w:rFonts w:eastAsiaTheme="minorEastAsia"/>
                    <w:b w:val="0"/>
                    <w:i w:val="0"/>
                    <w:sz w:val="28"/>
                    <w:szCs w:val="28"/>
                    <w:lang w:val="pt-BR"/>
                  </w:rPr>
                  <m:t>2</m:t>
                </m:r>
                <m:ctrlPr>
                  <w:rPr>
                    <w:rFonts w:ascii="Cambria Math" w:hAnsi="Cambria Math" w:eastAsiaTheme="minorEastAsia"/>
                    <w:i/>
                    <w:sz w:val="28"/>
                    <w:szCs w:val="28"/>
                    <w:lang w:val="pt-BR"/>
                  </w:rPr>
                </m:ctrlPr>
              </m:sub>
            </m:sSub>
            <m:ctrlPr>
              <w:rPr>
                <w:rFonts w:ascii="Cambria Math" w:hAnsi="Cambria Math" w:eastAsiaTheme="minorEastAsia"/>
                <w:i/>
                <w:sz w:val="28"/>
                <w:szCs w:val="28"/>
                <w:lang w:val="pt-BR"/>
              </w:rPr>
            </m:ctrlPr>
          </m:num>
          <m:den>
            <m:sSub>
              <m:sSubPr>
                <m:ctrlPr>
                  <w:rPr>
                    <w:rFonts w:ascii="Cambria Math" w:hAnsi="Cambria Math" w:eastAsiaTheme="minorEastAsia"/>
                    <w:i/>
                    <w:sz w:val="28"/>
                    <w:szCs w:val="28"/>
                    <w:lang w:val="pt-BR"/>
                  </w:rPr>
                </m:ctrlPr>
              </m:sSubPr>
              <m:e>
                <m:r>
                  <m:rPr>
                    <m:nor/>
                  </m:rPr>
                  <w:rPr>
                    <w:rFonts w:eastAsiaTheme="minorEastAsia"/>
                    <w:i/>
                    <w:sz w:val="28"/>
                    <w:szCs w:val="28"/>
                    <w:lang w:val="pt-BR"/>
                  </w:rPr>
                  <m:t>C</m:t>
                </m:r>
                <m:ctrlPr>
                  <w:rPr>
                    <w:rFonts w:ascii="Cambria Math" w:hAnsi="Cambria Math" w:eastAsiaTheme="minorEastAsia"/>
                    <w:i/>
                    <w:sz w:val="28"/>
                    <w:szCs w:val="28"/>
                    <w:lang w:val="pt-BR"/>
                  </w:rPr>
                </m:ctrlPr>
              </m:e>
              <m:sub>
                <m:r>
                  <m:rPr>
                    <m:nor/>
                    <m:sty m:val="p"/>
                  </m:rPr>
                  <w:rPr>
                    <w:rFonts w:eastAsiaTheme="minorEastAsia"/>
                    <w:b w:val="0"/>
                    <w:i w:val="0"/>
                    <w:sz w:val="28"/>
                    <w:szCs w:val="28"/>
                    <w:lang w:val="pt-BR"/>
                  </w:rPr>
                  <m:t>d</m:t>
                </m:r>
                <m:ctrlPr>
                  <w:rPr>
                    <w:rFonts w:ascii="Cambria Math" w:hAnsi="Cambria Math" w:eastAsiaTheme="minorEastAsia"/>
                    <w:i/>
                    <w:sz w:val="28"/>
                    <w:szCs w:val="28"/>
                    <w:lang w:val="pt-BR"/>
                  </w:rPr>
                </m:ctrlPr>
              </m:sub>
            </m:sSub>
            <m:rad>
              <m:radPr>
                <m:degHide m:val="1"/>
                <m:ctrlPr>
                  <w:rPr>
                    <w:rFonts w:ascii="Cambria Math" w:hAnsi="Cambria Math" w:eastAsiaTheme="minorEastAsia"/>
                    <w:i/>
                    <w:sz w:val="28"/>
                    <w:szCs w:val="28"/>
                    <w:lang w:val="pt-BR"/>
                  </w:rPr>
                </m:ctrlPr>
              </m:radPr>
              <m:deg>
                <m:ctrlPr>
                  <w:rPr>
                    <w:rFonts w:ascii="Cambria Math" w:hAnsi="Cambria Math" w:eastAsiaTheme="minorEastAsia"/>
                    <w:i/>
                    <w:sz w:val="28"/>
                    <w:szCs w:val="28"/>
                    <w:lang w:val="pt-BR"/>
                  </w:rPr>
                </m:ctrlPr>
              </m:deg>
              <m:e>
                <m:r>
                  <m:rPr>
                    <m:nor/>
                  </m:rPr>
                  <w:rPr>
                    <w:rFonts w:eastAsiaTheme="minorEastAsia"/>
                    <w:i/>
                    <w:sz w:val="28"/>
                    <w:szCs w:val="28"/>
                    <w:lang w:val="pt-BR"/>
                  </w:rPr>
                  <m:t>g</m:t>
                </m:r>
                <m:r>
                  <m:rPr>
                    <m:nor/>
                    <m:sty m:val="p"/>
                  </m:rPr>
                  <w:rPr>
                    <w:rFonts w:eastAsiaTheme="minorEastAsia"/>
                    <w:b w:val="0"/>
                    <w:i w:val="0"/>
                    <w:sz w:val="28"/>
                    <w:szCs w:val="28"/>
                    <w:lang w:val="pt-BR"/>
                  </w:rPr>
                  <m:t>(</m:t>
                </m:r>
                <m:sSub>
                  <m:sSubPr>
                    <m:ctrlPr>
                      <w:rPr>
                        <w:rFonts w:ascii="Cambria Math" w:hAnsi="Cambria Math" w:eastAsiaTheme="minorEastAsia"/>
                        <w:i/>
                        <w:sz w:val="28"/>
                        <w:szCs w:val="28"/>
                        <w:lang w:val="pt-BR"/>
                      </w:rPr>
                    </m:ctrlPr>
                  </m:sSubPr>
                  <m:e>
                    <m:r>
                      <m:rPr>
                        <m:nor/>
                      </m:rPr>
                      <w:rPr>
                        <w:rFonts w:eastAsiaTheme="minorEastAsia"/>
                        <w:i/>
                        <w:sz w:val="28"/>
                        <w:szCs w:val="28"/>
                        <w:lang w:val="pt-BR"/>
                      </w:rPr>
                      <m:t>h</m:t>
                    </m:r>
                    <m:ctrlPr>
                      <w:rPr>
                        <w:rFonts w:ascii="Cambria Math" w:hAnsi="Cambria Math" w:eastAsiaTheme="minorEastAsia"/>
                        <w:i/>
                        <w:sz w:val="28"/>
                        <w:szCs w:val="28"/>
                        <w:lang w:val="pt-BR"/>
                      </w:rPr>
                    </m:ctrlPr>
                  </m:e>
                  <m:sub>
                    <m:r>
                      <m:rPr>
                        <m:nor/>
                        <m:sty m:val="p"/>
                      </m:rPr>
                      <w:rPr>
                        <w:rFonts w:eastAsiaTheme="minorEastAsia"/>
                        <w:b w:val="0"/>
                        <w:i w:val="0"/>
                        <w:sz w:val="28"/>
                        <w:szCs w:val="28"/>
                        <w:lang w:val="pt-BR"/>
                      </w:rPr>
                      <m:t>1</m:t>
                    </m:r>
                    <m:ctrlPr>
                      <w:rPr>
                        <w:rFonts w:ascii="Cambria Math" w:hAnsi="Cambria Math" w:eastAsiaTheme="minorEastAsia"/>
                        <w:i/>
                        <w:sz w:val="28"/>
                        <w:szCs w:val="28"/>
                        <w:lang w:val="pt-BR"/>
                      </w:rPr>
                    </m:ctrlPr>
                  </m:sub>
                </m:sSub>
                <m:r>
                  <m:rPr>
                    <m:nor/>
                    <m:sty m:val="p"/>
                  </m:rPr>
                  <w:rPr>
                    <w:rFonts w:eastAsiaTheme="minorEastAsia"/>
                    <w:b w:val="0"/>
                    <w:i w:val="0"/>
                    <w:sz w:val="28"/>
                    <w:szCs w:val="28"/>
                    <w:lang w:val="pt-BR"/>
                  </w:rPr>
                  <m:t>-</m:t>
                </m:r>
                <m:sSub>
                  <m:sSubPr>
                    <m:ctrlPr>
                      <w:rPr>
                        <w:rFonts w:ascii="Cambria Math" w:hAnsi="Cambria Math" w:eastAsiaTheme="minorEastAsia"/>
                        <w:i/>
                        <w:sz w:val="28"/>
                        <w:szCs w:val="28"/>
                        <w:lang w:val="pt-BR"/>
                      </w:rPr>
                    </m:ctrlPr>
                  </m:sSubPr>
                  <m:e>
                    <m:r>
                      <m:rPr>
                        <m:nor/>
                      </m:rPr>
                      <w:rPr>
                        <w:rFonts w:eastAsiaTheme="minorEastAsia"/>
                        <w:i/>
                        <w:sz w:val="28"/>
                        <w:szCs w:val="28"/>
                        <w:lang w:val="pt-BR"/>
                      </w:rPr>
                      <m:t>h</m:t>
                    </m:r>
                    <m:ctrlPr>
                      <w:rPr>
                        <w:rFonts w:ascii="Cambria Math" w:hAnsi="Cambria Math" w:eastAsiaTheme="minorEastAsia"/>
                        <w:i/>
                        <w:sz w:val="28"/>
                        <w:szCs w:val="28"/>
                        <w:lang w:val="pt-BR"/>
                      </w:rPr>
                    </m:ctrlPr>
                  </m:e>
                  <m:sub>
                    <m:r>
                      <m:rPr>
                        <m:nor/>
                        <m:sty m:val="p"/>
                      </m:rPr>
                      <w:rPr>
                        <w:rFonts w:eastAsiaTheme="minorEastAsia"/>
                        <w:b w:val="0"/>
                        <w:i w:val="0"/>
                        <w:sz w:val="28"/>
                        <w:szCs w:val="28"/>
                        <w:lang w:val="pt-BR"/>
                      </w:rPr>
                      <m:t>2</m:t>
                    </m:r>
                    <m:ctrlPr>
                      <w:rPr>
                        <w:rFonts w:ascii="Cambria Math" w:hAnsi="Cambria Math" w:eastAsiaTheme="minorEastAsia"/>
                        <w:i/>
                        <w:sz w:val="28"/>
                        <w:szCs w:val="28"/>
                        <w:lang w:val="pt-BR"/>
                      </w:rPr>
                    </m:ctrlPr>
                  </m:sub>
                </m:sSub>
                <m:r>
                  <m:rPr>
                    <m:nor/>
                    <m:sty m:val="p"/>
                  </m:rPr>
                  <w:rPr>
                    <w:rFonts w:eastAsiaTheme="minorEastAsia"/>
                    <w:b w:val="0"/>
                    <w:i w:val="0"/>
                    <w:sz w:val="28"/>
                    <w:szCs w:val="28"/>
                    <w:lang w:val="pt-BR"/>
                  </w:rPr>
                  <m:t>)</m:t>
                </m:r>
                <m:ctrlPr>
                  <w:rPr>
                    <w:rFonts w:ascii="Cambria Math" w:hAnsi="Cambria Math" w:eastAsiaTheme="minorEastAsia"/>
                    <w:i/>
                    <w:sz w:val="28"/>
                    <w:szCs w:val="28"/>
                    <w:lang w:val="pt-BR"/>
                  </w:rPr>
                </m:ctrlPr>
              </m:e>
            </m:rad>
            <m:ctrlPr>
              <w:rPr>
                <w:rFonts w:ascii="Cambria Math" w:hAnsi="Cambria Math" w:eastAsiaTheme="minorEastAsia"/>
                <w:i/>
                <w:sz w:val="28"/>
                <w:szCs w:val="28"/>
                <w:lang w:val="pt-BR"/>
              </w:rPr>
            </m:ctrlPr>
          </m:den>
        </m:f>
      </m:oMath>
      <w:r>
        <w:rPr>
          <w:rFonts w:eastAsiaTheme="minorEastAsia"/>
          <w:sz w:val="28"/>
          <w:szCs w:val="28"/>
          <w:lang w:val="pt-BR"/>
        </w:rPr>
        <w:t xml:space="preserve">                       (3)</w:t>
      </w:r>
    </w:p>
    <w:p>
      <w:pPr>
        <w:spacing w:line="360" w:lineRule="auto"/>
        <w:ind w:firstLine="565" w:firstLineChars="202"/>
        <w:rPr>
          <w:rFonts w:eastAsiaTheme="minorEastAsia"/>
          <w:sz w:val="28"/>
          <w:szCs w:val="28"/>
        </w:rPr>
      </w:pPr>
      <w:r>
        <w:rPr>
          <w:rFonts w:eastAsiaTheme="minorEastAsia"/>
          <w:sz w:val="28"/>
          <w:szCs w:val="28"/>
        </w:rPr>
        <w:t>式（</w:t>
      </w:r>
      <w:r>
        <w:rPr>
          <w:rFonts w:eastAsiaTheme="minorEastAsia"/>
          <w:color w:val="000000" w:themeColor="text1"/>
          <w:sz w:val="28"/>
          <w:szCs w:val="28"/>
        </w:rPr>
        <w:t>5.14</w:t>
      </w:r>
      <w:r>
        <w:rPr>
          <w:rFonts w:eastAsiaTheme="minorEastAsia"/>
          <w:sz w:val="28"/>
          <w:szCs w:val="28"/>
        </w:rPr>
        <w:t>.7-1）和式（</w:t>
      </w:r>
      <w:r>
        <w:rPr>
          <w:rFonts w:eastAsiaTheme="minorEastAsia"/>
          <w:color w:val="000000" w:themeColor="text1"/>
          <w:sz w:val="28"/>
          <w:szCs w:val="28"/>
        </w:rPr>
        <w:t>5.14</w:t>
      </w:r>
      <w:r>
        <w:rPr>
          <w:rFonts w:eastAsiaTheme="minorEastAsia"/>
          <w:sz w:val="28"/>
          <w:szCs w:val="28"/>
        </w:rPr>
        <w:t>.7-2）仅考虑了调蓄设施出口处的水头损失，没有考虑出流管道引起的沿程和局部水头损失，因此仅适用于调蓄池出水就近排放的情况。当排放口离调蓄池较远时，应根据管道直径、长度和阻力情况等因素计算出流速度，</w:t>
      </w:r>
      <w:r>
        <w:rPr>
          <w:rFonts w:eastAsiaTheme="minorEastAsia"/>
          <w:sz w:val="28"/>
          <w:szCs w:val="28"/>
          <w:lang w:val="pt-BR"/>
        </w:rPr>
        <w:t>并通过积分计算放空时间。</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水泵排空和重力放空相比，工程造价和运行维护费用高。当采用水泵排空时，考虑到下游管渠和相关设施的受纳能力的变化、水泵能耗、水泵启闭次数等因素，设置排放效率</w:t>
      </w:r>
      <w:r>
        <w:rPr>
          <w:rFonts w:eastAsiaTheme="minorEastAsia"/>
          <w:i/>
          <w:color w:val="000000" w:themeColor="text1"/>
          <w:sz w:val="28"/>
          <w:szCs w:val="28"/>
        </w:rPr>
        <w:t>η</w:t>
      </w:r>
      <w:r>
        <w:rPr>
          <w:rFonts w:eastAsiaTheme="minorEastAsia"/>
          <w:color w:val="000000" w:themeColor="text1"/>
          <w:sz w:val="28"/>
          <w:szCs w:val="28"/>
        </w:rPr>
        <w:t>，一般可取0.3~0.9。当排放至受纳水体时，相关的影响因素较少，</w:t>
      </w:r>
      <w:r>
        <w:rPr>
          <w:rFonts w:eastAsiaTheme="minorEastAsia"/>
          <w:i/>
          <w:color w:val="000000" w:themeColor="text1"/>
          <w:sz w:val="28"/>
          <w:szCs w:val="28"/>
        </w:rPr>
        <w:t>η</w:t>
      </w:r>
      <w:r>
        <w:rPr>
          <w:rFonts w:eastAsiaTheme="minorEastAsia"/>
          <w:color w:val="000000" w:themeColor="text1"/>
          <w:sz w:val="28"/>
          <w:szCs w:val="28"/>
        </w:rPr>
        <w:t>可取大值；当排放至下游污水管道时，其实际受纳能力可能由于地区开发状况和系统运行方式的变化而改变，</w:t>
      </w:r>
      <w:r>
        <w:rPr>
          <w:rFonts w:eastAsiaTheme="minorEastAsia"/>
          <w:i/>
          <w:color w:val="000000" w:themeColor="text1"/>
          <w:sz w:val="28"/>
          <w:szCs w:val="28"/>
        </w:rPr>
        <w:t>η</w:t>
      </w:r>
      <w:r>
        <w:rPr>
          <w:rFonts w:eastAsiaTheme="minorEastAsia"/>
          <w:color w:val="000000" w:themeColor="text1"/>
          <w:sz w:val="28"/>
          <w:szCs w:val="28"/>
        </w:rPr>
        <w:t>宜取较小值。</w:t>
      </w:r>
    </w:p>
    <w:p>
      <w:pPr>
        <w:pStyle w:val="30"/>
        <w:numPr>
          <w:ilvl w:val="0"/>
          <w:numId w:val="2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雨水调蓄池应设置清洗、排气和除臭等附属设施和检修通道。</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雨水调蓄池使用一定时间后，特别是当调蓄池用于径流污染控制或削减排水管道峰值流量时，易沉淀积泥。因此，雨水调蓄池应设置清洗设施。清洗方式可分为人工清洗和水力清洗，人工清洗危险性大且费力，一般采用水力清洗，人工清洗为辅助手段。对于矩形池，可采用水力冲洗翻斗或水力自清洗装置；对于圆形池，可通过入水口和底部构造设计，形成进水自冲洗，或采用径向水力清洗装置。</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对全地下调蓄池来说，为防止有害气体在调蓄池内积聚，应提供有效的通风排气装置。经验表明， 4次～6次</w:t>
      </w:r>
      <w:r>
        <w:rPr>
          <w:rFonts w:hint="eastAsia" w:eastAsiaTheme="minorEastAsia"/>
          <w:color w:val="000000" w:themeColor="text1"/>
          <w:sz w:val="28"/>
          <w:szCs w:val="28"/>
        </w:rPr>
        <w:t>/hr</w:t>
      </w:r>
      <w:r>
        <w:rPr>
          <w:rFonts w:eastAsiaTheme="minorEastAsia"/>
          <w:color w:val="000000" w:themeColor="text1"/>
          <w:sz w:val="28"/>
          <w:szCs w:val="28"/>
        </w:rPr>
        <w:t>的空气交换量可以实现良好的通风排气效果。若需采用除臭设备时，设备选型应考虑调蓄池间歇运行、长时间空置的情况，除臭设备的运行应能和调蓄池工况相匹配。</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所有顶部封闭的大型地下调蓄池都需要设置维修人员和设备进出的检修孔，并在调蓄池内部设置单独的检查通道。检查通道一般设在调蓄池最高水位以上。</w:t>
      </w:r>
    </w:p>
    <w:p>
      <w:pPr>
        <w:pStyle w:val="30"/>
        <w:numPr>
          <w:ilvl w:val="0"/>
          <w:numId w:val="2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用于控制径流污染的雨水调蓄池出水应接入污水管网，当下</w:t>
      </w:r>
      <w:r>
        <w:rPr>
          <w:rFonts w:hint="eastAsia" w:ascii="Times New Roman" w:hAnsi="Times New Roman" w:eastAsiaTheme="minorEastAsia"/>
          <w:color w:val="000000" w:themeColor="text1"/>
          <w:sz w:val="28"/>
          <w:szCs w:val="28"/>
        </w:rPr>
        <w:t>游</w:t>
      </w:r>
      <w:r>
        <w:rPr>
          <w:rFonts w:ascii="Times New Roman" w:hAnsi="Times New Roman" w:eastAsiaTheme="minorEastAsia"/>
          <w:color w:val="000000" w:themeColor="text1"/>
          <w:sz w:val="28"/>
          <w:szCs w:val="28"/>
        </w:rPr>
        <w:t>污水处理系统不能满足雨水调蓄池放空要求时，应设置雨水调蓄池出水处理装置。</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降雨停止后，用于控制径流污染调蓄池的出水，一般接入下游污水管道输送至污水厂处理后排放。当下游污水系统在旱季时就已达到满负荷运行或下游污水系统的容量不能满足调蓄池放空速度的要求时，应将调蓄池出水处理后排放。国内外常用的处理装置包括格栅、旋流分离器、混凝沉淀池等，处理排放标准应考虑受纳水体的环境容量后确定。</w:t>
      </w:r>
    </w:p>
    <w:p>
      <w:pPr>
        <w:wordWrap w:val="0"/>
        <w:spacing w:line="360" w:lineRule="auto"/>
        <w:rPr>
          <w:rFonts w:eastAsiaTheme="minorEastAsia"/>
          <w:color w:val="000000" w:themeColor="text1"/>
          <w:sz w:val="28"/>
          <w:szCs w:val="28"/>
        </w:rPr>
      </w:pPr>
    </w:p>
    <w:p>
      <w:pPr>
        <w:pStyle w:val="3"/>
        <w:numPr>
          <w:ilvl w:val="0"/>
          <w:numId w:val="13"/>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35" w:name="_Toc515281048"/>
      <w:r>
        <w:rPr>
          <w:rFonts w:ascii="Times New Roman" w:hAnsi="Times New Roman" w:eastAsiaTheme="minorEastAsia"/>
          <w:b w:val="0"/>
          <w:color w:val="000000" w:themeColor="text1"/>
          <w:sz w:val="28"/>
          <w:szCs w:val="28"/>
        </w:rPr>
        <w:t>管道综合</w:t>
      </w:r>
      <w:bookmarkEnd w:id="35"/>
    </w:p>
    <w:p>
      <w:pPr>
        <w:pStyle w:val="30"/>
        <w:numPr>
          <w:ilvl w:val="0"/>
          <w:numId w:val="2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排水管道与其他地下管渠、建筑物、构筑物等相互间的位置，应符合下列规定：</w:t>
      </w:r>
    </w:p>
    <w:p>
      <w:pPr>
        <w:wordWrap w:val="0"/>
        <w:spacing w:line="360" w:lineRule="auto"/>
        <w:ind w:firstLine="568" w:firstLineChars="202"/>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敷设和检修管道时，不应互相影响；</w:t>
      </w:r>
    </w:p>
    <w:p>
      <w:pPr>
        <w:wordWrap w:val="0"/>
        <w:spacing w:line="360" w:lineRule="auto"/>
        <w:ind w:firstLine="568" w:firstLineChars="202"/>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排水管道损坏时，不应影响附近建筑物、构筑物的基础，不应污染生活饮用水。</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【条文说明】当地下管道多时，不仅应考虑到排水管道不应与其他管道互相影响，而且要考虑经常维护方便。</w:t>
      </w:r>
    </w:p>
    <w:p>
      <w:pPr>
        <w:pStyle w:val="30"/>
        <w:numPr>
          <w:ilvl w:val="0"/>
          <w:numId w:val="2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排水管道与其他地下管线（或构筑物）的水平和垂直最小净距，应根据两者的类型、高程、施工先后和管线损坏的后果等因素，按当地城市管道综合规划确定。亦可按本标准附录B采用。</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排水管道与其他地下管线（或构筑物）水平和垂直的最小净距，应由城镇规划部门或工业企业内部管道综合部门根据其管线类型、数量、高程、可敷设管线的地位大小等因素制定管道综合设计确定。附录B的规定是指一般情况下的最小间距，供管道综合时参考。</w:t>
      </w:r>
    </w:p>
    <w:p>
      <w:pPr>
        <w:pStyle w:val="30"/>
        <w:numPr>
          <w:ilvl w:val="0"/>
          <w:numId w:val="2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污水管道、合流管道和生活给水管道相交时，应敷设在生活给水管道的下面。</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【条文说明】本条制定的目的是防止污染生活给水管道。</w:t>
      </w:r>
    </w:p>
    <w:p>
      <w:pPr>
        <w:pStyle w:val="30"/>
        <w:numPr>
          <w:ilvl w:val="0"/>
          <w:numId w:val="2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再生水管道和生活给水管道、合流管道和污水管道相交时，应敷设在生活给水管道下面,宜敷设在合流管道和污水管道的上面。</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为避免污染生活给水管道，再生水管道应敷设在生活给水管道的下面，当不能满足时，必须有防止污染生活给水管道的措施。为避免污染再生水管道，再生水管道宜敷设在合流管道和污水管道的上面。</w:t>
      </w:r>
    </w:p>
    <w:p>
      <w:pPr>
        <w:pStyle w:val="30"/>
        <w:numPr>
          <w:ilvl w:val="0"/>
          <w:numId w:val="2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排水管道进入综合管廊应根据综合管廊工程规划确定，必须因地制宜，充分考虑排水系统规划、道路地势、相关河道水位等因素，合理布局，保证排水安全和综合管廊技术经济的合理。</w:t>
      </w:r>
    </w:p>
    <w:p>
      <w:pPr>
        <w:pStyle w:val="30"/>
        <w:numPr>
          <w:ilvl w:val="0"/>
          <w:numId w:val="2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综合管廊内的排水管道应按照管线管理单位的要求做标识区分，其设计还应符合现行国家标准《城市综合管廊工程技术规范》GB 50838中的相关规定。</w:t>
      </w:r>
    </w:p>
    <w:p>
      <w:pPr>
        <w:pStyle w:val="30"/>
        <w:numPr>
          <w:ilvl w:val="0"/>
          <w:numId w:val="2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排水管道及支户线入廊前、出廊后，应就近设置检修闸门或闸槽；廊内排水管道检查井（口）设置可结合各地排水管道检修、疏通设施水平，适当增大检查井（口）最小间距。</w:t>
      </w:r>
    </w:p>
    <w:p>
      <w:pPr>
        <w:pStyle w:val="30"/>
        <w:numPr>
          <w:ilvl w:val="0"/>
          <w:numId w:val="2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综合管廊内的排水管道应优先选用内壁粗糙度小的管道，管道之间、管道与检查井之间的连接必须可靠，宜采用整体性连接；采用柔性连接时，应有“抗拉脱”稳定设施。廊内排水管道应设置避免温度应力对管道稳定性影响的设施。</w:t>
      </w:r>
    </w:p>
    <w:p>
      <w:pPr>
        <w:pStyle w:val="30"/>
        <w:wordWrap w:val="0"/>
        <w:spacing w:line="360" w:lineRule="auto"/>
        <w:ind w:left="1"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【条文说明】综合管廊内的排水管道可选用钢管、球磨铸铁管、化学材料和复合材料等内壁粗糙度小管道，以防止管道淤积。</w:t>
      </w:r>
    </w:p>
    <w:p>
      <w:pPr>
        <w:pStyle w:val="30"/>
        <w:numPr>
          <w:ilvl w:val="0"/>
          <w:numId w:val="2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利用综合管廊结构本体排水系统，</w:t>
      </w:r>
      <w:r>
        <w:rPr>
          <w:rFonts w:ascii="Times New Roman" w:hAnsi="Times New Roman" w:eastAsia="宋体"/>
          <w:sz w:val="28"/>
          <w:szCs w:val="28"/>
        </w:rPr>
        <w:t>其排水舱室不应与其他舱室连通</w:t>
      </w:r>
      <w:r>
        <w:rPr>
          <w:rFonts w:ascii="Times New Roman" w:hAnsi="Times New Roman" w:eastAsiaTheme="minorEastAsia"/>
          <w:sz w:val="28"/>
          <w:szCs w:val="28"/>
        </w:rPr>
        <w:t>。</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【条文说明】因为存在</w:t>
      </w:r>
      <w:r>
        <w:rPr>
          <w:rFonts w:eastAsia="宋体"/>
          <w:sz w:val="28"/>
          <w:szCs w:val="28"/>
        </w:rPr>
        <w:t>上游冲击、下游倒灌的风险，因此要求不得与其他舱室连通，以防止倒灌其他舱室</w:t>
      </w:r>
      <w:r>
        <w:rPr>
          <w:rFonts w:eastAsiaTheme="minorEastAsia"/>
          <w:sz w:val="28"/>
          <w:szCs w:val="28"/>
        </w:rPr>
        <w:t>。</w:t>
      </w:r>
    </w:p>
    <w:bookmarkEnd w:id="18"/>
    <w:bookmarkEnd w:id="19"/>
    <w:p>
      <w:pPr>
        <w:pStyle w:val="2"/>
        <w:wordWrap w:val="0"/>
        <w:spacing w:before="312" w:after="312"/>
        <w:rPr>
          <w:sz w:val="28"/>
          <w:szCs w:val="28"/>
        </w:rPr>
      </w:pPr>
      <w:r>
        <w:rPr>
          <w:sz w:val="28"/>
          <w:szCs w:val="28"/>
        </w:rPr>
        <w:br w:type="page"/>
      </w:r>
      <w:bookmarkStart w:id="36" w:name="_Toc515281049"/>
      <w:r>
        <w:rPr>
          <w:sz w:val="28"/>
          <w:szCs w:val="28"/>
        </w:rPr>
        <w:t>6 泵站</w:t>
      </w:r>
      <w:bookmarkEnd w:id="36"/>
    </w:p>
    <w:p>
      <w:pPr>
        <w:pStyle w:val="3"/>
        <w:numPr>
          <w:ilvl w:val="0"/>
          <w:numId w:val="29"/>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37" w:name="_Toc515281050"/>
      <w:r>
        <w:rPr>
          <w:rFonts w:ascii="Times New Roman" w:hAnsi="Times New Roman" w:eastAsiaTheme="minorEastAsia"/>
          <w:b w:val="0"/>
          <w:color w:val="000000" w:themeColor="text1"/>
          <w:sz w:val="28"/>
          <w:szCs w:val="28"/>
        </w:rPr>
        <w:t>一般规定</w:t>
      </w:r>
      <w:bookmarkEnd w:id="37"/>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泵站布局应在满足城市总体规划和城市排水规划要求的前提下，合理布局，提高运行效率。</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【条文说明】泵站作为城市市政基础设施的重要组成部分，应满足城市总体规划和排水规划的要求，通过优化泵站布局尽可能提高排水系统的运行效率，节约能耗。</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排水泵站可根据排水系统的需要，设置径流污染控制、径流峰值削减或雨水调蓄利用等设施，并</w:t>
      </w:r>
      <w:r>
        <w:rPr>
          <w:rFonts w:hint="eastAsia" w:ascii="Times New Roman" w:hAnsi="Times New Roman" w:eastAsiaTheme="minorEastAsia"/>
          <w:color w:val="000000" w:themeColor="text1"/>
          <w:sz w:val="28"/>
          <w:szCs w:val="28"/>
        </w:rPr>
        <w:t>应</w:t>
      </w:r>
      <w:r>
        <w:rPr>
          <w:rFonts w:ascii="Times New Roman" w:hAnsi="Times New Roman" w:eastAsiaTheme="minorEastAsia"/>
          <w:color w:val="000000" w:themeColor="text1"/>
          <w:sz w:val="28"/>
          <w:szCs w:val="28"/>
        </w:rPr>
        <w:t>满足国家现行有关标准的规定。</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【条文说明】为了控制径流污染、降低内涝风险、利用雨水资源，可以根据排水系统需要，在泵站中设置调蓄池。</w:t>
      </w:r>
    </w:p>
    <w:p>
      <w:pPr>
        <w:pStyle w:val="30"/>
        <w:numPr>
          <w:ilvl w:val="0"/>
          <w:numId w:val="30"/>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排水泵站宜按远期规模设计，水泵机组可按近期规模配置。</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条文说明】排水泵站应根据排水工程专业规划所确定的远近期规模设计。考虑到排水泵站多为地下构筑物，土建部分如按近期设计，则远期扩建较为困难。因此，规定泵站主要构筑物的土建部分宜按远期规模一次设计建成，水泵机组可按近期规模配置，根据需要，随时添装机组。</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污水泵站的设计流量，应按泵站进水总管的</w:t>
      </w:r>
      <w:r>
        <w:rPr>
          <w:rFonts w:hint="eastAsia" w:ascii="Times New Roman" w:hAnsi="Times New Roman" w:eastAsiaTheme="minorEastAsia"/>
          <w:color w:val="000000" w:themeColor="text1"/>
          <w:sz w:val="28"/>
          <w:szCs w:val="28"/>
        </w:rPr>
        <w:t>旱季设计</w:t>
      </w:r>
      <w:r>
        <w:rPr>
          <w:rFonts w:ascii="Times New Roman" w:hAnsi="Times New Roman" w:eastAsiaTheme="minorEastAsia"/>
          <w:color w:val="000000" w:themeColor="text1"/>
          <w:sz w:val="28"/>
          <w:szCs w:val="28"/>
        </w:rPr>
        <w:t>流量确定</w:t>
      </w:r>
      <w:r>
        <w:rPr>
          <w:rFonts w:hint="eastAsia" w:ascii="Times New Roman" w:hAnsi="Times New Roman" w:eastAsiaTheme="minorEastAsia"/>
          <w:color w:val="000000" w:themeColor="text1"/>
          <w:sz w:val="28"/>
          <w:szCs w:val="28"/>
        </w:rPr>
        <w:t>；</w:t>
      </w:r>
      <w:r>
        <w:rPr>
          <w:rFonts w:ascii="Times New Roman" w:hAnsi="Times New Roman" w:eastAsiaTheme="minorEastAsia"/>
          <w:color w:val="000000" w:themeColor="text1"/>
          <w:sz w:val="28"/>
          <w:szCs w:val="28"/>
        </w:rPr>
        <w:t>污水泵站的</w:t>
      </w:r>
      <w:r>
        <w:rPr>
          <w:rFonts w:hint="eastAsia" w:ascii="Times New Roman" w:hAnsi="Times New Roman" w:eastAsiaTheme="minorEastAsia"/>
          <w:color w:val="000000" w:themeColor="text1"/>
          <w:sz w:val="28"/>
          <w:szCs w:val="28"/>
        </w:rPr>
        <w:t>总装机流量应按泵站进水总管的雨季设计</w:t>
      </w:r>
      <w:r>
        <w:rPr>
          <w:rFonts w:ascii="Times New Roman" w:hAnsi="Times New Roman" w:eastAsiaTheme="minorEastAsia"/>
          <w:color w:val="000000" w:themeColor="text1"/>
          <w:sz w:val="28"/>
          <w:szCs w:val="28"/>
        </w:rPr>
        <w:t>流量</w:t>
      </w:r>
      <w:r>
        <w:rPr>
          <w:rFonts w:hint="eastAsia" w:ascii="Times New Roman" w:hAnsi="Times New Roman" w:eastAsiaTheme="minorEastAsia"/>
          <w:color w:val="000000" w:themeColor="text1"/>
          <w:sz w:val="28"/>
          <w:szCs w:val="28"/>
        </w:rPr>
        <w:t>确定</w:t>
      </w:r>
      <w:r>
        <w:rPr>
          <w:rFonts w:ascii="Times New Roman" w:hAnsi="Times New Roman" w:eastAsiaTheme="minorEastAsia"/>
          <w:color w:val="000000" w:themeColor="text1"/>
          <w:sz w:val="28"/>
          <w:szCs w:val="28"/>
        </w:rPr>
        <w:t>。</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【条文说明】污水泵站的设计</w:t>
      </w:r>
      <w:r>
        <w:rPr>
          <w:rFonts w:hint="eastAsia" w:eastAsiaTheme="minorEastAsia"/>
          <w:color w:val="000000" w:themeColor="text1"/>
          <w:sz w:val="28"/>
          <w:szCs w:val="28"/>
        </w:rPr>
        <w:t>还应考虑雨季设计流量下，污水和截流雨水的提升，故提出总装机流量的设计依据</w:t>
      </w:r>
      <w:r>
        <w:rPr>
          <w:rFonts w:eastAsiaTheme="minorEastAsia"/>
          <w:color w:val="000000" w:themeColor="text1"/>
          <w:sz w:val="28"/>
          <w:szCs w:val="28"/>
        </w:rPr>
        <w:t>。</w:t>
      </w:r>
      <w:r>
        <w:rPr>
          <w:rFonts w:hint="eastAsia" w:eastAsiaTheme="minorEastAsia"/>
          <w:color w:val="000000" w:themeColor="text1"/>
          <w:sz w:val="28"/>
          <w:szCs w:val="28"/>
        </w:rPr>
        <w:t>总装机指工作和备用水泵合在一起的总的流量。</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雨水泵站的设计流量，应按泵站进水总管的设计流量计算确定。</w:t>
      </w:r>
      <w:r>
        <w:rPr>
          <w:rFonts w:hint="eastAsia"/>
          <w:color w:val="000000"/>
          <w:sz w:val="28"/>
          <w:szCs w:val="32"/>
        </w:rPr>
        <w:t>雨水泵站中应设置截流设施，</w:t>
      </w:r>
      <w:r>
        <w:rPr>
          <w:color w:val="000000"/>
          <w:sz w:val="28"/>
          <w:szCs w:val="32"/>
        </w:rPr>
        <w:t>用于</w:t>
      </w:r>
      <w:r>
        <w:rPr>
          <w:rFonts w:hint="eastAsia"/>
          <w:color w:val="000000"/>
          <w:sz w:val="28"/>
          <w:szCs w:val="32"/>
        </w:rPr>
        <w:t>抽取受污染的管道来水，</w:t>
      </w:r>
      <w:r>
        <w:rPr>
          <w:color w:val="000000"/>
          <w:sz w:val="28"/>
          <w:szCs w:val="32"/>
        </w:rPr>
        <w:t>输送至</w:t>
      </w:r>
      <w:r>
        <w:rPr>
          <w:rFonts w:hint="eastAsia"/>
          <w:color w:val="000000"/>
          <w:sz w:val="28"/>
          <w:szCs w:val="32"/>
        </w:rPr>
        <w:t>污水系统进行处理达标排放。</w:t>
      </w:r>
      <w:r>
        <w:rPr>
          <w:rFonts w:ascii="Times New Roman" w:hAnsi="Times New Roman" w:eastAsiaTheme="minorEastAsia"/>
          <w:color w:val="000000" w:themeColor="text1"/>
          <w:sz w:val="28"/>
          <w:szCs w:val="28"/>
        </w:rPr>
        <w:t>当立交道路设有盲沟时，其渗流水量应单独计算。</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eastAsiaTheme="minorEastAsia"/>
          <w:color w:val="000000" w:themeColor="text1"/>
          <w:sz w:val="28"/>
          <w:szCs w:val="28"/>
        </w:rPr>
        <w:t>【条文说明】</w:t>
      </w:r>
      <w:r>
        <w:rPr>
          <w:color w:val="000000"/>
          <w:sz w:val="28"/>
          <w:szCs w:val="32"/>
        </w:rPr>
        <w:t>在</w:t>
      </w:r>
      <w:r>
        <w:rPr>
          <w:rFonts w:hint="eastAsia"/>
          <w:color w:val="000000"/>
          <w:sz w:val="28"/>
          <w:szCs w:val="32"/>
        </w:rPr>
        <w:t>雨水泵站中设置</w:t>
      </w:r>
      <w:r>
        <w:rPr>
          <w:rFonts w:hint="eastAsia" w:asciiTheme="minorEastAsia" w:hAnsiTheme="minorEastAsia" w:eastAsiaTheme="minorEastAsia"/>
          <w:color w:val="000000"/>
          <w:sz w:val="28"/>
          <w:szCs w:val="32"/>
        </w:rPr>
        <w:t>的</w:t>
      </w:r>
      <w:r>
        <w:rPr>
          <w:rFonts w:hint="eastAsia"/>
          <w:color w:val="000000"/>
          <w:sz w:val="28"/>
          <w:szCs w:val="32"/>
        </w:rPr>
        <w:t>截流设施，</w:t>
      </w:r>
      <w:r>
        <w:rPr>
          <w:color w:val="000000"/>
          <w:sz w:val="28"/>
          <w:szCs w:val="32"/>
        </w:rPr>
        <w:t>包括</w:t>
      </w:r>
      <w:r>
        <w:rPr>
          <w:rFonts w:hint="eastAsia"/>
          <w:color w:val="000000"/>
          <w:sz w:val="28"/>
          <w:szCs w:val="32"/>
        </w:rPr>
        <w:t>截流泵房和管道，主要是为了对雨水管道中污染较为严重的水（</w:t>
      </w:r>
      <w:r>
        <w:rPr>
          <w:color w:val="000000"/>
          <w:sz w:val="28"/>
          <w:szCs w:val="32"/>
        </w:rPr>
        <w:t>包括</w:t>
      </w:r>
      <w:r>
        <w:rPr>
          <w:rFonts w:hint="eastAsia"/>
          <w:color w:val="000000"/>
          <w:sz w:val="28"/>
          <w:szCs w:val="32"/>
        </w:rPr>
        <w:t>通过路面无组织排放进入的道路冲洗水、管道混接水、</w:t>
      </w:r>
      <w:r>
        <w:rPr>
          <w:rFonts w:hint="eastAsia" w:asciiTheme="minorEastAsia" w:hAnsiTheme="minorEastAsia" w:eastAsiaTheme="minorEastAsia"/>
          <w:color w:val="000000"/>
          <w:sz w:val="28"/>
          <w:szCs w:val="32"/>
        </w:rPr>
        <w:t>受污染</w:t>
      </w:r>
      <w:r>
        <w:rPr>
          <w:rFonts w:hint="eastAsia"/>
          <w:color w:val="000000"/>
          <w:sz w:val="28"/>
          <w:szCs w:val="32"/>
        </w:rPr>
        <w:t>雨水等）进行截流，接入污水系统进行处理达标排放，</w:t>
      </w:r>
      <w:r>
        <w:rPr>
          <w:rFonts w:hint="eastAsia" w:asciiTheme="minorEastAsia" w:hAnsiTheme="minorEastAsia" w:eastAsiaTheme="minorEastAsia"/>
          <w:color w:val="000000"/>
          <w:sz w:val="28"/>
          <w:szCs w:val="32"/>
        </w:rPr>
        <w:t>从而减少对</w:t>
      </w:r>
      <w:r>
        <w:rPr>
          <w:rFonts w:hint="eastAsia"/>
          <w:color w:val="000000"/>
          <w:sz w:val="28"/>
          <w:szCs w:val="32"/>
        </w:rPr>
        <w:t>水体</w:t>
      </w:r>
      <w:r>
        <w:rPr>
          <w:rFonts w:hint="eastAsia" w:asciiTheme="minorEastAsia" w:hAnsiTheme="minorEastAsia" w:eastAsiaTheme="minorEastAsia"/>
          <w:color w:val="000000"/>
          <w:sz w:val="28"/>
          <w:szCs w:val="32"/>
        </w:rPr>
        <w:t>的</w:t>
      </w:r>
      <w:r>
        <w:rPr>
          <w:rFonts w:hint="eastAsia"/>
          <w:color w:val="000000"/>
          <w:sz w:val="28"/>
          <w:szCs w:val="32"/>
        </w:rPr>
        <w:t>污染。</w:t>
      </w:r>
      <w:r>
        <w:rPr>
          <w:color w:val="000000"/>
          <w:sz w:val="28"/>
          <w:szCs w:val="32"/>
        </w:rPr>
        <w:t>截流</w:t>
      </w:r>
      <w:r>
        <w:rPr>
          <w:rFonts w:hint="eastAsia"/>
          <w:color w:val="000000"/>
          <w:sz w:val="28"/>
          <w:szCs w:val="32"/>
        </w:rPr>
        <w:t>量可根据排水系统实际情况确定，</w:t>
      </w:r>
      <w:r>
        <w:rPr>
          <w:color w:val="000000"/>
          <w:sz w:val="28"/>
          <w:szCs w:val="32"/>
        </w:rPr>
        <w:t>一般</w:t>
      </w:r>
      <w:r>
        <w:rPr>
          <w:rFonts w:hint="eastAsia"/>
          <w:color w:val="000000"/>
          <w:sz w:val="28"/>
          <w:szCs w:val="32"/>
        </w:rPr>
        <w:t>不低于系统服务范围内污水量的</w:t>
      </w:r>
      <w:r>
        <w:rPr>
          <w:rFonts w:ascii="Times New Roman" w:hAnsi="Times New Roman"/>
          <w:color w:val="000000"/>
          <w:sz w:val="28"/>
          <w:szCs w:val="32"/>
        </w:rPr>
        <w:t>20%</w:t>
      </w:r>
      <w:r>
        <w:rPr>
          <w:color w:val="000000"/>
          <w:sz w:val="28"/>
          <w:szCs w:val="32"/>
        </w:rPr>
        <w:t>。</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合流污水泵站的设计流量，应按下列公式计算：</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泵站后设污水截流装置时，按本标准公式（</w:t>
      </w:r>
      <w:r>
        <w:rPr>
          <w:rFonts w:hint="eastAsia" w:eastAsiaTheme="minorEastAsia"/>
          <w:color w:val="000000" w:themeColor="text1"/>
          <w:sz w:val="28"/>
          <w:szCs w:val="28"/>
        </w:rPr>
        <w:t>4</w:t>
      </w:r>
      <w:r>
        <w:rPr>
          <w:rFonts w:eastAsiaTheme="minorEastAsia"/>
          <w:color w:val="000000" w:themeColor="text1"/>
          <w:sz w:val="28"/>
          <w:szCs w:val="28"/>
        </w:rPr>
        <w:t>.</w:t>
      </w:r>
      <w:r>
        <w:rPr>
          <w:rFonts w:hint="eastAsia" w:eastAsiaTheme="minorEastAsia"/>
          <w:color w:val="000000" w:themeColor="text1"/>
          <w:sz w:val="28"/>
          <w:szCs w:val="28"/>
        </w:rPr>
        <w:t>1</w:t>
      </w:r>
      <w:r>
        <w:rPr>
          <w:rFonts w:eastAsiaTheme="minorEastAsia"/>
          <w:color w:val="000000" w:themeColor="text1"/>
          <w:sz w:val="28"/>
          <w:szCs w:val="28"/>
        </w:rPr>
        <w:t>.2</w:t>
      </w:r>
      <w:r>
        <w:rPr>
          <w:rFonts w:hint="eastAsia" w:eastAsiaTheme="minorEastAsia"/>
          <w:color w:val="000000" w:themeColor="text1"/>
          <w:sz w:val="28"/>
          <w:szCs w:val="28"/>
        </w:rPr>
        <w:t>0</w:t>
      </w:r>
      <w:r>
        <w:rPr>
          <w:rFonts w:eastAsiaTheme="minorEastAsia"/>
          <w:color w:val="000000" w:themeColor="text1"/>
          <w:sz w:val="28"/>
          <w:szCs w:val="28"/>
        </w:rPr>
        <w:t>）计算；</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泵站前设污水截流装置时，雨水部分和污水部分分别按下列公式计算；</w:t>
      </w:r>
    </w:p>
    <w:p>
      <w:pPr>
        <w:widowControl/>
        <w:wordWrap w:val="0"/>
        <w:ind w:left="1695" w:leftChars="270" w:hanging="1128" w:hangingChars="403"/>
        <w:jc w:val="left"/>
        <w:rPr>
          <w:rFonts w:eastAsiaTheme="minorEastAsia"/>
          <w:color w:val="000000" w:themeColor="text1"/>
          <w:sz w:val="28"/>
          <w:szCs w:val="28"/>
        </w:rPr>
      </w:pPr>
      <w:r>
        <w:rPr>
          <w:rFonts w:eastAsiaTheme="minorEastAsia"/>
          <w:color w:val="000000" w:themeColor="text1"/>
          <w:sz w:val="28"/>
          <w:szCs w:val="28"/>
        </w:rPr>
        <w:t>1）雨水部分</w:t>
      </w:r>
    </w:p>
    <w:p>
      <w:pPr>
        <w:widowControl/>
        <w:wordWrap w:val="0"/>
        <w:ind w:left="1698" w:leftChars="202" w:hanging="1274" w:hangingChars="455"/>
        <w:jc w:val="right"/>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p</w:t>
      </w:r>
      <w:r>
        <w:rPr>
          <w:rFonts w:eastAsiaTheme="minorEastAsia"/>
          <w:color w:val="000000" w:themeColor="text1"/>
          <w:sz w:val="28"/>
          <w:szCs w:val="28"/>
        </w:rPr>
        <w:t xml:space="preserve">= </w:t>
      </w:r>
      <w:r>
        <w:rPr>
          <w:rFonts w:eastAsiaTheme="minorEastAsia"/>
          <w:i/>
          <w:color w:val="000000" w:themeColor="text1"/>
          <w:sz w:val="28"/>
          <w:szCs w:val="28"/>
        </w:rPr>
        <w:t>Q</w:t>
      </w:r>
      <w:r>
        <w:rPr>
          <w:rFonts w:eastAsiaTheme="minorEastAsia"/>
          <w:color w:val="000000" w:themeColor="text1"/>
          <w:sz w:val="28"/>
          <w:szCs w:val="28"/>
          <w:vertAlign w:val="subscript"/>
        </w:rPr>
        <w:t>s</w:t>
      </w:r>
      <w:r>
        <w:rPr>
          <w:rFonts w:eastAsiaTheme="minorEastAsia"/>
          <w:color w:val="000000" w:themeColor="text1"/>
          <w:sz w:val="28"/>
          <w:szCs w:val="28"/>
        </w:rPr>
        <w:t>-</w:t>
      </w:r>
      <w:r>
        <w:rPr>
          <w:rFonts w:eastAsiaTheme="minorEastAsia"/>
          <w:i/>
          <w:color w:val="000000" w:themeColor="text1"/>
          <w:sz w:val="28"/>
          <w:szCs w:val="28"/>
        </w:rPr>
        <w:t>n</w:t>
      </w:r>
      <w:r>
        <w:rPr>
          <w:rFonts w:eastAsiaTheme="minorEastAsia"/>
          <w:color w:val="000000" w:themeColor="text1"/>
          <w:sz w:val="28"/>
          <w:szCs w:val="28"/>
          <w:vertAlign w:val="subscript"/>
        </w:rPr>
        <w:t>o</w:t>
      </w:r>
      <w:r>
        <w:rPr>
          <w:rFonts w:eastAsiaTheme="minorEastAsia"/>
          <w:color w:val="000000" w:themeColor="text1"/>
          <w:sz w:val="28"/>
          <w:szCs w:val="28"/>
        </w:rPr>
        <w:t>（</w:t>
      </w:r>
      <w:r>
        <w:rPr>
          <w:i/>
          <w:color w:val="000000"/>
          <w:sz w:val="28"/>
          <w:szCs w:val="28"/>
        </w:rPr>
        <w:t>Q</w:t>
      </w:r>
      <w:r>
        <w:rPr>
          <w:color w:val="000000"/>
          <w:sz w:val="28"/>
          <w:szCs w:val="28"/>
          <w:vertAlign w:val="subscript"/>
        </w:rPr>
        <w:t>d</w:t>
      </w:r>
      <w:r>
        <w:rPr>
          <w:color w:val="000000"/>
          <w:sz w:val="28"/>
          <w:szCs w:val="28"/>
        </w:rPr>
        <w:t>+</w:t>
      </w:r>
      <w:r>
        <w:rPr>
          <w:rFonts w:eastAsiaTheme="minorEastAsia"/>
          <w:color w:val="000000"/>
          <w:sz w:val="28"/>
          <w:szCs w:val="28"/>
        </w:rPr>
        <w:t xml:space="preserve"> </w:t>
      </w:r>
      <w:r>
        <w:rPr>
          <w:i/>
          <w:color w:val="000000"/>
          <w:sz w:val="28"/>
          <w:szCs w:val="28"/>
        </w:rPr>
        <w:t>Q</w:t>
      </w:r>
      <w:r>
        <w:rPr>
          <w:color w:val="000000"/>
          <w:sz w:val="28"/>
          <w:szCs w:val="28"/>
          <w:vertAlign w:val="subscript"/>
        </w:rPr>
        <w:t>m</w:t>
      </w:r>
      <w:r>
        <w:rPr>
          <w:rFonts w:eastAsiaTheme="minorEastAsia"/>
          <w:color w:val="000000"/>
          <w:sz w:val="28"/>
          <w:szCs w:val="28"/>
        </w:rPr>
        <w:t>）</w:t>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6.</w:t>
      </w:r>
      <w:r>
        <w:rPr>
          <w:rFonts w:hint="eastAsia" w:eastAsiaTheme="minorEastAsia"/>
          <w:color w:val="000000" w:themeColor="text1"/>
          <w:sz w:val="28"/>
          <w:szCs w:val="28"/>
        </w:rPr>
        <w:t>1</w:t>
      </w:r>
      <w:r>
        <w:rPr>
          <w:rFonts w:eastAsiaTheme="minorEastAsia"/>
          <w:color w:val="000000" w:themeColor="text1"/>
          <w:sz w:val="28"/>
          <w:szCs w:val="28"/>
        </w:rPr>
        <w:t>.</w:t>
      </w:r>
      <w:r>
        <w:rPr>
          <w:rFonts w:hint="eastAsia" w:eastAsiaTheme="minorEastAsia"/>
          <w:color w:val="000000" w:themeColor="text1"/>
          <w:sz w:val="28"/>
          <w:szCs w:val="28"/>
        </w:rPr>
        <w:t>6</w:t>
      </w:r>
      <w:r>
        <w:rPr>
          <w:rFonts w:eastAsiaTheme="minorEastAsia"/>
          <w:color w:val="000000" w:themeColor="text1"/>
          <w:sz w:val="28"/>
          <w:szCs w:val="28"/>
        </w:rPr>
        <w:t>-1）</w:t>
      </w:r>
    </w:p>
    <w:p>
      <w:pPr>
        <w:widowControl/>
        <w:wordWrap w:val="0"/>
        <w:ind w:left="1695" w:leftChars="270" w:hanging="1128" w:hangingChars="403"/>
        <w:jc w:val="left"/>
        <w:rPr>
          <w:rFonts w:eastAsiaTheme="minorEastAsia"/>
          <w:color w:val="000000" w:themeColor="text1"/>
          <w:sz w:val="28"/>
          <w:szCs w:val="28"/>
        </w:rPr>
      </w:pPr>
      <w:r>
        <w:rPr>
          <w:rFonts w:eastAsiaTheme="minorEastAsia"/>
          <w:color w:val="000000" w:themeColor="text1"/>
          <w:sz w:val="28"/>
          <w:szCs w:val="28"/>
        </w:rPr>
        <w:t>2）污水部分</w:t>
      </w:r>
    </w:p>
    <w:p>
      <w:pPr>
        <w:widowControl/>
        <w:wordWrap w:val="0"/>
        <w:ind w:left="1698" w:leftChars="202" w:hanging="1274" w:hangingChars="455"/>
        <w:jc w:val="right"/>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p</w:t>
      </w:r>
      <w:r>
        <w:rPr>
          <w:rFonts w:eastAsiaTheme="minorEastAsia"/>
          <w:color w:val="000000" w:themeColor="text1"/>
          <w:sz w:val="28"/>
          <w:szCs w:val="28"/>
        </w:rPr>
        <w:t>=（</w:t>
      </w:r>
      <w:r>
        <w:rPr>
          <w:rFonts w:eastAsiaTheme="minorEastAsia"/>
          <w:i/>
          <w:color w:val="000000" w:themeColor="text1"/>
          <w:sz w:val="28"/>
          <w:szCs w:val="28"/>
        </w:rPr>
        <w:t>n</w:t>
      </w:r>
      <w:r>
        <w:rPr>
          <w:rFonts w:eastAsiaTheme="minorEastAsia"/>
          <w:color w:val="000000" w:themeColor="text1"/>
          <w:sz w:val="28"/>
          <w:szCs w:val="28"/>
          <w:vertAlign w:val="subscript"/>
        </w:rPr>
        <w:t>o</w:t>
      </w:r>
      <w:r>
        <w:rPr>
          <w:rFonts w:eastAsiaTheme="minorEastAsia"/>
          <w:color w:val="000000" w:themeColor="text1"/>
          <w:sz w:val="28"/>
          <w:szCs w:val="28"/>
        </w:rPr>
        <w:t>+1）（</w:t>
      </w:r>
      <w:r>
        <w:rPr>
          <w:i/>
          <w:color w:val="000000"/>
          <w:sz w:val="28"/>
          <w:szCs w:val="28"/>
        </w:rPr>
        <w:t>Q</w:t>
      </w:r>
      <w:r>
        <w:rPr>
          <w:color w:val="000000"/>
          <w:sz w:val="28"/>
          <w:szCs w:val="28"/>
          <w:vertAlign w:val="subscript"/>
        </w:rPr>
        <w:t>d</w:t>
      </w:r>
      <w:r>
        <w:rPr>
          <w:color w:val="000000"/>
          <w:sz w:val="28"/>
          <w:szCs w:val="28"/>
        </w:rPr>
        <w:t>+</w:t>
      </w:r>
      <w:r>
        <w:rPr>
          <w:rFonts w:eastAsiaTheme="minorEastAsia"/>
          <w:color w:val="000000"/>
          <w:sz w:val="28"/>
          <w:szCs w:val="28"/>
        </w:rPr>
        <w:t xml:space="preserve"> </w:t>
      </w:r>
      <w:r>
        <w:rPr>
          <w:i/>
          <w:color w:val="000000"/>
          <w:sz w:val="28"/>
          <w:szCs w:val="28"/>
        </w:rPr>
        <w:t>Q</w:t>
      </w:r>
      <w:r>
        <w:rPr>
          <w:color w:val="000000"/>
          <w:sz w:val="28"/>
          <w:szCs w:val="28"/>
          <w:vertAlign w:val="subscript"/>
        </w:rPr>
        <w:t>m</w:t>
      </w:r>
      <w:r>
        <w:rPr>
          <w:rFonts w:eastAsiaTheme="minorEastAsia"/>
          <w:color w:val="000000"/>
          <w:sz w:val="28"/>
          <w:szCs w:val="28"/>
        </w:rPr>
        <w:t>）</w:t>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（6.</w:t>
      </w:r>
      <w:r>
        <w:rPr>
          <w:rFonts w:hint="eastAsia" w:eastAsiaTheme="minorEastAsia"/>
          <w:color w:val="000000" w:themeColor="text1"/>
          <w:sz w:val="28"/>
          <w:szCs w:val="28"/>
        </w:rPr>
        <w:t>1</w:t>
      </w:r>
      <w:r>
        <w:rPr>
          <w:rFonts w:eastAsiaTheme="minorEastAsia"/>
          <w:color w:val="000000" w:themeColor="text1"/>
          <w:sz w:val="28"/>
          <w:szCs w:val="28"/>
        </w:rPr>
        <w:t>.</w:t>
      </w:r>
      <w:r>
        <w:rPr>
          <w:rFonts w:hint="eastAsia" w:eastAsiaTheme="minorEastAsia"/>
          <w:color w:val="000000" w:themeColor="text1"/>
          <w:sz w:val="28"/>
          <w:szCs w:val="28"/>
        </w:rPr>
        <w:t>6</w:t>
      </w:r>
      <w:r>
        <w:rPr>
          <w:rFonts w:eastAsiaTheme="minorEastAsia"/>
          <w:color w:val="000000" w:themeColor="text1"/>
          <w:sz w:val="28"/>
          <w:szCs w:val="28"/>
        </w:rPr>
        <w:t>-2）</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Q</w:t>
      </w:r>
      <w:r>
        <w:rPr>
          <w:rFonts w:eastAsiaTheme="minorEastAsia"/>
          <w:color w:val="000000" w:themeColor="text1"/>
          <w:sz w:val="28"/>
          <w:szCs w:val="28"/>
          <w:vertAlign w:val="subscript"/>
        </w:rPr>
        <w:t>p</w:t>
      </w:r>
      <w:r>
        <w:rPr>
          <w:rFonts w:eastAsiaTheme="minorEastAsia"/>
          <w:color w:val="000000" w:themeColor="text1"/>
          <w:sz w:val="28"/>
          <w:szCs w:val="28"/>
        </w:rPr>
        <w:t>——泵站设计流量（m</w:t>
      </w:r>
      <w:r>
        <w:rPr>
          <w:rFonts w:eastAsiaTheme="minorEastAsia"/>
          <w:color w:val="000000" w:themeColor="text1"/>
          <w:sz w:val="28"/>
          <w:szCs w:val="28"/>
          <w:vertAlign w:val="superscript"/>
        </w:rPr>
        <w:t>3</w:t>
      </w:r>
      <w:r>
        <w:rPr>
          <w:rFonts w:eastAsiaTheme="minorEastAsia"/>
          <w:color w:val="000000" w:themeColor="text1"/>
          <w:sz w:val="28"/>
          <w:szCs w:val="28"/>
        </w:rPr>
        <w:t>/s）；</w:t>
      </w:r>
    </w:p>
    <w:p>
      <w:pPr>
        <w:widowControl/>
        <w:wordWrap w:val="0"/>
        <w:ind w:left="1418" w:leftChars="406" w:hanging="565" w:hangingChars="202"/>
        <w:jc w:val="left"/>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s</w:t>
      </w:r>
      <w:r>
        <w:rPr>
          <w:rFonts w:eastAsiaTheme="minorEastAsia"/>
          <w:color w:val="000000" w:themeColor="text1"/>
          <w:sz w:val="28"/>
          <w:szCs w:val="28"/>
        </w:rPr>
        <w:t>——雨水设计流量（m</w:t>
      </w:r>
      <w:r>
        <w:rPr>
          <w:rFonts w:eastAsiaTheme="minorEastAsia"/>
          <w:color w:val="000000" w:themeColor="text1"/>
          <w:sz w:val="28"/>
          <w:szCs w:val="28"/>
          <w:vertAlign w:val="superscript"/>
        </w:rPr>
        <w:t>3</w:t>
      </w:r>
      <w:r>
        <w:rPr>
          <w:rFonts w:eastAsiaTheme="minorEastAsia"/>
          <w:color w:val="000000" w:themeColor="text1"/>
          <w:sz w:val="28"/>
          <w:szCs w:val="28"/>
        </w:rPr>
        <w:t>/s）；</w:t>
      </w:r>
    </w:p>
    <w:p>
      <w:pPr>
        <w:widowControl/>
        <w:wordWrap w:val="0"/>
        <w:ind w:left="1418" w:leftChars="406" w:hanging="565" w:hangingChars="202"/>
        <w:jc w:val="left"/>
        <w:rPr>
          <w:rFonts w:eastAsiaTheme="minorEastAsia"/>
          <w:i/>
          <w:color w:val="000000" w:themeColor="text1"/>
          <w:sz w:val="28"/>
          <w:szCs w:val="28"/>
        </w:rPr>
      </w:pPr>
      <w:r>
        <w:rPr>
          <w:rFonts w:eastAsiaTheme="minorEastAsia"/>
          <w:i/>
          <w:color w:val="000000" w:themeColor="text1"/>
          <w:sz w:val="28"/>
          <w:szCs w:val="28"/>
        </w:rPr>
        <w:t>n</w:t>
      </w:r>
      <w:r>
        <w:rPr>
          <w:rFonts w:eastAsiaTheme="minorEastAsia"/>
          <w:i/>
          <w:color w:val="000000" w:themeColor="text1"/>
          <w:sz w:val="28"/>
          <w:szCs w:val="28"/>
          <w:vertAlign w:val="subscript"/>
        </w:rPr>
        <w:t>0</w:t>
      </w:r>
      <w:r>
        <w:rPr>
          <w:rFonts w:eastAsiaTheme="minorEastAsia"/>
          <w:color w:val="000000" w:themeColor="text1"/>
          <w:sz w:val="28"/>
          <w:szCs w:val="28"/>
        </w:rPr>
        <w:t>——截流倍数；</w:t>
      </w:r>
    </w:p>
    <w:p>
      <w:pPr>
        <w:pStyle w:val="30"/>
        <w:spacing w:line="460" w:lineRule="atLeast"/>
        <w:ind w:left="851" w:firstLine="0" w:firstLineChars="0"/>
        <w:rPr>
          <w:rFonts w:ascii="Times New Roman" w:hAnsi="Times New Roman" w:eastAsiaTheme="minorEastAsia"/>
          <w:color w:val="000000"/>
          <w:sz w:val="28"/>
          <w:szCs w:val="28"/>
        </w:rPr>
      </w:pPr>
      <w:r>
        <w:rPr>
          <w:rFonts w:ascii="Times New Roman" w:hAnsi="Times New Roman"/>
          <w:i/>
          <w:color w:val="000000"/>
          <w:sz w:val="28"/>
          <w:szCs w:val="28"/>
        </w:rPr>
        <w:t>Q</w:t>
      </w:r>
      <w:r>
        <w:rPr>
          <w:rFonts w:ascii="Times New Roman" w:hAnsi="Times New Roman"/>
          <w:color w:val="000000"/>
          <w:sz w:val="28"/>
          <w:szCs w:val="28"/>
          <w:vertAlign w:val="subscript"/>
        </w:rPr>
        <w:t>d</w:t>
      </w:r>
      <w:r>
        <w:rPr>
          <w:rFonts w:ascii="Times New Roman" w:hAnsi="Times New Roman"/>
          <w:color w:val="000000"/>
          <w:sz w:val="28"/>
          <w:szCs w:val="28"/>
        </w:rPr>
        <w:t xml:space="preserve"> —</w:t>
      </w:r>
      <w:r>
        <w:rPr>
          <w:rFonts w:ascii="Times New Roman" w:hAnsi="Times New Roman" w:eastAsia="宋体"/>
          <w:color w:val="000000"/>
          <w:sz w:val="28"/>
          <w:szCs w:val="28"/>
        </w:rPr>
        <w:t>设计综合生活污水量（</w:t>
      </w:r>
      <w:r>
        <w:rPr>
          <w:rFonts w:ascii="Times New Roman" w:hAnsi="Times New Roman"/>
          <w:color w:val="000000"/>
          <w:sz w:val="28"/>
          <w:szCs w:val="28"/>
        </w:rPr>
        <w:t>L/s</w:t>
      </w:r>
      <w:r>
        <w:rPr>
          <w:rFonts w:ascii="Times New Roman" w:hAnsi="Times New Roman" w:eastAsia="宋体"/>
          <w:color w:val="000000"/>
          <w:sz w:val="28"/>
          <w:szCs w:val="28"/>
        </w:rPr>
        <w:t>）</w:t>
      </w:r>
      <w:r>
        <w:rPr>
          <w:rFonts w:ascii="Times New Roman" w:hAnsi="Times New Roman" w:eastAsiaTheme="minorEastAsia"/>
          <w:color w:val="000000"/>
          <w:sz w:val="28"/>
          <w:szCs w:val="28"/>
        </w:rPr>
        <w:t>；</w:t>
      </w:r>
    </w:p>
    <w:p>
      <w:pPr>
        <w:pStyle w:val="30"/>
        <w:spacing w:line="460" w:lineRule="atLeast"/>
        <w:ind w:left="851" w:firstLine="0" w:firstLineChars="0"/>
        <w:rPr>
          <w:rFonts w:ascii="Times New Roman" w:hAnsi="Times New Roman" w:eastAsiaTheme="minorEastAsia"/>
          <w:color w:val="000000"/>
          <w:sz w:val="28"/>
          <w:szCs w:val="28"/>
        </w:rPr>
      </w:pPr>
      <w:r>
        <w:rPr>
          <w:rFonts w:ascii="Times New Roman" w:hAnsi="Times New Roman"/>
          <w:i/>
          <w:color w:val="000000"/>
          <w:sz w:val="28"/>
          <w:szCs w:val="28"/>
        </w:rPr>
        <w:t>Q</w:t>
      </w:r>
      <w:r>
        <w:rPr>
          <w:rFonts w:ascii="Times New Roman" w:hAnsi="Times New Roman"/>
          <w:color w:val="000000"/>
          <w:sz w:val="28"/>
          <w:szCs w:val="28"/>
          <w:vertAlign w:val="subscript"/>
        </w:rPr>
        <w:t>m</w:t>
      </w:r>
      <w:r>
        <w:rPr>
          <w:rFonts w:ascii="Times New Roman" w:hAnsi="Times New Roman"/>
          <w:color w:val="000000"/>
          <w:sz w:val="28"/>
          <w:szCs w:val="28"/>
        </w:rPr>
        <w:t xml:space="preserve"> —</w:t>
      </w:r>
      <w:r>
        <w:rPr>
          <w:rFonts w:ascii="Times New Roman" w:hAnsi="Times New Roman" w:eastAsia="宋体"/>
          <w:color w:val="000000"/>
          <w:sz w:val="28"/>
          <w:szCs w:val="28"/>
        </w:rPr>
        <w:t>设计工业废水量（</w:t>
      </w:r>
      <w:r>
        <w:rPr>
          <w:rFonts w:ascii="Times New Roman" w:hAnsi="Times New Roman"/>
          <w:color w:val="000000"/>
          <w:sz w:val="28"/>
          <w:szCs w:val="28"/>
        </w:rPr>
        <w:t>L/s</w:t>
      </w:r>
      <w:r>
        <w:rPr>
          <w:rFonts w:ascii="Times New Roman" w:hAnsi="Times New Roman" w:eastAsia="宋体"/>
          <w:color w:val="000000"/>
          <w:sz w:val="28"/>
          <w:szCs w:val="28"/>
        </w:rPr>
        <w:t>）</w:t>
      </w:r>
      <w:r>
        <w:rPr>
          <w:rFonts w:ascii="Times New Roman" w:hAnsi="Times New Roman" w:eastAsiaTheme="minorEastAsia"/>
          <w:color w:val="000000"/>
          <w:sz w:val="28"/>
          <w:szCs w:val="28"/>
        </w:rPr>
        <w:t>；</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污水泵和合流污水泵的设计扬程，应根据设计流量时的集水池水位与出水管渠水位差和水泵管路系统的水头损失以及安全水头确定。</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出水管渠水位以及集水池水位的不同组合，可组成不同的扬程。设计平均流量时出水管渠水位与集水池设计水位之差加上管路系统水头损失和安全水头为设计扬程。设计最小流量时出水管渠水位与集水池设计最高水位之差加上管路系统水头损失和安全水头为最低工作扬程。设计最大流量时出水管渠水位与集水池设计最低水位之差加上管路系统水头损失和安全水头为最高工作扬程。安全水头一般为0.3m～0.5m。</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雨水泵的设计扬程，应根据设计流量时的集水池水位与受纳水体平均水位差和水泵管路系统的水头损失确定。</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受纳水体水位以及集水池水位的不同组合，可组成不同的扬程。受纳水体水位的常水位或平均潮位与设计流量下集水池设计水位之差加上管路系统的水头损失为设计扬程。受纳水体水位的低水位或平均低潮位与集水池设计最高水位之差加上管路系统的水头损失为最低工作扬程。受纳水体水位的高水位或防汛潮位与集水池设计最低水位之差加上管路系统的水头损失为最高工作扬程。</w:t>
      </w:r>
    </w:p>
    <w:p>
      <w:pPr>
        <w:pStyle w:val="30"/>
        <w:numPr>
          <w:ilvl w:val="0"/>
          <w:numId w:val="30"/>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排水泵站宜设计为单独的建筑物。</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【条文说明】由于排水泵站抽送污水时会产生臭气和噪声，对周围环境造成影响，故宜设计为单独的建筑物。</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抽送会产生易燃易爆和有毒有害气体的污水泵站，必须设计为单独的建筑物，并应配置相应的检测设备和防护措施</w:t>
      </w:r>
      <w:r>
        <w:rPr>
          <w:rFonts w:ascii="Times New Roman" w:hAnsi="Times New Roman" w:eastAsiaTheme="minorEastAsia"/>
          <w:color w:val="000000" w:themeColor="text1"/>
          <w:sz w:val="28"/>
          <w:szCs w:val="28"/>
        </w:rPr>
        <w:t>。</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【条文说明】本条为强制性条文。相应的防护措施有：</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 xml:space="preserve">    （1）应有良好的通风设备。</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 xml:space="preserve">    （2）采用防火防爆的照明、电机和电气设备。</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 xml:space="preserve">    （3）有毒气体监测和报警设施。</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 xml:space="preserve">    （4）与其他建筑物有一定的防护距离。</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排水泵站的建筑物和附属设施宜采取防腐蚀措施。抽送腐蚀性介质的泵站，必须采用耐腐蚀的水泵、管配件和有关设备。</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条文说明】排水泵站的特征是潮湿和散发各种气体，极易腐蚀周围物体，因此其建筑物、附属设施、水泵、管配件等都需要相应的防腐蚀措施。其措施一般为设备和配件采用耐腐蚀材料或涂防腐涂料，如栏杆和扶梯等采用玻璃钢等耐腐蚀材料。</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单独设置的泵站与居住房屋和公共建筑物的距离，应满足规划、消防和环保部门的要求。泵站的地面建筑物造型应与周围环境协调，做到适用、经济、美观，泵站内应绿化。</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【条文说明】排水泵站的卫生防护距离涉及周围居民的居住质量，在广大居民环保意识增强的情况下，尤其显得必要，故作此规定。</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 xml:space="preserve">    泵站地面建筑物的建筑造型应与周围环境协调、和谐、统一。上海、广州、青岛等地的某些泵站，因地制宜的建筑造型深受周围居民欢迎。</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泵站室外地坪标高应满足防洪要求，并符合规划部门规定；泵房室内地坪应比室外地坪高0.2m～0.3m；易受洪水淹没地区的泵站及地下式泵站，其入口处设计地面标高应比设计洪水位高0.5m以上；当不能满足上述要求时，可设置临时防洪措施。</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【条文说明】主要为防止泵站淹水。易受洪水淹没地区的泵站及地下式泵站应保证洪水期间水泵能正常运转，一般采取的防洪措施为：</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 xml:space="preserve">   （1）泵站地面标高填高。这需要大量土方，并可能造成与周围地面高差较大，影响交通运输。</w:t>
      </w:r>
    </w:p>
    <w:p>
      <w:pPr>
        <w:wordWrap w:val="0"/>
        <w:spacing w:line="480" w:lineRule="atLeast"/>
        <w:ind w:firstLine="560" w:firstLineChars="200"/>
        <w:rPr>
          <w:rFonts w:eastAsiaTheme="minorEastAsia"/>
          <w:color w:val="000000" w:themeColor="text1"/>
          <w:sz w:val="28"/>
          <w:szCs w:val="28"/>
        </w:rPr>
      </w:pPr>
      <w:r>
        <w:rPr>
          <w:rFonts w:eastAsiaTheme="minorEastAsia"/>
          <w:color w:val="000000" w:themeColor="text1"/>
          <w:sz w:val="28"/>
          <w:szCs w:val="28"/>
        </w:rPr>
        <w:t>（2）泵房室内地坪标高抬高。可减少填土土方量，但可能造成泵房地坪与泵站地面高差较大，影响日常管理维修工作。</w:t>
      </w:r>
    </w:p>
    <w:p>
      <w:pPr>
        <w:wordWrap w:val="0"/>
        <w:spacing w:line="480" w:lineRule="atLeast"/>
        <w:ind w:firstLine="560" w:firstLineChars="200"/>
        <w:rPr>
          <w:rFonts w:eastAsiaTheme="minorEastAsia"/>
          <w:color w:val="000000" w:themeColor="text1"/>
          <w:sz w:val="28"/>
          <w:szCs w:val="28"/>
        </w:rPr>
      </w:pPr>
      <w:r>
        <w:rPr>
          <w:rFonts w:eastAsiaTheme="minorEastAsia"/>
          <w:color w:val="000000" w:themeColor="text1"/>
          <w:sz w:val="28"/>
          <w:szCs w:val="28"/>
        </w:rPr>
        <w:t>（3）泵站或泵房人口处筑高或设闸槽等。仅在入口处筑高可适当降低泵房的室内地坪标高，但可能影响交通运输和日常管理维修工作。通常采用在入口处设闸槽、在防洪期间加闸板等，作为临时防洪措施。</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雨水泵站应采用自灌式泵站。污水泵站和合流污水泵站宜采用自灌式泵站。</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【条文说明】由于雨水泵的特征是流量大、扬程低、吸水能力小，根据多年来的实践经验，应采用自灌式泵站。污水泵站和合流污水泵站宜采用自灌式，若采用非自灌式，保养较困难。</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泵房宜有二个出入口，其中一个应能满足最大设备或部件的进出。</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【条文说明】泵房宜有两个出入口；其中一个应能满足最大设备和部件进出，且应与车行道连通，目的是方便设备吊装和运输。</w:t>
      </w:r>
    </w:p>
    <w:p>
      <w:pPr>
        <w:pStyle w:val="30"/>
        <w:numPr>
          <w:ilvl w:val="0"/>
          <w:numId w:val="30"/>
        </w:numPr>
        <w:wordWrap w:val="0"/>
        <w:spacing w:line="360" w:lineRule="auto"/>
        <w:ind w:left="0" w:firstLine="0" w:firstLineChars="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排水泵站供电应按二级负荷设计，特别重要地区的泵站，应按一级负荷设计。当不能满足上述要求时，应设置备用动力设施。</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条文说明】本条为强制性条文。供电负荷是根据其重要性和中断供电所造成的损失或影响程度来划分的。若突然中断供电，造成较大经济损失，给城镇生活带来较大影响者应采用二级负荷设计。若突然中断供电，造成重大经济损失，使城镇生活带来重大影响者应采用一级负荷设计。二级负荷宜由二回路供电，二路互为备用或一路常用一路备用。根据《供配电系统设计规范》GB 50052的规定，二级负荷的供电系统，对小型负荷或供电确有困难地区，也容许一回路专线供电，但应从严掌握。一级负荷应两个电源供电，当一个电源发生故障时，另一个电源不应同时受到损坏。上海合流污水治理一期和二期工程中，大型输水泵站35kV变电站都按一级负荷设计。</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位于居民区和重要地段的污水、合流污水泵站和地下式泵站，应设置除臭装置，除臭效果应符合现行国家和地方标准。</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条文说明】污水、合流污水泵站的格栅井及污水敞开部分，有臭气逸出，影响周围环境。对位于居民区和重要地段的泵站，应设置除臭装置。目前我国应用的臭气处理装置有生物除臭装置、活性炭除臭装置、化学除臭装置等。</w:t>
      </w:r>
    </w:p>
    <w:p>
      <w:pPr>
        <w:pStyle w:val="30"/>
        <w:numPr>
          <w:ilvl w:val="0"/>
          <w:numId w:val="30"/>
        </w:numPr>
        <w:wordWrap w:val="0"/>
        <w:spacing w:line="360" w:lineRule="auto"/>
        <w:ind w:firstLineChars="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自然通风条件差的地下式水泵间应设机械送排风综合系统。</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条文说明】本条为强制性条文。地下式泵房在水泵间有顶板结构时，其自然通风条件差，应设置机械送排风综合系统排除可能产生的有害气体以及泵房内的余热、余湿，以保障操作人员的生命安全和健康。通风换气次数一般为5次/h～10次/h，通风换气体积以地面为界。当地下式泵房的水泵间为无顶板结构，或为地面层泵房时，则可视通风条件和要求，确定通风方式。送排风口应合理布置，防止气流短路。</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 xml:space="preserve">    自然通风条件较好的地下式水泵间或地面层泵房，宜采用自然通风。当自然通风不能满足要求时，可采用自然进风、机械排风方式进行通风。</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 xml:space="preserve">    自然通风条件一般的地下式泵房或潜水泵房的集水池，可不设通风装置。但在检修时，应设临时送排风设施。通风换气次数不小于5次/h。</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有人值守的泵站内，应设隔声值班室并</w:t>
      </w:r>
      <w:r>
        <w:rPr>
          <w:rFonts w:hint="eastAsia" w:ascii="Times New Roman" w:hAnsi="Times New Roman" w:eastAsiaTheme="minorEastAsia"/>
          <w:color w:val="000000" w:themeColor="text1"/>
          <w:sz w:val="28"/>
          <w:szCs w:val="28"/>
        </w:rPr>
        <w:t>设</w:t>
      </w:r>
      <w:r>
        <w:rPr>
          <w:rFonts w:ascii="Times New Roman" w:hAnsi="Times New Roman" w:eastAsiaTheme="minorEastAsia"/>
          <w:color w:val="000000" w:themeColor="text1"/>
          <w:sz w:val="28"/>
          <w:szCs w:val="28"/>
        </w:rPr>
        <w:t>有通讯设施。对远离居民点的泵站，</w:t>
      </w:r>
      <w:r>
        <w:rPr>
          <w:rFonts w:hint="eastAsia" w:ascii="Times New Roman" w:hAnsi="Times New Roman" w:eastAsiaTheme="minorEastAsia"/>
          <w:color w:val="000000" w:themeColor="text1"/>
          <w:sz w:val="28"/>
          <w:szCs w:val="28"/>
        </w:rPr>
        <w:t>应根据需要适当</w:t>
      </w:r>
      <w:r>
        <w:rPr>
          <w:rFonts w:ascii="Times New Roman" w:hAnsi="Times New Roman" w:eastAsiaTheme="minorEastAsia"/>
          <w:color w:val="000000" w:themeColor="text1"/>
          <w:sz w:val="28"/>
          <w:szCs w:val="28"/>
        </w:rPr>
        <w:t>设置工作人员的生活设施。</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条文说明】隔声值班室是指在泵房内单独隔开一间，供值班人员工作、休息等用，备有通信设施，便于与外界的联络。对远离居民点的泵站，应适当设置管理人员的生活设施，一般可在泵站内设置供居住用的建筑。</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雨污分流不彻底、短时间难以改建的地区或考虑雨水径流污染控制的区域，雨水泵站可设置混接污水和雨水截流设施，并应采取措施排入污水处理系统或处理达标后排放。</w:t>
      </w:r>
    </w:p>
    <w:p>
      <w:pPr>
        <w:wordWrap w:val="0"/>
        <w:spacing w:line="480" w:lineRule="atLeast"/>
        <w:jc w:val="left"/>
        <w:rPr>
          <w:rFonts w:eastAsiaTheme="minorEastAsia"/>
          <w:color w:val="000000" w:themeColor="text1"/>
          <w:sz w:val="28"/>
          <w:szCs w:val="28"/>
        </w:rPr>
      </w:pPr>
      <w:r>
        <w:rPr>
          <w:rFonts w:eastAsiaTheme="minorEastAsia"/>
          <w:color w:val="000000" w:themeColor="text1"/>
          <w:sz w:val="28"/>
          <w:szCs w:val="28"/>
        </w:rPr>
        <w:t>【条文说明】本次修改中补充了雨水径流污染控制要求，分流制雨水截流和旱天污水截留可以一起考虑。</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目前我国许多地区都采用合流制和分流制并存的排水制度，还有一些地区雨污分流不彻底，短期内又难以完成改建。市政排水管网雨污水管道混接一方面降低了现有污水系统设施的收集处理率，另一方面又造成了对周围水体环境的污染。雨污混接方式主要有建筑物内部洗涤水接入雨水管、建筑物污废水出户管接入雨水管、化粪池出水管接入雨水管、市政污水管接入雨水管等。以上海为例，目前存在雨污混接的多个分流制排水系统中，旱流污水往往通过分流制排水系统的雨水泵站排入河道。为减少雨污混接对河道的污染，《上海市城镇雨水系统专业规划》提出在分流制排水系统的雨水泵站内增设截流设施，旱季将混接的旱流污水全部截流，纳入污水系统处理后排放，远期这些设施可用于分流制排水系统截流雨水。目前上海市中心城区分流制系统雨水泵站都设置有旱流污水截流设施。</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排水泵站内部和四围道路应满足设备装卸、垃圾清运、操作人员进出方便和消防通道的要求。</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【条文说明】泵站内道路布置的规定。潜水泵泵站当采用汽车吊装卸时，道路布置应考虑汽车吊操作方便；消防通道应考虑消防车通行转弯要求。</w:t>
      </w:r>
    </w:p>
    <w:p>
      <w:pPr>
        <w:pStyle w:val="30"/>
        <w:numPr>
          <w:ilvl w:val="0"/>
          <w:numId w:val="3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规模较小、用地紧张、不允许存在地面建筑的情况下可采用一体化预制泵站</w:t>
      </w:r>
    </w:p>
    <w:p>
      <w:pPr>
        <w:pStyle w:val="3"/>
        <w:numPr>
          <w:ilvl w:val="0"/>
          <w:numId w:val="29"/>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38" w:name="_Toc515281051"/>
      <w:r>
        <w:rPr>
          <w:rFonts w:ascii="Times New Roman" w:hAnsi="Times New Roman" w:eastAsiaTheme="minorEastAsia"/>
          <w:b w:val="0"/>
          <w:color w:val="000000" w:themeColor="text1"/>
          <w:sz w:val="28"/>
          <w:szCs w:val="28"/>
        </w:rPr>
        <w:t>集水池</w:t>
      </w:r>
      <w:bookmarkEnd w:id="38"/>
    </w:p>
    <w:p>
      <w:pPr>
        <w:pStyle w:val="30"/>
        <w:numPr>
          <w:ilvl w:val="0"/>
          <w:numId w:val="3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集水池的容积，应根据设计流量、水泵能力和水泵工作情况等因素确定，应符合下列规定：</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污水泵站集水池的容积，不应小于最大一台水泵5min的出水量；</w:t>
      </w:r>
    </w:p>
    <w:p>
      <w:pPr>
        <w:widowControl/>
        <w:wordWrap w:val="0"/>
        <w:ind w:firstLine="560" w:firstLineChars="200"/>
        <w:jc w:val="left"/>
        <w:rPr>
          <w:rFonts w:eastAsiaTheme="minorEastAsia"/>
          <w:color w:val="000000" w:themeColor="text1"/>
          <w:sz w:val="28"/>
          <w:szCs w:val="28"/>
        </w:rPr>
      </w:pPr>
      <w:r>
        <w:rPr>
          <w:rFonts w:eastAsiaTheme="minorEastAsia"/>
          <w:color w:val="000000" w:themeColor="text1"/>
          <w:sz w:val="28"/>
          <w:szCs w:val="28"/>
        </w:rPr>
        <w:t>注：如水泵机组为自动控制时，每小时开动水泵不宜超过6次。</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雨水泵站集水池的容积，不应小于最大一台水泵30s的出水量，地道雨水泵站集水池容积不应小于最大一台泵60s的出水量；</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合流污水泵站集水池的容积，不应小于最大一台水泵30s的出水量；</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污泥泵房集水池的容积，应按一次排入的污泥量和污泥泵抽送能力计算确定。活性污泥泵房集水池的容积，应按排入的回流污泥量、剩余污泥量和污泥泵抽送能力计算确定；</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 为了泵站正常运行，集水池的贮水部分必须有适当的有效容积。集水池的设计最高水位与设计最低水位之间的容积为有效容积。集水池有效容积的计算范围，除集水池本身外，可以向上游推算到格栅部位。如容积过小，则水泵开停频繁；容积过大，则增加工程造价。根据当前电机启闭次数要求，本次修订降低了对水泵开停的限制，污水泵站应控制单台泵开停次数不宜大于6次/h。对污水中途泵站，其下游泵站集水池容积，应与上游泵站工作相匹配，防止集水池壅水和开空车。雨水泵站和合流污水泵站集水池容积，由于雨水进水管部分可作为贮水容积考虑，仅规定不应小于最大一台水泵30s的出水量。为保证地道泵站安全和正常运行, 本标准将集水池容积提高到应大于最大一台泵60s的出水量。此处地道指下穿式立交道路和人行地道。间隙使用的泵房集水池，应按一次排入的水、泥量和水泵抽送能力计算。</w:t>
      </w:r>
    </w:p>
    <w:p>
      <w:pPr>
        <w:pStyle w:val="30"/>
        <w:numPr>
          <w:ilvl w:val="0"/>
          <w:numId w:val="3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大型合流污水输送泵站集水池的面积，应按管网系统中调压塔原理复核。</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【条文说明】大型合流污水泵站，尤其是多级串联泵站，当水泵突然停运或失负时，系统中的水流由动能转为势能，下游集水池会产生壅水现象，上壅高度与集水池面积有关，应复核水流不壅出地面。</w:t>
      </w:r>
    </w:p>
    <w:p>
      <w:pPr>
        <w:pStyle w:val="30"/>
        <w:numPr>
          <w:ilvl w:val="0"/>
          <w:numId w:val="3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流入集水池的污水和雨水均应通过格栅。</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【条文说明】集水池前设置格栅是用以截留大块的悬浮或漂浮的污物，以保护水泵叶轮和管配件，避免堵塞或磨损，保证水泵正常运行。</w:t>
      </w:r>
    </w:p>
    <w:p>
      <w:pPr>
        <w:pStyle w:val="30"/>
        <w:numPr>
          <w:ilvl w:val="0"/>
          <w:numId w:val="3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雨水泵站和合流污水泵站集水池的设计最高水位，宜与进水管管顶相平。当设计进水管道为压力管时，集水池的设计最高水位可高于进水管管顶，但不得使管道上游地面冒水。</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【条文说明】我国的雨水泵站运行时，部分受压情况较多，其进水水位高于管顶，设计时，考虑此因素，故最高水位可高于进水管管顶，但应复核，控制最高水位不得使管道上游的地面冒水。</w:t>
      </w:r>
    </w:p>
    <w:p>
      <w:pPr>
        <w:widowControl/>
        <w:wordWrap w:val="0"/>
        <w:ind w:firstLine="570"/>
        <w:jc w:val="left"/>
        <w:rPr>
          <w:rFonts w:eastAsiaTheme="minorEastAsia"/>
          <w:color w:val="000000" w:themeColor="text1"/>
          <w:sz w:val="28"/>
          <w:szCs w:val="28"/>
        </w:rPr>
      </w:pPr>
      <w:r>
        <w:rPr>
          <w:rFonts w:eastAsiaTheme="minorEastAsia"/>
          <w:color w:val="000000" w:themeColor="text1"/>
          <w:sz w:val="28"/>
          <w:szCs w:val="28"/>
        </w:rPr>
        <w:t>地道泵站集水池最高水位应低于地道最低点路面高程以下1m的要求；同时满足低于所设盲沟管最低点的管内底高程。</w:t>
      </w:r>
    </w:p>
    <w:p>
      <w:pPr>
        <w:pStyle w:val="30"/>
        <w:numPr>
          <w:ilvl w:val="0"/>
          <w:numId w:val="3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污水泵站集水池的设计最高水位，应按进水管充满度计算。</w:t>
      </w:r>
    </w:p>
    <w:p>
      <w:pPr>
        <w:pStyle w:val="30"/>
        <w:numPr>
          <w:ilvl w:val="0"/>
          <w:numId w:val="3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集水池的设计最低水位，应满足所选水泵吸水</w:t>
      </w:r>
      <w:r>
        <w:rPr>
          <w:rFonts w:hint="eastAsia" w:ascii="Times New Roman" w:hAnsi="Times New Roman" w:eastAsiaTheme="minorEastAsia"/>
          <w:color w:val="000000" w:themeColor="text1"/>
          <w:sz w:val="28"/>
          <w:szCs w:val="28"/>
        </w:rPr>
        <w:t>水</w:t>
      </w:r>
      <w:r>
        <w:rPr>
          <w:rFonts w:ascii="Times New Roman" w:hAnsi="Times New Roman" w:eastAsiaTheme="minorEastAsia"/>
          <w:color w:val="000000" w:themeColor="text1"/>
          <w:sz w:val="28"/>
          <w:szCs w:val="28"/>
        </w:rPr>
        <w:t>头的要求。自灌式泵房尚应满足水泵叶轮浸没深度的要求。</w:t>
      </w:r>
    </w:p>
    <w:p>
      <w:pPr>
        <w:pStyle w:val="30"/>
        <w:numPr>
          <w:ilvl w:val="0"/>
          <w:numId w:val="3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泵房宜采用正向进水，应考虑改善水泵吸水管的水力条件，减少滞流或涡流，规模较大的泵房宜通过数学模型或水力模型试验确定进水布置方式。</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泵房正向进水，是使水流顺畅，流速均匀的主要条件。侧向进水易形成集水池下游端的水泵吸水管处水流不稳，流量不均，对水泵运行不利，故应避免。由于进水条件对泵房运行极为重要，必要时，规模较大的泵房宜通过数学模型或水力模型试验确定进水布置方式。</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集水池的布置会直接影响水泵吸水的水流条件。水流条件差，会出现滞流或涡流，不利水泵运行；会引起汽蚀作用，水泵特性改变，效率下降，出水量减少，电动机超载运行；会造成运行不稳定，产生噪声和振动，增加能耗。</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集水池的设计一般应注意下列几点：</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（1）水泵吸水管或叶轮应有足够的淹没深度，防止空气吸入，或形成涡流时吸入空气。</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（2）泵的吸入喇叭口与池底保持所要求的距离。</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（3）水流应均匀顺畅无旋涡地流进泵吸水管，每台水泵的进水水流条件基本相同，水流不要突然扩大或改变方向。</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（4）集水池进口流速和水泵吸入口处的流速尽可能缓慢。</w:t>
      </w:r>
    </w:p>
    <w:p>
      <w:pPr>
        <w:pStyle w:val="30"/>
        <w:numPr>
          <w:ilvl w:val="0"/>
          <w:numId w:val="3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泵站集水池前，应设置闸门或闸槽；泵站宜设置事故排出口，污水泵站和合流污水泵站设置事故排出口应报有关部门批准。</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【条文说明】为了便于清洗集水池或检修水泵，泵站集水池前应设闸门或闸槽。泵站前宜设置事故排出口，供泵站检修时使用。为防止水污染和保护环境，规定设置事故排出口应报有关部门批准。</w:t>
      </w:r>
    </w:p>
    <w:p>
      <w:pPr>
        <w:pStyle w:val="30"/>
        <w:numPr>
          <w:ilvl w:val="0"/>
          <w:numId w:val="3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雨水进水管沉砂量较多地区宜在雨水泵站集水池前设置沉砂设施和清砂设备。</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有些地区雨水管道内常有大量砂粒流入，为保护水泵，减少对水泵叶轮的磨损，在雨水进水管砂粒量较多的地区宜在集水池前设置沉砂设施和清砂设备。上海某一泵站设有沉砂池，长期运行良好。上海另一泵站，由于无沉砂设施，曾发生水泵被淤埋或进水管渠断面减小、流量减少的情况。青岛市的雨水泵站大多设有沉砂设施。</w:t>
      </w:r>
    </w:p>
    <w:p>
      <w:pPr>
        <w:pStyle w:val="30"/>
        <w:numPr>
          <w:ilvl w:val="0"/>
          <w:numId w:val="3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集水池池底应设集水坑和倾向坑的坡度，</w:t>
      </w:r>
      <w:r>
        <w:rPr>
          <w:rFonts w:ascii="Times New Roman" w:hAnsi="Times New Roman" w:eastAsiaTheme="minorEastAsia"/>
          <w:color w:val="000000"/>
          <w:sz w:val="28"/>
          <w:szCs w:val="28"/>
        </w:rPr>
        <w:t>坑深宜为500mm~700mm</w:t>
      </w:r>
      <w:r>
        <w:rPr>
          <w:rFonts w:ascii="Times New Roman" w:hAnsi="Times New Roman" w:eastAsiaTheme="minorEastAsia"/>
          <w:color w:val="000000" w:themeColor="text1"/>
          <w:sz w:val="28"/>
          <w:szCs w:val="28"/>
        </w:rPr>
        <w:t>。</w:t>
      </w:r>
    </w:p>
    <w:p>
      <w:pPr>
        <w:pStyle w:val="30"/>
        <w:numPr>
          <w:ilvl w:val="0"/>
          <w:numId w:val="3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集水池应设冲洗装置,宜设清泥设施。</w:t>
      </w:r>
    </w:p>
    <w:p>
      <w:pPr>
        <w:pStyle w:val="3"/>
        <w:numPr>
          <w:ilvl w:val="0"/>
          <w:numId w:val="29"/>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39" w:name="_Toc515281052"/>
      <w:r>
        <w:rPr>
          <w:rFonts w:ascii="Times New Roman" w:hAnsi="Times New Roman" w:eastAsiaTheme="minorEastAsia"/>
          <w:b w:val="0"/>
          <w:color w:val="000000" w:themeColor="text1"/>
          <w:sz w:val="28"/>
          <w:szCs w:val="28"/>
        </w:rPr>
        <w:t>泵房设计</w:t>
      </w:r>
      <w:bookmarkEnd w:id="39"/>
    </w:p>
    <w:p>
      <w:pPr>
        <w:widowControl/>
        <w:wordWrap w:val="0"/>
        <w:jc w:val="center"/>
        <w:rPr>
          <w:rFonts w:eastAsiaTheme="minorEastAsia"/>
          <w:color w:val="000000" w:themeColor="text1"/>
          <w:sz w:val="28"/>
          <w:szCs w:val="28"/>
        </w:rPr>
      </w:pPr>
      <w:r>
        <w:rPr>
          <w:rFonts w:eastAsiaTheme="minorEastAsia"/>
          <w:color w:val="000000" w:themeColor="text1"/>
          <w:sz w:val="28"/>
          <w:szCs w:val="28"/>
        </w:rPr>
        <w:t>I 水泵配置</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水泵的选择应根据设计流量和所需扬程等因素确定，并应符合下列规定：</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水泵台数不应少于2台，不宜大于8台。当水量变化很大时，可配置不同规格的水泵，但不宜超过两种，或采用变频调速装置，或采用叶片可调式水泵；</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污水泵房和合流污水泵房应设备用泵，当工作泵台数不大于4台时，备用泵宜为1台。工作泵台数不小于5台时，备用泵宜为2台；潜水泵房备用泵为2台时，可现场备用1台，库存备用1台。雨水泵房可不设备用泵。立交道路的雨水泵房可视泵房重要性设置备用泵。</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一座泵房内的水泵，如型号规格相同，则运行管理、维修养护均较方便。其工作泵的配置宜为2台～8台。台数少于2台，如遇故障，影响太大；台数大于8台，则进出水条件可能不良，影响运行管理。当流量变化大时，可配置不同规格的水泵，大小搭配，但不宜超过两种；也可采用变频调速装置或叶片可调式水泵。</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污水泵房和合流污水泵房的备用泵台数，应根据下列情况考虑：</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（1）地区的重要性：不允许间断排水的重要政治、经济、文化和重要的工业企业等地区的泵房，应有较高的水泵备用率。</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（2）泵房的特殊性：是指泵房在排水系统中的特殊地位。如多级串联排水的泵房，其中一座泵房因故不能工作时，会影响整个排水区域的排水，故应适当提高备用率。</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（3）工作泵的型号：当采用橡胶轴承的轴流泵抽送污水时，因橡胶轴承等容易磨损，造成检修工作繁重，也需要适当提高水泵备用率。</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（4）台数较多的泵房，相应的损坏次数也较多，故备用台数应有所增加。</w:t>
      </w:r>
    </w:p>
    <w:p>
      <w:pPr>
        <w:widowControl/>
        <w:wordWrap w:val="0"/>
        <w:ind w:firstLine="565" w:firstLineChars="202"/>
        <w:jc w:val="left"/>
        <w:rPr>
          <w:rFonts w:eastAsiaTheme="minorEastAsia"/>
          <w:color w:val="000000" w:themeColor="text1"/>
          <w:sz w:val="28"/>
          <w:szCs w:val="28"/>
        </w:rPr>
      </w:pPr>
      <w:r>
        <w:rPr>
          <w:rFonts w:eastAsiaTheme="minorEastAsia"/>
          <w:color w:val="000000" w:themeColor="text1"/>
          <w:sz w:val="28"/>
          <w:szCs w:val="28"/>
        </w:rPr>
        <w:t>（5）水泵制造质量的提高，检修率下降，可减少备用率。</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但是备用泵增多，会增加投资和维护工作，综合考虑后作此规定。由于潜水泵调换方便，当备用泵为2台时，可现场备用1台，库存备用1台，以减小土建规模。</w:t>
      </w:r>
    </w:p>
    <w:p>
      <w:pPr>
        <w:widowControl/>
        <w:wordWrap w:val="0"/>
        <w:ind w:firstLine="570"/>
        <w:jc w:val="left"/>
        <w:rPr>
          <w:rFonts w:eastAsiaTheme="minorEastAsia"/>
          <w:color w:val="000000" w:themeColor="text1"/>
          <w:sz w:val="28"/>
          <w:szCs w:val="28"/>
        </w:rPr>
      </w:pPr>
      <w:r>
        <w:rPr>
          <w:rFonts w:eastAsiaTheme="minorEastAsia"/>
          <w:color w:val="000000" w:themeColor="text1"/>
          <w:sz w:val="28"/>
          <w:szCs w:val="28"/>
        </w:rPr>
        <w:t xml:space="preserve">雨水泵的年利用小时数很低，故雨水泵一般可不设备用泵，但应在非雨季做好维护保养工作。    </w:t>
      </w:r>
    </w:p>
    <w:p>
      <w:pPr>
        <w:widowControl/>
        <w:wordWrap w:val="0"/>
        <w:ind w:firstLine="570"/>
        <w:jc w:val="left"/>
        <w:rPr>
          <w:rFonts w:eastAsiaTheme="minorEastAsia"/>
          <w:color w:val="000000" w:themeColor="text1"/>
          <w:sz w:val="28"/>
          <w:szCs w:val="28"/>
        </w:rPr>
      </w:pPr>
      <w:r>
        <w:rPr>
          <w:rFonts w:eastAsiaTheme="minorEastAsia"/>
          <w:color w:val="000000" w:themeColor="text1"/>
          <w:sz w:val="28"/>
          <w:szCs w:val="28"/>
        </w:rPr>
        <w:t>立交道路雨水泵站可视泵站重要性设备用泵，但必须保证道路不积水，以免影响交通。</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选用的水泵宜满足设计扬程时在高效区运行；在最高工作扬程与最低工作扬程的整个工作范围内应能安全稳定运行。2台以上水泵并联运行合用一根出水管时，应根据水泵特性曲线和管路工作特性曲线验算单台水泵工况，使之符合设计要求。</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根据对已建泵站的调查，水泵扬程普遍按集水池最低水位与排出水体最高水位之差，再计入水泵管路系统的水头损失确定。由于出水最高水位出现概率甚少，导致水泵大部分工作时段的工况较差。本条规定了选用的水泵宜满足设计扬程时在高效区运行。此外，最高工作扬程与最低工作扬程，应在所选水泵的安全、稳定的运行范围内。由于各类水泵的特性不一，按上列扬程配泵如超出稳定运行范围，则以最高工作扬程时能安全稳定运行为控制工况。</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多级串联的污水泵站和合流污水泵站，应考虑级间调整的影响。</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【条文说明】多级串联的污水泵站和合流污水泵站，受多级串联后的工作制度、流量搭配等的影响较大，故应考虑级间调整的影响。</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水泵吸水管设计流速宜为0.7m/s～1.5m/s，出水管流速宜为0.8m/s～2.5m/s。</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【条文说明】水泵吸水管和出水管流速不宜过大，以减少水头损失和保证水泵正常运行。如水泵的进出口管管径较小，则应配置渐扩管进行过渡，使流速在本标准规定的范围内。</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非自灌式水泵应设引水设备，并均宜设备用。小型水泵可设底阀或真空引水设备。</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【条文说明】当水泵为非自灌式工作时，应设引水设备。引水设备有真空泵或水射器抽气引水，也可采用密闭水箱注水。当采用真空泵引水时，在真空泵与水泵之间应设置气水分离箱。</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t>II 泵 房</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水泵布置宜采用单行排列。</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【条文说明】水泵的布置是泵站的关键。水泵一般宜采用单行排列，这样对运行、维护有利，且进出水方便。</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主要机组的布置和通道宽度，应满足机电设备安装、运行和操作的要求，应符合下列规定：</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水泵机组基础间的净距不宜小于1.0m；</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机组突出部分与墙壁的净距不宜小于1.2m；</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主要通道宽度不宜小于1.5m；</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 xml:space="preserve">4 </w:t>
      </w:r>
      <w:r>
        <w:rPr>
          <w:rFonts w:eastAsiaTheme="minorEastAsia"/>
          <w:color w:val="000000" w:themeColor="text1"/>
          <w:sz w:val="28"/>
          <w:szCs w:val="28"/>
        </w:rPr>
        <w:t>配电箱前面通道宽度，低压配电时不宜小于1.5m，高压配电时不宜小于2.0m。当采用在配电箱后面检修时，后面距墙的净距不宜小于1.0m；</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 xml:space="preserve">5 </w:t>
      </w:r>
      <w:r>
        <w:rPr>
          <w:rFonts w:eastAsiaTheme="minorEastAsia"/>
          <w:color w:val="000000" w:themeColor="text1"/>
          <w:sz w:val="28"/>
          <w:szCs w:val="28"/>
        </w:rPr>
        <w:t>有电动起重机的泵房内，应有吊运设备的通道。</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【条文说明】主要机组的间距和通道的宽度应满足安全防护和便于操作、检修的需要，应保证水泵轴或电动机转子在检修时能够拆卸。</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泵房各层层高，应根据水泵机组、电气设备和起吊装置尺寸及安装、运行和检修等因素确定。</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泵房起重设备应根据需吊运的最重部件确定。起重量不大于3t，宜选用手动或电动葫芦；起重量大于3t，应选用电动单梁或双梁起重机。</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水泵机组基座，应按水泵要求配置，并应高出地坪0.1m以上。</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【条文说明】基座尺寸随水泵形式和规格而不同，应按水泵的要求配置。基座高出地坪0.1m以上是为了在机房少量淹水时，不影响机组正常工作。</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水泵间与电动机间的层高差超过水泵技术性能中规定的轴长时，应设中间轴承和轴承支架，水泵油箱和填料函处应设操作平台等设施。操作平台工作宽度不应小于0.6m，并应设置栏杆。平台的设置应满足管理人员通行和不妨碍水泵装拆。</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当泵房较深，选用立式泵时，水泵间地坪与电动机间地坪的高差超过水泵允许的最大轴长值时，一种方法是将电动机间建成半地下式；另一种方法是设置中间轴承和轴承支架以及人工操作平台等辅助设施。从电动机及水泵运转稳定性出发，轴长不宜太长，采用前一种方法较好，但从电动机散热方面考虑，后一种方法较好。本条对后一种方法做出了规定。</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泵房内应有排除积水的设施。</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【条文说明】水泵间地坪应设集水沟排除地面积水，其地坪宜以1%坡向集水沟，并在集水沟内设抽吸积水的水泵。</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泵房内地面敷设管道时，应根据需要设置跨越设施。若架空敷设时，不得跨越电气设备和阻碍通道，通行处的管底距地面不宜小于2.0m。</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【条文说明】泵房内管道敷设在地面上时，为方便操作人员巡回工作，可采用活动踏梯或活络平台作为跨越设施。</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当泵房内管道为架空敷设时，为不妨碍电气设备的检修和阻碍通道，规定不得跨越电气设备，通行处的管底距地面不小于2.0m。</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当泵房为多层时，楼板应设吊物孔，其位置应在起吊设备的工作范围内。吊物孔尺寸应按需起吊最大部件外形尺寸每边放大0.2m以上。</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潜水泵上方吊装孔盖板可视环境需要采取密封措施。</w:t>
      </w:r>
    </w:p>
    <w:p>
      <w:pPr>
        <w:pStyle w:val="30"/>
        <w:numPr>
          <w:ilvl w:val="0"/>
          <w:numId w:val="3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水泵因冷却、润滑和密封等需要的冷却用水可接自泵站供水系统，其水量、水压、管路等应按设备要求设置。当冷却水量较大时，应考虑循环利用。</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【条文说明】冷却水是相对洁净的水，应考虑循环利用。</w:t>
      </w:r>
    </w:p>
    <w:p>
      <w:pPr>
        <w:pStyle w:val="3"/>
        <w:numPr>
          <w:ilvl w:val="0"/>
          <w:numId w:val="29"/>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40" w:name="_Toc515281053"/>
      <w:r>
        <w:rPr>
          <w:rFonts w:ascii="Times New Roman" w:hAnsi="Times New Roman" w:eastAsiaTheme="minorEastAsia"/>
          <w:b w:val="0"/>
          <w:color w:val="000000" w:themeColor="text1"/>
          <w:sz w:val="28"/>
          <w:szCs w:val="28"/>
        </w:rPr>
        <w:t>出水设施</w:t>
      </w:r>
      <w:bookmarkEnd w:id="40"/>
    </w:p>
    <w:p>
      <w:pPr>
        <w:pStyle w:val="30"/>
        <w:numPr>
          <w:ilvl w:val="0"/>
          <w:numId w:val="3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2台或2台以上水泵合用一根出水管时,每台水泵的出水管上均应设置闸阀,并在闸阀和水泵之间设置止回阀。当污水泵出水管与压力管或压力井相连时，出水管上必须安装止回阀和闸阀等防倒流装置。雨水泵的出水管末端宜设防倒流装置，其上方宜考虑设置起吊设施。</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污水管出水管上应设置止回阀和闸阀。雨水泵出水管末端设置防倒流装置的目的是在水泵突然停运时，防止出水管的水流倒灌，或水泵发生故障时检修方便，我国目前使用的防倒流装置有拍门、堰门、柔性止回阀等。</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雨水泵出水管的防倒流装置上方，应按防倒流装置的重量考虑是否设置起吊装置，以方便拆装和维修。一种做法是设工字钢，在使用时安装起吊装置，以防锈蚀。</w:t>
      </w:r>
    </w:p>
    <w:p>
      <w:pPr>
        <w:pStyle w:val="30"/>
        <w:numPr>
          <w:ilvl w:val="0"/>
          <w:numId w:val="3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出水压力井的盖板必须密封，所受压力由计算确定。水泵出水压力井必须设透气筒，筒高和断面应根据计算确定。</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出水压力井的井压，按水泵的流量和扬程计算确定。出水压力井上设透气筒、可释放水锤能量，防止水锤损坏管道和压力井。透气筒高度和断面根据计算确定，且透气筒不宜设在室内。压力井的井座、井盖及螺栓应采用防锈材料，以利装拆。</w:t>
      </w:r>
    </w:p>
    <w:p>
      <w:pPr>
        <w:pStyle w:val="30"/>
        <w:numPr>
          <w:ilvl w:val="0"/>
          <w:numId w:val="3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敞开式出水井的井口高度，应满足水体最高水位时开泵形成的高水位，或水泵骤停时水位上升的高度。敞开部分应有安全防护措施。</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【条文说明】敞开式出水井的井口高度，应根据河道最高水位加上开泵时的水流壅高，或停泵时壅高水位确定。</w:t>
      </w:r>
    </w:p>
    <w:p>
      <w:pPr>
        <w:pStyle w:val="30"/>
        <w:numPr>
          <w:ilvl w:val="0"/>
          <w:numId w:val="3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合流污水泵站和雨水泵站设试车水回流管，出水井通向河道一侧应安装出水闸门或考虑临时封堵措施。</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【条文说明】合流污水泵站试车时，关闭出水井内通向河道一侧的出水闸门或临时封堵出水井，可把泵出的水通过管道回至集水池。回流管管径宜按最大一台水泵的流量确定。</w:t>
      </w:r>
    </w:p>
    <w:p>
      <w:pPr>
        <w:pStyle w:val="30"/>
        <w:numPr>
          <w:ilvl w:val="0"/>
          <w:numId w:val="3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雨水泵站出水口位址选择，应避让桥梁等水中构筑物，出水口和护坡结构不得影响航道，水流不得冲刷河道和影响航运安全，出口流速宜小于0.5m/s，并取得航运、水利等部门的同意。泵站出水口处应设置警示标志。</w:t>
      </w:r>
    </w:p>
    <w:p>
      <w:pPr>
        <w:widowControl/>
        <w:wordWrap w:val="0"/>
        <w:jc w:val="left"/>
        <w:rPr>
          <w:rFonts w:eastAsiaTheme="minorEastAsia"/>
          <w:b/>
          <w:color w:val="000000" w:themeColor="text1"/>
          <w:spacing w:val="8"/>
          <w:kern w:val="0"/>
          <w:sz w:val="28"/>
          <w:szCs w:val="28"/>
        </w:rPr>
      </w:pPr>
      <w:r>
        <w:rPr>
          <w:rFonts w:eastAsiaTheme="minorEastAsia"/>
          <w:color w:val="000000" w:themeColor="text1"/>
          <w:sz w:val="28"/>
          <w:szCs w:val="28"/>
        </w:rPr>
        <w:t>【条文说明】雨水泵站出水口流量较大，应避让桥梁等水中构筑物，出水口和护坡结构不得影响航行，出水口流速宜控制在0.5m/s以下。出水口的位置、流速控制、消能设施、警示标志等，应事先征求当地航运、水利、港务和市政等有关部门的同意，并按要求设置有关设施。</w:t>
      </w:r>
      <w:r>
        <w:rPr>
          <w:rFonts w:eastAsiaTheme="minorEastAsia"/>
          <w:color w:val="000000" w:themeColor="text1"/>
          <w:sz w:val="28"/>
          <w:szCs w:val="28"/>
        </w:rPr>
        <w:br w:type="page"/>
      </w:r>
    </w:p>
    <w:p>
      <w:pPr>
        <w:pStyle w:val="2"/>
        <w:wordWrap w:val="0"/>
        <w:spacing w:before="312" w:after="312"/>
        <w:rPr>
          <w:sz w:val="28"/>
          <w:szCs w:val="28"/>
        </w:rPr>
      </w:pPr>
      <w:bookmarkStart w:id="41" w:name="_Toc515281054"/>
      <w:r>
        <w:rPr>
          <w:sz w:val="28"/>
          <w:szCs w:val="28"/>
        </w:rPr>
        <w:t>7 污水和再生水处理</w:t>
      </w:r>
      <w:bookmarkEnd w:id="41"/>
    </w:p>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42" w:name="_Toc515281055"/>
      <w:r>
        <w:rPr>
          <w:rFonts w:ascii="Times New Roman" w:hAnsi="Times New Roman" w:eastAsiaTheme="minorEastAsia"/>
          <w:b w:val="0"/>
          <w:color w:val="000000" w:themeColor="text1"/>
          <w:sz w:val="28"/>
          <w:szCs w:val="28"/>
        </w:rPr>
        <w:t>一般规定</w:t>
      </w:r>
      <w:bookmarkEnd w:id="42"/>
    </w:p>
    <w:p>
      <w:pPr>
        <w:pStyle w:val="30"/>
        <w:numPr>
          <w:ilvl w:val="0"/>
          <w:numId w:val="3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城市污水处理程度和方法应根据现行的国家和地方的有关排放标准、污染物的来源及性质、排入地表水域环境功能和保护目标确定。</w:t>
      </w:r>
    </w:p>
    <w:p>
      <w:pPr>
        <w:pStyle w:val="30"/>
        <w:numPr>
          <w:ilvl w:val="0"/>
          <w:numId w:val="3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污水厂的处理效率，可按本标准表7.1.2的规定取值。</w:t>
      </w:r>
    </w:p>
    <w:p>
      <w:pPr>
        <w:wordWrap w:val="0"/>
        <w:spacing w:line="360" w:lineRule="auto"/>
        <w:jc w:val="center"/>
        <w:rPr>
          <w:rFonts w:eastAsiaTheme="minorEastAsia"/>
          <w:b/>
          <w:bCs/>
          <w:color w:val="000000" w:themeColor="text1"/>
          <w:sz w:val="28"/>
          <w:szCs w:val="28"/>
        </w:rPr>
      </w:pPr>
      <w:r>
        <w:rPr>
          <w:rFonts w:eastAsiaTheme="minorEastAsia"/>
          <w:b/>
          <w:bCs/>
          <w:color w:val="000000" w:themeColor="text1"/>
          <w:sz w:val="28"/>
          <w:szCs w:val="28"/>
        </w:rPr>
        <w:t>表7.1.2  污水厂的处理效率</w:t>
      </w:r>
    </w:p>
    <w:tbl>
      <w:tblPr>
        <w:tblStyle w:val="25"/>
        <w:tblW w:w="8484"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84"/>
        <w:gridCol w:w="1354"/>
        <w:gridCol w:w="1985"/>
        <w:gridCol w:w="1063"/>
        <w:gridCol w:w="1134"/>
        <w:gridCol w:w="992"/>
        <w:gridCol w:w="1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93" w:hRule="atLeast"/>
          <w:jc w:val="center"/>
        </w:trPr>
        <w:tc>
          <w:tcPr>
            <w:tcW w:w="884" w:type="dxa"/>
            <w:vMerge w:val="restart"/>
            <w:vAlign w:val="center"/>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处理级别</w:t>
            </w:r>
          </w:p>
        </w:tc>
        <w:tc>
          <w:tcPr>
            <w:tcW w:w="1354" w:type="dxa"/>
            <w:vMerge w:val="restart"/>
            <w:vAlign w:val="center"/>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处理方法</w:t>
            </w:r>
          </w:p>
        </w:tc>
        <w:tc>
          <w:tcPr>
            <w:tcW w:w="1985" w:type="dxa"/>
            <w:vMerge w:val="restart"/>
            <w:vAlign w:val="center"/>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主要工艺</w:t>
            </w:r>
          </w:p>
        </w:tc>
        <w:tc>
          <w:tcPr>
            <w:tcW w:w="4261" w:type="dxa"/>
            <w:gridSpan w:val="4"/>
            <w:vAlign w:val="center"/>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处理效率（%）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95" w:hRule="atLeast"/>
          <w:jc w:val="center"/>
        </w:trPr>
        <w:tc>
          <w:tcPr>
            <w:tcW w:w="884" w:type="dxa"/>
            <w:vMerge w:val="continue"/>
          </w:tcPr>
          <w:p>
            <w:pPr>
              <w:wordWrap w:val="0"/>
              <w:spacing w:line="360" w:lineRule="auto"/>
              <w:rPr>
                <w:rFonts w:eastAsiaTheme="minorEastAsia"/>
                <w:color w:val="000000" w:themeColor="text1"/>
                <w:spacing w:val="-4"/>
                <w:sz w:val="28"/>
                <w:szCs w:val="28"/>
              </w:rPr>
            </w:pPr>
          </w:p>
        </w:tc>
        <w:tc>
          <w:tcPr>
            <w:tcW w:w="1354" w:type="dxa"/>
            <w:vMerge w:val="continue"/>
          </w:tcPr>
          <w:p>
            <w:pPr>
              <w:wordWrap w:val="0"/>
              <w:spacing w:line="360" w:lineRule="auto"/>
              <w:rPr>
                <w:rFonts w:eastAsiaTheme="minorEastAsia"/>
                <w:color w:val="000000" w:themeColor="text1"/>
                <w:spacing w:val="-4"/>
                <w:sz w:val="28"/>
                <w:szCs w:val="28"/>
              </w:rPr>
            </w:pPr>
          </w:p>
        </w:tc>
        <w:tc>
          <w:tcPr>
            <w:tcW w:w="1985" w:type="dxa"/>
            <w:vMerge w:val="continue"/>
          </w:tcPr>
          <w:p>
            <w:pPr>
              <w:wordWrap w:val="0"/>
              <w:spacing w:line="360" w:lineRule="auto"/>
              <w:rPr>
                <w:rFonts w:eastAsiaTheme="minorEastAsia"/>
                <w:color w:val="000000" w:themeColor="text1"/>
                <w:spacing w:val="-4"/>
                <w:sz w:val="28"/>
                <w:szCs w:val="28"/>
              </w:rPr>
            </w:pPr>
          </w:p>
        </w:tc>
        <w:tc>
          <w:tcPr>
            <w:tcW w:w="1063" w:type="dxa"/>
          </w:tcPr>
          <w:p>
            <w:pPr>
              <w:wordWrap w:val="0"/>
              <w:spacing w:line="360" w:lineRule="auto"/>
              <w:rPr>
                <w:rFonts w:eastAsiaTheme="minorEastAsia"/>
                <w:color w:val="000000" w:themeColor="text1"/>
                <w:spacing w:val="-4"/>
                <w:sz w:val="28"/>
                <w:szCs w:val="28"/>
              </w:rPr>
            </w:pPr>
            <w:r>
              <w:rPr>
                <w:rFonts w:eastAsiaTheme="minorEastAsia"/>
                <w:color w:val="000000" w:themeColor="text1"/>
                <w:spacing w:val="-4"/>
                <w:sz w:val="28"/>
                <w:szCs w:val="28"/>
              </w:rPr>
              <w:t>SS</w:t>
            </w:r>
          </w:p>
        </w:tc>
        <w:tc>
          <w:tcPr>
            <w:tcW w:w="1134" w:type="dxa"/>
          </w:tcPr>
          <w:p>
            <w:pPr>
              <w:wordWrap w:val="0"/>
              <w:spacing w:line="360" w:lineRule="auto"/>
              <w:rPr>
                <w:rFonts w:eastAsiaTheme="minorEastAsia"/>
                <w:i/>
                <w:color w:val="000000" w:themeColor="text1"/>
                <w:spacing w:val="-4"/>
                <w:sz w:val="28"/>
                <w:szCs w:val="28"/>
              </w:rPr>
            </w:pPr>
            <w:r>
              <w:rPr>
                <w:rFonts w:eastAsiaTheme="minorEastAsia"/>
                <w:i/>
                <w:color w:val="000000" w:themeColor="text1"/>
                <w:spacing w:val="-4"/>
                <w:sz w:val="28"/>
                <w:szCs w:val="28"/>
              </w:rPr>
              <w:t>BOD</w:t>
            </w:r>
            <w:r>
              <w:rPr>
                <w:rFonts w:eastAsiaTheme="minorEastAsia"/>
                <w:i/>
                <w:color w:val="000000" w:themeColor="text1"/>
                <w:spacing w:val="-4"/>
                <w:sz w:val="28"/>
                <w:szCs w:val="28"/>
                <w:vertAlign w:val="subscript"/>
              </w:rPr>
              <w:t>5</w:t>
            </w:r>
          </w:p>
        </w:tc>
        <w:tc>
          <w:tcPr>
            <w:tcW w:w="992" w:type="dxa"/>
          </w:tcPr>
          <w:p>
            <w:pPr>
              <w:wordWrap w:val="0"/>
              <w:spacing w:line="360" w:lineRule="auto"/>
              <w:rPr>
                <w:rFonts w:eastAsiaTheme="minorEastAsia"/>
                <w:color w:val="000000" w:themeColor="text1"/>
                <w:spacing w:val="-4"/>
                <w:sz w:val="28"/>
                <w:szCs w:val="28"/>
              </w:rPr>
            </w:pPr>
            <w:r>
              <w:rPr>
                <w:rFonts w:eastAsiaTheme="minorEastAsia"/>
                <w:color w:val="000000" w:themeColor="text1"/>
                <w:spacing w:val="-4"/>
                <w:sz w:val="28"/>
                <w:szCs w:val="28"/>
              </w:rPr>
              <w:t>TN</w:t>
            </w:r>
          </w:p>
        </w:tc>
        <w:tc>
          <w:tcPr>
            <w:tcW w:w="1072" w:type="dxa"/>
          </w:tcPr>
          <w:p>
            <w:pPr>
              <w:wordWrap w:val="0"/>
              <w:spacing w:line="360" w:lineRule="auto"/>
              <w:rPr>
                <w:rFonts w:eastAsiaTheme="minorEastAsia"/>
                <w:color w:val="000000" w:themeColor="text1"/>
                <w:spacing w:val="-4"/>
                <w:sz w:val="28"/>
                <w:szCs w:val="28"/>
              </w:rPr>
            </w:pPr>
            <w:r>
              <w:rPr>
                <w:rFonts w:eastAsiaTheme="minorEastAsia"/>
                <w:color w:val="000000" w:themeColor="text1"/>
                <w:spacing w:val="-4"/>
                <w:sz w:val="28"/>
                <w:szCs w:val="28"/>
              </w:rPr>
              <w:t>TP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84" w:type="dxa"/>
            <w:vAlign w:val="center"/>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一级</w:t>
            </w:r>
          </w:p>
        </w:tc>
        <w:tc>
          <w:tcPr>
            <w:tcW w:w="1354" w:type="dxa"/>
            <w:vAlign w:val="center"/>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沉淀法</w:t>
            </w:r>
          </w:p>
        </w:tc>
        <w:tc>
          <w:tcPr>
            <w:tcW w:w="1985"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沉淀（自然沉淀）</w:t>
            </w:r>
          </w:p>
        </w:tc>
        <w:tc>
          <w:tcPr>
            <w:tcW w:w="1063"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40～55</w:t>
            </w:r>
          </w:p>
        </w:tc>
        <w:tc>
          <w:tcPr>
            <w:tcW w:w="1134"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20～30</w:t>
            </w:r>
          </w:p>
        </w:tc>
        <w:tc>
          <w:tcPr>
            <w:tcW w:w="992" w:type="dxa"/>
          </w:tcPr>
          <w:p>
            <w:pPr>
              <w:wordWrap w:val="0"/>
              <w:spacing w:line="360" w:lineRule="auto"/>
              <w:jc w:val="center"/>
              <w:rPr>
                <w:rFonts w:eastAsiaTheme="minorEastAsia"/>
                <w:color w:val="000000" w:themeColor="text1"/>
                <w:spacing w:val="-4"/>
                <w:sz w:val="28"/>
                <w:szCs w:val="28"/>
              </w:rPr>
            </w:pPr>
          </w:p>
        </w:tc>
        <w:tc>
          <w:tcPr>
            <w:tcW w:w="1072"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5~10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84" w:type="dxa"/>
            <w:vMerge w:val="restart"/>
            <w:vAlign w:val="center"/>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二级</w:t>
            </w:r>
          </w:p>
        </w:tc>
        <w:tc>
          <w:tcPr>
            <w:tcW w:w="1354" w:type="dxa"/>
            <w:vAlign w:val="center"/>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生物膜法</w:t>
            </w:r>
          </w:p>
        </w:tc>
        <w:tc>
          <w:tcPr>
            <w:tcW w:w="1985" w:type="dxa"/>
          </w:tcPr>
          <w:p>
            <w:pPr>
              <w:pStyle w:val="16"/>
              <w:pBdr>
                <w:bottom w:val="none" w:color="auto" w:sz="0" w:space="0"/>
              </w:pBdr>
              <w:tabs>
                <w:tab w:val="clear" w:pos="4153"/>
                <w:tab w:val="clear" w:pos="8306"/>
              </w:tabs>
              <w:wordWrap w:val="0"/>
              <w:spacing w:line="360" w:lineRule="auto"/>
              <w:rPr>
                <w:rFonts w:eastAsiaTheme="minorEastAsia"/>
                <w:color w:val="000000" w:themeColor="text1"/>
                <w:spacing w:val="-4"/>
                <w:sz w:val="28"/>
                <w:szCs w:val="28"/>
              </w:rPr>
            </w:pPr>
            <w:r>
              <w:rPr>
                <w:rFonts w:eastAsiaTheme="minorEastAsia"/>
                <w:color w:val="000000" w:themeColor="text1"/>
                <w:spacing w:val="-4"/>
                <w:sz w:val="28"/>
                <w:szCs w:val="28"/>
              </w:rPr>
              <w:t>初次沉淀、生物膜反应、二次沉淀</w:t>
            </w:r>
          </w:p>
        </w:tc>
        <w:tc>
          <w:tcPr>
            <w:tcW w:w="1063"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60～90</w:t>
            </w:r>
          </w:p>
        </w:tc>
        <w:tc>
          <w:tcPr>
            <w:tcW w:w="1134"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65～90</w:t>
            </w:r>
          </w:p>
        </w:tc>
        <w:tc>
          <w:tcPr>
            <w:tcW w:w="992"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60-85</w:t>
            </w:r>
          </w:p>
        </w:tc>
        <w:tc>
          <w:tcPr>
            <w:tcW w:w="1072" w:type="dxa"/>
          </w:tcPr>
          <w:p>
            <w:pPr>
              <w:wordWrap w:val="0"/>
              <w:spacing w:line="360" w:lineRule="auto"/>
              <w:jc w:val="center"/>
              <w:rPr>
                <w:rFonts w:eastAsiaTheme="minorEastAsia"/>
                <w:color w:val="000000" w:themeColor="text1"/>
                <w:spacing w:val="-4"/>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84" w:type="dxa"/>
            <w:vMerge w:val="continue"/>
          </w:tcPr>
          <w:p>
            <w:pPr>
              <w:wordWrap w:val="0"/>
              <w:spacing w:line="360" w:lineRule="auto"/>
              <w:jc w:val="center"/>
              <w:rPr>
                <w:rFonts w:eastAsiaTheme="minorEastAsia"/>
                <w:color w:val="000000" w:themeColor="text1"/>
                <w:spacing w:val="-4"/>
                <w:sz w:val="28"/>
                <w:szCs w:val="28"/>
              </w:rPr>
            </w:pPr>
          </w:p>
        </w:tc>
        <w:tc>
          <w:tcPr>
            <w:tcW w:w="1354" w:type="dxa"/>
            <w:vAlign w:val="center"/>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活性污泥法</w:t>
            </w:r>
          </w:p>
        </w:tc>
        <w:tc>
          <w:tcPr>
            <w:tcW w:w="1985" w:type="dxa"/>
          </w:tcPr>
          <w:p>
            <w:pPr>
              <w:pStyle w:val="16"/>
              <w:pBdr>
                <w:bottom w:val="none" w:color="auto" w:sz="0" w:space="0"/>
              </w:pBdr>
              <w:tabs>
                <w:tab w:val="clear" w:pos="4153"/>
                <w:tab w:val="clear" w:pos="8306"/>
              </w:tabs>
              <w:wordWrap w:val="0"/>
              <w:spacing w:line="360" w:lineRule="auto"/>
              <w:rPr>
                <w:rFonts w:eastAsiaTheme="minorEastAsia"/>
                <w:color w:val="000000" w:themeColor="text1"/>
                <w:spacing w:val="-8"/>
                <w:sz w:val="28"/>
                <w:szCs w:val="28"/>
              </w:rPr>
            </w:pPr>
            <w:r>
              <w:rPr>
                <w:rFonts w:eastAsiaTheme="minorEastAsia"/>
                <w:color w:val="000000" w:themeColor="text1"/>
                <w:spacing w:val="-8"/>
                <w:sz w:val="28"/>
                <w:szCs w:val="28"/>
              </w:rPr>
              <w:t>初次沉淀、活性污泥反应、二次沉淀</w:t>
            </w:r>
          </w:p>
        </w:tc>
        <w:tc>
          <w:tcPr>
            <w:tcW w:w="1063"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70～90</w:t>
            </w:r>
          </w:p>
        </w:tc>
        <w:tc>
          <w:tcPr>
            <w:tcW w:w="1134"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65～95</w:t>
            </w:r>
          </w:p>
        </w:tc>
        <w:tc>
          <w:tcPr>
            <w:tcW w:w="992"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60-85</w:t>
            </w:r>
          </w:p>
        </w:tc>
        <w:tc>
          <w:tcPr>
            <w:tcW w:w="1072"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75~90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84"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深度处理</w:t>
            </w:r>
          </w:p>
        </w:tc>
        <w:tc>
          <w:tcPr>
            <w:tcW w:w="1354" w:type="dxa"/>
            <w:vAlign w:val="center"/>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混凝沉淀过滤</w:t>
            </w:r>
          </w:p>
        </w:tc>
        <w:tc>
          <w:tcPr>
            <w:tcW w:w="1985" w:type="dxa"/>
            <w:vAlign w:val="center"/>
          </w:tcPr>
          <w:p>
            <w:pPr>
              <w:pStyle w:val="16"/>
              <w:pBdr>
                <w:bottom w:val="none" w:color="auto" w:sz="0" w:space="0"/>
              </w:pBdr>
              <w:tabs>
                <w:tab w:val="clear" w:pos="4153"/>
                <w:tab w:val="clear" w:pos="8306"/>
              </w:tabs>
              <w:wordWrap w:val="0"/>
              <w:spacing w:line="360" w:lineRule="auto"/>
              <w:rPr>
                <w:rFonts w:eastAsiaTheme="minorEastAsia"/>
                <w:color w:val="000000" w:themeColor="text1"/>
                <w:spacing w:val="-8"/>
                <w:sz w:val="28"/>
                <w:szCs w:val="28"/>
              </w:rPr>
            </w:pPr>
          </w:p>
        </w:tc>
        <w:tc>
          <w:tcPr>
            <w:tcW w:w="1063"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90～99</w:t>
            </w:r>
          </w:p>
        </w:tc>
        <w:tc>
          <w:tcPr>
            <w:tcW w:w="1134"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80～96</w:t>
            </w:r>
          </w:p>
        </w:tc>
        <w:tc>
          <w:tcPr>
            <w:tcW w:w="992"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65~90</w:t>
            </w:r>
          </w:p>
        </w:tc>
        <w:tc>
          <w:tcPr>
            <w:tcW w:w="1072" w:type="dxa"/>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80～95</w:t>
            </w:r>
          </w:p>
        </w:tc>
      </w:tr>
    </w:tbl>
    <w:p>
      <w:pPr>
        <w:widowControl/>
        <w:wordWrap w:val="0"/>
        <w:spacing w:line="360" w:lineRule="auto"/>
        <w:ind w:left="840" w:hanging="840" w:hangingChars="300"/>
        <w:jc w:val="left"/>
        <w:rPr>
          <w:rFonts w:eastAsiaTheme="minorEastAsia"/>
          <w:color w:val="000000" w:themeColor="text1"/>
          <w:sz w:val="28"/>
          <w:szCs w:val="28"/>
        </w:rPr>
      </w:pPr>
      <w:r>
        <w:rPr>
          <w:rFonts w:eastAsiaTheme="minorEastAsia"/>
          <w:color w:val="000000" w:themeColor="text1"/>
          <w:sz w:val="28"/>
          <w:szCs w:val="28"/>
        </w:rPr>
        <w:t>注：1 表中SS表示悬浮固体量，BOD</w:t>
      </w:r>
      <w:r>
        <w:rPr>
          <w:rFonts w:eastAsiaTheme="minorEastAsia"/>
          <w:color w:val="000000" w:themeColor="text1"/>
          <w:sz w:val="28"/>
          <w:szCs w:val="28"/>
          <w:vertAlign w:val="subscript"/>
        </w:rPr>
        <w:t>5</w:t>
      </w:r>
      <w:r>
        <w:rPr>
          <w:rFonts w:eastAsiaTheme="minorEastAsia"/>
          <w:color w:val="000000" w:themeColor="text1"/>
          <w:sz w:val="28"/>
          <w:szCs w:val="28"/>
        </w:rPr>
        <w:t>表示五日生化需氧量，TN表示总氮，TP表示总磷。</w:t>
      </w:r>
    </w:p>
    <w:p>
      <w:pPr>
        <w:widowControl/>
        <w:wordWrap w:val="0"/>
        <w:spacing w:line="360" w:lineRule="auto"/>
        <w:ind w:firstLine="560" w:firstLineChars="200"/>
        <w:jc w:val="left"/>
        <w:rPr>
          <w:rFonts w:eastAsiaTheme="minorEastAsia"/>
          <w:color w:val="000000" w:themeColor="text1"/>
          <w:sz w:val="28"/>
          <w:szCs w:val="28"/>
        </w:rPr>
      </w:pPr>
      <w:r>
        <w:rPr>
          <w:rFonts w:eastAsiaTheme="minorEastAsia"/>
          <w:color w:val="000000" w:themeColor="text1"/>
          <w:sz w:val="28"/>
          <w:szCs w:val="28"/>
        </w:rPr>
        <w:t>2 活性污泥法根据水质、工艺流程等情况，可不设置初次沉淀池。</w:t>
      </w:r>
    </w:p>
    <w:p>
      <w:pPr>
        <w:wordWrap w:val="0"/>
        <w:rPr>
          <w:rFonts w:eastAsiaTheme="minorEastAsia"/>
          <w:color w:val="000000" w:themeColor="text1"/>
          <w:sz w:val="28"/>
          <w:szCs w:val="28"/>
        </w:rPr>
      </w:pPr>
      <w:r>
        <w:rPr>
          <w:rFonts w:eastAsiaTheme="minorEastAsia"/>
          <w:color w:val="000000" w:themeColor="text1"/>
          <w:sz w:val="28"/>
          <w:szCs w:val="28"/>
        </w:rPr>
        <w:t>【条文说明】根据国内污水厂处理效率的实践数据，并参考国外资料制定。</w:t>
      </w:r>
    </w:p>
    <w:p>
      <w:pPr>
        <w:widowControl/>
        <w:wordWrap w:val="0"/>
        <w:ind w:firstLine="560" w:firstLineChars="200"/>
        <w:jc w:val="left"/>
        <w:rPr>
          <w:rFonts w:eastAsiaTheme="minorEastAsia"/>
          <w:color w:val="000000" w:themeColor="text1"/>
          <w:sz w:val="28"/>
          <w:szCs w:val="28"/>
        </w:rPr>
      </w:pPr>
      <w:r>
        <w:rPr>
          <w:rFonts w:eastAsiaTheme="minorEastAsia"/>
          <w:color w:val="000000" w:themeColor="text1"/>
          <w:sz w:val="28"/>
          <w:szCs w:val="28"/>
        </w:rPr>
        <w:t>一级处理的处理效率主要是沉淀池的处理效率，未计入格栅和沉砂池的处理效率。二级处理的处理效率包括一级处理。深度处理的处理效率包括一级和二级处理。调研数据来源于国内包括上海、重庆、青岛、郑州、深圳等地污水厂的实际运行数据。</w:t>
      </w:r>
    </w:p>
    <w:p>
      <w:pPr>
        <w:pStyle w:val="30"/>
        <w:numPr>
          <w:ilvl w:val="0"/>
          <w:numId w:val="35"/>
        </w:numPr>
        <w:wordWrap w:val="0"/>
        <w:spacing w:line="360" w:lineRule="auto"/>
        <w:ind w:left="0" w:firstLine="0" w:firstLineChars="0"/>
        <w:rPr>
          <w:rFonts w:ascii="Times New Roman" w:hAnsi="Times New Roman" w:eastAsiaTheme="minorEastAsia"/>
          <w:sz w:val="28"/>
          <w:szCs w:val="28"/>
        </w:rPr>
      </w:pPr>
      <w:r>
        <w:rPr>
          <w:rFonts w:ascii="Times New Roman" w:hAnsi="Times New Roman" w:eastAsiaTheme="minorEastAsia"/>
          <w:color w:val="000000" w:themeColor="text1"/>
          <w:sz w:val="28"/>
          <w:szCs w:val="28"/>
        </w:rPr>
        <w:t>污水厂应通过扩容或增加调蓄，保证雨季设计流量下的达标排放。当污水厂采用雨水调蓄时，雨季设计流量可根据调蓄规模相应降低。</w:t>
      </w:r>
    </w:p>
    <w:p>
      <w:pPr>
        <w:widowControl/>
        <w:wordWrap w:val="0"/>
        <w:jc w:val="left"/>
        <w:rPr>
          <w:rFonts w:eastAsiaTheme="minorEastAsia"/>
          <w:sz w:val="28"/>
          <w:szCs w:val="28"/>
        </w:rPr>
      </w:pPr>
      <w:r>
        <w:rPr>
          <w:rFonts w:eastAsiaTheme="minorEastAsia"/>
          <w:color w:val="000000" w:themeColor="text1"/>
          <w:sz w:val="28"/>
          <w:szCs w:val="28"/>
        </w:rPr>
        <w:t>【条文说明】当污水厂采用雨水调蓄时，雨季设计流量可低于服务范围内的雨季设计流量，根据调蓄之后的流量确定。</w:t>
      </w:r>
    </w:p>
    <w:p>
      <w:pPr>
        <w:pStyle w:val="30"/>
        <w:numPr>
          <w:ilvl w:val="0"/>
          <w:numId w:val="3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污水处理构筑物的设计，应符合下列规定：</w:t>
      </w:r>
    </w:p>
    <w:p>
      <w:pPr>
        <w:pStyle w:val="30"/>
        <w:numPr>
          <w:ilvl w:val="2"/>
          <w:numId w:val="34"/>
        </w:numPr>
        <w:wordWrap w:val="0"/>
        <w:spacing w:line="360" w:lineRule="auto"/>
        <w:ind w:left="0" w:firstLine="426"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旱季设计流量，应按分期建设的情况分别计算；</w:t>
      </w:r>
    </w:p>
    <w:p>
      <w:pPr>
        <w:pStyle w:val="30"/>
        <w:numPr>
          <w:ilvl w:val="2"/>
          <w:numId w:val="34"/>
        </w:numPr>
        <w:wordWrap w:val="0"/>
        <w:spacing w:line="360" w:lineRule="auto"/>
        <w:ind w:left="0" w:firstLine="425" w:firstLineChars="15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当污水为自流进入时，应</w:t>
      </w:r>
      <w:r>
        <w:rPr>
          <w:rFonts w:hint="eastAsia" w:ascii="Times New Roman" w:hAnsi="Times New Roman" w:eastAsiaTheme="minorEastAsia"/>
          <w:color w:val="000000" w:themeColor="text1"/>
          <w:sz w:val="28"/>
          <w:szCs w:val="28"/>
        </w:rPr>
        <w:t>满足雨季</w:t>
      </w:r>
      <w:r>
        <w:rPr>
          <w:rFonts w:ascii="Times New Roman" w:hAnsi="Times New Roman" w:eastAsiaTheme="minorEastAsia"/>
          <w:color w:val="000000" w:themeColor="text1"/>
          <w:sz w:val="28"/>
          <w:szCs w:val="28"/>
        </w:rPr>
        <w:t>设计流量</w:t>
      </w:r>
      <w:r>
        <w:rPr>
          <w:rFonts w:hint="eastAsia" w:ascii="Times New Roman" w:hAnsi="Times New Roman" w:eastAsiaTheme="minorEastAsia"/>
          <w:color w:val="000000" w:themeColor="text1"/>
          <w:sz w:val="28"/>
          <w:szCs w:val="28"/>
        </w:rPr>
        <w:t>下运行要求</w:t>
      </w:r>
      <w:r>
        <w:rPr>
          <w:rFonts w:ascii="Times New Roman" w:hAnsi="Times New Roman" w:eastAsiaTheme="minorEastAsia"/>
          <w:color w:val="000000" w:themeColor="text1"/>
          <w:sz w:val="28"/>
          <w:szCs w:val="28"/>
        </w:rPr>
        <w:t>；当污水为提升进入时，应按每期工作水泵的最大组合流量校核管渠配水能力；</w:t>
      </w:r>
    </w:p>
    <w:p>
      <w:pPr>
        <w:widowControl/>
        <w:wordWrap w:val="0"/>
        <w:ind w:firstLine="427" w:firstLineChars="152"/>
        <w:jc w:val="left"/>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提升泵站、格栅、沉砂池</w:t>
      </w:r>
      <w:r>
        <w:rPr>
          <w:rFonts w:hint="eastAsia" w:eastAsiaTheme="minorEastAsia"/>
          <w:color w:val="000000" w:themeColor="text1"/>
          <w:sz w:val="28"/>
          <w:szCs w:val="28"/>
        </w:rPr>
        <w:t>和深度处理</w:t>
      </w:r>
      <w:r>
        <w:rPr>
          <w:rFonts w:eastAsiaTheme="minorEastAsia"/>
          <w:color w:val="000000" w:themeColor="text1"/>
          <w:sz w:val="28"/>
          <w:szCs w:val="28"/>
        </w:rPr>
        <w:t>，应按雨季设计流量计算；</w:t>
      </w:r>
    </w:p>
    <w:p>
      <w:pPr>
        <w:widowControl/>
        <w:wordWrap w:val="0"/>
        <w:ind w:firstLine="427" w:firstLineChars="152"/>
        <w:jc w:val="left"/>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初次沉淀池，应按旱</w:t>
      </w:r>
      <w:r>
        <w:rPr>
          <w:rFonts w:hint="eastAsia" w:eastAsiaTheme="minorEastAsia"/>
          <w:color w:val="000000" w:themeColor="text1"/>
          <w:sz w:val="28"/>
          <w:szCs w:val="28"/>
        </w:rPr>
        <w:t>季</w:t>
      </w:r>
      <w:r>
        <w:rPr>
          <w:rFonts w:eastAsiaTheme="minorEastAsia"/>
          <w:color w:val="000000" w:themeColor="text1"/>
          <w:sz w:val="28"/>
          <w:szCs w:val="28"/>
        </w:rPr>
        <w:t>设计流量设计，雨季设计流量校核，校核的沉淀时间不宜小于30min；</w:t>
      </w:r>
    </w:p>
    <w:p>
      <w:pPr>
        <w:widowControl/>
        <w:wordWrap w:val="0"/>
        <w:ind w:firstLine="427" w:firstLineChars="152"/>
        <w:jc w:val="left"/>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 xml:space="preserve"> 二级处理系统，应</w:t>
      </w:r>
      <w:r>
        <w:rPr>
          <w:rFonts w:hint="eastAsia" w:eastAsiaTheme="minorEastAsia"/>
          <w:color w:val="000000" w:themeColor="text1"/>
          <w:sz w:val="28"/>
          <w:szCs w:val="28"/>
        </w:rPr>
        <w:t>按</w:t>
      </w:r>
      <w:r>
        <w:rPr>
          <w:rFonts w:eastAsiaTheme="minorEastAsia"/>
          <w:color w:val="000000" w:themeColor="text1"/>
          <w:sz w:val="28"/>
          <w:szCs w:val="28"/>
        </w:rPr>
        <w:t>旱</w:t>
      </w:r>
      <w:r>
        <w:rPr>
          <w:rFonts w:hint="eastAsia" w:eastAsiaTheme="minorEastAsia"/>
          <w:color w:val="000000" w:themeColor="text1"/>
          <w:sz w:val="28"/>
          <w:szCs w:val="28"/>
        </w:rPr>
        <w:t>季</w:t>
      </w:r>
      <w:r>
        <w:rPr>
          <w:rFonts w:eastAsiaTheme="minorEastAsia"/>
          <w:color w:val="000000" w:themeColor="text1"/>
          <w:sz w:val="28"/>
          <w:szCs w:val="28"/>
        </w:rPr>
        <w:t>设计流量设计，雨季设计流量校核；</w:t>
      </w:r>
    </w:p>
    <w:p>
      <w:pPr>
        <w:widowControl/>
        <w:wordWrap w:val="0"/>
        <w:ind w:left="3" w:firstLine="427" w:firstLineChars="152"/>
        <w:jc w:val="left"/>
        <w:rPr>
          <w:rFonts w:eastAsiaTheme="minorEastAsia"/>
          <w:color w:val="000000" w:themeColor="text1"/>
          <w:sz w:val="28"/>
          <w:szCs w:val="28"/>
        </w:rPr>
      </w:pPr>
      <w:r>
        <w:rPr>
          <w:rFonts w:eastAsiaTheme="minorEastAsia"/>
          <w:b/>
          <w:color w:val="000000" w:themeColor="text1"/>
          <w:sz w:val="28"/>
          <w:szCs w:val="28"/>
        </w:rPr>
        <w:t>6</w:t>
      </w:r>
      <w:r>
        <w:rPr>
          <w:rFonts w:eastAsiaTheme="minorEastAsia"/>
          <w:color w:val="000000" w:themeColor="text1"/>
          <w:sz w:val="28"/>
          <w:szCs w:val="28"/>
        </w:rPr>
        <w:t xml:space="preserve"> 管渠应按雨季设计流量计算。</w:t>
      </w:r>
    </w:p>
    <w:p>
      <w:pPr>
        <w:widowControl/>
        <w:wordWrap w:val="0"/>
        <w:ind w:firstLine="426"/>
        <w:jc w:val="left"/>
        <w:rPr>
          <w:rFonts w:eastAsiaTheme="minorEastAsia"/>
          <w:color w:val="000000" w:themeColor="text1"/>
          <w:sz w:val="28"/>
          <w:szCs w:val="28"/>
        </w:rPr>
      </w:pPr>
      <w:r>
        <w:rPr>
          <w:rFonts w:eastAsiaTheme="minorEastAsia"/>
          <w:color w:val="000000" w:themeColor="text1"/>
          <w:sz w:val="28"/>
          <w:szCs w:val="28"/>
        </w:rPr>
        <w:t>【条文说明】</w:t>
      </w:r>
    </w:p>
    <w:p>
      <w:pPr>
        <w:widowControl/>
        <w:wordWrap w:val="0"/>
        <w:ind w:firstLine="427" w:firstLineChars="152"/>
        <w:jc w:val="left"/>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污水处理构筑物设计，应根据污水厂的远期规模和分期建设的情况统一安排，按每期污水量设计，并考虑到分期扩建的可能性和灵活性，有利于工程建设在短期内见效。</w:t>
      </w:r>
      <w:r>
        <w:rPr>
          <w:rFonts w:eastAsiaTheme="minorEastAsia"/>
          <w:b/>
          <w:color w:val="000000" w:themeColor="text1"/>
          <w:sz w:val="28"/>
          <w:szCs w:val="28"/>
        </w:rPr>
        <w:t xml:space="preserve"> </w:t>
      </w:r>
    </w:p>
    <w:p>
      <w:pPr>
        <w:wordWrap w:val="0"/>
        <w:ind w:firstLine="427" w:firstLineChars="152"/>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初次沉淀池一般按旱季</w:t>
      </w:r>
      <w:r>
        <w:rPr>
          <w:rFonts w:hint="eastAsia" w:eastAsiaTheme="minorEastAsia"/>
          <w:color w:val="000000" w:themeColor="text1"/>
          <w:sz w:val="28"/>
          <w:szCs w:val="28"/>
        </w:rPr>
        <w:t>设计</w:t>
      </w:r>
      <w:r>
        <w:rPr>
          <w:rFonts w:eastAsiaTheme="minorEastAsia"/>
          <w:color w:val="000000" w:themeColor="text1"/>
          <w:sz w:val="28"/>
          <w:szCs w:val="28"/>
        </w:rPr>
        <w:t>流量设计，保证旱季时的沉淀效果。降雨时，容许降低沉淀效果，故用雨季</w:t>
      </w:r>
      <w:r>
        <w:rPr>
          <w:rFonts w:hint="eastAsia" w:eastAsiaTheme="minorEastAsia"/>
          <w:color w:val="000000" w:themeColor="text1"/>
          <w:sz w:val="28"/>
          <w:szCs w:val="28"/>
        </w:rPr>
        <w:t>设计</w:t>
      </w:r>
      <w:r>
        <w:rPr>
          <w:rFonts w:eastAsiaTheme="minorEastAsia"/>
          <w:color w:val="000000" w:themeColor="text1"/>
          <w:sz w:val="28"/>
          <w:szCs w:val="28"/>
        </w:rPr>
        <w:t>流量校核，此时沉淀时间可适当缩短，但不宜小于30min。</w:t>
      </w:r>
    </w:p>
    <w:p>
      <w:pPr>
        <w:wordWrap w:val="0"/>
        <w:ind w:firstLine="427" w:firstLineChars="152"/>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 xml:space="preserve"> 二级处理构筑物按旱季</w:t>
      </w:r>
      <w:r>
        <w:rPr>
          <w:rFonts w:hint="eastAsia" w:eastAsiaTheme="minorEastAsia"/>
          <w:color w:val="000000" w:themeColor="text1"/>
          <w:sz w:val="28"/>
          <w:szCs w:val="28"/>
        </w:rPr>
        <w:t>设计</w:t>
      </w:r>
      <w:r>
        <w:rPr>
          <w:rFonts w:eastAsiaTheme="minorEastAsia"/>
          <w:color w:val="000000" w:themeColor="text1"/>
          <w:sz w:val="28"/>
          <w:szCs w:val="28"/>
        </w:rPr>
        <w:t>流量设计，为保护降雨时的河流水质，改善污水厂</w:t>
      </w:r>
      <w:r>
        <w:rPr>
          <w:rFonts w:hint="eastAsia" w:eastAsiaTheme="minorEastAsia"/>
          <w:color w:val="000000" w:themeColor="text1"/>
          <w:sz w:val="28"/>
          <w:szCs w:val="28"/>
        </w:rPr>
        <w:t>的</w:t>
      </w:r>
      <w:r>
        <w:rPr>
          <w:rFonts w:eastAsiaTheme="minorEastAsia"/>
          <w:color w:val="000000" w:themeColor="text1"/>
          <w:sz w:val="28"/>
          <w:szCs w:val="28"/>
        </w:rPr>
        <w:t>出水水质，故用雨季流量校核。</w:t>
      </w:r>
    </w:p>
    <w:p>
      <w:pPr>
        <w:pStyle w:val="30"/>
        <w:numPr>
          <w:ilvl w:val="0"/>
          <w:numId w:val="3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水质和（或）水量变化大的污水厂，宜设置调节水质和（或）水量的设施。</w:t>
      </w:r>
    </w:p>
    <w:p>
      <w:pPr>
        <w:wordWrap w:val="0"/>
        <w:rPr>
          <w:rFonts w:eastAsiaTheme="minorEastAsia"/>
          <w:color w:val="000000" w:themeColor="text1"/>
          <w:sz w:val="28"/>
          <w:szCs w:val="28"/>
        </w:rPr>
      </w:pPr>
      <w:r>
        <w:rPr>
          <w:rFonts w:eastAsiaTheme="minorEastAsia"/>
          <w:color w:val="000000" w:themeColor="text1"/>
          <w:sz w:val="28"/>
          <w:szCs w:val="28"/>
        </w:rPr>
        <w:t>【条文说明】美国《污水处理设施》（2014年，以下简称美国十州标准）规定，在水质、水量变化大的污水厂中，应考虑设置调节设施。有些污水厂昼夜处理流量差别较大或雨季流量较大，使得污水厂进水水质、水量变化很大，无法保证生物处理效果无法保证，据此制定本条。</w:t>
      </w:r>
    </w:p>
    <w:p>
      <w:pPr>
        <w:pStyle w:val="30"/>
        <w:numPr>
          <w:ilvl w:val="0"/>
          <w:numId w:val="3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各处理构筑物的个（格）数不应少于2个（格），并应按并联设计。</w:t>
      </w:r>
    </w:p>
    <w:p>
      <w:pPr>
        <w:wordWrap w:val="0"/>
        <w:rPr>
          <w:rFonts w:eastAsiaTheme="minorEastAsia"/>
          <w:color w:val="000000" w:themeColor="text1"/>
          <w:sz w:val="28"/>
          <w:szCs w:val="28"/>
        </w:rPr>
      </w:pPr>
      <w:r>
        <w:rPr>
          <w:rFonts w:eastAsiaTheme="minorEastAsia"/>
          <w:color w:val="000000" w:themeColor="text1"/>
          <w:sz w:val="28"/>
          <w:szCs w:val="28"/>
        </w:rPr>
        <w:t>【条文说明】根据国内污水厂的设计和运行经验，处理构筑物的个（格）数，不应少于2个（格），利于检修维护；同时按并联的系列设计，可使污水的运行更为可靠、灵活和合理。</w:t>
      </w:r>
    </w:p>
    <w:p>
      <w:pPr>
        <w:pStyle w:val="30"/>
        <w:numPr>
          <w:ilvl w:val="0"/>
          <w:numId w:val="3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并联运行的处理构筑物间应设置均匀配水装置，各处理构筑物系统间应设可切换的连通管渠。</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【条文说明】并联运行的处理构筑物间的配水是否均匀，直接影响构筑物能否达到设计水量和处理效果，所以设计时应重视配水装置。配水装置一般采用堰或配水井等方式。</w:t>
      </w:r>
    </w:p>
    <w:p>
      <w:pPr>
        <w:widowControl/>
        <w:wordWrap w:val="0"/>
        <w:ind w:firstLine="570"/>
        <w:jc w:val="left"/>
        <w:rPr>
          <w:rFonts w:eastAsiaTheme="minorEastAsia"/>
          <w:color w:val="000000" w:themeColor="text1"/>
          <w:sz w:val="28"/>
          <w:szCs w:val="28"/>
        </w:rPr>
      </w:pPr>
      <w:r>
        <w:rPr>
          <w:rFonts w:eastAsiaTheme="minorEastAsia"/>
          <w:color w:val="000000" w:themeColor="text1"/>
          <w:sz w:val="28"/>
          <w:szCs w:val="28"/>
        </w:rPr>
        <w:t>构筑物系统之间设可切换的连通管渠，可灵活组合各组运行系列，同时，便于操作人员观察、调节和维护。</w:t>
      </w:r>
    </w:p>
    <w:p>
      <w:pPr>
        <w:pStyle w:val="30"/>
        <w:numPr>
          <w:ilvl w:val="0"/>
          <w:numId w:val="3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处理构筑物中污水的出入口处应采取整流措施。</w:t>
      </w:r>
    </w:p>
    <w:p>
      <w:pPr>
        <w:wordWrap w:val="0"/>
        <w:rPr>
          <w:rFonts w:eastAsiaTheme="minorEastAsia"/>
          <w:color w:val="000000" w:themeColor="text1"/>
          <w:sz w:val="28"/>
          <w:szCs w:val="28"/>
        </w:rPr>
      </w:pPr>
      <w:r>
        <w:rPr>
          <w:rFonts w:eastAsiaTheme="minorEastAsia"/>
          <w:color w:val="000000" w:themeColor="text1"/>
          <w:sz w:val="28"/>
          <w:szCs w:val="28"/>
        </w:rPr>
        <w:t>【条文说明】处理构筑物中污水的入口和出口处设置整流措施，使整个断面布水均匀，并能保持稳定的池水面，保证处理效率。</w:t>
      </w:r>
    </w:p>
    <w:p>
      <w:pPr>
        <w:pStyle w:val="30"/>
        <w:numPr>
          <w:ilvl w:val="0"/>
          <w:numId w:val="3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污水厂和再生水厂应设置对处理后出水消毒的设施。</w:t>
      </w:r>
    </w:p>
    <w:p>
      <w:pPr>
        <w:widowControl/>
        <w:wordWrap w:val="0"/>
        <w:rPr>
          <w:rFonts w:eastAsiaTheme="minorEastAsia"/>
          <w:color w:val="000000" w:themeColor="text1"/>
          <w:sz w:val="28"/>
          <w:szCs w:val="28"/>
        </w:rPr>
      </w:pPr>
      <w:r>
        <w:rPr>
          <w:rFonts w:eastAsiaTheme="minorEastAsia"/>
          <w:color w:val="000000" w:themeColor="text1"/>
          <w:sz w:val="28"/>
          <w:szCs w:val="28"/>
        </w:rPr>
        <w:t>【条文说明】2000年5月，国家发布的《城市污水处理及污染防治技术政策》规定：为保证公共卫生安全，防止传染性疾病传播，城镇污水处理应设置消毒设施。此外，国家环境保护总局、国家质量监督检验检疫总局于2002年12月发布的《城镇污水处理厂污染物排放标准》GB18918中首次将微生物指标（粪大肠菌群数）列为基本控制指标，故城镇污水有必要进行消毒处理。再生水水质标准，对不同用途的再生水均有余氯和卫生学指标的规定，因此再生水必须进行消毒。</w:t>
      </w:r>
    </w:p>
    <w:p>
      <w:pPr>
        <w:pStyle w:val="30"/>
        <w:numPr>
          <w:ilvl w:val="0"/>
          <w:numId w:val="35"/>
        </w:numPr>
        <w:wordWrap w:val="0"/>
        <w:spacing w:line="360" w:lineRule="auto"/>
        <w:ind w:left="0" w:firstLine="0" w:firstLineChars="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污水厂的供电系统，应按二级负荷设计，重要的污水厂宜按一级负荷设计。当不能满足上述要求时，应设置备用动力设施。</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考虑到污水厂中断供电可能对该地区的政治、经济、生活和周围环境等造成不良影响，污水厂的供电负荷等级应按二级设计。重要的污水厂宜按一级负荷设计，重要的污水厂是指中断供电对该地区的政治、经济、生活和周围环境等造成重大影响者。</w:t>
      </w:r>
    </w:p>
    <w:p>
      <w:pPr>
        <w:pStyle w:val="30"/>
        <w:numPr>
          <w:ilvl w:val="0"/>
          <w:numId w:val="3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位于寒冷地区的污水和污泥处理构筑物，应有保温防冻措施。</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【条文说明】为了保证寒冷地区的污水厂在冬季能正常运行，有关的处理构筑物、管渠和其他设施应有保温防冻措施。一般有池上加盖、池内加热、建于房屋内等，视当地气温和处理构筑物的运行要求而定。</w:t>
      </w:r>
    </w:p>
    <w:p>
      <w:pPr>
        <w:pStyle w:val="30"/>
        <w:numPr>
          <w:ilvl w:val="0"/>
          <w:numId w:val="35"/>
        </w:numPr>
        <w:wordWrap w:val="0"/>
        <w:spacing w:line="360" w:lineRule="auto"/>
        <w:ind w:left="0" w:firstLine="0" w:firstLineChars="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厂区的给水系统和再生水系统严禁与处理装置直接连接。</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【条文说明】防止污染给水系统、再生水系统的措施，一般为通过空气间隙和设中间贮存池，然后再与处理装置衔接</w:t>
      </w:r>
    </w:p>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43" w:name="_Toc515281056"/>
      <w:r>
        <w:rPr>
          <w:rFonts w:ascii="Times New Roman" w:hAnsi="Times New Roman" w:eastAsiaTheme="minorEastAsia"/>
          <w:b w:val="0"/>
          <w:color w:val="000000" w:themeColor="text1"/>
          <w:sz w:val="28"/>
          <w:szCs w:val="28"/>
        </w:rPr>
        <w:t>厂址选择和总体布置</w:t>
      </w:r>
      <w:bookmarkEnd w:id="43"/>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污水厂位置的选择，应符合城镇总体规划和排水工程专业规划的要求，并应根据下列因素综合确定：</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便于污水收集和处理后出水回用和安全排放；</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便于污泥集中处理和处置；</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在城镇夏季主导风向的下风侧；</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有良好的工程地质条件；</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 xml:space="preserve"> 少拆迁，少占地，根据环境评价要求，有一定的卫生防护距离；</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6</w:t>
      </w:r>
      <w:r>
        <w:rPr>
          <w:rFonts w:eastAsiaTheme="minorEastAsia"/>
          <w:color w:val="000000" w:themeColor="text1"/>
          <w:sz w:val="28"/>
          <w:szCs w:val="28"/>
        </w:rPr>
        <w:t xml:space="preserve"> 有扩建的可能；</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7</w:t>
      </w:r>
      <w:r>
        <w:rPr>
          <w:rFonts w:eastAsiaTheme="minorEastAsia"/>
          <w:color w:val="000000" w:themeColor="text1"/>
          <w:sz w:val="28"/>
          <w:szCs w:val="28"/>
        </w:rPr>
        <w:t xml:space="preserve"> 厂区地形不应受洪涝灾害影响，防洪标准不应低于城镇防洪标准，有良好的排水条件；</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8</w:t>
      </w:r>
      <w:r>
        <w:rPr>
          <w:rFonts w:eastAsiaTheme="minorEastAsia"/>
          <w:color w:val="000000" w:themeColor="text1"/>
          <w:sz w:val="28"/>
          <w:szCs w:val="28"/>
        </w:rPr>
        <w:t xml:space="preserve"> 有方便的交通、运输和水电条件。</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【条文说明】污水厂位置的选择必须在城镇总体规划和排水工程专业规划的指导下进行，以保证总体的社会效益、环境效益和经济效益。</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 xml:space="preserve">1 </w:t>
      </w:r>
      <w:r>
        <w:rPr>
          <w:rFonts w:eastAsiaTheme="minorEastAsia"/>
          <w:color w:val="000000" w:themeColor="text1"/>
          <w:sz w:val="28"/>
          <w:szCs w:val="28"/>
        </w:rPr>
        <w:t>污水厂处理后的尾水是宝贵的资源，可以再生回用，因此污水厂的厂址要考虑便于出水回用；同时，排放口的安全性和尾水排放的安全性因素也相当重要，因此，应便于安全排放。</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 xml:space="preserve">2 </w:t>
      </w:r>
      <w:r>
        <w:rPr>
          <w:rFonts w:eastAsiaTheme="minorEastAsia"/>
          <w:color w:val="000000" w:themeColor="text1"/>
          <w:sz w:val="28"/>
          <w:szCs w:val="28"/>
        </w:rPr>
        <w:t>根据污泥处理和处置的需要，也应考虑方便处理处置。</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 xml:space="preserve">3 </w:t>
      </w:r>
      <w:r>
        <w:rPr>
          <w:rFonts w:eastAsiaTheme="minorEastAsia"/>
          <w:color w:val="000000" w:themeColor="text1"/>
          <w:sz w:val="28"/>
          <w:szCs w:val="28"/>
        </w:rPr>
        <w:t>污水厂在城镇的方位，应选在对周围居民点的环境质量影响最小的方位，一般位于夏季主导风向的下风侧。</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厂址的良好工程地质条件，包括土质、地基承载力和地下水位等因素，可为工程的设计、施工、管理和节省造价提供有利条件。</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 xml:space="preserve"> 根据我国耕田少、人口多的实际情况，选厂址时应尽量少拆迁、少占农田，使污水厂工程易于上马。同时根据环境评价要求，应与附近居民点有一定的卫生防护距离，并予绿化。</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6</w:t>
      </w:r>
      <w:r>
        <w:rPr>
          <w:rFonts w:eastAsiaTheme="minorEastAsia"/>
          <w:color w:val="000000" w:themeColor="text1"/>
          <w:sz w:val="28"/>
          <w:szCs w:val="28"/>
        </w:rPr>
        <w:t xml:space="preserve"> 有扩建的可能是指厂址的区域面积不仅应考虑规划期的需要，尚应考虑满足不可预见的将来扩建的可能。</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7</w:t>
      </w:r>
      <w:r>
        <w:rPr>
          <w:rFonts w:eastAsiaTheme="minorEastAsia"/>
          <w:color w:val="000000" w:themeColor="text1"/>
          <w:sz w:val="28"/>
          <w:szCs w:val="28"/>
        </w:rPr>
        <w:t xml:space="preserve"> 厂址的防洪和排水问题必须重视，一般不应在淹水区建污水厂，当必须在可能受洪水威胁的地区建厂时，应采取防洪措施。另外，有良好的排水条件，可节省建造费用。规定防洪标准“不应低于城镇防洪标准”。</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8</w:t>
      </w:r>
      <w:r>
        <w:rPr>
          <w:rFonts w:eastAsiaTheme="minorEastAsia"/>
          <w:color w:val="000000" w:themeColor="text1"/>
          <w:sz w:val="28"/>
          <w:szCs w:val="28"/>
        </w:rPr>
        <w:t xml:space="preserve"> 为缩短污水厂建造周期和有利于污水厂的日常管理，应有方便的交通、运输和水电条件。</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污水厂的建设用地，应按项目总规模控制；近远期用地布置，应按规划内容和本期建设规模，统一规划，分期建设；公用设施宜一次建设，并尽量集中预留用地。</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污水厂建设用地必须贯彻合理利用土地和切实保护耕地的基本国策。考虑到城镇污水量的增加趋势较快，污水厂的建造周期较长，污水厂建设用地应按项目总规模确定。同时，应根据现状水量和排水收集系统的建设周期合理确定近期规模。尽可能近期少拆迁、少占农田，做出合理的分期建设、分期征地的安排。规定既保证了污水厂在远期扩建的可能性，又利于工程建设在短期内见效。</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污水厂的总体布置应根据厂内各建筑物和构筑物的功能和流程要求，结合厂址地形、气候和地质条件，优化运行成本，便于施工、维护和管理等因素，经技术经济比较确定。</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根据污水厂的处理级别（一级处理或二级处理）、处理工艺（活性污泥法或生物膜法）和污泥处理流程（浓缩、消化、脱水、好氧发酵、干化、焚烧以及污泥气利用等）、除臭系统布置、各种构筑物的形状、大小及其组合，结合厂址地形、气候和地质条件等，可有各种总体布置形式，必须综合确定。总体布置恰当，可为今后施工、维护和管理等提供良好条件。</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污水和污泥的处理构筑物宜根据情况尽可能分别集中布置。处理构筑物的间距应紧凑、合理，符合国家现行的防火规范的要求，并应满足各构筑物的施工、设备安装和埋设各种管道以及养护、维修和管理的要求。</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【条文说明】污水和污泥处理构筑物各有不同的处理功能和操作、维护、管理要求，分别集中布置有利于管理。合理的布置可保证施工安装、操作运行、管理维护安全方便，并减少占地面积。</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生产管理建筑物和生活设施宜集中布置，其位置和朝向应力求合理，并应与处理构筑物保持一定距离。</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城镇污水包括生活污水和一部分工业废水，往往散发臭味和对人体健康有害的气体。另外，在生物处理构筑物附近的空气中，细菌芽孢数量也较多。所以，处理构筑物附近的空气质量相对较差。为此，生产管理建筑物和生活设施应与处理构筑物保持一定距离，并尽可能集中布置，便于以绿化等措施隔离开来，保证管理人员有良好的工作环境，避免影响正常工作。办公室、化验室和食堂等的位置，应处于夏季主导风向的上风侧，朝向东南。</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污水厂厂区内各建筑物造型应简洁美观，节省材料，选材适当，并应使建筑物和构筑物群体的效果与周围环境协调。</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污水厂建设在满足经济实用的前提下，应适当考虑美观。除在厂区进行必要的绿化、美化外，应根据污水厂内建筑物和构筑物的特点，使各建筑物之间、建筑物和构筑物之间、污水厂和周围环境之间均达到建筑美学的和谐一致。</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厂区布置应尽量节约用地。当污水厂位于用地非常紧张、环境要求高的区域，可采用地下或半地下污水厂的建设方式，但应进行充分的必要性和可行性论证。</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地下或半地下污水厂作为污水处理厂的一种建设方式，主要适用于用地非常紧张、对环境要求高、地上污水厂选址困难的区域，可以提高土地使用效率、提升地面景观和周边土地价值等，但由于建设成本较高，加上地下或半地下式污水厂本身所存在的消防、通风等问题，在选择时应进行充分的必要性和可行性论证。</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地下或半地下污水厂设计应综合考虑规模、用地、环境、投资等各方面因素，确定处理工艺、建筑结构、通风、除臭、消防、供配电及自动控制、照明、给排水、监控等系统的配置。各系统之间应相互协调，确保工程安全、环保、节能。</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【条文说明】地下或半地下污水厂设计需考虑社会效益、环境效益与经济效益的协调统一，并遵循“运行安全、能源节约、环境协调”的设计理念。</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地下或半地下污水厂应充分利用污水厂的上部空间，有效利用土地资源，提高土地利用率。</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【条文说明】地下或半地下污水厂一般位于用地紧张的城市区域，上部空间也根据当地实际情况采取建设开放式的绿地公园、停车场、设置太阳能板回收能源等措施，充分利用土地资源。</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污水厂的工艺流程、竖向设计宜充分利用地形，符合排水通畅、降低能耗、平衡土方的要求。</w:t>
      </w:r>
    </w:p>
    <w:p>
      <w:pPr>
        <w:pStyle w:val="30"/>
        <w:numPr>
          <w:ilvl w:val="0"/>
          <w:numId w:val="36"/>
        </w:numPr>
        <w:wordWrap w:val="0"/>
        <w:spacing w:line="360" w:lineRule="auto"/>
        <w:ind w:left="0" w:firstLine="0" w:firstLineChars="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厂区的消防设计和消化池、贮气罐、污泥气压缩机房、污泥气发电机房、污泥气燃烧装置、污泥气管道、污泥好氧发酵工程辅料存储区、污泥干化装置、污泥焚烧装置及其他危险品仓库等的位置和设计，应符合国家现行有关防火规范的要求。</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【条文说明】消化池、贮气罐、污泥气燃烧装置、污泥气管道、污泥好氧发酵工程辅料存储区等是易燃易爆构筑物，应符合国家现行的《建筑设计防火规范》</w:t>
      </w:r>
      <w:r>
        <w:rPr>
          <w:sz w:val="28"/>
          <w:szCs w:val="28"/>
        </w:rPr>
        <w:t>GB</w:t>
      </w:r>
      <w:r>
        <w:rPr>
          <w:rFonts w:eastAsiaTheme="minorEastAsia"/>
          <w:sz w:val="28"/>
          <w:szCs w:val="28"/>
        </w:rPr>
        <w:t xml:space="preserve"> </w:t>
      </w:r>
      <w:r>
        <w:rPr>
          <w:sz w:val="28"/>
          <w:szCs w:val="28"/>
        </w:rPr>
        <w:t>50016</w:t>
      </w:r>
      <w:r>
        <w:rPr>
          <w:rFonts w:eastAsiaTheme="minorEastAsia"/>
          <w:sz w:val="28"/>
          <w:szCs w:val="28"/>
        </w:rPr>
        <w:t>和《消防给水及消火栓系统技术规范》GB 50974</w:t>
      </w:r>
      <w:r>
        <w:rPr>
          <w:rFonts w:eastAsiaTheme="minorEastAsia"/>
          <w:color w:val="000000" w:themeColor="text1"/>
          <w:sz w:val="28"/>
          <w:szCs w:val="28"/>
        </w:rPr>
        <w:t>的有关规定。</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污水厂内可根据需要，在适当地点设置堆放材料、备件、燃料和废渣等物料及停车的场地。</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【条文说明】堆放场地，尤其是堆放废渣（如泥饼和煤渣）的场地，宜设置在较隐蔽处，不宜设在主干道两侧。</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污水厂应设置通向各构筑物和附属建筑物的必要通道，并应符合下列规定：</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主要车行道的宽度：单车道</w:t>
      </w:r>
      <w:r>
        <w:rPr>
          <w:rFonts w:hint="eastAsia" w:eastAsiaTheme="minorEastAsia"/>
          <w:color w:val="000000" w:themeColor="text1"/>
          <w:sz w:val="28"/>
          <w:szCs w:val="28"/>
        </w:rPr>
        <w:t>宜</w:t>
      </w:r>
      <w:r>
        <w:rPr>
          <w:rFonts w:eastAsiaTheme="minorEastAsia"/>
          <w:color w:val="000000" w:themeColor="text1"/>
          <w:sz w:val="28"/>
          <w:szCs w:val="28"/>
        </w:rPr>
        <w:t>为4.0m，双车道</w:t>
      </w:r>
      <w:r>
        <w:rPr>
          <w:rFonts w:hint="eastAsia" w:eastAsiaTheme="minorEastAsia"/>
          <w:color w:val="000000" w:themeColor="text1"/>
          <w:sz w:val="28"/>
          <w:szCs w:val="28"/>
        </w:rPr>
        <w:t>宜</w:t>
      </w:r>
      <w:r>
        <w:rPr>
          <w:rFonts w:eastAsiaTheme="minorEastAsia"/>
          <w:color w:val="000000" w:themeColor="text1"/>
          <w:sz w:val="28"/>
          <w:szCs w:val="28"/>
        </w:rPr>
        <w:t>为6.0m～7.0m；</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车行道的转弯半径宜为6.0m～10.0m；</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人行道的宽度宜为1.5m～2.0m；</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通向高架构筑物的扶梯倾角一般宜采用30°,不宜大于45°；</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 xml:space="preserve"> 天桥宽度不宜小于1.0m；</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6</w:t>
      </w:r>
      <w:r>
        <w:rPr>
          <w:rFonts w:eastAsiaTheme="minorEastAsia"/>
          <w:color w:val="000000" w:themeColor="text1"/>
          <w:sz w:val="28"/>
          <w:szCs w:val="28"/>
        </w:rPr>
        <w:t xml:space="preserve"> 车道、通道的布置应符合国家现行有关防火规范要求，并应符合当地有关部门的规定。</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7</w:t>
      </w:r>
      <w:r>
        <w:rPr>
          <w:rFonts w:eastAsiaTheme="minorEastAsia"/>
          <w:color w:val="000000" w:themeColor="text1"/>
          <w:sz w:val="28"/>
          <w:szCs w:val="28"/>
        </w:rPr>
        <w:t xml:space="preserve"> 地下或半地下污水厂箱体宜设置车行道进出通道，通道坡度不宜大于8%，通道敞开部分宜采用透光材料进行封闭；</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8</w:t>
      </w:r>
      <w:r>
        <w:rPr>
          <w:rFonts w:eastAsiaTheme="minorEastAsia"/>
          <w:color w:val="000000" w:themeColor="text1"/>
          <w:sz w:val="28"/>
          <w:szCs w:val="28"/>
        </w:rPr>
        <w:t xml:space="preserve"> 进入地下污水厂箱体的通道前应设置驼峰，驼峰高度不</w:t>
      </w:r>
      <w:r>
        <w:rPr>
          <w:rFonts w:hint="eastAsia" w:eastAsiaTheme="minorEastAsia"/>
          <w:color w:val="000000" w:themeColor="text1"/>
          <w:sz w:val="28"/>
          <w:szCs w:val="28"/>
        </w:rPr>
        <w:t>应小</w:t>
      </w:r>
      <w:r>
        <w:rPr>
          <w:rFonts w:eastAsiaTheme="minorEastAsia"/>
          <w:color w:val="000000" w:themeColor="text1"/>
          <w:sz w:val="28"/>
          <w:szCs w:val="28"/>
        </w:rPr>
        <w:t>于0.5m，驼峰后在通道的中部和末端均应设置横截沟，并应配套设置雨水泵房。</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【条文说明】通道包括双车道、单车道、人行道、扶梯和人行天桥等。污水厂厂区的通道应根据通向构筑物和建筑物的功能要求，如运输、检查、维护和管理的需要设置。</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根据厂区消防通道要求，单行道宽度由原先的3.5m~4.0m改为4.0m。</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根据管理部门意见，扶梯不宜太陡，尤其是通行频繁的扶梯，宜利于搬重物上下扶梯。</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7</w:t>
      </w:r>
      <w:r>
        <w:rPr>
          <w:rFonts w:eastAsiaTheme="minorEastAsia"/>
          <w:color w:val="000000" w:themeColor="text1"/>
          <w:sz w:val="28"/>
          <w:szCs w:val="28"/>
        </w:rPr>
        <w:t>因为地下或半地下污水厂箱体进出通道的最低点比周围地面低很多，形成盆地，且纵坡很大，雨水迅速向最低点汇集，易造成积水。从安全和节能的角度出发，通道敞开部分采用透光材料进行封闭，通道前设置驼峰，通道中部和末端设置横截沟和雨水泵房等措施的目的是为了尽可能缩小汇水面积，减小雨水径流量。应将高处可以以重力流排出的雨水与低处需要借助水泵排出的雨水分开，建成高水高排和低水低排系统，高水自流排放，低水水泵排放。</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污水厂周围根据现场条件应设置围墙，其高度不宜小于2.0m。</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【条文说明】根据污水厂的安全要求，污水厂周围应设围墙，高度不宜太低，一般不低于2.0m。</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污水厂的大门尺寸应能容运输最大设备或部件的车辆出入，并应另设运输废渣的侧门。</w:t>
      </w:r>
    </w:p>
    <w:p>
      <w:pPr>
        <w:pStyle w:val="30"/>
        <w:widowControl/>
        <w:numPr>
          <w:ilvl w:val="0"/>
          <w:numId w:val="36"/>
        </w:numPr>
        <w:wordWrap w:val="0"/>
        <w:spacing w:line="360" w:lineRule="auto"/>
        <w:ind w:left="0" w:firstLine="0" w:firstLineChars="0"/>
        <w:jc w:val="left"/>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内各种管渠应全面安排，避免相互干扰。处理构筑物间输水、输泥和输气管线的布置应使管渠长度短、损失小、流行通畅、不易堵塞和便于清通。各污水处理构筑物间的管渠连通，在条件适宜时，应采用明渠。</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污水厂内管渠较多，设计时应全面安排，可防止错、漏、碰、缺。管渠尺寸应按可能通过的最高时流量计算确定，并按最低时流量复核，防止发生沉积。明渠的水头损失小，不易堵塞，便于清理，一般情况应尽量采用明渠。合理的管渠设计和布置可保障污水厂运行的安全、可靠、稳定，节省费用。</w:t>
      </w:r>
    </w:p>
    <w:p>
      <w:pPr>
        <w:pStyle w:val="30"/>
        <w:widowControl/>
        <w:numPr>
          <w:ilvl w:val="0"/>
          <w:numId w:val="36"/>
        </w:numPr>
        <w:wordWrap w:val="0"/>
        <w:spacing w:line="360" w:lineRule="auto"/>
        <w:ind w:left="0" w:firstLine="0" w:firstLineChars="0"/>
        <w:jc w:val="left"/>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管道复杂时宜设置管廊，并应符合下列规定：</w:t>
      </w:r>
    </w:p>
    <w:p>
      <w:pPr>
        <w:pStyle w:val="30"/>
        <w:widowControl/>
        <w:wordWrap w:val="0"/>
        <w:spacing w:line="360" w:lineRule="auto"/>
        <w:ind w:firstLine="562"/>
        <w:jc w:val="left"/>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 xml:space="preserve"> 管廊内宜敷设仪表电缆、电信电缆、电力电缆、给水管、污水管、污泥管、再生水管、压缩空气管等，并设置色标；</w:t>
      </w:r>
    </w:p>
    <w:p>
      <w:pPr>
        <w:pStyle w:val="30"/>
        <w:widowControl/>
        <w:wordWrap w:val="0"/>
        <w:spacing w:line="360" w:lineRule="auto"/>
        <w:ind w:firstLine="562"/>
        <w:jc w:val="left"/>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 xml:space="preserve"> 管廊内应设通风、照明、广播、电话、火警及可燃气体报警系统、独立的排水系统、吊物孔、人行通道出入口和维护需要的设施等，并应符合国家现行有关防火规范要求。</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【条文说明】在管道复杂时宜设置管廊，利于检查维修。</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污水厂场地雨水排放宜充分体现海绵城市建设理念，利用绿色屋顶、透水铺装、生物滞留设施等进行源头减排，并结合道路和建筑物布置雨水口和雨水管道，地形允许散水排水时，可采用道路边沟排水。</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【条文说明】污水处理厂场地雨水排放宜采用海绵城市建设理念，注重源头减排，减少地面径流。设计需根据厂区实际情况，结合用地、布局、景观等因素选择合适的工程设施。</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污水厂应合理布置处理构筑物的超越管渠。</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【条文说明】污水厂内合理布置超越管渠，可使水流越过某处理构筑物，而流至其后续构筑物。其合理布置应保证在构筑物维护和紧急修理以及发生其他特殊情况时，对出水水质影响小，并能迅速恢复正常运行。</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处理构筑物应设排空设施，排出水应回流处理。</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考虑到处理构筑物的维护检修，应设排空设施。为了保护环境，排空水应回流处理，不应直接排入水体，并应有防止倒灌的措施，确保其他构筑物的安全运行。排空设施有构筑物底部预埋排水管道和临时设泵抽水两种。</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污水厂附属建筑物的组成及其面积，应根据污水厂的规模，工艺流程，计算机监控系统的水平和管理体制等，结合当地实际情况，本着节约的原则确定，并应符合现行的有关规定。</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确定污水厂附属建筑物的组成及其面积的影响因素较复杂，如各地的管理体制不一，检修协作条件不同，污水厂的规模和工艺流程不同等，目前尚难规定统一的标准。目前许多污水厂设有计算机控制系统，减少了工作人员及附属构筑物建筑面积。</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sz w:val="28"/>
          <w:szCs w:val="28"/>
        </w:rPr>
        <w:t>城市污水处理工程项目建设标准</w:t>
      </w:r>
      <w:r>
        <w:rPr>
          <w:rFonts w:eastAsiaTheme="minorEastAsia"/>
          <w:color w:val="000000" w:themeColor="text1"/>
          <w:sz w:val="28"/>
          <w:szCs w:val="28"/>
        </w:rPr>
        <w:t>》（建标[2001]77号）规定了污水厂附属建筑物的组成及其面积，可作为参考。</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根据维护管理的需要，宜在厂区适当地点设置配电箱、照明、联络电话、冲洗水栓、浴室、厕所等设施。</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根据国内污水厂的实践经验，为了有利于维护管理，应在厂区内适当地点设置一定的辅助设施，一般有巡回检查和取样等有关地点所需的照明，维修所需的配电箱，巡回检查或维修时联络用的电话，冲洗用的给水栓、浴室、厕所等。</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处理构筑物应设置适用的栏杆，防滑梯等安全措施，高架处理构筑物还应设置避雷设施。</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地下或半地下污水厂的综合办公楼、总变电室、中心控制室等运行和管理人员集中的建筑物宜设置于地面上；有爆炸危险或火灾危险性大的设施或处理单元应设置于地面上。</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地下或半地下污水厂污水进口应至少设置一道速闭闸门。</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【条文说明】速闭闸门设置的目的是防止停电导致污水厂受淹。</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地下或半地下污水厂产生臭气的主要构筑物应封闭除臭，箱体内应设置强制通风设施。</w:t>
      </w:r>
    </w:p>
    <w:p>
      <w:pPr>
        <w:pStyle w:val="30"/>
        <w:widowControl/>
        <w:numPr>
          <w:ilvl w:val="0"/>
          <w:numId w:val="36"/>
        </w:numPr>
        <w:wordWrap w:val="0"/>
        <w:spacing w:line="360" w:lineRule="auto"/>
        <w:ind w:left="0" w:firstLine="0" w:firstLineChars="0"/>
        <w:jc w:val="left"/>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地下或半地下污水厂箱体顶部覆土厚度应根据上部种植绿化形式选择确定，宜为0.5m~2.0m。</w:t>
      </w:r>
    </w:p>
    <w:p>
      <w:pPr>
        <w:pStyle w:val="30"/>
        <w:widowControl/>
        <w:wordWrap w:val="0"/>
        <w:spacing w:line="360" w:lineRule="auto"/>
        <w:ind w:firstLine="0" w:firstLineChars="0"/>
        <w:jc w:val="left"/>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景观设计是地下或半地下污水厂的亮点，要结合地下箱体顶部的承重能力合理配置景观、灌木、树木等。种植草坪，覆土厚度宜为0.5m及以上；种植灌木，覆土厚度宜为1.0m及以上；种植乔木，覆土厚度宜为1.5m及以上。</w:t>
      </w:r>
    </w:p>
    <w:p>
      <w:pPr>
        <w:pStyle w:val="30"/>
        <w:numPr>
          <w:ilvl w:val="0"/>
          <w:numId w:val="3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地下或半地下污水厂箱体内人员操作层的净空不应小于4.0m，宜选用便于拆卸、重量较轻，便于运输的设备。</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【条文说明】箱体净空高度的要求是为确保人员通行和设备安装检修的空间。考虑到地下箱体内净空有限，宜选用便于拆卸、重量较轻，便于运输的设备。</w:t>
      </w:r>
    </w:p>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44" w:name="_Toc515281057"/>
      <w:r>
        <w:rPr>
          <w:rFonts w:ascii="Times New Roman" w:hAnsi="Times New Roman" w:eastAsiaTheme="minorEastAsia"/>
          <w:b w:val="0"/>
          <w:color w:val="000000" w:themeColor="text1"/>
          <w:sz w:val="28"/>
          <w:szCs w:val="28"/>
        </w:rPr>
        <w:t>格 栅</w:t>
      </w:r>
      <w:bookmarkEnd w:id="44"/>
    </w:p>
    <w:p>
      <w:pPr>
        <w:pStyle w:val="30"/>
        <w:numPr>
          <w:ilvl w:val="0"/>
          <w:numId w:val="3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污水处理系统或水泵前，必须设置格栅。</w:t>
      </w:r>
    </w:p>
    <w:p>
      <w:pPr>
        <w:wordWrap w:val="0"/>
        <w:rPr>
          <w:rFonts w:eastAsiaTheme="minorEastAsia"/>
          <w:color w:val="000000" w:themeColor="text1"/>
          <w:sz w:val="28"/>
          <w:szCs w:val="28"/>
        </w:rPr>
      </w:pPr>
      <w:r>
        <w:rPr>
          <w:rFonts w:eastAsiaTheme="minorEastAsia"/>
          <w:color w:val="000000" w:themeColor="text1"/>
          <w:sz w:val="28"/>
          <w:szCs w:val="28"/>
        </w:rPr>
        <w:t>【条文说明】在污水中混有纤维、木材、塑料制品和纸张等大小不同的杂物。为了防止水泵和处理构筑物的机械设备和管道被磨损或堵塞，使后续处理流程能顺利进行，作此规定。</w:t>
      </w:r>
    </w:p>
    <w:p>
      <w:pPr>
        <w:pStyle w:val="30"/>
        <w:numPr>
          <w:ilvl w:val="0"/>
          <w:numId w:val="3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格栅栅条间隙宽度，应符合下列规定：</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粗格栅：机械清除时宜为16mm～25mm，人工清除时宜为25mm～40mm。特殊情况下，最大间隙可为100mm；</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细格栅：宜为1.5mm～10mm；</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超细格栅：宜≤1mm；</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水泵前，应根据水泵要求确定。</w:t>
      </w:r>
    </w:p>
    <w:p>
      <w:pPr>
        <w:wordWrap w:val="0"/>
        <w:rPr>
          <w:rFonts w:eastAsiaTheme="minorEastAsia"/>
          <w:color w:val="000000" w:themeColor="text1"/>
          <w:sz w:val="28"/>
          <w:szCs w:val="28"/>
        </w:rPr>
      </w:pPr>
      <w:r>
        <w:rPr>
          <w:rFonts w:eastAsiaTheme="minorEastAsia"/>
          <w:color w:val="000000" w:themeColor="text1"/>
          <w:sz w:val="28"/>
          <w:szCs w:val="28"/>
        </w:rPr>
        <w:t>【条文说明】根据调查，本条规定粗格栅栅条间隙宽度：机械清除时为16mm～25mm，人工清除时为25mm～40mm，特殊情况下最大栅条间隙可采用100mm。</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根据调查，细格栅栅条间隙宽度为1.5mm～10mm。</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膜处理工艺和曝气生物滤池工艺需要将细小物质例如头发和细小纤维物质等安全可靠地分离出去，避免引起膜组件或滤池填料堵塞以至于无法正常工作，因此膜处理工艺和曝气生物滤池工艺前一般需要设置超细格栅作为预处理工艺。根据国内外工程实际应用情况，超细格栅栅条间隙宜≤1mm。</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水泵前，格栅除污机栅条间隙宽度应根据水泵进口口径按表11选用。对于阶梯式格栅除污机、回转式固液分离机和转鼓式格栅除污机的栅条间隙或栅孔可按需要确定。</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表11 栅条间隙</w:t>
      </w:r>
    </w:p>
    <w:tbl>
      <w:tblPr>
        <w:tblStyle w:val="2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76"/>
        <w:gridCol w:w="1276"/>
        <w:gridCol w:w="1559"/>
        <w:gridCol w:w="1606"/>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水泵口径(mm)</w:t>
            </w:r>
          </w:p>
        </w:tc>
        <w:tc>
          <w:tcPr>
            <w:tcW w:w="12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&lt;200</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250～450</w:t>
            </w:r>
          </w:p>
        </w:tc>
        <w:tc>
          <w:tcPr>
            <w:tcW w:w="160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500～900</w:t>
            </w:r>
          </w:p>
        </w:tc>
        <w:tc>
          <w:tcPr>
            <w:tcW w:w="170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1000～3500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栅条间隙(mm)</w:t>
            </w:r>
          </w:p>
        </w:tc>
        <w:tc>
          <w:tcPr>
            <w:tcW w:w="12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15～20</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30～40</w:t>
            </w:r>
          </w:p>
        </w:tc>
        <w:tc>
          <w:tcPr>
            <w:tcW w:w="160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40～80</w:t>
            </w:r>
          </w:p>
        </w:tc>
        <w:tc>
          <w:tcPr>
            <w:tcW w:w="170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80～100</w:t>
            </w:r>
          </w:p>
        </w:tc>
      </w:tr>
    </w:tbl>
    <w:p>
      <w:pPr>
        <w:widowControl/>
        <w:wordWrap w:val="0"/>
        <w:ind w:firstLine="560" w:firstLineChars="200"/>
        <w:jc w:val="left"/>
        <w:rPr>
          <w:rFonts w:eastAsiaTheme="minorEastAsia"/>
          <w:color w:val="000000" w:themeColor="text1"/>
          <w:sz w:val="28"/>
          <w:szCs w:val="28"/>
        </w:rPr>
      </w:pPr>
      <w:r>
        <w:rPr>
          <w:rFonts w:eastAsiaTheme="minorEastAsia"/>
          <w:color w:val="000000" w:themeColor="text1"/>
          <w:sz w:val="28"/>
          <w:szCs w:val="28"/>
        </w:rPr>
        <w:t>如泵站较深，泵前格栅机械清除或人工清除比较复杂，可在泵前设置仅为保护水泵正常运转的、空隙宽度较大的粗格栅（宽度根据水泵要求，国外资料认为可大到100mm）以减少栅渣量，并在处理构筑物前设置间隙宽度较小的细格栅，保证后续工序的顺利进行。这样既便于维修养护，投资也不会增加。</w:t>
      </w:r>
    </w:p>
    <w:p>
      <w:pPr>
        <w:pStyle w:val="30"/>
        <w:numPr>
          <w:ilvl w:val="0"/>
          <w:numId w:val="3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污水过栅流速宜采用0.6m/s～1.0m/s。除转鼓式格栅除污机外，机械清除格栅的安装角度宜为60°～90°。人工清除格栅的安装角度宜为30°～60°。</w:t>
      </w:r>
    </w:p>
    <w:p>
      <w:pPr>
        <w:wordWrap w:val="0"/>
        <w:rPr>
          <w:rFonts w:eastAsiaTheme="minorEastAsia"/>
          <w:color w:val="000000" w:themeColor="text1"/>
          <w:sz w:val="28"/>
          <w:szCs w:val="28"/>
        </w:rPr>
      </w:pPr>
      <w:r>
        <w:rPr>
          <w:rFonts w:eastAsiaTheme="minorEastAsia"/>
          <w:color w:val="000000" w:themeColor="text1"/>
          <w:sz w:val="28"/>
          <w:szCs w:val="28"/>
        </w:rPr>
        <w:t>【条文说明】过栅流速是参照国外资料制定的。欧盟规范《污水处理厂—第3部分：预处理》（BS EN12255-3:2000）为最大流量下不超过1.2m/s。日本指南为0.45m/s，美国《污水处理厂设计手册》(1998年，以下简称美国污水厂手册)为0.6m/s～1.2m/s，法国《水处理手册》（1978年，以下简称法国手册）为0.6m/s～1.0m/s。本标准规定为0.6m/s～1.0m/s。</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格栅倾角是根据国内外采用的数据而制定的。除转鼓式格栅除污机外，其资料见表12。</w:t>
      </w:r>
    </w:p>
    <w:p>
      <w:pPr>
        <w:wordWrap w:val="0"/>
        <w:spacing w:line="360" w:lineRule="auto"/>
        <w:ind w:firstLine="562" w:firstLineChars="200"/>
        <w:jc w:val="center"/>
        <w:rPr>
          <w:rFonts w:eastAsiaTheme="minorEastAsia"/>
          <w:b/>
          <w:color w:val="000000" w:themeColor="text1"/>
          <w:sz w:val="28"/>
          <w:szCs w:val="28"/>
        </w:rPr>
      </w:pPr>
      <w:r>
        <w:rPr>
          <w:rFonts w:eastAsiaTheme="minorEastAsia"/>
          <w:b/>
          <w:color w:val="000000" w:themeColor="text1"/>
          <w:sz w:val="28"/>
          <w:szCs w:val="28"/>
        </w:rPr>
        <w:t>表12格栅倾角</w:t>
      </w:r>
    </w:p>
    <w:tbl>
      <w:tblPr>
        <w:tblStyle w:val="2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84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40"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资料来源</w:t>
            </w:r>
          </w:p>
        </w:tc>
        <w:tc>
          <w:tcPr>
            <w:tcW w:w="5682"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格栅倾角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40" w:type="dxa"/>
            <w:vMerge w:val="continue"/>
            <w:vAlign w:val="center"/>
          </w:tcPr>
          <w:p>
            <w:pPr>
              <w:wordWrap w:val="0"/>
              <w:spacing w:line="360" w:lineRule="auto"/>
              <w:jc w:val="center"/>
              <w:rPr>
                <w:rFonts w:eastAsiaTheme="minorEastAsia"/>
                <w:color w:val="000000" w:themeColor="text1"/>
                <w:sz w:val="28"/>
                <w:szCs w:val="28"/>
              </w:rPr>
            </w:pPr>
          </w:p>
        </w:tc>
        <w:tc>
          <w:tcPr>
            <w:tcW w:w="28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人工清除</w:t>
            </w:r>
          </w:p>
        </w:tc>
        <w:tc>
          <w:tcPr>
            <w:tcW w:w="28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机械清除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4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国内污水厂</w:t>
            </w:r>
          </w:p>
        </w:tc>
        <w:tc>
          <w:tcPr>
            <w:tcW w:w="5682"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一般为45°～75°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84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日本指南</w:t>
            </w:r>
          </w:p>
        </w:tc>
        <w:tc>
          <w:tcPr>
            <w:tcW w:w="28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45°～60°</w:t>
            </w:r>
          </w:p>
        </w:tc>
        <w:tc>
          <w:tcPr>
            <w:tcW w:w="28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70°左右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4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美国污水厂手册</w:t>
            </w:r>
          </w:p>
        </w:tc>
        <w:tc>
          <w:tcPr>
            <w:tcW w:w="28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30°～45°</w:t>
            </w:r>
          </w:p>
        </w:tc>
        <w:tc>
          <w:tcPr>
            <w:tcW w:w="28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4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本标准</w:t>
            </w:r>
          </w:p>
        </w:tc>
        <w:tc>
          <w:tcPr>
            <w:tcW w:w="28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30°～60°</w:t>
            </w:r>
          </w:p>
        </w:tc>
        <w:tc>
          <w:tcPr>
            <w:tcW w:w="28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60°～90°</w:t>
            </w:r>
          </w:p>
        </w:tc>
      </w:tr>
    </w:tbl>
    <w:p>
      <w:pPr>
        <w:pStyle w:val="30"/>
        <w:numPr>
          <w:ilvl w:val="0"/>
          <w:numId w:val="3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格栅除污机，底部前端距井壁尺寸，钢丝绳牵引除污机或移动悬吊葫芦抓斗式除污机应大于1.5m；链动刮板除污机或回转式固液分离机应大于1.0m。</w:t>
      </w:r>
    </w:p>
    <w:p>
      <w:pPr>
        <w:wordWrap w:val="0"/>
        <w:rPr>
          <w:rFonts w:eastAsiaTheme="minorEastAsia"/>
          <w:color w:val="000000" w:themeColor="text1"/>
          <w:sz w:val="28"/>
          <w:szCs w:val="28"/>
        </w:rPr>
      </w:pPr>
      <w:r>
        <w:rPr>
          <w:rFonts w:eastAsiaTheme="minorEastAsia"/>
          <w:color w:val="000000" w:themeColor="text1"/>
          <w:sz w:val="28"/>
          <w:szCs w:val="28"/>
        </w:rPr>
        <w:t>【条文说明】钢丝绳牵引格栅除污机和移动悬吊葫芦抓斗式格栅除污机应考虑耙斗尺寸和安装人员的工作位置，其他类型格栅除污机由于齿耙尺甘较小，其尺寸可适当减小。</w:t>
      </w:r>
    </w:p>
    <w:p>
      <w:pPr>
        <w:pStyle w:val="30"/>
        <w:numPr>
          <w:ilvl w:val="0"/>
          <w:numId w:val="3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格栅上部必须设置工作平台，其高度应高出格栅前最高设计水位0.5m，工作平台上应有安全和冲洗设施。</w:t>
      </w:r>
    </w:p>
    <w:p>
      <w:pPr>
        <w:wordWrap w:val="0"/>
        <w:rPr>
          <w:rFonts w:eastAsiaTheme="minorEastAsia"/>
          <w:color w:val="000000" w:themeColor="text1"/>
          <w:sz w:val="28"/>
          <w:szCs w:val="28"/>
        </w:rPr>
      </w:pPr>
      <w:r>
        <w:rPr>
          <w:rFonts w:eastAsiaTheme="minorEastAsia"/>
          <w:color w:val="000000" w:themeColor="text1"/>
          <w:sz w:val="28"/>
          <w:szCs w:val="28"/>
        </w:rPr>
        <w:t>【条文说明】本条规定为便于清除栅渣和养护格栅。</w:t>
      </w:r>
    </w:p>
    <w:p>
      <w:pPr>
        <w:pStyle w:val="30"/>
        <w:numPr>
          <w:ilvl w:val="0"/>
          <w:numId w:val="3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格栅工作平台两侧边道宽度宜采用0.7m～1.0m。工作平台正面过道宽度，采用机械清除时不应小于1.5m，采用人工清除时不应小于1.2m。</w:t>
      </w:r>
    </w:p>
    <w:p>
      <w:pPr>
        <w:wordWrap w:val="0"/>
        <w:rPr>
          <w:rFonts w:eastAsiaTheme="minorEastAsia"/>
          <w:color w:val="000000" w:themeColor="text1"/>
          <w:sz w:val="28"/>
          <w:szCs w:val="28"/>
        </w:rPr>
      </w:pPr>
      <w:r>
        <w:rPr>
          <w:rFonts w:eastAsiaTheme="minorEastAsia"/>
          <w:color w:val="000000" w:themeColor="text1"/>
          <w:sz w:val="28"/>
          <w:szCs w:val="28"/>
        </w:rPr>
        <w:t>【条文说明】本条是根据国内污水厂养护管理的实践经验而制定的。</w:t>
      </w:r>
    </w:p>
    <w:p>
      <w:pPr>
        <w:pStyle w:val="30"/>
        <w:numPr>
          <w:ilvl w:val="0"/>
          <w:numId w:val="3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粗格栅栅渣宜采用带式输送机输送；细格栅栅渣宜采用螺旋输送机输送，输送过程宜进行密封处理。</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栅渣通过机械输送、压榨脱水外运的方式，在国内新建的大中污水厂中已得到应用。关于栅渣的输送设备采用：一般粗格栅渣宜采用带式输送机，细格栅渣宜采用螺旋输送机；对输送距离大于8.0m宜采用带式输送机，对距离较短的宜采用螺旋输送机；而当污水中有较大的杂质时，不管输送距离长短，均以采用皮带输送机为宜。</w:t>
      </w:r>
    </w:p>
    <w:p>
      <w:pPr>
        <w:widowControl/>
        <w:wordWrap w:val="0"/>
        <w:ind w:firstLine="565" w:firstLineChars="202"/>
        <w:jc w:val="left"/>
        <w:rPr>
          <w:rFonts w:eastAsiaTheme="minorEastAsia"/>
          <w:color w:val="000000" w:themeColor="text1"/>
          <w:sz w:val="28"/>
          <w:szCs w:val="28"/>
        </w:rPr>
      </w:pPr>
      <w:r>
        <w:rPr>
          <w:rFonts w:eastAsiaTheme="minorEastAsia"/>
          <w:color w:val="000000" w:themeColor="text1"/>
          <w:sz w:val="28"/>
          <w:szCs w:val="28"/>
        </w:rPr>
        <w:t>由于格栅栅渣的输送过程会散发臭味，因此输送机宜采用密封结构，进出料口处宜进行密封处理，防止臭味逸出，便于臭气收集和处理。</w:t>
      </w:r>
    </w:p>
    <w:p>
      <w:pPr>
        <w:pStyle w:val="30"/>
        <w:numPr>
          <w:ilvl w:val="0"/>
          <w:numId w:val="3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格栅间应设置通风设施和有毒有害气体的检测与报警装置。</w:t>
      </w:r>
    </w:p>
    <w:p>
      <w:pPr>
        <w:wordWrap w:val="0"/>
        <w:rPr>
          <w:rFonts w:eastAsiaTheme="minorEastAsia"/>
          <w:color w:val="000000" w:themeColor="text1"/>
          <w:sz w:val="28"/>
          <w:szCs w:val="28"/>
        </w:rPr>
      </w:pPr>
      <w:r>
        <w:rPr>
          <w:rFonts w:eastAsiaTheme="minorEastAsia"/>
          <w:color w:val="000000" w:themeColor="text1"/>
          <w:sz w:val="28"/>
          <w:szCs w:val="28"/>
        </w:rPr>
        <w:t>【条文说明】为改善格栅间的操作条件和确保操作人员安全，需设置通风设施和有毒有害气体的检测与报警装置。</w:t>
      </w:r>
    </w:p>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45" w:name="_Toc515281058"/>
      <w:r>
        <w:rPr>
          <w:rFonts w:ascii="Times New Roman" w:hAnsi="Times New Roman" w:eastAsiaTheme="minorEastAsia"/>
          <w:b w:val="0"/>
          <w:color w:val="000000" w:themeColor="text1"/>
          <w:sz w:val="28"/>
          <w:szCs w:val="28"/>
        </w:rPr>
        <w:t>沉砂池</w:t>
      </w:r>
      <w:bookmarkEnd w:id="45"/>
    </w:p>
    <w:p>
      <w:pPr>
        <w:pStyle w:val="30"/>
        <w:numPr>
          <w:ilvl w:val="0"/>
          <w:numId w:val="3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污水厂应设置沉砂池，按去除相对密度2.65、粒径0.2mm以上的砂粒设计。</w:t>
      </w:r>
    </w:p>
    <w:p>
      <w:pPr>
        <w:wordWrap w:val="0"/>
        <w:rPr>
          <w:rFonts w:eastAsiaTheme="minorEastAsia"/>
          <w:color w:val="000000" w:themeColor="text1"/>
          <w:sz w:val="28"/>
          <w:szCs w:val="28"/>
        </w:rPr>
      </w:pPr>
      <w:r>
        <w:rPr>
          <w:rFonts w:eastAsiaTheme="minorEastAsia"/>
          <w:color w:val="000000" w:themeColor="text1"/>
          <w:sz w:val="28"/>
          <w:szCs w:val="28"/>
        </w:rPr>
        <w:t>【条文说明】一般情况下，由于在污水系统中有些井盖密封不严，有些支管连接不合理以及部分家庭院落和工业企业雨水进入污水管，在污水中会含有相当数量的砂粒等杂质。设置沉砂池可以避免后续处理构筑物和机械设备的磨损，减少管渠和处理构筑物内的沉积，避免重力排泥困难，防止对生物处理系统和污泥处理系统运行的干扰。</w:t>
      </w:r>
    </w:p>
    <w:p>
      <w:pPr>
        <w:pStyle w:val="30"/>
        <w:numPr>
          <w:ilvl w:val="0"/>
          <w:numId w:val="3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平流沉砂池的设计，应符合下列规定：</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最大流速应为0.3m/s，最小流速应为0.15m/s；</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最高时流量的停留时间不应小于30s；</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有效水深不应大于1.5m，每格宽度不宜小于0.6m。</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【条文说明】本条是根据国内污水厂的试验资料和管理经验，并参照国外有关资料而制定。平流沉砂池应符合下列规定：</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最大流速应为0.3m/s，最小流速应为0.15m/s。在此流速范围内可避免已沉淀的砂粒再次翻起，也可避免污水中的有机物大量沉淀，能有效地去除相对密度2.65、粒径0.2mm以上的砂粒。</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最高时流量的停留时间至少应为30s，日本指南推荐30s～60s。</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从养护方便考虑，规定每格宽度不宜小于0.6m。有效水深在理论上与沉砂效率无关，美国污水厂设计手册规定为0.6m～1.5m，本条规定不应大于1.5m。</w:t>
      </w:r>
    </w:p>
    <w:p>
      <w:pPr>
        <w:pStyle w:val="30"/>
        <w:numPr>
          <w:ilvl w:val="0"/>
          <w:numId w:val="3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曝气沉砂池的设计，应符合下列规定：</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水平流速不宜大于0.1m/s；</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最高时流量的停留时间宜大于5min；</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有效水深宜为2.0m～3.0m，宽深比宜为1～1.5；</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 xml:space="preserve">4 </w:t>
      </w:r>
      <w:r>
        <w:rPr>
          <w:rFonts w:eastAsiaTheme="minorEastAsia"/>
          <w:color w:val="000000" w:themeColor="text1"/>
          <w:sz w:val="28"/>
          <w:szCs w:val="28"/>
        </w:rPr>
        <w:t>处理每立方米污水的曝气量宜为0.1m</w:t>
      </w:r>
      <w:r>
        <w:rPr>
          <w:rFonts w:eastAsiaTheme="minorEastAsia"/>
          <w:color w:val="000000" w:themeColor="text1"/>
          <w:sz w:val="28"/>
          <w:szCs w:val="28"/>
          <w:vertAlign w:val="superscript"/>
        </w:rPr>
        <w:t>3</w:t>
      </w:r>
      <w:r>
        <w:rPr>
          <w:rFonts w:eastAsiaTheme="minorEastAsia"/>
          <w:color w:val="000000" w:themeColor="text1"/>
          <w:sz w:val="28"/>
          <w:szCs w:val="28"/>
        </w:rPr>
        <w:t>～0.2m</w:t>
      </w:r>
      <w:r>
        <w:rPr>
          <w:rFonts w:eastAsiaTheme="minorEastAsia"/>
          <w:color w:val="000000" w:themeColor="text1"/>
          <w:sz w:val="28"/>
          <w:szCs w:val="28"/>
          <w:vertAlign w:val="superscript"/>
        </w:rPr>
        <w:t>3</w:t>
      </w:r>
      <w:r>
        <w:rPr>
          <w:rFonts w:eastAsiaTheme="minorEastAsia"/>
          <w:color w:val="000000" w:themeColor="text1"/>
          <w:sz w:val="28"/>
          <w:szCs w:val="28"/>
        </w:rPr>
        <w:t>空气；</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 xml:space="preserve">5 </w:t>
      </w:r>
      <w:r>
        <w:rPr>
          <w:rFonts w:eastAsiaTheme="minorEastAsia"/>
          <w:color w:val="000000" w:themeColor="text1"/>
          <w:sz w:val="28"/>
          <w:szCs w:val="28"/>
        </w:rPr>
        <w:t>进水方向应与池中旋流方向一致，出水方向应与进水方向垂直，并宜设置挡板；</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 xml:space="preserve">6 </w:t>
      </w:r>
      <w:r>
        <w:rPr>
          <w:rFonts w:eastAsiaTheme="minorEastAsia"/>
          <w:color w:val="000000" w:themeColor="text1"/>
          <w:sz w:val="28"/>
          <w:szCs w:val="28"/>
        </w:rPr>
        <w:t>宜设置除砂和撇油除渣二个功能区，并配套设置撇渣和除油设备。</w:t>
      </w:r>
    </w:p>
    <w:p>
      <w:pPr>
        <w:wordWrap w:val="0"/>
        <w:rPr>
          <w:rFonts w:eastAsiaTheme="minorEastAsia"/>
          <w:color w:val="000000" w:themeColor="text1"/>
          <w:sz w:val="28"/>
          <w:szCs w:val="28"/>
        </w:rPr>
      </w:pPr>
      <w:r>
        <w:rPr>
          <w:rFonts w:eastAsiaTheme="minorEastAsia"/>
          <w:color w:val="000000" w:themeColor="text1"/>
          <w:sz w:val="28"/>
          <w:szCs w:val="28"/>
        </w:rPr>
        <w:t>【条文说明】本条是根据国内污水特性，参照国际经验和实际运行数据确定，参考数据见表13。</w:t>
      </w:r>
    </w:p>
    <w:p>
      <w:pPr>
        <w:wordWrap w:val="0"/>
        <w:ind w:firstLine="420"/>
        <w:jc w:val="center"/>
        <w:rPr>
          <w:rFonts w:eastAsiaTheme="minorEastAsia"/>
          <w:b/>
          <w:color w:val="000000" w:themeColor="text1"/>
          <w:sz w:val="28"/>
          <w:szCs w:val="28"/>
        </w:rPr>
        <w:sectPr>
          <w:footerReference r:id="rId9" w:type="default"/>
          <w:pgSz w:w="11906" w:h="16838"/>
          <w:pgMar w:top="1440" w:right="1800" w:bottom="1440" w:left="1800" w:header="851" w:footer="992" w:gutter="0"/>
          <w:cols w:space="425" w:num="1"/>
          <w:docGrid w:type="lines" w:linePitch="312" w:charSpace="0"/>
        </w:sectPr>
      </w:pPr>
    </w:p>
    <w:p>
      <w:pPr>
        <w:wordWrap w:val="0"/>
        <w:spacing w:line="360" w:lineRule="auto"/>
        <w:ind w:firstLine="420"/>
        <w:jc w:val="center"/>
        <w:rPr>
          <w:rFonts w:eastAsiaTheme="minorEastAsia"/>
          <w:b/>
          <w:color w:val="000000" w:themeColor="text1"/>
          <w:sz w:val="28"/>
          <w:szCs w:val="28"/>
        </w:rPr>
      </w:pPr>
      <w:r>
        <w:rPr>
          <w:rFonts w:eastAsiaTheme="minorEastAsia"/>
          <w:b/>
          <w:color w:val="000000" w:themeColor="text1"/>
          <w:sz w:val="28"/>
          <w:szCs w:val="28"/>
        </w:rPr>
        <w:t>表13 曝气沉砂池设计数据</w:t>
      </w:r>
    </w:p>
    <w:tbl>
      <w:tblPr>
        <w:tblStyle w:val="25"/>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53"/>
        <w:gridCol w:w="1393"/>
        <w:gridCol w:w="1651"/>
        <w:gridCol w:w="987"/>
        <w:gridCol w:w="1103"/>
        <w:gridCol w:w="1845"/>
        <w:gridCol w:w="2452"/>
        <w:gridCol w:w="2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1" w:hRule="atLeast"/>
        </w:trPr>
        <w:tc>
          <w:tcPr>
            <w:tcW w:w="2053" w:type="dxa"/>
            <w:tcBorders>
              <w:top w:val="single" w:color="000000" w:sz="6" w:space="0"/>
              <w:tl2br w:val="single" w:color="000000" w:sz="6" w:space="0"/>
            </w:tcBorders>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设计数据</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资料来源</w:t>
            </w:r>
          </w:p>
        </w:tc>
        <w:tc>
          <w:tcPr>
            <w:tcW w:w="139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水平流速</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(m/s)</w:t>
            </w:r>
          </w:p>
        </w:tc>
        <w:tc>
          <w:tcPr>
            <w:tcW w:w="1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最高时流量停留时间</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(min)</w:t>
            </w:r>
          </w:p>
        </w:tc>
        <w:tc>
          <w:tcPr>
            <w:tcW w:w="9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有效水深</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(m)</w:t>
            </w:r>
          </w:p>
        </w:tc>
        <w:tc>
          <w:tcPr>
            <w:tcW w:w="110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宽深比</w:t>
            </w:r>
          </w:p>
        </w:tc>
        <w:tc>
          <w:tcPr>
            <w:tcW w:w="184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曝气量</w:t>
            </w:r>
          </w:p>
        </w:tc>
        <w:tc>
          <w:tcPr>
            <w:tcW w:w="245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进水方向</w:t>
            </w:r>
          </w:p>
        </w:tc>
        <w:tc>
          <w:tcPr>
            <w:tcW w:w="269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出水方向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1" w:hRule="atLeast"/>
        </w:trPr>
        <w:tc>
          <w:tcPr>
            <w:tcW w:w="205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郑州某污水厂</w:t>
            </w:r>
          </w:p>
        </w:tc>
        <w:tc>
          <w:tcPr>
            <w:tcW w:w="139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0.07</w:t>
            </w:r>
          </w:p>
        </w:tc>
        <w:tc>
          <w:tcPr>
            <w:tcW w:w="1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w:t>
            </w:r>
          </w:p>
        </w:tc>
        <w:tc>
          <w:tcPr>
            <w:tcW w:w="9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3.2</w:t>
            </w:r>
          </w:p>
        </w:tc>
        <w:tc>
          <w:tcPr>
            <w:tcW w:w="110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1.6</w:t>
            </w:r>
          </w:p>
        </w:tc>
        <w:tc>
          <w:tcPr>
            <w:tcW w:w="184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0.2m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3</w:t>
            </w:r>
          </w:p>
        </w:tc>
        <w:tc>
          <w:tcPr>
            <w:tcW w:w="245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与池中旋流方向一致</w:t>
            </w:r>
          </w:p>
        </w:tc>
        <w:tc>
          <w:tcPr>
            <w:tcW w:w="269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与进水方向垂直，淹没式出水口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2" w:hRule="atLeast"/>
        </w:trPr>
        <w:tc>
          <w:tcPr>
            <w:tcW w:w="205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青岛某污水厂</w:t>
            </w:r>
          </w:p>
        </w:tc>
        <w:tc>
          <w:tcPr>
            <w:tcW w:w="1393" w:type="dxa"/>
            <w:vAlign w:val="center"/>
          </w:tcPr>
          <w:p>
            <w:pPr>
              <w:wordWrap w:val="0"/>
              <w:spacing w:line="360" w:lineRule="auto"/>
              <w:jc w:val="center"/>
              <w:rPr>
                <w:rFonts w:eastAsiaTheme="minorEastAsia"/>
                <w:color w:val="000000" w:themeColor="text1"/>
                <w:sz w:val="28"/>
                <w:szCs w:val="28"/>
              </w:rPr>
            </w:pPr>
            <w:r>
              <w:rPr>
                <w:color w:val="000000" w:themeColor="text1"/>
                <w:sz w:val="28"/>
                <w:szCs w:val="28"/>
              </w:rPr>
              <w:t>0.075</w:t>
            </w:r>
          </w:p>
        </w:tc>
        <w:tc>
          <w:tcPr>
            <w:tcW w:w="1651" w:type="dxa"/>
            <w:vAlign w:val="center"/>
          </w:tcPr>
          <w:p>
            <w:pPr>
              <w:wordWrap w:val="0"/>
              <w:spacing w:line="360" w:lineRule="auto"/>
              <w:jc w:val="center"/>
              <w:rPr>
                <w:rFonts w:eastAsiaTheme="minorEastAsia"/>
                <w:color w:val="000000" w:themeColor="text1"/>
                <w:sz w:val="28"/>
                <w:szCs w:val="28"/>
              </w:rPr>
            </w:pPr>
            <w:r>
              <w:rPr>
                <w:color w:val="000000" w:themeColor="text1"/>
                <w:sz w:val="28"/>
                <w:szCs w:val="28"/>
              </w:rPr>
              <w:t>6.5</w:t>
            </w:r>
          </w:p>
        </w:tc>
        <w:tc>
          <w:tcPr>
            <w:tcW w:w="987" w:type="dxa"/>
            <w:vAlign w:val="center"/>
          </w:tcPr>
          <w:p>
            <w:pPr>
              <w:wordWrap w:val="0"/>
              <w:spacing w:line="360" w:lineRule="auto"/>
              <w:jc w:val="center"/>
              <w:rPr>
                <w:rFonts w:eastAsiaTheme="minorEastAsia"/>
                <w:color w:val="000000" w:themeColor="text1"/>
                <w:sz w:val="28"/>
                <w:szCs w:val="28"/>
              </w:rPr>
            </w:pPr>
            <w:r>
              <w:rPr>
                <w:color w:val="000000" w:themeColor="text1"/>
                <w:sz w:val="28"/>
                <w:szCs w:val="28"/>
              </w:rPr>
              <w:t>2.5</w:t>
            </w:r>
          </w:p>
        </w:tc>
        <w:tc>
          <w:tcPr>
            <w:tcW w:w="1103" w:type="dxa"/>
            <w:vAlign w:val="center"/>
          </w:tcPr>
          <w:p>
            <w:pPr>
              <w:wordWrap w:val="0"/>
              <w:spacing w:line="360" w:lineRule="auto"/>
              <w:jc w:val="center"/>
              <w:rPr>
                <w:rFonts w:eastAsiaTheme="minorEastAsia"/>
                <w:color w:val="000000" w:themeColor="text1"/>
                <w:sz w:val="28"/>
                <w:szCs w:val="28"/>
              </w:rPr>
            </w:pPr>
            <w:r>
              <w:rPr>
                <w:color w:val="000000" w:themeColor="text1"/>
                <w:sz w:val="28"/>
                <w:szCs w:val="28"/>
              </w:rPr>
              <w:t>1.2</w:t>
            </w:r>
          </w:p>
        </w:tc>
        <w:tc>
          <w:tcPr>
            <w:tcW w:w="1845" w:type="dxa"/>
            <w:vAlign w:val="center"/>
          </w:tcPr>
          <w:p>
            <w:pPr>
              <w:wordWrap w:val="0"/>
              <w:spacing w:line="360" w:lineRule="auto"/>
              <w:jc w:val="center"/>
              <w:rPr>
                <w:rFonts w:eastAsiaTheme="minorEastAsia"/>
                <w:color w:val="000000" w:themeColor="text1"/>
                <w:sz w:val="28"/>
                <w:szCs w:val="28"/>
              </w:rPr>
            </w:pPr>
            <w:r>
              <w:rPr>
                <w:color w:val="000000" w:themeColor="text1"/>
                <w:sz w:val="28"/>
                <w:szCs w:val="28"/>
              </w:rPr>
              <w:t>0.22</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3</w:t>
            </w:r>
          </w:p>
        </w:tc>
        <w:tc>
          <w:tcPr>
            <w:tcW w:w="245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与池中旋流方向一致</w:t>
            </w:r>
          </w:p>
        </w:tc>
        <w:tc>
          <w:tcPr>
            <w:tcW w:w="269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与进水方向垂直，淹没式出水口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1" w:hRule="atLeast"/>
        </w:trPr>
        <w:tc>
          <w:tcPr>
            <w:tcW w:w="205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上海某污水厂</w:t>
            </w:r>
          </w:p>
        </w:tc>
        <w:tc>
          <w:tcPr>
            <w:tcW w:w="139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0.087</w:t>
            </w:r>
          </w:p>
        </w:tc>
        <w:tc>
          <w:tcPr>
            <w:tcW w:w="1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 xml:space="preserve">5.0 </w:t>
            </w:r>
          </w:p>
        </w:tc>
        <w:tc>
          <w:tcPr>
            <w:tcW w:w="9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3.24</w:t>
            </w:r>
          </w:p>
        </w:tc>
        <w:tc>
          <w:tcPr>
            <w:tcW w:w="110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1.23</w:t>
            </w:r>
          </w:p>
        </w:tc>
        <w:tc>
          <w:tcPr>
            <w:tcW w:w="1845" w:type="dxa"/>
            <w:vAlign w:val="center"/>
          </w:tcPr>
          <w:p>
            <w:pPr>
              <w:wordWrap w:val="0"/>
              <w:spacing w:line="360" w:lineRule="auto"/>
              <w:ind w:left="-80" w:leftChars="-38" w:firstLine="78" w:firstLineChars="28"/>
              <w:jc w:val="center"/>
              <w:rPr>
                <w:rFonts w:eastAsiaTheme="minorEastAsia"/>
                <w:color w:val="000000" w:themeColor="text1"/>
                <w:sz w:val="28"/>
                <w:szCs w:val="28"/>
              </w:rPr>
            </w:pPr>
            <w:r>
              <w:rPr>
                <w:rFonts w:eastAsiaTheme="minorEastAsia"/>
                <w:color w:val="000000" w:themeColor="text1"/>
                <w:sz w:val="28"/>
                <w:szCs w:val="28"/>
              </w:rPr>
              <w:t>0.2m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3</w:t>
            </w:r>
          </w:p>
        </w:tc>
        <w:tc>
          <w:tcPr>
            <w:tcW w:w="245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与池中旋流方向一致</w:t>
            </w:r>
          </w:p>
        </w:tc>
        <w:tc>
          <w:tcPr>
            <w:tcW w:w="269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与进水方向垂直，淹没式出水口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1" w:hRule="atLeast"/>
        </w:trPr>
        <w:tc>
          <w:tcPr>
            <w:tcW w:w="205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上海某合流污水处理厂</w:t>
            </w:r>
          </w:p>
        </w:tc>
        <w:tc>
          <w:tcPr>
            <w:tcW w:w="139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0.1</w:t>
            </w:r>
          </w:p>
        </w:tc>
        <w:tc>
          <w:tcPr>
            <w:tcW w:w="1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4.6</w:t>
            </w:r>
          </w:p>
        </w:tc>
        <w:tc>
          <w:tcPr>
            <w:tcW w:w="9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w:t>
            </w:r>
          </w:p>
        </w:tc>
        <w:tc>
          <w:tcPr>
            <w:tcW w:w="110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1.37</w:t>
            </w:r>
          </w:p>
        </w:tc>
        <w:tc>
          <w:tcPr>
            <w:tcW w:w="1845" w:type="dxa"/>
            <w:vAlign w:val="center"/>
          </w:tcPr>
          <w:p>
            <w:pPr>
              <w:wordWrap w:val="0"/>
              <w:spacing w:line="360" w:lineRule="auto"/>
              <w:ind w:left="-80" w:leftChars="-38" w:firstLine="78" w:firstLineChars="28"/>
              <w:jc w:val="center"/>
              <w:rPr>
                <w:rFonts w:eastAsiaTheme="minorEastAsia"/>
                <w:color w:val="000000" w:themeColor="text1"/>
                <w:sz w:val="28"/>
                <w:szCs w:val="28"/>
              </w:rPr>
            </w:pPr>
            <w:r>
              <w:rPr>
                <w:rFonts w:eastAsiaTheme="minorEastAsia"/>
                <w:color w:val="000000" w:themeColor="text1"/>
                <w:sz w:val="28"/>
                <w:szCs w:val="28"/>
              </w:rPr>
              <w:t>0.2m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3</w:t>
            </w:r>
          </w:p>
        </w:tc>
        <w:tc>
          <w:tcPr>
            <w:tcW w:w="245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与池中旋流方向一致</w:t>
            </w:r>
          </w:p>
        </w:tc>
        <w:tc>
          <w:tcPr>
            <w:tcW w:w="269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与进水方向垂直，淹没式出水口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053" w:hRule="atLeast"/>
        </w:trPr>
        <w:tc>
          <w:tcPr>
            <w:tcW w:w="205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美国污水厂手册</w:t>
            </w:r>
          </w:p>
        </w:tc>
        <w:tc>
          <w:tcPr>
            <w:tcW w:w="1393" w:type="dxa"/>
            <w:vAlign w:val="center"/>
          </w:tcPr>
          <w:p>
            <w:pPr>
              <w:wordWrap w:val="0"/>
              <w:spacing w:line="360" w:lineRule="auto"/>
              <w:jc w:val="center"/>
              <w:rPr>
                <w:rFonts w:eastAsiaTheme="minorEastAsia"/>
                <w:color w:val="000000" w:themeColor="text1"/>
                <w:sz w:val="28"/>
                <w:szCs w:val="28"/>
              </w:rPr>
            </w:pPr>
          </w:p>
        </w:tc>
        <w:tc>
          <w:tcPr>
            <w:tcW w:w="1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1～3</w:t>
            </w:r>
          </w:p>
        </w:tc>
        <w:tc>
          <w:tcPr>
            <w:tcW w:w="987" w:type="dxa"/>
            <w:vAlign w:val="center"/>
          </w:tcPr>
          <w:p>
            <w:pPr>
              <w:wordWrap w:val="0"/>
              <w:spacing w:line="360" w:lineRule="auto"/>
              <w:jc w:val="center"/>
              <w:rPr>
                <w:rFonts w:eastAsiaTheme="minorEastAsia"/>
                <w:color w:val="000000" w:themeColor="text1"/>
                <w:sz w:val="28"/>
                <w:szCs w:val="28"/>
              </w:rPr>
            </w:pPr>
          </w:p>
        </w:tc>
        <w:tc>
          <w:tcPr>
            <w:tcW w:w="1103" w:type="dxa"/>
            <w:vAlign w:val="center"/>
          </w:tcPr>
          <w:p>
            <w:pPr>
              <w:wordWrap w:val="0"/>
              <w:spacing w:line="360" w:lineRule="auto"/>
              <w:jc w:val="center"/>
              <w:rPr>
                <w:rFonts w:eastAsiaTheme="minorEastAsia"/>
                <w:color w:val="000000" w:themeColor="text1"/>
                <w:sz w:val="28"/>
                <w:szCs w:val="28"/>
              </w:rPr>
            </w:pPr>
          </w:p>
        </w:tc>
        <w:tc>
          <w:tcPr>
            <w:tcW w:w="184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16.7m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·h)～44.6m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w:t>
            </w:r>
          </w:p>
        </w:tc>
        <w:tc>
          <w:tcPr>
            <w:tcW w:w="245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使污水在空气作用下直接形成旋流</w:t>
            </w:r>
          </w:p>
        </w:tc>
        <w:tc>
          <w:tcPr>
            <w:tcW w:w="269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应与进水成直角，并在靠近出口处应考虑设挡板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53" w:hRule="atLeast"/>
        </w:trPr>
        <w:tc>
          <w:tcPr>
            <w:tcW w:w="205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美国十州标准</w:t>
            </w:r>
          </w:p>
        </w:tc>
        <w:tc>
          <w:tcPr>
            <w:tcW w:w="1393" w:type="dxa"/>
            <w:vAlign w:val="center"/>
          </w:tcPr>
          <w:p>
            <w:pPr>
              <w:wordWrap w:val="0"/>
              <w:spacing w:line="360" w:lineRule="auto"/>
              <w:jc w:val="center"/>
              <w:rPr>
                <w:rFonts w:eastAsiaTheme="minorEastAsia"/>
                <w:color w:val="000000" w:themeColor="text1"/>
                <w:sz w:val="28"/>
                <w:szCs w:val="28"/>
              </w:rPr>
            </w:pPr>
          </w:p>
        </w:tc>
        <w:tc>
          <w:tcPr>
            <w:tcW w:w="1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3～5</w:t>
            </w:r>
          </w:p>
        </w:tc>
        <w:tc>
          <w:tcPr>
            <w:tcW w:w="987" w:type="dxa"/>
            <w:vAlign w:val="center"/>
          </w:tcPr>
          <w:p>
            <w:pPr>
              <w:wordWrap w:val="0"/>
              <w:spacing w:line="360" w:lineRule="auto"/>
              <w:jc w:val="center"/>
              <w:rPr>
                <w:rFonts w:eastAsiaTheme="minorEastAsia"/>
                <w:color w:val="000000" w:themeColor="text1"/>
                <w:sz w:val="28"/>
                <w:szCs w:val="28"/>
              </w:rPr>
            </w:pPr>
          </w:p>
        </w:tc>
        <w:tc>
          <w:tcPr>
            <w:tcW w:w="1103" w:type="dxa"/>
            <w:vAlign w:val="center"/>
          </w:tcPr>
          <w:p>
            <w:pPr>
              <w:wordWrap w:val="0"/>
              <w:spacing w:line="360" w:lineRule="auto"/>
              <w:jc w:val="center"/>
              <w:rPr>
                <w:rFonts w:eastAsiaTheme="minorEastAsia"/>
                <w:color w:val="000000" w:themeColor="text1"/>
                <w:sz w:val="28"/>
                <w:szCs w:val="28"/>
              </w:rPr>
            </w:pPr>
          </w:p>
        </w:tc>
        <w:tc>
          <w:tcPr>
            <w:tcW w:w="184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16.9m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·h)～44.6m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w:t>
            </w:r>
          </w:p>
        </w:tc>
        <w:tc>
          <w:tcPr>
            <w:tcW w:w="2452" w:type="dxa"/>
            <w:vAlign w:val="center"/>
          </w:tcPr>
          <w:p>
            <w:pPr>
              <w:wordWrap w:val="0"/>
              <w:spacing w:line="360" w:lineRule="auto"/>
              <w:jc w:val="center"/>
              <w:rPr>
                <w:rFonts w:eastAsiaTheme="minorEastAsia"/>
                <w:color w:val="000000" w:themeColor="text1"/>
                <w:sz w:val="28"/>
                <w:szCs w:val="28"/>
              </w:rPr>
            </w:pPr>
          </w:p>
        </w:tc>
        <w:tc>
          <w:tcPr>
            <w:tcW w:w="2690" w:type="dxa"/>
            <w:vAlign w:val="center"/>
          </w:tcPr>
          <w:p>
            <w:pPr>
              <w:wordWrap w:val="0"/>
              <w:spacing w:line="360" w:lineRule="auto"/>
              <w:jc w:val="center"/>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1" w:hRule="atLeast"/>
        </w:trPr>
        <w:tc>
          <w:tcPr>
            <w:tcW w:w="205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日本指南</w:t>
            </w:r>
          </w:p>
        </w:tc>
        <w:tc>
          <w:tcPr>
            <w:tcW w:w="1393" w:type="dxa"/>
            <w:vAlign w:val="center"/>
          </w:tcPr>
          <w:p>
            <w:pPr>
              <w:wordWrap w:val="0"/>
              <w:spacing w:line="360" w:lineRule="auto"/>
              <w:jc w:val="center"/>
              <w:rPr>
                <w:rFonts w:eastAsiaTheme="minorEastAsia"/>
                <w:color w:val="000000" w:themeColor="text1"/>
                <w:sz w:val="28"/>
                <w:szCs w:val="28"/>
              </w:rPr>
            </w:pPr>
          </w:p>
        </w:tc>
        <w:tc>
          <w:tcPr>
            <w:tcW w:w="1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1～2</w:t>
            </w:r>
          </w:p>
        </w:tc>
        <w:tc>
          <w:tcPr>
            <w:tcW w:w="9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2～3</w:t>
            </w:r>
          </w:p>
        </w:tc>
        <w:tc>
          <w:tcPr>
            <w:tcW w:w="1103" w:type="dxa"/>
            <w:vAlign w:val="center"/>
          </w:tcPr>
          <w:p>
            <w:pPr>
              <w:wordWrap w:val="0"/>
              <w:spacing w:line="360" w:lineRule="auto"/>
              <w:jc w:val="center"/>
              <w:rPr>
                <w:rFonts w:eastAsiaTheme="minorEastAsia"/>
                <w:color w:val="000000" w:themeColor="text1"/>
                <w:sz w:val="28"/>
                <w:szCs w:val="28"/>
              </w:rPr>
            </w:pPr>
          </w:p>
        </w:tc>
        <w:tc>
          <w:tcPr>
            <w:tcW w:w="184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～0.2m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3</w:t>
            </w:r>
          </w:p>
        </w:tc>
        <w:tc>
          <w:tcPr>
            <w:tcW w:w="2452" w:type="dxa"/>
            <w:vAlign w:val="center"/>
          </w:tcPr>
          <w:p>
            <w:pPr>
              <w:wordWrap w:val="0"/>
              <w:spacing w:line="360" w:lineRule="auto"/>
              <w:jc w:val="center"/>
              <w:rPr>
                <w:rFonts w:eastAsiaTheme="minorEastAsia"/>
                <w:color w:val="000000" w:themeColor="text1"/>
                <w:sz w:val="28"/>
                <w:szCs w:val="28"/>
              </w:rPr>
            </w:pPr>
          </w:p>
        </w:tc>
        <w:tc>
          <w:tcPr>
            <w:tcW w:w="2690" w:type="dxa"/>
            <w:vAlign w:val="center"/>
          </w:tcPr>
          <w:p>
            <w:pPr>
              <w:wordWrap w:val="0"/>
              <w:spacing w:line="360" w:lineRule="auto"/>
              <w:jc w:val="center"/>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68" w:hRule="atLeast"/>
        </w:trPr>
        <w:tc>
          <w:tcPr>
            <w:tcW w:w="205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本标准</w:t>
            </w:r>
          </w:p>
        </w:tc>
        <w:tc>
          <w:tcPr>
            <w:tcW w:w="139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0.1</w:t>
            </w:r>
          </w:p>
        </w:tc>
        <w:tc>
          <w:tcPr>
            <w:tcW w:w="165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&gt;5</w:t>
            </w:r>
          </w:p>
        </w:tc>
        <w:tc>
          <w:tcPr>
            <w:tcW w:w="9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2～3</w:t>
            </w:r>
          </w:p>
        </w:tc>
        <w:tc>
          <w:tcPr>
            <w:tcW w:w="110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1～1.5</w:t>
            </w:r>
          </w:p>
        </w:tc>
        <w:tc>
          <w:tcPr>
            <w:tcW w:w="184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0.1m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～0.2m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3</w:t>
            </w:r>
          </w:p>
        </w:tc>
        <w:tc>
          <w:tcPr>
            <w:tcW w:w="245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应与池中旋流方向一致</w:t>
            </w:r>
          </w:p>
        </w:tc>
        <w:tc>
          <w:tcPr>
            <w:tcW w:w="269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应与进水方向垂直，并宜设置挡板</w:t>
            </w:r>
          </w:p>
        </w:tc>
      </w:tr>
    </w:tbl>
    <w:p>
      <w:pPr>
        <w:widowControl/>
        <w:wordWrap w:val="0"/>
        <w:jc w:val="left"/>
        <w:rPr>
          <w:rFonts w:eastAsiaTheme="minorEastAsia"/>
          <w:color w:val="000000" w:themeColor="text1"/>
          <w:sz w:val="28"/>
          <w:szCs w:val="28"/>
        </w:rPr>
        <w:sectPr>
          <w:pgSz w:w="16838" w:h="11906" w:orient="landscape"/>
          <w:pgMar w:top="1797" w:right="1440" w:bottom="1797" w:left="1440" w:header="851" w:footer="992" w:gutter="0"/>
          <w:cols w:space="425" w:num="1"/>
          <w:docGrid w:type="lines" w:linePitch="312" w:charSpace="0"/>
        </w:sectPr>
      </w:pP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为避免污水中的油类物质对生物反应系统的影响，保证油类物质的去除效果，宜将除砂和撇油除渣功能区分隔，并配套设置撇渣和除油设备。</w:t>
      </w:r>
    </w:p>
    <w:p>
      <w:pPr>
        <w:pStyle w:val="30"/>
        <w:numPr>
          <w:ilvl w:val="0"/>
          <w:numId w:val="3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旋流沉砂池的设计，应符合下列规定：</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最高时流量的停留时间不应小于30s；</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设计水力表面负荷宜为150m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∙h)～200m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有效水深宜为1.0m～2.0m，池径与池深比宜为2.0～2.5；</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池中应设立式桨叶分离机。</w:t>
      </w:r>
    </w:p>
    <w:p>
      <w:pPr>
        <w:wordWrap w:val="0"/>
        <w:rPr>
          <w:rFonts w:eastAsiaTheme="minorEastAsia"/>
          <w:color w:val="000000" w:themeColor="text1"/>
          <w:sz w:val="28"/>
          <w:szCs w:val="28"/>
        </w:rPr>
      </w:pPr>
      <w:r>
        <w:rPr>
          <w:rFonts w:eastAsiaTheme="minorEastAsia"/>
          <w:color w:val="000000" w:themeColor="text1"/>
          <w:sz w:val="28"/>
          <w:szCs w:val="28"/>
        </w:rPr>
        <w:t>【条文说明】本条是根据国内的实践数据，参照国外资料而定。</w:t>
      </w:r>
    </w:p>
    <w:p>
      <w:pPr>
        <w:pStyle w:val="30"/>
        <w:numPr>
          <w:ilvl w:val="0"/>
          <w:numId w:val="3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污水的沉砂量，可按每立方米污水0.03L计算；合流制污水的沉砂量应根据实际情况确定。</w:t>
      </w:r>
    </w:p>
    <w:p>
      <w:pPr>
        <w:wordWrap w:val="0"/>
        <w:rPr>
          <w:rFonts w:eastAsiaTheme="minorEastAsia"/>
          <w:color w:val="000000" w:themeColor="text1"/>
          <w:sz w:val="28"/>
          <w:szCs w:val="28"/>
        </w:rPr>
      </w:pPr>
      <w:r>
        <w:rPr>
          <w:rFonts w:eastAsiaTheme="minorEastAsia"/>
          <w:color w:val="000000" w:themeColor="text1"/>
          <w:sz w:val="28"/>
          <w:szCs w:val="28"/>
        </w:rPr>
        <w:t>【条文说明】污水的沉砂量，根据北京、上海、青岛等城市的实践数据，分别为：0.02L/m</w:t>
      </w:r>
      <w:r>
        <w:rPr>
          <w:rFonts w:eastAsiaTheme="minorEastAsia"/>
          <w:color w:val="000000" w:themeColor="text1"/>
          <w:sz w:val="28"/>
          <w:szCs w:val="28"/>
          <w:vertAlign w:val="superscript"/>
        </w:rPr>
        <w:t>3</w:t>
      </w:r>
      <w:r>
        <w:rPr>
          <w:rFonts w:eastAsiaTheme="minorEastAsia"/>
          <w:color w:val="000000" w:themeColor="text1"/>
          <w:sz w:val="28"/>
          <w:szCs w:val="28"/>
        </w:rPr>
        <w:t>、0.02L/m</w:t>
      </w:r>
      <w:r>
        <w:rPr>
          <w:rFonts w:eastAsiaTheme="minorEastAsia"/>
          <w:color w:val="000000" w:themeColor="text1"/>
          <w:sz w:val="28"/>
          <w:szCs w:val="28"/>
          <w:vertAlign w:val="superscript"/>
        </w:rPr>
        <w:t>3</w:t>
      </w:r>
      <w:r>
        <w:rPr>
          <w:rFonts w:eastAsiaTheme="minorEastAsia"/>
          <w:color w:val="000000" w:themeColor="text1"/>
          <w:sz w:val="28"/>
          <w:szCs w:val="28"/>
        </w:rPr>
        <w:t>、0.11L/m</w:t>
      </w:r>
      <w:r>
        <w:rPr>
          <w:rFonts w:eastAsiaTheme="minorEastAsia"/>
          <w:color w:val="000000" w:themeColor="text1"/>
          <w:sz w:val="28"/>
          <w:szCs w:val="28"/>
          <w:vertAlign w:val="superscript"/>
        </w:rPr>
        <w:t>3</w:t>
      </w:r>
      <w:r>
        <w:rPr>
          <w:rFonts w:eastAsiaTheme="minorEastAsia"/>
          <w:color w:val="000000" w:themeColor="text1"/>
          <w:sz w:val="28"/>
          <w:szCs w:val="28"/>
        </w:rPr>
        <w:t>，污水沉砂量的含水率为60%，密度为1500kg/m</w:t>
      </w:r>
      <w:r>
        <w:rPr>
          <w:rFonts w:eastAsiaTheme="minorEastAsia"/>
          <w:color w:val="000000" w:themeColor="text1"/>
          <w:sz w:val="28"/>
          <w:szCs w:val="28"/>
          <w:vertAlign w:val="superscript"/>
        </w:rPr>
        <w:t>3</w:t>
      </w:r>
      <w:r>
        <w:rPr>
          <w:rFonts w:eastAsiaTheme="minorEastAsia"/>
          <w:color w:val="000000" w:themeColor="text1"/>
          <w:sz w:val="28"/>
          <w:szCs w:val="28"/>
        </w:rPr>
        <w:t>。参照国外资料，本条规定沉砂量为0.03L/m</w:t>
      </w:r>
      <w:r>
        <w:rPr>
          <w:rFonts w:eastAsiaTheme="minorEastAsia"/>
          <w:color w:val="000000" w:themeColor="text1"/>
          <w:sz w:val="28"/>
          <w:szCs w:val="28"/>
          <w:vertAlign w:val="superscript"/>
        </w:rPr>
        <w:t>3</w:t>
      </w:r>
      <w:r>
        <w:rPr>
          <w:rFonts w:eastAsiaTheme="minorEastAsia"/>
          <w:color w:val="000000" w:themeColor="text1"/>
          <w:sz w:val="28"/>
          <w:szCs w:val="28"/>
        </w:rPr>
        <w:t>，国外资料见表14。</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表14 各国沉砂量情况</w:t>
      </w:r>
    </w:p>
    <w:tbl>
      <w:tblPr>
        <w:tblStyle w:val="25"/>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76"/>
        <w:gridCol w:w="2130"/>
        <w:gridCol w:w="2131"/>
        <w:gridCol w:w="1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资料来源</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单位</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数值</w:t>
            </w:r>
          </w:p>
        </w:tc>
        <w:tc>
          <w:tcPr>
            <w:tcW w:w="19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日本指南</w:t>
            </w:r>
          </w:p>
        </w:tc>
        <w:tc>
          <w:tcPr>
            <w:tcW w:w="2130"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L/m</w:t>
            </w:r>
            <w:r>
              <w:rPr>
                <w:rFonts w:eastAsiaTheme="minorEastAsia"/>
                <w:color w:val="000000" w:themeColor="text1"/>
                <w:sz w:val="28"/>
                <w:szCs w:val="28"/>
                <w:vertAlign w:val="superscript"/>
              </w:rPr>
              <w:t>3</w:t>
            </w:r>
            <w:r>
              <w:rPr>
                <w:rFonts w:eastAsiaTheme="minorEastAsia"/>
                <w:color w:val="000000" w:themeColor="text1"/>
                <w:sz w:val="28"/>
                <w:szCs w:val="28"/>
              </w:rPr>
              <w:t>（污水）</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0.0005～0.05</w:t>
            </w:r>
          </w:p>
        </w:tc>
        <w:tc>
          <w:tcPr>
            <w:tcW w:w="19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分流制污水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Merge w:val="continue"/>
            <w:vAlign w:val="center"/>
          </w:tcPr>
          <w:p>
            <w:pPr>
              <w:wordWrap w:val="0"/>
              <w:spacing w:line="360" w:lineRule="auto"/>
              <w:jc w:val="center"/>
              <w:rPr>
                <w:rFonts w:eastAsiaTheme="minorEastAsia"/>
                <w:color w:val="000000" w:themeColor="text1"/>
                <w:sz w:val="28"/>
                <w:szCs w:val="28"/>
              </w:rPr>
            </w:pPr>
          </w:p>
        </w:tc>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0.005～0.05</w:t>
            </w:r>
          </w:p>
        </w:tc>
        <w:tc>
          <w:tcPr>
            <w:tcW w:w="19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分流制雨水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376" w:type="dxa"/>
            <w:vMerge w:val="continue"/>
            <w:vAlign w:val="center"/>
          </w:tcPr>
          <w:p>
            <w:pPr>
              <w:wordWrap w:val="0"/>
              <w:spacing w:line="360" w:lineRule="auto"/>
              <w:jc w:val="center"/>
              <w:rPr>
                <w:rFonts w:eastAsiaTheme="minorEastAsia"/>
                <w:color w:val="000000" w:themeColor="text1"/>
                <w:sz w:val="28"/>
                <w:szCs w:val="28"/>
              </w:rPr>
            </w:pPr>
          </w:p>
        </w:tc>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0.001～0.05</w:t>
            </w:r>
          </w:p>
        </w:tc>
        <w:tc>
          <w:tcPr>
            <w:tcW w:w="19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合流制污水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美国污水厂手册</w:t>
            </w:r>
          </w:p>
        </w:tc>
        <w:tc>
          <w:tcPr>
            <w:tcW w:w="2130"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L/m</w:t>
            </w:r>
            <w:r>
              <w:rPr>
                <w:rFonts w:eastAsiaTheme="minorEastAsia"/>
                <w:color w:val="000000" w:themeColor="text1"/>
                <w:sz w:val="28"/>
                <w:szCs w:val="28"/>
                <w:vertAlign w:val="superscript"/>
              </w:rPr>
              <w:t>3</w:t>
            </w:r>
            <w:r>
              <w:rPr>
                <w:rFonts w:eastAsiaTheme="minorEastAsia"/>
                <w:color w:val="000000" w:themeColor="text1"/>
                <w:sz w:val="28"/>
                <w:szCs w:val="28"/>
              </w:rPr>
              <w:t>（污水）</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L/(人·d)</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0.004～0.037</w:t>
            </w:r>
          </w:p>
        </w:tc>
        <w:tc>
          <w:tcPr>
            <w:tcW w:w="19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合流制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Merge w:val="continue"/>
            <w:vAlign w:val="center"/>
          </w:tcPr>
          <w:p>
            <w:pPr>
              <w:wordWrap w:val="0"/>
              <w:spacing w:line="360" w:lineRule="auto"/>
              <w:jc w:val="center"/>
              <w:rPr>
                <w:rFonts w:eastAsiaTheme="minorEastAsia"/>
                <w:color w:val="000000" w:themeColor="text1"/>
                <w:sz w:val="28"/>
                <w:szCs w:val="28"/>
              </w:rPr>
            </w:pPr>
          </w:p>
        </w:tc>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0.004～0.018</w:t>
            </w:r>
          </w:p>
        </w:tc>
        <w:tc>
          <w:tcPr>
            <w:tcW w:w="19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合流制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center"/>
          </w:tcPr>
          <w:p>
            <w:pPr>
              <w:wordWrap w:val="0"/>
              <w:spacing w:line="360" w:lineRule="auto"/>
              <w:jc w:val="center"/>
              <w:rPr>
                <w:rFonts w:eastAsiaTheme="minorEastAsia"/>
                <w:color w:val="000000" w:themeColor="text1"/>
                <w:sz w:val="28"/>
                <w:szCs w:val="28"/>
              </w:rPr>
            </w:pPr>
          </w:p>
        </w:tc>
        <w:tc>
          <w:tcPr>
            <w:tcW w:w="2130" w:type="dxa"/>
            <w:vAlign w:val="center"/>
          </w:tcPr>
          <w:p>
            <w:pPr>
              <w:wordWrap w:val="0"/>
              <w:spacing w:line="360" w:lineRule="auto"/>
              <w:jc w:val="center"/>
              <w:rPr>
                <w:rFonts w:eastAsiaTheme="minorEastAsia"/>
                <w:color w:val="000000" w:themeColor="text1"/>
                <w:sz w:val="28"/>
                <w:szCs w:val="28"/>
              </w:rPr>
            </w:pPr>
          </w:p>
        </w:tc>
        <w:tc>
          <w:tcPr>
            <w:tcW w:w="2131" w:type="dxa"/>
            <w:vAlign w:val="center"/>
          </w:tcPr>
          <w:p>
            <w:pPr>
              <w:wordWrap w:val="0"/>
              <w:spacing w:line="360" w:lineRule="auto"/>
              <w:jc w:val="center"/>
              <w:rPr>
                <w:rFonts w:eastAsiaTheme="minorEastAsia"/>
                <w:color w:val="000000" w:themeColor="text1"/>
                <w:sz w:val="28"/>
                <w:szCs w:val="28"/>
              </w:rPr>
            </w:pPr>
          </w:p>
        </w:tc>
        <w:tc>
          <w:tcPr>
            <w:tcW w:w="1976" w:type="dxa"/>
            <w:vAlign w:val="center"/>
          </w:tcPr>
          <w:p>
            <w:pPr>
              <w:wordWrap w:val="0"/>
              <w:spacing w:line="360" w:lineRule="auto"/>
              <w:jc w:val="center"/>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376"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德国ATV</w:t>
            </w:r>
          </w:p>
        </w:tc>
        <w:tc>
          <w:tcPr>
            <w:tcW w:w="2130"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L/（人·年）</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0.02～0.2</w:t>
            </w:r>
          </w:p>
        </w:tc>
        <w:tc>
          <w:tcPr>
            <w:tcW w:w="19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年平均0.06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Merge w:val="continue"/>
            <w:vAlign w:val="center"/>
          </w:tcPr>
          <w:p>
            <w:pPr>
              <w:wordWrap w:val="0"/>
              <w:spacing w:line="360" w:lineRule="auto"/>
              <w:jc w:val="center"/>
              <w:rPr>
                <w:rFonts w:eastAsiaTheme="minorEastAsia"/>
                <w:color w:val="000000" w:themeColor="text1"/>
                <w:sz w:val="28"/>
                <w:szCs w:val="28"/>
              </w:rPr>
            </w:pPr>
          </w:p>
        </w:tc>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w:t>
            </w:r>
          </w:p>
        </w:tc>
        <w:tc>
          <w:tcPr>
            <w:tcW w:w="1976" w:type="dxa"/>
            <w:vAlign w:val="center"/>
          </w:tcPr>
          <w:p>
            <w:pPr>
              <w:wordWrap w:val="0"/>
              <w:spacing w:line="360" w:lineRule="auto"/>
              <w:jc w:val="center"/>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本标准</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L/m</w:t>
            </w:r>
            <w:r>
              <w:rPr>
                <w:rFonts w:eastAsiaTheme="minorEastAsia"/>
                <w:color w:val="000000" w:themeColor="text1"/>
                <w:sz w:val="28"/>
                <w:szCs w:val="28"/>
                <w:vertAlign w:val="superscript"/>
              </w:rPr>
              <w:t>3</w:t>
            </w:r>
            <w:r>
              <w:rPr>
                <w:rFonts w:eastAsiaTheme="minorEastAsia"/>
                <w:color w:val="000000" w:themeColor="text1"/>
                <w:sz w:val="28"/>
                <w:szCs w:val="28"/>
              </w:rPr>
              <w:t>（污水）</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0.03</w:t>
            </w:r>
          </w:p>
        </w:tc>
        <w:tc>
          <w:tcPr>
            <w:tcW w:w="1976" w:type="dxa"/>
            <w:vAlign w:val="center"/>
          </w:tcPr>
          <w:p>
            <w:pPr>
              <w:wordWrap w:val="0"/>
              <w:spacing w:line="360" w:lineRule="auto"/>
              <w:jc w:val="center"/>
              <w:rPr>
                <w:rFonts w:eastAsiaTheme="minorEastAsia"/>
                <w:color w:val="000000" w:themeColor="text1"/>
                <w:sz w:val="28"/>
                <w:szCs w:val="28"/>
              </w:rPr>
            </w:pPr>
          </w:p>
        </w:tc>
      </w:tr>
    </w:tbl>
    <w:p>
      <w:pPr>
        <w:pStyle w:val="30"/>
        <w:numPr>
          <w:ilvl w:val="0"/>
          <w:numId w:val="3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砂斗容积不应大于2d的沉砂量，采用重力排砂时，砂斗斗壁与水平面的倾角不应小于55°。</w:t>
      </w:r>
    </w:p>
    <w:p>
      <w:pPr>
        <w:wordWrap w:val="0"/>
        <w:rPr>
          <w:rFonts w:eastAsiaTheme="minorEastAsia"/>
          <w:color w:val="000000" w:themeColor="text1"/>
          <w:sz w:val="28"/>
          <w:szCs w:val="28"/>
        </w:rPr>
      </w:pPr>
      <w:r>
        <w:rPr>
          <w:rFonts w:eastAsiaTheme="minorEastAsia"/>
          <w:color w:val="000000" w:themeColor="text1"/>
          <w:sz w:val="28"/>
          <w:szCs w:val="28"/>
        </w:rPr>
        <w:t>【条文说明】根据国内沉砂池的运行经验，砂斗容积一般不超过2d的沉砂量；当采用重力排砂时，砂斗壁倾角不应小于55°，国外也有类似规定。</w:t>
      </w:r>
    </w:p>
    <w:p>
      <w:pPr>
        <w:pStyle w:val="30"/>
        <w:numPr>
          <w:ilvl w:val="0"/>
          <w:numId w:val="3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沉砂池除砂宜采用机械方法，并经砂水分离后贮存或外运。采用人工排砂时，排砂管直径不应小于200mm。排砂管应考虑防堵塞措施。</w:t>
      </w:r>
    </w:p>
    <w:p>
      <w:pPr>
        <w:wordWrap w:val="0"/>
        <w:rPr>
          <w:rFonts w:eastAsiaTheme="minorEastAsia"/>
          <w:color w:val="000000" w:themeColor="text1"/>
          <w:sz w:val="28"/>
          <w:szCs w:val="28"/>
        </w:rPr>
      </w:pPr>
      <w:r>
        <w:rPr>
          <w:rFonts w:eastAsiaTheme="minorEastAsia"/>
          <w:color w:val="000000" w:themeColor="text1"/>
          <w:sz w:val="28"/>
          <w:szCs w:val="28"/>
        </w:rPr>
        <w:t>【条文说明】从国内外的实践经验表明，沉砂池的除砂一般采用砂泵或空气提升泵等机械方法，沉砂经砂水分离后，干砂在贮砂池或晒砂场贮存或直接装车外运。由于排砂的不连续性，重力或机械排砂方法均会发生排砂管堵塞现象，在设计中应考虑水力冲洗等防堵塞措施。考虑到排砂管易堵，规定人工排砂时，排砂管直径不应小于200mm。</w:t>
      </w:r>
    </w:p>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46" w:name="_Toc515281059"/>
      <w:r>
        <w:rPr>
          <w:rFonts w:ascii="Times New Roman" w:hAnsi="Times New Roman" w:eastAsiaTheme="minorEastAsia"/>
          <w:b w:val="0"/>
          <w:color w:val="000000" w:themeColor="text1"/>
          <w:sz w:val="28"/>
          <w:szCs w:val="28"/>
        </w:rPr>
        <w:t>沉淀池</w:t>
      </w:r>
      <w:bookmarkEnd w:id="46"/>
    </w:p>
    <w:p>
      <w:pPr>
        <w:widowControl/>
        <w:wordWrap w:val="0"/>
        <w:jc w:val="center"/>
        <w:rPr>
          <w:rFonts w:eastAsiaTheme="minorEastAsia"/>
          <w:color w:val="000000" w:themeColor="text1"/>
          <w:sz w:val="28"/>
          <w:szCs w:val="28"/>
        </w:rPr>
      </w:pPr>
      <w:r>
        <w:rPr>
          <w:rFonts w:eastAsiaTheme="minorEastAsia"/>
          <w:color w:val="000000" w:themeColor="text1"/>
          <w:sz w:val="28"/>
          <w:szCs w:val="28"/>
        </w:rPr>
        <w:t>I 一般规定</w:t>
      </w:r>
    </w:p>
    <w:p>
      <w:pPr>
        <w:pStyle w:val="30"/>
        <w:numPr>
          <w:ilvl w:val="0"/>
          <w:numId w:val="3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沉淀池的设计数据宜按本标准表7.5.1的规定取值。合建式完全混合生物反应池沉淀区的表面水力负荷宜按本标准第7.</w:t>
      </w:r>
      <w:r>
        <w:rPr>
          <w:rFonts w:hint="eastAsia" w:ascii="Times New Roman" w:hAnsi="Times New Roman" w:eastAsiaTheme="minorEastAsia"/>
          <w:color w:val="000000" w:themeColor="text1"/>
          <w:sz w:val="28"/>
          <w:szCs w:val="28"/>
        </w:rPr>
        <w:t>6</w:t>
      </w:r>
      <w:r>
        <w:rPr>
          <w:rFonts w:ascii="Times New Roman" w:hAnsi="Times New Roman" w:eastAsiaTheme="minorEastAsia"/>
          <w:color w:val="000000" w:themeColor="text1"/>
          <w:sz w:val="28"/>
          <w:szCs w:val="28"/>
        </w:rPr>
        <w:t>.</w:t>
      </w:r>
      <w:commentRangeStart w:id="4"/>
      <w:r>
        <w:rPr>
          <w:rFonts w:ascii="Times New Roman" w:hAnsi="Times New Roman" w:eastAsiaTheme="minorEastAsia"/>
          <w:color w:val="000000" w:themeColor="text1"/>
          <w:sz w:val="28"/>
          <w:szCs w:val="28"/>
        </w:rPr>
        <w:t>1</w:t>
      </w:r>
      <w:r>
        <w:rPr>
          <w:rFonts w:hint="eastAsia" w:ascii="Times New Roman" w:hAnsi="Times New Roman" w:eastAsiaTheme="minorEastAsia"/>
          <w:color w:val="000000" w:themeColor="text1"/>
          <w:sz w:val="28"/>
          <w:szCs w:val="28"/>
        </w:rPr>
        <w:t>5</w:t>
      </w:r>
      <w:commentRangeEnd w:id="4"/>
      <w:r>
        <w:rPr>
          <w:rStyle w:val="24"/>
          <w:rFonts w:ascii="Times New Roman" w:hAnsi="Times New Roman"/>
        </w:rPr>
        <w:commentReference w:id="4"/>
      </w:r>
      <w:r>
        <w:rPr>
          <w:rFonts w:ascii="Times New Roman" w:hAnsi="Times New Roman" w:eastAsiaTheme="minorEastAsia"/>
          <w:color w:val="000000" w:themeColor="text1"/>
          <w:sz w:val="28"/>
          <w:szCs w:val="28"/>
        </w:rPr>
        <w:t>条的规定取值。</w:t>
      </w:r>
    </w:p>
    <w:p>
      <w:pPr>
        <w:widowControl/>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表7.5.1  沉淀池设计数据</w:t>
      </w:r>
    </w:p>
    <w:tbl>
      <w:tblPr>
        <w:tblStyle w:val="25"/>
        <w:tblW w:w="8374"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06"/>
        <w:gridCol w:w="1560"/>
        <w:gridCol w:w="992"/>
        <w:gridCol w:w="1417"/>
        <w:gridCol w:w="1134"/>
        <w:gridCol w:w="1010"/>
        <w:gridCol w:w="12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50" w:hRule="atLeast"/>
          <w:jc w:val="center"/>
        </w:trPr>
        <w:tc>
          <w:tcPr>
            <w:tcW w:w="2566"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沉淀池类型</w:t>
            </w:r>
          </w:p>
        </w:tc>
        <w:tc>
          <w:tcPr>
            <w:tcW w:w="99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沉淀</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时间</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（h）</w:t>
            </w:r>
          </w:p>
        </w:tc>
        <w:tc>
          <w:tcPr>
            <w:tcW w:w="141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表面</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水力负荷</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每人每日</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污泥量</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（g/人·d）</w:t>
            </w:r>
          </w:p>
        </w:tc>
        <w:tc>
          <w:tcPr>
            <w:tcW w:w="101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含水率</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125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固体负荷</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[kg/（m</w:t>
            </w:r>
            <w:r>
              <w:rPr>
                <w:rFonts w:eastAsiaTheme="minorEastAsia"/>
                <w:color w:val="000000" w:themeColor="text1"/>
                <w:sz w:val="28"/>
                <w:szCs w:val="28"/>
                <w:vertAlign w:val="superscript"/>
              </w:rPr>
              <w:t>2</w:t>
            </w:r>
            <w:r>
              <w:rPr>
                <w:rFonts w:eastAsiaTheme="minorEastAsia"/>
                <w:color w:val="000000" w:themeColor="text1"/>
                <w:sz w:val="28"/>
                <w:szCs w:val="28"/>
              </w:rPr>
              <w:t>·d）]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05" w:hRule="atLeast"/>
          <w:jc w:val="center"/>
        </w:trPr>
        <w:tc>
          <w:tcPr>
            <w:tcW w:w="2566"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初次沉淀池</w:t>
            </w:r>
          </w:p>
        </w:tc>
        <w:tc>
          <w:tcPr>
            <w:tcW w:w="99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0.5~2.0</w:t>
            </w:r>
          </w:p>
        </w:tc>
        <w:tc>
          <w:tcPr>
            <w:tcW w:w="141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1.5~4.5</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16~36</w:t>
            </w:r>
          </w:p>
        </w:tc>
        <w:tc>
          <w:tcPr>
            <w:tcW w:w="101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95~97</w:t>
            </w:r>
          </w:p>
        </w:tc>
        <w:tc>
          <w:tcPr>
            <w:tcW w:w="125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90" w:hRule="atLeast"/>
          <w:jc w:val="center"/>
        </w:trPr>
        <w:tc>
          <w:tcPr>
            <w:tcW w:w="1006" w:type="dxa"/>
            <w:vMerge w:val="restart"/>
            <w:vAlign w:val="center"/>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二次</w:t>
            </w:r>
          </w:p>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沉淀池</w:t>
            </w:r>
          </w:p>
        </w:tc>
        <w:tc>
          <w:tcPr>
            <w:tcW w:w="1560" w:type="dxa"/>
            <w:vAlign w:val="center"/>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生物膜法后</w:t>
            </w:r>
          </w:p>
        </w:tc>
        <w:tc>
          <w:tcPr>
            <w:tcW w:w="99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1.5~4.0</w:t>
            </w:r>
          </w:p>
        </w:tc>
        <w:tc>
          <w:tcPr>
            <w:tcW w:w="141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1.0~2.0</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10~26</w:t>
            </w:r>
          </w:p>
        </w:tc>
        <w:tc>
          <w:tcPr>
            <w:tcW w:w="101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96~98</w:t>
            </w:r>
          </w:p>
        </w:tc>
        <w:tc>
          <w:tcPr>
            <w:tcW w:w="125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1006" w:type="dxa"/>
            <w:vMerge w:val="continue"/>
            <w:vAlign w:val="center"/>
          </w:tcPr>
          <w:p>
            <w:pPr>
              <w:wordWrap w:val="0"/>
              <w:spacing w:line="360" w:lineRule="auto"/>
              <w:jc w:val="center"/>
              <w:rPr>
                <w:rFonts w:eastAsiaTheme="minorEastAsia"/>
                <w:color w:val="000000" w:themeColor="text1"/>
                <w:sz w:val="28"/>
                <w:szCs w:val="28"/>
              </w:rPr>
            </w:pPr>
          </w:p>
        </w:tc>
        <w:tc>
          <w:tcPr>
            <w:tcW w:w="1560" w:type="dxa"/>
            <w:vAlign w:val="center"/>
          </w:tcPr>
          <w:p>
            <w:pPr>
              <w:wordWrap w:val="0"/>
              <w:spacing w:line="360" w:lineRule="auto"/>
              <w:jc w:val="center"/>
              <w:rPr>
                <w:rFonts w:eastAsiaTheme="minorEastAsia"/>
                <w:color w:val="000000" w:themeColor="text1"/>
                <w:spacing w:val="-4"/>
                <w:sz w:val="28"/>
                <w:szCs w:val="28"/>
              </w:rPr>
            </w:pPr>
            <w:r>
              <w:rPr>
                <w:rFonts w:eastAsiaTheme="minorEastAsia"/>
                <w:color w:val="000000" w:themeColor="text1"/>
                <w:spacing w:val="-4"/>
                <w:sz w:val="28"/>
                <w:szCs w:val="28"/>
              </w:rPr>
              <w:t>活性污泥法后</w:t>
            </w:r>
          </w:p>
        </w:tc>
        <w:tc>
          <w:tcPr>
            <w:tcW w:w="99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1.5~4.0</w:t>
            </w:r>
          </w:p>
        </w:tc>
        <w:tc>
          <w:tcPr>
            <w:tcW w:w="141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0.6~1.5</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12~32</w:t>
            </w:r>
          </w:p>
        </w:tc>
        <w:tc>
          <w:tcPr>
            <w:tcW w:w="101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99.2~99.6</w:t>
            </w:r>
          </w:p>
        </w:tc>
        <w:tc>
          <w:tcPr>
            <w:tcW w:w="125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≤150</w:t>
            </w:r>
          </w:p>
        </w:tc>
      </w:tr>
    </w:tbl>
    <w:p>
      <w:pPr>
        <w:wordWrap w:val="0"/>
        <w:ind w:left="840" w:hanging="840" w:hangingChars="300"/>
        <w:rPr>
          <w:rFonts w:eastAsiaTheme="minorEastAsia"/>
          <w:b/>
          <w:bCs/>
          <w:color w:val="000000" w:themeColor="text1"/>
          <w:sz w:val="28"/>
          <w:szCs w:val="28"/>
        </w:rPr>
      </w:pPr>
      <w:r>
        <w:rPr>
          <w:rFonts w:eastAsiaTheme="minorEastAsia"/>
          <w:color w:val="000000" w:themeColor="text1"/>
          <w:sz w:val="28"/>
          <w:szCs w:val="28"/>
        </w:rPr>
        <w:t>注：当二次沉淀池采用周边进水周边出水辐流沉淀池时，固体负荷不宜超过200kg/（m</w:t>
      </w:r>
      <w:r>
        <w:rPr>
          <w:rFonts w:eastAsiaTheme="minorEastAsia"/>
          <w:color w:val="000000" w:themeColor="text1"/>
          <w:sz w:val="28"/>
          <w:szCs w:val="28"/>
          <w:vertAlign w:val="superscript"/>
        </w:rPr>
        <w:t>2</w:t>
      </w:r>
      <w:r>
        <w:rPr>
          <w:rFonts w:eastAsiaTheme="minorEastAsia"/>
          <w:color w:val="000000" w:themeColor="text1"/>
          <w:sz w:val="28"/>
          <w:szCs w:val="28"/>
        </w:rPr>
        <w:t>·d）。</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为使用方便和易于比较，根据目前国内的实践经验并参照美国、日本等的资料，沉淀池以表面水力负荷为主要设计参数。按表面水力负荷设计沉淀池时，应校核固体负荷、沉淀时间和沉淀池各部分主要尺寸的关系，使之相互协调。表15为国外有关表面水力负荷和沉淀时间的取值范围。</w:t>
      </w:r>
    </w:p>
    <w:p>
      <w:pPr>
        <w:wordWrap w:val="0"/>
        <w:jc w:val="center"/>
        <w:rPr>
          <w:rFonts w:eastAsiaTheme="minorEastAsia"/>
          <w:b/>
          <w:color w:val="000000" w:themeColor="text1"/>
          <w:sz w:val="28"/>
          <w:szCs w:val="28"/>
        </w:rPr>
      </w:pPr>
      <w:r>
        <w:rPr>
          <w:rFonts w:eastAsiaTheme="minorEastAsia"/>
          <w:b/>
          <w:color w:val="000000" w:themeColor="text1"/>
          <w:sz w:val="28"/>
          <w:szCs w:val="28"/>
        </w:rPr>
        <w:t>表15</w:t>
      </w:r>
      <w:r>
        <w:rPr>
          <w:rFonts w:hint="eastAsia" w:eastAsiaTheme="minorEastAsia"/>
          <w:b/>
          <w:color w:val="000000" w:themeColor="text1"/>
          <w:sz w:val="28"/>
          <w:szCs w:val="28"/>
        </w:rPr>
        <w:t>国外有关</w:t>
      </w:r>
      <w:r>
        <w:rPr>
          <w:rFonts w:eastAsiaTheme="minorEastAsia"/>
          <w:b/>
          <w:color w:val="000000" w:themeColor="text1"/>
          <w:sz w:val="28"/>
          <w:szCs w:val="28"/>
        </w:rPr>
        <w:t>表面水力负荷和沉淀时间取值范围</w:t>
      </w:r>
    </w:p>
    <w:tbl>
      <w:tblPr>
        <w:tblStyle w:val="2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资料来源</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沉淀时间(h)</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表面水力负荷[m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·d)]</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日本指南</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35～70</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分流制初次沉淀池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0.5～3.0</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25～50</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合流制初次沉淀池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4.0～5.0</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20～30</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二次沉淀池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美国十州标准</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61～81</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初次沉淀池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≤49</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二次沉淀池（生物膜法）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33～49</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二次沉淀池（活性污泥法）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130"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德国ATV</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0.5～0.8</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2.5～4.0*</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化学沉淀池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0.5～1.0</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2.5～4.0*</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初次沉淀池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1.7～2.5</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0.8～1.5*</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二次沉淀池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本标准</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0.5~2.0</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1.5~4.5*</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初次沉淀池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1.5~4.0</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1.0~2.0*</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二次沉淀池（生物膜法）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1.5~4.0</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0.6~1.5*</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二次沉淀池（活性污泥法）</w:t>
            </w:r>
          </w:p>
        </w:tc>
      </w:tr>
    </w:tbl>
    <w:p>
      <w:pPr>
        <w:wordWrap w:val="0"/>
        <w:rPr>
          <w:rFonts w:eastAsiaTheme="minorEastAsia"/>
          <w:color w:val="000000" w:themeColor="text1"/>
          <w:sz w:val="28"/>
          <w:szCs w:val="28"/>
        </w:rPr>
      </w:pPr>
      <w:r>
        <w:rPr>
          <w:rFonts w:eastAsiaTheme="minorEastAsia"/>
          <w:color w:val="000000" w:themeColor="text1"/>
          <w:sz w:val="28"/>
          <w:szCs w:val="28"/>
        </w:rPr>
        <w:t xml:space="preserve">    注：*单位为m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按《城镇污水处理厂污染物排放标准》GB 18918要求，对排放的污水应进行脱氮除磷处理，为保证较高的脱氮除磷效果，初次沉淀池的处理效果不宜太高，以维持足够碳氮和碳磷的比例。当沉淀池的有效水深为2.0m～4.0m时，初次沉淀池的沉淀时间为0.5h～2.0h，其相应的表面水力负荷为1.5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·h)～4.5m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·h)；二次沉淀池活性污泥法后的沉淀时间为1.5h～4.0h，其相应的表面水力负荷为0.6m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·h)～1.5m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对于周边进水周边出水辐流沉淀池，由于其独特的水流特征，表面水力负荷较高，根据近年来国内各污水厂的实际运行资料，一般为1.1m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·h）~1.5m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·h），相应的固体负荷也较高，约为160kg/（m</w:t>
      </w:r>
      <w:r>
        <w:rPr>
          <w:rFonts w:eastAsiaTheme="minorEastAsia"/>
          <w:color w:val="000000" w:themeColor="text1"/>
          <w:sz w:val="28"/>
          <w:szCs w:val="28"/>
          <w:vertAlign w:val="superscript"/>
        </w:rPr>
        <w:t>2</w:t>
      </w:r>
      <w:r>
        <w:rPr>
          <w:rFonts w:eastAsiaTheme="minorEastAsia"/>
          <w:color w:val="000000" w:themeColor="text1"/>
          <w:sz w:val="28"/>
          <w:szCs w:val="28"/>
        </w:rPr>
        <w:t>·d）~200kg/（m</w:t>
      </w:r>
      <w:r>
        <w:rPr>
          <w:rFonts w:eastAsiaTheme="minorEastAsia"/>
          <w:color w:val="000000" w:themeColor="text1"/>
          <w:sz w:val="28"/>
          <w:szCs w:val="28"/>
          <w:vertAlign w:val="superscript"/>
        </w:rPr>
        <w:t>2</w:t>
      </w:r>
      <w:r>
        <w:rPr>
          <w:rFonts w:eastAsiaTheme="minorEastAsia"/>
          <w:color w:val="000000" w:themeColor="text1"/>
          <w:sz w:val="28"/>
          <w:szCs w:val="28"/>
        </w:rPr>
        <w:t>·d）。</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沉淀池的污泥量是根据每人每日SS和BOD</w:t>
      </w:r>
      <w:r>
        <w:rPr>
          <w:rFonts w:eastAsiaTheme="minorEastAsia"/>
          <w:color w:val="000000" w:themeColor="text1"/>
          <w:sz w:val="28"/>
          <w:szCs w:val="28"/>
          <w:vertAlign w:val="subscript"/>
        </w:rPr>
        <w:t>5</w:t>
      </w:r>
      <w:r>
        <w:rPr>
          <w:rFonts w:eastAsiaTheme="minorEastAsia"/>
          <w:color w:val="000000" w:themeColor="text1"/>
          <w:sz w:val="28"/>
          <w:szCs w:val="28"/>
        </w:rPr>
        <w:t>数值，按沉淀池沉淀效率经理论推算求得。</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污泥含水率，按国内污水厂的实践数据制定。</w:t>
      </w:r>
    </w:p>
    <w:p>
      <w:pPr>
        <w:pStyle w:val="30"/>
        <w:numPr>
          <w:ilvl w:val="0"/>
          <w:numId w:val="3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沉淀池的超高不应小于0.3m。</w:t>
      </w:r>
    </w:p>
    <w:p>
      <w:pPr>
        <w:wordWrap w:val="0"/>
        <w:rPr>
          <w:rFonts w:eastAsiaTheme="minorEastAsia"/>
          <w:color w:val="000000" w:themeColor="text1"/>
          <w:sz w:val="28"/>
          <w:szCs w:val="28"/>
        </w:rPr>
      </w:pPr>
      <w:r>
        <w:rPr>
          <w:rFonts w:eastAsiaTheme="minorEastAsia"/>
          <w:color w:val="000000" w:themeColor="text1"/>
          <w:sz w:val="28"/>
          <w:szCs w:val="28"/>
        </w:rPr>
        <w:t>【条文说明】沉淀池的超高按国内污水厂实践经验取0.3m～0.5m。</w:t>
      </w:r>
    </w:p>
    <w:p>
      <w:pPr>
        <w:pStyle w:val="30"/>
        <w:numPr>
          <w:ilvl w:val="0"/>
          <w:numId w:val="3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沉淀池的有效水深宜采用2.0</w:t>
      </w:r>
      <w:r>
        <w:rPr>
          <w:rFonts w:hint="eastAsia"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rPr>
        <w:t>～4.0m。</w:t>
      </w:r>
    </w:p>
    <w:p>
      <w:pPr>
        <w:wordWrap w:val="0"/>
        <w:rPr>
          <w:rFonts w:eastAsiaTheme="minorEastAsia"/>
          <w:color w:val="000000" w:themeColor="text1"/>
          <w:sz w:val="28"/>
          <w:szCs w:val="28"/>
        </w:rPr>
      </w:pPr>
      <w:r>
        <w:rPr>
          <w:rFonts w:eastAsiaTheme="minorEastAsia"/>
          <w:color w:val="000000" w:themeColor="text1"/>
          <w:sz w:val="28"/>
          <w:szCs w:val="28"/>
        </w:rPr>
        <w:t>【条文说明】沉淀池的沉淀效率由池的表面积决定，与池深无多大关系，因此宁可采用浅池。但实际上若水深过浅，则因水流会引起污泥的扰动，使污泥上浮。温度、风等外界影响也会使沉淀效率降低。若水池过深，会造成投资增加。有效水深一般以2.0m～4.0m为宜。</w:t>
      </w:r>
    </w:p>
    <w:p>
      <w:pPr>
        <w:pStyle w:val="30"/>
        <w:numPr>
          <w:ilvl w:val="0"/>
          <w:numId w:val="3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当采用污泥斗排泥时，每个污泥斗均应设单独的闸阀和排泥管。污泥斗的斜壁与水平面的倾角，方斗宜为60°，圆斗宜为55°。</w:t>
      </w:r>
    </w:p>
    <w:p>
      <w:pPr>
        <w:wordWrap w:val="0"/>
        <w:rPr>
          <w:rFonts w:eastAsiaTheme="minorEastAsia"/>
          <w:color w:val="000000" w:themeColor="text1"/>
          <w:sz w:val="28"/>
          <w:szCs w:val="28"/>
        </w:rPr>
      </w:pPr>
      <w:r>
        <w:rPr>
          <w:rFonts w:eastAsiaTheme="minorEastAsia"/>
          <w:color w:val="000000" w:themeColor="text1"/>
          <w:sz w:val="28"/>
          <w:szCs w:val="28"/>
        </w:rPr>
        <w:t>【条文说明】本条是根据国内实践经验制定，国外规范也有类似规定。每个泥斗分别设闸阀和排泥管，目的是便于控制排泥。</w:t>
      </w:r>
    </w:p>
    <w:p>
      <w:pPr>
        <w:pStyle w:val="30"/>
        <w:numPr>
          <w:ilvl w:val="0"/>
          <w:numId w:val="3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初次沉淀池的污泥区容积，除设机械排泥的宜按4h的污泥量计算外，</w:t>
      </w:r>
      <w:r>
        <w:rPr>
          <w:rFonts w:hint="eastAsia" w:ascii="Times New Roman" w:hAnsi="Times New Roman" w:eastAsiaTheme="minorEastAsia"/>
          <w:color w:val="000000" w:themeColor="text1"/>
          <w:sz w:val="28"/>
          <w:szCs w:val="28"/>
        </w:rPr>
        <w:t>其余</w:t>
      </w:r>
      <w:r>
        <w:rPr>
          <w:rFonts w:ascii="Times New Roman" w:hAnsi="Times New Roman" w:eastAsiaTheme="minorEastAsia"/>
          <w:color w:val="000000" w:themeColor="text1"/>
          <w:sz w:val="28"/>
          <w:szCs w:val="28"/>
        </w:rPr>
        <w:t>宜按不大于2d的污泥量计算。活性污泥法处理后的二次沉淀池污泥区容积，宜按不大于2h的污泥量计算，并应有连续排泥措施；生物膜法处理后的二次沉淀池污泥区容积，宜按4h的污泥量计算。</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【条文说明】本条是根据国内实践数据，并参照国外规范而制定。污泥区容积包括污泥斗和池底贮泥部分的容积。</w:t>
      </w:r>
    </w:p>
    <w:p>
      <w:pPr>
        <w:pStyle w:val="30"/>
        <w:numPr>
          <w:ilvl w:val="0"/>
          <w:numId w:val="3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排泥管的直径不应小于200mm。</w:t>
      </w:r>
    </w:p>
    <w:p>
      <w:pPr>
        <w:pStyle w:val="30"/>
        <w:numPr>
          <w:ilvl w:val="0"/>
          <w:numId w:val="3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当采用静水压力排泥时，初次沉淀池的静水头不应小于1.5m；二次沉淀池的静水头，生物膜法处理后不应小于1.2m，活性污泥法处理池后不应小于0.9m。</w:t>
      </w:r>
    </w:p>
    <w:p>
      <w:pPr>
        <w:wordWrap w:val="0"/>
        <w:rPr>
          <w:rFonts w:eastAsiaTheme="minorEastAsia"/>
          <w:color w:val="000000" w:themeColor="text1"/>
          <w:sz w:val="28"/>
          <w:szCs w:val="28"/>
        </w:rPr>
      </w:pPr>
      <w:r>
        <w:rPr>
          <w:rFonts w:eastAsiaTheme="minorEastAsia"/>
          <w:color w:val="000000" w:themeColor="text1"/>
          <w:sz w:val="28"/>
          <w:szCs w:val="28"/>
        </w:rPr>
        <w:t>【条文说明】本条是根据国内实践数据，并参照国外规范而制定。</w:t>
      </w:r>
    </w:p>
    <w:p>
      <w:pPr>
        <w:pStyle w:val="30"/>
        <w:numPr>
          <w:ilvl w:val="0"/>
          <w:numId w:val="3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初次沉淀池的出口堰最大负荷不宜大于2.9L/（s·m）；二次沉淀池的出水堰最大负荷不宜大于1.7L/（s·m），当二次沉淀池采用周边进水周边辐流沉淀池时，出水堰最大负荷可适当放大。</w:t>
      </w:r>
    </w:p>
    <w:p>
      <w:pPr>
        <w:wordWrap w:val="0"/>
        <w:rPr>
          <w:rFonts w:eastAsiaTheme="minorEastAsia"/>
          <w:color w:val="000000" w:themeColor="text1"/>
          <w:sz w:val="28"/>
          <w:szCs w:val="28"/>
        </w:rPr>
      </w:pPr>
      <w:r>
        <w:rPr>
          <w:rFonts w:eastAsiaTheme="minorEastAsia"/>
          <w:color w:val="000000" w:themeColor="text1"/>
          <w:sz w:val="28"/>
          <w:szCs w:val="28"/>
        </w:rPr>
        <w:t>【条文说明】参照国外资料，规定了出水堰最大负荷，各种类型的沉淀池都宜遵守。</w:t>
      </w:r>
    </w:p>
    <w:p>
      <w:pPr>
        <w:widowControl/>
        <w:wordWrap w:val="0"/>
        <w:ind w:firstLine="560" w:firstLineChars="200"/>
        <w:jc w:val="left"/>
        <w:rPr>
          <w:rFonts w:eastAsiaTheme="minorEastAsia"/>
          <w:color w:val="000000" w:themeColor="text1"/>
          <w:sz w:val="28"/>
          <w:szCs w:val="28"/>
        </w:rPr>
      </w:pPr>
      <w:r>
        <w:rPr>
          <w:rFonts w:eastAsiaTheme="minorEastAsia"/>
          <w:color w:val="000000" w:themeColor="text1"/>
          <w:sz w:val="28"/>
          <w:szCs w:val="28"/>
        </w:rPr>
        <w:t>周边进水周边出水辐流沉淀池由于表面水力负荷较高，出水槽一般采用单侧集水的形式，因此出水堰负荷较高。根据目前国内部分污水厂的运行情况，出水堰最大负荷可适当放大。</w:t>
      </w:r>
    </w:p>
    <w:p>
      <w:pPr>
        <w:pStyle w:val="30"/>
        <w:numPr>
          <w:ilvl w:val="0"/>
          <w:numId w:val="3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沉淀池应设置浮渣的撇除、输送和处置设施。</w:t>
      </w:r>
    </w:p>
    <w:p>
      <w:pPr>
        <w:wordWrap w:val="0"/>
        <w:rPr>
          <w:rFonts w:eastAsiaTheme="minorEastAsia"/>
          <w:color w:val="000000" w:themeColor="text1"/>
          <w:sz w:val="28"/>
          <w:szCs w:val="28"/>
        </w:rPr>
      </w:pPr>
      <w:r>
        <w:rPr>
          <w:rFonts w:eastAsiaTheme="minorEastAsia"/>
          <w:color w:val="000000" w:themeColor="text1"/>
          <w:sz w:val="28"/>
          <w:szCs w:val="28"/>
        </w:rPr>
        <w:t>【条文说明】据调查，初次沉淀池和二次沉淀池出流处会有浮渣积聚，为防止浮渣随出水溢出，影响出水水质，应设撇除、输送和处置设施。</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t>II 沉淀池</w:t>
      </w:r>
    </w:p>
    <w:p>
      <w:pPr>
        <w:pStyle w:val="30"/>
        <w:numPr>
          <w:ilvl w:val="0"/>
          <w:numId w:val="3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平流沉淀池的设计，应符合下列规定：</w:t>
      </w:r>
    </w:p>
    <w:p>
      <w:pPr>
        <w:widowControl/>
        <w:wordWrap w:val="0"/>
        <w:ind w:firstLine="427" w:firstLineChars="152"/>
        <w:jc w:val="left"/>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每格长度与宽度之比不宜小于4，长度与有效水深之比不宜小于8，池长不宜大于60m；</w:t>
      </w:r>
    </w:p>
    <w:p>
      <w:pPr>
        <w:widowControl/>
        <w:wordWrap w:val="0"/>
        <w:ind w:firstLine="427" w:firstLineChars="152"/>
        <w:jc w:val="left"/>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宜采用机械排泥，排泥机械的行进速度</w:t>
      </w:r>
      <w:r>
        <w:rPr>
          <w:rFonts w:hint="eastAsia" w:eastAsiaTheme="minorEastAsia"/>
          <w:color w:val="000000" w:themeColor="text1"/>
          <w:sz w:val="28"/>
          <w:szCs w:val="28"/>
        </w:rPr>
        <w:t>宜</w:t>
      </w:r>
      <w:r>
        <w:rPr>
          <w:rFonts w:eastAsiaTheme="minorEastAsia"/>
          <w:color w:val="000000" w:themeColor="text1"/>
          <w:sz w:val="28"/>
          <w:szCs w:val="28"/>
        </w:rPr>
        <w:t>为0.3～1.2m/min；</w:t>
      </w:r>
    </w:p>
    <w:p>
      <w:pPr>
        <w:widowControl/>
        <w:wordWrap w:val="0"/>
        <w:ind w:firstLine="427" w:firstLineChars="152"/>
        <w:jc w:val="left"/>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缓冲层高度，非机械排泥时</w:t>
      </w:r>
      <w:r>
        <w:rPr>
          <w:rFonts w:hint="eastAsia" w:eastAsiaTheme="minorEastAsia"/>
          <w:color w:val="000000" w:themeColor="text1"/>
          <w:sz w:val="28"/>
          <w:szCs w:val="28"/>
        </w:rPr>
        <w:t>宜</w:t>
      </w:r>
      <w:r>
        <w:rPr>
          <w:rFonts w:eastAsiaTheme="minorEastAsia"/>
          <w:color w:val="000000" w:themeColor="text1"/>
          <w:sz w:val="28"/>
          <w:szCs w:val="28"/>
        </w:rPr>
        <w:t>为0.5m，机械排泥时，应根据刮泥板高度确定，且缓冲层上缘宜高出刮泥板0.3m；</w:t>
      </w:r>
    </w:p>
    <w:p>
      <w:pPr>
        <w:widowControl/>
        <w:wordWrap w:val="0"/>
        <w:ind w:firstLine="427" w:firstLineChars="152"/>
        <w:jc w:val="left"/>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池底纵坡不宜小于0.01。</w:t>
      </w:r>
    </w:p>
    <w:p>
      <w:pPr>
        <w:wordWrap w:val="0"/>
        <w:rPr>
          <w:rFonts w:eastAsiaTheme="minorEastAsia"/>
          <w:color w:val="000000" w:themeColor="text1"/>
          <w:sz w:val="28"/>
          <w:szCs w:val="28"/>
        </w:rPr>
      </w:pPr>
      <w:r>
        <w:rPr>
          <w:rFonts w:eastAsiaTheme="minorEastAsia"/>
          <w:color w:val="000000" w:themeColor="text1"/>
          <w:sz w:val="28"/>
          <w:szCs w:val="28"/>
        </w:rPr>
        <w:t>【条文说明】</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长宽比和长深比的要求。长宽比过小，水流不易均匀平稳，过大会增加池中水平流速，二者都影响沉淀效率。长宽比值日本指南规定为3～5，英、美资料建议也是3～5，本标准规定为不宜小于4。长深比前苏联规范规定为8～12，本条规定为不宜小于8。池长不宜大于60m。</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排泥机械行进速度的要求。据国内外资料介绍，链条刮板式的行进速度一般为0.3m/min～1.2m/min，通常为0.6m/min。</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缓冲层高度的要求，参照苏联规范制定。</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池底纵坡的要求。设刮泥机时的池底纵坡不宜小于0.01。日本指南规定为0.01～0.02。</w:t>
      </w:r>
    </w:p>
    <w:p>
      <w:pPr>
        <w:widowControl/>
        <w:wordWrap w:val="0"/>
        <w:ind w:firstLine="560" w:firstLineChars="200"/>
        <w:jc w:val="left"/>
        <w:rPr>
          <w:rFonts w:eastAsiaTheme="minorEastAsia"/>
          <w:color w:val="000000" w:themeColor="text1"/>
          <w:sz w:val="28"/>
          <w:szCs w:val="28"/>
        </w:rPr>
      </w:pPr>
      <w:r>
        <w:rPr>
          <w:rFonts w:eastAsiaTheme="minorEastAsia"/>
          <w:color w:val="000000" w:themeColor="text1"/>
          <w:sz w:val="28"/>
          <w:szCs w:val="28"/>
        </w:rPr>
        <w:t>按表面水力负荷设计平流沉淀池时，可按水平流速进行校核。平流沉淀池的最大水平流速：初次沉淀池为7mm/s，二次沉淀池为5mm/s。</w:t>
      </w:r>
    </w:p>
    <w:p>
      <w:pPr>
        <w:pStyle w:val="30"/>
        <w:numPr>
          <w:ilvl w:val="0"/>
          <w:numId w:val="3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竖流沉淀池的设计，应符合下列规定：</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水池直径（或正方形的一边）与有效水深之比不宜大于3；</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中心管内流速不宜大于30mm/s；</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中心管下口应设有喇叭口和反射板，板底面距泥面不宜小于0.3m。</w:t>
      </w:r>
    </w:p>
    <w:p>
      <w:pPr>
        <w:wordWrap w:val="0"/>
        <w:rPr>
          <w:rFonts w:eastAsiaTheme="minorEastAsia"/>
          <w:color w:val="000000" w:themeColor="text1"/>
          <w:sz w:val="28"/>
          <w:szCs w:val="28"/>
        </w:rPr>
      </w:pPr>
      <w:r>
        <w:rPr>
          <w:rFonts w:eastAsiaTheme="minorEastAsia"/>
          <w:color w:val="000000" w:themeColor="text1"/>
          <w:sz w:val="28"/>
          <w:szCs w:val="28"/>
        </w:rPr>
        <w:t>【条文说明】</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径深比的要求。根据竖流沉淀池的流态特征，径深比不宜大于3。</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中心管内流速不宜过大，防止影响沉淀区的沉淀作用。</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中心管下口设喇叭口和反射板，以消除进入沉淀区的水流能量，保证沉淀效果。</w:t>
      </w:r>
    </w:p>
    <w:p>
      <w:pPr>
        <w:pStyle w:val="30"/>
        <w:numPr>
          <w:ilvl w:val="0"/>
          <w:numId w:val="3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辐流沉淀池的设计，应符合下列规定：</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水池直径（或正方形的一边）与有效水深之比宜为6～12，水池直径不宜大于50m；</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宜采用机械排泥，排泥机械旋转速度宜为1～3r/h，刮泥板的外缘线速度不宜大于3m/min。当水池直径（或正方形的一边）较小时也可采用多斗排泥；</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缓冲层高度，非机械排泥时宜为0.5m；机械排泥时，应根据刮泥板高度确定，且缓冲层上缘宜高出刮泥板0.3m；</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坡向泥斗的底坡不宜小于0.05。</w:t>
      </w:r>
    </w:p>
    <w:p>
      <w:pPr>
        <w:widowControl/>
        <w:ind w:firstLine="562" w:firstLineChars="200"/>
        <w:rPr>
          <w:rFonts w:eastAsiaTheme="minorEastAsia"/>
          <w:color w:val="000000" w:themeColor="text1"/>
          <w:sz w:val="28"/>
          <w:szCs w:val="28"/>
        </w:rPr>
      </w:pPr>
      <w:r>
        <w:rPr>
          <w:rFonts w:eastAsiaTheme="minorEastAsia"/>
          <w:b/>
          <w:color w:val="000000" w:themeColor="text1"/>
          <w:sz w:val="28"/>
          <w:szCs w:val="28"/>
        </w:rPr>
        <w:t xml:space="preserve">5 </w:t>
      </w:r>
      <w:r>
        <w:rPr>
          <w:rFonts w:eastAsiaTheme="minorEastAsia"/>
          <w:color w:val="000000" w:themeColor="text1"/>
          <w:sz w:val="28"/>
          <w:szCs w:val="28"/>
        </w:rPr>
        <w:t>周边进水周边出水辐流沉淀池应保证进水渠的均匀配水。</w:t>
      </w:r>
    </w:p>
    <w:p>
      <w:pPr>
        <w:wordWrap w:val="0"/>
        <w:rPr>
          <w:rFonts w:eastAsiaTheme="minorEastAsia"/>
          <w:color w:val="000000" w:themeColor="text1"/>
          <w:sz w:val="28"/>
          <w:szCs w:val="28"/>
        </w:rPr>
      </w:pPr>
      <w:r>
        <w:rPr>
          <w:rFonts w:eastAsiaTheme="minorEastAsia"/>
          <w:color w:val="000000" w:themeColor="text1"/>
          <w:sz w:val="28"/>
          <w:szCs w:val="28"/>
        </w:rPr>
        <w:t>【条文说明】</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径深比的要求。根据辐流沉淀池的流态特征，径深比宜为6～12。日本指南规定为6～12，沉淀效果较好，本条文采用6～12。为减少风对沉淀效果的影响，池径宜小于50m。</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排泥方式及排泥机械的要求。近年来，国内各地区设计的辐流沉淀池，其直径都较大，配有中心传动或周边驱动的桁架式刮泥机，已取得成功经验。故规定宜采用机械排泥。参照日本指南，规定排泥机械旋转速度为lr/h～3r/h，刮泥板的外缘线速度不大于3m/min。当池子直径较小，且无配套的排泥机械时，可考虑多斗排泥，但管理较麻烦。</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周边进水周边出水辐流沉淀池进水渠要求沿程配水基本均匀，一般采用变断面法，同时进水渠应保证一定的流速，避免进水中的悬浮物发生沉淀。</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fldChar w:fldCharType="begin"/>
      </w:r>
      <w:r>
        <w:rPr>
          <w:rFonts w:eastAsiaTheme="minorEastAsia"/>
          <w:color w:val="000000" w:themeColor="text1"/>
          <w:sz w:val="28"/>
          <w:szCs w:val="28"/>
        </w:rPr>
        <w:instrText xml:space="preserve"> = 3 \* ROMAN </w:instrText>
      </w:r>
      <w:r>
        <w:rPr>
          <w:rFonts w:eastAsiaTheme="minorEastAsia"/>
          <w:color w:val="000000" w:themeColor="text1"/>
          <w:sz w:val="28"/>
          <w:szCs w:val="28"/>
        </w:rPr>
        <w:fldChar w:fldCharType="separate"/>
      </w:r>
      <w:r>
        <w:rPr>
          <w:rFonts w:eastAsiaTheme="minorEastAsia"/>
          <w:color w:val="000000" w:themeColor="text1"/>
          <w:sz w:val="28"/>
          <w:szCs w:val="28"/>
        </w:rPr>
        <w:t>III</w:t>
      </w:r>
      <w:r>
        <w:rPr>
          <w:rFonts w:eastAsiaTheme="minorEastAsia"/>
          <w:color w:val="000000" w:themeColor="text1"/>
          <w:sz w:val="28"/>
          <w:szCs w:val="28"/>
        </w:rPr>
        <w:fldChar w:fldCharType="end"/>
      </w:r>
      <w:r>
        <w:rPr>
          <w:rFonts w:eastAsiaTheme="minorEastAsia"/>
          <w:color w:val="000000" w:themeColor="text1"/>
          <w:sz w:val="28"/>
          <w:szCs w:val="28"/>
        </w:rPr>
        <w:t>高效沉淀池</w:t>
      </w:r>
    </w:p>
    <w:p>
      <w:pPr>
        <w:pStyle w:val="30"/>
        <w:numPr>
          <w:ilvl w:val="0"/>
          <w:numId w:val="3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高效沉淀池表面水力负荷宜为6m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·h~13m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·h。混合时间宜为0.5min~2.0min，絮凝时间宜为8min~15min。污泥回流量宜占进水量的3%~6% 。斜管长宜采用1000mm~1500mm，倾角宜采用60°。</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沉淀污泥有一定的凝聚性能，回流污泥颗粒能够增加絮凝体的沉降速度，同时污泥中生物絮体的絮凝吸附作用能够较大程度的提高污染物的去除率，同时可以避免过量投加药剂。污泥循环一般采用污泥泵从泥斗中抽取回流至絮凝池的方式。</w:t>
      </w:r>
    </w:p>
    <w:p>
      <w:pPr>
        <w:widowControl/>
        <w:wordWrap w:val="0"/>
        <w:ind w:firstLine="565" w:firstLineChars="202"/>
        <w:jc w:val="left"/>
        <w:rPr>
          <w:rFonts w:eastAsiaTheme="minorEastAsia"/>
          <w:color w:val="000000" w:themeColor="text1"/>
          <w:sz w:val="28"/>
          <w:szCs w:val="28"/>
        </w:rPr>
      </w:pPr>
      <w:r>
        <w:rPr>
          <w:rFonts w:eastAsiaTheme="minorEastAsia"/>
          <w:color w:val="000000" w:themeColor="text1"/>
          <w:sz w:val="28"/>
          <w:szCs w:val="28"/>
        </w:rPr>
        <w:t>根据国内生产实践经验，通过废水与回流污泥混凝、絮凝增大悬浮物尺寸的高效沉淀池，用于深度处理工艺时，表面水力负荷宜为6m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·h~13m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·h；用于一级强化处理工艺时，表面水力负荷可以适当提高当高效沉淀池添加砂、磁粉等重介质增强絮凝效果时，表面水力负荷也可适当提高。</w:t>
      </w:r>
    </w:p>
    <w:p>
      <w:pPr>
        <w:widowControl/>
        <w:wordWrap w:val="0"/>
        <w:ind w:firstLine="570"/>
        <w:jc w:val="left"/>
        <w:rPr>
          <w:rFonts w:eastAsiaTheme="minorEastAsia"/>
          <w:color w:val="000000" w:themeColor="text1"/>
          <w:sz w:val="28"/>
          <w:szCs w:val="28"/>
        </w:rPr>
      </w:pPr>
    </w:p>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47" w:name="_Toc515281060"/>
      <w:r>
        <w:rPr>
          <w:rFonts w:ascii="Times New Roman" w:hAnsi="Times New Roman" w:eastAsiaTheme="minorEastAsia"/>
          <w:b w:val="0"/>
          <w:color w:val="000000" w:themeColor="text1"/>
          <w:sz w:val="28"/>
          <w:szCs w:val="28"/>
        </w:rPr>
        <w:t>活性污泥法</w:t>
      </w:r>
      <w:bookmarkEnd w:id="47"/>
    </w:p>
    <w:p>
      <w:pPr>
        <w:widowControl/>
        <w:wordWrap w:val="0"/>
        <w:jc w:val="center"/>
        <w:rPr>
          <w:rFonts w:eastAsiaTheme="minorEastAsia"/>
          <w:color w:val="000000" w:themeColor="text1"/>
          <w:sz w:val="28"/>
          <w:szCs w:val="28"/>
        </w:rPr>
      </w:pPr>
      <w:r>
        <w:rPr>
          <w:rFonts w:eastAsiaTheme="minorEastAsia"/>
          <w:color w:val="000000" w:themeColor="text1"/>
          <w:sz w:val="28"/>
          <w:szCs w:val="28"/>
        </w:rPr>
        <w:t>I 一般规定</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根据去除碳源污染物、脱氮、除磷、污泥减量、好氧污泥稳定等不同要求和外部环境条件，选择适宜的活性污泥处理工艺。</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【条文说明】外部环境条件，一般指操作管理要求，包括水量、水质、占地、供电、地质、水文、设备供应等。</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生物反应池的超高，当采用鼓风曝气时</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为0.5m～1.0m；当采用机械曝气时，其设备操作平台宜高出设计水面0.8m～1.2m。</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污水中含有大量产生泡沫的表面活性剂时，应有除泡沫措施。</w:t>
      </w:r>
    </w:p>
    <w:p>
      <w:pPr>
        <w:wordWrap w:val="0"/>
        <w:rPr>
          <w:rFonts w:eastAsiaTheme="minorEastAsia"/>
          <w:color w:val="000000" w:themeColor="text1"/>
          <w:sz w:val="28"/>
          <w:szCs w:val="28"/>
        </w:rPr>
      </w:pPr>
      <w:r>
        <w:rPr>
          <w:rFonts w:eastAsiaTheme="minorEastAsia"/>
          <w:color w:val="000000" w:themeColor="text1"/>
          <w:sz w:val="28"/>
          <w:szCs w:val="28"/>
        </w:rPr>
        <w:t>【条文说明】目前常用的消除泡沫措施有水喷淋和投加消泡剂等方法。</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生物反应池在有效水深一半处宜设置放水管。</w:t>
      </w:r>
    </w:p>
    <w:p>
      <w:pPr>
        <w:wordWrap w:val="0"/>
        <w:rPr>
          <w:rFonts w:eastAsiaTheme="minorEastAsia"/>
          <w:color w:val="000000" w:themeColor="text1"/>
          <w:sz w:val="28"/>
          <w:szCs w:val="28"/>
        </w:rPr>
      </w:pPr>
      <w:r>
        <w:rPr>
          <w:rFonts w:eastAsiaTheme="minorEastAsia"/>
          <w:color w:val="000000" w:themeColor="text1"/>
          <w:sz w:val="28"/>
          <w:szCs w:val="28"/>
        </w:rPr>
        <w:t>【条文说明】生物反应池投产初期采用间歇曝气培养活性污泥时，静沉后用作排除上清液。</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廊道式生物反应池的池宽与有效水深之比宜采用1:1～2:1。有效水深应结合流程设计、地质条件、供氧设施类型和选用风机压力等因素确定，一般可采用4.0m～6.0m。在条件许可时，水深尚可加大。</w:t>
      </w:r>
    </w:p>
    <w:p>
      <w:pPr>
        <w:wordWrap w:val="0"/>
        <w:rPr>
          <w:rFonts w:eastAsiaTheme="minorEastAsia"/>
          <w:color w:val="000000" w:themeColor="text1"/>
          <w:sz w:val="28"/>
          <w:szCs w:val="28"/>
        </w:rPr>
      </w:pPr>
      <w:r>
        <w:rPr>
          <w:rFonts w:eastAsiaTheme="minorEastAsia"/>
          <w:color w:val="000000" w:themeColor="text1"/>
          <w:sz w:val="28"/>
          <w:szCs w:val="28"/>
        </w:rPr>
        <w:t>【条文说明】本条适用于推流式运行的廊道式生物反应池。生物反应池的池宽与水深之比为1～2，曝气装置沿一侧布置时，生物反应池混合液的旋流前进的水力状态较好。有效水深4.0m～6.0m是根据国内鼓风机的风压能力，并考虑尽量降低生物反应池占地面积而确定的。当条件许可时也可采用较大水深，目前国内一些大型污水厂采用的水深为6.0m，也有一些污水厂采用的水深超过6.0m。</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生物反应池中的好氧区（池），采用鼓风曝气器时，处理每立方米污水的供气量不应小于3m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。好氧区采用机械曝气器时，混合全池污水所需功率一般不宜小于25W/m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；氧化沟不宜小于15W/m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。缺氧区（池）、厌氧区（池）应采用机械搅拌，混合功率宜采用2W/m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～8W/m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。机械搅拌器布置的间距、位置，应根据试验资料确定。</w:t>
      </w:r>
    </w:p>
    <w:p>
      <w:pPr>
        <w:wordWrap w:val="0"/>
        <w:rPr>
          <w:rFonts w:eastAsiaTheme="minorEastAsia"/>
          <w:color w:val="000000" w:themeColor="text1"/>
          <w:sz w:val="28"/>
          <w:szCs w:val="28"/>
        </w:rPr>
      </w:pPr>
      <w:r>
        <w:rPr>
          <w:rFonts w:eastAsiaTheme="minorEastAsia"/>
          <w:color w:val="000000" w:themeColor="text1"/>
          <w:sz w:val="28"/>
          <w:szCs w:val="28"/>
        </w:rPr>
        <w:t>【条文说明】缺氧区（池）、厌氧区（池）的搅拌功率：在《污水处理新工艺与设计计算实例》一书中推荐取3W/m</w:t>
      </w:r>
      <w:r>
        <w:rPr>
          <w:rFonts w:eastAsiaTheme="minorEastAsia"/>
          <w:color w:val="000000" w:themeColor="text1"/>
          <w:sz w:val="28"/>
          <w:szCs w:val="28"/>
          <w:vertAlign w:val="superscript"/>
        </w:rPr>
        <w:t>3</w:t>
      </w:r>
      <w:r>
        <w:rPr>
          <w:rFonts w:eastAsiaTheme="minorEastAsia"/>
          <w:color w:val="000000" w:themeColor="text1"/>
          <w:sz w:val="28"/>
          <w:szCs w:val="28"/>
        </w:rPr>
        <w:t>，美国污水厂手册推荐取5W/m</w:t>
      </w:r>
      <w:r>
        <w:rPr>
          <w:rFonts w:eastAsiaTheme="minorEastAsia"/>
          <w:color w:val="000000" w:themeColor="text1"/>
          <w:sz w:val="28"/>
          <w:szCs w:val="28"/>
          <w:vertAlign w:val="superscript"/>
        </w:rPr>
        <w:t>3</w:t>
      </w:r>
      <w:r>
        <w:rPr>
          <w:rFonts w:eastAsiaTheme="minorEastAsia"/>
          <w:color w:val="000000" w:themeColor="text1"/>
          <w:sz w:val="28"/>
          <w:szCs w:val="28"/>
        </w:rPr>
        <w:t>～8W/m</w:t>
      </w:r>
      <w:r>
        <w:rPr>
          <w:rFonts w:eastAsiaTheme="minorEastAsia"/>
          <w:color w:val="000000" w:themeColor="text1"/>
          <w:sz w:val="28"/>
          <w:szCs w:val="28"/>
          <w:vertAlign w:val="superscript"/>
        </w:rPr>
        <w:t>3</w:t>
      </w:r>
      <w:r>
        <w:rPr>
          <w:rFonts w:eastAsiaTheme="minorEastAsia"/>
          <w:color w:val="000000" w:themeColor="text1"/>
          <w:sz w:val="28"/>
          <w:szCs w:val="28"/>
        </w:rPr>
        <w:t>，中国市政工程西南设计研究院曾采用过2W/m</w:t>
      </w:r>
      <w:r>
        <w:rPr>
          <w:rFonts w:eastAsiaTheme="minorEastAsia"/>
          <w:color w:val="000000" w:themeColor="text1"/>
          <w:sz w:val="28"/>
          <w:szCs w:val="28"/>
          <w:vertAlign w:val="superscript"/>
        </w:rPr>
        <w:t>3</w:t>
      </w:r>
      <w:r>
        <w:rPr>
          <w:rFonts w:eastAsiaTheme="minorEastAsia"/>
          <w:color w:val="000000" w:themeColor="text1"/>
          <w:sz w:val="28"/>
          <w:szCs w:val="28"/>
        </w:rPr>
        <w:t>。本标准建议为2W/m</w:t>
      </w:r>
      <w:r>
        <w:rPr>
          <w:rFonts w:eastAsiaTheme="minorEastAsia"/>
          <w:color w:val="000000" w:themeColor="text1"/>
          <w:sz w:val="28"/>
          <w:szCs w:val="28"/>
          <w:vertAlign w:val="superscript"/>
        </w:rPr>
        <w:t>3</w:t>
      </w:r>
      <w:r>
        <w:rPr>
          <w:rFonts w:eastAsiaTheme="minorEastAsia"/>
          <w:color w:val="000000" w:themeColor="text1"/>
          <w:sz w:val="28"/>
          <w:szCs w:val="28"/>
        </w:rPr>
        <w:t>～8W/m</w:t>
      </w:r>
      <w:r>
        <w:rPr>
          <w:rFonts w:eastAsiaTheme="minorEastAsia"/>
          <w:color w:val="000000" w:themeColor="text1"/>
          <w:sz w:val="28"/>
          <w:szCs w:val="28"/>
          <w:vertAlign w:val="superscript"/>
        </w:rPr>
        <w:t>3</w:t>
      </w:r>
      <w:r>
        <w:rPr>
          <w:rFonts w:eastAsiaTheme="minorEastAsia"/>
          <w:color w:val="000000" w:themeColor="text1"/>
          <w:sz w:val="28"/>
          <w:szCs w:val="28"/>
        </w:rPr>
        <w:t>。所需功率均以曝气器配置功率表示。</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生物反应池的设计，应充分考虑冬季低水温对去除碳源污染物、脱氮和除磷的影响，必要时可采取降低负荷、增长泥龄、调整厌氧区（池）、缺氧区（池</w:t>
      </w:r>
      <w:r>
        <w:rPr>
          <w:rFonts w:ascii="Times New Roman" w:hAnsi="Times New Roman" w:eastAsiaTheme="minorEastAsia"/>
          <w:sz w:val="28"/>
          <w:szCs w:val="28"/>
        </w:rPr>
        <w:t>）、好氧区（池）</w:t>
      </w:r>
      <w:r>
        <w:rPr>
          <w:rFonts w:ascii="Times New Roman" w:hAnsi="Times New Roman" w:eastAsiaTheme="minorEastAsia"/>
          <w:color w:val="000000" w:themeColor="text1"/>
          <w:sz w:val="28"/>
          <w:szCs w:val="28"/>
        </w:rPr>
        <w:t>水力停留时间和保温或增温等措施。</w:t>
      </w:r>
    </w:p>
    <w:p>
      <w:pPr>
        <w:wordWrap w:val="0"/>
        <w:rPr>
          <w:rFonts w:eastAsiaTheme="minorEastAsia"/>
          <w:color w:val="000000" w:themeColor="text1"/>
          <w:sz w:val="28"/>
          <w:szCs w:val="28"/>
        </w:rPr>
      </w:pPr>
      <w:r>
        <w:rPr>
          <w:rFonts w:eastAsiaTheme="minorEastAsia"/>
          <w:color w:val="000000" w:themeColor="text1"/>
          <w:sz w:val="28"/>
          <w:szCs w:val="28"/>
        </w:rPr>
        <w:t>【条文说明】我国的寒冷地区，冬季水温一般在6</w:t>
      </w:r>
      <w:r>
        <w:rPr>
          <w:rFonts w:eastAsia="宋体"/>
          <w:color w:val="000000" w:themeColor="text1"/>
          <w:sz w:val="28"/>
          <w:szCs w:val="28"/>
        </w:rPr>
        <w:t>°C</w:t>
      </w:r>
      <w:r>
        <w:rPr>
          <w:rFonts w:eastAsiaTheme="minorEastAsia"/>
          <w:color w:val="000000" w:themeColor="text1"/>
          <w:sz w:val="28"/>
          <w:szCs w:val="28"/>
        </w:rPr>
        <w:t>～10</w:t>
      </w:r>
      <w:r>
        <w:rPr>
          <w:rFonts w:eastAsia="宋体"/>
          <w:color w:val="000000" w:themeColor="text1"/>
          <w:sz w:val="28"/>
          <w:szCs w:val="28"/>
        </w:rPr>
        <w:t>°C</w:t>
      </w:r>
      <w:r>
        <w:rPr>
          <w:rFonts w:eastAsiaTheme="minorEastAsia"/>
          <w:color w:val="000000" w:themeColor="text1"/>
          <w:sz w:val="28"/>
          <w:szCs w:val="28"/>
        </w:rPr>
        <w:t>，短时间可能为4</w:t>
      </w:r>
      <w:r>
        <w:rPr>
          <w:rFonts w:eastAsia="宋体"/>
          <w:color w:val="000000" w:themeColor="text1"/>
          <w:sz w:val="28"/>
          <w:szCs w:val="28"/>
        </w:rPr>
        <w:t>°C</w:t>
      </w:r>
      <w:r>
        <w:rPr>
          <w:rFonts w:eastAsiaTheme="minorEastAsia"/>
          <w:color w:val="000000" w:themeColor="text1"/>
          <w:sz w:val="28"/>
          <w:szCs w:val="28"/>
        </w:rPr>
        <w:t>～6</w:t>
      </w:r>
      <w:r>
        <w:rPr>
          <w:rFonts w:eastAsia="宋体"/>
          <w:color w:val="000000" w:themeColor="text1"/>
          <w:sz w:val="28"/>
          <w:szCs w:val="28"/>
        </w:rPr>
        <w:t>°C</w:t>
      </w:r>
      <w:r>
        <w:rPr>
          <w:rFonts w:eastAsiaTheme="minorEastAsia"/>
          <w:color w:val="000000" w:themeColor="text1"/>
          <w:sz w:val="28"/>
          <w:szCs w:val="28"/>
        </w:rPr>
        <w:t>；应核算污水处理过程中，低气温对污水温度的影响。</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原污水、回流污泥进入生物反应池的厌氧区（池）、缺氧区（池）时，宜采用淹没入流方式。</w:t>
      </w:r>
    </w:p>
    <w:p>
      <w:pPr>
        <w:wordWrap w:val="0"/>
        <w:rPr>
          <w:rFonts w:eastAsiaTheme="minorEastAsia"/>
          <w:color w:val="000000" w:themeColor="text1"/>
          <w:sz w:val="28"/>
          <w:szCs w:val="28"/>
        </w:rPr>
      </w:pPr>
      <w:r>
        <w:rPr>
          <w:rFonts w:eastAsiaTheme="minorEastAsia"/>
          <w:color w:val="000000" w:themeColor="text1"/>
          <w:sz w:val="28"/>
          <w:szCs w:val="28"/>
        </w:rPr>
        <w:t>【条文说明】规定污水进入厌氧区（池）、缺氧区（池）时，采用淹没式入流方式的目的是避免引起复氧。</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t>II 传统活性污泥法</w:t>
      </w:r>
    </w:p>
    <w:p>
      <w:pPr>
        <w:pStyle w:val="30"/>
        <w:numPr>
          <w:ilvl w:val="0"/>
          <w:numId w:val="40"/>
        </w:numPr>
        <w:wordWrap w:val="0"/>
        <w:spacing w:line="360" w:lineRule="auto"/>
        <w:ind w:firstLineChars="0"/>
        <w:rPr>
          <w:rFonts w:ascii="Times New Roman" w:hAnsi="Times New Roman" w:eastAsiaTheme="minorEastAsia"/>
          <w:color w:val="000000" w:themeColor="text1"/>
          <w:sz w:val="28"/>
          <w:szCs w:val="28"/>
        </w:rPr>
      </w:pPr>
      <w:r>
        <w:rPr>
          <w:rFonts w:hint="eastAsia" w:ascii="Times New Roman" w:hAnsi="Times New Roman" w:eastAsiaTheme="minorEastAsia"/>
          <w:color w:val="000000" w:themeColor="text1"/>
          <w:sz w:val="28"/>
          <w:szCs w:val="28"/>
        </w:rPr>
        <w:t>去除城市污水碳源污染物</w:t>
      </w:r>
      <w:r>
        <w:rPr>
          <w:rFonts w:ascii="Times New Roman" w:hAnsi="Times New Roman" w:eastAsiaTheme="minorEastAsia"/>
          <w:color w:val="000000" w:themeColor="text1"/>
          <w:sz w:val="28"/>
          <w:szCs w:val="28"/>
        </w:rPr>
        <w:t>的生物反应池的主要设计参数，可按本标准表7.</w:t>
      </w:r>
      <w:r>
        <w:rPr>
          <w:rFonts w:hint="eastAsia" w:ascii="Times New Roman" w:hAnsi="Times New Roman" w:eastAsiaTheme="minorEastAsia"/>
          <w:color w:val="000000" w:themeColor="text1"/>
          <w:sz w:val="28"/>
          <w:szCs w:val="28"/>
        </w:rPr>
        <w:t>6</w:t>
      </w:r>
      <w:r>
        <w:rPr>
          <w:rFonts w:ascii="Times New Roman" w:hAnsi="Times New Roman" w:eastAsiaTheme="minorEastAsia"/>
          <w:color w:val="000000" w:themeColor="text1"/>
          <w:sz w:val="28"/>
          <w:szCs w:val="28"/>
        </w:rPr>
        <w:t>.9的规定取值。</w:t>
      </w:r>
    </w:p>
    <w:p>
      <w:pPr>
        <w:widowControl/>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表7.</w:t>
      </w:r>
      <w:r>
        <w:rPr>
          <w:rFonts w:hint="eastAsia" w:eastAsiaTheme="minorEastAsia"/>
          <w:b/>
          <w:color w:val="000000" w:themeColor="text1"/>
          <w:sz w:val="28"/>
          <w:szCs w:val="28"/>
        </w:rPr>
        <w:t>6</w:t>
      </w:r>
      <w:r>
        <w:rPr>
          <w:rFonts w:eastAsiaTheme="minorEastAsia"/>
          <w:b/>
          <w:color w:val="000000" w:themeColor="text1"/>
          <w:sz w:val="28"/>
          <w:szCs w:val="28"/>
        </w:rPr>
        <w:t xml:space="preserve">.9  </w:t>
      </w:r>
      <w:r>
        <w:rPr>
          <w:rFonts w:hint="eastAsia" w:eastAsiaTheme="minorEastAsia"/>
          <w:b/>
          <w:color w:val="000000" w:themeColor="text1"/>
          <w:sz w:val="28"/>
          <w:szCs w:val="28"/>
        </w:rPr>
        <w:t>去除碳源污染物的生物反应池</w:t>
      </w:r>
      <w:r>
        <w:rPr>
          <w:rFonts w:eastAsiaTheme="minorEastAsia"/>
          <w:b/>
          <w:color w:val="000000" w:themeColor="text1"/>
          <w:sz w:val="28"/>
          <w:szCs w:val="28"/>
        </w:rPr>
        <w:t>的主要设计参数</w:t>
      </w:r>
    </w:p>
    <w:tbl>
      <w:tblPr>
        <w:tblStyle w:val="25"/>
        <w:tblW w:w="83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555"/>
        <w:gridCol w:w="1276"/>
        <w:gridCol w:w="1276"/>
        <w:gridCol w:w="1275"/>
        <w:gridCol w:w="952"/>
        <w:gridCol w:w="98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55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类 别</w:t>
            </w:r>
          </w:p>
        </w:tc>
        <w:tc>
          <w:tcPr>
            <w:tcW w:w="1276" w:type="dxa"/>
            <w:vAlign w:val="center"/>
          </w:tcPr>
          <w:p>
            <w:pPr>
              <w:widowControl/>
              <w:wordWrap w:val="0"/>
              <w:spacing w:line="360" w:lineRule="auto"/>
              <w:jc w:val="center"/>
              <w:rPr>
                <w:rFonts w:eastAsiaTheme="minorEastAsia"/>
                <w:color w:val="000000" w:themeColor="text1"/>
                <w:sz w:val="28"/>
                <w:szCs w:val="28"/>
              </w:rPr>
            </w:pPr>
            <w:r>
              <w:rPr>
                <w:rFonts w:eastAsiaTheme="minorEastAsia"/>
                <w:i/>
                <w:color w:val="000000" w:themeColor="text1"/>
                <w:sz w:val="28"/>
                <w:szCs w:val="28"/>
              </w:rPr>
              <w:t>L</w:t>
            </w:r>
            <w:r>
              <w:rPr>
                <w:rFonts w:eastAsiaTheme="minorEastAsia"/>
                <w:color w:val="000000" w:themeColor="text1"/>
                <w:sz w:val="28"/>
                <w:szCs w:val="28"/>
                <w:vertAlign w:val="subscript"/>
              </w:rPr>
              <w:t>s</w:t>
            </w:r>
          </w:p>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[kg/（kg·d）]</w:t>
            </w:r>
          </w:p>
        </w:tc>
        <w:tc>
          <w:tcPr>
            <w:tcW w:w="1276" w:type="dxa"/>
            <w:vAlign w:val="center"/>
          </w:tcPr>
          <w:p>
            <w:pPr>
              <w:widowControl/>
              <w:wordWrap w:val="0"/>
              <w:spacing w:line="360" w:lineRule="auto"/>
              <w:jc w:val="center"/>
              <w:rPr>
                <w:rFonts w:eastAsiaTheme="minorEastAsia"/>
                <w:i/>
                <w:color w:val="000000" w:themeColor="text1"/>
                <w:sz w:val="28"/>
                <w:szCs w:val="28"/>
              </w:rPr>
            </w:pPr>
            <w:r>
              <w:rPr>
                <w:rFonts w:eastAsiaTheme="minorEastAsia"/>
                <w:i/>
                <w:color w:val="000000" w:themeColor="text1"/>
                <w:sz w:val="28"/>
                <w:szCs w:val="28"/>
              </w:rPr>
              <w:t>X</w:t>
            </w:r>
          </w:p>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（g/L）</w:t>
            </w:r>
          </w:p>
        </w:tc>
        <w:tc>
          <w:tcPr>
            <w:tcW w:w="1275" w:type="dxa"/>
            <w:vAlign w:val="center"/>
          </w:tcPr>
          <w:p>
            <w:pPr>
              <w:widowControl/>
              <w:wordWrap w:val="0"/>
              <w:spacing w:line="360" w:lineRule="auto"/>
              <w:jc w:val="center"/>
              <w:rPr>
                <w:rFonts w:eastAsiaTheme="minorEastAsia"/>
                <w:color w:val="000000" w:themeColor="text1"/>
                <w:sz w:val="28"/>
                <w:szCs w:val="28"/>
              </w:rPr>
            </w:pPr>
            <w:r>
              <w:rPr>
                <w:rFonts w:eastAsiaTheme="minorEastAsia"/>
                <w:i/>
                <w:color w:val="000000" w:themeColor="text1"/>
                <w:sz w:val="28"/>
                <w:szCs w:val="28"/>
              </w:rPr>
              <w:t>L</w:t>
            </w:r>
            <w:r>
              <w:rPr>
                <w:rFonts w:eastAsiaTheme="minorEastAsia"/>
                <w:color w:val="000000" w:themeColor="text1"/>
                <w:sz w:val="28"/>
                <w:szCs w:val="28"/>
                <w:vertAlign w:val="subscript"/>
              </w:rPr>
              <w:t>V</w:t>
            </w:r>
          </w:p>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[kg/m</w:t>
            </w:r>
            <w:r>
              <w:rPr>
                <w:rFonts w:eastAsiaTheme="minorEastAsia"/>
                <w:color w:val="000000" w:themeColor="text1"/>
                <w:sz w:val="28"/>
                <w:szCs w:val="28"/>
                <w:vertAlign w:val="superscript"/>
              </w:rPr>
              <w:t>3</w:t>
            </w:r>
            <w:r>
              <w:rPr>
                <w:rFonts w:eastAsiaTheme="minorEastAsia"/>
                <w:color w:val="000000" w:themeColor="text1"/>
                <w:sz w:val="28"/>
                <w:szCs w:val="28"/>
              </w:rPr>
              <w:t>·d）]</w:t>
            </w:r>
          </w:p>
        </w:tc>
        <w:tc>
          <w:tcPr>
            <w:tcW w:w="952"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污泥回流比</w:t>
            </w:r>
          </w:p>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984"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总处理效率</w:t>
            </w:r>
          </w:p>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55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普通曝气</w:t>
            </w:r>
          </w:p>
        </w:tc>
        <w:tc>
          <w:tcPr>
            <w:tcW w:w="1276"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0.2~0.4</w:t>
            </w:r>
          </w:p>
        </w:tc>
        <w:tc>
          <w:tcPr>
            <w:tcW w:w="1276"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1.5~2.5</w:t>
            </w:r>
          </w:p>
        </w:tc>
        <w:tc>
          <w:tcPr>
            <w:tcW w:w="127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0.4~0.9</w:t>
            </w:r>
          </w:p>
        </w:tc>
        <w:tc>
          <w:tcPr>
            <w:tcW w:w="952"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25~75</w:t>
            </w:r>
          </w:p>
        </w:tc>
        <w:tc>
          <w:tcPr>
            <w:tcW w:w="984"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90~95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55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阶段曝气</w:t>
            </w:r>
          </w:p>
        </w:tc>
        <w:tc>
          <w:tcPr>
            <w:tcW w:w="1276"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0.2~0.4</w:t>
            </w:r>
          </w:p>
        </w:tc>
        <w:tc>
          <w:tcPr>
            <w:tcW w:w="1276"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1.5~3.0</w:t>
            </w:r>
          </w:p>
        </w:tc>
        <w:tc>
          <w:tcPr>
            <w:tcW w:w="127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0.4~1.2</w:t>
            </w:r>
          </w:p>
        </w:tc>
        <w:tc>
          <w:tcPr>
            <w:tcW w:w="952"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25~75</w:t>
            </w:r>
          </w:p>
        </w:tc>
        <w:tc>
          <w:tcPr>
            <w:tcW w:w="984"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85~95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jc w:val="center"/>
        </w:trPr>
        <w:tc>
          <w:tcPr>
            <w:tcW w:w="255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吸附再生曝气</w:t>
            </w:r>
          </w:p>
        </w:tc>
        <w:tc>
          <w:tcPr>
            <w:tcW w:w="1276"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0.2~0.4</w:t>
            </w:r>
          </w:p>
        </w:tc>
        <w:tc>
          <w:tcPr>
            <w:tcW w:w="1276"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2.5~6.0</w:t>
            </w:r>
          </w:p>
        </w:tc>
        <w:tc>
          <w:tcPr>
            <w:tcW w:w="127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0.9~1.8</w:t>
            </w:r>
          </w:p>
        </w:tc>
        <w:tc>
          <w:tcPr>
            <w:tcW w:w="952"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50~100</w:t>
            </w:r>
          </w:p>
        </w:tc>
        <w:tc>
          <w:tcPr>
            <w:tcW w:w="984"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80~90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55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合建式完全混合曝气</w:t>
            </w:r>
          </w:p>
        </w:tc>
        <w:tc>
          <w:tcPr>
            <w:tcW w:w="1276"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0.25~0.5</w:t>
            </w:r>
          </w:p>
        </w:tc>
        <w:tc>
          <w:tcPr>
            <w:tcW w:w="1276"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2.0~4.0</w:t>
            </w:r>
          </w:p>
        </w:tc>
        <w:tc>
          <w:tcPr>
            <w:tcW w:w="127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0.5~1.8</w:t>
            </w:r>
          </w:p>
        </w:tc>
        <w:tc>
          <w:tcPr>
            <w:tcW w:w="952"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100~400</w:t>
            </w:r>
          </w:p>
        </w:tc>
        <w:tc>
          <w:tcPr>
            <w:tcW w:w="984"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80~90</w:t>
            </w:r>
          </w:p>
        </w:tc>
      </w:tr>
    </w:tbl>
    <w:p>
      <w:pPr>
        <w:wordWrap w:val="0"/>
        <w:rPr>
          <w:rFonts w:eastAsiaTheme="minorEastAsia"/>
          <w:color w:val="000000" w:themeColor="text1"/>
          <w:sz w:val="28"/>
          <w:szCs w:val="28"/>
        </w:rPr>
      </w:pPr>
      <w:r>
        <w:rPr>
          <w:rFonts w:eastAsiaTheme="minorEastAsia"/>
          <w:color w:val="000000" w:themeColor="text1"/>
          <w:sz w:val="28"/>
          <w:szCs w:val="28"/>
        </w:rPr>
        <w:t>【条文说明】有关设计数据是根据我国污水厂回流污泥浓度一般为4g/L～8g/L的情况确定的。如回流污泥浓度不在上述范围时，可适当修正。当处理效率可以降低时、负荷可适当增大。当进水五日生化需氧量低于一般城镇污水时，负荷尚应适当减小。</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生物反应池主要设计数据中，容积负荷</w:t>
      </w:r>
      <w:r>
        <w:rPr>
          <w:rFonts w:eastAsiaTheme="minorEastAsia"/>
          <w:i/>
          <w:color w:val="000000" w:themeColor="text1"/>
          <w:sz w:val="28"/>
          <w:szCs w:val="28"/>
        </w:rPr>
        <w:t>L</w:t>
      </w:r>
      <w:r>
        <w:rPr>
          <w:rFonts w:eastAsiaTheme="minorEastAsia"/>
          <w:color w:val="000000" w:themeColor="text1"/>
          <w:sz w:val="28"/>
          <w:szCs w:val="28"/>
          <w:vertAlign w:val="subscript"/>
        </w:rPr>
        <w:t>V</w:t>
      </w:r>
      <w:r>
        <w:rPr>
          <w:rFonts w:eastAsiaTheme="minorEastAsia"/>
          <w:color w:val="000000" w:themeColor="text1"/>
          <w:sz w:val="28"/>
          <w:szCs w:val="28"/>
        </w:rPr>
        <w:t>与污泥负荷</w:t>
      </w:r>
      <w:r>
        <w:rPr>
          <w:rFonts w:eastAsiaTheme="minorEastAsia"/>
          <w:i/>
          <w:color w:val="000000" w:themeColor="text1"/>
          <w:sz w:val="28"/>
          <w:szCs w:val="28"/>
        </w:rPr>
        <w:t>L</w:t>
      </w:r>
      <w:r>
        <w:rPr>
          <w:rFonts w:eastAsiaTheme="minorEastAsia"/>
          <w:color w:val="000000" w:themeColor="text1"/>
          <w:sz w:val="28"/>
          <w:szCs w:val="28"/>
          <w:vertAlign w:val="subscript"/>
        </w:rPr>
        <w:t>S</w:t>
      </w:r>
      <w:r>
        <w:rPr>
          <w:rFonts w:eastAsiaTheme="minorEastAsia"/>
          <w:color w:val="000000" w:themeColor="text1"/>
          <w:sz w:val="28"/>
          <w:szCs w:val="28"/>
        </w:rPr>
        <w:t>和污泥浓度</w:t>
      </w:r>
      <w:r>
        <w:rPr>
          <w:rFonts w:eastAsiaTheme="minorEastAsia"/>
          <w:i/>
          <w:color w:val="000000" w:themeColor="text1"/>
          <w:sz w:val="28"/>
          <w:szCs w:val="28"/>
        </w:rPr>
        <w:t>X</w:t>
      </w:r>
      <w:r>
        <w:rPr>
          <w:rFonts w:eastAsiaTheme="minorEastAsia"/>
          <w:color w:val="000000" w:themeColor="text1"/>
          <w:sz w:val="28"/>
          <w:szCs w:val="28"/>
        </w:rPr>
        <w:t>相关；同时又必须按生物反应池实际运行规律来确定数据，即不可无依据地将本标准规定的</w:t>
      </w:r>
      <w:r>
        <w:rPr>
          <w:rFonts w:eastAsiaTheme="minorEastAsia"/>
          <w:i/>
          <w:color w:val="000000" w:themeColor="text1"/>
          <w:sz w:val="28"/>
          <w:szCs w:val="28"/>
        </w:rPr>
        <w:t>L</w:t>
      </w:r>
      <w:r>
        <w:rPr>
          <w:rFonts w:eastAsiaTheme="minorEastAsia"/>
          <w:color w:val="000000" w:themeColor="text1"/>
          <w:sz w:val="28"/>
          <w:szCs w:val="28"/>
          <w:vertAlign w:val="subscript"/>
        </w:rPr>
        <w:t>S</w:t>
      </w:r>
      <w:r>
        <w:rPr>
          <w:rFonts w:eastAsiaTheme="minorEastAsia"/>
          <w:color w:val="000000" w:themeColor="text1"/>
          <w:sz w:val="28"/>
          <w:szCs w:val="28"/>
        </w:rPr>
        <w:t>和</w:t>
      </w:r>
      <w:r>
        <w:rPr>
          <w:rFonts w:eastAsiaTheme="minorEastAsia"/>
          <w:i/>
          <w:color w:val="000000" w:themeColor="text1"/>
          <w:sz w:val="28"/>
          <w:szCs w:val="28"/>
        </w:rPr>
        <w:t>X</w:t>
      </w:r>
      <w:r>
        <w:rPr>
          <w:rFonts w:eastAsiaTheme="minorEastAsia"/>
          <w:color w:val="000000" w:themeColor="text1"/>
          <w:sz w:val="28"/>
          <w:szCs w:val="28"/>
        </w:rPr>
        <w:t>取端值相乘以确定最大的容积负荷</w:t>
      </w:r>
      <w:r>
        <w:rPr>
          <w:rFonts w:eastAsiaTheme="minorEastAsia"/>
          <w:i/>
          <w:color w:val="000000" w:themeColor="text1"/>
          <w:sz w:val="28"/>
          <w:szCs w:val="28"/>
        </w:rPr>
        <w:t>L</w:t>
      </w:r>
      <w:r>
        <w:rPr>
          <w:rFonts w:eastAsiaTheme="minorEastAsia"/>
          <w:color w:val="000000" w:themeColor="text1"/>
          <w:sz w:val="28"/>
          <w:szCs w:val="28"/>
          <w:vertAlign w:val="subscript"/>
        </w:rPr>
        <w:t>V</w:t>
      </w:r>
      <w:r>
        <w:rPr>
          <w:rFonts w:eastAsiaTheme="minorEastAsia"/>
          <w:color w:val="000000" w:themeColor="text1"/>
          <w:sz w:val="28"/>
          <w:szCs w:val="28"/>
        </w:rPr>
        <w:t>。</w:t>
      </w:r>
    </w:p>
    <w:p>
      <w:pPr>
        <w:wordWrap w:val="0"/>
        <w:ind w:firstLine="560" w:firstLineChars="200"/>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为反应池设计流量，不包括污泥回流量。</w:t>
      </w:r>
    </w:p>
    <w:p>
      <w:pPr>
        <w:widowControl/>
        <w:wordWrap w:val="0"/>
        <w:ind w:firstLine="560" w:firstLineChars="200"/>
        <w:jc w:val="left"/>
        <w:rPr>
          <w:rFonts w:eastAsiaTheme="minorEastAsia"/>
          <w:color w:val="000000" w:themeColor="text1"/>
          <w:sz w:val="28"/>
          <w:szCs w:val="28"/>
        </w:rPr>
      </w:pPr>
      <w:r>
        <w:rPr>
          <w:rFonts w:eastAsiaTheme="minorEastAsia"/>
          <w:i/>
          <w:color w:val="000000" w:themeColor="text1"/>
          <w:sz w:val="28"/>
          <w:szCs w:val="28"/>
        </w:rPr>
        <w:t>X</w:t>
      </w:r>
      <w:r>
        <w:rPr>
          <w:rFonts w:eastAsiaTheme="minorEastAsia"/>
          <w:color w:val="000000" w:themeColor="text1"/>
          <w:sz w:val="28"/>
          <w:szCs w:val="28"/>
        </w:rPr>
        <w:t>为反应池内混合液悬浮固体MLSS的平均浓度，它适用于推流式、完全混合式生物反应池。吸附再生反应池的</w:t>
      </w:r>
      <w:r>
        <w:rPr>
          <w:rFonts w:eastAsiaTheme="minorEastAsia"/>
          <w:i/>
          <w:color w:val="000000" w:themeColor="text1"/>
          <w:sz w:val="28"/>
          <w:szCs w:val="28"/>
        </w:rPr>
        <w:t>X</w:t>
      </w:r>
      <w:r>
        <w:rPr>
          <w:rFonts w:eastAsiaTheme="minorEastAsia"/>
          <w:color w:val="000000" w:themeColor="text1"/>
          <w:sz w:val="28"/>
          <w:szCs w:val="28"/>
        </w:rPr>
        <w:t>，是根据吸附区的混合液悬浮固体和再生区的混合液悬浮固体，按这两个区的容积进行加权平均得出的理论数据。</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当去除碳源污染物为主时，生物反应池的容积，可按下列公式计算：</w:t>
      </w:r>
    </w:p>
    <w:p>
      <w:pPr>
        <w:widowControl/>
        <w:wordWrap w:val="0"/>
        <w:ind w:firstLine="424" w:firstLineChars="151"/>
        <w:jc w:val="left"/>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按污泥负荷计算：</w:t>
      </w:r>
    </w:p>
    <w:p>
      <w:pPr>
        <w:widowControl/>
        <w:wordWrap w:val="0"/>
        <w:ind w:firstLine="422" w:firstLineChars="151"/>
        <w:jc w:val="right"/>
        <w:rPr>
          <w:rFonts w:eastAsiaTheme="minorEastAsia"/>
          <w:color w:val="000000" w:themeColor="text1"/>
          <w:sz w:val="28"/>
          <w:szCs w:val="28"/>
        </w:rPr>
      </w:pPr>
      <w:r>
        <w:rPr>
          <w:rFonts w:eastAsiaTheme="minorEastAsia"/>
          <w:color w:val="000000" w:themeColor="text1"/>
          <w:position w:val="-32"/>
          <w:sz w:val="28"/>
          <w:szCs w:val="28"/>
        </w:rPr>
        <w:object>
          <v:shape id="_x0000_i1035" o:spt="75" type="#_x0000_t75" style="height:41.15pt;width:87.9pt;" o:ole="t" fillcolor="#000005 [-4142]" filled="f" o:preferrelative="t" stroked="f" coordsize="21600,21600">
            <v:path/>
            <v:fill on="f" focussize="0,0"/>
            <v:stroke on="f" joinstyle="miter"/>
            <v:imagedata r:id="rId33" o:title=""/>
            <o:lock v:ext="edit" aspectratio="t"/>
            <w10:wrap type="none"/>
            <w10:anchorlock/>
          </v:shape>
          <o:OLEObject Type="Embed" ProgID="Equation.3" ShapeID="_x0000_i1035" DrawAspect="Content" ObjectID="_1468075735" r:id="rId32">
            <o:LockedField>false</o:LockedField>
          </o:OLEObject>
        </w:object>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（7.</w:t>
      </w:r>
      <w:r>
        <w:rPr>
          <w:rFonts w:hint="eastAsia" w:eastAsiaTheme="minorEastAsia"/>
          <w:color w:val="000000" w:themeColor="text1"/>
          <w:sz w:val="28"/>
          <w:szCs w:val="28"/>
        </w:rPr>
        <w:t>6</w:t>
      </w:r>
      <w:r>
        <w:rPr>
          <w:rFonts w:eastAsiaTheme="minorEastAsia"/>
          <w:color w:val="000000" w:themeColor="text1"/>
          <w:sz w:val="28"/>
          <w:szCs w:val="28"/>
        </w:rPr>
        <w:t>.10－1）</w:t>
      </w:r>
    </w:p>
    <w:p>
      <w:pPr>
        <w:widowControl/>
        <w:wordWrap w:val="0"/>
        <w:ind w:firstLine="424" w:firstLineChars="151"/>
        <w:jc w:val="left"/>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按污泥泥龄计算：</w:t>
      </w:r>
    </w:p>
    <w:p>
      <w:pPr>
        <w:widowControl/>
        <w:wordWrap w:val="0"/>
        <w:ind w:firstLine="422" w:firstLineChars="151"/>
        <w:jc w:val="right"/>
        <w:rPr>
          <w:rFonts w:eastAsiaTheme="minorEastAsia"/>
          <w:color w:val="000000" w:themeColor="text1"/>
          <w:sz w:val="28"/>
          <w:szCs w:val="28"/>
        </w:rPr>
      </w:pPr>
      <w:r>
        <w:rPr>
          <w:rFonts w:eastAsiaTheme="minorEastAsia"/>
          <w:color w:val="000000" w:themeColor="text1"/>
          <w:position w:val="-32"/>
          <w:sz w:val="28"/>
          <w:szCs w:val="28"/>
        </w:rPr>
        <w:object>
          <v:shape id="_x0000_i1036" o:spt="75" type="#_x0000_t75" style="height:41.15pt;width:132.8pt;" o:ole="t" fillcolor="#000005 [-4142]" filled="f" o:preferrelative="t" stroked="f" coordsize="21600,21600">
            <v:path/>
            <v:fill on="f" focussize="0,0"/>
            <v:stroke on="f" joinstyle="miter"/>
            <v:imagedata r:id="rId35" o:title=""/>
            <o:lock v:ext="edit" aspectratio="t"/>
            <w10:wrap type="none"/>
            <w10:anchorlock/>
          </v:shape>
          <o:OLEObject Type="Embed" ProgID="Equation.3" ShapeID="_x0000_i1036" DrawAspect="Content" ObjectID="_1468075736" r:id="rId34">
            <o:LockedField>false</o:LockedField>
          </o:OLEObject>
        </w:object>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（7.</w:t>
      </w:r>
      <w:r>
        <w:rPr>
          <w:rFonts w:hint="eastAsia" w:eastAsiaTheme="minorEastAsia"/>
          <w:color w:val="000000" w:themeColor="text1"/>
          <w:sz w:val="28"/>
          <w:szCs w:val="28"/>
        </w:rPr>
        <w:t>6</w:t>
      </w:r>
      <w:r>
        <w:rPr>
          <w:rFonts w:eastAsiaTheme="minorEastAsia"/>
          <w:color w:val="000000" w:themeColor="text1"/>
          <w:sz w:val="28"/>
          <w:szCs w:val="28"/>
        </w:rPr>
        <w:t>.10－2）</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V</w:t>
      </w:r>
      <w:r>
        <w:rPr>
          <w:rFonts w:eastAsiaTheme="minorEastAsia"/>
          <w:color w:val="000000" w:themeColor="text1"/>
          <w:sz w:val="28"/>
          <w:szCs w:val="28"/>
        </w:rPr>
        <w:t>——生物反应池的容积（m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idowControl/>
        <w:tabs>
          <w:tab w:val="left" w:pos="1134"/>
        </w:tabs>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——生物反应池的设计流量（m</w:t>
      </w:r>
      <w:r>
        <w:rPr>
          <w:rFonts w:eastAsiaTheme="minorEastAsia"/>
          <w:color w:val="000000" w:themeColor="text1"/>
          <w:sz w:val="28"/>
          <w:szCs w:val="28"/>
          <w:vertAlign w:val="superscript"/>
        </w:rPr>
        <w:t>3</w:t>
      </w:r>
      <w:r>
        <w:rPr>
          <w:rFonts w:eastAsiaTheme="minorEastAsia"/>
          <w:color w:val="000000" w:themeColor="text1"/>
          <w:sz w:val="28"/>
          <w:szCs w:val="28"/>
        </w:rPr>
        <w:t>/d）；</w:t>
      </w:r>
    </w:p>
    <w:p>
      <w:pPr>
        <w:widowControl/>
        <w:tabs>
          <w:tab w:val="left" w:pos="1134"/>
        </w:tabs>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0</w:t>
      </w:r>
      <w:r>
        <w:rPr>
          <w:rFonts w:eastAsiaTheme="minorEastAsia"/>
          <w:color w:val="000000" w:themeColor="text1"/>
          <w:sz w:val="28"/>
          <w:szCs w:val="28"/>
        </w:rPr>
        <w:t>——生物反应池进水五日生化需氧量（mg/L）；</w:t>
      </w:r>
    </w:p>
    <w:p>
      <w:pPr>
        <w:widowControl/>
        <w:tabs>
          <w:tab w:val="left" w:pos="1134"/>
        </w:tabs>
        <w:wordWrap w:val="0"/>
        <w:ind w:left="1546" w:leftChars="403" w:hanging="700" w:hangingChars="250"/>
        <w:jc w:val="left"/>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e</w:t>
      </w:r>
      <w:r>
        <w:rPr>
          <w:rFonts w:eastAsiaTheme="minorEastAsia"/>
          <w:color w:val="000000" w:themeColor="text1"/>
          <w:sz w:val="28"/>
          <w:szCs w:val="28"/>
        </w:rPr>
        <w:t>——生物反应池出水五日生化需氧量（mg/L）（当去除率大于90%时可不计入）；</w:t>
      </w:r>
    </w:p>
    <w:p>
      <w:pPr>
        <w:widowControl/>
        <w:tabs>
          <w:tab w:val="left" w:pos="1134"/>
        </w:tabs>
        <w:wordWrap w:val="0"/>
        <w:ind w:left="1546" w:leftChars="403" w:hanging="700" w:hangingChars="250"/>
        <w:jc w:val="left"/>
        <w:rPr>
          <w:rFonts w:eastAsiaTheme="minorEastAsia"/>
          <w:color w:val="000000" w:themeColor="text1"/>
          <w:sz w:val="28"/>
          <w:szCs w:val="28"/>
        </w:rPr>
      </w:pPr>
      <w:r>
        <w:rPr>
          <w:rFonts w:eastAsiaTheme="minorEastAsia"/>
          <w:i/>
          <w:color w:val="000000" w:themeColor="text1"/>
          <w:sz w:val="28"/>
          <w:szCs w:val="28"/>
        </w:rPr>
        <w:t>L</w:t>
      </w:r>
      <w:r>
        <w:rPr>
          <w:rFonts w:eastAsiaTheme="minorEastAsia"/>
          <w:i/>
          <w:color w:val="000000" w:themeColor="text1"/>
          <w:sz w:val="28"/>
          <w:szCs w:val="28"/>
          <w:vertAlign w:val="subscript"/>
        </w:rPr>
        <w:t>s</w:t>
      </w:r>
      <w:r>
        <w:rPr>
          <w:rFonts w:eastAsiaTheme="minorEastAsia"/>
          <w:color w:val="000000" w:themeColor="text1"/>
          <w:sz w:val="28"/>
          <w:szCs w:val="28"/>
        </w:rPr>
        <w:t>——生物反应池的五日生化需氧量污泥负荷[kgBOD</w:t>
      </w:r>
      <w:r>
        <w:rPr>
          <w:rFonts w:eastAsiaTheme="minorEastAsia"/>
          <w:color w:val="000000" w:themeColor="text1"/>
          <w:sz w:val="28"/>
          <w:szCs w:val="28"/>
          <w:vertAlign w:val="subscript"/>
        </w:rPr>
        <w:t>5</w:t>
      </w:r>
      <w:r>
        <w:rPr>
          <w:rFonts w:eastAsiaTheme="minorEastAsia"/>
          <w:color w:val="000000" w:themeColor="text1"/>
          <w:sz w:val="28"/>
          <w:szCs w:val="28"/>
        </w:rPr>
        <w:t>/（kgMLSS·d）]；</w:t>
      </w:r>
    </w:p>
    <w:p>
      <w:pPr>
        <w:widowControl/>
        <w:tabs>
          <w:tab w:val="left" w:pos="1134"/>
        </w:tabs>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X</w:t>
      </w:r>
      <w:r>
        <w:rPr>
          <w:rFonts w:eastAsiaTheme="minorEastAsia"/>
          <w:color w:val="000000" w:themeColor="text1"/>
          <w:sz w:val="28"/>
          <w:szCs w:val="28"/>
        </w:rPr>
        <w:t>——生物</w:t>
      </w:r>
      <w:r>
        <w:rPr>
          <w:rFonts w:eastAsiaTheme="minorEastAsia"/>
          <w:i/>
          <w:color w:val="000000" w:themeColor="text1"/>
          <w:sz w:val="28"/>
          <w:szCs w:val="28"/>
        </w:rPr>
        <w:t>反应</w:t>
      </w:r>
      <w:r>
        <w:rPr>
          <w:rFonts w:eastAsiaTheme="minorEastAsia"/>
          <w:color w:val="000000" w:themeColor="text1"/>
          <w:sz w:val="28"/>
          <w:szCs w:val="28"/>
        </w:rPr>
        <w:t>池内混合液悬浮固体平均浓度（gMLSS/L）；</w:t>
      </w:r>
    </w:p>
    <w:p>
      <w:pPr>
        <w:widowControl/>
        <w:tabs>
          <w:tab w:val="left" w:pos="1134"/>
        </w:tabs>
        <w:wordWrap w:val="0"/>
        <w:ind w:left="1406" w:leftChars="403" w:hanging="560" w:hangingChars="200"/>
        <w:jc w:val="left"/>
        <w:rPr>
          <w:rFonts w:eastAsiaTheme="minorEastAsia"/>
          <w:color w:val="000000" w:themeColor="text1"/>
          <w:sz w:val="28"/>
          <w:szCs w:val="28"/>
        </w:rPr>
      </w:pPr>
      <w:r>
        <w:rPr>
          <w:rFonts w:eastAsiaTheme="minorEastAsia"/>
          <w:i/>
          <w:color w:val="000000" w:themeColor="text1"/>
          <w:sz w:val="28"/>
          <w:szCs w:val="28"/>
        </w:rPr>
        <w:t>Y</w:t>
      </w:r>
      <w:r>
        <w:rPr>
          <w:rFonts w:eastAsiaTheme="minorEastAsia"/>
          <w:color w:val="000000" w:themeColor="text1"/>
          <w:sz w:val="28"/>
          <w:szCs w:val="28"/>
        </w:rPr>
        <w:t>——污泥</w:t>
      </w:r>
      <w:r>
        <w:rPr>
          <w:rFonts w:eastAsiaTheme="minorEastAsia"/>
          <w:i/>
          <w:color w:val="000000" w:themeColor="text1"/>
          <w:sz w:val="28"/>
          <w:szCs w:val="28"/>
        </w:rPr>
        <w:t>产率</w:t>
      </w:r>
      <w:r>
        <w:rPr>
          <w:rFonts w:eastAsiaTheme="minorEastAsia"/>
          <w:color w:val="000000" w:themeColor="text1"/>
          <w:sz w:val="28"/>
          <w:szCs w:val="28"/>
        </w:rPr>
        <w:t>系数（kgVSS/kgBOD</w:t>
      </w:r>
      <w:r>
        <w:rPr>
          <w:rFonts w:eastAsiaTheme="minorEastAsia"/>
          <w:color w:val="000000" w:themeColor="text1"/>
          <w:sz w:val="28"/>
          <w:szCs w:val="28"/>
          <w:vertAlign w:val="subscript"/>
        </w:rPr>
        <w:t>5</w:t>
      </w:r>
      <w:r>
        <w:rPr>
          <w:rFonts w:eastAsiaTheme="minorEastAsia"/>
          <w:color w:val="000000" w:themeColor="text1"/>
          <w:sz w:val="28"/>
          <w:szCs w:val="28"/>
        </w:rPr>
        <w:t>）；宜根据试验资料确定，无试验资料时，一般取为0.4~0.8；</w:t>
      </w:r>
    </w:p>
    <w:p>
      <w:pPr>
        <w:widowControl/>
        <w:tabs>
          <w:tab w:val="left" w:pos="1134"/>
        </w:tabs>
        <w:wordWrap w:val="0"/>
        <w:ind w:firstLine="848" w:firstLineChars="303"/>
        <w:jc w:val="left"/>
        <w:rPr>
          <w:rFonts w:eastAsiaTheme="minorEastAsia"/>
          <w:color w:val="000000" w:themeColor="text1"/>
          <w:sz w:val="28"/>
          <w:szCs w:val="28"/>
        </w:rPr>
      </w:pPr>
      <w:r>
        <w:rPr>
          <w:rFonts w:eastAsiaTheme="minorEastAsia"/>
          <w:color w:val="000000" w:themeColor="text1"/>
          <w:sz w:val="28"/>
          <w:szCs w:val="28"/>
        </w:rPr>
        <w:object>
          <v:shape id="_x0000_i1037" o:spt="75" type="#_x0000_t75" style="height:15.9pt;width:9.35pt;" o:ole="t" fillcolor="#000005 [-4142]" filled="f" o:preferrelative="t" stroked="f" coordsize="21600,21600">
            <v:path/>
            <v:fill on="f" focussize="0,0"/>
            <v:stroke on="f" joinstyle="miter"/>
            <v:imagedata r:id="rId37" o:title=""/>
            <o:lock v:ext="edit" aspectratio="t"/>
            <w10:wrap type="none"/>
            <w10:anchorlock/>
          </v:shape>
          <o:OLEObject Type="Embed" ProgID="Equation.3" ShapeID="_x0000_i1037" DrawAspect="Content" ObjectID="_1468075737" r:id="rId36">
            <o:LockedField>false</o:LockedField>
          </o:OLEObject>
        </w:object>
      </w:r>
      <w:r>
        <w:rPr>
          <w:rFonts w:eastAsiaTheme="minorEastAsia"/>
          <w:color w:val="000000" w:themeColor="text1"/>
          <w:sz w:val="28"/>
          <w:szCs w:val="28"/>
          <w:vertAlign w:val="subscript"/>
        </w:rPr>
        <w:t>c</w:t>
      </w:r>
      <w:r>
        <w:rPr>
          <w:rFonts w:eastAsiaTheme="minorEastAsia"/>
          <w:color w:val="000000" w:themeColor="text1"/>
          <w:sz w:val="28"/>
          <w:szCs w:val="28"/>
        </w:rPr>
        <w:t>——设计污泥泥龄（d），其数值为3~6；</w:t>
      </w:r>
    </w:p>
    <w:p>
      <w:pPr>
        <w:widowControl/>
        <w:tabs>
          <w:tab w:val="left" w:pos="1134"/>
        </w:tabs>
        <w:wordWrap w:val="0"/>
        <w:ind w:left="1546" w:leftChars="403" w:hanging="700" w:hangingChars="250"/>
        <w:jc w:val="left"/>
        <w:rPr>
          <w:rFonts w:eastAsiaTheme="minorEastAsia"/>
          <w:color w:val="000000" w:themeColor="text1"/>
          <w:sz w:val="28"/>
          <w:szCs w:val="28"/>
        </w:rPr>
      </w:pPr>
      <w:r>
        <w:rPr>
          <w:rFonts w:eastAsiaTheme="minorEastAsia"/>
          <w:i/>
          <w:color w:val="000000" w:themeColor="text1"/>
          <w:sz w:val="28"/>
          <w:szCs w:val="28"/>
        </w:rPr>
        <w:t>X</w:t>
      </w:r>
      <w:r>
        <w:rPr>
          <w:rFonts w:eastAsiaTheme="minorEastAsia"/>
          <w:color w:val="000000" w:themeColor="text1"/>
          <w:sz w:val="28"/>
          <w:szCs w:val="28"/>
          <w:vertAlign w:val="subscript"/>
        </w:rPr>
        <w:t>V</w:t>
      </w:r>
      <w:r>
        <w:rPr>
          <w:rFonts w:eastAsiaTheme="minorEastAsia"/>
          <w:color w:val="000000" w:themeColor="text1"/>
          <w:sz w:val="28"/>
          <w:szCs w:val="28"/>
        </w:rPr>
        <w:t>——生物反应池内混合液挥发性悬浮固体平均浓度（gMLVSS/L）；</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vertAlign w:val="subscript"/>
        </w:rPr>
        <w:t>d</w:t>
      </w:r>
      <w:r>
        <w:rPr>
          <w:rFonts w:eastAsiaTheme="minorEastAsia"/>
          <w:color w:val="000000" w:themeColor="text1"/>
          <w:sz w:val="28"/>
          <w:szCs w:val="28"/>
        </w:rPr>
        <w:t>——衰减系数（d</w:t>
      </w:r>
      <w:r>
        <w:rPr>
          <w:rFonts w:eastAsiaTheme="minorEastAsia"/>
          <w:color w:val="000000" w:themeColor="text1"/>
          <w:sz w:val="28"/>
          <w:szCs w:val="28"/>
          <w:vertAlign w:val="superscript"/>
        </w:rPr>
        <w:t>-1</w:t>
      </w:r>
      <w:r>
        <w:rPr>
          <w:rFonts w:eastAsiaTheme="minorEastAsia"/>
          <w:color w:val="000000" w:themeColor="text1"/>
          <w:sz w:val="28"/>
          <w:szCs w:val="28"/>
        </w:rPr>
        <w:t>），20</w:t>
      </w:r>
      <w:r>
        <w:rPr>
          <w:rFonts w:eastAsia="宋体"/>
          <w:color w:val="000000" w:themeColor="text1"/>
          <w:sz w:val="28"/>
          <w:szCs w:val="28"/>
        </w:rPr>
        <w:t>°C</w:t>
      </w:r>
      <w:r>
        <w:rPr>
          <w:rFonts w:eastAsiaTheme="minorEastAsia"/>
          <w:color w:val="000000" w:themeColor="text1"/>
          <w:sz w:val="28"/>
          <w:szCs w:val="28"/>
        </w:rPr>
        <w:t>的数值为0.04~0.075。</w:t>
      </w:r>
    </w:p>
    <w:p>
      <w:pPr>
        <w:wordWrap w:val="0"/>
        <w:rPr>
          <w:rFonts w:eastAsiaTheme="minorEastAsia"/>
          <w:color w:val="000000" w:themeColor="text1"/>
          <w:sz w:val="28"/>
          <w:szCs w:val="28"/>
        </w:rPr>
      </w:pPr>
      <w:r>
        <w:rPr>
          <w:rFonts w:eastAsiaTheme="minorEastAsia"/>
          <w:color w:val="000000" w:themeColor="text1"/>
          <w:sz w:val="28"/>
          <w:szCs w:val="28"/>
        </w:rPr>
        <w:t>【条文说明】本条采用的是按污泥负荷计算生物反应池的容积。</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由于目前很少采用按容积负荷计算生物反应池的容积，因此将按容积负荷计算的公式列入条文说明中以备方案校核、比较时参考使用，以及采用容积负荷指标时计算容积之用。按容积负荷计算生物反应池的容积时，可按下式计算：</w:t>
      </w:r>
    </w:p>
    <w:p>
      <w:pPr>
        <w:wordWrap w:val="0"/>
        <w:jc w:val="center"/>
        <w:rPr>
          <w:rFonts w:eastAsiaTheme="minorEastAsia"/>
          <w:color w:val="000000" w:themeColor="text1"/>
          <w:sz w:val="28"/>
          <w:szCs w:val="28"/>
        </w:rPr>
      </w:pPr>
      <w:r>
        <w:rPr>
          <w:rFonts w:eastAsiaTheme="minorEastAsia"/>
          <w:color w:val="000000" w:themeColor="text1"/>
          <w:position w:val="-30"/>
          <w:sz w:val="28"/>
          <w:szCs w:val="28"/>
        </w:rPr>
        <w:object>
          <v:shape id="_x0000_i1038" o:spt="75" type="#_x0000_t75" style="height:36.45pt;width:61.7pt;" o:ole="t" fillcolor="#000005 [-4142]" filled="f" o:preferrelative="t" stroked="f" coordsize="21600,21600">
            <v:path/>
            <v:fill on="f" focussize="0,0"/>
            <v:stroke on="f" joinstyle="miter"/>
            <v:imagedata r:id="rId39" o:title=""/>
            <o:lock v:ext="edit" aspectratio="t"/>
            <w10:wrap type="none"/>
            <w10:anchorlock/>
          </v:shape>
          <o:OLEObject Type="Embed" ProgID="Equation.3" ShapeID="_x0000_i1038" DrawAspect="Content" ObjectID="_1468075738" r:id="rId38">
            <o:LockedField>false</o:LockedField>
          </o:OLEObject>
        </w:object>
      </w:r>
      <w:r>
        <w:rPr>
          <w:rFonts w:eastAsiaTheme="minorEastAsia"/>
          <w:color w:val="000000" w:themeColor="text1"/>
          <w:sz w:val="28"/>
          <w:szCs w:val="28"/>
        </w:rPr>
        <w:t xml:space="preserve"> （4）</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V</w:t>
      </w:r>
      <w:r>
        <w:rPr>
          <w:rFonts w:eastAsiaTheme="minorEastAsia"/>
          <w:color w:val="000000" w:themeColor="text1"/>
          <w:sz w:val="28"/>
          <w:szCs w:val="28"/>
        </w:rPr>
        <w:t>——生物反应池的容积（m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idowControl/>
        <w:wordWrap w:val="0"/>
        <w:ind w:firstLine="840" w:firstLineChars="300"/>
        <w:jc w:val="left"/>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——生物反应池的设计流量（m</w:t>
      </w:r>
      <w:r>
        <w:rPr>
          <w:rFonts w:eastAsiaTheme="minorEastAsia"/>
          <w:color w:val="000000" w:themeColor="text1"/>
          <w:sz w:val="28"/>
          <w:szCs w:val="28"/>
          <w:vertAlign w:val="superscript"/>
        </w:rPr>
        <w:t>3</w:t>
      </w:r>
      <w:r>
        <w:rPr>
          <w:rFonts w:eastAsiaTheme="minorEastAsia"/>
          <w:color w:val="000000" w:themeColor="text1"/>
          <w:sz w:val="28"/>
          <w:szCs w:val="28"/>
        </w:rPr>
        <w:t>/d）；</w:t>
      </w:r>
    </w:p>
    <w:p>
      <w:pPr>
        <w:widowControl/>
        <w:wordWrap w:val="0"/>
        <w:ind w:firstLine="840" w:firstLineChars="300"/>
        <w:jc w:val="left"/>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0</w:t>
      </w:r>
      <w:r>
        <w:rPr>
          <w:rFonts w:eastAsiaTheme="minorEastAsia"/>
          <w:color w:val="000000" w:themeColor="text1"/>
          <w:sz w:val="28"/>
          <w:szCs w:val="28"/>
        </w:rPr>
        <w:t>——生物反应池进水五日生化需氧量（mg/L）；</w:t>
      </w:r>
    </w:p>
    <w:p>
      <w:pPr>
        <w:widowControl/>
        <w:wordWrap w:val="0"/>
        <w:ind w:left="210" w:leftChars="100" w:firstLine="560" w:firstLineChars="200"/>
        <w:jc w:val="left"/>
        <w:rPr>
          <w:rFonts w:eastAsiaTheme="minorEastAsia"/>
          <w:color w:val="000000" w:themeColor="text1"/>
          <w:sz w:val="28"/>
          <w:szCs w:val="28"/>
        </w:rPr>
      </w:pPr>
      <w:r>
        <w:rPr>
          <w:rFonts w:eastAsiaTheme="minorEastAsia"/>
          <w:i/>
          <w:color w:val="000000" w:themeColor="text1"/>
          <w:sz w:val="28"/>
          <w:szCs w:val="28"/>
        </w:rPr>
        <w:t>L</w:t>
      </w:r>
      <w:r>
        <w:rPr>
          <w:rFonts w:eastAsiaTheme="minorEastAsia"/>
          <w:color w:val="000000" w:themeColor="text1"/>
          <w:sz w:val="28"/>
          <w:szCs w:val="28"/>
          <w:vertAlign w:val="subscript"/>
        </w:rPr>
        <w:t>V</w:t>
      </w:r>
      <w:r>
        <w:rPr>
          <w:rFonts w:eastAsiaTheme="minorEastAsia"/>
          <w:color w:val="000000" w:themeColor="text1"/>
          <w:sz w:val="28"/>
          <w:szCs w:val="28"/>
        </w:rPr>
        <w:t>——生物反应池的五日生化需氧量容积负荷，kgBOD</w:t>
      </w:r>
      <w:r>
        <w:rPr>
          <w:rFonts w:eastAsiaTheme="minorEastAsia"/>
          <w:color w:val="000000" w:themeColor="text1"/>
          <w:sz w:val="28"/>
          <w:szCs w:val="28"/>
          <w:vertAlign w:val="subscript"/>
        </w:rPr>
        <w:t>5</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·d)。去除碳源污染物时，污泥龄取值宜为3~6 d。</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衰减系数</w:t>
      </w:r>
      <w:r>
        <w:rPr>
          <w:rFonts w:ascii="Times New Roman" w:hAnsi="Times New Roman" w:eastAsiaTheme="minorEastAsia"/>
          <w:i/>
          <w:color w:val="000000" w:themeColor="text1"/>
          <w:sz w:val="28"/>
          <w:szCs w:val="28"/>
        </w:rPr>
        <w:t>K</w:t>
      </w:r>
      <w:r>
        <w:rPr>
          <w:rFonts w:ascii="Times New Roman" w:hAnsi="Times New Roman" w:eastAsiaTheme="minorEastAsia"/>
          <w:color w:val="000000" w:themeColor="text1"/>
          <w:sz w:val="28"/>
          <w:szCs w:val="28"/>
          <w:vertAlign w:val="subscript"/>
        </w:rPr>
        <w:t>d</w:t>
      </w:r>
      <w:r>
        <w:rPr>
          <w:rFonts w:ascii="Times New Roman" w:hAnsi="Times New Roman" w:eastAsiaTheme="minorEastAsia"/>
          <w:color w:val="000000" w:themeColor="text1"/>
          <w:sz w:val="28"/>
          <w:szCs w:val="28"/>
        </w:rPr>
        <w:t>值应以当地冬季和夏季的污水温度进行修正，并应按下列公式计算：</w:t>
      </w:r>
    </w:p>
    <w:p>
      <w:pPr>
        <w:widowControl/>
        <w:wordWrap w:val="0"/>
        <w:jc w:val="right"/>
        <w:rPr>
          <w:rFonts w:eastAsiaTheme="minorEastAsia"/>
          <w:color w:val="000000" w:themeColor="text1"/>
          <w:sz w:val="28"/>
          <w:szCs w:val="28"/>
        </w:rPr>
      </w:pPr>
      <w:r>
        <w:rPr>
          <w:rFonts w:eastAsiaTheme="minorEastAsia"/>
          <w:color w:val="000000" w:themeColor="text1"/>
          <w:position w:val="-10"/>
          <w:sz w:val="28"/>
          <w:szCs w:val="28"/>
        </w:rPr>
        <w:object>
          <v:shape id="_x0000_i1039" o:spt="75" type="#_x0000_t75" style="height:26.2pt;width:122.5pt;" o:ole="t" fillcolor="#000005 [-4142]" filled="f" o:preferrelative="t" stroked="f" coordsize="21600,21600">
            <v:path/>
            <v:fill on="f" focussize="0,0"/>
            <v:stroke on="f" joinstyle="miter"/>
            <v:imagedata r:id="rId41" o:title=""/>
            <o:lock v:ext="edit" aspectratio="t"/>
            <w10:wrap type="none"/>
            <w10:anchorlock/>
          </v:shape>
          <o:OLEObject Type="Embed" ProgID="Equation.3" ShapeID="_x0000_i1039" DrawAspect="Content" ObjectID="_1468075739" r:id="rId40">
            <o:LockedField>false</o:LockedField>
          </o:OLEObject>
        </w:object>
      </w:r>
      <w:r>
        <w:rPr>
          <w:rFonts w:eastAsiaTheme="minorEastAsia"/>
          <w:color w:val="000000" w:themeColor="text1"/>
          <w:sz w:val="28"/>
          <w:szCs w:val="28"/>
        </w:rPr>
        <w:t xml:space="preserve">               （7.</w:t>
      </w:r>
      <w:r>
        <w:rPr>
          <w:rFonts w:hint="eastAsia" w:eastAsiaTheme="minorEastAsia"/>
          <w:color w:val="000000" w:themeColor="text1"/>
          <w:sz w:val="28"/>
          <w:szCs w:val="28"/>
        </w:rPr>
        <w:t>6</w:t>
      </w:r>
      <w:r>
        <w:rPr>
          <w:rFonts w:eastAsiaTheme="minorEastAsia"/>
          <w:color w:val="000000" w:themeColor="text1"/>
          <w:sz w:val="28"/>
          <w:szCs w:val="28"/>
        </w:rPr>
        <w:t>.11）</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K</w:t>
      </w:r>
      <w:r>
        <w:rPr>
          <w:rFonts w:eastAsiaTheme="minorEastAsia"/>
          <w:color w:val="000000" w:themeColor="text1"/>
          <w:sz w:val="28"/>
          <w:szCs w:val="28"/>
          <w:vertAlign w:val="subscript"/>
        </w:rPr>
        <w:t>dT</w:t>
      </w:r>
      <w:r>
        <w:rPr>
          <w:rFonts w:eastAsiaTheme="minorEastAsia"/>
          <w:color w:val="000000" w:themeColor="text1"/>
          <w:sz w:val="28"/>
          <w:szCs w:val="28"/>
        </w:rPr>
        <w:t>——</w:t>
      </w:r>
      <w:r>
        <w:rPr>
          <w:rFonts w:eastAsiaTheme="minorEastAsia"/>
          <w:i/>
          <w:color w:val="000000" w:themeColor="text1"/>
          <w:sz w:val="28"/>
          <w:szCs w:val="28"/>
        </w:rPr>
        <w:t>T</w:t>
      </w:r>
      <w:r>
        <w:rPr>
          <w:rFonts w:hint="eastAsia" w:ascii="宋体" w:hAnsi="宋体" w:eastAsia="宋体" w:cs="宋体"/>
          <w:color w:val="000000" w:themeColor="text1"/>
          <w:sz w:val="28"/>
          <w:szCs w:val="28"/>
        </w:rPr>
        <w:t>℃</w:t>
      </w:r>
      <w:r>
        <w:rPr>
          <w:rFonts w:eastAsiaTheme="minorEastAsia"/>
          <w:color w:val="000000" w:themeColor="text1"/>
          <w:sz w:val="28"/>
          <w:szCs w:val="28"/>
        </w:rPr>
        <w:t>时的衰减系数（d</w:t>
      </w:r>
      <w:r>
        <w:rPr>
          <w:rFonts w:eastAsiaTheme="minorEastAsia"/>
          <w:color w:val="000000" w:themeColor="text1"/>
          <w:sz w:val="28"/>
          <w:szCs w:val="28"/>
          <w:vertAlign w:val="superscript"/>
        </w:rPr>
        <w:t>-1</w:t>
      </w:r>
      <w:r>
        <w:rPr>
          <w:rFonts w:eastAsiaTheme="minorEastAsia"/>
          <w:color w:val="000000" w:themeColor="text1"/>
          <w:sz w:val="28"/>
          <w:szCs w:val="28"/>
        </w:rPr>
        <w:t>）；</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vertAlign w:val="subscript"/>
        </w:rPr>
        <w:t>d20</w:t>
      </w:r>
      <w:r>
        <w:rPr>
          <w:rFonts w:eastAsiaTheme="minorEastAsia"/>
          <w:color w:val="000000" w:themeColor="text1"/>
          <w:sz w:val="28"/>
          <w:szCs w:val="28"/>
        </w:rPr>
        <w:t>——20</w:t>
      </w:r>
      <w:r>
        <w:rPr>
          <w:rFonts w:hint="eastAsia" w:ascii="宋体" w:hAnsi="宋体" w:eastAsia="宋体" w:cs="宋体"/>
          <w:color w:val="000000" w:themeColor="text1"/>
          <w:sz w:val="28"/>
          <w:szCs w:val="28"/>
        </w:rPr>
        <w:t>℃</w:t>
      </w:r>
      <w:r>
        <w:rPr>
          <w:rFonts w:eastAsiaTheme="minorEastAsia"/>
          <w:color w:val="000000" w:themeColor="text1"/>
          <w:sz w:val="28"/>
          <w:szCs w:val="28"/>
        </w:rPr>
        <w:t>时的衰减系数（d</w:t>
      </w:r>
      <w:r>
        <w:rPr>
          <w:rFonts w:eastAsiaTheme="minorEastAsia"/>
          <w:color w:val="000000" w:themeColor="text1"/>
          <w:sz w:val="28"/>
          <w:szCs w:val="28"/>
          <w:vertAlign w:val="superscript"/>
        </w:rPr>
        <w:t>-1</w:t>
      </w:r>
      <w:r>
        <w:rPr>
          <w:rFonts w:eastAsiaTheme="minorEastAsia"/>
          <w:color w:val="000000" w:themeColor="text1"/>
          <w:sz w:val="28"/>
          <w:szCs w:val="28"/>
        </w:rPr>
        <w:t>）；</w:t>
      </w:r>
    </w:p>
    <w:p>
      <w:pPr>
        <w:widowControl/>
        <w:wordWrap w:val="0"/>
        <w:ind w:firstLine="848" w:firstLineChars="303"/>
        <w:jc w:val="left"/>
        <w:rPr>
          <w:rFonts w:eastAsiaTheme="minorEastAsia"/>
          <w:color w:val="000000" w:themeColor="text1"/>
          <w:sz w:val="28"/>
          <w:szCs w:val="28"/>
        </w:rPr>
      </w:pPr>
      <w:r>
        <w:rPr>
          <w:rFonts w:eastAsiaTheme="minorEastAsia"/>
          <w:color w:val="000000" w:themeColor="text1"/>
          <w:sz w:val="28"/>
          <w:szCs w:val="28"/>
        </w:rPr>
        <w:object>
          <v:shape id="_x0000_i1040" o:spt="75" type="#_x0000_t75" style="height:15.9pt;width:9.35pt;" o:ole="t" fillcolor="#000005 [-4142]" filled="f" o:preferrelative="t" stroked="f" coordsize="21600,21600">
            <v:path/>
            <v:fill on="f" focussize="0,0"/>
            <v:stroke on="f" joinstyle="miter"/>
            <v:imagedata r:id="rId43" o:title=""/>
            <o:lock v:ext="edit" aspectratio="t"/>
            <w10:wrap type="none"/>
            <w10:anchorlock/>
          </v:shape>
          <o:OLEObject Type="Embed" ProgID="Equation.3" ShapeID="_x0000_i1040" DrawAspect="Content" ObjectID="_1468075740" r:id="rId42">
            <o:LockedField>false</o:LockedField>
          </o:OLEObject>
        </w:object>
      </w:r>
      <w:r>
        <w:rPr>
          <w:rFonts w:eastAsiaTheme="minorEastAsia"/>
          <w:color w:val="000000" w:themeColor="text1"/>
          <w:sz w:val="28"/>
          <w:szCs w:val="28"/>
          <w:vertAlign w:val="subscript"/>
        </w:rPr>
        <w:t>T</w:t>
      </w:r>
      <w:r>
        <w:rPr>
          <w:rFonts w:eastAsiaTheme="minorEastAsia"/>
          <w:color w:val="000000" w:themeColor="text1"/>
          <w:sz w:val="28"/>
          <w:szCs w:val="28"/>
        </w:rPr>
        <w:t>——温度系数，采用1.02～1.06；</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 xml:space="preserve"> T</w:t>
      </w:r>
      <w:r>
        <w:rPr>
          <w:rFonts w:eastAsiaTheme="minorEastAsia"/>
          <w:color w:val="000000" w:themeColor="text1"/>
          <w:sz w:val="28"/>
          <w:szCs w:val="28"/>
        </w:rPr>
        <w:t>――设计温度（</w:t>
      </w:r>
      <w:r>
        <w:rPr>
          <w:rFonts w:eastAsia="宋体"/>
          <w:color w:val="000000" w:themeColor="text1"/>
          <w:sz w:val="28"/>
          <w:szCs w:val="28"/>
        </w:rPr>
        <w:t>°C</w:t>
      </w:r>
      <w:r>
        <w:rPr>
          <w:rFonts w:eastAsiaTheme="minorEastAsia"/>
          <w:color w:val="000000" w:themeColor="text1"/>
          <w:sz w:val="28"/>
          <w:szCs w:val="28"/>
        </w:rPr>
        <w:t>）。</w:t>
      </w:r>
    </w:p>
    <w:p>
      <w:pPr>
        <w:wordWrap w:val="0"/>
        <w:rPr>
          <w:rFonts w:eastAsiaTheme="minorEastAsia"/>
          <w:color w:val="000000" w:themeColor="text1"/>
          <w:sz w:val="28"/>
          <w:szCs w:val="28"/>
        </w:rPr>
      </w:pPr>
      <w:r>
        <w:rPr>
          <w:rFonts w:eastAsiaTheme="minorEastAsia"/>
          <w:color w:val="000000" w:themeColor="text1"/>
          <w:sz w:val="28"/>
          <w:szCs w:val="28"/>
        </w:rPr>
        <w:t>【条文说明】衰减系数</w:t>
      </w:r>
      <w:r>
        <w:rPr>
          <w:rFonts w:eastAsiaTheme="minorEastAsia"/>
          <w:i/>
          <w:color w:val="000000" w:themeColor="text1"/>
          <w:sz w:val="28"/>
          <w:szCs w:val="28"/>
        </w:rPr>
        <w:t>K</w:t>
      </w:r>
      <w:r>
        <w:rPr>
          <w:rFonts w:eastAsiaTheme="minorEastAsia"/>
          <w:color w:val="000000" w:themeColor="text1"/>
          <w:sz w:val="28"/>
          <w:szCs w:val="28"/>
          <w:vertAlign w:val="subscript"/>
        </w:rPr>
        <w:t>d</w:t>
      </w:r>
      <w:r>
        <w:rPr>
          <w:rFonts w:eastAsiaTheme="minorEastAsia"/>
          <w:color w:val="000000" w:themeColor="text1"/>
          <w:sz w:val="28"/>
          <w:szCs w:val="28"/>
        </w:rPr>
        <w:t>值与温度有关，列出了温度修正公式。</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生物反应池的始端可设缺氧或厌氧选择区（池），水力停留时间宜采用0.5h～1.0h。</w:t>
      </w:r>
    </w:p>
    <w:p>
      <w:pPr>
        <w:wordWrap w:val="0"/>
        <w:rPr>
          <w:rFonts w:eastAsiaTheme="minorEastAsia"/>
          <w:color w:val="000000" w:themeColor="text1"/>
          <w:sz w:val="28"/>
          <w:szCs w:val="28"/>
        </w:rPr>
      </w:pPr>
      <w:r>
        <w:rPr>
          <w:rFonts w:eastAsiaTheme="minorEastAsia"/>
          <w:color w:val="000000" w:themeColor="text1"/>
          <w:sz w:val="28"/>
          <w:szCs w:val="28"/>
        </w:rPr>
        <w:t>【条文说明】选择区（池）的作用是改善污泥性质，防止污泥膨胀。</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阶段曝气生物反应池一般宜采取在生物反应池始端1/2~3/4的总长度内设置多个进水口。</w:t>
      </w:r>
    </w:p>
    <w:p>
      <w:pPr>
        <w:wordWrap w:val="0"/>
        <w:rPr>
          <w:rFonts w:eastAsiaTheme="minorEastAsia"/>
          <w:color w:val="000000" w:themeColor="text1"/>
          <w:sz w:val="28"/>
          <w:szCs w:val="28"/>
        </w:rPr>
      </w:pPr>
      <w:r>
        <w:rPr>
          <w:rFonts w:eastAsiaTheme="minorEastAsia"/>
          <w:color w:val="000000" w:themeColor="text1"/>
          <w:sz w:val="28"/>
          <w:szCs w:val="28"/>
        </w:rPr>
        <w:t>【条文说明】本条是根据国内外有关阶段曝气法的资料而制定。阶段曝气的特点是污水沿池的始端1/2~3/4长度内分数点进入（即进水口分布在两廊道生物反应池的第一条廊道内，三廊道生物反应池的前两条廊道内，四廊道生物反应池的前三条廊道内），尽量使反应池混合液的氧利用率接近均匀，所以容积负荷比普通生物反应池大。</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吸附再生生物反应池的吸附区和再生区可在一个反应池内，也可分别由两个反应池组成，并应符合下列规定：</w:t>
      </w:r>
    </w:p>
    <w:p>
      <w:pPr>
        <w:widowControl/>
        <w:ind w:firstLine="562" w:firstLineChars="20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吸附区的容积，不应小于生物反应池总容积的1/4，吸附区的停留时间不应小于0.5h；</w:t>
      </w:r>
    </w:p>
    <w:p>
      <w:pPr>
        <w:widowControl/>
        <w:ind w:firstLine="562" w:firstLineChars="20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当吸附区和再生区在一个反应池内时，沿生物反应池长度方向应设置多个进水口；进水口的位置应适应吸附区和再生区不同容积比例的需要；进水口的尺寸应按通过全部流量计算。</w:t>
      </w:r>
    </w:p>
    <w:p>
      <w:pPr>
        <w:wordWrap w:val="0"/>
        <w:rPr>
          <w:rFonts w:eastAsiaTheme="minorEastAsia"/>
          <w:color w:val="000000" w:themeColor="text1"/>
          <w:sz w:val="28"/>
          <w:szCs w:val="28"/>
        </w:rPr>
      </w:pPr>
      <w:r>
        <w:rPr>
          <w:rFonts w:eastAsiaTheme="minorEastAsia"/>
          <w:color w:val="000000" w:themeColor="text1"/>
          <w:sz w:val="28"/>
          <w:szCs w:val="28"/>
        </w:rPr>
        <w:t>【条文说明】根据国内污水厂的运行经验，参照国外有关资料，规定吸附再生生物反应池吸附区和再生区的容积和停留时间。它的特点是回流污泥先在再生区作较长时间的曝气，然后与污水在吸附区充分混合，作较短时间接触，但一般不小于0.5h。</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完全混合生物反应池可分为合建式和分建式。合建式生物反应池的设计，应符合下列规定：</w:t>
      </w:r>
    </w:p>
    <w:p>
      <w:pPr>
        <w:widowControl/>
        <w:ind w:firstLine="562" w:firstLineChars="20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生物反应池宜采用圆形，曝气区的有效容积应包括导流区部分；</w:t>
      </w:r>
    </w:p>
    <w:p>
      <w:pPr>
        <w:widowControl/>
        <w:ind w:firstLine="562" w:firstLineChars="20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沉淀区的表面水力负荷宜为0.5m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·h)~1.0m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w:t>
      </w:r>
      <w:bookmarkStart w:id="48" w:name="_Toc74992735"/>
    </w:p>
    <w:p>
      <w:pPr>
        <w:wordWrap w:val="0"/>
        <w:rPr>
          <w:rFonts w:eastAsiaTheme="minorEastAsia"/>
          <w:color w:val="000000" w:themeColor="text1"/>
          <w:sz w:val="28"/>
          <w:szCs w:val="28"/>
        </w:rPr>
      </w:pPr>
      <w:r>
        <w:rPr>
          <w:rFonts w:eastAsiaTheme="minorEastAsia"/>
          <w:color w:val="000000" w:themeColor="text1"/>
          <w:sz w:val="28"/>
          <w:szCs w:val="28"/>
        </w:rPr>
        <w:t>【条文说明】</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据资料介绍，一般生物反应池的平均耗氧速率为30mg/(L·h)~40mg/(L·h)。根据对上海某污水厂和湖北某印染厂污水站的生物反应池回流缝处测定实际的溶解氧，表明污泥室的溶解氧浓度不一定能满足生物反应池所需的耗氧速率，为安全计，合建式完全混合反应池曝气部分的容积包括导流区，但不包括污泥室容积。</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根据国内运行经验，沉淀区的沉淀效果易受曝气区的影响。为了保证出水水质，沉淀区表面水力负荷宜为0.5m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 ~1.0m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w:t>
      </w:r>
    </w:p>
    <w:p>
      <w:pPr>
        <w:widowControl/>
        <w:wordWrap w:val="0"/>
        <w:ind w:firstLine="422" w:firstLineChars="151"/>
        <w:jc w:val="center"/>
        <w:rPr>
          <w:rFonts w:eastAsiaTheme="minorEastAsia"/>
          <w:color w:val="000000" w:themeColor="text1"/>
          <w:sz w:val="28"/>
          <w:szCs w:val="28"/>
        </w:rPr>
      </w:pPr>
      <w:r>
        <w:rPr>
          <w:rFonts w:eastAsiaTheme="minorEastAsia"/>
          <w:color w:val="000000" w:themeColor="text1"/>
          <w:sz w:val="28"/>
          <w:szCs w:val="28"/>
        </w:rPr>
        <w:t xml:space="preserve">III </w:t>
      </w:r>
      <w:bookmarkEnd w:id="48"/>
      <w:r>
        <w:rPr>
          <w:rFonts w:eastAsiaTheme="minorEastAsia"/>
          <w:color w:val="000000" w:themeColor="text1"/>
          <w:sz w:val="28"/>
          <w:szCs w:val="28"/>
        </w:rPr>
        <w:t xml:space="preserve"> 厌氧∕缺氧∕好氧法（A/A/O）</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当脱氮除磷为主时，应采用厌氧/缺氧∕好氧法（A/A/O）的水处理工艺，并应符合下列规定：</w:t>
      </w:r>
    </w:p>
    <w:p>
      <w:pPr>
        <w:widowControl/>
        <w:wordWrap w:val="0"/>
        <w:ind w:firstLine="562" w:firstLineChars="200"/>
        <w:jc w:val="left"/>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脱氮时，污水中的五日生化需氧量与总凯氏氮之比宜大于4；</w:t>
      </w:r>
    </w:p>
    <w:p>
      <w:pPr>
        <w:widowControl/>
        <w:wordWrap w:val="0"/>
        <w:ind w:firstLine="562" w:firstLineChars="200"/>
        <w:jc w:val="left"/>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除磷时，污水中的五日生化需氧量与总磷之比宜大于17；</w:t>
      </w:r>
    </w:p>
    <w:p>
      <w:pPr>
        <w:widowControl/>
        <w:wordWrap w:val="0"/>
        <w:ind w:firstLine="562" w:firstLineChars="200"/>
        <w:jc w:val="left"/>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同时脱氮、除磷时，宜同时满足前两款的要求；</w:t>
      </w:r>
    </w:p>
    <w:p>
      <w:pPr>
        <w:widowControl/>
        <w:wordWrap w:val="0"/>
        <w:ind w:firstLine="562" w:firstLineChars="200"/>
        <w:jc w:val="left"/>
        <w:rPr>
          <w:rFonts w:eastAsiaTheme="minorEastAsia"/>
          <w:color w:val="000000" w:themeColor="text1"/>
          <w:sz w:val="28"/>
          <w:szCs w:val="28"/>
        </w:rPr>
      </w:pPr>
      <w:r>
        <w:rPr>
          <w:rFonts w:eastAsiaTheme="minorEastAsia"/>
          <w:b/>
          <w:bCs/>
          <w:color w:val="000000" w:themeColor="text1"/>
          <w:sz w:val="28"/>
          <w:szCs w:val="28"/>
        </w:rPr>
        <w:t>4</w:t>
      </w:r>
      <w:r>
        <w:rPr>
          <w:rFonts w:eastAsiaTheme="minorEastAsia"/>
          <w:color w:val="000000" w:themeColor="text1"/>
          <w:sz w:val="28"/>
          <w:szCs w:val="28"/>
        </w:rPr>
        <w:t xml:space="preserve"> 好氧区（池）剩余总碱度宜大于70mg/L（以CaCO</w:t>
      </w:r>
      <w:r>
        <w:rPr>
          <w:rFonts w:eastAsiaTheme="minorEastAsia"/>
          <w:color w:val="000000" w:themeColor="text1"/>
          <w:sz w:val="28"/>
          <w:szCs w:val="28"/>
          <w:vertAlign w:val="subscript"/>
        </w:rPr>
        <w:t>3</w:t>
      </w:r>
      <w:r>
        <w:rPr>
          <w:rFonts w:eastAsiaTheme="minorEastAsia"/>
          <w:color w:val="000000" w:themeColor="text1"/>
          <w:sz w:val="28"/>
          <w:szCs w:val="28"/>
        </w:rPr>
        <w:t>计），当进水碱度不能满足上述要求时，应采取增加碱度的措施。</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【条文说明】</w:t>
      </w:r>
      <w:r>
        <w:rPr>
          <w:rFonts w:eastAsiaTheme="minorEastAsia"/>
          <w:b/>
          <w:color w:val="000000" w:themeColor="text1"/>
          <w:sz w:val="28"/>
          <w:szCs w:val="28"/>
        </w:rPr>
        <w:t>1</w:t>
      </w:r>
      <w:r>
        <w:rPr>
          <w:rFonts w:eastAsiaTheme="minorEastAsia"/>
          <w:color w:val="000000" w:themeColor="text1"/>
          <w:sz w:val="28"/>
          <w:szCs w:val="28"/>
        </w:rPr>
        <w:t xml:space="preserve"> 污水的五日生化需氧量与总凯氏氮之比是影响脱氮效果的重要因素之一。异养性反硝化菌在呼吸时，以有机基质作为电子供体，硝态氮作为电子受体，即反硝化时需消耗有机物。青岛等地污水厂运行实践表明，当污水中五日生化需氧量与总凯氏氮之比大于4时，可达理想脱氮效果；五日生化需氧量与总凯氏氮之比小于4时，脱氮效果不好。五日生化需氧量与总凯氏氮之比过小时，需外加碳源才能达到理想的脱氮效果。外加碳源可采用甲醇，它被分解后产生二氧化碳和水，不会留下任何难以分解的中间产物。由于城镇污水水量大，外加甲醇的费用较大，有些污水厂将淀粉厂、制糖厂、酿造厂等排出的高浓度有机废水作为外加碳源，取得了良好效果。当五日生化需氧量与总凯氏氮之比为4或略小于4时，可不设初次沉淀池或缩短污水在初次沉淀池中的停留时间，以增大进生物反应池污水中五日生化需氧量与氮的比值。</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生物除磷由吸磷和放磷两个过程组成，聚磷菌在厌氧放磷时，伴随着溶解性可快速生物降解的有机物在菌体内储存。若放磷时无溶解性可快速生物降解的有机物在菌体内储存，则聚磷菌在进入好氧环境中并不吸磷，此类放磷为无效放磷。生物脱氮和除磷都需有机碳，在有机碳不足，尤其是溶解性可快速生物降解的有机碳不足时，反硝化菌与聚磷菌争夺碳源，会竞争性地抑制放磷。</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污水的五日生化需氧量与总磷之比是影响除磷效果的重要因素之一。若比值过低，聚磷菌在厌氧池放磷时释放的能量不能很好地被用来吸收和贮藏溶解性有机物，影响该类细菌在好氧池的吸磷，从而使出水磷浓度升高。广州地区的一些污水厂，在五日生化需氧量与总磷之比为17及以上时，取得了良好的除磷效果。</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若五日生化需氧量与总凯氏氮之比小于4，则难以完全脱氮而导致系统中存在一定的硝态氮的残余量，这样即使污水中五日生化需氧量与总磷之比大于17，其生物除磷的效果也将受到影响。</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一般地说，聚磷菌、反硝化菌和硝化细菌生长的最佳pH值在中性或弱碱性范围，当pH值偏离最佳值时，反应速度逐渐下降，碱度起着缓冲作用。污水厂生产实践表明，为使好氧池的pH值维持在中性附近，池中剩余总碱度宜大于70mg/L。每克氨氮氧化成硝态氮需消耗7.14g碱度，大大消耗了混合液的碱度。反硝化时，还原lg硝态氮成氮气，理论上可回收3.57g碱度，此外，去除1g五日生化需氧量可以产生0.3g碱度。出水剩余总碱度可按下式计算，剩余总碱度一进水总碱度+0.3×五日生化需氧量去除量+3×反硝化脱氮量-7.14×硝化氮量，式中3为美国EPA（美国环境保护署）推荐的还原lg硝态氮可回收3g碱度。当进水碱度较小，硝化消耗碱度后，好氧池剩余碱度小于70mg/L，可增加缺氧池容积，以增加回收碱度量。在要求硝化的氨氮量较多时，可布置成多段缺氧／好氧形式。在该形式下，第一个好氧池仅氧化部分氨氮，消耗部分碱度，经第二个缺氧池回收碱度后再进入第二个好氧池消耗部分碱度，这样可减少对进水碱度的需要量。</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当仅需脱氮时，宜采用缺氧∕好氧法（</w:t>
      </w:r>
      <w:r>
        <w:rPr>
          <w:rFonts w:ascii="Times New Roman" w:hAnsi="Times New Roman" w:eastAsiaTheme="minorEastAsia"/>
          <w:i/>
          <w:color w:val="000000" w:themeColor="text1"/>
          <w:sz w:val="28"/>
          <w:szCs w:val="28"/>
        </w:rPr>
        <w:t>A</w:t>
      </w:r>
      <w:r>
        <w:rPr>
          <w:rFonts w:ascii="Times New Roman" w:hAnsi="Times New Roman" w:eastAsiaTheme="minorEastAsia"/>
          <w:color w:val="000000" w:themeColor="text1"/>
          <w:sz w:val="28"/>
          <w:szCs w:val="28"/>
          <w:vertAlign w:val="subscript"/>
        </w:rPr>
        <w:t>N</w:t>
      </w:r>
      <w:r>
        <w:rPr>
          <w:rFonts w:ascii="Times New Roman" w:hAnsi="Times New Roman" w:eastAsiaTheme="minorEastAsia"/>
          <w:i/>
          <w:color w:val="000000" w:themeColor="text1"/>
          <w:sz w:val="28"/>
          <w:szCs w:val="28"/>
        </w:rPr>
        <w:t>O</w:t>
      </w:r>
      <w:r>
        <w:rPr>
          <w:rFonts w:ascii="Times New Roman" w:hAnsi="Times New Roman" w:eastAsiaTheme="minorEastAsia"/>
          <w:color w:val="000000" w:themeColor="text1"/>
          <w:sz w:val="28"/>
          <w:szCs w:val="28"/>
        </w:rPr>
        <w:t>法），并应符合下列规定：</w:t>
      </w:r>
    </w:p>
    <w:p>
      <w:pPr>
        <w:widowControl/>
        <w:wordWrap w:val="0"/>
        <w:ind w:firstLine="562" w:firstLineChars="200"/>
        <w:jc w:val="left"/>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生物反应池中好氧区（池）的容积，采用污泥负荷或污泥龄计算时，可按本标准第7.6.10条所列公式计算时，反应池中缺氧区（池）的水力停留时间宜为0.5h～3h；</w:t>
      </w:r>
    </w:p>
    <w:p>
      <w:pPr>
        <w:widowControl/>
        <w:wordWrap w:val="0"/>
        <w:ind w:firstLine="562" w:firstLineChars="200"/>
        <w:jc w:val="left"/>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生物反应池的容积，采用硝化、反硝化动力学计算时，按下列规定计算：</w:t>
      </w:r>
    </w:p>
    <w:p>
      <w:pPr>
        <w:widowControl/>
        <w:wordWrap w:val="0"/>
        <w:ind w:firstLine="560" w:firstLineChars="200"/>
        <w:jc w:val="left"/>
        <w:rPr>
          <w:rFonts w:eastAsiaTheme="minorEastAsia"/>
          <w:color w:val="000000" w:themeColor="text1"/>
          <w:sz w:val="28"/>
          <w:szCs w:val="28"/>
        </w:rPr>
      </w:pPr>
      <w:r>
        <w:rPr>
          <w:rFonts w:eastAsiaTheme="minorEastAsia"/>
          <w:color w:val="000000" w:themeColor="text1"/>
          <w:sz w:val="28"/>
          <w:szCs w:val="28"/>
        </w:rPr>
        <w:t>1）缺氧区（池）容积，可按下列公式计算：</w:t>
      </w:r>
    </w:p>
    <w:p>
      <w:pPr>
        <w:widowControl/>
        <w:wordWrap w:val="0"/>
        <w:jc w:val="right"/>
        <w:rPr>
          <w:rFonts w:eastAsiaTheme="minorEastAsia"/>
          <w:color w:val="000000" w:themeColor="text1"/>
          <w:sz w:val="28"/>
          <w:szCs w:val="28"/>
        </w:rPr>
      </w:pPr>
      <w:r>
        <w:rPr>
          <w:rFonts w:eastAsiaTheme="minorEastAsia"/>
          <w:color w:val="000000" w:themeColor="text1"/>
          <w:position w:val="-28"/>
          <w:sz w:val="28"/>
          <w:szCs w:val="28"/>
        </w:rPr>
        <w:object>
          <v:shape id="_x0000_i1041" o:spt="75" type="#_x0000_t75" style="height:29.9pt;width:154.3pt;" o:ole="t" fillcolor="#000005 [-4142]" filled="f" o:preferrelative="t" stroked="f" coordsize="21600,21600">
            <v:path/>
            <v:fill on="f" focussize="0,0"/>
            <v:stroke on="f" joinstyle="miter"/>
            <v:imagedata r:id="rId45" o:title=""/>
            <o:lock v:ext="edit" aspectratio="t"/>
            <w10:wrap type="none"/>
            <w10:anchorlock/>
          </v:shape>
          <o:OLEObject Type="Embed" ProgID="Equation.3" ShapeID="_x0000_i1041" DrawAspect="Content" ObjectID="_1468075741" r:id="rId44">
            <o:LockedField>false</o:LockedField>
          </o:OLEObject>
        </w:object>
      </w:r>
      <w:r>
        <w:rPr>
          <w:rFonts w:eastAsiaTheme="minorEastAsia"/>
          <w:color w:val="000000" w:themeColor="text1"/>
          <w:sz w:val="28"/>
          <w:szCs w:val="28"/>
        </w:rPr>
        <w:t xml:space="preserve">          （7.</w:t>
      </w:r>
      <w:r>
        <w:rPr>
          <w:rFonts w:hint="eastAsia" w:eastAsiaTheme="minorEastAsia"/>
          <w:color w:val="000000" w:themeColor="text1"/>
          <w:sz w:val="28"/>
          <w:szCs w:val="28"/>
        </w:rPr>
        <w:t>6</w:t>
      </w:r>
      <w:r>
        <w:rPr>
          <w:rFonts w:eastAsiaTheme="minorEastAsia"/>
          <w:color w:val="000000" w:themeColor="text1"/>
          <w:sz w:val="28"/>
          <w:szCs w:val="28"/>
        </w:rPr>
        <w:t>.17－1）</w:t>
      </w:r>
    </w:p>
    <w:p>
      <w:pPr>
        <w:widowControl/>
        <w:wordWrap w:val="0"/>
        <w:jc w:val="right"/>
        <w:rPr>
          <w:rFonts w:eastAsiaTheme="minorEastAsia"/>
          <w:color w:val="000000" w:themeColor="text1"/>
          <w:sz w:val="28"/>
          <w:szCs w:val="28"/>
        </w:rPr>
      </w:pPr>
      <w:r>
        <w:rPr>
          <w:rFonts w:eastAsiaTheme="minorEastAsia"/>
          <w:color w:val="000000" w:themeColor="text1"/>
          <w:position w:val="-16"/>
          <w:sz w:val="28"/>
          <w:szCs w:val="28"/>
        </w:rPr>
        <w:object>
          <v:shape id="_x0000_i1042" o:spt="75" type="#_x0000_t75" style="height:23.4pt;width:110.35pt;" o:ole="t" fillcolor="#000005 [-4142]" filled="f" o:preferrelative="t" stroked="f" coordsize="21600,21600">
            <v:path/>
            <v:fill on="f" focussize="0,0"/>
            <v:stroke on="f" joinstyle="miter"/>
            <v:imagedata r:id="rId47" o:title=""/>
            <o:lock v:ext="edit" aspectratio="t"/>
            <w10:wrap type="none"/>
            <w10:anchorlock/>
          </v:shape>
          <o:OLEObject Type="Embed" ProgID="Equation.3" ShapeID="_x0000_i1042" DrawAspect="Content" ObjectID="_1468075742" r:id="rId46">
            <o:LockedField>false</o:LockedField>
          </o:OLEObject>
        </w:object>
      </w:r>
      <w:r>
        <w:rPr>
          <w:rFonts w:eastAsiaTheme="minorEastAsia"/>
          <w:color w:val="000000" w:themeColor="text1"/>
          <w:sz w:val="28"/>
          <w:szCs w:val="28"/>
        </w:rPr>
        <w:t xml:space="preserve">              （7.</w:t>
      </w:r>
      <w:r>
        <w:rPr>
          <w:rFonts w:hint="eastAsia" w:eastAsiaTheme="minorEastAsia"/>
          <w:color w:val="000000" w:themeColor="text1"/>
          <w:sz w:val="28"/>
          <w:szCs w:val="28"/>
        </w:rPr>
        <w:t>6</w:t>
      </w:r>
      <w:r>
        <w:rPr>
          <w:rFonts w:eastAsiaTheme="minorEastAsia"/>
          <w:color w:val="000000" w:themeColor="text1"/>
          <w:sz w:val="28"/>
          <w:szCs w:val="28"/>
        </w:rPr>
        <w:t>.17－2）</w:t>
      </w:r>
    </w:p>
    <w:p>
      <w:pPr>
        <w:widowControl/>
        <w:wordWrap w:val="0"/>
        <w:jc w:val="right"/>
        <w:rPr>
          <w:rFonts w:eastAsiaTheme="minorEastAsia"/>
          <w:color w:val="000000" w:themeColor="text1"/>
          <w:sz w:val="28"/>
          <w:szCs w:val="28"/>
        </w:rPr>
      </w:pPr>
      <w:r>
        <w:rPr>
          <w:rFonts w:eastAsiaTheme="minorEastAsia"/>
          <w:color w:val="000000" w:themeColor="text1"/>
          <w:sz w:val="28"/>
          <w:szCs w:val="28"/>
        </w:rPr>
        <w:object>
          <v:shape id="_x0000_i1043" o:spt="75" type="#_x0000_t75" style="height:29pt;width:114.1pt;" o:ole="t" fillcolor="#000005 [-4142]" filled="f" o:preferrelative="t" stroked="f" coordsize="21600,21600">
            <v:path/>
            <v:fill on="f" focussize="0,0"/>
            <v:stroke on="f" joinstyle="miter"/>
            <v:imagedata r:id="rId49" o:title=""/>
            <o:lock v:ext="edit" aspectratio="t"/>
            <w10:wrap type="none"/>
            <w10:anchorlock/>
          </v:shape>
          <o:OLEObject Type="Embed" ProgID="Equation.3" ShapeID="_x0000_i1043" DrawAspect="Content" ObjectID="_1468075743" r:id="rId48">
            <o:LockedField>false</o:LockedField>
          </o:OLEObject>
        </w:object>
      </w:r>
      <w:r>
        <w:rPr>
          <w:rFonts w:eastAsiaTheme="minorEastAsia"/>
          <w:color w:val="000000" w:themeColor="text1"/>
          <w:sz w:val="28"/>
          <w:szCs w:val="28"/>
        </w:rPr>
        <w:t xml:space="preserve">              （7.</w:t>
      </w:r>
      <w:r>
        <w:rPr>
          <w:rFonts w:hint="eastAsia" w:eastAsiaTheme="minorEastAsia"/>
          <w:color w:val="000000" w:themeColor="text1"/>
          <w:sz w:val="28"/>
          <w:szCs w:val="28"/>
        </w:rPr>
        <w:t>6</w:t>
      </w:r>
      <w:r>
        <w:rPr>
          <w:rFonts w:eastAsiaTheme="minorEastAsia"/>
          <w:color w:val="000000" w:themeColor="text1"/>
          <w:sz w:val="28"/>
          <w:szCs w:val="28"/>
        </w:rPr>
        <w:t>.17－3）</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V</w:t>
      </w:r>
      <w:r>
        <w:rPr>
          <w:rFonts w:eastAsiaTheme="minorEastAsia"/>
          <w:color w:val="000000" w:themeColor="text1"/>
          <w:sz w:val="28"/>
          <w:szCs w:val="28"/>
          <w:vertAlign w:val="subscript"/>
        </w:rPr>
        <w:t>n</w:t>
      </w:r>
      <w:r>
        <w:rPr>
          <w:rFonts w:eastAsiaTheme="minorEastAsia"/>
          <w:color w:val="000000" w:themeColor="text1"/>
          <w:sz w:val="28"/>
          <w:szCs w:val="28"/>
        </w:rPr>
        <w:t>——缺氧区（池）容积（m</w:t>
      </w:r>
      <w:r>
        <w:rPr>
          <w:rFonts w:eastAsiaTheme="minorEastAsia"/>
          <w:color w:val="000000" w:themeColor="text1"/>
          <w:sz w:val="28"/>
          <w:szCs w:val="28"/>
          <w:vertAlign w:val="superscript"/>
        </w:rPr>
        <w:t>3</w:t>
      </w:r>
      <w:r>
        <w:rPr>
          <w:rFonts w:eastAsiaTheme="minorEastAsia"/>
          <w:color w:val="000000" w:themeColor="text1"/>
          <w:sz w:val="28"/>
          <w:szCs w:val="28"/>
        </w:rPr>
        <w:t xml:space="preserve">）； </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——生物反应池的设计流量（m</w:t>
      </w:r>
      <w:r>
        <w:rPr>
          <w:rFonts w:eastAsiaTheme="minorEastAsia"/>
          <w:color w:val="000000" w:themeColor="text1"/>
          <w:sz w:val="28"/>
          <w:szCs w:val="28"/>
          <w:vertAlign w:val="superscript"/>
        </w:rPr>
        <w:t>3</w:t>
      </w:r>
      <w:r>
        <w:rPr>
          <w:rFonts w:eastAsiaTheme="minorEastAsia"/>
          <w:color w:val="000000" w:themeColor="text1"/>
          <w:sz w:val="28"/>
          <w:szCs w:val="28"/>
        </w:rPr>
        <w:t>∕d）；</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k</w:t>
      </w:r>
      <w:r>
        <w:rPr>
          <w:rFonts w:eastAsiaTheme="minorEastAsia"/>
          <w:color w:val="000000" w:themeColor="text1"/>
          <w:sz w:val="28"/>
          <w:szCs w:val="28"/>
        </w:rPr>
        <w:t>——生物反应池进水总凯氏氮浓度（mg∕L）；</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te</w:t>
      </w:r>
      <w:r>
        <w:rPr>
          <w:rFonts w:eastAsiaTheme="minorEastAsia"/>
          <w:color w:val="000000" w:themeColor="text1"/>
          <w:sz w:val="28"/>
          <w:szCs w:val="28"/>
        </w:rPr>
        <w:t>——生物反应池出水总氮浓度（mg∕L）；</w:t>
      </w:r>
    </w:p>
    <w:p>
      <w:pPr>
        <w:widowControl/>
        <w:wordWrap w:val="0"/>
        <w:ind w:firstLine="848" w:firstLineChars="303"/>
        <w:jc w:val="left"/>
        <w:rPr>
          <w:rFonts w:eastAsiaTheme="minorEastAsia"/>
          <w:color w:val="000000" w:themeColor="text1"/>
          <w:sz w:val="28"/>
          <w:szCs w:val="28"/>
        </w:rPr>
      </w:pPr>
      <w:r>
        <w:rPr>
          <w:rFonts w:ascii="Cambria Math" w:hAnsi="Cambria Math" w:cs="Cambria Math" w:eastAsiaTheme="minorEastAsia"/>
          <w:color w:val="000000" w:themeColor="text1"/>
          <w:sz w:val="28"/>
          <w:szCs w:val="28"/>
        </w:rPr>
        <w:t>△</w:t>
      </w:r>
      <w:r>
        <w:rPr>
          <w:rFonts w:eastAsiaTheme="minorEastAsia"/>
          <w:i/>
          <w:color w:val="000000" w:themeColor="text1"/>
          <w:sz w:val="28"/>
          <w:szCs w:val="28"/>
        </w:rPr>
        <w:t>X</w:t>
      </w:r>
      <w:r>
        <w:rPr>
          <w:rFonts w:eastAsiaTheme="minorEastAsia"/>
          <w:color w:val="000000" w:themeColor="text1"/>
          <w:sz w:val="28"/>
          <w:szCs w:val="28"/>
          <w:vertAlign w:val="subscript"/>
        </w:rPr>
        <w:t>v</w:t>
      </w:r>
      <w:r>
        <w:rPr>
          <w:rFonts w:eastAsiaTheme="minorEastAsia"/>
          <w:color w:val="000000" w:themeColor="text1"/>
          <w:sz w:val="28"/>
          <w:szCs w:val="28"/>
        </w:rPr>
        <w:t>——排出生物反应池系统的微生物量（kgMLVSS∕d）；</w:t>
      </w:r>
      <w:r>
        <w:rPr>
          <w:rFonts w:eastAsiaTheme="minorEastAsia"/>
          <w:i/>
          <w:color w:val="000000" w:themeColor="text1"/>
          <w:sz w:val="28"/>
          <w:szCs w:val="28"/>
        </w:rPr>
        <w:t xml:space="preserve"> </w:t>
      </w:r>
    </w:p>
    <w:p>
      <w:pPr>
        <w:widowControl/>
        <w:wordWrap w:val="0"/>
        <w:ind w:left="1756" w:leftChars="303" w:hanging="1120" w:hangingChars="400"/>
        <w:jc w:val="left"/>
        <w:rPr>
          <w:rFonts w:eastAsiaTheme="minorEastAsia"/>
          <w:color w:val="000000" w:themeColor="text1"/>
          <w:sz w:val="28"/>
          <w:szCs w:val="28"/>
        </w:rPr>
      </w:pPr>
      <w:r>
        <w:rPr>
          <w:rFonts w:eastAsiaTheme="minorEastAsia"/>
          <w:i/>
          <w:color w:val="000000" w:themeColor="text1"/>
          <w:sz w:val="28"/>
          <w:szCs w:val="28"/>
        </w:rPr>
        <w:t xml:space="preserve"> K</w:t>
      </w:r>
      <w:r>
        <w:rPr>
          <w:rFonts w:eastAsiaTheme="minorEastAsia"/>
          <w:color w:val="000000" w:themeColor="text1"/>
          <w:sz w:val="28"/>
          <w:szCs w:val="28"/>
          <w:vertAlign w:val="subscript"/>
        </w:rPr>
        <w:t>de</w:t>
      </w:r>
      <w:r>
        <w:rPr>
          <w:rFonts w:eastAsiaTheme="minorEastAsia"/>
          <w:color w:val="000000" w:themeColor="text1"/>
          <w:sz w:val="28"/>
          <w:szCs w:val="28"/>
        </w:rPr>
        <w:t>——脱氮速率[kgNO</w:t>
      </w:r>
      <w:r>
        <w:rPr>
          <w:rFonts w:eastAsiaTheme="minorEastAsia"/>
          <w:color w:val="000000" w:themeColor="text1"/>
          <w:sz w:val="28"/>
          <w:szCs w:val="28"/>
          <w:vertAlign w:val="subscript"/>
        </w:rPr>
        <w:t>3</w:t>
      </w:r>
      <w:r>
        <w:rPr>
          <w:rFonts w:eastAsiaTheme="minorEastAsia"/>
          <w:color w:val="000000" w:themeColor="text1"/>
          <w:sz w:val="28"/>
          <w:szCs w:val="28"/>
        </w:rPr>
        <w:t>－N∕（kgMLSS·d）]，宜根据试验资料确定。无试验资料时，20</w:t>
      </w:r>
      <w:r>
        <w:rPr>
          <w:rFonts w:eastAsia="宋体"/>
          <w:color w:val="000000" w:themeColor="text1"/>
          <w:sz w:val="28"/>
          <w:szCs w:val="28"/>
        </w:rPr>
        <w:t>°C</w:t>
      </w:r>
      <w:r>
        <w:rPr>
          <w:rFonts w:eastAsiaTheme="minorEastAsia"/>
          <w:color w:val="000000" w:themeColor="text1"/>
          <w:sz w:val="28"/>
          <w:szCs w:val="28"/>
        </w:rPr>
        <w:t>的</w:t>
      </w:r>
      <w:r>
        <w:rPr>
          <w:rFonts w:eastAsiaTheme="minorEastAsia"/>
          <w:i/>
          <w:color w:val="000000" w:themeColor="text1"/>
          <w:sz w:val="28"/>
          <w:szCs w:val="28"/>
        </w:rPr>
        <w:t>K</w:t>
      </w:r>
      <w:r>
        <w:rPr>
          <w:rFonts w:eastAsiaTheme="minorEastAsia"/>
          <w:color w:val="000000" w:themeColor="text1"/>
          <w:sz w:val="28"/>
          <w:szCs w:val="28"/>
          <w:vertAlign w:val="subscript"/>
        </w:rPr>
        <w:t>de</w:t>
      </w:r>
      <w:r>
        <w:rPr>
          <w:rFonts w:eastAsiaTheme="minorEastAsia"/>
          <w:color w:val="000000" w:themeColor="text1"/>
          <w:sz w:val="28"/>
          <w:szCs w:val="28"/>
        </w:rPr>
        <w:t>值可采用0.03~0.06 [（kgNO</w:t>
      </w:r>
      <w:r>
        <w:rPr>
          <w:rFonts w:eastAsiaTheme="minorEastAsia"/>
          <w:color w:val="000000" w:themeColor="text1"/>
          <w:sz w:val="28"/>
          <w:szCs w:val="28"/>
          <w:vertAlign w:val="subscript"/>
        </w:rPr>
        <w:t>3</w:t>
      </w:r>
      <w:r>
        <w:rPr>
          <w:rFonts w:eastAsiaTheme="minorEastAsia"/>
          <w:color w:val="000000" w:themeColor="text1"/>
          <w:sz w:val="28"/>
          <w:szCs w:val="28"/>
        </w:rPr>
        <w:t>－N/（kgMLSS·d）]，并按本标准公式（7.</w:t>
      </w:r>
      <w:r>
        <w:rPr>
          <w:rFonts w:hint="eastAsia" w:eastAsiaTheme="minorEastAsia"/>
          <w:color w:val="000000" w:themeColor="text1"/>
          <w:sz w:val="28"/>
          <w:szCs w:val="28"/>
        </w:rPr>
        <w:t>6</w:t>
      </w:r>
      <w:r>
        <w:rPr>
          <w:rFonts w:eastAsiaTheme="minorEastAsia"/>
          <w:color w:val="000000" w:themeColor="text1"/>
          <w:sz w:val="28"/>
          <w:szCs w:val="28"/>
        </w:rPr>
        <w:t>.17-2）进行温度修正；</w:t>
      </w:r>
    </w:p>
    <w:p>
      <w:pPr>
        <w:widowControl/>
        <w:wordWrap w:val="0"/>
        <w:ind w:left="1756" w:leftChars="303" w:hanging="1120" w:hangingChars="400"/>
        <w:jc w:val="left"/>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vertAlign w:val="subscript"/>
        </w:rPr>
        <w:t>de（T）</w:t>
      </w:r>
      <w:r>
        <w:rPr>
          <w:rFonts w:eastAsiaTheme="minorEastAsia"/>
          <w:color w:val="000000" w:themeColor="text1"/>
          <w:sz w:val="28"/>
          <w:szCs w:val="28"/>
        </w:rPr>
        <w:t>、</w:t>
      </w:r>
      <w:r>
        <w:rPr>
          <w:rFonts w:eastAsiaTheme="minorEastAsia"/>
          <w:i/>
          <w:color w:val="000000" w:themeColor="text1"/>
          <w:sz w:val="28"/>
          <w:szCs w:val="28"/>
        </w:rPr>
        <w:t>K</w:t>
      </w:r>
      <w:r>
        <w:rPr>
          <w:rFonts w:eastAsiaTheme="minorEastAsia"/>
          <w:color w:val="000000" w:themeColor="text1"/>
          <w:sz w:val="28"/>
          <w:szCs w:val="28"/>
          <w:vertAlign w:val="subscript"/>
        </w:rPr>
        <w:t>de（20）</w:t>
      </w:r>
      <w:r>
        <w:rPr>
          <w:rFonts w:eastAsiaTheme="minorEastAsia"/>
          <w:color w:val="000000" w:themeColor="text1"/>
          <w:sz w:val="28"/>
          <w:szCs w:val="28"/>
        </w:rPr>
        <w:t>——分别为</w:t>
      </w:r>
      <w:r>
        <w:rPr>
          <w:rFonts w:eastAsiaTheme="minorEastAsia"/>
          <w:i/>
          <w:color w:val="000000" w:themeColor="text1"/>
          <w:sz w:val="28"/>
          <w:szCs w:val="28"/>
        </w:rPr>
        <w:t>T</w:t>
      </w:r>
      <w:r>
        <w:rPr>
          <w:rFonts w:eastAsia="宋体"/>
          <w:color w:val="000000" w:themeColor="text1"/>
          <w:sz w:val="28"/>
          <w:szCs w:val="28"/>
        </w:rPr>
        <w:t>°C</w:t>
      </w:r>
      <w:r>
        <w:rPr>
          <w:rFonts w:eastAsiaTheme="minorEastAsia"/>
          <w:color w:val="000000" w:themeColor="text1"/>
          <w:sz w:val="28"/>
          <w:szCs w:val="28"/>
        </w:rPr>
        <w:t>和20</w:t>
      </w:r>
      <w:r>
        <w:rPr>
          <w:rFonts w:eastAsia="宋体"/>
          <w:color w:val="000000" w:themeColor="text1"/>
          <w:sz w:val="28"/>
          <w:szCs w:val="28"/>
        </w:rPr>
        <w:t>°C</w:t>
      </w:r>
      <w:r>
        <w:rPr>
          <w:rFonts w:eastAsiaTheme="minorEastAsia"/>
          <w:color w:val="000000" w:themeColor="text1"/>
          <w:sz w:val="28"/>
          <w:szCs w:val="28"/>
        </w:rPr>
        <w:t>时的脱氮速率；</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X</w:t>
      </w:r>
      <w:r>
        <w:rPr>
          <w:rFonts w:eastAsiaTheme="minorEastAsia"/>
          <w:color w:val="000000" w:themeColor="text1"/>
          <w:sz w:val="28"/>
          <w:szCs w:val="28"/>
        </w:rPr>
        <w:t>——生物反应池内混合液悬浮固体平均浓度（gMLSS/L）；</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rPr>
        <w:t>——设计温度（</w:t>
      </w:r>
      <w:r>
        <w:rPr>
          <w:rFonts w:eastAsia="宋体"/>
          <w:color w:val="000000" w:themeColor="text1"/>
          <w:sz w:val="28"/>
          <w:szCs w:val="28"/>
        </w:rPr>
        <w:t>°C</w:t>
      </w:r>
      <w:r>
        <w:rPr>
          <w:rFonts w:eastAsiaTheme="minorEastAsia"/>
          <w:color w:val="000000" w:themeColor="text1"/>
          <w:sz w:val="28"/>
          <w:szCs w:val="28"/>
        </w:rPr>
        <w:t>）；</w:t>
      </w:r>
    </w:p>
    <w:p>
      <w:pPr>
        <w:widowControl/>
        <w:wordWrap w:val="0"/>
        <w:ind w:left="1441" w:leftChars="353" w:hanging="700" w:hangingChars="250"/>
        <w:jc w:val="left"/>
        <w:rPr>
          <w:rFonts w:eastAsiaTheme="minorEastAsia"/>
          <w:color w:val="000000" w:themeColor="text1"/>
          <w:sz w:val="28"/>
          <w:szCs w:val="28"/>
        </w:rPr>
      </w:pPr>
      <w:r>
        <w:rPr>
          <w:rFonts w:eastAsiaTheme="minorEastAsia"/>
          <w:i/>
          <w:color w:val="000000" w:themeColor="text1"/>
          <w:sz w:val="28"/>
          <w:szCs w:val="28"/>
        </w:rPr>
        <w:t>Y</w:t>
      </w:r>
      <w:r>
        <w:rPr>
          <w:rFonts w:eastAsiaTheme="minorEastAsia"/>
          <w:color w:val="000000" w:themeColor="text1"/>
          <w:sz w:val="28"/>
          <w:szCs w:val="28"/>
          <w:vertAlign w:val="subscript"/>
        </w:rPr>
        <w:t>t</w:t>
      </w:r>
      <w:r>
        <w:rPr>
          <w:rFonts w:eastAsiaTheme="minorEastAsia"/>
          <w:color w:val="000000" w:themeColor="text1"/>
          <w:sz w:val="28"/>
          <w:szCs w:val="28"/>
        </w:rPr>
        <w:t>——污泥产率系数（kgMLSS∕kgBOD</w:t>
      </w:r>
      <w:r>
        <w:rPr>
          <w:rFonts w:eastAsiaTheme="minorEastAsia"/>
          <w:color w:val="000000" w:themeColor="text1"/>
          <w:sz w:val="28"/>
          <w:szCs w:val="28"/>
          <w:vertAlign w:val="subscript"/>
        </w:rPr>
        <w:t>5</w:t>
      </w:r>
      <w:r>
        <w:rPr>
          <w:rFonts w:eastAsiaTheme="minorEastAsia"/>
          <w:color w:val="000000" w:themeColor="text1"/>
          <w:sz w:val="28"/>
          <w:szCs w:val="28"/>
        </w:rPr>
        <w:t>），宜根据试验资料确定。无试验资料时，系统有初次沉淀池时</w:t>
      </w:r>
      <w:r>
        <w:rPr>
          <w:rFonts w:hint="eastAsia" w:eastAsiaTheme="minorEastAsia"/>
          <w:color w:val="000000" w:themeColor="text1"/>
          <w:sz w:val="28"/>
          <w:szCs w:val="28"/>
        </w:rPr>
        <w:t>宜</w:t>
      </w:r>
      <w:r>
        <w:rPr>
          <w:rFonts w:eastAsiaTheme="minorEastAsia"/>
          <w:color w:val="000000" w:themeColor="text1"/>
          <w:sz w:val="28"/>
          <w:szCs w:val="28"/>
        </w:rPr>
        <w:t>取0.3-0.6，无初次沉淀池时</w:t>
      </w:r>
      <w:r>
        <w:rPr>
          <w:rFonts w:hint="eastAsia" w:eastAsiaTheme="minorEastAsia"/>
          <w:color w:val="000000" w:themeColor="text1"/>
          <w:sz w:val="28"/>
          <w:szCs w:val="28"/>
        </w:rPr>
        <w:t>宜</w:t>
      </w:r>
      <w:r>
        <w:rPr>
          <w:rFonts w:eastAsiaTheme="minorEastAsia"/>
          <w:color w:val="000000" w:themeColor="text1"/>
          <w:sz w:val="28"/>
          <w:szCs w:val="28"/>
        </w:rPr>
        <w:t>取0.8～1.2；</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y</w:t>
      </w:r>
      <w:r>
        <w:rPr>
          <w:rFonts w:eastAsiaTheme="minorEastAsia"/>
          <w:color w:val="000000" w:themeColor="text1"/>
          <w:sz w:val="28"/>
          <w:szCs w:val="28"/>
        </w:rPr>
        <w:t>——</w:t>
      </w:r>
      <w:r>
        <w:rPr>
          <w:rFonts w:eastAsiaTheme="minorEastAsia"/>
          <w:i/>
          <w:color w:val="000000" w:themeColor="text1"/>
          <w:sz w:val="28"/>
          <w:szCs w:val="28"/>
        </w:rPr>
        <w:t>MLSS</w:t>
      </w:r>
      <w:r>
        <w:rPr>
          <w:rFonts w:eastAsiaTheme="minorEastAsia"/>
          <w:color w:val="000000" w:themeColor="text1"/>
          <w:sz w:val="28"/>
          <w:szCs w:val="28"/>
        </w:rPr>
        <w:t>中</w:t>
      </w:r>
      <w:r>
        <w:rPr>
          <w:rFonts w:eastAsiaTheme="minorEastAsia"/>
          <w:i/>
          <w:color w:val="000000" w:themeColor="text1"/>
          <w:sz w:val="28"/>
          <w:szCs w:val="28"/>
        </w:rPr>
        <w:t>MLVSS</w:t>
      </w:r>
      <w:r>
        <w:rPr>
          <w:rFonts w:eastAsiaTheme="minorEastAsia"/>
          <w:color w:val="000000" w:themeColor="text1"/>
          <w:sz w:val="28"/>
          <w:szCs w:val="28"/>
        </w:rPr>
        <w:t>所占比例；</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0</w:t>
      </w:r>
      <w:r>
        <w:rPr>
          <w:rFonts w:eastAsiaTheme="minorEastAsia"/>
          <w:color w:val="000000" w:themeColor="text1"/>
          <w:sz w:val="28"/>
          <w:szCs w:val="28"/>
        </w:rPr>
        <w:t>——生物反应池进水五日生化需氧量浓度（mg/L）；</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e</w:t>
      </w:r>
      <w:r>
        <w:rPr>
          <w:rFonts w:eastAsiaTheme="minorEastAsia"/>
          <w:color w:val="000000" w:themeColor="text1"/>
          <w:sz w:val="28"/>
          <w:szCs w:val="28"/>
        </w:rPr>
        <w:t>——生物反应池进出水五日生化需氧量浓度（mg/L）。</w:t>
      </w:r>
    </w:p>
    <w:p>
      <w:pPr>
        <w:widowControl/>
        <w:wordWrap w:val="0"/>
        <w:ind w:firstLine="560" w:firstLineChars="200"/>
        <w:jc w:val="left"/>
        <w:rPr>
          <w:rFonts w:eastAsiaTheme="minorEastAsia"/>
          <w:color w:val="000000" w:themeColor="text1"/>
          <w:sz w:val="28"/>
          <w:szCs w:val="28"/>
        </w:rPr>
      </w:pPr>
      <w:r>
        <w:rPr>
          <w:rFonts w:eastAsiaTheme="minorEastAsia"/>
          <w:bCs/>
          <w:color w:val="000000" w:themeColor="text1"/>
          <w:sz w:val="28"/>
          <w:szCs w:val="28"/>
        </w:rPr>
        <w:t>2）</w:t>
      </w:r>
      <w:r>
        <w:rPr>
          <w:rFonts w:eastAsiaTheme="minorEastAsia"/>
          <w:color w:val="000000" w:themeColor="text1"/>
          <w:sz w:val="28"/>
          <w:szCs w:val="28"/>
        </w:rPr>
        <w:t xml:space="preserve">  好氧区（池）容积，可按下列公式计算：</w:t>
      </w:r>
    </w:p>
    <w:p>
      <w:pPr>
        <w:widowControl/>
        <w:wordWrap w:val="0"/>
        <w:jc w:val="right"/>
        <w:rPr>
          <w:rFonts w:eastAsiaTheme="minorEastAsia"/>
          <w:color w:val="000000" w:themeColor="text1"/>
          <w:sz w:val="28"/>
          <w:szCs w:val="28"/>
        </w:rPr>
      </w:pPr>
      <w:r>
        <w:rPr>
          <w:rFonts w:eastAsiaTheme="minorEastAsia"/>
          <w:color w:val="000000" w:themeColor="text1"/>
          <w:position w:val="-22"/>
          <w:sz w:val="28"/>
          <w:szCs w:val="28"/>
        </w:rPr>
        <w:object>
          <v:shape id="_x0000_i1044" o:spt="75" type="#_x0000_t75" style="height:29pt;width:98.2pt;" o:ole="t" fillcolor="#000005 [-4142]" filled="f" o:preferrelative="t" stroked="f" coordsize="21600,21600">
            <v:path/>
            <v:fill on="f" focussize="0,0"/>
            <v:stroke on="f" joinstyle="miter"/>
            <v:imagedata r:id="rId51" o:title=""/>
            <o:lock v:ext="edit" aspectratio="t"/>
            <w10:wrap type="none"/>
            <w10:anchorlock/>
          </v:shape>
          <o:OLEObject Type="Embed" ProgID="Equation.3" ShapeID="_x0000_i1044" DrawAspect="Content" ObjectID="_1468075744" r:id="rId50">
            <o:LockedField>false</o:LockedField>
          </o:OLEObject>
        </w:object>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（7.</w:t>
      </w:r>
      <w:r>
        <w:rPr>
          <w:rFonts w:hint="eastAsia" w:eastAsiaTheme="minorEastAsia"/>
          <w:color w:val="000000" w:themeColor="text1"/>
          <w:sz w:val="28"/>
          <w:szCs w:val="28"/>
        </w:rPr>
        <w:t>6</w:t>
      </w:r>
      <w:r>
        <w:rPr>
          <w:rFonts w:eastAsiaTheme="minorEastAsia"/>
          <w:color w:val="000000" w:themeColor="text1"/>
          <w:sz w:val="28"/>
          <w:szCs w:val="28"/>
        </w:rPr>
        <w:t>.17－4）</w:t>
      </w:r>
    </w:p>
    <w:p>
      <w:pPr>
        <w:widowControl/>
        <w:wordWrap w:val="0"/>
        <w:jc w:val="right"/>
        <w:rPr>
          <w:rFonts w:eastAsiaTheme="minorEastAsia"/>
          <w:color w:val="000000" w:themeColor="text1"/>
          <w:sz w:val="28"/>
          <w:szCs w:val="28"/>
        </w:rPr>
      </w:pPr>
      <w:r>
        <w:rPr>
          <w:rFonts w:eastAsiaTheme="minorEastAsia"/>
          <w:color w:val="000000" w:themeColor="text1"/>
          <w:sz w:val="28"/>
          <w:szCs w:val="28"/>
        </w:rPr>
        <w:object>
          <v:shape id="_x0000_i1045" o:spt="75" type="#_x0000_t75" style="height:29pt;width:54.25pt;" o:ole="t" fillcolor="#000005 [-4142]" filled="f" o:preferrelative="t" stroked="f" coordsize="21600,21600">
            <v:path/>
            <v:fill on="f" focussize="0,0"/>
            <v:stroke on="f" joinstyle="miter"/>
            <v:imagedata r:id="rId53" o:title=""/>
            <o:lock v:ext="edit" aspectratio="t"/>
            <w10:wrap type="none"/>
            <w10:anchorlock/>
          </v:shape>
          <o:OLEObject Type="Embed" ProgID="Equation.3" ShapeID="_x0000_i1045" DrawAspect="Content" ObjectID="_1468075745" r:id="rId52">
            <o:LockedField>false</o:LockedField>
          </o:OLEObject>
        </w:object>
      </w:r>
      <w:r>
        <w:rPr>
          <w:rFonts w:eastAsiaTheme="minorEastAsia"/>
          <w:color w:val="000000" w:themeColor="text1"/>
          <w:sz w:val="28"/>
          <w:szCs w:val="28"/>
        </w:rPr>
        <w:t xml:space="preserve">                     （7.</w:t>
      </w:r>
      <w:r>
        <w:rPr>
          <w:rFonts w:hint="eastAsia" w:eastAsiaTheme="minorEastAsia"/>
          <w:color w:val="000000" w:themeColor="text1"/>
          <w:sz w:val="28"/>
          <w:szCs w:val="28"/>
        </w:rPr>
        <w:t>6</w:t>
      </w:r>
      <w:r>
        <w:rPr>
          <w:rFonts w:eastAsiaTheme="minorEastAsia"/>
          <w:color w:val="000000" w:themeColor="text1"/>
          <w:sz w:val="28"/>
          <w:szCs w:val="28"/>
        </w:rPr>
        <w:t>.17－5）</w:t>
      </w:r>
    </w:p>
    <w:p>
      <w:pPr>
        <w:widowControl/>
        <w:wordWrap w:val="0"/>
        <w:jc w:val="right"/>
        <w:rPr>
          <w:rFonts w:eastAsiaTheme="minorEastAsia"/>
          <w:color w:val="000000" w:themeColor="text1"/>
          <w:sz w:val="28"/>
          <w:szCs w:val="28"/>
        </w:rPr>
      </w:pPr>
      <w:r>
        <w:rPr>
          <w:rFonts w:eastAsiaTheme="minorEastAsia"/>
          <w:color w:val="000000" w:themeColor="text1"/>
          <w:position w:val="-28"/>
          <w:sz w:val="28"/>
          <w:szCs w:val="28"/>
        </w:rPr>
        <w:object>
          <v:shape id="_x0000_i1046" o:spt="75" type="#_x0000_t75" style="height:34.6pt;width:144pt;" o:ole="t" fillcolor="#000005 [-4142]" filled="f" o:preferrelative="t" stroked="f" coordsize="21600,21600">
            <v:path/>
            <v:fill on="f" focussize="0,0"/>
            <v:stroke on="f" joinstyle="miter"/>
            <v:imagedata r:id="rId55" o:title=""/>
            <o:lock v:ext="edit" aspectratio="t"/>
            <w10:wrap type="none"/>
            <w10:anchorlock/>
          </v:shape>
          <o:OLEObject Type="Embed" ProgID="Equation.3" ShapeID="_x0000_i1046" DrawAspect="Content" ObjectID="_1468075746" r:id="rId54">
            <o:LockedField>false</o:LockedField>
          </o:OLEObject>
        </w:object>
      </w:r>
      <w:r>
        <w:rPr>
          <w:rFonts w:eastAsiaTheme="minorEastAsia"/>
          <w:color w:val="000000" w:themeColor="text1"/>
          <w:sz w:val="28"/>
          <w:szCs w:val="28"/>
        </w:rPr>
        <w:t xml:space="preserve">             （7.</w:t>
      </w:r>
      <w:r>
        <w:rPr>
          <w:rFonts w:hint="eastAsia" w:eastAsiaTheme="minorEastAsia"/>
          <w:color w:val="000000" w:themeColor="text1"/>
          <w:sz w:val="28"/>
          <w:szCs w:val="28"/>
        </w:rPr>
        <w:t>6</w:t>
      </w:r>
      <w:r>
        <w:rPr>
          <w:rFonts w:eastAsiaTheme="minorEastAsia"/>
          <w:color w:val="000000" w:themeColor="text1"/>
          <w:sz w:val="28"/>
          <w:szCs w:val="28"/>
        </w:rPr>
        <w:t>.17－6）</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V</w:t>
      </w:r>
      <w:r>
        <w:rPr>
          <w:rFonts w:eastAsiaTheme="minorEastAsia"/>
          <w:color w:val="000000" w:themeColor="text1"/>
          <w:sz w:val="28"/>
          <w:szCs w:val="28"/>
          <w:vertAlign w:val="subscript"/>
        </w:rPr>
        <w:t>o</w:t>
      </w:r>
      <w:r>
        <w:rPr>
          <w:rFonts w:eastAsiaTheme="minorEastAsia"/>
          <w:color w:val="000000" w:themeColor="text1"/>
          <w:sz w:val="28"/>
          <w:szCs w:val="28"/>
        </w:rPr>
        <w:t>——好氧区（池）容积（m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——生物反应池的设计流量（m</w:t>
      </w:r>
      <w:r>
        <w:rPr>
          <w:rFonts w:eastAsiaTheme="minorEastAsia"/>
          <w:color w:val="000000" w:themeColor="text1"/>
          <w:sz w:val="28"/>
          <w:szCs w:val="28"/>
          <w:vertAlign w:val="superscript"/>
        </w:rPr>
        <w:t>3</w:t>
      </w:r>
      <w:r>
        <w:rPr>
          <w:rFonts w:eastAsiaTheme="minorEastAsia"/>
          <w:color w:val="000000" w:themeColor="text1"/>
          <w:sz w:val="28"/>
          <w:szCs w:val="28"/>
        </w:rPr>
        <w:t>∕d）；</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0</w:t>
      </w:r>
      <w:r>
        <w:rPr>
          <w:rFonts w:eastAsiaTheme="minorEastAsia"/>
          <w:color w:val="000000" w:themeColor="text1"/>
          <w:sz w:val="28"/>
          <w:szCs w:val="28"/>
        </w:rPr>
        <w:t>——生物反应池进水五日生化需氧量浓度（mg/L）；</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e</w:t>
      </w:r>
      <w:r>
        <w:rPr>
          <w:rFonts w:eastAsiaTheme="minorEastAsia"/>
          <w:color w:val="000000" w:themeColor="text1"/>
          <w:sz w:val="28"/>
          <w:szCs w:val="28"/>
        </w:rPr>
        <w:t>——生物反应池进出水五日生化需氧量浓度（mg/L）；</w:t>
      </w:r>
    </w:p>
    <w:p>
      <w:pPr>
        <w:widowControl/>
        <w:wordWrap w:val="0"/>
        <w:ind w:left="1441" w:leftChars="353" w:hanging="700" w:hangingChars="250"/>
        <w:jc w:val="left"/>
        <w:rPr>
          <w:rFonts w:eastAsiaTheme="minorEastAsia"/>
          <w:color w:val="000000" w:themeColor="text1"/>
          <w:sz w:val="28"/>
          <w:szCs w:val="28"/>
        </w:rPr>
      </w:pPr>
      <w:r>
        <w:rPr>
          <w:rFonts w:eastAsiaTheme="minorEastAsia"/>
          <w:i/>
          <w:color w:val="000000" w:themeColor="text1"/>
          <w:sz w:val="28"/>
          <w:szCs w:val="28"/>
        </w:rPr>
        <w:t>Y</w:t>
      </w:r>
      <w:r>
        <w:rPr>
          <w:rFonts w:eastAsiaTheme="minorEastAsia"/>
          <w:color w:val="000000" w:themeColor="text1"/>
          <w:sz w:val="28"/>
          <w:szCs w:val="28"/>
          <w:vertAlign w:val="subscript"/>
        </w:rPr>
        <w:t>t</w:t>
      </w:r>
      <w:r>
        <w:rPr>
          <w:rFonts w:eastAsiaTheme="minorEastAsia"/>
          <w:color w:val="000000" w:themeColor="text1"/>
          <w:sz w:val="28"/>
          <w:szCs w:val="28"/>
        </w:rPr>
        <w:t>——污泥产率系数（kgMLSS∕kgBOD</w:t>
      </w:r>
      <w:r>
        <w:rPr>
          <w:rFonts w:eastAsiaTheme="minorEastAsia"/>
          <w:color w:val="000000" w:themeColor="text1"/>
          <w:sz w:val="28"/>
          <w:szCs w:val="28"/>
          <w:vertAlign w:val="subscript"/>
        </w:rPr>
        <w:t>5</w:t>
      </w:r>
      <w:r>
        <w:rPr>
          <w:rFonts w:eastAsiaTheme="minorEastAsia"/>
          <w:color w:val="000000" w:themeColor="text1"/>
          <w:sz w:val="28"/>
          <w:szCs w:val="28"/>
        </w:rPr>
        <w:t>），宜根据试验资料确定。无试验资料时，系统有初次沉淀池时</w:t>
      </w:r>
      <w:r>
        <w:rPr>
          <w:rFonts w:hint="eastAsia" w:eastAsiaTheme="minorEastAsia"/>
          <w:color w:val="000000" w:themeColor="text1"/>
          <w:sz w:val="28"/>
          <w:szCs w:val="28"/>
        </w:rPr>
        <w:t>宜</w:t>
      </w:r>
      <w:r>
        <w:rPr>
          <w:rFonts w:eastAsiaTheme="minorEastAsia"/>
          <w:color w:val="000000" w:themeColor="text1"/>
          <w:sz w:val="28"/>
          <w:szCs w:val="28"/>
        </w:rPr>
        <w:t>取0.3-0.6，无初次沉淀池时</w:t>
      </w:r>
      <w:r>
        <w:rPr>
          <w:rFonts w:hint="eastAsia" w:eastAsiaTheme="minorEastAsia"/>
          <w:color w:val="000000" w:themeColor="text1"/>
          <w:sz w:val="28"/>
          <w:szCs w:val="28"/>
        </w:rPr>
        <w:t>宜</w:t>
      </w:r>
      <w:r>
        <w:rPr>
          <w:rFonts w:eastAsiaTheme="minorEastAsia"/>
          <w:color w:val="000000" w:themeColor="text1"/>
          <w:sz w:val="28"/>
          <w:szCs w:val="28"/>
        </w:rPr>
        <w:t>取0.8～1.2；</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X</w:t>
      </w:r>
      <w:r>
        <w:rPr>
          <w:rFonts w:eastAsiaTheme="minorEastAsia"/>
          <w:color w:val="000000" w:themeColor="text1"/>
          <w:sz w:val="28"/>
          <w:szCs w:val="28"/>
        </w:rPr>
        <w:t>——生物反应池内混合液悬浮固体平均浓度（gMLSS/L）；</w:t>
      </w:r>
    </w:p>
    <w:p>
      <w:pPr>
        <w:widowControl/>
        <w:wordWrap w:val="0"/>
        <w:ind w:firstLine="848" w:firstLineChars="303"/>
        <w:jc w:val="left"/>
        <w:rPr>
          <w:rFonts w:eastAsiaTheme="minorEastAsia"/>
          <w:color w:val="000000" w:themeColor="text1"/>
          <w:sz w:val="28"/>
          <w:szCs w:val="28"/>
        </w:rPr>
      </w:pPr>
      <w:r>
        <w:rPr>
          <w:rFonts w:eastAsiaTheme="minorEastAsia"/>
          <w:color w:val="000000" w:themeColor="text1"/>
          <w:sz w:val="28"/>
          <w:szCs w:val="28"/>
        </w:rPr>
        <w:object>
          <v:shape id="_x0000_i1047" o:spt="75" type="#_x0000_t75" style="height:15.9pt;width:9.35pt;" o:ole="t" fillcolor="#000005 [-4142]" filled="f" o:preferrelative="t" stroked="f" coordsize="21600,21600">
            <v:path/>
            <v:fill on="f" focussize="0,0"/>
            <v:stroke on="f" joinstyle="miter"/>
            <v:imagedata r:id="rId43" o:title=""/>
            <o:lock v:ext="edit" aspectratio="t"/>
            <w10:wrap type="none"/>
            <w10:anchorlock/>
          </v:shape>
          <o:OLEObject Type="Embed" ProgID="Equation.3" ShapeID="_x0000_i1047" DrawAspect="Content" ObjectID="_1468075747" r:id="rId56">
            <o:LockedField>false</o:LockedField>
          </o:OLEObject>
        </w:object>
      </w:r>
      <w:r>
        <w:rPr>
          <w:rFonts w:eastAsiaTheme="minorEastAsia"/>
          <w:color w:val="000000" w:themeColor="text1"/>
          <w:sz w:val="28"/>
          <w:szCs w:val="28"/>
          <w:vertAlign w:val="subscript"/>
        </w:rPr>
        <w:t>co</w:t>
      </w:r>
      <w:r>
        <w:rPr>
          <w:rFonts w:eastAsiaTheme="minorEastAsia"/>
          <w:color w:val="000000" w:themeColor="text1"/>
          <w:sz w:val="28"/>
          <w:szCs w:val="28"/>
        </w:rPr>
        <w:t>——好氧区（池）设计污泥泥龄（d）；</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F</w:t>
      </w:r>
      <w:r>
        <w:rPr>
          <w:rFonts w:eastAsiaTheme="minorEastAsia"/>
          <w:color w:val="000000" w:themeColor="text1"/>
          <w:sz w:val="28"/>
          <w:szCs w:val="28"/>
        </w:rPr>
        <w:t>——安全系数，</w:t>
      </w:r>
      <w:r>
        <w:rPr>
          <w:rFonts w:hint="eastAsia" w:eastAsiaTheme="minorEastAsia"/>
          <w:color w:val="000000" w:themeColor="text1"/>
          <w:sz w:val="28"/>
          <w:szCs w:val="28"/>
        </w:rPr>
        <w:t>宜</w:t>
      </w:r>
      <w:r>
        <w:rPr>
          <w:rFonts w:eastAsiaTheme="minorEastAsia"/>
          <w:color w:val="000000" w:themeColor="text1"/>
          <w:sz w:val="28"/>
          <w:szCs w:val="28"/>
        </w:rPr>
        <w:t>为1.5～3.0；</w:t>
      </w:r>
    </w:p>
    <w:p>
      <w:pPr>
        <w:widowControl/>
        <w:wordWrap w:val="0"/>
        <w:ind w:firstLine="848" w:firstLineChars="303"/>
        <w:jc w:val="left"/>
        <w:rPr>
          <w:rFonts w:eastAsiaTheme="minorEastAsia"/>
          <w:color w:val="000000" w:themeColor="text1"/>
          <w:sz w:val="28"/>
          <w:szCs w:val="28"/>
        </w:rPr>
      </w:pPr>
      <w:r>
        <w:rPr>
          <w:rFonts w:eastAsiaTheme="minorEastAsia"/>
          <w:color w:val="000000" w:themeColor="text1"/>
          <w:sz w:val="28"/>
          <w:szCs w:val="28"/>
        </w:rPr>
        <w:object>
          <v:shape id="_x0000_i1048" o:spt="75" type="#_x0000_t75" style="height:10.3pt;width:10.3pt;" o:ole="t" fillcolor="#000005 [-4142]" filled="f" o:preferrelative="t" stroked="f" coordsize="21600,21600">
            <v:path/>
            <v:fill on="f" focussize="0,0"/>
            <v:stroke on="f" joinstyle="miter"/>
            <v:imagedata r:id="rId58" o:title=""/>
            <o:lock v:ext="edit" aspectratio="t"/>
            <w10:wrap type="none"/>
            <w10:anchorlock/>
          </v:shape>
          <o:OLEObject Type="Embed" ProgID="Equation.3" ShapeID="_x0000_i1048" DrawAspect="Content" ObjectID="_1468075748" r:id="rId57">
            <o:LockedField>false</o:LockedField>
          </o:OLEObject>
        </w:object>
      </w:r>
      <w:r>
        <w:rPr>
          <w:rFonts w:eastAsiaTheme="minorEastAsia"/>
          <w:color w:val="000000" w:themeColor="text1"/>
          <w:sz w:val="28"/>
          <w:szCs w:val="28"/>
        </w:rPr>
        <w:t>——硝化细菌比生长速率（d</w:t>
      </w:r>
      <w:r>
        <w:rPr>
          <w:rFonts w:eastAsiaTheme="minorEastAsia"/>
          <w:color w:val="000000" w:themeColor="text1"/>
          <w:sz w:val="28"/>
          <w:szCs w:val="28"/>
          <w:vertAlign w:val="superscript"/>
        </w:rPr>
        <w:t>-1</w:t>
      </w:r>
      <w:r>
        <w:rPr>
          <w:rFonts w:eastAsiaTheme="minorEastAsia"/>
          <w:color w:val="000000" w:themeColor="text1"/>
          <w:sz w:val="28"/>
          <w:szCs w:val="28"/>
        </w:rPr>
        <w:t>）；</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a</w:t>
      </w:r>
      <w:r>
        <w:rPr>
          <w:rFonts w:eastAsiaTheme="minorEastAsia"/>
          <w:color w:val="000000" w:themeColor="text1"/>
          <w:sz w:val="28"/>
          <w:szCs w:val="28"/>
        </w:rPr>
        <w:t>——生物反应池中氨氮浓度（mg∕L）；</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vertAlign w:val="subscript"/>
        </w:rPr>
        <w:t>n</w:t>
      </w:r>
      <w:r>
        <w:rPr>
          <w:rFonts w:eastAsiaTheme="minorEastAsia"/>
          <w:color w:val="000000" w:themeColor="text1"/>
          <w:sz w:val="28"/>
          <w:szCs w:val="28"/>
        </w:rPr>
        <w:t>——硝化作用中氮的半速率常数（mg∕L）；</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rPr>
        <w:t>——设计温度（</w:t>
      </w:r>
      <w:r>
        <w:rPr>
          <w:rFonts w:eastAsia="宋体"/>
          <w:color w:val="000000" w:themeColor="text1"/>
          <w:sz w:val="28"/>
          <w:szCs w:val="28"/>
        </w:rPr>
        <w:t>°C</w:t>
      </w:r>
      <w:r>
        <w:rPr>
          <w:rFonts w:eastAsiaTheme="minorEastAsia"/>
          <w:color w:val="000000" w:themeColor="text1"/>
          <w:sz w:val="28"/>
          <w:szCs w:val="28"/>
        </w:rPr>
        <w:t>）；</w:t>
      </w:r>
    </w:p>
    <w:p>
      <w:pPr>
        <w:widowControl/>
        <w:wordWrap w:val="0"/>
        <w:ind w:firstLine="848" w:firstLineChars="303"/>
        <w:jc w:val="left"/>
        <w:rPr>
          <w:rFonts w:eastAsiaTheme="minorEastAsia"/>
          <w:color w:val="000000" w:themeColor="text1"/>
          <w:sz w:val="28"/>
          <w:szCs w:val="28"/>
        </w:rPr>
      </w:pPr>
      <w:r>
        <w:rPr>
          <w:rFonts w:eastAsiaTheme="minorEastAsia"/>
          <w:color w:val="000000" w:themeColor="text1"/>
          <w:sz w:val="28"/>
          <w:szCs w:val="28"/>
        </w:rPr>
        <w:t>0.47——15</w:t>
      </w:r>
      <w:r>
        <w:rPr>
          <w:rFonts w:eastAsia="宋体"/>
          <w:color w:val="000000" w:themeColor="text1"/>
          <w:sz w:val="28"/>
          <w:szCs w:val="28"/>
        </w:rPr>
        <w:t>°C</w:t>
      </w:r>
      <w:r>
        <w:rPr>
          <w:rFonts w:eastAsiaTheme="minorEastAsia"/>
          <w:color w:val="000000" w:themeColor="text1"/>
          <w:sz w:val="28"/>
          <w:szCs w:val="28"/>
        </w:rPr>
        <w:t>时，硝化细菌最大比生长速率（d</w:t>
      </w:r>
      <w:r>
        <w:rPr>
          <w:rFonts w:eastAsiaTheme="minorEastAsia"/>
          <w:color w:val="000000" w:themeColor="text1"/>
          <w:sz w:val="28"/>
          <w:szCs w:val="28"/>
          <w:vertAlign w:val="superscript"/>
        </w:rPr>
        <w:t>-1</w:t>
      </w:r>
      <w:r>
        <w:rPr>
          <w:rFonts w:eastAsiaTheme="minorEastAsia"/>
          <w:color w:val="000000" w:themeColor="text1"/>
          <w:sz w:val="28"/>
          <w:szCs w:val="28"/>
        </w:rPr>
        <w:t>）。</w:t>
      </w:r>
    </w:p>
    <w:p>
      <w:pPr>
        <w:widowControl/>
        <w:wordWrap w:val="0"/>
        <w:ind w:firstLine="848" w:firstLineChars="303"/>
        <w:jc w:val="left"/>
        <w:rPr>
          <w:rFonts w:eastAsiaTheme="minorEastAsia"/>
          <w:color w:val="000000" w:themeColor="text1"/>
          <w:sz w:val="28"/>
          <w:szCs w:val="28"/>
        </w:rPr>
      </w:pPr>
      <w:r>
        <w:rPr>
          <w:rFonts w:eastAsiaTheme="minorEastAsia"/>
          <w:color w:val="000000" w:themeColor="text1"/>
          <w:sz w:val="28"/>
          <w:szCs w:val="28"/>
        </w:rPr>
        <w:t>3） 混合液回流量，可按下式计算：</w:t>
      </w:r>
    </w:p>
    <w:p>
      <w:pPr>
        <w:widowControl/>
        <w:wordWrap w:val="0"/>
        <w:ind w:firstLine="848" w:firstLineChars="303"/>
        <w:jc w:val="right"/>
        <w:rPr>
          <w:rFonts w:eastAsiaTheme="minorEastAsia"/>
          <w:color w:val="000000" w:themeColor="text1"/>
          <w:sz w:val="28"/>
          <w:szCs w:val="28"/>
        </w:rPr>
      </w:pPr>
      <w:r>
        <w:rPr>
          <w:rFonts w:eastAsiaTheme="minorEastAsia"/>
          <w:color w:val="000000" w:themeColor="text1"/>
          <w:sz w:val="28"/>
          <w:szCs w:val="28"/>
        </w:rPr>
        <w:object>
          <v:shape id="_x0000_i1049" o:spt="75" type="#_x0000_t75" style="height:36.45pt;width:118.75pt;" o:ole="t" fillcolor="#000005 [-4142]" filled="f" o:preferrelative="t" stroked="f" coordsize="21600,21600">
            <v:path/>
            <v:fill on="f" focussize="0,0"/>
            <v:stroke on="f" joinstyle="miter"/>
            <v:imagedata r:id="rId60" o:title=""/>
            <o:lock v:ext="edit" aspectratio="t"/>
            <w10:wrap type="none"/>
            <w10:anchorlock/>
          </v:shape>
          <o:OLEObject Type="Embed" ProgID="Equation.3" ShapeID="_x0000_i1049" DrawAspect="Content" ObjectID="_1468075749" r:id="rId59">
            <o:LockedField>false</o:LockedField>
          </o:OLEObject>
        </w:object>
      </w:r>
      <w:r>
        <w:rPr>
          <w:rFonts w:eastAsiaTheme="minorEastAsia"/>
          <w:color w:val="000000" w:themeColor="text1"/>
          <w:sz w:val="28"/>
          <w:szCs w:val="28"/>
        </w:rPr>
        <w:t xml:space="preserve">        （7.</w:t>
      </w:r>
      <w:r>
        <w:rPr>
          <w:rFonts w:hint="eastAsia" w:eastAsiaTheme="minorEastAsia"/>
          <w:color w:val="000000" w:themeColor="text1"/>
          <w:sz w:val="28"/>
          <w:szCs w:val="28"/>
        </w:rPr>
        <w:t>6</w:t>
      </w:r>
      <w:r>
        <w:rPr>
          <w:rFonts w:eastAsiaTheme="minorEastAsia"/>
          <w:color w:val="000000" w:themeColor="text1"/>
          <w:sz w:val="28"/>
          <w:szCs w:val="28"/>
        </w:rPr>
        <w:t>.17－7）</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Q</w:t>
      </w:r>
      <w:r>
        <w:rPr>
          <w:rFonts w:eastAsiaTheme="minorEastAsia"/>
          <w:color w:val="000000" w:themeColor="text1"/>
          <w:sz w:val="28"/>
          <w:szCs w:val="28"/>
          <w:vertAlign w:val="subscript"/>
        </w:rPr>
        <w:t>Ri</w:t>
      </w:r>
      <w:r>
        <w:rPr>
          <w:rFonts w:eastAsiaTheme="minorEastAsia"/>
          <w:color w:val="000000" w:themeColor="text1"/>
          <w:sz w:val="28"/>
          <w:szCs w:val="28"/>
        </w:rPr>
        <w:t>——混合液回流量（m</w:t>
      </w:r>
      <w:r>
        <w:rPr>
          <w:rFonts w:eastAsiaTheme="minorEastAsia"/>
          <w:color w:val="000000" w:themeColor="text1"/>
          <w:sz w:val="28"/>
          <w:szCs w:val="28"/>
          <w:vertAlign w:val="superscript"/>
        </w:rPr>
        <w:t>3</w:t>
      </w:r>
      <w:r>
        <w:rPr>
          <w:rFonts w:eastAsiaTheme="minorEastAsia"/>
          <w:color w:val="000000" w:themeColor="text1"/>
          <w:sz w:val="28"/>
          <w:szCs w:val="28"/>
        </w:rPr>
        <w:t>∕d），混合液回流比不宜大于400%；</w:t>
      </w:r>
    </w:p>
    <w:p>
      <w:pPr>
        <w:widowControl/>
        <w:wordWrap w:val="0"/>
        <w:ind w:firstLine="840" w:firstLineChars="300"/>
        <w:jc w:val="left"/>
        <w:rPr>
          <w:rFonts w:eastAsiaTheme="minorEastAsia"/>
          <w:color w:val="000000" w:themeColor="text1"/>
          <w:sz w:val="28"/>
          <w:szCs w:val="28"/>
        </w:rPr>
      </w:pPr>
      <w:r>
        <w:rPr>
          <w:rFonts w:eastAsiaTheme="minorEastAsia"/>
          <w:i/>
          <w:color w:val="000000" w:themeColor="text1"/>
          <w:sz w:val="28"/>
          <w:szCs w:val="28"/>
        </w:rPr>
        <w:t>V</w:t>
      </w:r>
      <w:r>
        <w:rPr>
          <w:rFonts w:eastAsiaTheme="minorEastAsia"/>
          <w:color w:val="000000" w:themeColor="text1"/>
          <w:sz w:val="28"/>
          <w:szCs w:val="28"/>
          <w:vertAlign w:val="subscript"/>
        </w:rPr>
        <w:t>n</w:t>
      </w:r>
      <w:r>
        <w:rPr>
          <w:rFonts w:eastAsiaTheme="minorEastAsia"/>
          <w:color w:val="000000" w:themeColor="text1"/>
          <w:sz w:val="28"/>
          <w:szCs w:val="28"/>
        </w:rPr>
        <w:t>——缺氧区（池）容积（m</w:t>
      </w:r>
      <w:r>
        <w:rPr>
          <w:rFonts w:eastAsiaTheme="minorEastAsia"/>
          <w:color w:val="000000" w:themeColor="text1"/>
          <w:sz w:val="28"/>
          <w:szCs w:val="28"/>
          <w:vertAlign w:val="superscript"/>
        </w:rPr>
        <w:t>3</w:t>
      </w:r>
      <w:r>
        <w:rPr>
          <w:rFonts w:eastAsiaTheme="minorEastAsia"/>
          <w:color w:val="000000" w:themeColor="text1"/>
          <w:sz w:val="28"/>
          <w:szCs w:val="28"/>
        </w:rPr>
        <w:t xml:space="preserve">）； </w:t>
      </w:r>
    </w:p>
    <w:p>
      <w:pPr>
        <w:widowControl/>
        <w:wordWrap w:val="0"/>
        <w:ind w:left="1826" w:leftChars="403" w:hanging="980" w:hangingChars="350"/>
        <w:jc w:val="left"/>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vertAlign w:val="subscript"/>
        </w:rPr>
        <w:t>de</w:t>
      </w:r>
      <w:r>
        <w:rPr>
          <w:rFonts w:eastAsiaTheme="minorEastAsia"/>
          <w:color w:val="000000" w:themeColor="text1"/>
          <w:sz w:val="28"/>
          <w:szCs w:val="28"/>
        </w:rPr>
        <w:t>——脱氮速率[kgNO</w:t>
      </w:r>
      <w:r>
        <w:rPr>
          <w:rFonts w:eastAsiaTheme="minorEastAsia"/>
          <w:color w:val="000000" w:themeColor="text1"/>
          <w:sz w:val="28"/>
          <w:szCs w:val="28"/>
          <w:vertAlign w:val="subscript"/>
        </w:rPr>
        <w:t>3</w:t>
      </w:r>
      <w:r>
        <w:rPr>
          <w:rFonts w:eastAsiaTheme="minorEastAsia"/>
          <w:color w:val="000000" w:themeColor="text1"/>
          <w:sz w:val="28"/>
          <w:szCs w:val="28"/>
        </w:rPr>
        <w:t>－N∕（kgMLSS·d）]，宜根据试验资料确定。无试验资料时，20</w:t>
      </w:r>
      <w:r>
        <w:rPr>
          <w:rFonts w:eastAsia="宋体"/>
          <w:color w:val="000000" w:themeColor="text1"/>
          <w:sz w:val="28"/>
          <w:szCs w:val="28"/>
        </w:rPr>
        <w:t>°C</w:t>
      </w:r>
      <w:r>
        <w:rPr>
          <w:rFonts w:eastAsiaTheme="minorEastAsia"/>
          <w:color w:val="000000" w:themeColor="text1"/>
          <w:sz w:val="28"/>
          <w:szCs w:val="28"/>
        </w:rPr>
        <w:t>的</w:t>
      </w:r>
      <w:r>
        <w:rPr>
          <w:rFonts w:eastAsiaTheme="minorEastAsia"/>
          <w:i/>
          <w:color w:val="000000" w:themeColor="text1"/>
          <w:sz w:val="28"/>
          <w:szCs w:val="28"/>
        </w:rPr>
        <w:t>K</w:t>
      </w:r>
      <w:r>
        <w:rPr>
          <w:rFonts w:eastAsiaTheme="minorEastAsia"/>
          <w:color w:val="000000" w:themeColor="text1"/>
          <w:sz w:val="28"/>
          <w:szCs w:val="28"/>
          <w:vertAlign w:val="subscript"/>
        </w:rPr>
        <w:t>de</w:t>
      </w:r>
      <w:r>
        <w:rPr>
          <w:rFonts w:eastAsiaTheme="minorEastAsia"/>
          <w:color w:val="000000" w:themeColor="text1"/>
          <w:sz w:val="28"/>
          <w:szCs w:val="28"/>
        </w:rPr>
        <w:t>值可采用0.03~0.06 [（kgNO</w:t>
      </w:r>
      <w:r>
        <w:rPr>
          <w:rFonts w:eastAsiaTheme="minorEastAsia"/>
          <w:color w:val="000000" w:themeColor="text1"/>
          <w:sz w:val="28"/>
          <w:szCs w:val="28"/>
          <w:vertAlign w:val="subscript"/>
        </w:rPr>
        <w:t>3</w:t>
      </w:r>
      <w:r>
        <w:rPr>
          <w:rFonts w:eastAsiaTheme="minorEastAsia"/>
          <w:color w:val="000000" w:themeColor="text1"/>
          <w:sz w:val="28"/>
          <w:szCs w:val="28"/>
        </w:rPr>
        <w:t>－N/（kgMLSS·d）]，并按本标准公式（7.</w:t>
      </w:r>
      <w:r>
        <w:rPr>
          <w:rFonts w:hint="eastAsia" w:eastAsiaTheme="minorEastAsia"/>
          <w:color w:val="000000" w:themeColor="text1"/>
          <w:sz w:val="28"/>
          <w:szCs w:val="28"/>
        </w:rPr>
        <w:t>6</w:t>
      </w:r>
      <w:r>
        <w:rPr>
          <w:rFonts w:eastAsiaTheme="minorEastAsia"/>
          <w:color w:val="000000" w:themeColor="text1"/>
          <w:sz w:val="28"/>
          <w:szCs w:val="28"/>
        </w:rPr>
        <w:t>.17-2）进行温度修正；</w:t>
      </w:r>
      <w:r>
        <w:rPr>
          <w:rFonts w:eastAsiaTheme="minorEastAsia"/>
          <w:i/>
          <w:color w:val="000000" w:themeColor="text1"/>
          <w:sz w:val="28"/>
          <w:szCs w:val="28"/>
        </w:rPr>
        <w:t>K</w:t>
      </w:r>
      <w:r>
        <w:rPr>
          <w:rFonts w:eastAsiaTheme="minorEastAsia"/>
          <w:color w:val="000000" w:themeColor="text1"/>
          <w:sz w:val="28"/>
          <w:szCs w:val="28"/>
          <w:vertAlign w:val="subscript"/>
        </w:rPr>
        <w:t>de（T）</w:t>
      </w:r>
      <w:r>
        <w:rPr>
          <w:rFonts w:eastAsiaTheme="minorEastAsia"/>
          <w:color w:val="000000" w:themeColor="text1"/>
          <w:sz w:val="28"/>
          <w:szCs w:val="28"/>
        </w:rPr>
        <w:t>、</w:t>
      </w:r>
      <w:r>
        <w:rPr>
          <w:rFonts w:eastAsiaTheme="minorEastAsia"/>
          <w:i/>
          <w:color w:val="000000" w:themeColor="text1"/>
          <w:sz w:val="28"/>
          <w:szCs w:val="28"/>
        </w:rPr>
        <w:t>K</w:t>
      </w:r>
      <w:r>
        <w:rPr>
          <w:rFonts w:eastAsiaTheme="minorEastAsia"/>
          <w:color w:val="000000" w:themeColor="text1"/>
          <w:sz w:val="28"/>
          <w:szCs w:val="28"/>
          <w:vertAlign w:val="subscript"/>
        </w:rPr>
        <w:t>de（20）</w:t>
      </w:r>
      <w:r>
        <w:rPr>
          <w:rFonts w:eastAsiaTheme="minorEastAsia"/>
          <w:color w:val="000000" w:themeColor="text1"/>
          <w:sz w:val="28"/>
          <w:szCs w:val="28"/>
        </w:rPr>
        <w:t>分别为</w:t>
      </w:r>
      <w:r>
        <w:rPr>
          <w:rFonts w:eastAsiaTheme="minorEastAsia"/>
          <w:i/>
          <w:color w:val="000000" w:themeColor="text1"/>
          <w:sz w:val="28"/>
          <w:szCs w:val="28"/>
        </w:rPr>
        <w:t>T</w:t>
      </w:r>
      <w:r>
        <w:rPr>
          <w:rFonts w:eastAsia="宋体"/>
          <w:color w:val="000000" w:themeColor="text1"/>
          <w:sz w:val="28"/>
          <w:szCs w:val="28"/>
        </w:rPr>
        <w:t>°C</w:t>
      </w:r>
      <w:r>
        <w:rPr>
          <w:rFonts w:eastAsiaTheme="minorEastAsia"/>
          <w:color w:val="000000" w:themeColor="text1"/>
          <w:sz w:val="28"/>
          <w:szCs w:val="28"/>
        </w:rPr>
        <w:t>和20</w:t>
      </w:r>
      <w:r>
        <w:rPr>
          <w:rFonts w:eastAsia="宋体"/>
          <w:color w:val="000000" w:themeColor="text1"/>
          <w:sz w:val="28"/>
          <w:szCs w:val="28"/>
        </w:rPr>
        <w:t>°C</w:t>
      </w:r>
      <w:r>
        <w:rPr>
          <w:rFonts w:eastAsiaTheme="minorEastAsia"/>
          <w:color w:val="000000" w:themeColor="text1"/>
          <w:sz w:val="28"/>
          <w:szCs w:val="28"/>
        </w:rPr>
        <w:t>时的脱氮速率；</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X</w:t>
      </w:r>
      <w:r>
        <w:rPr>
          <w:rFonts w:eastAsiaTheme="minorEastAsia"/>
          <w:color w:val="000000" w:themeColor="text1"/>
          <w:sz w:val="28"/>
          <w:szCs w:val="28"/>
        </w:rPr>
        <w:t>——生物反应池内混合液悬浮固体平均浓度（gMLSS/L）；</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t</w:t>
      </w:r>
      <w:r>
        <w:rPr>
          <w:rFonts w:eastAsiaTheme="minorEastAsia"/>
          <w:color w:val="000000" w:themeColor="text1"/>
          <w:sz w:val="28"/>
          <w:szCs w:val="28"/>
        </w:rPr>
        <w:t>——生物反应池进水总氮浓度（mg∕L）；</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ke</w:t>
      </w:r>
      <w:r>
        <w:rPr>
          <w:rFonts w:eastAsiaTheme="minorEastAsia"/>
          <w:color w:val="000000" w:themeColor="text1"/>
          <w:sz w:val="28"/>
          <w:szCs w:val="28"/>
        </w:rPr>
        <w:t>——生物反应池出水总凯氏氮浓度（mg∕L）；</w:t>
      </w:r>
    </w:p>
    <w:p>
      <w:pPr>
        <w:widowControl/>
        <w:wordWrap w:val="0"/>
        <w:ind w:firstLine="848" w:firstLineChars="303"/>
        <w:jc w:val="left"/>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R</w:t>
      </w:r>
      <w:r>
        <w:rPr>
          <w:rFonts w:eastAsiaTheme="minorEastAsia"/>
          <w:color w:val="000000" w:themeColor="text1"/>
          <w:sz w:val="28"/>
          <w:szCs w:val="28"/>
        </w:rPr>
        <w:t>——回流污泥量（m</w:t>
      </w:r>
      <w:r>
        <w:rPr>
          <w:rFonts w:eastAsiaTheme="minorEastAsia"/>
          <w:color w:val="000000" w:themeColor="text1"/>
          <w:sz w:val="28"/>
          <w:szCs w:val="28"/>
          <w:vertAlign w:val="superscript"/>
        </w:rPr>
        <w:t>3</w:t>
      </w:r>
      <w:r>
        <w:rPr>
          <w:rFonts w:eastAsiaTheme="minorEastAsia"/>
          <w:color w:val="000000" w:themeColor="text1"/>
          <w:sz w:val="28"/>
          <w:szCs w:val="28"/>
        </w:rPr>
        <w:t>∕d）。</w:t>
      </w:r>
    </w:p>
    <w:p>
      <w:pPr>
        <w:widowControl/>
        <w:wordWrap w:val="0"/>
        <w:ind w:firstLine="562" w:firstLineChars="200"/>
        <w:jc w:val="left"/>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缺氧∕好氧法（</w:t>
      </w:r>
      <w:r>
        <w:rPr>
          <w:rFonts w:eastAsiaTheme="minorEastAsia"/>
          <w:i/>
          <w:color w:val="000000" w:themeColor="text1"/>
          <w:sz w:val="28"/>
          <w:szCs w:val="28"/>
        </w:rPr>
        <w:t>A</w:t>
      </w:r>
      <w:r>
        <w:rPr>
          <w:rFonts w:eastAsiaTheme="minorEastAsia"/>
          <w:color w:val="000000" w:themeColor="text1"/>
          <w:sz w:val="28"/>
          <w:szCs w:val="28"/>
          <w:vertAlign w:val="subscript"/>
        </w:rPr>
        <w:t>N</w:t>
      </w:r>
      <w:r>
        <w:rPr>
          <w:rFonts w:eastAsiaTheme="minorEastAsia"/>
          <w:i/>
          <w:color w:val="000000" w:themeColor="text1"/>
          <w:sz w:val="28"/>
          <w:szCs w:val="28"/>
        </w:rPr>
        <w:t>O</w:t>
      </w:r>
      <w:r>
        <w:rPr>
          <w:rFonts w:eastAsiaTheme="minorEastAsia"/>
          <w:color w:val="000000" w:themeColor="text1"/>
          <w:sz w:val="28"/>
          <w:szCs w:val="28"/>
        </w:rPr>
        <w:t>法）生物脱氮的主要设计参数，宜根据试验资料确定；无试验资料时，可采用经验数据或按本标准表7.</w:t>
      </w:r>
      <w:r>
        <w:rPr>
          <w:rFonts w:hint="eastAsia" w:eastAsiaTheme="minorEastAsia"/>
          <w:color w:val="000000" w:themeColor="text1"/>
          <w:sz w:val="28"/>
          <w:szCs w:val="28"/>
        </w:rPr>
        <w:t>6</w:t>
      </w:r>
      <w:r>
        <w:rPr>
          <w:rFonts w:eastAsiaTheme="minorEastAsia"/>
          <w:color w:val="000000" w:themeColor="text1"/>
          <w:sz w:val="28"/>
          <w:szCs w:val="28"/>
        </w:rPr>
        <w:t>.17的规定取值。</w:t>
      </w:r>
    </w:p>
    <w:p>
      <w:pPr>
        <w:widowControl/>
        <w:wordWrap w:val="0"/>
        <w:jc w:val="center"/>
        <w:rPr>
          <w:rFonts w:eastAsiaTheme="minorEastAsia"/>
          <w:b/>
          <w:bCs/>
          <w:color w:val="000000" w:themeColor="text1"/>
          <w:sz w:val="28"/>
          <w:szCs w:val="28"/>
        </w:rPr>
      </w:pPr>
      <w:r>
        <w:rPr>
          <w:rFonts w:eastAsiaTheme="minorEastAsia"/>
          <w:b/>
          <w:bCs/>
          <w:color w:val="000000" w:themeColor="text1"/>
          <w:sz w:val="28"/>
          <w:szCs w:val="28"/>
        </w:rPr>
        <w:t>表7.</w:t>
      </w:r>
      <w:r>
        <w:rPr>
          <w:rFonts w:hint="eastAsia" w:eastAsiaTheme="minorEastAsia"/>
          <w:b/>
          <w:bCs/>
          <w:color w:val="000000" w:themeColor="text1"/>
          <w:sz w:val="28"/>
          <w:szCs w:val="28"/>
        </w:rPr>
        <w:t>6</w:t>
      </w:r>
      <w:r>
        <w:rPr>
          <w:rFonts w:eastAsiaTheme="minorEastAsia"/>
          <w:b/>
          <w:bCs/>
          <w:color w:val="000000" w:themeColor="text1"/>
          <w:sz w:val="28"/>
          <w:szCs w:val="28"/>
        </w:rPr>
        <w:t>.17  缺氧∕好氧法（</w:t>
      </w:r>
      <w:r>
        <w:rPr>
          <w:rFonts w:eastAsiaTheme="minorEastAsia"/>
          <w:b/>
          <w:bCs/>
          <w:i/>
          <w:color w:val="000000" w:themeColor="text1"/>
          <w:sz w:val="28"/>
          <w:szCs w:val="28"/>
        </w:rPr>
        <w:t>A</w:t>
      </w:r>
      <w:r>
        <w:rPr>
          <w:rFonts w:eastAsiaTheme="minorEastAsia"/>
          <w:b/>
          <w:bCs/>
          <w:color w:val="000000" w:themeColor="text1"/>
          <w:sz w:val="28"/>
          <w:szCs w:val="28"/>
          <w:vertAlign w:val="subscript"/>
        </w:rPr>
        <w:t>N</w:t>
      </w:r>
      <w:r>
        <w:rPr>
          <w:rFonts w:eastAsiaTheme="minorEastAsia"/>
          <w:b/>
          <w:bCs/>
          <w:i/>
          <w:color w:val="000000" w:themeColor="text1"/>
          <w:sz w:val="28"/>
          <w:szCs w:val="28"/>
        </w:rPr>
        <w:t>O</w:t>
      </w:r>
      <w:r>
        <w:rPr>
          <w:rFonts w:eastAsiaTheme="minorEastAsia"/>
          <w:b/>
          <w:bCs/>
          <w:color w:val="000000" w:themeColor="text1"/>
          <w:sz w:val="28"/>
          <w:szCs w:val="28"/>
        </w:rPr>
        <w:t>法）生物脱氮的主要设计参数</w:t>
      </w:r>
    </w:p>
    <w:tbl>
      <w:tblPr>
        <w:tblStyle w:val="25"/>
        <w:tblW w:w="800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81"/>
        <w:gridCol w:w="2693"/>
        <w:gridCol w:w="253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78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项   目</w:t>
            </w:r>
          </w:p>
        </w:tc>
        <w:tc>
          <w:tcPr>
            <w:tcW w:w="2693"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单 位</w:t>
            </w:r>
          </w:p>
        </w:tc>
        <w:tc>
          <w:tcPr>
            <w:tcW w:w="253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参数值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78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BOD污泥负荷</w:t>
            </w:r>
            <w:r>
              <w:rPr>
                <w:rFonts w:eastAsiaTheme="minorEastAsia"/>
                <w:i/>
                <w:color w:val="000000" w:themeColor="text1"/>
                <w:sz w:val="28"/>
                <w:szCs w:val="28"/>
              </w:rPr>
              <w:t>L</w:t>
            </w:r>
            <w:r>
              <w:rPr>
                <w:rFonts w:eastAsiaTheme="minorEastAsia"/>
                <w:color w:val="000000" w:themeColor="text1"/>
                <w:sz w:val="28"/>
                <w:szCs w:val="28"/>
                <w:vertAlign w:val="subscript"/>
              </w:rPr>
              <w:t>s</w:t>
            </w:r>
          </w:p>
        </w:tc>
        <w:tc>
          <w:tcPr>
            <w:tcW w:w="2693"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kgBOD</w:t>
            </w:r>
            <w:r>
              <w:rPr>
                <w:rFonts w:eastAsiaTheme="minorEastAsia"/>
                <w:color w:val="000000" w:themeColor="text1"/>
                <w:sz w:val="28"/>
                <w:szCs w:val="28"/>
                <w:vertAlign w:val="subscript"/>
              </w:rPr>
              <w:t>5</w:t>
            </w:r>
            <w:r>
              <w:rPr>
                <w:rFonts w:eastAsiaTheme="minorEastAsia"/>
                <w:color w:val="000000" w:themeColor="text1"/>
                <w:sz w:val="28"/>
                <w:szCs w:val="28"/>
              </w:rPr>
              <w:t>/（kgMLSS·d）</w:t>
            </w:r>
          </w:p>
        </w:tc>
        <w:tc>
          <w:tcPr>
            <w:tcW w:w="253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0.05～0.15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78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总氮负荷率</w:t>
            </w:r>
          </w:p>
        </w:tc>
        <w:tc>
          <w:tcPr>
            <w:tcW w:w="2693"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kgTN/（kgMLSS·d）</w:t>
            </w:r>
          </w:p>
        </w:tc>
        <w:tc>
          <w:tcPr>
            <w:tcW w:w="253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78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污泥浓度（MLSS）</w:t>
            </w:r>
            <w:r>
              <w:rPr>
                <w:rFonts w:eastAsiaTheme="minorEastAsia"/>
                <w:i/>
                <w:color w:val="000000" w:themeColor="text1"/>
                <w:sz w:val="28"/>
                <w:szCs w:val="28"/>
              </w:rPr>
              <w:t>X</w:t>
            </w:r>
          </w:p>
        </w:tc>
        <w:tc>
          <w:tcPr>
            <w:tcW w:w="2693"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g/L</w:t>
            </w:r>
          </w:p>
        </w:tc>
        <w:tc>
          <w:tcPr>
            <w:tcW w:w="253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78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污泥龄</w:t>
            </w:r>
            <w:r>
              <w:rPr>
                <w:rFonts w:eastAsiaTheme="minorEastAsia"/>
                <w:i/>
                <w:color w:val="000000" w:themeColor="text1"/>
                <w:sz w:val="28"/>
                <w:szCs w:val="28"/>
              </w:rPr>
              <w:t>θ</w:t>
            </w:r>
            <w:r>
              <w:rPr>
                <w:rFonts w:eastAsiaTheme="minorEastAsia"/>
                <w:color w:val="000000" w:themeColor="text1"/>
                <w:sz w:val="28"/>
                <w:szCs w:val="28"/>
                <w:vertAlign w:val="subscript"/>
              </w:rPr>
              <w:t>C</w:t>
            </w:r>
          </w:p>
        </w:tc>
        <w:tc>
          <w:tcPr>
            <w:tcW w:w="2693"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d</w:t>
            </w:r>
          </w:p>
        </w:tc>
        <w:tc>
          <w:tcPr>
            <w:tcW w:w="253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11～23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78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污泥产率</w:t>
            </w:r>
            <w:r>
              <w:rPr>
                <w:rFonts w:eastAsiaTheme="minorEastAsia"/>
                <w:i/>
                <w:color w:val="000000" w:themeColor="text1"/>
                <w:sz w:val="28"/>
                <w:szCs w:val="28"/>
              </w:rPr>
              <w:t>Y</w:t>
            </w:r>
          </w:p>
        </w:tc>
        <w:tc>
          <w:tcPr>
            <w:tcW w:w="2693"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kgVSS/kgBOD</w:t>
            </w:r>
            <w:r>
              <w:rPr>
                <w:rFonts w:eastAsiaTheme="minorEastAsia"/>
                <w:color w:val="000000" w:themeColor="text1"/>
                <w:sz w:val="28"/>
                <w:szCs w:val="28"/>
                <w:vertAlign w:val="subscript"/>
              </w:rPr>
              <w:t>5</w:t>
            </w:r>
          </w:p>
        </w:tc>
        <w:tc>
          <w:tcPr>
            <w:tcW w:w="253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0.3～0.6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78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需氧量</w:t>
            </w:r>
            <w:r>
              <w:rPr>
                <w:rFonts w:eastAsiaTheme="minorEastAsia"/>
                <w:i/>
                <w:color w:val="000000" w:themeColor="text1"/>
                <w:sz w:val="28"/>
                <w:szCs w:val="28"/>
              </w:rPr>
              <w:t>O</w:t>
            </w:r>
            <w:r>
              <w:rPr>
                <w:rFonts w:eastAsiaTheme="minorEastAsia"/>
                <w:color w:val="000000" w:themeColor="text1"/>
                <w:sz w:val="28"/>
                <w:szCs w:val="28"/>
                <w:vertAlign w:val="subscript"/>
              </w:rPr>
              <w:t>2</w:t>
            </w:r>
          </w:p>
        </w:tc>
        <w:tc>
          <w:tcPr>
            <w:tcW w:w="2693"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kgO</w:t>
            </w:r>
            <w:r>
              <w:rPr>
                <w:rFonts w:eastAsiaTheme="minorEastAsia"/>
                <w:color w:val="000000" w:themeColor="text1"/>
                <w:sz w:val="28"/>
                <w:szCs w:val="28"/>
                <w:vertAlign w:val="subscript"/>
              </w:rPr>
              <w:t>2</w:t>
            </w:r>
            <w:r>
              <w:rPr>
                <w:rFonts w:eastAsiaTheme="minorEastAsia"/>
                <w:color w:val="000000" w:themeColor="text1"/>
                <w:sz w:val="28"/>
                <w:szCs w:val="28"/>
              </w:rPr>
              <w:t>/kgBOD</w:t>
            </w:r>
            <w:r>
              <w:rPr>
                <w:rFonts w:eastAsiaTheme="minorEastAsia"/>
                <w:color w:val="000000" w:themeColor="text1"/>
                <w:sz w:val="28"/>
                <w:szCs w:val="28"/>
                <w:vertAlign w:val="subscript"/>
              </w:rPr>
              <w:t>5</w:t>
            </w:r>
          </w:p>
        </w:tc>
        <w:tc>
          <w:tcPr>
            <w:tcW w:w="253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1.1～2.0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781" w:type="dxa"/>
            <w:vMerge w:val="restart"/>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水力停留时间</w:t>
            </w:r>
            <w:r>
              <w:rPr>
                <w:rFonts w:eastAsiaTheme="minorEastAsia"/>
                <w:i/>
                <w:color w:val="000000" w:themeColor="text1"/>
                <w:sz w:val="28"/>
                <w:szCs w:val="28"/>
              </w:rPr>
              <w:t>HRT</w:t>
            </w:r>
          </w:p>
        </w:tc>
        <w:tc>
          <w:tcPr>
            <w:tcW w:w="2693" w:type="dxa"/>
            <w:vMerge w:val="restart"/>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h</w:t>
            </w:r>
          </w:p>
        </w:tc>
        <w:tc>
          <w:tcPr>
            <w:tcW w:w="253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781" w:type="dxa"/>
            <w:vMerge w:val="continue"/>
          </w:tcPr>
          <w:p>
            <w:pPr>
              <w:widowControl/>
              <w:wordWrap w:val="0"/>
              <w:spacing w:line="360" w:lineRule="auto"/>
              <w:jc w:val="center"/>
              <w:rPr>
                <w:rFonts w:eastAsiaTheme="minorEastAsia"/>
                <w:color w:val="000000" w:themeColor="text1"/>
                <w:sz w:val="28"/>
                <w:szCs w:val="28"/>
              </w:rPr>
            </w:pPr>
          </w:p>
        </w:tc>
        <w:tc>
          <w:tcPr>
            <w:tcW w:w="2693" w:type="dxa"/>
            <w:vMerge w:val="continue"/>
          </w:tcPr>
          <w:p>
            <w:pPr>
              <w:widowControl/>
              <w:wordWrap w:val="0"/>
              <w:spacing w:line="360" w:lineRule="auto"/>
              <w:jc w:val="center"/>
              <w:rPr>
                <w:rFonts w:eastAsiaTheme="minorEastAsia"/>
                <w:color w:val="000000" w:themeColor="text1"/>
                <w:sz w:val="28"/>
                <w:szCs w:val="28"/>
              </w:rPr>
            </w:pPr>
          </w:p>
        </w:tc>
        <w:tc>
          <w:tcPr>
            <w:tcW w:w="253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其中缺氧段2h～8h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278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 xml:space="preserve">污泥回流比 </w:t>
            </w:r>
            <w:r>
              <w:rPr>
                <w:rFonts w:eastAsiaTheme="minorEastAsia"/>
                <w:i/>
                <w:color w:val="000000" w:themeColor="text1"/>
                <w:sz w:val="28"/>
                <w:szCs w:val="28"/>
              </w:rPr>
              <w:t>R</w:t>
            </w:r>
          </w:p>
        </w:tc>
        <w:tc>
          <w:tcPr>
            <w:tcW w:w="2693"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53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50～100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278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 xml:space="preserve">混合液回流比 </w:t>
            </w:r>
            <w:r>
              <w:rPr>
                <w:rFonts w:eastAsiaTheme="minorEastAsia"/>
                <w:i/>
                <w:color w:val="000000" w:themeColor="text1"/>
                <w:sz w:val="28"/>
                <w:szCs w:val="28"/>
              </w:rPr>
              <w:t>R</w:t>
            </w:r>
            <w:r>
              <w:rPr>
                <w:rFonts w:eastAsiaTheme="minorEastAsia"/>
                <w:color w:val="000000" w:themeColor="text1"/>
                <w:sz w:val="28"/>
                <w:szCs w:val="28"/>
                <w:vertAlign w:val="subscript"/>
              </w:rPr>
              <w:t>i</w:t>
            </w:r>
          </w:p>
        </w:tc>
        <w:tc>
          <w:tcPr>
            <w:tcW w:w="2693"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53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2781" w:type="dxa"/>
            <w:vMerge w:val="restart"/>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总处理效率</w:t>
            </w:r>
            <w:r>
              <w:rPr>
                <w:rFonts w:eastAsiaTheme="minorEastAsia"/>
                <w:i/>
                <w:color w:val="000000" w:themeColor="text1"/>
                <w:sz w:val="28"/>
                <w:szCs w:val="28"/>
              </w:rPr>
              <w:t>η</w:t>
            </w:r>
          </w:p>
        </w:tc>
        <w:tc>
          <w:tcPr>
            <w:tcW w:w="2693"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534"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90～95（BOD</w:t>
            </w:r>
            <w:r>
              <w:rPr>
                <w:rFonts w:eastAsiaTheme="minorEastAsia"/>
                <w:color w:val="000000" w:themeColor="text1"/>
                <w:sz w:val="28"/>
                <w:szCs w:val="28"/>
                <w:vertAlign w:val="subscript"/>
              </w:rPr>
              <w:t>5</w:t>
            </w:r>
            <w:r>
              <w:rPr>
                <w:rFonts w:eastAsiaTheme="minorEastAsia"/>
                <w:color w:val="000000" w:themeColor="text1"/>
                <w:sz w:val="28"/>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2781" w:type="dxa"/>
            <w:vMerge w:val="continue"/>
            <w:vAlign w:val="center"/>
          </w:tcPr>
          <w:p>
            <w:pPr>
              <w:widowControl/>
              <w:wordWrap w:val="0"/>
              <w:spacing w:line="360" w:lineRule="auto"/>
              <w:jc w:val="center"/>
              <w:rPr>
                <w:rFonts w:eastAsiaTheme="minorEastAsia"/>
                <w:color w:val="000000" w:themeColor="text1"/>
                <w:sz w:val="28"/>
                <w:szCs w:val="28"/>
              </w:rPr>
            </w:pPr>
          </w:p>
        </w:tc>
        <w:tc>
          <w:tcPr>
            <w:tcW w:w="2693"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534"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60～85（TN）</w:t>
            </w:r>
          </w:p>
        </w:tc>
      </w:tr>
    </w:tbl>
    <w:p>
      <w:pPr>
        <w:wordWrap w:val="0"/>
        <w:rPr>
          <w:rFonts w:eastAsiaTheme="minorEastAsia"/>
          <w:color w:val="000000" w:themeColor="text1"/>
          <w:sz w:val="28"/>
          <w:szCs w:val="28"/>
        </w:rPr>
      </w:pPr>
      <w:r>
        <w:rPr>
          <w:rFonts w:eastAsiaTheme="minorEastAsia"/>
          <w:color w:val="000000" w:themeColor="text1"/>
          <w:sz w:val="28"/>
          <w:szCs w:val="28"/>
        </w:rPr>
        <w:t>【条文说明】生物脱氮由硝化和反硝化两个生物化学过程组成。氨氮在好氧池中通过硝化细菌作用被氧化成硝态氮，硝态氮在缺氧池中通过反硝化菌作用被还原成氮气逸出。硝化菌是化能自养菌，需在好氧环境中氧化氨氮获得生长所需能量；反硝化菌是兼性异养菌，它们利用有机物作为电子供体，硝态氮作为电子最终受体，将硝态氮还原成气态氮。由此可见，为了发生反硝化作用，必须具备下列条件：</w:t>
      </w:r>
      <w:r>
        <w:rPr>
          <w:rFonts w:hint="eastAsia" w:ascii="宋体" w:hAnsi="宋体" w:eastAsia="宋体" w:cs="宋体"/>
          <w:color w:val="000000" w:themeColor="text1"/>
          <w:sz w:val="28"/>
          <w:szCs w:val="28"/>
        </w:rPr>
        <w:t>①</w:t>
      </w:r>
      <w:r>
        <w:rPr>
          <w:rFonts w:eastAsiaTheme="minorEastAsia"/>
          <w:color w:val="000000" w:themeColor="text1"/>
          <w:sz w:val="28"/>
          <w:szCs w:val="28"/>
        </w:rPr>
        <w:t>有硝态氮；</w:t>
      </w:r>
      <w:r>
        <w:rPr>
          <w:rFonts w:hint="eastAsia" w:ascii="宋体" w:hAnsi="宋体" w:eastAsia="宋体" w:cs="宋体"/>
          <w:color w:val="000000" w:themeColor="text1"/>
          <w:sz w:val="28"/>
          <w:szCs w:val="28"/>
        </w:rPr>
        <w:t>②</w:t>
      </w:r>
      <w:r>
        <w:rPr>
          <w:rFonts w:eastAsiaTheme="minorEastAsia"/>
          <w:color w:val="000000" w:themeColor="text1"/>
          <w:sz w:val="28"/>
          <w:szCs w:val="28"/>
        </w:rPr>
        <w:t>有有机碳；</w:t>
      </w:r>
      <w:r>
        <w:rPr>
          <w:rFonts w:hint="eastAsia" w:ascii="宋体" w:hAnsi="宋体" w:eastAsia="宋体" w:cs="宋体"/>
          <w:color w:val="000000" w:themeColor="text1"/>
          <w:sz w:val="28"/>
          <w:szCs w:val="28"/>
        </w:rPr>
        <w:t>③</w:t>
      </w:r>
      <w:r>
        <w:rPr>
          <w:rFonts w:eastAsiaTheme="minorEastAsia"/>
          <w:color w:val="000000" w:themeColor="text1"/>
          <w:sz w:val="28"/>
          <w:szCs w:val="28"/>
        </w:rPr>
        <w:t>基本无溶解氧（溶解氧会消耗有机物）。为了有硝态氮，处理系统应采用较长泥龄和较低负荷。缺氧／好氧法可满足上述要求，适于脱氮。</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1</w:t>
      </w:r>
      <w:r>
        <w:rPr>
          <w:rFonts w:eastAsiaTheme="minorEastAsia"/>
          <w:color w:val="000000" w:themeColor="text1"/>
          <w:sz w:val="28"/>
          <w:szCs w:val="28"/>
        </w:rPr>
        <w:t xml:space="preserve"> 缺氧／好氧工艺中好氧区（池）的容积计算，可采用本标准第7.7.10条生物去除碳源污染物的计算方法。</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2</w:t>
      </w:r>
      <w:r>
        <w:rPr>
          <w:rFonts w:eastAsiaTheme="minorEastAsia"/>
          <w:color w:val="000000" w:themeColor="text1"/>
          <w:sz w:val="28"/>
          <w:szCs w:val="28"/>
        </w:rPr>
        <w:t xml:space="preserve"> 式(7.</w:t>
      </w:r>
      <w:r>
        <w:rPr>
          <w:rFonts w:hint="eastAsia" w:eastAsiaTheme="minorEastAsia"/>
          <w:color w:val="000000" w:themeColor="text1"/>
          <w:sz w:val="28"/>
          <w:szCs w:val="28"/>
        </w:rPr>
        <w:t>6</w:t>
      </w:r>
      <w:r>
        <w:rPr>
          <w:rFonts w:eastAsiaTheme="minorEastAsia"/>
          <w:color w:val="000000" w:themeColor="text1"/>
          <w:sz w:val="28"/>
          <w:szCs w:val="28"/>
        </w:rPr>
        <w:t>.17-1)是缺氧池容积的计算方法，式中0.12为微生物中氮的分数。反硝化速率</w:t>
      </w:r>
      <w:r>
        <w:rPr>
          <w:rFonts w:eastAsiaTheme="minorEastAsia"/>
          <w:i/>
          <w:color w:val="000000" w:themeColor="text1"/>
          <w:sz w:val="28"/>
          <w:szCs w:val="28"/>
        </w:rPr>
        <w:t>K</w:t>
      </w:r>
      <w:r>
        <w:rPr>
          <w:rFonts w:eastAsiaTheme="minorEastAsia"/>
          <w:color w:val="000000" w:themeColor="text1"/>
          <w:sz w:val="28"/>
          <w:szCs w:val="28"/>
          <w:vertAlign w:val="subscript"/>
        </w:rPr>
        <w:t>de</w:t>
      </w:r>
      <w:r>
        <w:rPr>
          <w:rFonts w:eastAsiaTheme="minorEastAsia"/>
          <w:color w:val="000000" w:themeColor="text1"/>
          <w:sz w:val="28"/>
          <w:szCs w:val="28"/>
        </w:rPr>
        <w:t>与混合液回流比、进水水质、温度和污泥中反硝化菌的比例等因素有关。混合液回流量大，带入缺氧池的溶解氧多，</w:t>
      </w:r>
      <w:r>
        <w:rPr>
          <w:rFonts w:eastAsiaTheme="minorEastAsia"/>
          <w:i/>
          <w:color w:val="000000" w:themeColor="text1"/>
          <w:sz w:val="28"/>
          <w:szCs w:val="28"/>
        </w:rPr>
        <w:t>K</w:t>
      </w:r>
      <w:r>
        <w:rPr>
          <w:rFonts w:eastAsiaTheme="minorEastAsia"/>
          <w:color w:val="000000" w:themeColor="text1"/>
          <w:sz w:val="28"/>
          <w:szCs w:val="28"/>
          <w:vertAlign w:val="subscript"/>
        </w:rPr>
        <w:t>de</w:t>
      </w:r>
      <w:r>
        <w:rPr>
          <w:rFonts w:eastAsiaTheme="minorEastAsia"/>
          <w:color w:val="000000" w:themeColor="text1"/>
          <w:sz w:val="28"/>
          <w:szCs w:val="28"/>
        </w:rPr>
        <w:t>取低值；进水有机物浓度高且较易生物降解时，</w:t>
      </w:r>
      <w:r>
        <w:rPr>
          <w:rFonts w:eastAsiaTheme="minorEastAsia"/>
          <w:i/>
          <w:color w:val="000000" w:themeColor="text1"/>
          <w:sz w:val="28"/>
          <w:szCs w:val="28"/>
        </w:rPr>
        <w:t>K</w:t>
      </w:r>
      <w:r>
        <w:rPr>
          <w:rFonts w:eastAsiaTheme="minorEastAsia"/>
          <w:color w:val="000000" w:themeColor="text1"/>
          <w:sz w:val="28"/>
          <w:szCs w:val="28"/>
          <w:vertAlign w:val="subscript"/>
        </w:rPr>
        <w:t>de</w:t>
      </w:r>
      <w:r>
        <w:rPr>
          <w:rFonts w:eastAsiaTheme="minorEastAsia"/>
          <w:color w:val="000000" w:themeColor="text1"/>
          <w:sz w:val="28"/>
          <w:szCs w:val="28"/>
        </w:rPr>
        <w:t>取高值。</w:t>
      </w:r>
    </w:p>
    <w:p>
      <w:pPr>
        <w:wordWrap w:val="0"/>
        <w:rPr>
          <w:rFonts w:eastAsiaTheme="minorEastAsia"/>
          <w:color w:val="000000" w:themeColor="text1"/>
          <w:sz w:val="28"/>
          <w:szCs w:val="28"/>
        </w:rPr>
      </w:pPr>
      <w:r>
        <w:rPr>
          <w:rFonts w:eastAsiaTheme="minorEastAsia"/>
          <w:color w:val="000000" w:themeColor="text1"/>
          <w:sz w:val="28"/>
          <w:szCs w:val="28"/>
        </w:rPr>
        <w:t xml:space="preserve">    温度变化可用式(7.</w:t>
      </w:r>
      <w:r>
        <w:rPr>
          <w:rFonts w:hint="eastAsia" w:eastAsiaTheme="minorEastAsia"/>
          <w:color w:val="000000" w:themeColor="text1"/>
          <w:sz w:val="28"/>
          <w:szCs w:val="28"/>
        </w:rPr>
        <w:t>6</w:t>
      </w:r>
      <w:r>
        <w:rPr>
          <w:rFonts w:eastAsiaTheme="minorEastAsia"/>
          <w:color w:val="000000" w:themeColor="text1"/>
          <w:sz w:val="28"/>
          <w:szCs w:val="28"/>
        </w:rPr>
        <w:t>.17-2)修正，式中1.08为温度修正系数。</w:t>
      </w:r>
    </w:p>
    <w:p>
      <w:pPr>
        <w:wordWrap w:val="0"/>
        <w:ind w:firstLine="570"/>
        <w:rPr>
          <w:rFonts w:eastAsiaTheme="minorEastAsia"/>
          <w:color w:val="000000" w:themeColor="text1"/>
          <w:sz w:val="28"/>
          <w:szCs w:val="28"/>
        </w:rPr>
      </w:pPr>
      <w:r>
        <w:rPr>
          <w:rFonts w:eastAsiaTheme="minorEastAsia"/>
          <w:color w:val="000000" w:themeColor="text1"/>
          <w:sz w:val="28"/>
          <w:szCs w:val="28"/>
        </w:rPr>
        <w:t>由于原污水总悬浮固体中的一部分沉积到污泥中，结果产生的污泥将大于由有机物降解产生的污泥，在许多不设初次沉淀池的处理工艺中更甚。因此，在确定污泥总产率系数时，必须考虑原污水中总悬浮固体的含量，否则，计算所得的剩余污泥量往往偏小。污泥总产率系数随温度、泥龄和内源衰减系数变化而变化，不是一个常数。对于某种生活污水，有初次沉淀池和无初次沉淀池时，泥龄一污泥总产率曲线分别示于图4和图5。</w:t>
      </w:r>
    </w:p>
    <w:p>
      <w:pPr>
        <w:wordWrap w:val="0"/>
        <w:ind w:firstLine="570"/>
        <w:jc w:val="center"/>
        <w:rPr>
          <w:rFonts w:eastAsiaTheme="minorEastAsia"/>
          <w:b/>
          <w:color w:val="000000" w:themeColor="text1"/>
          <w:sz w:val="28"/>
          <w:szCs w:val="28"/>
        </w:rPr>
      </w:pPr>
      <w:r>
        <w:rPr>
          <w:rFonts w:eastAsiaTheme="minorEastAsia"/>
          <w:color w:val="000000" w:themeColor="text1"/>
          <w:sz w:val="28"/>
          <w:szCs w:val="28"/>
        </w:rPr>
        <w:drawing>
          <wp:inline distT="0" distB="0" distL="0" distR="0">
            <wp:extent cx="4465320" cy="27254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72713" cy="2729797"/>
                    </a:xfrm>
                    <a:prstGeom prst="rect">
                      <a:avLst/>
                    </a:prstGeom>
                  </pic:spPr>
                </pic:pic>
              </a:graphicData>
            </a:graphic>
          </wp:inline>
        </w:drawing>
      </w:r>
    </w:p>
    <w:p>
      <w:pPr>
        <w:wordWrap w:val="0"/>
        <w:ind w:firstLine="570"/>
        <w:jc w:val="center"/>
        <w:rPr>
          <w:rFonts w:eastAsiaTheme="minorEastAsia"/>
          <w:b/>
          <w:color w:val="000000" w:themeColor="text1"/>
          <w:sz w:val="28"/>
          <w:szCs w:val="28"/>
        </w:rPr>
      </w:pPr>
      <w:r>
        <w:rPr>
          <w:rFonts w:eastAsiaTheme="minorEastAsia"/>
          <w:b/>
          <w:color w:val="000000" w:themeColor="text1"/>
          <w:sz w:val="28"/>
          <w:szCs w:val="28"/>
        </w:rPr>
        <w:t>图4有初次沉淀池时泥龄-污泥总产率系数曲线</w:t>
      </w:r>
    </w:p>
    <w:p>
      <w:pPr>
        <w:wordWrap w:val="0"/>
        <w:ind w:firstLine="570"/>
        <w:jc w:val="center"/>
        <w:rPr>
          <w:rFonts w:eastAsiaTheme="minorEastAsia"/>
          <w:color w:val="000000" w:themeColor="text1"/>
          <w:sz w:val="28"/>
          <w:szCs w:val="28"/>
        </w:rPr>
      </w:pPr>
      <w:r>
        <w:rPr>
          <w:rFonts w:eastAsiaTheme="minorEastAsia"/>
          <w:color w:val="000000" w:themeColor="text1"/>
          <w:sz w:val="28"/>
          <w:szCs w:val="28"/>
        </w:rPr>
        <w:t>注：有初次沉淀池，TSS去除60%，初次沉淀池出流中有30%的惰性物质，原污水的COD/BOD</w:t>
      </w:r>
      <w:r>
        <w:rPr>
          <w:rFonts w:eastAsiaTheme="minorEastAsia"/>
          <w:color w:val="000000" w:themeColor="text1"/>
          <w:sz w:val="28"/>
          <w:szCs w:val="28"/>
          <w:vertAlign w:val="subscript"/>
        </w:rPr>
        <w:t>5</w:t>
      </w:r>
      <w:r>
        <w:rPr>
          <w:rFonts w:eastAsiaTheme="minorEastAsia"/>
          <w:color w:val="000000" w:themeColor="text1"/>
          <w:sz w:val="28"/>
          <w:szCs w:val="28"/>
        </w:rPr>
        <w:t>为1.5～2.0，TSS/BOD</w:t>
      </w:r>
      <w:r>
        <w:rPr>
          <w:rFonts w:eastAsiaTheme="minorEastAsia"/>
          <w:color w:val="000000" w:themeColor="text1"/>
          <w:sz w:val="28"/>
          <w:szCs w:val="28"/>
          <w:vertAlign w:val="subscript"/>
        </w:rPr>
        <w:t>5</w:t>
      </w:r>
      <w:r>
        <w:rPr>
          <w:rFonts w:eastAsiaTheme="minorEastAsia"/>
          <w:color w:val="000000" w:themeColor="text1"/>
          <w:sz w:val="28"/>
          <w:szCs w:val="28"/>
        </w:rPr>
        <w:t>为0.8～1.2。</w:t>
      </w:r>
    </w:p>
    <w:p>
      <w:pPr>
        <w:wordWrap w:val="0"/>
        <w:ind w:firstLine="570"/>
        <w:jc w:val="center"/>
        <w:rPr>
          <w:rFonts w:eastAsiaTheme="minorEastAsia"/>
          <w:b/>
          <w:color w:val="000000" w:themeColor="text1"/>
          <w:sz w:val="28"/>
          <w:szCs w:val="28"/>
        </w:rPr>
      </w:pPr>
      <w:r>
        <w:rPr>
          <w:rFonts w:eastAsiaTheme="minorEastAsia"/>
          <w:b/>
          <w:color w:val="000000" w:themeColor="text1"/>
          <w:sz w:val="28"/>
          <w:szCs w:val="28"/>
        </w:rPr>
        <w:drawing>
          <wp:inline distT="0" distB="0" distL="0" distR="0">
            <wp:extent cx="3782695" cy="3006090"/>
            <wp:effectExtent l="0" t="0" r="825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82413" cy="3005635"/>
                    </a:xfrm>
                    <a:prstGeom prst="rect">
                      <a:avLst/>
                    </a:prstGeom>
                  </pic:spPr>
                </pic:pic>
              </a:graphicData>
            </a:graphic>
          </wp:inline>
        </w:drawing>
      </w:r>
    </w:p>
    <w:p>
      <w:pPr>
        <w:wordWrap w:val="0"/>
        <w:ind w:firstLine="570"/>
        <w:jc w:val="center"/>
        <w:rPr>
          <w:rFonts w:eastAsiaTheme="minorEastAsia"/>
          <w:color w:val="000000" w:themeColor="text1"/>
          <w:sz w:val="28"/>
          <w:szCs w:val="28"/>
        </w:rPr>
      </w:pPr>
      <w:r>
        <w:rPr>
          <w:rFonts w:eastAsiaTheme="minorEastAsia"/>
          <w:b/>
          <w:color w:val="000000" w:themeColor="text1"/>
          <w:sz w:val="28"/>
          <w:szCs w:val="28"/>
        </w:rPr>
        <w:t>图5无初次沉淀池时泥龄-污泥总产率系数曲线</w:t>
      </w:r>
    </w:p>
    <w:p>
      <w:pPr>
        <w:wordWrap w:val="0"/>
        <w:ind w:firstLine="570"/>
        <w:jc w:val="center"/>
        <w:rPr>
          <w:rFonts w:eastAsiaTheme="minorEastAsia"/>
          <w:color w:val="000000" w:themeColor="text1"/>
          <w:sz w:val="28"/>
          <w:szCs w:val="28"/>
        </w:rPr>
      </w:pPr>
      <w:r>
        <w:rPr>
          <w:rFonts w:eastAsiaTheme="minorEastAsia"/>
          <w:color w:val="000000" w:themeColor="text1"/>
          <w:sz w:val="28"/>
          <w:szCs w:val="28"/>
        </w:rPr>
        <w:t>注：无初次沉淀池，TSS/BOD</w:t>
      </w:r>
      <w:r>
        <w:rPr>
          <w:rFonts w:eastAsiaTheme="minorEastAsia"/>
          <w:color w:val="000000" w:themeColor="text1"/>
          <w:sz w:val="28"/>
          <w:szCs w:val="28"/>
          <w:vertAlign w:val="subscript"/>
        </w:rPr>
        <w:t>5</w:t>
      </w:r>
      <w:r>
        <w:rPr>
          <w:rFonts w:eastAsiaTheme="minorEastAsia"/>
          <w:color w:val="000000" w:themeColor="text1"/>
          <w:sz w:val="28"/>
          <w:szCs w:val="28"/>
        </w:rPr>
        <w:t>=1.0，TSS中惰性固体占50%。</w:t>
      </w:r>
    </w:p>
    <w:p>
      <w:pPr>
        <w:wordWrap w:val="0"/>
        <w:rPr>
          <w:rFonts w:eastAsiaTheme="minorEastAsia"/>
          <w:color w:val="000000" w:themeColor="text1"/>
          <w:sz w:val="28"/>
          <w:szCs w:val="28"/>
        </w:rPr>
      </w:pPr>
      <w:r>
        <w:rPr>
          <w:rFonts w:eastAsiaTheme="minorEastAsia"/>
          <w:color w:val="000000" w:themeColor="text1"/>
          <w:sz w:val="28"/>
          <w:szCs w:val="28"/>
        </w:rPr>
        <w:t xml:space="preserve">    TSS/BOD</w:t>
      </w:r>
      <w:r>
        <w:rPr>
          <w:rFonts w:eastAsiaTheme="minorEastAsia"/>
          <w:color w:val="000000" w:themeColor="text1"/>
          <w:sz w:val="28"/>
          <w:szCs w:val="28"/>
          <w:vertAlign w:val="subscript"/>
        </w:rPr>
        <w:t>5</w:t>
      </w:r>
      <w:r>
        <w:rPr>
          <w:rFonts w:eastAsiaTheme="minorEastAsia"/>
          <w:color w:val="000000" w:themeColor="text1"/>
          <w:sz w:val="28"/>
          <w:szCs w:val="28"/>
        </w:rPr>
        <w:t>反映了原污水中总悬浮固体与五日生化需氧量之比，比值大，剩余污泥量大，即</w:t>
      </w:r>
      <w:r>
        <w:rPr>
          <w:rFonts w:eastAsiaTheme="minorEastAsia"/>
          <w:i/>
          <w:color w:val="000000" w:themeColor="text1"/>
          <w:sz w:val="28"/>
          <w:szCs w:val="28"/>
        </w:rPr>
        <w:t>Y</w:t>
      </w:r>
      <w:r>
        <w:rPr>
          <w:rFonts w:eastAsiaTheme="minorEastAsia"/>
          <w:color w:val="000000" w:themeColor="text1"/>
          <w:sz w:val="28"/>
          <w:szCs w:val="28"/>
          <w:vertAlign w:val="subscript"/>
        </w:rPr>
        <w:t>t</w:t>
      </w:r>
      <w:r>
        <w:rPr>
          <w:rFonts w:eastAsiaTheme="minorEastAsia"/>
          <w:color w:val="000000" w:themeColor="text1"/>
          <w:sz w:val="28"/>
          <w:szCs w:val="28"/>
        </w:rPr>
        <w:t>值大。泥龄</w:t>
      </w:r>
      <w:r>
        <w:rPr>
          <w:rFonts w:eastAsiaTheme="minorEastAsia"/>
          <w:i/>
          <w:color w:val="000000" w:themeColor="text1"/>
          <w:sz w:val="28"/>
          <w:szCs w:val="28"/>
        </w:rPr>
        <w:t>θ</w:t>
      </w:r>
      <w:r>
        <w:rPr>
          <w:rFonts w:eastAsiaTheme="minorEastAsia"/>
          <w:color w:val="000000" w:themeColor="text1"/>
          <w:sz w:val="28"/>
          <w:szCs w:val="28"/>
          <w:vertAlign w:val="subscript"/>
        </w:rPr>
        <w:t>c</w:t>
      </w:r>
      <w:r>
        <w:rPr>
          <w:rFonts w:eastAsiaTheme="minorEastAsia"/>
          <w:color w:val="000000" w:themeColor="text1"/>
          <w:sz w:val="28"/>
          <w:szCs w:val="28"/>
        </w:rPr>
        <w:t>影响污泥的衰减，泥龄长，污泥衰减多，即</w:t>
      </w:r>
      <w:r>
        <w:rPr>
          <w:rFonts w:eastAsiaTheme="minorEastAsia"/>
          <w:i/>
          <w:color w:val="000000" w:themeColor="text1"/>
          <w:sz w:val="28"/>
          <w:szCs w:val="28"/>
        </w:rPr>
        <w:t>Y</w:t>
      </w:r>
      <w:r>
        <w:rPr>
          <w:rFonts w:eastAsiaTheme="minorEastAsia"/>
          <w:color w:val="000000" w:themeColor="text1"/>
          <w:sz w:val="28"/>
          <w:szCs w:val="28"/>
          <w:vertAlign w:val="subscript"/>
        </w:rPr>
        <w:t>t</w:t>
      </w:r>
      <w:r>
        <w:rPr>
          <w:rFonts w:eastAsiaTheme="minorEastAsia"/>
          <w:color w:val="000000" w:themeColor="text1"/>
          <w:sz w:val="28"/>
          <w:szCs w:val="28"/>
        </w:rPr>
        <w:t>值小。温度影响污泥总产率系数，温度高，</w:t>
      </w:r>
      <w:r>
        <w:rPr>
          <w:rFonts w:eastAsiaTheme="minorEastAsia"/>
          <w:i/>
          <w:color w:val="000000" w:themeColor="text1"/>
          <w:sz w:val="28"/>
          <w:szCs w:val="28"/>
        </w:rPr>
        <w:t>Y</w:t>
      </w:r>
      <w:r>
        <w:rPr>
          <w:rFonts w:eastAsiaTheme="minorEastAsia"/>
          <w:color w:val="000000" w:themeColor="text1"/>
          <w:sz w:val="28"/>
          <w:szCs w:val="28"/>
          <w:vertAlign w:val="subscript"/>
        </w:rPr>
        <w:t>t</w:t>
      </w:r>
      <w:r>
        <w:rPr>
          <w:rFonts w:eastAsiaTheme="minorEastAsia"/>
          <w:color w:val="000000" w:themeColor="text1"/>
          <w:sz w:val="28"/>
          <w:szCs w:val="28"/>
        </w:rPr>
        <w:t>值小。</w:t>
      </w:r>
    </w:p>
    <w:p>
      <w:pPr>
        <w:wordWrap w:val="0"/>
        <w:rPr>
          <w:rFonts w:eastAsiaTheme="minorEastAsia"/>
          <w:color w:val="000000" w:themeColor="text1"/>
          <w:sz w:val="28"/>
          <w:szCs w:val="28"/>
        </w:rPr>
      </w:pPr>
      <w:r>
        <w:rPr>
          <w:rFonts w:eastAsiaTheme="minorEastAsia"/>
          <w:color w:val="000000" w:themeColor="text1"/>
          <w:sz w:val="28"/>
          <w:szCs w:val="28"/>
        </w:rPr>
        <w:t xml:space="preserve">    式(7.</w:t>
      </w:r>
      <w:r>
        <w:rPr>
          <w:rFonts w:hint="eastAsia" w:eastAsiaTheme="minorEastAsia"/>
          <w:color w:val="000000" w:themeColor="text1"/>
          <w:sz w:val="28"/>
          <w:szCs w:val="28"/>
        </w:rPr>
        <w:t>6</w:t>
      </w:r>
      <w:r>
        <w:rPr>
          <w:rFonts w:eastAsiaTheme="minorEastAsia"/>
          <w:color w:val="000000" w:themeColor="text1"/>
          <w:sz w:val="28"/>
          <w:szCs w:val="28"/>
        </w:rPr>
        <w:t>.17-4)介绍了好氧区（池）容积的计算公式。式(7.</w:t>
      </w:r>
      <w:r>
        <w:rPr>
          <w:rFonts w:hint="eastAsia" w:eastAsiaTheme="minorEastAsia"/>
          <w:color w:val="000000" w:themeColor="text1"/>
          <w:sz w:val="28"/>
          <w:szCs w:val="28"/>
        </w:rPr>
        <w:t>6</w:t>
      </w:r>
      <w:r>
        <w:rPr>
          <w:rFonts w:eastAsiaTheme="minorEastAsia"/>
          <w:color w:val="000000" w:themeColor="text1"/>
          <w:sz w:val="28"/>
          <w:szCs w:val="28"/>
        </w:rPr>
        <w:t>.17-6)为计算硝化细菌比生长速率的公式，0.47为15</w:t>
      </w:r>
      <w:r>
        <w:rPr>
          <w:rFonts w:eastAsia="宋体"/>
          <w:color w:val="000000" w:themeColor="text1"/>
          <w:sz w:val="28"/>
          <w:szCs w:val="28"/>
        </w:rPr>
        <w:t>°C</w:t>
      </w:r>
      <w:r>
        <w:rPr>
          <w:rFonts w:eastAsiaTheme="minorEastAsia"/>
          <w:color w:val="000000" w:themeColor="text1"/>
          <w:sz w:val="28"/>
          <w:szCs w:val="28"/>
        </w:rPr>
        <w:t>时硝化细菌最大比生长速率；硝化作用中氮的半速率常数</w:t>
      </w:r>
      <w:r>
        <w:rPr>
          <w:rFonts w:eastAsiaTheme="minorEastAsia"/>
          <w:i/>
          <w:color w:val="000000" w:themeColor="text1"/>
          <w:sz w:val="28"/>
          <w:szCs w:val="28"/>
        </w:rPr>
        <w:t>K</w:t>
      </w:r>
      <w:r>
        <w:rPr>
          <w:rFonts w:eastAsiaTheme="minorEastAsia"/>
          <w:color w:val="000000" w:themeColor="text1"/>
          <w:sz w:val="28"/>
          <w:szCs w:val="28"/>
          <w:vertAlign w:val="subscript"/>
        </w:rPr>
        <w:t>n</w:t>
      </w:r>
      <w:r>
        <w:rPr>
          <w:rFonts w:eastAsiaTheme="minorEastAsia"/>
          <w:color w:val="000000" w:themeColor="text1"/>
          <w:sz w:val="28"/>
          <w:szCs w:val="28"/>
        </w:rPr>
        <w:t>是硝化细菌比生长速率等于硝化细菌最大比生长速率一半时氮的浓度，</w:t>
      </w:r>
      <w:r>
        <w:rPr>
          <w:rFonts w:eastAsiaTheme="minorEastAsia"/>
          <w:i/>
          <w:color w:val="000000" w:themeColor="text1"/>
          <w:sz w:val="28"/>
          <w:szCs w:val="28"/>
        </w:rPr>
        <w:t>K</w:t>
      </w:r>
      <w:r>
        <w:rPr>
          <w:rFonts w:eastAsiaTheme="minorEastAsia"/>
          <w:color w:val="000000" w:themeColor="text1"/>
          <w:sz w:val="28"/>
          <w:szCs w:val="28"/>
          <w:vertAlign w:val="subscript"/>
        </w:rPr>
        <w:t>n</w:t>
      </w:r>
      <w:r>
        <w:rPr>
          <w:rFonts w:eastAsiaTheme="minorEastAsia"/>
          <w:color w:val="000000" w:themeColor="text1"/>
          <w:sz w:val="28"/>
          <w:szCs w:val="28"/>
        </w:rPr>
        <w:t>的典型值为1.0mg/L；e</w:t>
      </w:r>
      <w:r>
        <w:rPr>
          <w:rFonts w:eastAsiaTheme="minorEastAsia"/>
          <w:color w:val="000000" w:themeColor="text1"/>
          <w:sz w:val="28"/>
          <w:szCs w:val="28"/>
          <w:vertAlign w:val="superscript"/>
        </w:rPr>
        <w:t>0.098(</w:t>
      </w:r>
      <w:r>
        <w:rPr>
          <w:rFonts w:eastAsiaTheme="minorEastAsia"/>
          <w:i/>
          <w:color w:val="000000" w:themeColor="text1"/>
          <w:sz w:val="28"/>
          <w:szCs w:val="28"/>
          <w:vertAlign w:val="superscript"/>
        </w:rPr>
        <w:t>T</w:t>
      </w:r>
      <w:r>
        <w:rPr>
          <w:rFonts w:eastAsiaTheme="minorEastAsia"/>
          <w:color w:val="000000" w:themeColor="text1"/>
          <w:sz w:val="28"/>
          <w:szCs w:val="28"/>
          <w:vertAlign w:val="superscript"/>
        </w:rPr>
        <w:t>-15)</w:t>
      </w:r>
      <w:r>
        <w:rPr>
          <w:rFonts w:eastAsiaTheme="minorEastAsia"/>
          <w:color w:val="000000" w:themeColor="text1"/>
          <w:sz w:val="28"/>
          <w:szCs w:val="28"/>
        </w:rPr>
        <w:t>是温度校正项。自养硝化细菌比异养菌的比生长速率小得多，如果没有足够长的泥龄，硝化细菌就会从系统中流失。为了保证硝化发生，泥龄须大于1/</w:t>
      </w:r>
      <w:r>
        <w:rPr>
          <w:rFonts w:eastAsiaTheme="minorEastAsia"/>
          <w:i/>
          <w:color w:val="000000" w:themeColor="text1"/>
          <w:sz w:val="28"/>
          <w:szCs w:val="28"/>
        </w:rPr>
        <w:t>μ</w:t>
      </w:r>
      <w:r>
        <w:rPr>
          <w:rFonts w:eastAsiaTheme="minorEastAsia"/>
          <w:color w:val="000000" w:themeColor="text1"/>
          <w:sz w:val="28"/>
          <w:szCs w:val="28"/>
        </w:rPr>
        <w:t>。在需要硝化的场合，以泥龄作为基本设计参数是十分有利的。式(7.</w:t>
      </w:r>
      <w:r>
        <w:rPr>
          <w:rFonts w:hint="eastAsia" w:eastAsiaTheme="minorEastAsia"/>
          <w:color w:val="000000" w:themeColor="text1"/>
          <w:sz w:val="28"/>
          <w:szCs w:val="28"/>
        </w:rPr>
        <w:t>6</w:t>
      </w:r>
      <w:r>
        <w:rPr>
          <w:rFonts w:eastAsiaTheme="minorEastAsia"/>
          <w:color w:val="000000" w:themeColor="text1"/>
          <w:sz w:val="28"/>
          <w:szCs w:val="28"/>
        </w:rPr>
        <w:t>.17-6)是从纯种培养试验中得出的硝化细菌比生长速率。为了在环境条件变得不利于硝化细菌生长时，系统中仍有硝化细菌，在式(7.</w:t>
      </w:r>
      <w:r>
        <w:rPr>
          <w:rFonts w:hint="eastAsia" w:eastAsiaTheme="minorEastAsia"/>
          <w:color w:val="000000" w:themeColor="text1"/>
          <w:sz w:val="28"/>
          <w:szCs w:val="28"/>
        </w:rPr>
        <w:t>6</w:t>
      </w:r>
      <w:r>
        <w:rPr>
          <w:rFonts w:eastAsiaTheme="minorEastAsia"/>
          <w:color w:val="000000" w:themeColor="text1"/>
          <w:sz w:val="28"/>
          <w:szCs w:val="28"/>
        </w:rPr>
        <w:t>.17-5)中引入安全系数</w:t>
      </w:r>
      <w:r>
        <w:rPr>
          <w:rFonts w:eastAsiaTheme="minorEastAsia"/>
          <w:i/>
          <w:color w:val="000000" w:themeColor="text1"/>
          <w:sz w:val="28"/>
          <w:szCs w:val="28"/>
        </w:rPr>
        <w:t>F</w:t>
      </w:r>
      <w:r>
        <w:rPr>
          <w:rFonts w:eastAsiaTheme="minorEastAsia"/>
          <w:color w:val="000000" w:themeColor="text1"/>
          <w:sz w:val="28"/>
          <w:szCs w:val="28"/>
        </w:rPr>
        <w:t>，城镇污水可生化性好，</w:t>
      </w:r>
      <w:r>
        <w:rPr>
          <w:rFonts w:eastAsiaTheme="minorEastAsia"/>
          <w:i/>
          <w:color w:val="000000" w:themeColor="text1"/>
          <w:sz w:val="28"/>
          <w:szCs w:val="28"/>
        </w:rPr>
        <w:t>F</w:t>
      </w:r>
      <w:r>
        <w:rPr>
          <w:rFonts w:eastAsiaTheme="minorEastAsia"/>
          <w:color w:val="000000" w:themeColor="text1"/>
          <w:sz w:val="28"/>
          <w:szCs w:val="28"/>
        </w:rPr>
        <w:t>可取1.5～3.0。</w:t>
      </w:r>
    </w:p>
    <w:p>
      <w:pPr>
        <w:wordWrap w:val="0"/>
        <w:rPr>
          <w:rFonts w:eastAsiaTheme="minorEastAsia"/>
          <w:color w:val="000000" w:themeColor="text1"/>
          <w:sz w:val="28"/>
          <w:szCs w:val="28"/>
        </w:rPr>
      </w:pPr>
      <w:r>
        <w:rPr>
          <w:rFonts w:eastAsiaTheme="minorEastAsia"/>
          <w:color w:val="000000" w:themeColor="text1"/>
          <w:sz w:val="28"/>
          <w:szCs w:val="28"/>
        </w:rPr>
        <w:t xml:space="preserve">    式(7.</w:t>
      </w:r>
      <w:r>
        <w:rPr>
          <w:rFonts w:hint="eastAsia" w:eastAsiaTheme="minorEastAsia"/>
          <w:color w:val="000000" w:themeColor="text1"/>
          <w:sz w:val="28"/>
          <w:szCs w:val="28"/>
        </w:rPr>
        <w:t>6</w:t>
      </w:r>
      <w:r>
        <w:rPr>
          <w:rFonts w:eastAsiaTheme="minorEastAsia"/>
          <w:color w:val="000000" w:themeColor="text1"/>
          <w:sz w:val="28"/>
          <w:szCs w:val="28"/>
        </w:rPr>
        <w:t>.17-7)是混合液回流量的计算公式。如果好氧区（池）硝化作用完全，回流污泥中硝态氮浓度和好氧区（池）相同，回流污泥中硝态氮进缺氧区（池）后全部被反硝化，缺氧区（池）有足够碳源，则系统最大脱氮率是总回流比（混合液回流量加上回流污泥量与进水流量之比）</w:t>
      </w:r>
      <w:r>
        <w:rPr>
          <w:rFonts w:eastAsiaTheme="minorEastAsia"/>
          <w:i/>
          <w:color w:val="000000" w:themeColor="text1"/>
          <w:sz w:val="28"/>
          <w:szCs w:val="28"/>
        </w:rPr>
        <w:t>r</w:t>
      </w:r>
      <w:r>
        <w:rPr>
          <w:rFonts w:eastAsiaTheme="minorEastAsia"/>
          <w:color w:val="000000" w:themeColor="text1"/>
          <w:sz w:val="28"/>
          <w:szCs w:val="28"/>
        </w:rPr>
        <w:t>的函数，</w:t>
      </w:r>
      <w:r>
        <w:rPr>
          <w:rFonts w:eastAsiaTheme="minorEastAsia"/>
          <w:i/>
          <w:color w:val="000000" w:themeColor="text1"/>
          <w:sz w:val="28"/>
          <w:szCs w:val="28"/>
        </w:rPr>
        <w:t>r</w:t>
      </w:r>
      <w:r>
        <w:rPr>
          <w:rFonts w:eastAsiaTheme="minorEastAsia"/>
          <w:color w:val="000000" w:themeColor="text1"/>
          <w:sz w:val="28"/>
          <w:szCs w:val="28"/>
        </w:rPr>
        <w:t>=(</w:t>
      </w:r>
      <w:r>
        <w:rPr>
          <w:rFonts w:eastAsiaTheme="minorEastAsia"/>
          <w:i/>
          <w:color w:val="000000" w:themeColor="text1"/>
          <w:sz w:val="28"/>
          <w:szCs w:val="28"/>
        </w:rPr>
        <w:t>Q</w:t>
      </w:r>
      <w:r>
        <w:rPr>
          <w:rFonts w:eastAsiaTheme="minorEastAsia"/>
          <w:color w:val="000000" w:themeColor="text1"/>
          <w:sz w:val="28"/>
          <w:szCs w:val="28"/>
          <w:vertAlign w:val="subscript"/>
        </w:rPr>
        <w:t>Ri</w:t>
      </w:r>
      <w:r>
        <w:rPr>
          <w:rFonts w:eastAsiaTheme="minorEastAsia"/>
          <w:color w:val="000000" w:themeColor="text1"/>
          <w:sz w:val="28"/>
          <w:szCs w:val="28"/>
        </w:rPr>
        <w:t>+</w:t>
      </w:r>
      <w:r>
        <w:rPr>
          <w:rFonts w:eastAsiaTheme="minorEastAsia"/>
          <w:i/>
          <w:color w:val="000000" w:themeColor="text1"/>
          <w:sz w:val="28"/>
          <w:szCs w:val="28"/>
        </w:rPr>
        <w:t>Q</w:t>
      </w:r>
      <w:r>
        <w:rPr>
          <w:rFonts w:eastAsiaTheme="minorEastAsia"/>
          <w:color w:val="000000" w:themeColor="text1"/>
          <w:sz w:val="28"/>
          <w:szCs w:val="28"/>
          <w:vertAlign w:val="subscript"/>
        </w:rPr>
        <w:t>R</w:t>
      </w:r>
      <w:r>
        <w:rPr>
          <w:rFonts w:eastAsiaTheme="minorEastAsia"/>
          <w:color w:val="000000" w:themeColor="text1"/>
          <w:sz w:val="28"/>
          <w:szCs w:val="28"/>
        </w:rPr>
        <w:t>)/</w:t>
      </w:r>
      <w:r>
        <w:rPr>
          <w:rFonts w:eastAsiaTheme="minorEastAsia"/>
          <w:i/>
          <w:color w:val="000000" w:themeColor="text1"/>
          <w:sz w:val="28"/>
          <w:szCs w:val="28"/>
        </w:rPr>
        <w:t>Q</w:t>
      </w:r>
      <w:r>
        <w:rPr>
          <w:rFonts w:eastAsiaTheme="minorEastAsia"/>
          <w:color w:val="000000" w:themeColor="text1"/>
          <w:sz w:val="28"/>
          <w:szCs w:val="28"/>
        </w:rPr>
        <w:t>，最大脱氮率=</w:t>
      </w:r>
      <w:r>
        <w:rPr>
          <w:rFonts w:eastAsiaTheme="minorEastAsia"/>
          <w:i/>
          <w:color w:val="000000" w:themeColor="text1"/>
          <w:sz w:val="28"/>
          <w:szCs w:val="28"/>
        </w:rPr>
        <w:t>r</w:t>
      </w:r>
      <w:r>
        <w:rPr>
          <w:rFonts w:eastAsiaTheme="minorEastAsia"/>
          <w:color w:val="000000" w:themeColor="text1"/>
          <w:sz w:val="28"/>
          <w:szCs w:val="28"/>
        </w:rPr>
        <w:t>/(1+</w:t>
      </w:r>
      <w:r>
        <w:rPr>
          <w:rFonts w:eastAsiaTheme="minorEastAsia"/>
          <w:i/>
          <w:color w:val="000000" w:themeColor="text1"/>
          <w:sz w:val="28"/>
          <w:szCs w:val="28"/>
        </w:rPr>
        <w:t>r</w:t>
      </w:r>
      <w:r>
        <w:rPr>
          <w:rFonts w:eastAsiaTheme="minorEastAsia"/>
          <w:color w:val="000000" w:themeColor="text1"/>
          <w:sz w:val="28"/>
          <w:szCs w:val="28"/>
        </w:rPr>
        <w:t>)。由公式可知，增大总回流比可提高脱氮效果，但是，总回流比为4时，再增加回流比，对脱氮效果的提高不大。总回流比过大，会使系统由推流式趋于完全混合式，导致污泥性状变差；在进水浓度较低时，会使缺氧区（池）氧化还原电位(ORP)升高，导致反硝化速率降低。上海市政工程设计研究院观察到总回流比从1.5上升到2.5，ORP从-218mV上升到-192mV，反硝化速率从0.08kgNO</w:t>
      </w:r>
      <w:r>
        <w:rPr>
          <w:rFonts w:eastAsiaTheme="minorEastAsia"/>
          <w:color w:val="000000" w:themeColor="text1"/>
          <w:sz w:val="28"/>
          <w:szCs w:val="28"/>
          <w:vertAlign w:val="subscript"/>
        </w:rPr>
        <w:t>3</w:t>
      </w:r>
      <w:r>
        <w:rPr>
          <w:rFonts w:eastAsiaTheme="minorEastAsia"/>
          <w:color w:val="000000" w:themeColor="text1"/>
          <w:sz w:val="28"/>
          <w:szCs w:val="28"/>
        </w:rPr>
        <w:t>/(kgVSS·d)下降到0.038kgNO</w:t>
      </w:r>
      <w:r>
        <w:rPr>
          <w:rFonts w:eastAsiaTheme="minorEastAsia"/>
          <w:color w:val="000000" w:themeColor="text1"/>
          <w:sz w:val="28"/>
          <w:szCs w:val="28"/>
          <w:vertAlign w:val="subscript"/>
        </w:rPr>
        <w:t>3</w:t>
      </w:r>
      <w:r>
        <w:rPr>
          <w:rFonts w:eastAsiaTheme="minorEastAsia"/>
          <w:color w:val="000000" w:themeColor="text1"/>
          <w:sz w:val="28"/>
          <w:szCs w:val="28"/>
        </w:rPr>
        <w:t>/(kgVSS·d)。回流污泥量的确定，除计算外，还应综合考虑提供硝酸盐和反硝化速率等方面的因素。</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3</w:t>
      </w:r>
      <w:r>
        <w:rPr>
          <w:rFonts w:eastAsiaTheme="minorEastAsia"/>
          <w:color w:val="000000" w:themeColor="text1"/>
          <w:sz w:val="28"/>
          <w:szCs w:val="28"/>
        </w:rPr>
        <w:t xml:space="preserve"> 在设计中虽然可以从参考文献中获得一些动力学数据，但由于污水的情况千差万别，因此只有试验数据才最符合实际情况，有条件时应通过试验获取数据。若无试验条件时，可通过相似水质、相似工艺的污水厂，获取数据。生物脱氮时，由于硝化细菌世代时间较长，要取得较好脱氮效果，需较长泥龄。以脱氮为主要目标时，泥龄可取11d~23d。相应的五日生化需氧量污泥负荷较低、污泥产率较低、需氧量较大，水力停留时间也较长。表7.</w:t>
      </w:r>
      <w:r>
        <w:rPr>
          <w:rFonts w:hint="eastAsia" w:eastAsiaTheme="minorEastAsia"/>
          <w:color w:val="000000" w:themeColor="text1"/>
          <w:sz w:val="28"/>
          <w:szCs w:val="28"/>
        </w:rPr>
        <w:t>6</w:t>
      </w:r>
      <w:r>
        <w:rPr>
          <w:rFonts w:eastAsiaTheme="minorEastAsia"/>
          <w:color w:val="000000" w:themeColor="text1"/>
          <w:sz w:val="28"/>
          <w:szCs w:val="28"/>
        </w:rPr>
        <w:t>.17所列设计参数为经验数据。</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当仅需除磷时，宜采用厌氧∕好氧法（</w:t>
      </w:r>
      <w:r>
        <w:rPr>
          <w:rFonts w:ascii="Times New Roman" w:hAnsi="Times New Roman" w:eastAsiaTheme="minorEastAsia"/>
          <w:i/>
          <w:color w:val="000000" w:themeColor="text1"/>
          <w:sz w:val="28"/>
          <w:szCs w:val="28"/>
        </w:rPr>
        <w:t>A</w:t>
      </w:r>
      <w:r>
        <w:rPr>
          <w:rFonts w:ascii="Times New Roman" w:hAnsi="Times New Roman" w:eastAsiaTheme="minorEastAsia"/>
          <w:color w:val="000000" w:themeColor="text1"/>
          <w:sz w:val="28"/>
          <w:szCs w:val="28"/>
          <w:vertAlign w:val="subscript"/>
        </w:rPr>
        <w:t>P</w:t>
      </w:r>
      <w:r>
        <w:rPr>
          <w:rFonts w:ascii="Times New Roman" w:hAnsi="Times New Roman" w:eastAsiaTheme="minorEastAsia"/>
          <w:i/>
          <w:color w:val="000000" w:themeColor="text1"/>
          <w:sz w:val="28"/>
          <w:szCs w:val="28"/>
        </w:rPr>
        <w:t>O</w:t>
      </w:r>
      <w:r>
        <w:rPr>
          <w:rFonts w:ascii="Times New Roman" w:hAnsi="Times New Roman" w:eastAsiaTheme="minorEastAsia"/>
          <w:color w:val="000000" w:themeColor="text1"/>
          <w:sz w:val="28"/>
          <w:szCs w:val="28"/>
        </w:rPr>
        <w:t>法），并应符合下列规定：</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生物反应池中好氧区（池）的容积，采用污泥负荷或污泥龄计算时，可按本标准第7.</w:t>
      </w:r>
      <w:r>
        <w:rPr>
          <w:rFonts w:hint="eastAsia" w:eastAsiaTheme="minorEastAsia"/>
          <w:color w:val="000000" w:themeColor="text1"/>
          <w:sz w:val="28"/>
          <w:szCs w:val="28"/>
        </w:rPr>
        <w:t>6</w:t>
      </w:r>
      <w:r>
        <w:rPr>
          <w:rFonts w:eastAsiaTheme="minorEastAsia"/>
          <w:color w:val="000000" w:themeColor="text1"/>
          <w:sz w:val="28"/>
          <w:szCs w:val="28"/>
        </w:rPr>
        <w:t>.10条所列公式计算；</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生物反应池中厌氧区（池）的容积，可按下式公式计算：</w:t>
      </w:r>
    </w:p>
    <w:p>
      <w:pPr>
        <w:widowControl/>
        <w:wordWrap w:val="0"/>
        <w:ind w:firstLine="422" w:firstLineChars="151"/>
        <w:jc w:val="right"/>
        <w:rPr>
          <w:rFonts w:eastAsiaTheme="minorEastAsia"/>
          <w:color w:val="000000" w:themeColor="text1"/>
          <w:sz w:val="28"/>
          <w:szCs w:val="28"/>
        </w:rPr>
      </w:pPr>
      <w:r>
        <w:rPr>
          <w:rFonts w:eastAsiaTheme="minorEastAsia"/>
          <w:color w:val="000000" w:themeColor="text1"/>
          <w:sz w:val="28"/>
          <w:szCs w:val="28"/>
        </w:rPr>
        <w:object>
          <v:shape id="_x0000_i1050" o:spt="75" type="#_x0000_t75" style="height:29pt;width:47.7pt;" o:ole="t" fillcolor="#000005 [-4142]" filled="f" o:preferrelative="t" stroked="f" coordsize="21600,21600">
            <v:path/>
            <v:fill on="f" focussize="0,0"/>
            <v:stroke on="f" joinstyle="miter"/>
            <v:imagedata r:id="rId64" o:title=""/>
            <o:lock v:ext="edit" aspectratio="t"/>
            <w10:wrap type="none"/>
            <w10:anchorlock/>
          </v:shape>
          <o:OLEObject Type="Embed" ProgID="Equation.3" ShapeID="_x0000_i1050" DrawAspect="Content" ObjectID="_1468075750" r:id="rId63">
            <o:LockedField>false</o:LockedField>
          </o:OLEObject>
        </w:object>
      </w:r>
      <w:r>
        <w:rPr>
          <w:rFonts w:eastAsiaTheme="minorEastAsia"/>
          <w:color w:val="000000" w:themeColor="text1"/>
          <w:sz w:val="28"/>
          <w:szCs w:val="28"/>
        </w:rPr>
        <w:t xml:space="preserve">                   （7.</w:t>
      </w:r>
      <w:r>
        <w:rPr>
          <w:rFonts w:hint="eastAsia" w:eastAsiaTheme="minorEastAsia"/>
          <w:color w:val="000000" w:themeColor="text1"/>
          <w:sz w:val="28"/>
          <w:szCs w:val="28"/>
        </w:rPr>
        <w:t>6</w:t>
      </w:r>
      <w:r>
        <w:rPr>
          <w:rFonts w:eastAsiaTheme="minorEastAsia"/>
          <w:color w:val="000000" w:themeColor="text1"/>
          <w:sz w:val="28"/>
          <w:szCs w:val="28"/>
        </w:rPr>
        <w:t>.18）</w:t>
      </w:r>
    </w:p>
    <w:p>
      <w:pPr>
        <w:widowControl/>
        <w:wordWrap w:val="0"/>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V</w:t>
      </w:r>
      <w:r>
        <w:rPr>
          <w:rFonts w:eastAsiaTheme="minorEastAsia"/>
          <w:color w:val="000000" w:themeColor="text1"/>
          <w:sz w:val="28"/>
          <w:szCs w:val="28"/>
          <w:vertAlign w:val="subscript"/>
        </w:rPr>
        <w:t>P</w:t>
      </w:r>
      <w:r>
        <w:rPr>
          <w:rFonts w:eastAsiaTheme="minorEastAsia"/>
          <w:color w:val="000000" w:themeColor="text1"/>
          <w:sz w:val="28"/>
          <w:szCs w:val="28"/>
        </w:rPr>
        <w:t>——厌氧区（池）容积（m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P</w:t>
      </w:r>
      <w:r>
        <w:rPr>
          <w:rFonts w:eastAsiaTheme="minorEastAsia"/>
          <w:color w:val="000000" w:themeColor="text1"/>
          <w:sz w:val="28"/>
          <w:szCs w:val="28"/>
        </w:rPr>
        <w:t>——厌氧区（池）停留时间（h），宜为1~2；</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——生物反应池的设计流量（m</w:t>
      </w:r>
      <w:r>
        <w:rPr>
          <w:rFonts w:eastAsiaTheme="minorEastAsia"/>
          <w:color w:val="000000" w:themeColor="text1"/>
          <w:sz w:val="28"/>
          <w:szCs w:val="28"/>
          <w:vertAlign w:val="superscript"/>
        </w:rPr>
        <w:t>3</w:t>
      </w:r>
      <w:r>
        <w:rPr>
          <w:rFonts w:eastAsiaTheme="minorEastAsia"/>
          <w:color w:val="000000" w:themeColor="text1"/>
          <w:sz w:val="28"/>
          <w:szCs w:val="28"/>
        </w:rPr>
        <w:t>/d）。</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厌氧∕好氧法（</w:t>
      </w:r>
      <w:r>
        <w:rPr>
          <w:rFonts w:eastAsiaTheme="minorEastAsia"/>
          <w:i/>
          <w:color w:val="000000" w:themeColor="text1"/>
          <w:sz w:val="28"/>
          <w:szCs w:val="28"/>
        </w:rPr>
        <w:t>A</w:t>
      </w:r>
      <w:r>
        <w:rPr>
          <w:rFonts w:eastAsiaTheme="minorEastAsia"/>
          <w:color w:val="000000" w:themeColor="text1"/>
          <w:sz w:val="28"/>
          <w:szCs w:val="28"/>
          <w:vertAlign w:val="subscript"/>
        </w:rPr>
        <w:t>P</w:t>
      </w:r>
      <w:r>
        <w:rPr>
          <w:rFonts w:eastAsiaTheme="minorEastAsia"/>
          <w:i/>
          <w:color w:val="000000" w:themeColor="text1"/>
          <w:sz w:val="28"/>
          <w:szCs w:val="28"/>
        </w:rPr>
        <w:t>O</w:t>
      </w:r>
      <w:r>
        <w:rPr>
          <w:rFonts w:eastAsiaTheme="minorEastAsia"/>
          <w:color w:val="000000" w:themeColor="text1"/>
          <w:sz w:val="28"/>
          <w:szCs w:val="28"/>
        </w:rPr>
        <w:t>法）生物除磷的主要设计参数，宜根据试验资料确定；无试验资料时，可采用经验数据或按本标准表7.</w:t>
      </w:r>
      <w:r>
        <w:rPr>
          <w:rFonts w:hint="eastAsia" w:eastAsiaTheme="minorEastAsia"/>
          <w:color w:val="000000" w:themeColor="text1"/>
          <w:sz w:val="28"/>
          <w:szCs w:val="28"/>
        </w:rPr>
        <w:t>6</w:t>
      </w:r>
      <w:r>
        <w:rPr>
          <w:rFonts w:eastAsiaTheme="minorEastAsia"/>
          <w:color w:val="000000" w:themeColor="text1"/>
          <w:sz w:val="28"/>
          <w:szCs w:val="28"/>
        </w:rPr>
        <w:t>.18的规定取值。</w:t>
      </w:r>
    </w:p>
    <w:p>
      <w:pPr>
        <w:widowControl/>
        <w:wordWrap w:val="0"/>
        <w:jc w:val="center"/>
        <w:rPr>
          <w:rFonts w:eastAsiaTheme="minorEastAsia"/>
          <w:b/>
          <w:bCs/>
          <w:color w:val="000000" w:themeColor="text1"/>
          <w:sz w:val="28"/>
          <w:szCs w:val="28"/>
        </w:rPr>
      </w:pPr>
      <w:r>
        <w:rPr>
          <w:rFonts w:eastAsiaTheme="minorEastAsia"/>
          <w:b/>
          <w:bCs/>
          <w:color w:val="000000" w:themeColor="text1"/>
          <w:sz w:val="28"/>
          <w:szCs w:val="28"/>
        </w:rPr>
        <w:t>表7.</w:t>
      </w:r>
      <w:r>
        <w:rPr>
          <w:rFonts w:hint="eastAsia" w:eastAsiaTheme="minorEastAsia"/>
          <w:b/>
          <w:bCs/>
          <w:color w:val="000000" w:themeColor="text1"/>
          <w:sz w:val="28"/>
          <w:szCs w:val="28"/>
        </w:rPr>
        <w:t>6</w:t>
      </w:r>
      <w:r>
        <w:rPr>
          <w:rFonts w:eastAsiaTheme="minorEastAsia"/>
          <w:b/>
          <w:bCs/>
          <w:color w:val="000000" w:themeColor="text1"/>
          <w:sz w:val="28"/>
          <w:szCs w:val="28"/>
        </w:rPr>
        <w:t>.18 厌氧∕好氧法（</w:t>
      </w:r>
      <w:r>
        <w:rPr>
          <w:rFonts w:eastAsiaTheme="minorEastAsia"/>
          <w:b/>
          <w:bCs/>
          <w:i/>
          <w:color w:val="000000" w:themeColor="text1"/>
          <w:sz w:val="28"/>
          <w:szCs w:val="28"/>
        </w:rPr>
        <w:t>A</w:t>
      </w:r>
      <w:r>
        <w:rPr>
          <w:rFonts w:eastAsiaTheme="minorEastAsia"/>
          <w:b/>
          <w:bCs/>
          <w:color w:val="000000" w:themeColor="text1"/>
          <w:sz w:val="28"/>
          <w:szCs w:val="28"/>
          <w:vertAlign w:val="subscript"/>
        </w:rPr>
        <w:t>P</w:t>
      </w:r>
      <w:r>
        <w:rPr>
          <w:rFonts w:eastAsiaTheme="minorEastAsia"/>
          <w:b/>
          <w:bCs/>
          <w:i/>
          <w:color w:val="000000" w:themeColor="text1"/>
          <w:sz w:val="28"/>
          <w:szCs w:val="28"/>
        </w:rPr>
        <w:t>O</w:t>
      </w:r>
      <w:r>
        <w:rPr>
          <w:rFonts w:eastAsiaTheme="minorEastAsia"/>
          <w:b/>
          <w:bCs/>
          <w:color w:val="000000" w:themeColor="text1"/>
          <w:sz w:val="28"/>
          <w:szCs w:val="28"/>
        </w:rPr>
        <w:t>法）生物除磷的主要设计参数</w:t>
      </w:r>
    </w:p>
    <w:tbl>
      <w:tblPr>
        <w:tblStyle w:val="25"/>
        <w:tblW w:w="7853"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01"/>
        <w:gridCol w:w="2535"/>
        <w:gridCol w:w="24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jc w:val="center"/>
        </w:trPr>
        <w:tc>
          <w:tcPr>
            <w:tcW w:w="290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项  目</w:t>
            </w:r>
          </w:p>
        </w:tc>
        <w:tc>
          <w:tcPr>
            <w:tcW w:w="253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单  位</w:t>
            </w:r>
          </w:p>
        </w:tc>
        <w:tc>
          <w:tcPr>
            <w:tcW w:w="2417"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参数值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jc w:val="center"/>
        </w:trPr>
        <w:tc>
          <w:tcPr>
            <w:tcW w:w="290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BOD污泥负荷</w:t>
            </w:r>
            <w:r>
              <w:rPr>
                <w:rFonts w:eastAsiaTheme="minorEastAsia"/>
                <w:i/>
                <w:color w:val="000000" w:themeColor="text1"/>
                <w:sz w:val="28"/>
                <w:szCs w:val="28"/>
              </w:rPr>
              <w:t>L</w:t>
            </w:r>
            <w:r>
              <w:rPr>
                <w:rFonts w:eastAsiaTheme="minorEastAsia"/>
                <w:color w:val="000000" w:themeColor="text1"/>
                <w:sz w:val="28"/>
                <w:szCs w:val="28"/>
                <w:vertAlign w:val="subscript"/>
              </w:rPr>
              <w:t>s</w:t>
            </w:r>
          </w:p>
        </w:tc>
        <w:tc>
          <w:tcPr>
            <w:tcW w:w="253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kgBOD</w:t>
            </w:r>
            <w:r>
              <w:rPr>
                <w:rFonts w:eastAsiaTheme="minorEastAsia"/>
                <w:color w:val="000000" w:themeColor="text1"/>
                <w:sz w:val="28"/>
                <w:szCs w:val="28"/>
                <w:vertAlign w:val="subscript"/>
              </w:rPr>
              <w:t>5</w:t>
            </w:r>
            <w:r>
              <w:rPr>
                <w:rFonts w:eastAsiaTheme="minorEastAsia"/>
                <w:color w:val="000000" w:themeColor="text1"/>
                <w:sz w:val="28"/>
                <w:szCs w:val="28"/>
              </w:rPr>
              <w:t>/kgMLSS·d</w:t>
            </w:r>
          </w:p>
        </w:tc>
        <w:tc>
          <w:tcPr>
            <w:tcW w:w="2417"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0.4~0.7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jc w:val="center"/>
        </w:trPr>
        <w:tc>
          <w:tcPr>
            <w:tcW w:w="290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污泥浓度（MLSS）</w:t>
            </w:r>
            <w:r>
              <w:rPr>
                <w:rFonts w:eastAsiaTheme="minorEastAsia"/>
                <w:i/>
                <w:color w:val="000000" w:themeColor="text1"/>
                <w:sz w:val="28"/>
                <w:szCs w:val="28"/>
              </w:rPr>
              <w:t>X</w:t>
            </w:r>
          </w:p>
        </w:tc>
        <w:tc>
          <w:tcPr>
            <w:tcW w:w="253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g/L</w:t>
            </w:r>
          </w:p>
        </w:tc>
        <w:tc>
          <w:tcPr>
            <w:tcW w:w="2417"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jc w:val="center"/>
        </w:trPr>
        <w:tc>
          <w:tcPr>
            <w:tcW w:w="290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污泥龄</w:t>
            </w:r>
            <w:r>
              <w:rPr>
                <w:rFonts w:eastAsiaTheme="minorEastAsia"/>
                <w:i/>
                <w:color w:val="000000" w:themeColor="text1"/>
                <w:sz w:val="28"/>
                <w:szCs w:val="28"/>
              </w:rPr>
              <w:t>θ</w:t>
            </w:r>
            <w:r>
              <w:rPr>
                <w:rFonts w:eastAsiaTheme="minorEastAsia"/>
                <w:color w:val="000000" w:themeColor="text1"/>
                <w:sz w:val="28"/>
                <w:szCs w:val="28"/>
                <w:vertAlign w:val="subscript"/>
              </w:rPr>
              <w:t>C</w:t>
            </w:r>
          </w:p>
        </w:tc>
        <w:tc>
          <w:tcPr>
            <w:tcW w:w="253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d</w:t>
            </w:r>
          </w:p>
        </w:tc>
        <w:tc>
          <w:tcPr>
            <w:tcW w:w="2417"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jc w:val="center"/>
        </w:trPr>
        <w:tc>
          <w:tcPr>
            <w:tcW w:w="290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污泥产率</w:t>
            </w:r>
            <w:r>
              <w:rPr>
                <w:rFonts w:eastAsiaTheme="minorEastAsia"/>
                <w:i/>
                <w:color w:val="000000" w:themeColor="text1"/>
                <w:sz w:val="28"/>
                <w:szCs w:val="28"/>
              </w:rPr>
              <w:t>Y</w:t>
            </w:r>
          </w:p>
        </w:tc>
        <w:tc>
          <w:tcPr>
            <w:tcW w:w="253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kgVSS/kgBOD</w:t>
            </w:r>
            <w:r>
              <w:rPr>
                <w:rFonts w:eastAsiaTheme="minorEastAsia"/>
                <w:color w:val="000000" w:themeColor="text1"/>
                <w:sz w:val="28"/>
                <w:szCs w:val="28"/>
                <w:vertAlign w:val="subscript"/>
              </w:rPr>
              <w:t>5</w:t>
            </w:r>
          </w:p>
        </w:tc>
        <w:tc>
          <w:tcPr>
            <w:tcW w:w="2417"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0.4~0.8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jc w:val="center"/>
        </w:trPr>
        <w:tc>
          <w:tcPr>
            <w:tcW w:w="290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污泥含磷率</w:t>
            </w:r>
          </w:p>
        </w:tc>
        <w:tc>
          <w:tcPr>
            <w:tcW w:w="253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kgTP/kgVSS</w:t>
            </w:r>
          </w:p>
        </w:tc>
        <w:tc>
          <w:tcPr>
            <w:tcW w:w="2417"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0.03~0.07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jc w:val="center"/>
        </w:trPr>
        <w:tc>
          <w:tcPr>
            <w:tcW w:w="290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需氧量</w:t>
            </w:r>
            <w:r>
              <w:rPr>
                <w:rFonts w:eastAsiaTheme="minorEastAsia"/>
                <w:i/>
                <w:color w:val="000000" w:themeColor="text1"/>
                <w:sz w:val="28"/>
                <w:szCs w:val="28"/>
              </w:rPr>
              <w:t>O</w:t>
            </w:r>
            <w:r>
              <w:rPr>
                <w:rFonts w:eastAsiaTheme="minorEastAsia"/>
                <w:color w:val="000000" w:themeColor="text1"/>
                <w:sz w:val="28"/>
                <w:szCs w:val="28"/>
                <w:vertAlign w:val="subscript"/>
              </w:rPr>
              <w:t>2</w:t>
            </w:r>
          </w:p>
        </w:tc>
        <w:tc>
          <w:tcPr>
            <w:tcW w:w="253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kgO</w:t>
            </w:r>
            <w:r>
              <w:rPr>
                <w:rFonts w:eastAsiaTheme="minorEastAsia"/>
                <w:color w:val="000000" w:themeColor="text1"/>
                <w:sz w:val="28"/>
                <w:szCs w:val="28"/>
                <w:vertAlign w:val="subscript"/>
              </w:rPr>
              <w:t>2</w:t>
            </w:r>
            <w:r>
              <w:rPr>
                <w:rFonts w:eastAsiaTheme="minorEastAsia"/>
                <w:color w:val="000000" w:themeColor="text1"/>
                <w:sz w:val="28"/>
                <w:szCs w:val="28"/>
              </w:rPr>
              <w:t>/kgBOD</w:t>
            </w:r>
            <w:r>
              <w:rPr>
                <w:rFonts w:eastAsiaTheme="minorEastAsia"/>
                <w:color w:val="000000" w:themeColor="text1"/>
                <w:sz w:val="28"/>
                <w:szCs w:val="28"/>
                <w:vertAlign w:val="subscript"/>
              </w:rPr>
              <w:t>5</w:t>
            </w:r>
          </w:p>
        </w:tc>
        <w:tc>
          <w:tcPr>
            <w:tcW w:w="2417"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0.7~1.1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jc w:val="center"/>
        </w:trPr>
        <w:tc>
          <w:tcPr>
            <w:tcW w:w="2901" w:type="dxa"/>
            <w:vMerge w:val="restart"/>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水力停留时间</w:t>
            </w:r>
            <w:r>
              <w:rPr>
                <w:rFonts w:eastAsiaTheme="minorEastAsia"/>
                <w:i/>
                <w:color w:val="000000" w:themeColor="text1"/>
                <w:sz w:val="28"/>
                <w:szCs w:val="28"/>
              </w:rPr>
              <w:t>HRT</w:t>
            </w:r>
          </w:p>
        </w:tc>
        <w:tc>
          <w:tcPr>
            <w:tcW w:w="2535" w:type="dxa"/>
            <w:vMerge w:val="restart"/>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h</w:t>
            </w:r>
          </w:p>
        </w:tc>
        <w:tc>
          <w:tcPr>
            <w:tcW w:w="2417"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5~8h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jc w:val="center"/>
        </w:trPr>
        <w:tc>
          <w:tcPr>
            <w:tcW w:w="2901" w:type="dxa"/>
            <w:vMerge w:val="continue"/>
          </w:tcPr>
          <w:p>
            <w:pPr>
              <w:widowControl/>
              <w:wordWrap w:val="0"/>
              <w:spacing w:line="360" w:lineRule="auto"/>
              <w:jc w:val="center"/>
              <w:rPr>
                <w:rFonts w:eastAsiaTheme="minorEastAsia"/>
                <w:color w:val="000000" w:themeColor="text1"/>
                <w:sz w:val="28"/>
                <w:szCs w:val="28"/>
              </w:rPr>
            </w:pPr>
          </w:p>
        </w:tc>
        <w:tc>
          <w:tcPr>
            <w:tcW w:w="2535" w:type="dxa"/>
            <w:vMerge w:val="continue"/>
          </w:tcPr>
          <w:p>
            <w:pPr>
              <w:widowControl/>
              <w:wordWrap w:val="0"/>
              <w:spacing w:line="360" w:lineRule="auto"/>
              <w:jc w:val="center"/>
              <w:rPr>
                <w:rFonts w:eastAsiaTheme="minorEastAsia"/>
                <w:color w:val="000000" w:themeColor="text1"/>
                <w:sz w:val="28"/>
                <w:szCs w:val="28"/>
              </w:rPr>
            </w:pPr>
          </w:p>
        </w:tc>
        <w:tc>
          <w:tcPr>
            <w:tcW w:w="2417"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其中厌氧段1~2h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jc w:val="center"/>
        </w:trPr>
        <w:tc>
          <w:tcPr>
            <w:tcW w:w="2901"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污泥回流比</w:t>
            </w:r>
            <w:r>
              <w:rPr>
                <w:rFonts w:eastAsiaTheme="minorEastAsia"/>
                <w:i/>
                <w:color w:val="000000" w:themeColor="text1"/>
                <w:sz w:val="28"/>
                <w:szCs w:val="28"/>
              </w:rPr>
              <w:t>R</w:t>
            </w:r>
          </w:p>
        </w:tc>
        <w:tc>
          <w:tcPr>
            <w:tcW w:w="253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417"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40~100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jc w:val="center"/>
        </w:trPr>
        <w:tc>
          <w:tcPr>
            <w:tcW w:w="2901" w:type="dxa"/>
            <w:vMerge w:val="restart"/>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总处理效率</w:t>
            </w:r>
            <w:r>
              <w:rPr>
                <w:rFonts w:eastAsiaTheme="minorEastAsia"/>
                <w:i/>
                <w:color w:val="000000" w:themeColor="text1"/>
                <w:sz w:val="28"/>
                <w:szCs w:val="28"/>
              </w:rPr>
              <w:t>η</w:t>
            </w:r>
          </w:p>
        </w:tc>
        <w:tc>
          <w:tcPr>
            <w:tcW w:w="253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417"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80~90（BOD</w:t>
            </w:r>
            <w:r>
              <w:rPr>
                <w:rFonts w:eastAsiaTheme="minorEastAsia"/>
                <w:color w:val="000000" w:themeColor="text1"/>
                <w:sz w:val="28"/>
                <w:szCs w:val="28"/>
                <w:vertAlign w:val="subscript"/>
              </w:rPr>
              <w:t>5</w:t>
            </w:r>
            <w:r>
              <w:rPr>
                <w:rFonts w:eastAsiaTheme="minorEastAsia"/>
                <w:color w:val="000000" w:themeColor="text1"/>
                <w:sz w:val="28"/>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jc w:val="center"/>
        </w:trPr>
        <w:tc>
          <w:tcPr>
            <w:tcW w:w="2901" w:type="dxa"/>
            <w:vMerge w:val="continue"/>
          </w:tcPr>
          <w:p>
            <w:pPr>
              <w:widowControl/>
              <w:wordWrap w:val="0"/>
              <w:spacing w:line="360" w:lineRule="auto"/>
              <w:jc w:val="center"/>
              <w:rPr>
                <w:rFonts w:eastAsiaTheme="minorEastAsia"/>
                <w:color w:val="000000" w:themeColor="text1"/>
                <w:sz w:val="28"/>
                <w:szCs w:val="28"/>
              </w:rPr>
            </w:pPr>
          </w:p>
        </w:tc>
        <w:tc>
          <w:tcPr>
            <w:tcW w:w="253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417"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75~85（TP）</w:t>
            </w:r>
          </w:p>
        </w:tc>
      </w:tr>
    </w:tbl>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4</w:t>
      </w:r>
      <w:r>
        <w:rPr>
          <w:rFonts w:eastAsiaTheme="minorEastAsia"/>
          <w:color w:val="000000" w:themeColor="text1"/>
          <w:sz w:val="28"/>
          <w:szCs w:val="28"/>
        </w:rPr>
        <w:t xml:space="preserve"> 采用生物除磷处理污水时，剩余污泥宜采用机械浓缩；</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5</w:t>
      </w:r>
      <w:r>
        <w:rPr>
          <w:rFonts w:eastAsiaTheme="minorEastAsia"/>
          <w:color w:val="000000" w:themeColor="text1"/>
          <w:sz w:val="28"/>
          <w:szCs w:val="28"/>
        </w:rPr>
        <w:t xml:space="preserve"> 生物除磷的剩余污泥，采用厌氧消化处理时，输送厌氧消化污泥或污泥脱水滤液的管道，应有除垢措施。对含磷高的液体，宜先除磷再返回污水处理系统。</w:t>
      </w:r>
    </w:p>
    <w:p>
      <w:pPr>
        <w:wordWrap w:val="0"/>
        <w:rPr>
          <w:rFonts w:eastAsiaTheme="minorEastAsia"/>
          <w:color w:val="000000" w:themeColor="text1"/>
          <w:sz w:val="28"/>
          <w:szCs w:val="28"/>
        </w:rPr>
      </w:pPr>
      <w:r>
        <w:rPr>
          <w:rFonts w:eastAsiaTheme="minorEastAsia"/>
          <w:color w:val="000000" w:themeColor="text1"/>
          <w:sz w:val="28"/>
          <w:szCs w:val="28"/>
        </w:rPr>
        <w:t>【条文说明】生物除磷必须具备下列条件：</w:t>
      </w:r>
      <w:r>
        <w:rPr>
          <w:rFonts w:hint="eastAsia" w:ascii="宋体" w:hAnsi="宋体" w:eastAsia="宋体" w:cs="宋体"/>
          <w:color w:val="000000" w:themeColor="text1"/>
          <w:sz w:val="28"/>
          <w:szCs w:val="28"/>
        </w:rPr>
        <w:t>①</w:t>
      </w:r>
      <w:r>
        <w:rPr>
          <w:rFonts w:eastAsiaTheme="minorEastAsia"/>
          <w:color w:val="000000" w:themeColor="text1"/>
          <w:sz w:val="28"/>
          <w:szCs w:val="28"/>
        </w:rPr>
        <w:t>厌氧（无硝态氮）；</w:t>
      </w:r>
      <w:r>
        <w:rPr>
          <w:rFonts w:hint="eastAsia" w:ascii="宋体" w:hAnsi="宋体" w:eastAsia="宋体" w:cs="宋体"/>
          <w:color w:val="000000" w:themeColor="text1"/>
          <w:sz w:val="28"/>
          <w:szCs w:val="28"/>
        </w:rPr>
        <w:t>②</w:t>
      </w:r>
      <w:r>
        <w:rPr>
          <w:rFonts w:eastAsiaTheme="minorEastAsia"/>
          <w:color w:val="000000" w:themeColor="text1"/>
          <w:sz w:val="28"/>
          <w:szCs w:val="28"/>
        </w:rPr>
        <w:t>有机碳。厌氧／好氧法可满足上述要求，适于除磷。</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1</w:t>
      </w:r>
      <w:r>
        <w:rPr>
          <w:rFonts w:eastAsiaTheme="minorEastAsia"/>
          <w:color w:val="000000" w:themeColor="text1"/>
          <w:sz w:val="28"/>
          <w:szCs w:val="28"/>
        </w:rPr>
        <w:t xml:space="preserve"> 厌氧／好氧工艺的好氧区（池）的容积计算，根据经验可采用本标准第7.</w:t>
      </w:r>
      <w:r>
        <w:rPr>
          <w:rFonts w:hint="eastAsia" w:eastAsiaTheme="minorEastAsia"/>
          <w:color w:val="000000" w:themeColor="text1"/>
          <w:sz w:val="28"/>
          <w:szCs w:val="28"/>
        </w:rPr>
        <w:t>6</w:t>
      </w:r>
      <w:r>
        <w:rPr>
          <w:rFonts w:eastAsiaTheme="minorEastAsia"/>
          <w:color w:val="000000" w:themeColor="text1"/>
          <w:sz w:val="28"/>
          <w:szCs w:val="28"/>
        </w:rPr>
        <w:t>.10条生物去除碳源污染物的计算方法，并根据经验确定厌氧和好氧各区的容积比。</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2</w:t>
      </w:r>
      <w:r>
        <w:rPr>
          <w:rFonts w:eastAsiaTheme="minorEastAsia"/>
          <w:color w:val="000000" w:themeColor="text1"/>
          <w:sz w:val="28"/>
          <w:szCs w:val="28"/>
        </w:rPr>
        <w:t xml:space="preserve"> 在厌氧区（池）中先发生脱氮反应消耗硝态氮，然后聚磷菌释放磷，释磷过程中释放的能量可用于其吸收和贮藏溶解性有机物。若厌氧区（池）停留时间小于1h，磷释放不完全，会影响磷的去除率，综合考虑除磷效率和经济性，规定厌氧区（池）停留时间为1h～2h。在只除磷的厌氧／好氧系统中，由于无硝态氮和聚磷菌争夺有机物，厌氧池停留时间可取下限。</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3</w:t>
      </w:r>
      <w:r>
        <w:rPr>
          <w:rFonts w:eastAsiaTheme="minorEastAsia"/>
          <w:color w:val="000000" w:themeColor="text1"/>
          <w:sz w:val="28"/>
          <w:szCs w:val="28"/>
        </w:rPr>
        <w:t xml:space="preserve"> 活性污泥中聚磷菌在厌氧环境中会释放出磷，在好氧环境中会吸收超过其正常生长所需的磷。通过排放富磷剩余污泥，可比普通活性污泥法从污水中去除更多的磷。由此可见，缩短泥龄，即增加排泥量可提高磷的去除率。以除磷为主要目的时，泥龄可取3.5d～7.0d。表7.</w:t>
      </w:r>
      <w:r>
        <w:rPr>
          <w:rFonts w:hint="eastAsia" w:eastAsiaTheme="minorEastAsia"/>
          <w:color w:val="000000" w:themeColor="text1"/>
          <w:sz w:val="28"/>
          <w:szCs w:val="28"/>
        </w:rPr>
        <w:t>6</w:t>
      </w:r>
      <w:r>
        <w:rPr>
          <w:rFonts w:eastAsiaTheme="minorEastAsia"/>
          <w:color w:val="000000" w:themeColor="text1"/>
          <w:sz w:val="28"/>
          <w:szCs w:val="28"/>
        </w:rPr>
        <w:t>.18所列设计参数为经验数据。</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4</w:t>
      </w:r>
      <w:r>
        <w:rPr>
          <w:rFonts w:eastAsiaTheme="minorEastAsia"/>
          <w:color w:val="000000" w:themeColor="text1"/>
          <w:sz w:val="28"/>
          <w:szCs w:val="28"/>
        </w:rPr>
        <w:t xml:space="preserve"> 除磷工艺的剩余污泥在污泥浓缩池中浓缩时会因厌氧放出大量磷酸盐，用机械法浓缩污泥可缩短浓缩时间，减少磷酸盐析出量。</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5</w:t>
      </w:r>
      <w:r>
        <w:rPr>
          <w:rFonts w:eastAsiaTheme="minorEastAsia"/>
          <w:color w:val="000000" w:themeColor="text1"/>
          <w:sz w:val="28"/>
          <w:szCs w:val="28"/>
        </w:rPr>
        <w:t xml:space="preserve"> 生物除磷工艺的剩余活性污泥厌氧消化时会产生大量灰白色的磷酸盐沉积物，这种沉积物极易堵塞管道。青岛某污水厂采用A/A/O(又称A</w:t>
      </w:r>
      <w:r>
        <w:rPr>
          <w:rFonts w:eastAsiaTheme="minorEastAsia"/>
          <w:color w:val="000000" w:themeColor="text1"/>
          <w:sz w:val="28"/>
          <w:szCs w:val="28"/>
          <w:vertAlign w:val="superscript"/>
        </w:rPr>
        <w:t>2</w:t>
      </w:r>
      <w:r>
        <w:rPr>
          <w:rFonts w:eastAsiaTheme="minorEastAsia"/>
          <w:color w:val="000000" w:themeColor="text1"/>
          <w:sz w:val="28"/>
          <w:szCs w:val="28"/>
        </w:rPr>
        <w:t>O)工艺处理污水，该厂在消化池出泥管、后浓缩池进泥管、后浓缩池上清液管道和污泥脱水后滤液管道中均发现灰白色沉积物，弯管处尤甚，产重影响了正常运行。这种灰白色沉积物质地坚硬，不溶于水；经盐酸浸泡，无法去除。该厂在这些管道的转弯处增加了法兰，还拟对消化池出泥管进行改造，将原有的内置式管道改为外部管道，便于经常冲洗保养。污泥脱水滤液和第二级消化池上清液，磷浓度十分高，如不除磷，直接回到集水池，则磷从水中转移到泥中，再从泥中转移到水中，只是在处理系统中循环，严重影响了磷的去除效率。这类磷酸盐宜采用化学法去除。</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当需要同时脱氮除磷时，宜采用A/A/O法，并应符合下列规定：</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生物反应池的容积，宜按本标准第7.</w:t>
      </w:r>
      <w:r>
        <w:rPr>
          <w:rFonts w:hint="eastAsia" w:eastAsiaTheme="minorEastAsia"/>
          <w:color w:val="000000" w:themeColor="text1"/>
          <w:sz w:val="28"/>
          <w:szCs w:val="28"/>
        </w:rPr>
        <w:t>6</w:t>
      </w:r>
      <w:r>
        <w:rPr>
          <w:rFonts w:eastAsiaTheme="minorEastAsia"/>
          <w:color w:val="000000" w:themeColor="text1"/>
          <w:sz w:val="28"/>
          <w:szCs w:val="28"/>
        </w:rPr>
        <w:t>.10条、第7.</w:t>
      </w:r>
      <w:r>
        <w:rPr>
          <w:rFonts w:hint="eastAsia" w:eastAsiaTheme="minorEastAsia"/>
          <w:color w:val="000000" w:themeColor="text1"/>
          <w:sz w:val="28"/>
          <w:szCs w:val="28"/>
        </w:rPr>
        <w:t>6</w:t>
      </w:r>
      <w:r>
        <w:rPr>
          <w:rFonts w:eastAsiaTheme="minorEastAsia"/>
          <w:color w:val="000000" w:themeColor="text1"/>
          <w:sz w:val="28"/>
          <w:szCs w:val="28"/>
        </w:rPr>
        <w:t>.17条和第7.</w:t>
      </w:r>
      <w:r>
        <w:rPr>
          <w:rFonts w:hint="eastAsia" w:eastAsiaTheme="minorEastAsia"/>
          <w:color w:val="000000" w:themeColor="text1"/>
          <w:sz w:val="28"/>
          <w:szCs w:val="28"/>
        </w:rPr>
        <w:t>6</w:t>
      </w:r>
      <w:r>
        <w:rPr>
          <w:rFonts w:eastAsiaTheme="minorEastAsia"/>
          <w:color w:val="000000" w:themeColor="text1"/>
          <w:sz w:val="28"/>
          <w:szCs w:val="28"/>
        </w:rPr>
        <w:t>.18条的规定计算；</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A/A/O法生物脱氮除磷的主要设计参数，宜根据试验资料确定；无试验资料时，可采用经验数据或按本标准表7.</w:t>
      </w:r>
      <w:r>
        <w:rPr>
          <w:rFonts w:hint="eastAsia" w:eastAsiaTheme="minorEastAsia"/>
          <w:color w:val="000000" w:themeColor="text1"/>
          <w:sz w:val="28"/>
          <w:szCs w:val="28"/>
        </w:rPr>
        <w:t>6</w:t>
      </w:r>
      <w:r>
        <w:rPr>
          <w:rFonts w:eastAsiaTheme="minorEastAsia"/>
          <w:color w:val="000000" w:themeColor="text1"/>
          <w:sz w:val="28"/>
          <w:szCs w:val="28"/>
        </w:rPr>
        <w:t>.19的规定取值；</w:t>
      </w:r>
    </w:p>
    <w:p>
      <w:pPr>
        <w:widowControl/>
        <w:wordWrap w:val="0"/>
        <w:spacing w:line="360" w:lineRule="auto"/>
        <w:jc w:val="center"/>
        <w:rPr>
          <w:rFonts w:eastAsiaTheme="minorEastAsia"/>
          <w:b/>
          <w:bCs/>
          <w:color w:val="000000" w:themeColor="text1"/>
          <w:sz w:val="28"/>
          <w:szCs w:val="28"/>
        </w:rPr>
      </w:pPr>
      <w:r>
        <w:rPr>
          <w:rFonts w:eastAsiaTheme="minorEastAsia"/>
          <w:b/>
          <w:bCs/>
          <w:color w:val="000000" w:themeColor="text1"/>
          <w:sz w:val="28"/>
          <w:szCs w:val="28"/>
        </w:rPr>
        <w:t>表7.</w:t>
      </w:r>
      <w:r>
        <w:rPr>
          <w:rFonts w:hint="eastAsia" w:eastAsiaTheme="minorEastAsia"/>
          <w:b/>
          <w:bCs/>
          <w:color w:val="000000" w:themeColor="text1"/>
          <w:sz w:val="28"/>
          <w:szCs w:val="28"/>
        </w:rPr>
        <w:t>6</w:t>
      </w:r>
      <w:r>
        <w:rPr>
          <w:rFonts w:eastAsiaTheme="minorEastAsia"/>
          <w:b/>
          <w:bCs/>
          <w:color w:val="000000" w:themeColor="text1"/>
          <w:sz w:val="28"/>
          <w:szCs w:val="28"/>
        </w:rPr>
        <w:t>.19 A/A/O法生物脱氮除磷的主要设计参数</w:t>
      </w:r>
    </w:p>
    <w:tbl>
      <w:tblPr>
        <w:tblStyle w:val="25"/>
        <w:tblW w:w="7835"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055"/>
        <w:gridCol w:w="2514"/>
        <w:gridCol w:w="226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05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项  目</w:t>
            </w:r>
          </w:p>
        </w:tc>
        <w:tc>
          <w:tcPr>
            <w:tcW w:w="251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单  位</w:t>
            </w: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参数值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05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BOD污泥负荷</w:t>
            </w:r>
            <w:r>
              <w:rPr>
                <w:rFonts w:eastAsiaTheme="minorEastAsia"/>
                <w:i/>
                <w:color w:val="000000" w:themeColor="text1"/>
                <w:sz w:val="28"/>
                <w:szCs w:val="28"/>
              </w:rPr>
              <w:t>L</w:t>
            </w:r>
            <w:r>
              <w:rPr>
                <w:rFonts w:eastAsiaTheme="minorEastAsia"/>
                <w:color w:val="000000" w:themeColor="text1"/>
                <w:sz w:val="28"/>
                <w:szCs w:val="28"/>
                <w:vertAlign w:val="subscript"/>
              </w:rPr>
              <w:t>s</w:t>
            </w:r>
          </w:p>
        </w:tc>
        <w:tc>
          <w:tcPr>
            <w:tcW w:w="251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kgBOD</w:t>
            </w:r>
            <w:r>
              <w:rPr>
                <w:rFonts w:eastAsiaTheme="minorEastAsia"/>
                <w:color w:val="000000" w:themeColor="text1"/>
                <w:sz w:val="28"/>
                <w:szCs w:val="28"/>
                <w:vertAlign w:val="subscript"/>
              </w:rPr>
              <w:t>5</w:t>
            </w:r>
            <w:r>
              <w:rPr>
                <w:rFonts w:eastAsiaTheme="minorEastAsia"/>
                <w:color w:val="000000" w:themeColor="text1"/>
                <w:sz w:val="28"/>
                <w:szCs w:val="28"/>
              </w:rPr>
              <w:t>/kgMLSS·d</w:t>
            </w: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0.1~0.2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05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污泥浓度（MLSS）</w:t>
            </w:r>
            <w:r>
              <w:rPr>
                <w:rFonts w:eastAsiaTheme="minorEastAsia"/>
                <w:i/>
                <w:color w:val="000000" w:themeColor="text1"/>
                <w:sz w:val="28"/>
                <w:szCs w:val="28"/>
              </w:rPr>
              <w:t>X</w:t>
            </w:r>
          </w:p>
        </w:tc>
        <w:tc>
          <w:tcPr>
            <w:tcW w:w="251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g/L</w:t>
            </w: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jc w:val="center"/>
        </w:trPr>
        <w:tc>
          <w:tcPr>
            <w:tcW w:w="305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污泥龄</w:t>
            </w:r>
            <w:r>
              <w:rPr>
                <w:rFonts w:eastAsiaTheme="minorEastAsia"/>
                <w:i/>
                <w:color w:val="000000" w:themeColor="text1"/>
                <w:sz w:val="28"/>
                <w:szCs w:val="28"/>
              </w:rPr>
              <w:t>θ</w:t>
            </w:r>
            <w:r>
              <w:rPr>
                <w:rFonts w:eastAsiaTheme="minorEastAsia"/>
                <w:color w:val="000000" w:themeColor="text1"/>
                <w:sz w:val="28"/>
                <w:szCs w:val="28"/>
                <w:vertAlign w:val="subscript"/>
              </w:rPr>
              <w:t>C</w:t>
            </w:r>
          </w:p>
        </w:tc>
        <w:tc>
          <w:tcPr>
            <w:tcW w:w="251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d</w:t>
            </w: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05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污泥产率</w:t>
            </w:r>
            <w:r>
              <w:rPr>
                <w:rFonts w:eastAsiaTheme="minorEastAsia"/>
                <w:i/>
                <w:color w:val="000000" w:themeColor="text1"/>
                <w:sz w:val="28"/>
                <w:szCs w:val="28"/>
              </w:rPr>
              <w:t>Y</w:t>
            </w:r>
          </w:p>
        </w:tc>
        <w:tc>
          <w:tcPr>
            <w:tcW w:w="251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kgVSS/kgBOD</w:t>
            </w:r>
            <w:r>
              <w:rPr>
                <w:rFonts w:eastAsiaTheme="minorEastAsia"/>
                <w:color w:val="000000" w:themeColor="text1"/>
                <w:sz w:val="28"/>
                <w:szCs w:val="28"/>
                <w:vertAlign w:val="subscript"/>
              </w:rPr>
              <w:t>5</w:t>
            </w: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0.3~0.6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05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需氧量</w:t>
            </w:r>
            <w:r>
              <w:rPr>
                <w:rFonts w:eastAsiaTheme="minorEastAsia"/>
                <w:i/>
                <w:color w:val="000000" w:themeColor="text1"/>
                <w:sz w:val="28"/>
                <w:szCs w:val="28"/>
              </w:rPr>
              <w:t>O</w:t>
            </w:r>
            <w:r>
              <w:rPr>
                <w:rFonts w:eastAsiaTheme="minorEastAsia"/>
                <w:color w:val="000000" w:themeColor="text1"/>
                <w:sz w:val="28"/>
                <w:szCs w:val="28"/>
                <w:vertAlign w:val="subscript"/>
              </w:rPr>
              <w:t>2</w:t>
            </w:r>
          </w:p>
        </w:tc>
        <w:tc>
          <w:tcPr>
            <w:tcW w:w="251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kgO</w:t>
            </w:r>
            <w:r>
              <w:rPr>
                <w:rFonts w:eastAsiaTheme="minorEastAsia"/>
                <w:color w:val="000000" w:themeColor="text1"/>
                <w:sz w:val="28"/>
                <w:szCs w:val="28"/>
                <w:vertAlign w:val="subscript"/>
              </w:rPr>
              <w:t>2</w:t>
            </w:r>
            <w:r>
              <w:rPr>
                <w:rFonts w:eastAsiaTheme="minorEastAsia"/>
                <w:color w:val="000000" w:themeColor="text1"/>
                <w:sz w:val="28"/>
                <w:szCs w:val="28"/>
              </w:rPr>
              <w:t>/kgBOD</w:t>
            </w:r>
            <w:r>
              <w:rPr>
                <w:rFonts w:eastAsiaTheme="minorEastAsia"/>
                <w:color w:val="000000" w:themeColor="text1"/>
                <w:sz w:val="28"/>
                <w:szCs w:val="28"/>
                <w:vertAlign w:val="subscript"/>
              </w:rPr>
              <w:t>5</w:t>
            </w: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1.1~1.8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055" w:type="dxa"/>
            <w:vMerge w:val="restart"/>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水力停留时间</w:t>
            </w:r>
            <w:r>
              <w:rPr>
                <w:rFonts w:eastAsiaTheme="minorEastAsia"/>
                <w:i/>
                <w:color w:val="000000" w:themeColor="text1"/>
                <w:sz w:val="28"/>
                <w:szCs w:val="28"/>
              </w:rPr>
              <w:t>HRT</w:t>
            </w:r>
          </w:p>
        </w:tc>
        <w:tc>
          <w:tcPr>
            <w:tcW w:w="2514" w:type="dxa"/>
            <w:vMerge w:val="restart"/>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h</w:t>
            </w: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jc w:val="center"/>
        </w:trPr>
        <w:tc>
          <w:tcPr>
            <w:tcW w:w="3055" w:type="dxa"/>
            <w:vMerge w:val="continue"/>
          </w:tcPr>
          <w:p>
            <w:pPr>
              <w:widowControl/>
              <w:wordWrap w:val="0"/>
              <w:spacing w:line="360" w:lineRule="auto"/>
              <w:jc w:val="center"/>
              <w:rPr>
                <w:rFonts w:eastAsiaTheme="minorEastAsia"/>
                <w:color w:val="000000" w:themeColor="text1"/>
                <w:sz w:val="28"/>
                <w:szCs w:val="28"/>
              </w:rPr>
            </w:pPr>
          </w:p>
        </w:tc>
        <w:tc>
          <w:tcPr>
            <w:tcW w:w="2514" w:type="dxa"/>
            <w:vMerge w:val="continue"/>
          </w:tcPr>
          <w:p>
            <w:pPr>
              <w:widowControl/>
              <w:wordWrap w:val="0"/>
              <w:spacing w:line="360" w:lineRule="auto"/>
              <w:jc w:val="center"/>
              <w:rPr>
                <w:rFonts w:eastAsiaTheme="minorEastAsia"/>
                <w:color w:val="000000" w:themeColor="text1"/>
                <w:sz w:val="28"/>
                <w:szCs w:val="28"/>
              </w:rPr>
            </w:pP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其中厌氧1~2h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055" w:type="dxa"/>
            <w:vMerge w:val="continue"/>
          </w:tcPr>
          <w:p>
            <w:pPr>
              <w:widowControl/>
              <w:wordWrap w:val="0"/>
              <w:spacing w:line="360" w:lineRule="auto"/>
              <w:jc w:val="center"/>
              <w:rPr>
                <w:rFonts w:eastAsiaTheme="minorEastAsia"/>
                <w:color w:val="000000" w:themeColor="text1"/>
                <w:sz w:val="28"/>
                <w:szCs w:val="28"/>
              </w:rPr>
            </w:pPr>
          </w:p>
        </w:tc>
        <w:tc>
          <w:tcPr>
            <w:tcW w:w="2514" w:type="dxa"/>
            <w:vMerge w:val="continue"/>
          </w:tcPr>
          <w:p>
            <w:pPr>
              <w:widowControl/>
              <w:wordWrap w:val="0"/>
              <w:spacing w:line="360" w:lineRule="auto"/>
              <w:jc w:val="center"/>
              <w:rPr>
                <w:rFonts w:eastAsiaTheme="minorEastAsia"/>
                <w:color w:val="000000" w:themeColor="text1"/>
                <w:sz w:val="28"/>
                <w:szCs w:val="28"/>
              </w:rPr>
            </w:pP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缺氧2~8h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05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 xml:space="preserve">污泥回流比 </w:t>
            </w:r>
            <w:r>
              <w:rPr>
                <w:rFonts w:eastAsiaTheme="minorEastAsia"/>
                <w:i/>
                <w:color w:val="000000" w:themeColor="text1"/>
                <w:sz w:val="28"/>
                <w:szCs w:val="28"/>
              </w:rPr>
              <w:t>R</w:t>
            </w:r>
          </w:p>
        </w:tc>
        <w:tc>
          <w:tcPr>
            <w:tcW w:w="251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055"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 xml:space="preserve">混合液回流比 </w:t>
            </w:r>
            <w:r>
              <w:rPr>
                <w:rFonts w:eastAsiaTheme="minorEastAsia"/>
                <w:i/>
                <w:color w:val="000000" w:themeColor="text1"/>
                <w:sz w:val="28"/>
                <w:szCs w:val="28"/>
              </w:rPr>
              <w:t>R</w:t>
            </w:r>
            <w:r>
              <w:rPr>
                <w:rFonts w:eastAsiaTheme="minorEastAsia"/>
                <w:color w:val="000000" w:themeColor="text1"/>
                <w:sz w:val="28"/>
                <w:szCs w:val="28"/>
                <w:vertAlign w:val="subscript"/>
              </w:rPr>
              <w:t>i</w:t>
            </w:r>
          </w:p>
        </w:tc>
        <w:tc>
          <w:tcPr>
            <w:tcW w:w="251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jc w:val="center"/>
        </w:trPr>
        <w:tc>
          <w:tcPr>
            <w:tcW w:w="3055" w:type="dxa"/>
            <w:vMerge w:val="restart"/>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总处理效率</w:t>
            </w:r>
            <w:r>
              <w:rPr>
                <w:rFonts w:eastAsiaTheme="minorEastAsia"/>
                <w:i/>
                <w:color w:val="000000" w:themeColor="text1"/>
                <w:sz w:val="28"/>
                <w:szCs w:val="28"/>
              </w:rPr>
              <w:t>η</w:t>
            </w:r>
          </w:p>
        </w:tc>
        <w:tc>
          <w:tcPr>
            <w:tcW w:w="251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85~95（BOD</w:t>
            </w:r>
            <w:r>
              <w:rPr>
                <w:rFonts w:eastAsiaTheme="minorEastAsia"/>
                <w:color w:val="000000" w:themeColor="text1"/>
                <w:sz w:val="28"/>
                <w:szCs w:val="28"/>
                <w:vertAlign w:val="subscript"/>
              </w:rPr>
              <w:t>5</w:t>
            </w:r>
            <w:r>
              <w:rPr>
                <w:rFonts w:eastAsiaTheme="minorEastAsia"/>
                <w:color w:val="000000" w:themeColor="text1"/>
                <w:sz w:val="28"/>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055" w:type="dxa"/>
            <w:vMerge w:val="continue"/>
          </w:tcPr>
          <w:p>
            <w:pPr>
              <w:widowControl/>
              <w:wordWrap w:val="0"/>
              <w:spacing w:line="360" w:lineRule="auto"/>
              <w:jc w:val="center"/>
              <w:rPr>
                <w:rFonts w:eastAsiaTheme="minorEastAsia"/>
                <w:color w:val="000000" w:themeColor="text1"/>
                <w:sz w:val="28"/>
                <w:szCs w:val="28"/>
              </w:rPr>
            </w:pPr>
          </w:p>
        </w:tc>
        <w:tc>
          <w:tcPr>
            <w:tcW w:w="251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60~85（TP）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055" w:type="dxa"/>
            <w:vMerge w:val="continue"/>
          </w:tcPr>
          <w:p>
            <w:pPr>
              <w:widowControl/>
              <w:wordWrap w:val="0"/>
              <w:spacing w:line="360" w:lineRule="auto"/>
              <w:jc w:val="center"/>
              <w:rPr>
                <w:rFonts w:eastAsiaTheme="minorEastAsia"/>
                <w:color w:val="000000" w:themeColor="text1"/>
                <w:sz w:val="28"/>
                <w:szCs w:val="28"/>
              </w:rPr>
            </w:pPr>
          </w:p>
        </w:tc>
        <w:tc>
          <w:tcPr>
            <w:tcW w:w="251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266"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60~85（TN）</w:t>
            </w:r>
          </w:p>
        </w:tc>
      </w:tr>
    </w:tbl>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根据需要，A/A/O法的工艺流程中，可改变进水和回流污泥的布置形式，调整为前置缺氧区（池）或串联增加缺氧区（池）和好氧区（池）等变形工艺。</w:t>
      </w:r>
      <w:bookmarkStart w:id="49" w:name="_Toc74992736"/>
    </w:p>
    <w:p>
      <w:pPr>
        <w:wordWrap w:val="0"/>
        <w:rPr>
          <w:rFonts w:eastAsiaTheme="minorEastAsia"/>
          <w:color w:val="000000" w:themeColor="text1"/>
          <w:sz w:val="28"/>
          <w:szCs w:val="28"/>
        </w:rPr>
      </w:pPr>
      <w:r>
        <w:rPr>
          <w:rFonts w:eastAsiaTheme="minorEastAsia"/>
          <w:color w:val="000000" w:themeColor="text1"/>
          <w:sz w:val="28"/>
          <w:szCs w:val="28"/>
        </w:rPr>
        <w:t>【条文说明】生物同时脱氮除磷，要求系统具有厌氧、缺氧和好氧环境。厌氧／缺氧／好氧法可满足这一条件。</w:t>
      </w:r>
    </w:p>
    <w:p>
      <w:pPr>
        <w:wordWrap w:val="0"/>
        <w:rPr>
          <w:rFonts w:eastAsiaTheme="minorEastAsia"/>
          <w:color w:val="000000" w:themeColor="text1"/>
          <w:sz w:val="28"/>
          <w:szCs w:val="28"/>
        </w:rPr>
      </w:pPr>
      <w:r>
        <w:rPr>
          <w:rFonts w:eastAsiaTheme="minorEastAsia"/>
          <w:color w:val="000000" w:themeColor="text1"/>
          <w:sz w:val="28"/>
          <w:szCs w:val="28"/>
        </w:rPr>
        <w:t xml:space="preserve">    脱氮和除磷是相互影响的。脱氮要求较低负荷和较长泥龄，除磷却要求较高负荷和较短泥龄。脱氮要求有较多硝酸盐供反硝化，而硝酸盐不利于除磷。设计生物反应池各区（池）容积时，应根据氮、磷的排放标准等要求，寻找合适的平衡点。</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脱氮和除磷对泥龄、污泥负荷和好氧停留时间的要求是相反的。在需同时脱氮除磷时，综合考虑泥龄的影响后，可取10d～20d。本标准表7.</w:t>
      </w:r>
      <w:r>
        <w:rPr>
          <w:rFonts w:hint="eastAsia" w:eastAsiaTheme="minorEastAsia"/>
          <w:color w:val="000000" w:themeColor="text1"/>
          <w:sz w:val="28"/>
          <w:szCs w:val="28"/>
        </w:rPr>
        <w:t>6</w:t>
      </w:r>
      <w:r>
        <w:rPr>
          <w:rFonts w:eastAsiaTheme="minorEastAsia"/>
          <w:color w:val="000000" w:themeColor="text1"/>
          <w:sz w:val="28"/>
          <w:szCs w:val="28"/>
        </w:rPr>
        <w:t>.19所列设计参数为经验数据。</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A/A/O工艺中，当脱氮效果好时，除磷效果较差。反之亦然，不能同时取得较好的效果。针对这些存在的问题，可对工艺流程进行变形改进，调整泥龄、水力停留时间等设计参数，改变进水和回流污泥等布置形式，从而进一步提高脱氮除磷效果。图6为一些变形的工艺流程。</w:t>
      </w:r>
    </w:p>
    <w:p>
      <w:pPr>
        <w:wordWrap w:val="0"/>
        <w:ind w:firstLine="562" w:firstLineChars="200"/>
        <w:jc w:val="center"/>
        <w:rPr>
          <w:rFonts w:eastAsiaTheme="minorEastAsia"/>
          <w:b/>
          <w:color w:val="000000" w:themeColor="text1"/>
          <w:sz w:val="28"/>
          <w:szCs w:val="28"/>
        </w:rPr>
      </w:pPr>
      <w:r>
        <w:rPr>
          <w:rFonts w:eastAsiaTheme="minorEastAsia"/>
          <w:b/>
          <w:color w:val="000000" w:themeColor="text1"/>
          <w:sz w:val="28"/>
          <w:szCs w:val="28"/>
        </w:rPr>
        <w:drawing>
          <wp:inline distT="0" distB="0" distL="0" distR="0">
            <wp:extent cx="4937760" cy="47167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39626" cy="4719150"/>
                    </a:xfrm>
                    <a:prstGeom prst="rect">
                      <a:avLst/>
                    </a:prstGeom>
                  </pic:spPr>
                </pic:pic>
              </a:graphicData>
            </a:graphic>
          </wp:inline>
        </w:drawing>
      </w:r>
    </w:p>
    <w:p>
      <w:pPr>
        <w:wordWrap w:val="0"/>
        <w:ind w:firstLine="562" w:firstLineChars="200"/>
        <w:jc w:val="center"/>
        <w:rPr>
          <w:rFonts w:eastAsiaTheme="minorEastAsia"/>
          <w:color w:val="000000" w:themeColor="text1"/>
          <w:sz w:val="28"/>
          <w:szCs w:val="28"/>
        </w:rPr>
      </w:pPr>
      <w:r>
        <w:rPr>
          <w:rFonts w:eastAsiaTheme="minorEastAsia"/>
          <w:b/>
          <w:color w:val="000000" w:themeColor="text1"/>
          <w:sz w:val="28"/>
          <w:szCs w:val="28"/>
        </w:rPr>
        <w:t>图6一些变形的工艺流程</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t>IV  氧化沟</w:t>
      </w:r>
      <w:bookmarkEnd w:id="49"/>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氧化沟前可不设初次沉淀池。</w:t>
      </w:r>
    </w:p>
    <w:p>
      <w:pPr>
        <w:wordWrap w:val="0"/>
        <w:rPr>
          <w:rFonts w:eastAsiaTheme="minorEastAsia"/>
          <w:color w:val="000000" w:themeColor="text1"/>
          <w:sz w:val="28"/>
          <w:szCs w:val="28"/>
        </w:rPr>
      </w:pPr>
      <w:r>
        <w:rPr>
          <w:rFonts w:eastAsiaTheme="minorEastAsia"/>
          <w:color w:val="000000" w:themeColor="text1"/>
          <w:sz w:val="28"/>
          <w:szCs w:val="28"/>
        </w:rPr>
        <w:t>【条文说明】由于氧化沟多用于长泥龄的工艺，悬浮状有机物可在氧化沟内得到部分稳定，故可不设初次沉淀池。</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氧化沟前可设置厌氧池。</w:t>
      </w:r>
    </w:p>
    <w:p>
      <w:pPr>
        <w:wordWrap w:val="0"/>
        <w:rPr>
          <w:rFonts w:eastAsiaTheme="minorEastAsia"/>
          <w:color w:val="000000" w:themeColor="text1"/>
          <w:sz w:val="28"/>
          <w:szCs w:val="28"/>
        </w:rPr>
      </w:pPr>
      <w:r>
        <w:rPr>
          <w:rFonts w:eastAsiaTheme="minorEastAsia"/>
          <w:color w:val="000000" w:themeColor="text1"/>
          <w:sz w:val="28"/>
          <w:szCs w:val="28"/>
        </w:rPr>
        <w:t>【条文说明】氧化沟前设置厌氧池可提高系统的除磷功能。</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氧化沟可按两组或多组系列布置，并设置进水配水井。</w:t>
      </w:r>
    </w:p>
    <w:p>
      <w:pPr>
        <w:wordWrap w:val="0"/>
        <w:rPr>
          <w:rFonts w:eastAsiaTheme="minorEastAsia"/>
          <w:color w:val="000000" w:themeColor="text1"/>
          <w:sz w:val="28"/>
          <w:szCs w:val="28"/>
        </w:rPr>
      </w:pPr>
      <w:r>
        <w:rPr>
          <w:rFonts w:eastAsiaTheme="minorEastAsia"/>
          <w:color w:val="000000" w:themeColor="text1"/>
          <w:sz w:val="28"/>
          <w:szCs w:val="28"/>
        </w:rPr>
        <w:t>【条文说明】在交替式运行的氧化沟中，需设置进水配水井，井内设闸或溢流堰，按设计程序变换进出水水流方向；当有两组及其以上平行运行的系列时，也需设置进水配水井，以保证均匀配水。</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氧化沟可与二次沉淀池分建或合建。</w:t>
      </w:r>
    </w:p>
    <w:p>
      <w:pPr>
        <w:wordWrap w:val="0"/>
        <w:rPr>
          <w:rFonts w:eastAsiaTheme="minorEastAsia"/>
          <w:color w:val="000000" w:themeColor="text1"/>
          <w:sz w:val="28"/>
          <w:szCs w:val="28"/>
        </w:rPr>
      </w:pPr>
      <w:r>
        <w:rPr>
          <w:rFonts w:eastAsiaTheme="minorEastAsia"/>
          <w:color w:val="000000" w:themeColor="text1"/>
          <w:sz w:val="28"/>
          <w:szCs w:val="28"/>
        </w:rPr>
        <w:t>【条文说明】按构造特征和运行方式的不同，氧化沟可分为多种类型，其中有连续运行、与二次沉淀池分建的氧化沟，如Carrousel型多沟串联系统氧化沟、Orbal同心圆或椭圆形氧化沟、DE型交替式氧化沟等；也有集曝气、沉淀于一体的氧化沟，又称合建式氧化沟，如船式一体化氧化沟、T型交替式氧化沟等。</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延时曝气氧化沟的主要设计参数，宜根据试验资料确定，无试验资料时，可采用经验数据或按本标准表7.</w:t>
      </w:r>
      <w:r>
        <w:rPr>
          <w:rFonts w:hint="eastAsia" w:ascii="Times New Roman" w:hAnsi="Times New Roman" w:eastAsiaTheme="minorEastAsia"/>
          <w:color w:val="000000" w:themeColor="text1"/>
          <w:sz w:val="28"/>
          <w:szCs w:val="28"/>
        </w:rPr>
        <w:t>6</w:t>
      </w:r>
      <w:r>
        <w:rPr>
          <w:rFonts w:ascii="Times New Roman" w:hAnsi="Times New Roman" w:eastAsiaTheme="minorEastAsia"/>
          <w:color w:val="000000" w:themeColor="text1"/>
          <w:sz w:val="28"/>
          <w:szCs w:val="28"/>
        </w:rPr>
        <w:t>.24的规定取值。</w:t>
      </w:r>
    </w:p>
    <w:p>
      <w:pPr>
        <w:widowControl/>
        <w:wordWrap w:val="0"/>
        <w:spacing w:line="360" w:lineRule="auto"/>
        <w:jc w:val="center"/>
        <w:rPr>
          <w:rFonts w:eastAsiaTheme="minorEastAsia"/>
          <w:b/>
          <w:bCs/>
          <w:color w:val="000000" w:themeColor="text1"/>
          <w:sz w:val="28"/>
          <w:szCs w:val="28"/>
        </w:rPr>
      </w:pPr>
      <w:r>
        <w:rPr>
          <w:rFonts w:eastAsiaTheme="minorEastAsia"/>
          <w:b/>
          <w:bCs/>
          <w:color w:val="000000" w:themeColor="text1"/>
          <w:sz w:val="28"/>
          <w:szCs w:val="28"/>
        </w:rPr>
        <w:t>表7.</w:t>
      </w:r>
      <w:r>
        <w:rPr>
          <w:rFonts w:hint="eastAsia" w:eastAsiaTheme="minorEastAsia"/>
          <w:b/>
          <w:bCs/>
          <w:color w:val="000000" w:themeColor="text1"/>
          <w:sz w:val="28"/>
          <w:szCs w:val="28"/>
        </w:rPr>
        <w:t>6</w:t>
      </w:r>
      <w:r>
        <w:rPr>
          <w:rFonts w:eastAsiaTheme="minorEastAsia"/>
          <w:b/>
          <w:bCs/>
          <w:color w:val="000000" w:themeColor="text1"/>
          <w:sz w:val="28"/>
          <w:szCs w:val="28"/>
        </w:rPr>
        <w:t>.24  延时曝气氧化沟主要设计参数</w:t>
      </w:r>
    </w:p>
    <w:tbl>
      <w:tblPr>
        <w:tblStyle w:val="25"/>
        <w:tblW w:w="7557"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84"/>
        <w:gridCol w:w="2589"/>
        <w:gridCol w:w="198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2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项  目</w:t>
            </w:r>
          </w:p>
        </w:tc>
        <w:tc>
          <w:tcPr>
            <w:tcW w:w="2589"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单  位</w:t>
            </w:r>
          </w:p>
        </w:tc>
        <w:tc>
          <w:tcPr>
            <w:tcW w:w="1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参数值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2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污泥浓度（</w:t>
            </w:r>
            <w:r>
              <w:rPr>
                <w:rFonts w:eastAsiaTheme="minorEastAsia"/>
                <w:i/>
                <w:color w:val="000000" w:themeColor="text1"/>
                <w:sz w:val="28"/>
                <w:szCs w:val="28"/>
              </w:rPr>
              <w:t>MLSS</w:t>
            </w:r>
            <w:r>
              <w:rPr>
                <w:rFonts w:eastAsiaTheme="minorEastAsia"/>
                <w:color w:val="000000" w:themeColor="text1"/>
                <w:sz w:val="28"/>
                <w:szCs w:val="28"/>
              </w:rPr>
              <w:t>）</w:t>
            </w:r>
            <w:r>
              <w:rPr>
                <w:rFonts w:eastAsiaTheme="minorEastAsia"/>
                <w:i/>
                <w:color w:val="000000" w:themeColor="text1"/>
                <w:sz w:val="28"/>
                <w:szCs w:val="28"/>
              </w:rPr>
              <w:t>X</w:t>
            </w:r>
            <w:r>
              <w:rPr>
                <w:rFonts w:eastAsiaTheme="minorEastAsia"/>
                <w:color w:val="000000" w:themeColor="text1"/>
                <w:sz w:val="28"/>
                <w:szCs w:val="28"/>
                <w:vertAlign w:val="subscript"/>
              </w:rPr>
              <w:t>a</w:t>
            </w:r>
          </w:p>
        </w:tc>
        <w:tc>
          <w:tcPr>
            <w:tcW w:w="2589"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g/L</w:t>
            </w:r>
          </w:p>
        </w:tc>
        <w:tc>
          <w:tcPr>
            <w:tcW w:w="1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2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污泥负荷</w:t>
            </w:r>
            <w:r>
              <w:rPr>
                <w:rFonts w:eastAsiaTheme="minorEastAsia"/>
                <w:i/>
                <w:color w:val="000000" w:themeColor="text1"/>
                <w:sz w:val="28"/>
                <w:szCs w:val="28"/>
              </w:rPr>
              <w:t>L</w:t>
            </w:r>
            <w:r>
              <w:rPr>
                <w:rFonts w:eastAsiaTheme="minorEastAsia"/>
                <w:color w:val="000000" w:themeColor="text1"/>
                <w:sz w:val="28"/>
                <w:szCs w:val="28"/>
                <w:vertAlign w:val="subscript"/>
              </w:rPr>
              <w:t>s</w:t>
            </w:r>
          </w:p>
        </w:tc>
        <w:tc>
          <w:tcPr>
            <w:tcW w:w="2589"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kgBOD</w:t>
            </w:r>
            <w:r>
              <w:rPr>
                <w:rFonts w:eastAsiaTheme="minorEastAsia"/>
                <w:color w:val="000000" w:themeColor="text1"/>
                <w:sz w:val="28"/>
                <w:szCs w:val="28"/>
                <w:vertAlign w:val="subscript"/>
              </w:rPr>
              <w:t>5</w:t>
            </w:r>
            <w:r>
              <w:rPr>
                <w:rFonts w:eastAsiaTheme="minorEastAsia"/>
                <w:color w:val="000000" w:themeColor="text1"/>
                <w:sz w:val="28"/>
                <w:szCs w:val="28"/>
              </w:rPr>
              <w:t>/kgMLSS·d</w:t>
            </w:r>
          </w:p>
        </w:tc>
        <w:tc>
          <w:tcPr>
            <w:tcW w:w="1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0.03～0.008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2984" w:type="dxa"/>
          </w:tcPr>
          <w:p>
            <w:pPr>
              <w:widowControl/>
              <w:wordWrap w:val="0"/>
              <w:spacing w:line="360" w:lineRule="auto"/>
              <w:jc w:val="center"/>
              <w:rPr>
                <w:rFonts w:eastAsiaTheme="minorEastAsia"/>
                <w:color w:val="000000" w:themeColor="text1"/>
                <w:sz w:val="28"/>
                <w:szCs w:val="28"/>
                <w:vertAlign w:val="subscript"/>
              </w:rPr>
            </w:pPr>
            <w:r>
              <w:rPr>
                <w:rFonts w:eastAsiaTheme="minorEastAsia"/>
                <w:color w:val="000000" w:themeColor="text1"/>
                <w:sz w:val="28"/>
                <w:szCs w:val="28"/>
              </w:rPr>
              <w:t>污泥龄</w:t>
            </w:r>
            <w:r>
              <w:rPr>
                <w:rFonts w:eastAsiaTheme="minorEastAsia"/>
                <w:i/>
                <w:color w:val="000000" w:themeColor="text1"/>
                <w:sz w:val="28"/>
                <w:szCs w:val="28"/>
              </w:rPr>
              <w:t>θ</w:t>
            </w:r>
            <w:r>
              <w:rPr>
                <w:rFonts w:eastAsiaTheme="minorEastAsia"/>
                <w:color w:val="000000" w:themeColor="text1"/>
                <w:sz w:val="28"/>
                <w:szCs w:val="28"/>
                <w:vertAlign w:val="subscript"/>
              </w:rPr>
              <w:t>C</w:t>
            </w:r>
          </w:p>
        </w:tc>
        <w:tc>
          <w:tcPr>
            <w:tcW w:w="2589"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d</w:t>
            </w:r>
          </w:p>
        </w:tc>
        <w:tc>
          <w:tcPr>
            <w:tcW w:w="1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&gt;15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2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污泥产率</w:t>
            </w:r>
            <w:r>
              <w:rPr>
                <w:rFonts w:eastAsiaTheme="minorEastAsia"/>
                <w:i/>
                <w:color w:val="000000" w:themeColor="text1"/>
                <w:sz w:val="28"/>
                <w:szCs w:val="28"/>
              </w:rPr>
              <w:t>Y</w:t>
            </w:r>
          </w:p>
        </w:tc>
        <w:tc>
          <w:tcPr>
            <w:tcW w:w="2589"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kgVSS/kgBOD</w:t>
            </w:r>
            <w:r>
              <w:rPr>
                <w:rFonts w:eastAsiaTheme="minorEastAsia"/>
                <w:color w:val="000000" w:themeColor="text1"/>
                <w:sz w:val="28"/>
                <w:szCs w:val="28"/>
                <w:vertAlign w:val="subscript"/>
              </w:rPr>
              <w:t>5</w:t>
            </w:r>
          </w:p>
        </w:tc>
        <w:tc>
          <w:tcPr>
            <w:tcW w:w="1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0.3~0.6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315" w:hRule="atLeast"/>
          <w:jc w:val="center"/>
        </w:trPr>
        <w:tc>
          <w:tcPr>
            <w:tcW w:w="2984" w:type="dxa"/>
          </w:tcPr>
          <w:p>
            <w:pPr>
              <w:widowControl/>
              <w:wordWrap w:val="0"/>
              <w:spacing w:line="360" w:lineRule="auto"/>
              <w:jc w:val="center"/>
              <w:rPr>
                <w:rFonts w:eastAsiaTheme="minorEastAsia"/>
                <w:color w:val="000000" w:themeColor="text1"/>
                <w:sz w:val="28"/>
                <w:szCs w:val="28"/>
                <w:vertAlign w:val="subscript"/>
              </w:rPr>
            </w:pPr>
            <w:r>
              <w:rPr>
                <w:rFonts w:eastAsiaTheme="minorEastAsia"/>
                <w:color w:val="000000" w:themeColor="text1"/>
                <w:sz w:val="28"/>
                <w:szCs w:val="28"/>
              </w:rPr>
              <w:t>需氧量</w:t>
            </w:r>
            <w:r>
              <w:rPr>
                <w:rFonts w:eastAsiaTheme="minorEastAsia"/>
                <w:i/>
                <w:color w:val="000000" w:themeColor="text1"/>
                <w:sz w:val="28"/>
                <w:szCs w:val="28"/>
              </w:rPr>
              <w:t>O</w:t>
            </w:r>
            <w:r>
              <w:rPr>
                <w:rFonts w:eastAsiaTheme="minorEastAsia"/>
                <w:color w:val="000000" w:themeColor="text1"/>
                <w:sz w:val="28"/>
                <w:szCs w:val="28"/>
                <w:vertAlign w:val="subscript"/>
              </w:rPr>
              <w:t>2</w:t>
            </w:r>
          </w:p>
        </w:tc>
        <w:tc>
          <w:tcPr>
            <w:tcW w:w="2589"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kgO</w:t>
            </w:r>
            <w:r>
              <w:rPr>
                <w:rFonts w:eastAsiaTheme="minorEastAsia"/>
                <w:color w:val="000000" w:themeColor="text1"/>
                <w:sz w:val="28"/>
                <w:szCs w:val="28"/>
                <w:vertAlign w:val="subscript"/>
              </w:rPr>
              <w:t>2</w:t>
            </w:r>
            <w:r>
              <w:rPr>
                <w:rFonts w:eastAsiaTheme="minorEastAsia"/>
                <w:color w:val="000000" w:themeColor="text1"/>
                <w:sz w:val="28"/>
                <w:szCs w:val="28"/>
              </w:rPr>
              <w:t>/kgBOD</w:t>
            </w:r>
            <w:r>
              <w:rPr>
                <w:rFonts w:eastAsiaTheme="minorEastAsia"/>
                <w:color w:val="000000" w:themeColor="text1"/>
                <w:sz w:val="28"/>
                <w:szCs w:val="28"/>
                <w:vertAlign w:val="subscript"/>
              </w:rPr>
              <w:t>5</w:t>
            </w:r>
          </w:p>
        </w:tc>
        <w:tc>
          <w:tcPr>
            <w:tcW w:w="1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2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水力停留时间</w:t>
            </w:r>
            <w:r>
              <w:rPr>
                <w:rFonts w:eastAsiaTheme="minorEastAsia"/>
                <w:i/>
                <w:color w:val="000000" w:themeColor="text1"/>
                <w:sz w:val="28"/>
                <w:szCs w:val="28"/>
              </w:rPr>
              <w:t>HRT</w:t>
            </w:r>
          </w:p>
        </w:tc>
        <w:tc>
          <w:tcPr>
            <w:tcW w:w="2589"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h</w:t>
            </w:r>
          </w:p>
        </w:tc>
        <w:tc>
          <w:tcPr>
            <w:tcW w:w="1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2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污泥回流比</w:t>
            </w:r>
            <w:r>
              <w:rPr>
                <w:rFonts w:eastAsiaTheme="minorEastAsia"/>
                <w:i/>
                <w:color w:val="000000" w:themeColor="text1"/>
                <w:sz w:val="28"/>
                <w:szCs w:val="28"/>
              </w:rPr>
              <w:t>R</w:t>
            </w:r>
          </w:p>
        </w:tc>
        <w:tc>
          <w:tcPr>
            <w:tcW w:w="2589"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1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75～150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jc w:val="center"/>
        </w:trPr>
        <w:tc>
          <w:tcPr>
            <w:tcW w:w="2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总处理效率</w:t>
            </w:r>
            <w:r>
              <w:rPr>
                <w:rFonts w:eastAsiaTheme="minorEastAsia"/>
                <w:i/>
                <w:color w:val="000000" w:themeColor="text1"/>
                <w:sz w:val="28"/>
                <w:szCs w:val="28"/>
              </w:rPr>
              <w:t>η</w:t>
            </w:r>
          </w:p>
        </w:tc>
        <w:tc>
          <w:tcPr>
            <w:tcW w:w="2589"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1984" w:type="dxa"/>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＞95（BOD</w:t>
            </w:r>
            <w:r>
              <w:rPr>
                <w:rFonts w:eastAsiaTheme="minorEastAsia"/>
                <w:color w:val="000000" w:themeColor="text1"/>
                <w:sz w:val="28"/>
                <w:szCs w:val="28"/>
                <w:vertAlign w:val="subscript"/>
              </w:rPr>
              <w:t>5</w:t>
            </w:r>
            <w:r>
              <w:rPr>
                <w:rFonts w:eastAsiaTheme="minorEastAsia"/>
                <w:color w:val="000000" w:themeColor="text1"/>
                <w:sz w:val="28"/>
                <w:szCs w:val="28"/>
              </w:rPr>
              <w:t>）</w:t>
            </w:r>
          </w:p>
        </w:tc>
      </w:tr>
    </w:tbl>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当采用氧化沟进行脱氮除磷时，宜符合本标准7.</w:t>
      </w:r>
      <w:r>
        <w:rPr>
          <w:rFonts w:hint="eastAsia" w:ascii="Times New Roman" w:hAnsi="Times New Roman" w:eastAsiaTheme="minorEastAsia"/>
          <w:color w:val="000000" w:themeColor="text1"/>
          <w:sz w:val="28"/>
          <w:szCs w:val="28"/>
        </w:rPr>
        <w:t>6</w:t>
      </w:r>
      <w:r>
        <w:rPr>
          <w:rFonts w:ascii="Times New Roman" w:hAnsi="Times New Roman" w:eastAsiaTheme="minorEastAsia"/>
          <w:color w:val="000000" w:themeColor="text1"/>
          <w:sz w:val="28"/>
          <w:szCs w:val="28"/>
        </w:rPr>
        <w:t>.16～7.</w:t>
      </w:r>
      <w:r>
        <w:rPr>
          <w:rFonts w:hint="eastAsia" w:ascii="Times New Roman" w:hAnsi="Times New Roman" w:eastAsiaTheme="minorEastAsia"/>
          <w:color w:val="000000" w:themeColor="text1"/>
          <w:sz w:val="28"/>
          <w:szCs w:val="28"/>
        </w:rPr>
        <w:t>6</w:t>
      </w:r>
      <w:r>
        <w:rPr>
          <w:rFonts w:ascii="Times New Roman" w:hAnsi="Times New Roman" w:eastAsiaTheme="minorEastAsia"/>
          <w:color w:val="000000" w:themeColor="text1"/>
          <w:sz w:val="28"/>
          <w:szCs w:val="28"/>
        </w:rPr>
        <w:t>.19条的有关规定。</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氧化沟的进水和回流污泥点宜设在缺氧区首端，出水点宜设在充氧器后的好氧区。氧化沟的超高与选用的曝气设备类型有关，当采用转刷、转碟时，宜为0.5m；当采用竖轴表曝机时，宜为0.6m～0.8m，其设备平台宜高出设计水面0.8m～1.2m。</w:t>
      </w:r>
    </w:p>
    <w:p>
      <w:pPr>
        <w:wordWrap w:val="0"/>
        <w:rPr>
          <w:rFonts w:eastAsiaTheme="minorEastAsia"/>
          <w:color w:val="000000" w:themeColor="text1"/>
          <w:sz w:val="28"/>
          <w:szCs w:val="28"/>
        </w:rPr>
      </w:pPr>
      <w:r>
        <w:rPr>
          <w:rFonts w:eastAsiaTheme="minorEastAsia"/>
          <w:color w:val="000000" w:themeColor="text1"/>
          <w:sz w:val="28"/>
          <w:szCs w:val="28"/>
        </w:rPr>
        <w:t>【条文说明】进水和回流污泥从缺氧区首端进入，有利于反硝化脱氮。出水宜在充氧器后的好氧区，是为了防止二次沉淀池中出现厌氧状态。</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氧化沟的有效水深与曝气、混合和推流设备的性能有关，一般宜采用3.5m~4.5m。</w:t>
      </w:r>
    </w:p>
    <w:p>
      <w:pPr>
        <w:wordWrap w:val="0"/>
        <w:rPr>
          <w:rFonts w:eastAsiaTheme="minorEastAsia"/>
          <w:color w:val="000000" w:themeColor="text1"/>
          <w:sz w:val="28"/>
          <w:szCs w:val="28"/>
        </w:rPr>
      </w:pPr>
      <w:r>
        <w:rPr>
          <w:rFonts w:eastAsiaTheme="minorEastAsia"/>
          <w:color w:val="000000" w:themeColor="text1"/>
          <w:sz w:val="28"/>
          <w:szCs w:val="28"/>
        </w:rPr>
        <w:t>【条文说明】随着曝气设备不断改进，氧化沟的有效水深也在变化。过去，一般为0.9m～1.5m；现在，当采用转刷时，不宜大于3.5m；当采用转碟、竖轴表曝机时，不宜大于4.5m。</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根据氧化沟渠宽度，弯道处可设置一道或多道导流墙；氧化沟的隔流墙和导流墙宜高出设计水位0.2m～0.3m。</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曝气转刷、转碟宜安装在沟渠直线段的适当位置，曝气转碟也可安装在沟渠的弯道上，竖轴表曝机应安装在沟渠的端部。</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氧化沟的走道板和工作平台，应安全、防溅和便于设备维修。</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氧化沟内的平均流速宜大于0.25m∕s。</w:t>
      </w:r>
    </w:p>
    <w:p>
      <w:pPr>
        <w:wordWrap w:val="0"/>
        <w:rPr>
          <w:rFonts w:eastAsiaTheme="minorEastAsia"/>
          <w:color w:val="000000" w:themeColor="text1"/>
          <w:sz w:val="28"/>
          <w:szCs w:val="28"/>
        </w:rPr>
      </w:pPr>
      <w:r>
        <w:rPr>
          <w:rFonts w:eastAsiaTheme="minorEastAsia"/>
          <w:color w:val="000000" w:themeColor="text1"/>
          <w:sz w:val="28"/>
          <w:szCs w:val="28"/>
        </w:rPr>
        <w:t>【条文说明】为了保证活性污泥处于悬浮状态，国内外普遍采用沟内平均流速0.25m/s～0.35m/s。日本指南规定，沟内平均流速为0.25m/s，本标准规定宜大于0.25m/s。为改善沟内流速分布，可在曝气设备上、下游设置导流墙。</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氧化沟系统宜采用自动控制。</w:t>
      </w:r>
      <w:bookmarkStart w:id="50" w:name="_Toc74992737"/>
    </w:p>
    <w:p>
      <w:pPr>
        <w:wordWrap w:val="0"/>
        <w:rPr>
          <w:rFonts w:eastAsiaTheme="minorEastAsia"/>
          <w:color w:val="000000" w:themeColor="text1"/>
          <w:sz w:val="28"/>
          <w:szCs w:val="28"/>
        </w:rPr>
      </w:pPr>
      <w:r>
        <w:rPr>
          <w:rFonts w:eastAsiaTheme="minorEastAsia"/>
          <w:color w:val="000000" w:themeColor="text1"/>
          <w:sz w:val="28"/>
          <w:szCs w:val="28"/>
        </w:rPr>
        <w:t>【条文说明】氧化沟自动控制系统可采用时间程序控制，也可采用溶解氧或氧化还原电位(ORP)控制。在特定位置设置溶解氧探头，可根据池中溶解氧浓度控制曝气设备的开关，有利于满足运行要求，且可最大限度地节约动力。</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对于交替运行的氧化沟，宜设置溶解氧控制系统，控制曝气转刷的连续、间歇或变速转动，以满足不同阶段的溶解氧浓度要求或根据设定的模式进行运行。</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t>V  序批式活性污泥法（SBR</w:t>
      </w:r>
      <w:bookmarkEnd w:id="50"/>
      <w:r>
        <w:rPr>
          <w:rFonts w:eastAsiaTheme="minorEastAsia"/>
          <w:color w:val="000000" w:themeColor="text1"/>
          <w:sz w:val="28"/>
          <w:szCs w:val="28"/>
        </w:rPr>
        <w:t>）</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SBR反应池宜按平均日污水量设计；SBR反应池前、后的水泵、管道等输水设施应按最高日最高时污水量设计。</w:t>
      </w:r>
    </w:p>
    <w:p>
      <w:pPr>
        <w:wordWrap w:val="0"/>
        <w:rPr>
          <w:rFonts w:eastAsiaTheme="minorEastAsia"/>
          <w:color w:val="000000" w:themeColor="text1"/>
          <w:sz w:val="28"/>
          <w:szCs w:val="28"/>
        </w:rPr>
      </w:pPr>
      <w:r>
        <w:rPr>
          <w:rFonts w:eastAsiaTheme="minorEastAsia"/>
          <w:color w:val="000000" w:themeColor="text1"/>
          <w:sz w:val="28"/>
          <w:szCs w:val="28"/>
        </w:rPr>
        <w:t>【条文说明】由于进水时可均衡水量变化，且反应池对水质变化有较大的缓冲能力，故规定反应池的设计污水量为平均日污水量。为顺利输送污水并保证处理效果，对反应池前后的水泵、管道等输水设施做出按最高日最高时污水量设计的规定。</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SBR反应池的数量不宜少于2个。</w:t>
      </w:r>
    </w:p>
    <w:p>
      <w:pPr>
        <w:wordWrap w:val="0"/>
        <w:rPr>
          <w:rFonts w:eastAsiaTheme="minorEastAsia"/>
          <w:color w:val="000000" w:themeColor="text1"/>
          <w:sz w:val="28"/>
          <w:szCs w:val="28"/>
        </w:rPr>
      </w:pPr>
      <w:r>
        <w:rPr>
          <w:rFonts w:eastAsiaTheme="minorEastAsia"/>
          <w:color w:val="000000" w:themeColor="text1"/>
          <w:sz w:val="28"/>
          <w:szCs w:val="28"/>
        </w:rPr>
        <w:t>【条文说明】考虑到清洗和检修等情况，SBR反应池的数量不宜少于2个。但水量较小（小于500m</w:t>
      </w:r>
      <w:r>
        <w:rPr>
          <w:rFonts w:eastAsiaTheme="minorEastAsia"/>
          <w:color w:val="000000" w:themeColor="text1"/>
          <w:sz w:val="28"/>
          <w:szCs w:val="28"/>
          <w:vertAlign w:val="superscript"/>
        </w:rPr>
        <w:t>3</w:t>
      </w:r>
      <w:r>
        <w:rPr>
          <w:rFonts w:eastAsiaTheme="minorEastAsia"/>
          <w:color w:val="000000" w:themeColor="text1"/>
          <w:sz w:val="28"/>
          <w:szCs w:val="28"/>
        </w:rPr>
        <w:t>/d）时，设2个反应池不经济，或当投产初期污水量较小、采用低负荷连续进水方式时，可建1个反应池。</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SBR反应池容积，可按下列公式计算：</w:t>
      </w:r>
    </w:p>
    <w:p>
      <w:pPr>
        <w:widowControl/>
        <w:wordWrap w:val="0"/>
        <w:jc w:val="right"/>
        <w:rPr>
          <w:rFonts w:eastAsiaTheme="minorEastAsia"/>
          <w:color w:val="000000" w:themeColor="text1"/>
          <w:sz w:val="28"/>
          <w:szCs w:val="28"/>
        </w:rPr>
      </w:pPr>
      <w:r>
        <w:rPr>
          <w:rFonts w:eastAsiaTheme="minorEastAsia"/>
          <w:color w:val="000000" w:themeColor="text1"/>
          <w:position w:val="-32"/>
          <w:sz w:val="28"/>
          <w:szCs w:val="28"/>
        </w:rPr>
        <w:object>
          <v:shape id="_x0000_i1051" o:spt="75" type="#_x0000_t75" style="height:42.1pt;width:88.85pt;" o:ole="t" fillcolor="#000005 [-4142]" filled="f" o:preferrelative="t" stroked="f" coordsize="21600,21600">
            <v:path/>
            <v:fill on="f" focussize="0,0"/>
            <v:stroke on="f" joinstyle="miter"/>
            <v:imagedata r:id="rId67" o:title=""/>
            <o:lock v:ext="edit" aspectratio="t"/>
            <w10:wrap type="none"/>
            <w10:anchorlock/>
          </v:shape>
          <o:OLEObject Type="Embed" ProgID="Equation.3" ShapeID="_x0000_i1051" DrawAspect="Content" ObjectID="_1468075751" r:id="rId66">
            <o:LockedField>false</o:LockedField>
          </o:OLEObject>
        </w:objec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（7.</w:t>
      </w:r>
      <w:r>
        <w:rPr>
          <w:rFonts w:hint="eastAsia" w:eastAsiaTheme="minorEastAsia"/>
          <w:color w:val="000000" w:themeColor="text1"/>
          <w:sz w:val="28"/>
          <w:szCs w:val="28"/>
        </w:rPr>
        <w:t>6</w:t>
      </w:r>
      <w:r>
        <w:rPr>
          <w:rFonts w:eastAsiaTheme="minorEastAsia"/>
          <w:color w:val="000000" w:themeColor="text1"/>
          <w:sz w:val="28"/>
          <w:szCs w:val="28"/>
        </w:rPr>
        <w:t>.35）</w:t>
      </w:r>
    </w:p>
    <w:p>
      <w:pPr>
        <w:widowControl/>
        <w:wordWrap w:val="0"/>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V</w:t>
      </w:r>
      <w:r>
        <w:rPr>
          <w:rFonts w:eastAsiaTheme="minorEastAsia"/>
          <w:color w:val="000000" w:themeColor="text1"/>
          <w:sz w:val="28"/>
          <w:szCs w:val="28"/>
        </w:rPr>
        <w:t>——生物反应池容积；</w:t>
      </w:r>
    </w:p>
    <w:p>
      <w:pPr>
        <w:widowControl/>
        <w:wordWrap w:val="0"/>
        <w:ind w:firstLine="840" w:firstLineChars="300"/>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——每个周期进水量（m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idowControl/>
        <w:wordWrap w:val="0"/>
        <w:ind w:firstLine="840" w:firstLineChars="300"/>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0</w:t>
      </w:r>
      <w:r>
        <w:rPr>
          <w:rFonts w:eastAsiaTheme="minorEastAsia"/>
          <w:color w:val="000000" w:themeColor="text1"/>
          <w:sz w:val="28"/>
          <w:szCs w:val="28"/>
        </w:rPr>
        <w:t>——生物反应池进水五日生化需氧量（mg/L）；</w:t>
      </w:r>
    </w:p>
    <w:p>
      <w:pPr>
        <w:widowControl/>
        <w:wordWrap w:val="0"/>
        <w:ind w:firstLine="840" w:firstLineChars="300"/>
        <w:rPr>
          <w:rFonts w:eastAsiaTheme="minorEastAsia"/>
          <w:color w:val="000000" w:themeColor="text1"/>
          <w:sz w:val="28"/>
          <w:szCs w:val="28"/>
        </w:rPr>
      </w:pPr>
      <w:r>
        <w:rPr>
          <w:rFonts w:eastAsiaTheme="minorEastAsia"/>
          <w:i/>
          <w:color w:val="000000" w:themeColor="text1"/>
          <w:sz w:val="28"/>
          <w:szCs w:val="28"/>
        </w:rPr>
        <w:t>X</w:t>
      </w:r>
      <w:r>
        <w:rPr>
          <w:rFonts w:eastAsiaTheme="minorEastAsia"/>
          <w:color w:val="000000" w:themeColor="text1"/>
          <w:sz w:val="28"/>
          <w:szCs w:val="28"/>
        </w:rPr>
        <w:t>——生物反应池内混合液悬浮固体平均浓度（gMLSS/L）；</w:t>
      </w:r>
    </w:p>
    <w:p>
      <w:pPr>
        <w:widowControl/>
        <w:wordWrap w:val="0"/>
        <w:ind w:left="1680" w:leftChars="400" w:hanging="840" w:hangingChars="300"/>
        <w:rPr>
          <w:rFonts w:eastAsiaTheme="minorEastAsia"/>
          <w:color w:val="000000" w:themeColor="text1"/>
          <w:sz w:val="28"/>
          <w:szCs w:val="28"/>
        </w:rPr>
      </w:pPr>
      <w:r>
        <w:rPr>
          <w:rFonts w:eastAsiaTheme="minorEastAsia"/>
          <w:i/>
          <w:color w:val="000000" w:themeColor="text1"/>
          <w:sz w:val="28"/>
          <w:szCs w:val="28"/>
        </w:rPr>
        <w:t>L</w:t>
      </w:r>
      <w:r>
        <w:rPr>
          <w:rFonts w:eastAsiaTheme="minorEastAsia"/>
          <w:i/>
          <w:color w:val="000000" w:themeColor="text1"/>
          <w:sz w:val="28"/>
          <w:szCs w:val="28"/>
          <w:vertAlign w:val="subscript"/>
        </w:rPr>
        <w:t>s</w:t>
      </w:r>
      <w:r>
        <w:rPr>
          <w:rFonts w:eastAsiaTheme="minorEastAsia"/>
          <w:color w:val="000000" w:themeColor="text1"/>
          <w:sz w:val="28"/>
          <w:szCs w:val="28"/>
        </w:rPr>
        <w:t>——生物反应池的五日生化需氧量污泥负荷[kgBOD</w:t>
      </w:r>
      <w:r>
        <w:rPr>
          <w:rFonts w:eastAsiaTheme="minorEastAsia"/>
          <w:color w:val="000000" w:themeColor="text1"/>
          <w:sz w:val="28"/>
          <w:szCs w:val="28"/>
          <w:vertAlign w:val="subscript"/>
        </w:rPr>
        <w:t>5</w:t>
      </w:r>
      <w:r>
        <w:rPr>
          <w:rFonts w:eastAsiaTheme="minorEastAsia"/>
          <w:color w:val="000000" w:themeColor="text1"/>
          <w:sz w:val="28"/>
          <w:szCs w:val="28"/>
        </w:rPr>
        <w:t>/（kgMLSS·d）]；</w:t>
      </w:r>
    </w:p>
    <w:p>
      <w:pPr>
        <w:widowControl/>
        <w:wordWrap w:val="0"/>
        <w:ind w:firstLine="840" w:firstLineChars="300"/>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R</w:t>
      </w:r>
      <w:r>
        <w:rPr>
          <w:rFonts w:eastAsiaTheme="minorEastAsia"/>
          <w:color w:val="000000" w:themeColor="text1"/>
          <w:sz w:val="28"/>
          <w:szCs w:val="28"/>
        </w:rPr>
        <w:t>——每个周期反应时间（h）。</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污泥负荷的取值，以脱氮为主要目标时，宜按本标准表7.</w:t>
      </w:r>
      <w:r>
        <w:rPr>
          <w:rFonts w:hint="eastAsia" w:ascii="Times New Roman" w:hAnsi="Times New Roman" w:eastAsiaTheme="minorEastAsia"/>
          <w:color w:val="000000" w:themeColor="text1"/>
          <w:sz w:val="28"/>
          <w:szCs w:val="28"/>
        </w:rPr>
        <w:t>6</w:t>
      </w:r>
      <w:r>
        <w:rPr>
          <w:rFonts w:ascii="Times New Roman" w:hAnsi="Times New Roman" w:eastAsiaTheme="minorEastAsia"/>
          <w:color w:val="000000" w:themeColor="text1"/>
          <w:sz w:val="28"/>
          <w:szCs w:val="28"/>
        </w:rPr>
        <w:t>.17的规定取值；以除磷为主要目标时，宜按本标准表7.</w:t>
      </w:r>
      <w:r>
        <w:rPr>
          <w:rFonts w:hint="eastAsia" w:ascii="Times New Roman" w:hAnsi="Times New Roman" w:eastAsiaTheme="minorEastAsia"/>
          <w:color w:val="000000" w:themeColor="text1"/>
          <w:sz w:val="28"/>
          <w:szCs w:val="28"/>
        </w:rPr>
        <w:t>6</w:t>
      </w:r>
      <w:r>
        <w:rPr>
          <w:rFonts w:ascii="Times New Roman" w:hAnsi="Times New Roman" w:eastAsiaTheme="minorEastAsia"/>
          <w:color w:val="000000" w:themeColor="text1"/>
          <w:sz w:val="28"/>
          <w:szCs w:val="28"/>
        </w:rPr>
        <w:t>.18的规定取值；同时脱氮除磷时，宜按本标准表7.</w:t>
      </w:r>
      <w:r>
        <w:rPr>
          <w:rFonts w:hint="eastAsia" w:ascii="Times New Roman" w:hAnsi="Times New Roman" w:eastAsiaTheme="minorEastAsia"/>
          <w:color w:val="000000" w:themeColor="text1"/>
          <w:sz w:val="28"/>
          <w:szCs w:val="28"/>
        </w:rPr>
        <w:t>6</w:t>
      </w:r>
      <w:r>
        <w:rPr>
          <w:rFonts w:ascii="Times New Roman" w:hAnsi="Times New Roman" w:eastAsiaTheme="minorEastAsia"/>
          <w:color w:val="000000" w:themeColor="text1"/>
          <w:sz w:val="28"/>
          <w:szCs w:val="28"/>
        </w:rPr>
        <w:t>.19的规定取值。</w:t>
      </w:r>
    </w:p>
    <w:p>
      <w:pPr>
        <w:wordWrap w:val="0"/>
        <w:rPr>
          <w:rFonts w:eastAsiaTheme="minorEastAsia"/>
          <w:color w:val="000000" w:themeColor="text1"/>
          <w:sz w:val="28"/>
          <w:szCs w:val="28"/>
        </w:rPr>
      </w:pPr>
      <w:r>
        <w:rPr>
          <w:rFonts w:eastAsiaTheme="minorEastAsia"/>
          <w:color w:val="000000" w:themeColor="text1"/>
          <w:sz w:val="28"/>
          <w:szCs w:val="28"/>
        </w:rPr>
        <w:t>【条文说明】</w:t>
      </w:r>
      <w:r>
        <w:rPr>
          <w:rFonts w:hint="eastAsia" w:eastAsiaTheme="minorEastAsia"/>
          <w:color w:val="000000" w:themeColor="text1"/>
          <w:sz w:val="28"/>
          <w:szCs w:val="28"/>
        </w:rPr>
        <w:t>SBR工艺也是活性污泥法的一种，其主要参数与活性污泥法相同，故参照本标准的相关规定取值。</w:t>
      </w:r>
      <w:commentRangeStart w:id="5"/>
      <w:r>
        <w:rPr>
          <w:rFonts w:hint="eastAsia" w:eastAsiaTheme="minorEastAsia"/>
          <w:color w:val="000000" w:themeColor="text1"/>
          <w:sz w:val="28"/>
          <w:szCs w:val="28"/>
        </w:rPr>
        <w:t>另外</w:t>
      </w:r>
      <w:commentRangeEnd w:id="5"/>
      <w:r>
        <w:rPr>
          <w:rStyle w:val="24"/>
        </w:rPr>
        <w:commentReference w:id="5"/>
      </w:r>
      <w:r>
        <w:rPr>
          <w:rFonts w:hint="eastAsia" w:eastAsiaTheme="minorEastAsia"/>
          <w:color w:val="000000" w:themeColor="text1"/>
          <w:sz w:val="28"/>
          <w:szCs w:val="28"/>
        </w:rPr>
        <w:t>，</w:t>
      </w:r>
      <w:r>
        <w:rPr>
          <w:rFonts w:eastAsiaTheme="minorEastAsia"/>
          <w:color w:val="000000" w:themeColor="text1"/>
          <w:sz w:val="28"/>
          <w:szCs w:val="28"/>
        </w:rPr>
        <w:t>除负荷外，充水比和周期数等参数均对脱氮除磷有影响，设计时，要综合考虑各种因素。</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SBR工艺各工序的时间，宜按下列公式计算：</w:t>
      </w:r>
    </w:p>
    <w:p>
      <w:pPr>
        <w:widowControl/>
        <w:wordWrap w:val="0"/>
        <w:ind w:firstLine="424" w:firstLineChars="151"/>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进水时间，可按下式计算：</w:t>
      </w:r>
    </w:p>
    <w:p>
      <w:pPr>
        <w:widowControl/>
        <w:wordWrap w:val="0"/>
        <w:ind w:firstLine="422" w:firstLineChars="151"/>
        <w:jc w:val="right"/>
        <w:rPr>
          <w:rFonts w:eastAsiaTheme="minorEastAsia"/>
          <w:color w:val="000000" w:themeColor="text1"/>
          <w:sz w:val="28"/>
          <w:szCs w:val="28"/>
        </w:rPr>
      </w:pPr>
      <w:r>
        <w:rPr>
          <w:rFonts w:eastAsiaTheme="minorEastAsia"/>
          <w:color w:val="000000" w:themeColor="text1"/>
          <w:sz w:val="28"/>
          <w:szCs w:val="28"/>
        </w:rPr>
        <w:object>
          <v:shape id="_x0000_i1052" o:spt="75" type="#_x0000_t75" style="height:29pt;width:43pt;" o:ole="t" fillcolor="#000005 [-4142]" filled="f" o:preferrelative="t" stroked="f" coordsize="21600,21600">
            <v:path/>
            <v:fill on="f" focussize="0,0"/>
            <v:stroke on="f" joinstyle="miter"/>
            <v:imagedata r:id="rId69" o:title=""/>
            <o:lock v:ext="edit" aspectratio="t"/>
            <w10:wrap type="none"/>
            <w10:anchorlock/>
          </v:shape>
          <o:OLEObject Type="Embed" ProgID="Equation.3" ShapeID="_x0000_i1052" DrawAspect="Content" ObjectID="_1468075752" r:id="rId68">
            <o:LockedField>false</o:LockedField>
          </o:OLEObject>
        </w:object>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（7.</w:t>
      </w:r>
      <w:r>
        <w:rPr>
          <w:rFonts w:hint="eastAsia" w:eastAsiaTheme="minorEastAsia"/>
          <w:color w:val="000000" w:themeColor="text1"/>
          <w:sz w:val="28"/>
          <w:szCs w:val="28"/>
        </w:rPr>
        <w:t>6</w:t>
      </w:r>
      <w:r>
        <w:rPr>
          <w:rFonts w:eastAsiaTheme="minorEastAsia"/>
          <w:color w:val="000000" w:themeColor="text1"/>
          <w:sz w:val="28"/>
          <w:szCs w:val="28"/>
        </w:rPr>
        <w:t>.37-1）</w:t>
      </w:r>
    </w:p>
    <w:p>
      <w:pPr>
        <w:widowControl/>
        <w:wordWrap w:val="0"/>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t</w:t>
      </w:r>
      <w:r>
        <w:rPr>
          <w:rFonts w:eastAsiaTheme="minorEastAsia"/>
          <w:color w:val="000000" w:themeColor="text1"/>
          <w:sz w:val="28"/>
          <w:szCs w:val="28"/>
          <w:vertAlign w:val="subscript"/>
        </w:rPr>
        <w:t>F</w:t>
      </w:r>
      <w:r>
        <w:rPr>
          <w:rFonts w:eastAsiaTheme="minorEastAsia"/>
          <w:color w:val="000000" w:themeColor="text1"/>
          <w:sz w:val="28"/>
          <w:szCs w:val="28"/>
        </w:rPr>
        <w:t>——每池每周期所需要的进水时间（h）；</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rPr>
        <w:t>——一个运行周期所需要的时间（h）；</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rPr>
        <w:t>——每个系列反应池个数。</w:t>
      </w:r>
    </w:p>
    <w:p>
      <w:pPr>
        <w:widowControl/>
        <w:wordWrap w:val="0"/>
        <w:ind w:firstLine="424" w:firstLineChars="151"/>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反应时间，可按下式计算：</w:t>
      </w:r>
    </w:p>
    <w:p>
      <w:pPr>
        <w:widowControl/>
        <w:wordWrap w:val="0"/>
        <w:ind w:firstLine="422" w:firstLineChars="151"/>
        <w:jc w:val="right"/>
        <w:rPr>
          <w:rFonts w:eastAsiaTheme="minorEastAsia"/>
          <w:color w:val="000000" w:themeColor="text1"/>
          <w:sz w:val="28"/>
          <w:szCs w:val="28"/>
        </w:rPr>
      </w:pPr>
      <w:r>
        <w:rPr>
          <w:rFonts w:eastAsiaTheme="minorEastAsia"/>
          <w:color w:val="000000" w:themeColor="text1"/>
          <w:sz w:val="28"/>
          <w:szCs w:val="28"/>
        </w:rPr>
        <w:object>
          <v:shape id="_x0000_i1053" o:spt="75" type="#_x0000_t75" style="height:35.55pt;width:72.95pt;" o:ole="t" fillcolor="#000005 [-4142]" filled="f" o:preferrelative="t" stroked="f" coordsize="21600,21600">
            <v:path/>
            <v:fill on="f" focussize="0,0"/>
            <v:stroke on="f" joinstyle="miter"/>
            <v:imagedata r:id="rId71" o:title=""/>
            <o:lock v:ext="edit" aspectratio="t"/>
            <w10:wrap type="none"/>
            <w10:anchorlock/>
          </v:shape>
          <o:OLEObject Type="Embed" ProgID="Equation.3" ShapeID="_x0000_i1053" DrawAspect="Content" ObjectID="_1468075753" r:id="rId70">
            <o:LockedField>false</o:LockedField>
          </o:OLEObject>
        </w:object>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 xml:space="preserve"> （7.</w:t>
      </w:r>
      <w:r>
        <w:rPr>
          <w:rFonts w:hint="eastAsia" w:eastAsiaTheme="minorEastAsia"/>
          <w:color w:val="000000" w:themeColor="text1"/>
          <w:sz w:val="28"/>
          <w:szCs w:val="28"/>
        </w:rPr>
        <w:t>6</w:t>
      </w:r>
      <w:r>
        <w:rPr>
          <w:rFonts w:eastAsiaTheme="minorEastAsia"/>
          <w:color w:val="000000" w:themeColor="text1"/>
          <w:sz w:val="28"/>
          <w:szCs w:val="28"/>
        </w:rPr>
        <w:t>.37-2）</w:t>
      </w:r>
    </w:p>
    <w:p>
      <w:pPr>
        <w:widowControl/>
        <w:wordWrap w:val="0"/>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S</w:t>
      </w:r>
      <w:r>
        <w:rPr>
          <w:rFonts w:eastAsiaTheme="minorEastAsia"/>
          <w:color w:val="000000" w:themeColor="text1"/>
          <w:sz w:val="28"/>
          <w:szCs w:val="28"/>
          <w:vertAlign w:val="subscript"/>
        </w:rPr>
        <w:t>0</w:t>
      </w:r>
      <w:r>
        <w:rPr>
          <w:rFonts w:eastAsiaTheme="minorEastAsia"/>
          <w:color w:val="000000" w:themeColor="text1"/>
          <w:sz w:val="28"/>
          <w:szCs w:val="28"/>
        </w:rPr>
        <w:t>——生物反应池进水五日生化需氧量（mg/L）；</w:t>
      </w:r>
    </w:p>
    <w:p>
      <w:pPr>
        <w:widowControl/>
        <w:wordWrap w:val="0"/>
        <w:ind w:left="1680" w:leftChars="400" w:hanging="840" w:hangingChars="300"/>
        <w:rPr>
          <w:rFonts w:eastAsiaTheme="minorEastAsia"/>
          <w:color w:val="000000" w:themeColor="text1"/>
          <w:sz w:val="28"/>
          <w:szCs w:val="28"/>
        </w:rPr>
      </w:pPr>
      <w:r>
        <w:rPr>
          <w:rFonts w:eastAsiaTheme="minorEastAsia"/>
          <w:i/>
          <w:color w:val="000000" w:themeColor="text1"/>
          <w:sz w:val="28"/>
          <w:szCs w:val="28"/>
        </w:rPr>
        <w:t>m</w:t>
      </w:r>
      <w:r>
        <w:rPr>
          <w:rFonts w:eastAsiaTheme="minorEastAsia"/>
          <w:color w:val="000000" w:themeColor="text1"/>
          <w:sz w:val="28"/>
          <w:szCs w:val="28"/>
        </w:rPr>
        <w:t>——充水比，仅需除磷时宜为0.25～0.5，需脱氮时宜为0.15~0.3。</w:t>
      </w:r>
    </w:p>
    <w:p>
      <w:pPr>
        <w:widowControl/>
        <w:wordWrap w:val="0"/>
        <w:ind w:left="1682" w:leftChars="401" w:hanging="840" w:hangingChars="300"/>
        <w:rPr>
          <w:rFonts w:eastAsiaTheme="minorEastAsia"/>
          <w:color w:val="000000" w:themeColor="text1"/>
          <w:sz w:val="28"/>
          <w:szCs w:val="28"/>
        </w:rPr>
      </w:pPr>
      <w:r>
        <w:rPr>
          <w:rFonts w:eastAsiaTheme="minorEastAsia"/>
          <w:i/>
          <w:color w:val="000000" w:themeColor="text1"/>
          <w:sz w:val="28"/>
          <w:szCs w:val="28"/>
        </w:rPr>
        <w:t>L</w:t>
      </w:r>
      <w:r>
        <w:rPr>
          <w:rFonts w:eastAsiaTheme="minorEastAsia"/>
          <w:i/>
          <w:color w:val="000000" w:themeColor="text1"/>
          <w:sz w:val="28"/>
          <w:szCs w:val="28"/>
          <w:vertAlign w:val="subscript"/>
        </w:rPr>
        <w:t>s</w:t>
      </w:r>
      <w:r>
        <w:rPr>
          <w:rFonts w:eastAsiaTheme="minorEastAsia"/>
          <w:color w:val="000000" w:themeColor="text1"/>
          <w:sz w:val="28"/>
          <w:szCs w:val="28"/>
        </w:rPr>
        <w:t>——生物反应池的五日生化需氧量污泥负荷[kgBOD</w:t>
      </w:r>
      <w:r>
        <w:rPr>
          <w:rFonts w:eastAsiaTheme="minorEastAsia"/>
          <w:color w:val="000000" w:themeColor="text1"/>
          <w:sz w:val="28"/>
          <w:szCs w:val="28"/>
          <w:vertAlign w:val="subscript"/>
        </w:rPr>
        <w:t>5</w:t>
      </w:r>
      <w:r>
        <w:rPr>
          <w:rFonts w:eastAsiaTheme="minorEastAsia"/>
          <w:color w:val="000000" w:themeColor="text1"/>
          <w:sz w:val="28"/>
          <w:szCs w:val="28"/>
        </w:rPr>
        <w:t>/（kgMLSS·d）]；</w:t>
      </w:r>
    </w:p>
    <w:p>
      <w:pPr>
        <w:widowControl/>
        <w:wordWrap w:val="0"/>
        <w:ind w:firstLine="840" w:firstLineChars="300"/>
        <w:rPr>
          <w:rFonts w:eastAsiaTheme="minorEastAsia"/>
          <w:color w:val="000000" w:themeColor="text1"/>
          <w:sz w:val="28"/>
          <w:szCs w:val="28"/>
        </w:rPr>
      </w:pPr>
      <w:r>
        <w:rPr>
          <w:rFonts w:eastAsiaTheme="minorEastAsia"/>
          <w:i/>
          <w:color w:val="000000" w:themeColor="text1"/>
          <w:sz w:val="28"/>
          <w:szCs w:val="28"/>
        </w:rPr>
        <w:t>X</w:t>
      </w:r>
      <w:r>
        <w:rPr>
          <w:rFonts w:eastAsiaTheme="minorEastAsia"/>
          <w:color w:val="000000" w:themeColor="text1"/>
          <w:sz w:val="28"/>
          <w:szCs w:val="28"/>
        </w:rPr>
        <w:t>——生物反应池内混合液悬浮固体平均浓度（gMLSS/L）。</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沉淀时间</w:t>
      </w:r>
      <w:r>
        <w:rPr>
          <w:rFonts w:eastAsiaTheme="minorEastAsia"/>
          <w:i/>
          <w:color w:val="000000" w:themeColor="text1"/>
          <w:sz w:val="28"/>
          <w:szCs w:val="28"/>
        </w:rPr>
        <w:t>t</w:t>
      </w:r>
      <w:r>
        <w:rPr>
          <w:rFonts w:eastAsiaTheme="minorEastAsia"/>
          <w:color w:val="000000" w:themeColor="text1"/>
          <w:sz w:val="28"/>
          <w:szCs w:val="28"/>
          <w:vertAlign w:val="subscript"/>
        </w:rPr>
        <w:t>S</w:t>
      </w:r>
      <w:r>
        <w:rPr>
          <w:rFonts w:eastAsiaTheme="minorEastAsia"/>
          <w:color w:val="000000" w:themeColor="text1"/>
          <w:sz w:val="28"/>
          <w:szCs w:val="28"/>
        </w:rPr>
        <w:t>宜为1h；</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4</w:t>
      </w:r>
      <w:r>
        <w:rPr>
          <w:rFonts w:eastAsiaTheme="minorEastAsia"/>
          <w:color w:val="000000" w:themeColor="text1"/>
          <w:sz w:val="28"/>
          <w:szCs w:val="28"/>
        </w:rPr>
        <w:t xml:space="preserve"> 排水时间</w:t>
      </w:r>
      <w:r>
        <w:rPr>
          <w:rFonts w:eastAsiaTheme="minorEastAsia"/>
          <w:i/>
          <w:color w:val="000000" w:themeColor="text1"/>
          <w:sz w:val="28"/>
          <w:szCs w:val="28"/>
        </w:rPr>
        <w:t>t</w:t>
      </w:r>
      <w:r>
        <w:rPr>
          <w:rFonts w:eastAsiaTheme="minorEastAsia"/>
          <w:color w:val="000000" w:themeColor="text1"/>
          <w:sz w:val="28"/>
          <w:szCs w:val="28"/>
          <w:vertAlign w:val="subscript"/>
        </w:rPr>
        <w:t>D</w:t>
      </w:r>
      <w:r>
        <w:rPr>
          <w:rFonts w:eastAsiaTheme="minorEastAsia"/>
          <w:color w:val="000000" w:themeColor="text1"/>
          <w:sz w:val="28"/>
          <w:szCs w:val="28"/>
        </w:rPr>
        <w:t>宜为1.0h~1.5h；</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5</w:t>
      </w:r>
      <w:r>
        <w:rPr>
          <w:rFonts w:eastAsiaTheme="minorEastAsia"/>
          <w:color w:val="000000" w:themeColor="text1"/>
          <w:sz w:val="28"/>
          <w:szCs w:val="28"/>
        </w:rPr>
        <w:t xml:space="preserve"> 一个周期所需时间，可按下式计算：</w:t>
      </w:r>
    </w:p>
    <w:p>
      <w:pPr>
        <w:widowControl/>
        <w:wordWrap w:val="0"/>
        <w:ind w:firstLine="422" w:firstLineChars="151"/>
        <w:jc w:val="right"/>
        <w:rPr>
          <w:rFonts w:eastAsiaTheme="minorEastAsia"/>
          <w:color w:val="000000" w:themeColor="text1"/>
          <w:sz w:val="28"/>
          <w:szCs w:val="28"/>
          <w:vertAlign w:val="subscript"/>
        </w:rPr>
      </w:pPr>
      <w:r>
        <w:rPr>
          <w:rFonts w:eastAsiaTheme="minorEastAsia"/>
          <w:i/>
          <w:color w:val="000000" w:themeColor="text1"/>
          <w:sz w:val="28"/>
          <w:szCs w:val="28"/>
        </w:rPr>
        <w:t>t</w:t>
      </w:r>
      <w:r>
        <w:rPr>
          <w:rFonts w:eastAsiaTheme="minorEastAsia"/>
          <w:color w:val="000000" w:themeColor="text1"/>
          <w:sz w:val="28"/>
          <w:szCs w:val="28"/>
        </w:rPr>
        <w:t>=</w:t>
      </w:r>
      <w:r>
        <w:rPr>
          <w:rFonts w:eastAsiaTheme="minorEastAsia"/>
          <w:i/>
          <w:color w:val="000000" w:themeColor="text1"/>
          <w:sz w:val="28"/>
          <w:szCs w:val="28"/>
        </w:rPr>
        <w:t>t</w:t>
      </w:r>
      <w:r>
        <w:rPr>
          <w:rFonts w:eastAsiaTheme="minorEastAsia"/>
          <w:color w:val="000000" w:themeColor="text1"/>
          <w:sz w:val="28"/>
          <w:szCs w:val="28"/>
          <w:vertAlign w:val="subscript"/>
        </w:rPr>
        <w:t>R</w:t>
      </w:r>
      <w:r>
        <w:rPr>
          <w:rFonts w:eastAsiaTheme="minorEastAsia"/>
          <w:color w:val="000000" w:themeColor="text1"/>
          <w:sz w:val="28"/>
          <w:szCs w:val="28"/>
        </w:rPr>
        <w:t>+</w:t>
      </w:r>
      <w:r>
        <w:rPr>
          <w:rFonts w:eastAsiaTheme="minorEastAsia"/>
          <w:i/>
          <w:color w:val="000000" w:themeColor="text1"/>
          <w:sz w:val="28"/>
          <w:szCs w:val="28"/>
        </w:rPr>
        <w:t>t</w:t>
      </w:r>
      <w:r>
        <w:rPr>
          <w:rFonts w:eastAsiaTheme="minorEastAsia"/>
          <w:color w:val="000000" w:themeColor="text1"/>
          <w:sz w:val="28"/>
          <w:szCs w:val="28"/>
          <w:vertAlign w:val="subscript"/>
        </w:rPr>
        <w:t>S</w:t>
      </w:r>
      <w:r>
        <w:rPr>
          <w:rFonts w:eastAsiaTheme="minorEastAsia"/>
          <w:color w:val="000000" w:themeColor="text1"/>
          <w:sz w:val="28"/>
          <w:szCs w:val="28"/>
        </w:rPr>
        <w:t>+</w:t>
      </w:r>
      <w:r>
        <w:rPr>
          <w:rFonts w:eastAsiaTheme="minorEastAsia"/>
          <w:i/>
          <w:color w:val="000000" w:themeColor="text1"/>
          <w:sz w:val="28"/>
          <w:szCs w:val="28"/>
        </w:rPr>
        <w:t>t</w:t>
      </w:r>
      <w:r>
        <w:rPr>
          <w:rFonts w:eastAsiaTheme="minorEastAsia"/>
          <w:color w:val="000000" w:themeColor="text1"/>
          <w:sz w:val="28"/>
          <w:szCs w:val="28"/>
          <w:vertAlign w:val="subscript"/>
        </w:rPr>
        <w:t>D</w:t>
      </w:r>
      <w:r>
        <w:rPr>
          <w:rFonts w:eastAsiaTheme="minorEastAsia"/>
          <w:color w:val="000000" w:themeColor="text1"/>
          <w:sz w:val="28"/>
          <w:szCs w:val="28"/>
        </w:rPr>
        <w:t>+</w:t>
      </w:r>
      <w:r>
        <w:rPr>
          <w:rFonts w:eastAsiaTheme="minorEastAsia"/>
          <w:i/>
          <w:color w:val="000000" w:themeColor="text1"/>
          <w:sz w:val="28"/>
          <w:szCs w:val="28"/>
        </w:rPr>
        <w:t>t</w:t>
      </w:r>
      <w:r>
        <w:rPr>
          <w:rFonts w:eastAsiaTheme="minorEastAsia"/>
          <w:color w:val="000000" w:themeColor="text1"/>
          <w:sz w:val="28"/>
          <w:szCs w:val="28"/>
          <w:vertAlign w:val="subscript"/>
        </w:rPr>
        <w:t xml:space="preserve">b   </w:t>
      </w:r>
      <w:r>
        <w:rPr>
          <w:rFonts w:eastAsiaTheme="minorEastAsia"/>
          <w:color w:val="000000" w:themeColor="text1"/>
          <w:sz w:val="28"/>
          <w:szCs w:val="28"/>
          <w:vertAlign w:val="subscript"/>
        </w:rPr>
        <w:tab/>
      </w:r>
      <w:r>
        <w:rPr>
          <w:rFonts w:eastAsiaTheme="minorEastAsia"/>
          <w:color w:val="000000" w:themeColor="text1"/>
          <w:sz w:val="28"/>
          <w:szCs w:val="28"/>
          <w:vertAlign w:val="subscript"/>
        </w:rPr>
        <w:tab/>
      </w:r>
      <w:r>
        <w:rPr>
          <w:rFonts w:eastAsiaTheme="minorEastAsia"/>
          <w:color w:val="000000" w:themeColor="text1"/>
          <w:sz w:val="28"/>
          <w:szCs w:val="28"/>
          <w:vertAlign w:val="subscript"/>
        </w:rPr>
        <w:t xml:space="preserve">              </w:t>
      </w:r>
      <w:r>
        <w:rPr>
          <w:rFonts w:eastAsiaTheme="minorEastAsia"/>
          <w:color w:val="000000" w:themeColor="text1"/>
          <w:sz w:val="28"/>
          <w:szCs w:val="28"/>
          <w:vertAlign w:val="subscript"/>
        </w:rPr>
        <w:tab/>
      </w:r>
      <w:r>
        <w:rPr>
          <w:rFonts w:eastAsiaTheme="minorEastAsia"/>
          <w:color w:val="000000" w:themeColor="text1"/>
          <w:sz w:val="28"/>
          <w:szCs w:val="28"/>
          <w:vertAlign w:val="subscript"/>
        </w:rPr>
        <w:tab/>
      </w:r>
      <w:r>
        <w:rPr>
          <w:rFonts w:eastAsiaTheme="minorEastAsia"/>
          <w:color w:val="000000" w:themeColor="text1"/>
          <w:sz w:val="28"/>
          <w:szCs w:val="28"/>
        </w:rPr>
        <w:t>（7.</w:t>
      </w:r>
      <w:r>
        <w:rPr>
          <w:rFonts w:hint="eastAsia" w:eastAsiaTheme="minorEastAsia"/>
          <w:color w:val="000000" w:themeColor="text1"/>
          <w:sz w:val="28"/>
          <w:szCs w:val="28"/>
        </w:rPr>
        <w:t>6</w:t>
      </w:r>
      <w:r>
        <w:rPr>
          <w:rFonts w:eastAsiaTheme="minorEastAsia"/>
          <w:color w:val="000000" w:themeColor="text1"/>
          <w:sz w:val="28"/>
          <w:szCs w:val="28"/>
        </w:rPr>
        <w:t>.37-3）</w:t>
      </w:r>
    </w:p>
    <w:p>
      <w:pPr>
        <w:widowControl/>
        <w:wordWrap w:val="0"/>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t</w:t>
      </w:r>
      <w:r>
        <w:rPr>
          <w:rFonts w:eastAsiaTheme="minorEastAsia"/>
          <w:color w:val="000000" w:themeColor="text1"/>
          <w:sz w:val="28"/>
          <w:szCs w:val="28"/>
          <w:vertAlign w:val="subscript"/>
        </w:rPr>
        <w:t>R</w:t>
      </w:r>
      <w:r>
        <w:rPr>
          <w:rFonts w:eastAsiaTheme="minorEastAsia"/>
          <w:color w:val="000000" w:themeColor="text1"/>
          <w:sz w:val="28"/>
          <w:szCs w:val="28"/>
        </w:rPr>
        <w:t>——每个周期反应时间（h）；</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S</w:t>
      </w:r>
      <w:r>
        <w:rPr>
          <w:rFonts w:eastAsiaTheme="minorEastAsia"/>
          <w:color w:val="000000" w:themeColor="text1"/>
          <w:sz w:val="28"/>
          <w:szCs w:val="28"/>
        </w:rPr>
        <w:t>——沉淀时间（h）；</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D</w:t>
      </w:r>
      <w:r>
        <w:rPr>
          <w:rFonts w:eastAsiaTheme="minorEastAsia"/>
          <w:color w:val="000000" w:themeColor="text1"/>
          <w:sz w:val="28"/>
          <w:szCs w:val="28"/>
        </w:rPr>
        <w:t>——排水</w:t>
      </w:r>
      <w:r>
        <w:rPr>
          <w:rFonts w:eastAsiaTheme="minorEastAsia"/>
          <w:i/>
          <w:color w:val="000000" w:themeColor="text1"/>
          <w:sz w:val="28"/>
          <w:szCs w:val="28"/>
        </w:rPr>
        <w:t>时间</w:t>
      </w:r>
      <w:r>
        <w:rPr>
          <w:rFonts w:eastAsiaTheme="minorEastAsia"/>
          <w:color w:val="000000" w:themeColor="text1"/>
          <w:sz w:val="28"/>
          <w:szCs w:val="28"/>
        </w:rPr>
        <w:t>（h）；</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b</w:t>
      </w:r>
      <w:r>
        <w:rPr>
          <w:rFonts w:eastAsiaTheme="minorEastAsia"/>
          <w:color w:val="000000" w:themeColor="text1"/>
          <w:sz w:val="28"/>
          <w:szCs w:val="28"/>
        </w:rPr>
        <w:t>－闲置时间（h）。</w:t>
      </w:r>
    </w:p>
    <w:p>
      <w:pPr>
        <w:wordWrap w:val="0"/>
        <w:rPr>
          <w:rFonts w:eastAsiaTheme="minorEastAsia"/>
          <w:color w:val="000000" w:themeColor="text1"/>
          <w:sz w:val="28"/>
          <w:szCs w:val="28"/>
        </w:rPr>
      </w:pPr>
      <w:r>
        <w:rPr>
          <w:rFonts w:eastAsiaTheme="minorEastAsia"/>
          <w:color w:val="000000" w:themeColor="text1"/>
          <w:sz w:val="28"/>
          <w:szCs w:val="28"/>
        </w:rPr>
        <w:t>【条文说明】SBR工艺是按周期运行的，每个周期包括进水、反应（厌氧、缺氧、好氧）、沉淀、排水和闲置五个工序，前四个工序是必需工序。</w:t>
      </w:r>
    </w:p>
    <w:p>
      <w:pPr>
        <w:wordWrap w:val="0"/>
        <w:rPr>
          <w:rFonts w:eastAsiaTheme="minorEastAsia"/>
          <w:color w:val="000000" w:themeColor="text1"/>
          <w:sz w:val="28"/>
          <w:szCs w:val="28"/>
        </w:rPr>
      </w:pPr>
      <w:r>
        <w:rPr>
          <w:rFonts w:eastAsiaTheme="minorEastAsia"/>
          <w:color w:val="000000" w:themeColor="text1"/>
          <w:sz w:val="28"/>
          <w:szCs w:val="28"/>
        </w:rPr>
        <w:t xml:space="preserve">    进水时间指开始向反应池进水至进水完成的一段时间。在此期间可根据具体情况进行曝气（好氧反应）、搅拌（厌氧、缺氧反应）、沉淀、排水或闲置。若一个处理系统有n个反应池，连续地将污水流人各个池内，依次对各池污水进行处理，假设在进水工序不进行沉淀和排水，一个周期的时间为</w:t>
      </w:r>
      <w:r>
        <w:rPr>
          <w:rFonts w:eastAsiaTheme="minorEastAsia"/>
          <w:i/>
          <w:color w:val="000000" w:themeColor="text1"/>
          <w:sz w:val="28"/>
          <w:szCs w:val="28"/>
        </w:rPr>
        <w:t>t</w:t>
      </w:r>
      <w:r>
        <w:rPr>
          <w:rFonts w:eastAsiaTheme="minorEastAsia"/>
          <w:color w:val="000000" w:themeColor="text1"/>
          <w:sz w:val="28"/>
          <w:szCs w:val="28"/>
        </w:rPr>
        <w:t>，则进水时间应为</w:t>
      </w:r>
      <w:r>
        <w:rPr>
          <w:rFonts w:eastAsiaTheme="minorEastAsia"/>
          <w:i/>
          <w:color w:val="000000" w:themeColor="text1"/>
          <w:sz w:val="28"/>
          <w:szCs w:val="28"/>
        </w:rPr>
        <w:t>t</w:t>
      </w:r>
      <w:r>
        <w:rPr>
          <w:rFonts w:eastAsiaTheme="minorEastAsia"/>
          <w:color w:val="000000" w:themeColor="text1"/>
          <w:sz w:val="28"/>
          <w:szCs w:val="28"/>
        </w:rPr>
        <w:t>/n。</w:t>
      </w:r>
    </w:p>
    <w:p>
      <w:pPr>
        <w:wordWrap w:val="0"/>
        <w:rPr>
          <w:rFonts w:eastAsiaTheme="minorEastAsia"/>
          <w:color w:val="000000" w:themeColor="text1"/>
          <w:sz w:val="28"/>
          <w:szCs w:val="28"/>
        </w:rPr>
      </w:pPr>
      <w:r>
        <w:rPr>
          <w:rFonts w:eastAsiaTheme="minorEastAsia"/>
          <w:color w:val="000000" w:themeColor="text1"/>
          <w:sz w:val="28"/>
          <w:szCs w:val="28"/>
        </w:rPr>
        <w:t xml:space="preserve">    非好氧反应时间内，发生反硝化反应及放磷反应。运行时可增减闲置时间调整非好氧反应时间。</w:t>
      </w:r>
    </w:p>
    <w:p>
      <w:pPr>
        <w:wordWrap w:val="0"/>
        <w:rPr>
          <w:rFonts w:eastAsiaTheme="minorEastAsia"/>
          <w:color w:val="000000" w:themeColor="text1"/>
          <w:sz w:val="28"/>
          <w:szCs w:val="28"/>
        </w:rPr>
      </w:pPr>
      <w:r>
        <w:rPr>
          <w:rFonts w:eastAsiaTheme="minorEastAsia"/>
          <w:color w:val="000000" w:themeColor="text1"/>
          <w:sz w:val="28"/>
          <w:szCs w:val="28"/>
        </w:rPr>
        <w:t xml:space="preserve">    式(7.</w:t>
      </w:r>
      <w:r>
        <w:rPr>
          <w:rFonts w:hint="eastAsia" w:eastAsiaTheme="minorEastAsia"/>
          <w:color w:val="000000" w:themeColor="text1"/>
          <w:sz w:val="28"/>
          <w:szCs w:val="28"/>
        </w:rPr>
        <w:t>6</w:t>
      </w:r>
      <w:r>
        <w:rPr>
          <w:rFonts w:eastAsiaTheme="minorEastAsia"/>
          <w:color w:val="000000" w:themeColor="text1"/>
          <w:sz w:val="28"/>
          <w:szCs w:val="28"/>
        </w:rPr>
        <w:t>.37-2)中充水比的含义是每个周期进水体积与反应池容积之比。充水比的倒数减1，可理解为回流比；充水比小，相当于回流比大。要取得较好的脱氮效果，充水比要小；但充水比过小，反而不利，可参见本标准7.</w:t>
      </w:r>
      <w:r>
        <w:rPr>
          <w:rFonts w:hint="eastAsia" w:eastAsiaTheme="minorEastAsia"/>
          <w:color w:val="000000" w:themeColor="text1"/>
          <w:sz w:val="28"/>
          <w:szCs w:val="28"/>
        </w:rPr>
        <w:t>6</w:t>
      </w:r>
      <w:r>
        <w:rPr>
          <w:rFonts w:eastAsiaTheme="minorEastAsia"/>
          <w:color w:val="000000" w:themeColor="text1"/>
          <w:sz w:val="28"/>
          <w:szCs w:val="28"/>
        </w:rPr>
        <w:t>.18条文说明。</w:t>
      </w:r>
    </w:p>
    <w:p>
      <w:pPr>
        <w:wordWrap w:val="0"/>
        <w:rPr>
          <w:rFonts w:eastAsiaTheme="minorEastAsia"/>
          <w:color w:val="000000" w:themeColor="text1"/>
          <w:sz w:val="28"/>
          <w:szCs w:val="28"/>
        </w:rPr>
      </w:pPr>
      <w:r>
        <w:rPr>
          <w:rFonts w:eastAsiaTheme="minorEastAsia"/>
          <w:color w:val="000000" w:themeColor="text1"/>
          <w:sz w:val="28"/>
          <w:szCs w:val="28"/>
        </w:rPr>
        <w:t xml:space="preserve">    排水目的是排除沉淀后的上清液，直至达到开始向反应池进水时的最低水位。排水可采用滗水器，所用时间由滗水器的能力决定。排水时间可通过增加滗水器台数或加大溢流负荷来缩短。但是，缩短了排水时间将增加后续处理构筑物（如消毒池等）的容积和增大排水管管径。综合两者关系，排水时间宜为1.0h～1.5h。</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闲置不是一个必需的工序，可以省略。在闲置期间，根据处理要求，可以进水、好氧反应、非好氧反应以及排除剩余污泥等。闲置时间的长短由进水流量和各工序的时间安排等因素决定。</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每天的周期数宜为正整数。</w:t>
      </w:r>
    </w:p>
    <w:p>
      <w:pPr>
        <w:wordWrap w:val="0"/>
        <w:rPr>
          <w:rFonts w:eastAsiaTheme="minorEastAsia"/>
          <w:color w:val="000000" w:themeColor="text1"/>
          <w:sz w:val="28"/>
          <w:szCs w:val="28"/>
        </w:rPr>
      </w:pPr>
      <w:r>
        <w:rPr>
          <w:rFonts w:eastAsiaTheme="minorEastAsia"/>
          <w:color w:val="000000" w:themeColor="text1"/>
          <w:sz w:val="28"/>
          <w:szCs w:val="28"/>
        </w:rPr>
        <w:t>【条文说明】为了便于运行管理，做此规定。</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连续进水时，反应池的进水处应设置导流装置。</w:t>
      </w:r>
    </w:p>
    <w:p>
      <w:pPr>
        <w:wordWrap w:val="0"/>
        <w:rPr>
          <w:rFonts w:eastAsiaTheme="minorEastAsia"/>
          <w:color w:val="000000" w:themeColor="text1"/>
          <w:sz w:val="28"/>
          <w:szCs w:val="28"/>
        </w:rPr>
      </w:pPr>
      <w:r>
        <w:rPr>
          <w:rFonts w:eastAsiaTheme="minorEastAsia"/>
          <w:color w:val="000000" w:themeColor="text1"/>
          <w:sz w:val="28"/>
          <w:szCs w:val="28"/>
        </w:rPr>
        <w:t>【条文说明】由于污水的进入会搅动活性污泥，此外，若进水发生短流会造成出水水质恶化，因此应设置导流装置。</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反应池宜采用矩形池，水深宜为4.0m~6.0m；反应池长度与宽度之比：间隙进水时宜为1:1~2:1，连续进水时宜为2.5:1～4:1。</w:t>
      </w:r>
    </w:p>
    <w:p>
      <w:pPr>
        <w:wordWrap w:val="0"/>
        <w:rPr>
          <w:rFonts w:eastAsiaTheme="minorEastAsia"/>
          <w:color w:val="000000" w:themeColor="text1"/>
          <w:sz w:val="28"/>
          <w:szCs w:val="28"/>
        </w:rPr>
      </w:pPr>
      <w:r>
        <w:rPr>
          <w:rFonts w:eastAsiaTheme="minorEastAsia"/>
          <w:color w:val="000000" w:themeColor="text1"/>
          <w:sz w:val="28"/>
          <w:szCs w:val="28"/>
        </w:rPr>
        <w:t>【条文说明】矩形反应池可布置紧凑，占地少。水深应根据鼓风机出风压力确定。如果反应池水深过大，排出水的深度相应增大，则固液分离所需时间就长。同时，受滗水器结构限制，滗水不能过多；如果反应池水深过小，由于受活性污泥界面以上最小水深（保护高度）限制，排出比小，不经济。综合以上考虑，规定完全混合型反应池水深宜为4.0m～6.0m。连续进水时，如反应池长宽比过大，流速大，会带出污泥；长宽比过小，会因短流而造成出水水质下降，故长宽比宜为2.5:1～4:1。</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反应池应设置固定式事故排水装置，可设在滗水结束时的水位处。</w:t>
      </w:r>
    </w:p>
    <w:p>
      <w:pPr>
        <w:wordWrap w:val="0"/>
        <w:rPr>
          <w:rFonts w:eastAsiaTheme="minorEastAsia"/>
          <w:color w:val="000000" w:themeColor="text1"/>
          <w:sz w:val="28"/>
          <w:szCs w:val="28"/>
        </w:rPr>
      </w:pPr>
      <w:r>
        <w:rPr>
          <w:rFonts w:eastAsiaTheme="minorEastAsia"/>
          <w:color w:val="000000" w:themeColor="text1"/>
          <w:sz w:val="28"/>
          <w:szCs w:val="28"/>
        </w:rPr>
        <w:t>【条文说明】滗水器故障时，可用事故排水装置应急。固定式排水装置结构简单，十分适合作事故排水装置。</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反应池应采用有防止浮渣流出设施的滗水器；同时，宜有清除浮渣的装置。</w:t>
      </w:r>
    </w:p>
    <w:p>
      <w:pPr>
        <w:wordWrap w:val="0"/>
        <w:rPr>
          <w:rFonts w:eastAsiaTheme="minorEastAsia"/>
          <w:color w:val="000000" w:themeColor="text1"/>
          <w:sz w:val="28"/>
          <w:szCs w:val="28"/>
        </w:rPr>
      </w:pPr>
      <w:r>
        <w:rPr>
          <w:rFonts w:eastAsiaTheme="minorEastAsia"/>
          <w:color w:val="000000" w:themeColor="text1"/>
          <w:sz w:val="28"/>
          <w:szCs w:val="28"/>
        </w:rPr>
        <w:t>【条文说明】由于SBR工艺一般不设初次沉淀池，浮渣和污染物会流入反应池。为了不使反应池水面上的浮渣随处理水一起流出，首先应设沉砂池、除渣池（或极细格栅）等预处理设施，其次应采用有挡板的滗水器。反应池应有撇渣机等浮渣清除装置，否则反应池表面会积累浮渣，影响环境和处理效果。</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t>VI 膜生物反应器（MBR）</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膜生物反应器工艺的主要设计参数，宜根据试验资料确定。当无试验资料时，可采用经验数据或按表7.6.43的规定取值。</w:t>
      </w:r>
    </w:p>
    <w:p>
      <w:pPr>
        <w:widowControl/>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表7.</w:t>
      </w:r>
      <w:r>
        <w:rPr>
          <w:rFonts w:hint="eastAsia" w:eastAsiaTheme="minorEastAsia"/>
          <w:b/>
          <w:color w:val="000000" w:themeColor="text1"/>
          <w:sz w:val="28"/>
          <w:szCs w:val="28"/>
        </w:rPr>
        <w:t>6</w:t>
      </w:r>
      <w:r>
        <w:rPr>
          <w:rFonts w:eastAsiaTheme="minorEastAsia"/>
          <w:b/>
          <w:color w:val="000000" w:themeColor="text1"/>
          <w:sz w:val="28"/>
          <w:szCs w:val="28"/>
        </w:rPr>
        <w:t>.43膜生物反应器工艺的主要设计参数取值范围</w:t>
      </w:r>
    </w:p>
    <w:tbl>
      <w:tblPr>
        <w:tblStyle w:val="25"/>
        <w:tblW w:w="80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3"/>
        <w:gridCol w:w="217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43"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名称</w:t>
            </w:r>
          </w:p>
        </w:tc>
        <w:tc>
          <w:tcPr>
            <w:tcW w:w="217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单位</w:t>
            </w:r>
          </w:p>
        </w:tc>
        <w:tc>
          <w:tcPr>
            <w:tcW w:w="226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典型值或范围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43"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膜池内污泥浓度（MLSS</w:t>
            </w:r>
            <w:r>
              <w:rPr>
                <w:rFonts w:eastAsiaTheme="minorEastAsia"/>
                <w:color w:val="000000" w:themeColor="text1"/>
                <w:sz w:val="28"/>
                <w:szCs w:val="28"/>
                <w:vertAlign w:val="superscript"/>
              </w:rPr>
              <w:t>*</w:t>
            </w:r>
            <w:r>
              <w:rPr>
                <w:rFonts w:eastAsiaTheme="minorEastAsia"/>
                <w:color w:val="000000" w:themeColor="text1"/>
                <w:sz w:val="28"/>
                <w:szCs w:val="28"/>
              </w:rPr>
              <w:t>）</w:t>
            </w:r>
            <w:r>
              <w:rPr>
                <w:rFonts w:eastAsiaTheme="minorEastAsia"/>
                <w:i/>
                <w:color w:val="000000" w:themeColor="text1"/>
                <w:sz w:val="28"/>
                <w:szCs w:val="28"/>
              </w:rPr>
              <w:t>X</w:t>
            </w:r>
          </w:p>
        </w:tc>
        <w:tc>
          <w:tcPr>
            <w:tcW w:w="217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g/L</w:t>
            </w:r>
          </w:p>
        </w:tc>
        <w:tc>
          <w:tcPr>
            <w:tcW w:w="226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6～15</w:t>
            </w:r>
          </w:p>
          <w:p>
            <w:pPr>
              <w:widowControl/>
              <w:wordWrap w:val="0"/>
              <w:spacing w:line="360" w:lineRule="auto"/>
              <w:jc w:val="center"/>
              <w:rPr>
                <w:rFonts w:eastAsiaTheme="minorEastAsia"/>
                <w:color w:val="000000" w:themeColor="text1"/>
                <w:sz w:val="28"/>
                <w:szCs w:val="28"/>
                <w:vertAlign w:val="superscript"/>
              </w:rPr>
            </w:pPr>
            <w:r>
              <w:rPr>
                <w:rFonts w:eastAsiaTheme="minorEastAsia"/>
                <w:color w:val="000000" w:themeColor="text1"/>
                <w:sz w:val="28"/>
                <w:szCs w:val="28"/>
              </w:rPr>
              <w:t>（中空纤维膜）</w:t>
            </w:r>
          </w:p>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10～20（平板膜）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43"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生物反应池的五日生化需氧量污泥负荷</w:t>
            </w:r>
            <w:r>
              <w:rPr>
                <w:rFonts w:eastAsiaTheme="minorEastAsia"/>
                <w:i/>
                <w:color w:val="000000" w:themeColor="text1"/>
                <w:sz w:val="28"/>
                <w:szCs w:val="28"/>
              </w:rPr>
              <w:t>L</w:t>
            </w:r>
            <w:r>
              <w:rPr>
                <w:rFonts w:eastAsiaTheme="minorEastAsia"/>
                <w:color w:val="000000" w:themeColor="text1"/>
                <w:sz w:val="28"/>
                <w:szCs w:val="28"/>
                <w:vertAlign w:val="subscript"/>
              </w:rPr>
              <w:t>s</w:t>
            </w:r>
          </w:p>
        </w:tc>
        <w:tc>
          <w:tcPr>
            <w:tcW w:w="217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kgBOD</w:t>
            </w:r>
            <w:r>
              <w:rPr>
                <w:rFonts w:eastAsiaTheme="minorEastAsia"/>
                <w:color w:val="000000" w:themeColor="text1"/>
                <w:sz w:val="28"/>
                <w:szCs w:val="28"/>
                <w:vertAlign w:val="subscript"/>
              </w:rPr>
              <w:t>5</w:t>
            </w:r>
            <w:r>
              <w:rPr>
                <w:rFonts w:eastAsiaTheme="minorEastAsia"/>
                <w:color w:val="000000" w:themeColor="text1"/>
                <w:sz w:val="28"/>
                <w:szCs w:val="28"/>
              </w:rPr>
              <w:t>/(kgMLSS·d)</w:t>
            </w:r>
          </w:p>
        </w:tc>
        <w:tc>
          <w:tcPr>
            <w:tcW w:w="226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43"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总污泥龄</w:t>
            </w:r>
            <w:r>
              <w:rPr>
                <w:rFonts w:eastAsiaTheme="minorEastAsia"/>
                <w:i/>
                <w:color w:val="000000" w:themeColor="text1"/>
                <w:sz w:val="28"/>
                <w:szCs w:val="28"/>
              </w:rPr>
              <w:t>θ</w:t>
            </w:r>
            <w:r>
              <w:rPr>
                <w:rFonts w:eastAsiaTheme="minorEastAsia"/>
                <w:color w:val="000000" w:themeColor="text1"/>
                <w:sz w:val="28"/>
                <w:szCs w:val="28"/>
                <w:vertAlign w:val="subscript"/>
              </w:rPr>
              <w:t>t</w:t>
            </w:r>
          </w:p>
        </w:tc>
        <w:tc>
          <w:tcPr>
            <w:tcW w:w="217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d</w:t>
            </w:r>
          </w:p>
        </w:tc>
        <w:tc>
          <w:tcPr>
            <w:tcW w:w="226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43"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缺氧区（池）至厌氧区（池）混合液回流比</w:t>
            </w:r>
            <w:r>
              <w:rPr>
                <w:rFonts w:eastAsiaTheme="minorEastAsia"/>
                <w:i/>
                <w:color w:val="000000" w:themeColor="text1"/>
                <w:sz w:val="28"/>
                <w:szCs w:val="28"/>
              </w:rPr>
              <w:t>R</w:t>
            </w:r>
            <w:r>
              <w:rPr>
                <w:rFonts w:eastAsiaTheme="minorEastAsia"/>
                <w:color w:val="000000" w:themeColor="text1"/>
                <w:sz w:val="28"/>
                <w:szCs w:val="28"/>
                <w:vertAlign w:val="subscript"/>
              </w:rPr>
              <w:t>1</w:t>
            </w:r>
          </w:p>
        </w:tc>
        <w:tc>
          <w:tcPr>
            <w:tcW w:w="217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26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43"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好氧区（池）至缺氧区（池）混合液回流比</w:t>
            </w:r>
            <w:r>
              <w:rPr>
                <w:rFonts w:eastAsiaTheme="minorEastAsia"/>
                <w:i/>
                <w:color w:val="000000" w:themeColor="text1"/>
                <w:sz w:val="28"/>
                <w:szCs w:val="28"/>
              </w:rPr>
              <w:t>R</w:t>
            </w:r>
            <w:r>
              <w:rPr>
                <w:rFonts w:eastAsiaTheme="minorEastAsia"/>
                <w:color w:val="000000" w:themeColor="text1"/>
                <w:sz w:val="28"/>
                <w:szCs w:val="28"/>
                <w:vertAlign w:val="subscript"/>
              </w:rPr>
              <w:t>2</w:t>
            </w:r>
          </w:p>
        </w:tc>
        <w:tc>
          <w:tcPr>
            <w:tcW w:w="217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26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43"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膜池至好氧区（池）混合液回流比</w:t>
            </w:r>
            <w:r>
              <w:rPr>
                <w:rFonts w:eastAsiaTheme="minorEastAsia"/>
                <w:i/>
                <w:color w:val="000000" w:themeColor="text1"/>
                <w:sz w:val="28"/>
                <w:szCs w:val="28"/>
              </w:rPr>
              <w:t>R</w:t>
            </w:r>
            <w:r>
              <w:rPr>
                <w:rFonts w:eastAsiaTheme="minorEastAsia"/>
                <w:color w:val="000000" w:themeColor="text1"/>
                <w:sz w:val="28"/>
                <w:szCs w:val="28"/>
                <w:vertAlign w:val="subscript"/>
              </w:rPr>
              <w:t>3</w:t>
            </w:r>
          </w:p>
        </w:tc>
        <w:tc>
          <w:tcPr>
            <w:tcW w:w="217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2265" w:type="dxa"/>
            <w:vAlign w:val="center"/>
          </w:tcPr>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400～600</w:t>
            </w:r>
          </w:p>
        </w:tc>
      </w:tr>
    </w:tbl>
    <w:p>
      <w:pPr>
        <w:widowControl/>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注：*</w:t>
      </w:r>
      <w:r>
        <w:rPr>
          <w:rFonts w:eastAsiaTheme="minorEastAsia"/>
          <w:color w:val="000000" w:themeColor="text1"/>
          <w:sz w:val="28"/>
          <w:szCs w:val="28"/>
          <w:vertAlign w:val="superscript"/>
        </w:rPr>
        <w:t xml:space="preserve"> </w:t>
      </w:r>
      <w:r>
        <w:rPr>
          <w:rFonts w:eastAsiaTheme="minorEastAsia"/>
          <w:color w:val="000000" w:themeColor="text1"/>
          <w:sz w:val="28"/>
          <w:szCs w:val="28"/>
        </w:rPr>
        <w:t>其他反应区（池）的设计MLSS可根据回流比计算得到。</w:t>
      </w:r>
    </w:p>
    <w:p>
      <w:pPr>
        <w:widowControl/>
        <w:wordWrap w:val="0"/>
        <w:rPr>
          <w:rFonts w:eastAsiaTheme="minorEastAsia"/>
          <w:color w:val="000000" w:themeColor="text1"/>
          <w:sz w:val="28"/>
          <w:szCs w:val="28"/>
        </w:rPr>
      </w:pPr>
      <w:r>
        <w:rPr>
          <w:rFonts w:eastAsiaTheme="minorEastAsia"/>
          <w:color w:val="000000" w:themeColor="text1"/>
          <w:sz w:val="28"/>
          <w:szCs w:val="28"/>
        </w:rPr>
        <w:t>【条文说明】主要设计参数包括污泥浓度、污泥负荷、总污泥龄和回流比。</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膜生物反应器工程中膜系统运行通量的取值应小于临界通量。临界通量的选取应考虑膜材料类型、膜组件和膜组器型式、污泥混合液性质、水温等因素，可实测或采用经验数据。同时，应根据污水厂进水峰值流量校核膜的峰值通量和强制通量。</w:t>
      </w:r>
    </w:p>
    <w:p>
      <w:pPr>
        <w:widowControl/>
        <w:wordWrap w:val="0"/>
        <w:rPr>
          <w:rFonts w:eastAsiaTheme="minorEastAsia"/>
          <w:color w:val="000000" w:themeColor="text1"/>
          <w:sz w:val="28"/>
          <w:szCs w:val="28"/>
        </w:rPr>
      </w:pPr>
      <w:r>
        <w:rPr>
          <w:rFonts w:eastAsiaTheme="minorEastAsia"/>
          <w:color w:val="000000" w:themeColor="text1"/>
          <w:sz w:val="28"/>
          <w:szCs w:val="28"/>
        </w:rPr>
        <w:t>【条文说明】为尽可能的减轻膜污染，膜系统运行通量的取值应小于临界通量。同时，为了满足污水厂的总变化系数需求，设计过程中应根据峰值进水流量校核膜峰值通量和强制通量。为了减轻膜的污染，延长膜使用寿命，峰值通量和强制通量宜按临界通量的80%～90%选取，且峰值通量或强制通量运行时间，每天累计不宜超过4h，单次不宜超过2h。</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浸没式膜生物反应器平均通量的取值范围宜为15L/(m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·h)～25L/(m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·h)，外置式膜生物反应器平均通量的取值范围宜为30L/(m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·h)～45L/(m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·h)。</w:t>
      </w:r>
    </w:p>
    <w:p>
      <w:pPr>
        <w:widowControl/>
        <w:wordWrap w:val="0"/>
        <w:rPr>
          <w:rFonts w:eastAsiaTheme="minorEastAsia"/>
          <w:color w:val="000000" w:themeColor="text1"/>
          <w:sz w:val="28"/>
          <w:szCs w:val="28"/>
        </w:rPr>
      </w:pPr>
      <w:r>
        <w:rPr>
          <w:rFonts w:eastAsiaTheme="minorEastAsia"/>
          <w:color w:val="000000" w:themeColor="text1"/>
          <w:sz w:val="28"/>
          <w:szCs w:val="28"/>
        </w:rPr>
        <w:t>【条文说明】根据膜组件的设置位置，膜生物反应器构型包括外置式和浸没式。由于膜生物反应器工艺一般为间歇运行，因此，设计流量按照平均通量来计算。膜系统的实际运行通量，可按下式换算成平均通量：</w:t>
      </w:r>
    </w:p>
    <w:p>
      <w:pPr>
        <w:wordWrap w:val="0"/>
        <w:snapToGrid w:val="0"/>
        <w:spacing w:line="540" w:lineRule="atLeast"/>
        <w:ind w:left="2940" w:firstLine="420"/>
        <w:jc w:val="right"/>
        <w:rPr>
          <w:rFonts w:eastAsiaTheme="minorEastAsia"/>
          <w:color w:val="000000" w:themeColor="text1"/>
          <w:spacing w:val="8"/>
          <w:sz w:val="28"/>
          <w:szCs w:val="28"/>
        </w:rPr>
      </w:pPr>
      <w:r>
        <w:rPr>
          <w:rFonts w:eastAsiaTheme="minorEastAsia"/>
          <w:color w:val="000000" w:themeColor="text1"/>
          <w:position w:val="-32"/>
          <w:sz w:val="28"/>
          <w:szCs w:val="28"/>
        </w:rPr>
        <w:object>
          <v:shape id="_x0000_i1054" o:spt="75" type="#_x0000_t75" style="height:43pt;width:65.45pt;" o:ole="t" filled="f" o:preferrelative="t" stroked="f" coordsize="21600,21600">
            <v:path/>
            <v:fill on="f" focussize="0,0"/>
            <v:stroke on="f" joinstyle="miter"/>
            <v:imagedata r:id="rId73" o:title=""/>
            <o:lock v:ext="edit" aspectratio="t"/>
            <w10:wrap type="none"/>
            <w10:anchorlock/>
          </v:shape>
          <o:OLEObject Type="Embed" ProgID="Equation.DSMT4" ShapeID="_x0000_i1054" DrawAspect="Content" ObjectID="_1468075754" r:id="rId72">
            <o:LockedField>false</o:LockedField>
          </o:OLEObject>
        </w:object>
      </w:r>
      <w:r>
        <w:rPr>
          <w:rFonts w:eastAsiaTheme="minorEastAsia"/>
          <w:color w:val="000000" w:themeColor="text1"/>
          <w:spacing w:val="8"/>
          <w:sz w:val="28"/>
          <w:szCs w:val="28"/>
        </w:rPr>
        <w:t xml:space="preserve">                  （</w:t>
      </w:r>
      <w:r>
        <w:rPr>
          <w:rFonts w:eastAsiaTheme="minorEastAsia"/>
          <w:color w:val="000000" w:themeColor="text1"/>
          <w:sz w:val="28"/>
          <w:szCs w:val="28"/>
        </w:rPr>
        <w:t>5</w:t>
      </w:r>
      <w:r>
        <w:rPr>
          <w:rFonts w:eastAsiaTheme="minorEastAsia"/>
          <w:color w:val="000000" w:themeColor="text1"/>
          <w:spacing w:val="8"/>
          <w:sz w:val="28"/>
          <w:szCs w:val="28"/>
        </w:rPr>
        <w:t>）</w:t>
      </w:r>
    </w:p>
    <w:p>
      <w:pPr>
        <w:wordWrap w:val="0"/>
        <w:snapToGrid w:val="0"/>
        <w:spacing w:line="540" w:lineRule="atLeast"/>
        <w:rPr>
          <w:rFonts w:eastAsiaTheme="minorEastAsia"/>
          <w:color w:val="000000" w:themeColor="text1"/>
          <w:spacing w:val="8"/>
          <w:sz w:val="28"/>
          <w:szCs w:val="28"/>
        </w:rPr>
      </w:pPr>
      <w:r>
        <w:rPr>
          <w:rFonts w:eastAsiaTheme="minorEastAsia"/>
          <w:color w:val="000000" w:themeColor="text1"/>
          <w:spacing w:val="8"/>
          <w:sz w:val="28"/>
          <w:szCs w:val="28"/>
        </w:rPr>
        <w:t>式中：</w:t>
      </w:r>
      <w:r>
        <w:rPr>
          <w:rFonts w:eastAsiaTheme="minorEastAsia"/>
          <w:i/>
          <w:color w:val="000000" w:themeColor="text1"/>
          <w:spacing w:val="8"/>
          <w:sz w:val="28"/>
          <w:szCs w:val="28"/>
        </w:rPr>
        <w:t>J</w:t>
      </w:r>
      <w:r>
        <w:rPr>
          <w:rFonts w:eastAsiaTheme="minorEastAsia"/>
          <w:color w:val="000000" w:themeColor="text1"/>
          <w:spacing w:val="8"/>
          <w:sz w:val="28"/>
          <w:szCs w:val="28"/>
          <w:vertAlign w:val="subscript"/>
        </w:rPr>
        <w:t>m</w:t>
      </w:r>
      <w:r>
        <w:rPr>
          <w:rFonts w:eastAsiaTheme="minorEastAsia"/>
          <w:color w:val="000000" w:themeColor="text1"/>
          <w:spacing w:val="8"/>
          <w:sz w:val="28"/>
          <w:szCs w:val="28"/>
        </w:rPr>
        <w:t>——平均通量（L/(m</w:t>
      </w:r>
      <w:r>
        <w:rPr>
          <w:rFonts w:eastAsiaTheme="minorEastAsia"/>
          <w:color w:val="000000" w:themeColor="text1"/>
          <w:spacing w:val="8"/>
          <w:sz w:val="28"/>
          <w:szCs w:val="28"/>
          <w:vertAlign w:val="superscript"/>
        </w:rPr>
        <w:t>2</w:t>
      </w:r>
      <w:r>
        <w:rPr>
          <w:rFonts w:eastAsiaTheme="minorEastAsia"/>
          <w:color w:val="000000" w:themeColor="text1"/>
          <w:spacing w:val="8"/>
          <w:sz w:val="28"/>
          <w:szCs w:val="28"/>
        </w:rPr>
        <w:t>·h)）；</w:t>
      </w:r>
    </w:p>
    <w:p>
      <w:pPr>
        <w:wordWrap w:val="0"/>
        <w:snapToGrid w:val="0"/>
        <w:spacing w:line="540" w:lineRule="atLeast"/>
        <w:ind w:firstLine="888" w:firstLineChars="300"/>
        <w:rPr>
          <w:rFonts w:eastAsiaTheme="minorEastAsia"/>
          <w:color w:val="000000" w:themeColor="text1"/>
          <w:spacing w:val="8"/>
          <w:sz w:val="28"/>
          <w:szCs w:val="28"/>
        </w:rPr>
      </w:pPr>
      <w:r>
        <w:rPr>
          <w:rFonts w:eastAsiaTheme="minorEastAsia"/>
          <w:i/>
          <w:color w:val="000000" w:themeColor="text1"/>
          <w:spacing w:val="8"/>
          <w:sz w:val="28"/>
          <w:szCs w:val="28"/>
        </w:rPr>
        <w:t>J</w:t>
      </w:r>
      <w:r>
        <w:rPr>
          <w:rFonts w:eastAsiaTheme="minorEastAsia"/>
          <w:color w:val="000000" w:themeColor="text1"/>
          <w:spacing w:val="8"/>
          <w:sz w:val="28"/>
          <w:szCs w:val="28"/>
          <w:vertAlign w:val="subscript"/>
        </w:rPr>
        <w:t>o</w:t>
      </w:r>
      <w:r>
        <w:rPr>
          <w:rFonts w:eastAsiaTheme="minorEastAsia"/>
          <w:color w:val="000000" w:themeColor="text1"/>
          <w:spacing w:val="8"/>
          <w:sz w:val="28"/>
          <w:szCs w:val="28"/>
        </w:rPr>
        <w:t>——运行通量（L/(m</w:t>
      </w:r>
      <w:r>
        <w:rPr>
          <w:rFonts w:eastAsiaTheme="minorEastAsia"/>
          <w:color w:val="000000" w:themeColor="text1"/>
          <w:spacing w:val="8"/>
          <w:sz w:val="28"/>
          <w:szCs w:val="28"/>
          <w:vertAlign w:val="superscript"/>
        </w:rPr>
        <w:t>2</w:t>
      </w:r>
      <w:r>
        <w:rPr>
          <w:rFonts w:eastAsiaTheme="minorEastAsia"/>
          <w:color w:val="000000" w:themeColor="text1"/>
          <w:spacing w:val="8"/>
          <w:sz w:val="28"/>
          <w:szCs w:val="28"/>
        </w:rPr>
        <w:t>·h)）；</w:t>
      </w:r>
    </w:p>
    <w:p>
      <w:pPr>
        <w:wordWrap w:val="0"/>
        <w:snapToGrid w:val="0"/>
        <w:spacing w:line="540" w:lineRule="atLeast"/>
        <w:ind w:firstLine="888" w:firstLineChars="300"/>
        <w:rPr>
          <w:rFonts w:eastAsiaTheme="minorEastAsia"/>
          <w:color w:val="000000" w:themeColor="text1"/>
          <w:spacing w:val="8"/>
          <w:sz w:val="28"/>
          <w:szCs w:val="28"/>
        </w:rPr>
      </w:pPr>
      <w:r>
        <w:rPr>
          <w:rFonts w:eastAsiaTheme="minorEastAsia"/>
          <w:i/>
          <w:color w:val="000000" w:themeColor="text1"/>
          <w:spacing w:val="8"/>
          <w:sz w:val="28"/>
          <w:szCs w:val="28"/>
        </w:rPr>
        <w:t>t</w:t>
      </w:r>
      <w:r>
        <w:rPr>
          <w:rFonts w:eastAsiaTheme="minorEastAsia"/>
          <w:color w:val="000000" w:themeColor="text1"/>
          <w:spacing w:val="8"/>
          <w:sz w:val="28"/>
          <w:szCs w:val="28"/>
          <w:vertAlign w:val="subscript"/>
        </w:rPr>
        <w:t>o</w:t>
      </w:r>
      <w:r>
        <w:rPr>
          <w:rFonts w:eastAsiaTheme="minorEastAsia"/>
          <w:color w:val="000000" w:themeColor="text1"/>
          <w:spacing w:val="8"/>
          <w:sz w:val="28"/>
          <w:szCs w:val="28"/>
        </w:rPr>
        <w:t>——产水泵运行时间（min）；</w:t>
      </w:r>
    </w:p>
    <w:p>
      <w:pPr>
        <w:wordWrap w:val="0"/>
        <w:snapToGrid w:val="0"/>
        <w:spacing w:line="540" w:lineRule="atLeast"/>
        <w:ind w:firstLine="888" w:firstLineChars="300"/>
        <w:rPr>
          <w:rFonts w:eastAsiaTheme="minorEastAsia"/>
          <w:color w:val="000000" w:themeColor="text1"/>
          <w:spacing w:val="8"/>
          <w:sz w:val="28"/>
          <w:szCs w:val="28"/>
        </w:rPr>
      </w:pPr>
      <w:r>
        <w:rPr>
          <w:rFonts w:eastAsiaTheme="minorEastAsia"/>
          <w:i/>
          <w:color w:val="000000" w:themeColor="text1"/>
          <w:spacing w:val="8"/>
          <w:sz w:val="28"/>
          <w:szCs w:val="28"/>
        </w:rPr>
        <w:t>t</w:t>
      </w:r>
      <w:r>
        <w:rPr>
          <w:rFonts w:eastAsiaTheme="minorEastAsia"/>
          <w:color w:val="000000" w:themeColor="text1"/>
          <w:spacing w:val="8"/>
          <w:sz w:val="28"/>
          <w:szCs w:val="28"/>
          <w:vertAlign w:val="subscript"/>
        </w:rPr>
        <w:t>p</w:t>
      </w:r>
      <w:r>
        <w:rPr>
          <w:rFonts w:eastAsiaTheme="minorEastAsia"/>
          <w:color w:val="000000" w:themeColor="text1"/>
          <w:spacing w:val="8"/>
          <w:sz w:val="28"/>
          <w:szCs w:val="28"/>
        </w:rPr>
        <w:t>——产水泵暂停时间（min）。</w:t>
      </w:r>
    </w:p>
    <w:p>
      <w:pPr>
        <w:pStyle w:val="30"/>
        <w:numPr>
          <w:ilvl w:val="0"/>
          <w:numId w:val="4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布设膜组器时，应留10%～20%的富余膜组器空位作为备用。【条文说明】膜生物反应器长期运行时，膜污染会导致膜的实际通量永久性的降低，为满足污水厂处理规模的要求，应预留10%～20%的富余膜组器空位作为备用。</w:t>
      </w:r>
    </w:p>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51" w:name="_Toc515281061"/>
      <w:r>
        <w:rPr>
          <w:rFonts w:ascii="Times New Roman" w:hAnsi="Times New Roman" w:eastAsiaTheme="minorEastAsia"/>
          <w:b w:val="0"/>
          <w:color w:val="000000" w:themeColor="text1"/>
          <w:sz w:val="28"/>
          <w:szCs w:val="28"/>
        </w:rPr>
        <w:t>回流污泥和剩余污泥</w:t>
      </w:r>
      <w:bookmarkEnd w:id="51"/>
    </w:p>
    <w:p>
      <w:pPr>
        <w:pStyle w:val="30"/>
        <w:numPr>
          <w:ilvl w:val="0"/>
          <w:numId w:val="4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回流污泥设施，宜采用离心泵、混流泵、潜水泵、螺旋泵或空气提升器。当生物处理系统中带有厌氧区（池）、缺氧区（池）时，应选用不易复氧的回流污泥设施。</w:t>
      </w:r>
    </w:p>
    <w:p>
      <w:pPr>
        <w:wordWrap w:val="0"/>
        <w:rPr>
          <w:rFonts w:eastAsiaTheme="minorEastAsia"/>
          <w:color w:val="000000" w:themeColor="text1"/>
          <w:sz w:val="28"/>
          <w:szCs w:val="28"/>
        </w:rPr>
      </w:pPr>
      <w:r>
        <w:rPr>
          <w:rFonts w:eastAsiaTheme="minorEastAsia"/>
          <w:color w:val="000000" w:themeColor="text1"/>
          <w:sz w:val="28"/>
          <w:szCs w:val="28"/>
        </w:rPr>
        <w:t>【条文说明】生物脱氮除磷处理系统中应尽可能减少污泥回流过程中的复氧，使厌氧段和缺氧段的溶解氧值尽可能低，以利于脱氮和除磷。</w:t>
      </w:r>
    </w:p>
    <w:p>
      <w:pPr>
        <w:pStyle w:val="30"/>
        <w:widowControl/>
        <w:numPr>
          <w:ilvl w:val="0"/>
          <w:numId w:val="4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回流污泥设施宜分别按生物处理系统中的最大污泥回流比和最大混合液回流比计算确定。回流污泥设备台数不应少于2台，并应有备用设备，但空气提升器可不设备用。回流污泥设备，宜有调节流量的措施。</w:t>
      </w:r>
    </w:p>
    <w:p>
      <w:pPr>
        <w:pStyle w:val="30"/>
        <w:numPr>
          <w:ilvl w:val="0"/>
          <w:numId w:val="4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剩余污泥量，可按下列公式计算：</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按污泥泥龄计算</w:t>
      </w:r>
    </w:p>
    <w:p>
      <w:pPr>
        <w:widowControl/>
        <w:wordWrap w:val="0"/>
        <w:ind w:firstLine="422" w:firstLineChars="151"/>
        <w:jc w:val="right"/>
        <w:rPr>
          <w:rFonts w:eastAsiaTheme="minorEastAsia"/>
          <w:color w:val="000000" w:themeColor="text1"/>
          <w:sz w:val="28"/>
          <w:szCs w:val="28"/>
        </w:rPr>
      </w:pPr>
      <w:r>
        <w:rPr>
          <w:rFonts w:eastAsiaTheme="minorEastAsia"/>
          <w:color w:val="000000" w:themeColor="text1"/>
          <w:position w:val="-32"/>
          <w:sz w:val="28"/>
          <w:szCs w:val="28"/>
        </w:rPr>
        <w:object>
          <v:shape id="_x0000_i1055" o:spt="75" type="#_x0000_t75" style="height:43.95pt;width:79.5pt;" o:ole="t" fillcolor="#000005 [-4142]" filled="f" o:preferrelative="t" stroked="f" coordsize="21600,21600">
            <v:path/>
            <v:fill on="f" focussize="0,0"/>
            <v:stroke on="f" joinstyle="miter"/>
            <v:imagedata r:id="rId75" o:title=""/>
            <o:lock v:ext="edit" aspectratio="t"/>
            <w10:wrap type="none"/>
            <w10:anchorlock/>
          </v:shape>
          <o:OLEObject Type="Embed" ProgID="Equation.3" ShapeID="_x0000_i1055" DrawAspect="Content" ObjectID="_1468075755" r:id="rId74">
            <o:LockedField>false</o:LockedField>
          </o:OLEObject>
        </w:object>
      </w:r>
      <w:r>
        <w:rPr>
          <w:rFonts w:eastAsiaTheme="minorEastAsia"/>
          <w:color w:val="000000" w:themeColor="text1"/>
          <w:sz w:val="28"/>
          <w:szCs w:val="28"/>
        </w:rPr>
        <w:t xml:space="preserve">                  （7.</w:t>
      </w:r>
      <w:r>
        <w:rPr>
          <w:rFonts w:hint="eastAsia" w:eastAsiaTheme="minorEastAsia"/>
          <w:color w:val="000000" w:themeColor="text1"/>
          <w:sz w:val="28"/>
          <w:szCs w:val="28"/>
        </w:rPr>
        <w:t>7</w:t>
      </w:r>
      <w:r>
        <w:rPr>
          <w:rFonts w:eastAsiaTheme="minorEastAsia"/>
          <w:color w:val="000000" w:themeColor="text1"/>
          <w:sz w:val="28"/>
          <w:szCs w:val="28"/>
        </w:rPr>
        <w:t>.3－1）</w:t>
      </w:r>
    </w:p>
    <w:p>
      <w:pPr>
        <w:widowControl/>
        <w:wordWrap w:val="0"/>
        <w:rPr>
          <w:rFonts w:eastAsiaTheme="minorEastAsia"/>
          <w:color w:val="000000" w:themeColor="text1"/>
          <w:sz w:val="28"/>
          <w:szCs w:val="28"/>
        </w:rPr>
      </w:pPr>
      <w:r>
        <w:rPr>
          <w:rFonts w:eastAsiaTheme="minorEastAsia"/>
          <w:color w:val="000000" w:themeColor="text1"/>
          <w:sz w:val="28"/>
          <w:szCs w:val="28"/>
        </w:rPr>
        <w:t>式中：</w:t>
      </w:r>
      <w:r>
        <w:rPr>
          <w:rFonts w:ascii="Cambria Math" w:hAnsi="Cambria Math" w:cs="Cambria Math" w:eastAsiaTheme="minorEastAsia"/>
          <w:i/>
          <w:color w:val="000000" w:themeColor="text1"/>
          <w:sz w:val="28"/>
          <w:szCs w:val="28"/>
        </w:rPr>
        <w:t>△</w:t>
      </w:r>
      <w:r>
        <w:rPr>
          <w:rFonts w:eastAsiaTheme="minorEastAsia"/>
          <w:i/>
          <w:color w:val="000000" w:themeColor="text1"/>
          <w:sz w:val="28"/>
          <w:szCs w:val="28"/>
        </w:rPr>
        <w:t>X</w:t>
      </w:r>
      <w:r>
        <w:rPr>
          <w:rFonts w:eastAsiaTheme="minorEastAsia"/>
          <w:color w:val="000000" w:themeColor="text1"/>
          <w:sz w:val="28"/>
          <w:szCs w:val="28"/>
        </w:rPr>
        <w:t>——剩余污泥量（kgSS/d）；</w:t>
      </w:r>
    </w:p>
    <w:p>
      <w:pPr>
        <w:widowControl/>
        <w:wordWrap w:val="0"/>
        <w:ind w:firstLine="840" w:firstLineChars="300"/>
        <w:rPr>
          <w:rFonts w:eastAsiaTheme="minorEastAsia"/>
          <w:color w:val="000000" w:themeColor="text1"/>
          <w:sz w:val="28"/>
          <w:szCs w:val="28"/>
        </w:rPr>
      </w:pPr>
      <w:r>
        <w:rPr>
          <w:rFonts w:eastAsiaTheme="minorEastAsia"/>
          <w:i/>
          <w:color w:val="000000" w:themeColor="text1"/>
          <w:sz w:val="28"/>
          <w:szCs w:val="28"/>
        </w:rPr>
        <w:t>V</w:t>
      </w:r>
      <w:r>
        <w:rPr>
          <w:rFonts w:eastAsiaTheme="minorEastAsia"/>
          <w:color w:val="000000" w:themeColor="text1"/>
          <w:sz w:val="28"/>
          <w:szCs w:val="28"/>
        </w:rPr>
        <w:t>——生物反应池的容积（m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X</w:t>
      </w:r>
      <w:r>
        <w:rPr>
          <w:rFonts w:eastAsiaTheme="minorEastAsia"/>
          <w:color w:val="000000" w:themeColor="text1"/>
          <w:sz w:val="28"/>
          <w:szCs w:val="28"/>
        </w:rPr>
        <w:t>——生物反应池内混合液悬浮固体平均浓度（gMLSS/L）；</w:t>
      </w:r>
    </w:p>
    <w:p>
      <w:pPr>
        <w:widowControl/>
        <w:wordWrap w:val="0"/>
        <w:ind w:firstLine="840" w:firstLineChars="300"/>
        <w:rPr>
          <w:rFonts w:eastAsiaTheme="minorEastAsia"/>
          <w:color w:val="000000" w:themeColor="text1"/>
          <w:sz w:val="28"/>
          <w:szCs w:val="28"/>
        </w:rPr>
      </w:pPr>
      <w:r>
        <w:rPr>
          <w:rFonts w:eastAsiaTheme="minorEastAsia"/>
          <w:i/>
          <w:color w:val="000000" w:themeColor="text1"/>
          <w:sz w:val="28"/>
          <w:szCs w:val="28"/>
        </w:rPr>
        <w:t>θ</w:t>
      </w:r>
      <w:r>
        <w:rPr>
          <w:rFonts w:eastAsiaTheme="minorEastAsia"/>
          <w:color w:val="000000" w:themeColor="text1"/>
          <w:sz w:val="28"/>
          <w:szCs w:val="28"/>
          <w:vertAlign w:val="subscript"/>
        </w:rPr>
        <w:t>C</w:t>
      </w:r>
      <w:r>
        <w:rPr>
          <w:rFonts w:eastAsiaTheme="minorEastAsia"/>
          <w:color w:val="000000" w:themeColor="text1"/>
          <w:sz w:val="28"/>
          <w:szCs w:val="28"/>
        </w:rPr>
        <w:t>——污泥泥龄（d）。</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按污泥产率系数、衰减系数及不可生物降解和惰性悬浮物计算</w:t>
      </w:r>
    </w:p>
    <w:p>
      <w:pPr>
        <w:widowControl/>
        <w:wordWrap w:val="0"/>
        <w:jc w:val="right"/>
        <w:rPr>
          <w:rFonts w:eastAsiaTheme="minorEastAsia"/>
          <w:color w:val="000000" w:themeColor="text1"/>
          <w:sz w:val="28"/>
          <w:szCs w:val="28"/>
        </w:rPr>
      </w:pPr>
      <w:r>
        <w:rPr>
          <w:rFonts w:ascii="Cambria Math" w:hAnsi="Cambria Math" w:cs="Cambria Math" w:eastAsiaTheme="minorEastAsia"/>
          <w:i/>
          <w:color w:val="000000" w:themeColor="text1"/>
          <w:sz w:val="28"/>
          <w:szCs w:val="28"/>
        </w:rPr>
        <w:t>△</w:t>
      </w:r>
      <w:r>
        <w:rPr>
          <w:rFonts w:eastAsiaTheme="minorEastAsia"/>
          <w:i/>
          <w:color w:val="000000" w:themeColor="text1"/>
          <w:sz w:val="28"/>
          <w:szCs w:val="28"/>
        </w:rPr>
        <w:t>X</w:t>
      </w:r>
      <w:r>
        <w:rPr>
          <w:rFonts w:eastAsiaTheme="minorEastAsia"/>
          <w:color w:val="000000" w:themeColor="text1"/>
          <w:sz w:val="28"/>
          <w:szCs w:val="28"/>
        </w:rPr>
        <w:t>＝</w:t>
      </w:r>
      <w:r>
        <w:rPr>
          <w:rFonts w:eastAsiaTheme="minorEastAsia"/>
          <w:i/>
          <w:color w:val="000000" w:themeColor="text1"/>
          <w:sz w:val="28"/>
          <w:szCs w:val="28"/>
        </w:rPr>
        <w:t>YQ</w:t>
      </w:r>
      <w:r>
        <w:rPr>
          <w:rFonts w:eastAsiaTheme="minorEastAsia"/>
          <w:color w:val="000000" w:themeColor="text1"/>
          <w:sz w:val="28"/>
          <w:szCs w:val="28"/>
        </w:rPr>
        <w:t>（</w:t>
      </w:r>
      <w:r>
        <w:rPr>
          <w:rFonts w:eastAsiaTheme="minorEastAsia"/>
          <w:i/>
          <w:color w:val="000000" w:themeColor="text1"/>
          <w:sz w:val="28"/>
          <w:szCs w:val="28"/>
        </w:rPr>
        <w:t>S</w:t>
      </w:r>
      <w:r>
        <w:rPr>
          <w:rFonts w:eastAsiaTheme="minorEastAsia"/>
          <w:color w:val="000000" w:themeColor="text1"/>
          <w:sz w:val="28"/>
          <w:szCs w:val="28"/>
          <w:vertAlign w:val="subscript"/>
        </w:rPr>
        <w:t>o</w:t>
      </w:r>
      <w:r>
        <w:rPr>
          <w:rFonts w:eastAsiaTheme="minorEastAsia"/>
          <w:color w:val="000000" w:themeColor="text1"/>
          <w:sz w:val="28"/>
          <w:szCs w:val="28"/>
        </w:rPr>
        <w:t>－</w:t>
      </w:r>
      <w:r>
        <w:rPr>
          <w:rFonts w:eastAsiaTheme="minorEastAsia"/>
          <w:i/>
          <w:color w:val="000000" w:themeColor="text1"/>
          <w:sz w:val="28"/>
          <w:szCs w:val="28"/>
        </w:rPr>
        <w:t>S</w:t>
      </w:r>
      <w:r>
        <w:rPr>
          <w:rFonts w:eastAsiaTheme="minorEastAsia"/>
          <w:color w:val="000000" w:themeColor="text1"/>
          <w:sz w:val="28"/>
          <w:szCs w:val="28"/>
          <w:vertAlign w:val="subscript"/>
        </w:rPr>
        <w:t>e</w:t>
      </w:r>
      <w:r>
        <w:rPr>
          <w:rFonts w:eastAsiaTheme="minorEastAsia"/>
          <w:color w:val="000000" w:themeColor="text1"/>
          <w:sz w:val="28"/>
          <w:szCs w:val="28"/>
        </w:rPr>
        <w:t>）－</w:t>
      </w:r>
      <w:r>
        <w:rPr>
          <w:rFonts w:eastAsiaTheme="minorEastAsia"/>
          <w:i/>
          <w:color w:val="000000" w:themeColor="text1"/>
          <w:sz w:val="28"/>
          <w:szCs w:val="28"/>
        </w:rPr>
        <w:t>K</w:t>
      </w:r>
      <w:r>
        <w:rPr>
          <w:rFonts w:eastAsiaTheme="minorEastAsia"/>
          <w:color w:val="000000" w:themeColor="text1"/>
          <w:sz w:val="28"/>
          <w:szCs w:val="28"/>
          <w:vertAlign w:val="subscript"/>
        </w:rPr>
        <w:t>d</w:t>
      </w:r>
      <w:r>
        <w:rPr>
          <w:rFonts w:eastAsiaTheme="minorEastAsia"/>
          <w:i/>
          <w:color w:val="000000" w:themeColor="text1"/>
          <w:sz w:val="28"/>
          <w:szCs w:val="28"/>
        </w:rPr>
        <w:t>VX</w:t>
      </w:r>
      <w:r>
        <w:rPr>
          <w:rFonts w:eastAsiaTheme="minorEastAsia"/>
          <w:color w:val="000000" w:themeColor="text1"/>
          <w:sz w:val="28"/>
          <w:szCs w:val="28"/>
          <w:vertAlign w:val="subscript"/>
        </w:rPr>
        <w:t>V</w:t>
      </w:r>
      <w:r>
        <w:rPr>
          <w:rFonts w:eastAsiaTheme="minorEastAsia"/>
          <w:color w:val="000000" w:themeColor="text1"/>
          <w:sz w:val="28"/>
          <w:szCs w:val="28"/>
        </w:rPr>
        <w:t>＋</w:t>
      </w:r>
      <w:r>
        <w:rPr>
          <w:rFonts w:eastAsiaTheme="minorEastAsia"/>
          <w:i/>
          <w:color w:val="000000" w:themeColor="text1"/>
          <w:sz w:val="28"/>
          <w:szCs w:val="28"/>
        </w:rPr>
        <w:t>fQ</w:t>
      </w:r>
      <w:r>
        <w:rPr>
          <w:rFonts w:eastAsiaTheme="minorEastAsia"/>
          <w:color w:val="000000" w:themeColor="text1"/>
          <w:sz w:val="28"/>
          <w:szCs w:val="28"/>
        </w:rPr>
        <w:t>（</w:t>
      </w:r>
      <w:r>
        <w:rPr>
          <w:rFonts w:eastAsiaTheme="minorEastAsia"/>
          <w:i/>
          <w:color w:val="000000" w:themeColor="text1"/>
          <w:sz w:val="28"/>
          <w:szCs w:val="28"/>
        </w:rPr>
        <w:t>SS</w:t>
      </w:r>
      <w:r>
        <w:rPr>
          <w:rFonts w:eastAsiaTheme="minorEastAsia"/>
          <w:color w:val="000000" w:themeColor="text1"/>
          <w:sz w:val="28"/>
          <w:szCs w:val="28"/>
          <w:vertAlign w:val="subscript"/>
        </w:rPr>
        <w:t>o</w:t>
      </w:r>
      <w:r>
        <w:rPr>
          <w:rFonts w:eastAsiaTheme="minorEastAsia"/>
          <w:color w:val="000000" w:themeColor="text1"/>
          <w:sz w:val="28"/>
          <w:szCs w:val="28"/>
        </w:rPr>
        <w:t>－</w:t>
      </w:r>
      <w:r>
        <w:rPr>
          <w:rFonts w:eastAsiaTheme="minorEastAsia"/>
          <w:i/>
          <w:color w:val="000000" w:themeColor="text1"/>
          <w:sz w:val="28"/>
          <w:szCs w:val="28"/>
        </w:rPr>
        <w:t>SS</w:t>
      </w:r>
      <w:r>
        <w:rPr>
          <w:rFonts w:eastAsiaTheme="minorEastAsia"/>
          <w:color w:val="000000" w:themeColor="text1"/>
          <w:sz w:val="28"/>
          <w:szCs w:val="28"/>
          <w:vertAlign w:val="subscript"/>
        </w:rPr>
        <w:t>e</w:t>
      </w:r>
      <w:r>
        <w:rPr>
          <w:rFonts w:eastAsiaTheme="minorEastAsia"/>
          <w:color w:val="000000" w:themeColor="text1"/>
          <w:sz w:val="28"/>
          <w:szCs w:val="28"/>
        </w:rPr>
        <w:t>）   （7.</w:t>
      </w:r>
      <w:r>
        <w:rPr>
          <w:rFonts w:hint="eastAsia" w:eastAsiaTheme="minorEastAsia"/>
          <w:color w:val="000000" w:themeColor="text1"/>
          <w:sz w:val="28"/>
          <w:szCs w:val="28"/>
        </w:rPr>
        <w:t>7</w:t>
      </w:r>
      <w:r>
        <w:rPr>
          <w:rFonts w:eastAsiaTheme="minorEastAsia"/>
          <w:color w:val="000000" w:themeColor="text1"/>
          <w:sz w:val="28"/>
          <w:szCs w:val="28"/>
        </w:rPr>
        <w:t>.3－2）</w:t>
      </w:r>
    </w:p>
    <w:p>
      <w:pPr>
        <w:widowControl/>
        <w:wordWrap w:val="0"/>
        <w:rPr>
          <w:rFonts w:eastAsiaTheme="minorEastAsia"/>
          <w:color w:val="000000" w:themeColor="text1"/>
          <w:sz w:val="28"/>
          <w:szCs w:val="28"/>
        </w:rPr>
      </w:pPr>
      <w:r>
        <w:rPr>
          <w:rFonts w:eastAsiaTheme="minorEastAsia"/>
          <w:color w:val="000000" w:themeColor="text1"/>
          <w:sz w:val="28"/>
          <w:szCs w:val="28"/>
        </w:rPr>
        <w:t>式中：</w:t>
      </w:r>
      <w:r>
        <w:rPr>
          <w:rFonts w:ascii="Cambria Math" w:hAnsi="Cambria Math" w:cs="Cambria Math" w:eastAsiaTheme="minorEastAsia"/>
          <w:i/>
          <w:color w:val="000000" w:themeColor="text1"/>
          <w:sz w:val="28"/>
          <w:szCs w:val="28"/>
        </w:rPr>
        <w:t>△</w:t>
      </w:r>
      <w:r>
        <w:rPr>
          <w:rFonts w:eastAsiaTheme="minorEastAsia"/>
          <w:i/>
          <w:color w:val="000000" w:themeColor="text1"/>
          <w:sz w:val="28"/>
          <w:szCs w:val="28"/>
        </w:rPr>
        <w:t>X</w:t>
      </w:r>
      <w:r>
        <w:rPr>
          <w:rFonts w:eastAsiaTheme="minorEastAsia"/>
          <w:color w:val="000000" w:themeColor="text1"/>
          <w:sz w:val="28"/>
          <w:szCs w:val="28"/>
        </w:rPr>
        <w:t>——剩余污泥量（kgSS/d）；</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X</w:t>
      </w:r>
      <w:r>
        <w:rPr>
          <w:rFonts w:eastAsiaTheme="minorEastAsia"/>
          <w:color w:val="000000" w:themeColor="text1"/>
          <w:sz w:val="28"/>
          <w:szCs w:val="28"/>
        </w:rPr>
        <w:t>——生物反应池内混合液悬浮固体平均浓度（gMLSS/L）；</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θ</w:t>
      </w:r>
      <w:r>
        <w:rPr>
          <w:rFonts w:eastAsiaTheme="minorEastAsia"/>
          <w:color w:val="000000" w:themeColor="text1"/>
          <w:sz w:val="28"/>
          <w:szCs w:val="28"/>
          <w:vertAlign w:val="subscript"/>
        </w:rPr>
        <w:t>C</w:t>
      </w:r>
      <w:r>
        <w:rPr>
          <w:rFonts w:eastAsiaTheme="minorEastAsia"/>
          <w:color w:val="000000" w:themeColor="text1"/>
          <w:sz w:val="28"/>
          <w:szCs w:val="28"/>
        </w:rPr>
        <w:t>——污泥泥龄（d）；</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Y</w:t>
      </w:r>
      <w:r>
        <w:rPr>
          <w:rFonts w:eastAsiaTheme="minorEastAsia"/>
          <w:color w:val="000000" w:themeColor="text1"/>
          <w:sz w:val="28"/>
          <w:szCs w:val="28"/>
        </w:rPr>
        <w:t>——污泥产率系数（kgVSS/kgBOD</w:t>
      </w:r>
      <w:r>
        <w:rPr>
          <w:rFonts w:eastAsiaTheme="minorEastAsia"/>
          <w:color w:val="000000" w:themeColor="text1"/>
          <w:sz w:val="28"/>
          <w:szCs w:val="28"/>
          <w:vertAlign w:val="subscript"/>
        </w:rPr>
        <w:t>5</w:t>
      </w:r>
      <w:r>
        <w:rPr>
          <w:rFonts w:eastAsiaTheme="minorEastAsia"/>
          <w:color w:val="000000" w:themeColor="text1"/>
          <w:sz w:val="28"/>
          <w:szCs w:val="28"/>
        </w:rPr>
        <w:t>）20</w:t>
      </w:r>
      <w:r>
        <w:rPr>
          <w:rFonts w:eastAsia="宋体"/>
          <w:color w:val="000000" w:themeColor="text1"/>
          <w:sz w:val="28"/>
          <w:szCs w:val="28"/>
        </w:rPr>
        <w:t>°C</w:t>
      </w:r>
      <w:r>
        <w:rPr>
          <w:rFonts w:eastAsiaTheme="minorEastAsia"/>
          <w:color w:val="000000" w:themeColor="text1"/>
          <w:sz w:val="28"/>
          <w:szCs w:val="28"/>
        </w:rPr>
        <w:t>时</w:t>
      </w:r>
      <w:r>
        <w:rPr>
          <w:rFonts w:hint="eastAsia" w:eastAsiaTheme="minorEastAsia"/>
          <w:color w:val="000000" w:themeColor="text1"/>
          <w:sz w:val="28"/>
          <w:szCs w:val="28"/>
        </w:rPr>
        <w:t>宜</w:t>
      </w:r>
      <w:r>
        <w:rPr>
          <w:rFonts w:eastAsiaTheme="minorEastAsia"/>
          <w:color w:val="000000" w:themeColor="text1"/>
          <w:sz w:val="28"/>
          <w:szCs w:val="28"/>
        </w:rPr>
        <w:t>为0.3～0.8；</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——设计平均日污水量（m</w:t>
      </w:r>
      <w:r>
        <w:rPr>
          <w:rFonts w:eastAsiaTheme="minorEastAsia"/>
          <w:color w:val="000000" w:themeColor="text1"/>
          <w:sz w:val="28"/>
          <w:szCs w:val="28"/>
          <w:vertAlign w:val="superscript"/>
        </w:rPr>
        <w:t>3</w:t>
      </w:r>
      <w:r>
        <w:rPr>
          <w:rFonts w:eastAsiaTheme="minorEastAsia"/>
          <w:color w:val="000000" w:themeColor="text1"/>
          <w:sz w:val="28"/>
          <w:szCs w:val="28"/>
        </w:rPr>
        <w:t>/d）；</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o</w:t>
      </w:r>
      <w:r>
        <w:rPr>
          <w:rFonts w:eastAsiaTheme="minorEastAsia"/>
          <w:color w:val="000000" w:themeColor="text1"/>
          <w:sz w:val="28"/>
          <w:szCs w:val="28"/>
        </w:rPr>
        <w:t>——生物反应池进水五日生化需氧量（kg/m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e</w:t>
      </w:r>
      <w:r>
        <w:rPr>
          <w:rFonts w:eastAsiaTheme="minorEastAsia"/>
          <w:color w:val="000000" w:themeColor="text1"/>
          <w:sz w:val="28"/>
          <w:szCs w:val="28"/>
        </w:rPr>
        <w:t>——生物反应池出水五日生化需氧量（kg/m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k</w:t>
      </w:r>
      <w:r>
        <w:rPr>
          <w:rFonts w:eastAsiaTheme="minorEastAsia"/>
          <w:color w:val="000000" w:themeColor="text1"/>
          <w:sz w:val="28"/>
          <w:szCs w:val="28"/>
          <w:vertAlign w:val="subscript"/>
        </w:rPr>
        <w:t>d</w:t>
      </w:r>
      <w:r>
        <w:rPr>
          <w:rFonts w:eastAsiaTheme="minorEastAsia"/>
          <w:color w:val="000000" w:themeColor="text1"/>
          <w:sz w:val="28"/>
          <w:szCs w:val="28"/>
        </w:rPr>
        <w:t>——衰减系数（d</w:t>
      </w:r>
      <w:r>
        <w:rPr>
          <w:rFonts w:eastAsiaTheme="minorEastAsia"/>
          <w:color w:val="000000" w:themeColor="text1"/>
          <w:sz w:val="28"/>
          <w:szCs w:val="28"/>
          <w:vertAlign w:val="superscript"/>
        </w:rPr>
        <w:t>-1</w:t>
      </w:r>
      <w:r>
        <w:rPr>
          <w:rFonts w:eastAsiaTheme="minorEastAsia"/>
          <w:color w:val="000000" w:themeColor="text1"/>
          <w:sz w:val="28"/>
          <w:szCs w:val="28"/>
        </w:rPr>
        <w:t>）；</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V</w:t>
      </w:r>
      <w:r>
        <w:rPr>
          <w:rFonts w:eastAsiaTheme="minorEastAsia"/>
          <w:color w:val="000000" w:themeColor="text1"/>
          <w:sz w:val="28"/>
          <w:szCs w:val="28"/>
        </w:rPr>
        <w:t>——生物反应池的容积（m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idowControl/>
        <w:wordWrap w:val="0"/>
        <w:ind w:left="1546" w:leftChars="403" w:hanging="700" w:hangingChars="250"/>
        <w:rPr>
          <w:rFonts w:eastAsiaTheme="minorEastAsia"/>
          <w:color w:val="000000" w:themeColor="text1"/>
          <w:sz w:val="28"/>
          <w:szCs w:val="28"/>
        </w:rPr>
      </w:pPr>
      <w:r>
        <w:rPr>
          <w:rFonts w:eastAsiaTheme="minorEastAsia"/>
          <w:i/>
          <w:color w:val="000000" w:themeColor="text1"/>
          <w:sz w:val="28"/>
          <w:szCs w:val="28"/>
        </w:rPr>
        <w:t>X</w:t>
      </w:r>
      <w:r>
        <w:rPr>
          <w:rFonts w:eastAsiaTheme="minorEastAsia"/>
          <w:color w:val="000000" w:themeColor="text1"/>
          <w:sz w:val="28"/>
          <w:szCs w:val="28"/>
          <w:vertAlign w:val="subscript"/>
        </w:rPr>
        <w:t>V</w:t>
      </w:r>
      <w:r>
        <w:rPr>
          <w:rFonts w:eastAsiaTheme="minorEastAsia"/>
          <w:color w:val="000000" w:themeColor="text1"/>
          <w:sz w:val="28"/>
          <w:szCs w:val="28"/>
        </w:rPr>
        <w:t>——生物反应池内混合液挥发性悬浮固体平均浓度（gMLVSS/L）；</w:t>
      </w:r>
    </w:p>
    <w:p>
      <w:pPr>
        <w:widowControl/>
        <w:wordWrap w:val="0"/>
        <w:ind w:left="1406" w:leftChars="403" w:hanging="560" w:hangingChars="200"/>
        <w:rPr>
          <w:rFonts w:eastAsiaTheme="minorEastAsia"/>
          <w:color w:val="000000" w:themeColor="text1"/>
          <w:sz w:val="28"/>
          <w:szCs w:val="28"/>
        </w:rPr>
      </w:pPr>
      <w:r>
        <w:rPr>
          <w:rFonts w:eastAsiaTheme="minorEastAsia"/>
          <w:i/>
          <w:color w:val="000000" w:themeColor="text1"/>
          <w:sz w:val="28"/>
          <w:szCs w:val="28"/>
        </w:rPr>
        <w:t>f</w:t>
      </w:r>
      <w:r>
        <w:rPr>
          <w:rFonts w:eastAsiaTheme="minorEastAsia"/>
          <w:color w:val="000000" w:themeColor="text1"/>
          <w:sz w:val="28"/>
          <w:szCs w:val="28"/>
        </w:rPr>
        <w:t>——</w:t>
      </w:r>
      <w:r>
        <w:rPr>
          <w:rFonts w:eastAsiaTheme="minorEastAsia"/>
          <w:i/>
          <w:color w:val="000000" w:themeColor="text1"/>
          <w:sz w:val="28"/>
          <w:szCs w:val="28"/>
        </w:rPr>
        <w:t>SS</w:t>
      </w:r>
      <w:r>
        <w:rPr>
          <w:rFonts w:eastAsiaTheme="minorEastAsia"/>
          <w:color w:val="000000" w:themeColor="text1"/>
          <w:sz w:val="28"/>
          <w:szCs w:val="28"/>
        </w:rPr>
        <w:t>的污泥转换率，宜根据试验资料确定，无试验资料时可取0.5～0.7（gMLSS/gSS）；</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SS</w:t>
      </w:r>
      <w:r>
        <w:rPr>
          <w:rFonts w:eastAsiaTheme="minorEastAsia"/>
          <w:color w:val="000000" w:themeColor="text1"/>
          <w:sz w:val="28"/>
          <w:szCs w:val="28"/>
          <w:vertAlign w:val="subscript"/>
        </w:rPr>
        <w:t>o</w:t>
      </w:r>
      <w:r>
        <w:rPr>
          <w:rFonts w:eastAsiaTheme="minorEastAsia"/>
          <w:color w:val="000000" w:themeColor="text1"/>
          <w:sz w:val="28"/>
          <w:szCs w:val="28"/>
        </w:rPr>
        <w:t>——生物反应池进水悬浮物浓度（kg/m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SS</w:t>
      </w:r>
      <w:r>
        <w:rPr>
          <w:rFonts w:eastAsiaTheme="minorEastAsia"/>
          <w:color w:val="000000" w:themeColor="text1"/>
          <w:sz w:val="28"/>
          <w:szCs w:val="28"/>
          <w:vertAlign w:val="subscript"/>
        </w:rPr>
        <w:t>e</w:t>
      </w:r>
      <w:r>
        <w:rPr>
          <w:rFonts w:eastAsiaTheme="minorEastAsia"/>
          <w:color w:val="000000" w:themeColor="text1"/>
          <w:sz w:val="28"/>
          <w:szCs w:val="28"/>
        </w:rPr>
        <w:t>——生物反应池出水悬浮物浓度（kg/m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ordWrap w:val="0"/>
        <w:rPr>
          <w:rFonts w:eastAsiaTheme="minorEastAsia"/>
          <w:color w:val="000000" w:themeColor="text1"/>
          <w:sz w:val="28"/>
          <w:szCs w:val="28"/>
        </w:rPr>
      </w:pPr>
      <w:r>
        <w:rPr>
          <w:rFonts w:eastAsiaTheme="minorEastAsia"/>
          <w:color w:val="000000" w:themeColor="text1"/>
          <w:sz w:val="28"/>
          <w:szCs w:val="28"/>
        </w:rPr>
        <w:t>【条文说明】式(7.</w:t>
      </w:r>
      <w:r>
        <w:rPr>
          <w:rFonts w:hint="eastAsia" w:eastAsiaTheme="minorEastAsia"/>
          <w:color w:val="000000" w:themeColor="text1"/>
          <w:sz w:val="28"/>
          <w:szCs w:val="28"/>
        </w:rPr>
        <w:t>7</w:t>
      </w:r>
      <w:r>
        <w:rPr>
          <w:rFonts w:eastAsiaTheme="minorEastAsia"/>
          <w:color w:val="000000" w:themeColor="text1"/>
          <w:sz w:val="28"/>
          <w:szCs w:val="28"/>
        </w:rPr>
        <w:t>.3-1)中，剩余污泥量与泥龄成反比关系。</w:t>
      </w:r>
    </w:p>
    <w:p>
      <w:pPr>
        <w:wordWrap w:val="0"/>
        <w:rPr>
          <w:rFonts w:eastAsiaTheme="minorEastAsia"/>
          <w:color w:val="000000" w:themeColor="text1"/>
          <w:sz w:val="28"/>
          <w:szCs w:val="28"/>
        </w:rPr>
      </w:pPr>
      <w:r>
        <w:rPr>
          <w:rFonts w:eastAsiaTheme="minorEastAsia"/>
          <w:color w:val="000000" w:themeColor="text1"/>
          <w:sz w:val="28"/>
          <w:szCs w:val="28"/>
        </w:rPr>
        <w:t xml:space="preserve">    式(7.</w:t>
      </w:r>
      <w:r>
        <w:rPr>
          <w:rFonts w:hint="eastAsia" w:eastAsiaTheme="minorEastAsia"/>
          <w:color w:val="000000" w:themeColor="text1"/>
          <w:sz w:val="28"/>
          <w:szCs w:val="28"/>
        </w:rPr>
        <w:t>7</w:t>
      </w:r>
      <w:r>
        <w:rPr>
          <w:rFonts w:eastAsiaTheme="minorEastAsia"/>
          <w:color w:val="000000" w:themeColor="text1"/>
          <w:sz w:val="28"/>
          <w:szCs w:val="28"/>
        </w:rPr>
        <w:t>.3-2)中的</w:t>
      </w:r>
      <w:r>
        <w:rPr>
          <w:rFonts w:eastAsiaTheme="minorEastAsia"/>
          <w:i/>
          <w:color w:val="000000" w:themeColor="text1"/>
          <w:sz w:val="28"/>
          <w:szCs w:val="28"/>
        </w:rPr>
        <w:t>y</w:t>
      </w:r>
      <w:r>
        <w:rPr>
          <w:rFonts w:eastAsiaTheme="minorEastAsia"/>
          <w:color w:val="000000" w:themeColor="text1"/>
          <w:sz w:val="28"/>
          <w:szCs w:val="28"/>
        </w:rPr>
        <w:t>值为污泥产率系数。理论上污泥产率系数是指单位五日生化需氧量降解后产生的微生物量。</w:t>
      </w:r>
    </w:p>
    <w:p>
      <w:pPr>
        <w:wordWrap w:val="0"/>
        <w:rPr>
          <w:rFonts w:eastAsiaTheme="minorEastAsia"/>
          <w:color w:val="000000" w:themeColor="text1"/>
          <w:sz w:val="28"/>
          <w:szCs w:val="28"/>
        </w:rPr>
      </w:pPr>
      <w:r>
        <w:rPr>
          <w:rFonts w:eastAsiaTheme="minorEastAsia"/>
          <w:color w:val="000000" w:themeColor="text1"/>
          <w:sz w:val="28"/>
          <w:szCs w:val="28"/>
        </w:rPr>
        <w:t xml:space="preserve">    由于微生物在内源呼吸时要自我分解一部分，其值随内源衰减系数（泥龄、温度等因素的函数）和泥龄变化而变化，不是一个常数。</w:t>
      </w:r>
    </w:p>
    <w:p>
      <w:pPr>
        <w:wordWrap w:val="0"/>
        <w:rPr>
          <w:rFonts w:eastAsiaTheme="minorEastAsia"/>
          <w:color w:val="000000" w:themeColor="text1"/>
          <w:sz w:val="28"/>
          <w:szCs w:val="28"/>
        </w:rPr>
      </w:pPr>
      <w:r>
        <w:rPr>
          <w:rFonts w:eastAsiaTheme="minorEastAsia"/>
          <w:color w:val="000000" w:themeColor="text1"/>
          <w:sz w:val="28"/>
          <w:szCs w:val="28"/>
        </w:rPr>
        <w:t xml:space="preserve">    污泥产率系数</w:t>
      </w:r>
      <w:r>
        <w:rPr>
          <w:rFonts w:eastAsiaTheme="minorEastAsia"/>
          <w:i/>
          <w:color w:val="000000" w:themeColor="text1"/>
          <w:sz w:val="28"/>
          <w:szCs w:val="28"/>
        </w:rPr>
        <w:t>Y</w:t>
      </w:r>
      <w:r>
        <w:rPr>
          <w:rFonts w:eastAsiaTheme="minorEastAsia"/>
          <w:color w:val="000000" w:themeColor="text1"/>
          <w:sz w:val="28"/>
          <w:szCs w:val="28"/>
        </w:rPr>
        <w:t>，采用活性污泥法去除碳源污染物时为0.4～0.8；采用A</w:t>
      </w:r>
      <w:r>
        <w:rPr>
          <w:rFonts w:eastAsiaTheme="minorEastAsia"/>
          <w:color w:val="000000" w:themeColor="text1"/>
          <w:sz w:val="28"/>
          <w:szCs w:val="28"/>
          <w:vertAlign w:val="subscript"/>
        </w:rPr>
        <w:t>N</w:t>
      </w:r>
      <w:r>
        <w:rPr>
          <w:rFonts w:eastAsiaTheme="minorEastAsia"/>
          <w:color w:val="000000" w:themeColor="text1"/>
          <w:sz w:val="28"/>
          <w:szCs w:val="28"/>
        </w:rPr>
        <w:t>O法时为0.3～0.6；采用A</w:t>
      </w:r>
      <w:r>
        <w:rPr>
          <w:rFonts w:eastAsiaTheme="minorEastAsia"/>
          <w:color w:val="000000" w:themeColor="text1"/>
          <w:sz w:val="28"/>
          <w:szCs w:val="28"/>
          <w:vertAlign w:val="subscript"/>
        </w:rPr>
        <w:t>P</w:t>
      </w:r>
      <w:r>
        <w:rPr>
          <w:rFonts w:eastAsiaTheme="minorEastAsia"/>
          <w:color w:val="000000" w:themeColor="text1"/>
          <w:sz w:val="28"/>
          <w:szCs w:val="28"/>
        </w:rPr>
        <w:t>O法时为0.4～0.8；采用AAO法时为0.3～0.6，范围为0.3～0.8。</w:t>
      </w:r>
    </w:p>
    <w:p>
      <w:pPr>
        <w:jc w:val="center"/>
        <w:rPr>
          <w:rFonts w:eastAsiaTheme="minorEastAsia"/>
          <w:color w:val="000000" w:themeColor="text1"/>
          <w:sz w:val="28"/>
          <w:szCs w:val="28"/>
        </w:rPr>
      </w:pPr>
      <w:r>
        <w:rPr>
          <w:rFonts w:eastAsiaTheme="minorEastAsia"/>
          <w:color w:val="000000" w:themeColor="text1"/>
          <w:sz w:val="28"/>
          <w:szCs w:val="28"/>
        </w:rPr>
        <w:t xml:space="preserve">    由于原污水中有相当量的惰性悬浮固体，它们性质不变地沉积到污泥中，在许多不设初次沉淀池的处理工艺中其值更甚。计算剩余污泥量必须考虑原水中惰性悬浮固体的含量，否则计算所得的剩余污泥量往往偏小。由于水质差异很大，因此悬浮固体的污泥转换率相差也很大。德国废水工程协会(ATV)推荐取0.6。日本指南推荐取0.9～1.0。</w:t>
      </w:r>
    </w:p>
    <w:p>
      <w:pPr>
        <w:wordWrap w:val="0"/>
        <w:rPr>
          <w:rFonts w:eastAsiaTheme="minorEastAsia"/>
          <w:color w:val="000000" w:themeColor="text1"/>
          <w:sz w:val="28"/>
          <w:szCs w:val="28"/>
        </w:rPr>
      </w:pPr>
      <w:r>
        <w:rPr>
          <w:rFonts w:eastAsiaTheme="minorEastAsia"/>
          <w:color w:val="000000" w:themeColor="text1"/>
          <w:sz w:val="28"/>
          <w:szCs w:val="28"/>
        </w:rPr>
        <w:t xml:space="preserve">    悬浮固体的污泥转换率，有条件时可根据试验确定，或参照相似水质污水厂的实测数据。当无试验条件时可取0.5gMLSS/gSS～0.7gMLSS/gSS。</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活性污泥中，自养菌所占比例极小，故可忽略不计。出水中的悬浮物没有单独计入。若出水的悬浮物含量过高时，可自行斟酌计入。</w:t>
      </w:r>
    </w:p>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52" w:name="_Toc515281062"/>
      <w:r>
        <w:rPr>
          <w:rFonts w:ascii="Times New Roman" w:hAnsi="Times New Roman" w:eastAsiaTheme="minorEastAsia"/>
          <w:b w:val="0"/>
          <w:color w:val="000000" w:themeColor="text1"/>
          <w:sz w:val="28"/>
          <w:szCs w:val="28"/>
        </w:rPr>
        <w:t>生物膜法</w:t>
      </w:r>
      <w:bookmarkEnd w:id="52"/>
    </w:p>
    <w:p>
      <w:pPr>
        <w:widowControl/>
        <w:wordWrap w:val="0"/>
        <w:jc w:val="center"/>
        <w:rPr>
          <w:rFonts w:eastAsiaTheme="minorEastAsia"/>
          <w:color w:val="000000" w:themeColor="text1"/>
          <w:sz w:val="28"/>
          <w:szCs w:val="28"/>
        </w:rPr>
      </w:pPr>
      <w:r>
        <w:rPr>
          <w:rFonts w:eastAsiaTheme="minorEastAsia"/>
          <w:color w:val="000000" w:themeColor="text1"/>
          <w:sz w:val="28"/>
          <w:szCs w:val="28"/>
        </w:rPr>
        <w:t>I  一般规定</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生物膜法处理污水可单独应用，也可与其他污水处理工艺组合应用。</w:t>
      </w:r>
    </w:p>
    <w:p>
      <w:pPr>
        <w:wordWrap w:val="0"/>
        <w:rPr>
          <w:rFonts w:eastAsiaTheme="minorEastAsia"/>
          <w:color w:val="000000" w:themeColor="text1"/>
          <w:sz w:val="28"/>
          <w:szCs w:val="28"/>
        </w:rPr>
      </w:pPr>
      <w:r>
        <w:rPr>
          <w:rFonts w:eastAsiaTheme="minorEastAsia"/>
          <w:color w:val="000000" w:themeColor="text1"/>
          <w:sz w:val="28"/>
          <w:szCs w:val="28"/>
        </w:rPr>
        <w:t>【条文说明】生物膜法在污水二级处理中可以适应高浓度或低浓度污水，可以单独应用，也可以与其他生物处理工艺组合应用，如上海某污水厂采用厌氧生物反应池、生物接触氧化池和生物滤池组合工艺处理污水。</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污水进行生物膜法处理前，宜进行预处理。当进水水质或水量波动大时，应设调节池。</w:t>
      </w:r>
    </w:p>
    <w:p>
      <w:pPr>
        <w:wordWrap w:val="0"/>
        <w:rPr>
          <w:rFonts w:eastAsiaTheme="minorEastAsia"/>
          <w:color w:val="000000" w:themeColor="text1"/>
          <w:sz w:val="28"/>
          <w:szCs w:val="28"/>
        </w:rPr>
      </w:pPr>
      <w:r>
        <w:rPr>
          <w:rFonts w:eastAsiaTheme="minorEastAsia"/>
          <w:color w:val="000000" w:themeColor="text1"/>
          <w:sz w:val="28"/>
          <w:szCs w:val="28"/>
        </w:rPr>
        <w:t>【条文说明】国内外资料表明，污水进入生物膜处理构筑物前，进行沉淀等预处理，可以尽量减少进水的悬浮物质，从而防止填料堵塞，保证处理构筑物的正常运行。当进水水质或水量波动大时，应设调节池，停留时间根据一天中水量或水质波动情况确定。</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生物膜法的处理构筑物应根据当地气温和环境等条件，采取防冻、防臭和灭蝇等措施。</w:t>
      </w:r>
    </w:p>
    <w:p>
      <w:pPr>
        <w:wordWrap w:val="0"/>
        <w:rPr>
          <w:rFonts w:eastAsiaTheme="minorEastAsia"/>
          <w:color w:val="000000" w:themeColor="text1"/>
          <w:sz w:val="28"/>
          <w:szCs w:val="28"/>
        </w:rPr>
      </w:pPr>
      <w:r>
        <w:rPr>
          <w:rFonts w:eastAsiaTheme="minorEastAsia"/>
          <w:color w:val="000000" w:themeColor="text1"/>
          <w:sz w:val="28"/>
          <w:szCs w:val="28"/>
        </w:rPr>
        <w:t>【条文说明】在冬季较寒冷的地区应采取防冻措施，如将生物转盘设在室内。</w:t>
      </w:r>
    </w:p>
    <w:p>
      <w:pPr>
        <w:wordWrap w:val="0"/>
        <w:rPr>
          <w:rFonts w:eastAsiaTheme="minorEastAsia"/>
          <w:color w:val="000000" w:themeColor="text1"/>
          <w:sz w:val="28"/>
          <w:szCs w:val="28"/>
        </w:rPr>
      </w:pPr>
      <w:r>
        <w:rPr>
          <w:rFonts w:eastAsiaTheme="minorEastAsia"/>
          <w:color w:val="000000" w:themeColor="text1"/>
          <w:sz w:val="28"/>
          <w:szCs w:val="28"/>
        </w:rPr>
        <w:t xml:space="preserve">    生物膜法处理构筑物的除臭一般采用生物过滤法、湿式吸收氧化法去除硫化氢等恶臭气体。</w:t>
      </w:r>
    </w:p>
    <w:p>
      <w:pPr>
        <w:widowControl/>
        <w:wordWrap w:val="0"/>
        <w:jc w:val="center"/>
        <w:rPr>
          <w:rFonts w:eastAsiaTheme="minorEastAsia"/>
          <w:color w:val="000000" w:themeColor="text1"/>
          <w:sz w:val="28"/>
          <w:szCs w:val="28"/>
        </w:rPr>
      </w:pPr>
    </w:p>
    <w:p>
      <w:pPr>
        <w:widowControl/>
        <w:wordWrap w:val="0"/>
        <w:jc w:val="center"/>
        <w:rPr>
          <w:rFonts w:eastAsiaTheme="minorEastAsia"/>
          <w:color w:val="000000" w:themeColor="text1"/>
          <w:sz w:val="28"/>
          <w:szCs w:val="28"/>
        </w:rPr>
      </w:pPr>
      <w:r>
        <w:rPr>
          <w:rFonts w:eastAsiaTheme="minorEastAsia"/>
          <w:color w:val="000000" w:themeColor="text1"/>
          <w:sz w:val="28"/>
          <w:szCs w:val="28"/>
        </w:rPr>
        <w:t>II  生物接触氧化池</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生物接触氧化池应根据进水水质和处理程度确定采用一段式或二段式。生物接触氧化池平面形状宜为矩形，有效水深宜为3m～6m。生物接触氧化池不宜少于两个，每池可分为两室。</w:t>
      </w:r>
    </w:p>
    <w:p>
      <w:pPr>
        <w:wordWrap w:val="0"/>
        <w:rPr>
          <w:rFonts w:eastAsiaTheme="minorEastAsia"/>
          <w:color w:val="000000" w:themeColor="text1"/>
          <w:sz w:val="28"/>
          <w:szCs w:val="28"/>
        </w:rPr>
      </w:pPr>
      <w:r>
        <w:rPr>
          <w:rFonts w:eastAsiaTheme="minorEastAsia"/>
          <w:color w:val="000000" w:themeColor="text1"/>
          <w:sz w:val="28"/>
          <w:szCs w:val="28"/>
        </w:rPr>
        <w:t>【条文说明】污水经初次沉淀池处理后可进一段接触氧化池，也可进两段或两段以上串联的接触氧化池，以达到较高质量的处理水。</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生物接触氧化池中的填料可采用全池布置（底部进水，进气）、两侧布置（中心进气，底部进水）或单侧布置（侧部进气、上部进水），填料应分层安装。</w:t>
      </w:r>
    </w:p>
    <w:p>
      <w:pPr>
        <w:wordWrap w:val="0"/>
        <w:rPr>
          <w:rFonts w:eastAsiaTheme="minorEastAsia"/>
          <w:color w:val="000000" w:themeColor="text1"/>
          <w:sz w:val="28"/>
          <w:szCs w:val="28"/>
        </w:rPr>
      </w:pPr>
      <w:r>
        <w:rPr>
          <w:rFonts w:eastAsiaTheme="minorEastAsia"/>
          <w:color w:val="000000" w:themeColor="text1"/>
          <w:sz w:val="28"/>
          <w:szCs w:val="28"/>
        </w:rPr>
        <w:t>【条文说明】填料床的填料层高度应结合填料种类、流程布置等因素确定。每层厚度由填料品种确定，一般不宜超过1.5m。</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生物接触氧化池应采用对微生物无毒害、易挂膜、质轻、高强度、抗老化、比表面积大和空隙率高的填料。</w:t>
      </w:r>
    </w:p>
    <w:p>
      <w:pPr>
        <w:wordWrap w:val="0"/>
        <w:rPr>
          <w:rFonts w:eastAsiaTheme="minorEastAsia"/>
          <w:color w:val="000000" w:themeColor="text1"/>
          <w:sz w:val="28"/>
          <w:szCs w:val="28"/>
        </w:rPr>
      </w:pPr>
      <w:r>
        <w:rPr>
          <w:rFonts w:eastAsiaTheme="minorEastAsia"/>
          <w:color w:val="000000" w:themeColor="text1"/>
          <w:sz w:val="28"/>
          <w:szCs w:val="28"/>
        </w:rPr>
        <w:t>【条文说明】目前国内常用的填料有：整体型、悬浮型和悬挂型，其技术性能见表16。</w:t>
      </w:r>
    </w:p>
    <w:p>
      <w:pPr>
        <w:wordWrap w:val="0"/>
        <w:spacing w:line="360" w:lineRule="auto"/>
        <w:jc w:val="center"/>
        <w:rPr>
          <w:rFonts w:eastAsiaTheme="minorEastAsia"/>
          <w:b/>
          <w:color w:val="000000" w:themeColor="text1"/>
          <w:sz w:val="28"/>
          <w:szCs w:val="28"/>
        </w:rPr>
      </w:pP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表16 常用填料技术性能</w:t>
      </w:r>
    </w:p>
    <w:tbl>
      <w:tblPr>
        <w:tblStyle w:val="25"/>
        <w:tblW w:w="9651" w:type="dxa"/>
        <w:tblInd w:w="-5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8"/>
        <w:gridCol w:w="743"/>
        <w:gridCol w:w="1279"/>
        <w:gridCol w:w="1113"/>
        <w:gridCol w:w="1158"/>
        <w:gridCol w:w="1497"/>
        <w:gridCol w:w="1187"/>
        <w:gridCol w:w="1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99" w:hRule="atLeast"/>
        </w:trPr>
        <w:tc>
          <w:tcPr>
            <w:tcW w:w="2341" w:type="dxa"/>
            <w:gridSpan w:val="2"/>
            <w:vMerge w:val="restart"/>
            <w:tcBorders>
              <w:tl2br w:val="nil"/>
            </w:tcBorders>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pict>
                <v:line id="直接连接符 1" o:spid="_x0000_s1100" o:spt="20" style="position:absolute;left:0pt;margin-left:-5.15pt;margin-top:-0.65pt;height:157.55pt;width:117.35pt;z-index:251662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">
                  <v:path arrowok="t"/>
                  <v:fill focussize="0,0"/>
                  <v:stroke weight="0.5pt"/>
                  <v:imagedata o:title=""/>
                  <o:lock v:ext="edit"/>
                </v:line>
              </w:pict>
            </w:r>
            <w:r>
              <w:rPr>
                <w:rFonts w:eastAsiaTheme="minorEastAsia"/>
                <w:color w:val="000000" w:themeColor="text1"/>
                <w:sz w:val="28"/>
                <w:szCs w:val="28"/>
              </w:rPr>
              <w:t>填料名称</w:t>
            </w:r>
          </w:p>
          <w:p>
            <w:pPr>
              <w:wordWrap w:val="0"/>
              <w:spacing w:line="360" w:lineRule="auto"/>
              <w:jc w:val="center"/>
              <w:rPr>
                <w:rFonts w:eastAsiaTheme="minorEastAsia"/>
                <w:color w:val="000000" w:themeColor="text1"/>
                <w:sz w:val="28"/>
                <w:szCs w:val="28"/>
              </w:rPr>
            </w:pPr>
          </w:p>
          <w:p>
            <w:pPr>
              <w:wordWrap w:val="0"/>
              <w:spacing w:line="360" w:lineRule="auto"/>
              <w:jc w:val="center"/>
              <w:rPr>
                <w:rFonts w:eastAsiaTheme="minorEastAsia"/>
                <w:color w:val="000000" w:themeColor="text1"/>
                <w:sz w:val="28"/>
                <w:szCs w:val="28"/>
              </w:rPr>
            </w:pPr>
          </w:p>
          <w:p>
            <w:pPr>
              <w:wordWrap w:val="0"/>
              <w:spacing w:line="360" w:lineRule="auto"/>
              <w:jc w:val="center"/>
              <w:rPr>
                <w:rFonts w:eastAsiaTheme="minorEastAsia"/>
                <w:color w:val="000000" w:themeColor="text1"/>
                <w:sz w:val="28"/>
                <w:szCs w:val="28"/>
              </w:rPr>
            </w:pP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项目</w:t>
            </w:r>
          </w:p>
        </w:tc>
        <w:tc>
          <w:tcPr>
            <w:tcW w:w="2392"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整体型</w:t>
            </w:r>
          </w:p>
        </w:tc>
        <w:tc>
          <w:tcPr>
            <w:tcW w:w="2655"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悬浮型</w:t>
            </w:r>
          </w:p>
        </w:tc>
        <w:tc>
          <w:tcPr>
            <w:tcW w:w="2263"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悬挂型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52" w:hRule="atLeast"/>
        </w:trPr>
        <w:tc>
          <w:tcPr>
            <w:tcW w:w="2341" w:type="dxa"/>
            <w:gridSpan w:val="2"/>
            <w:vMerge w:val="continue"/>
            <w:vAlign w:val="center"/>
          </w:tcPr>
          <w:p>
            <w:pPr>
              <w:wordWrap w:val="0"/>
              <w:spacing w:line="360" w:lineRule="auto"/>
              <w:jc w:val="center"/>
              <w:rPr>
                <w:rFonts w:eastAsiaTheme="minorEastAsia"/>
                <w:color w:val="000000" w:themeColor="text1"/>
                <w:sz w:val="28"/>
                <w:szCs w:val="28"/>
              </w:rPr>
            </w:pPr>
          </w:p>
        </w:tc>
        <w:tc>
          <w:tcPr>
            <w:tcW w:w="127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立体网状</w:t>
            </w:r>
          </w:p>
        </w:tc>
        <w:tc>
          <w:tcPr>
            <w:tcW w:w="111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蜂窝直管</w:t>
            </w:r>
          </w:p>
        </w:tc>
        <w:tc>
          <w:tcPr>
            <w:tcW w:w="115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φ50×50mm</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柱状</w:t>
            </w:r>
          </w:p>
        </w:tc>
        <w:tc>
          <w:tcPr>
            <w:tcW w:w="149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内置式悬浮填料</w:t>
            </w:r>
          </w:p>
        </w:tc>
        <w:tc>
          <w:tcPr>
            <w:tcW w:w="11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半软性填料</w:t>
            </w:r>
          </w:p>
        </w:tc>
        <w:tc>
          <w:tcPr>
            <w:tcW w:w="10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弹性立体填料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52" w:hRule="atLeast"/>
        </w:trPr>
        <w:tc>
          <w:tcPr>
            <w:tcW w:w="2341"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比表面积(m</w:t>
            </w:r>
            <w:r>
              <w:rPr>
                <w:rFonts w:eastAsiaTheme="minorEastAsia"/>
                <w:color w:val="000000" w:themeColor="text1"/>
                <w:sz w:val="28"/>
                <w:szCs w:val="28"/>
                <w:vertAlign w:val="superscript"/>
              </w:rPr>
              <w:t>2</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w:t>
            </w:r>
          </w:p>
        </w:tc>
        <w:tc>
          <w:tcPr>
            <w:tcW w:w="127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50～110</w:t>
            </w:r>
          </w:p>
        </w:tc>
        <w:tc>
          <w:tcPr>
            <w:tcW w:w="111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74～100</w:t>
            </w:r>
          </w:p>
        </w:tc>
        <w:tc>
          <w:tcPr>
            <w:tcW w:w="115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278</w:t>
            </w:r>
          </w:p>
        </w:tc>
        <w:tc>
          <w:tcPr>
            <w:tcW w:w="149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650～700</w:t>
            </w:r>
          </w:p>
        </w:tc>
        <w:tc>
          <w:tcPr>
            <w:tcW w:w="11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80～120</w:t>
            </w:r>
          </w:p>
        </w:tc>
        <w:tc>
          <w:tcPr>
            <w:tcW w:w="10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116～133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99" w:hRule="atLeast"/>
        </w:trPr>
        <w:tc>
          <w:tcPr>
            <w:tcW w:w="2341"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空隙率(%)</w:t>
            </w:r>
          </w:p>
        </w:tc>
        <w:tc>
          <w:tcPr>
            <w:tcW w:w="127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95～99</w:t>
            </w:r>
          </w:p>
        </w:tc>
        <w:tc>
          <w:tcPr>
            <w:tcW w:w="111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99～98</w:t>
            </w:r>
          </w:p>
        </w:tc>
        <w:tc>
          <w:tcPr>
            <w:tcW w:w="115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90～97</w:t>
            </w:r>
          </w:p>
        </w:tc>
        <w:tc>
          <w:tcPr>
            <w:tcW w:w="1497"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内置纤维束数12束/个≥40g/个纤维束重量1.6g/个～2.0g/个</w:t>
            </w:r>
          </w:p>
        </w:tc>
        <w:tc>
          <w:tcPr>
            <w:tcW w:w="11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&gt;96</w:t>
            </w:r>
          </w:p>
        </w:tc>
        <w:tc>
          <w:tcPr>
            <w:tcW w:w="10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52" w:hRule="atLeast"/>
        </w:trPr>
        <w:tc>
          <w:tcPr>
            <w:tcW w:w="2341"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成品重量(kg/m</w:t>
            </w:r>
            <w:r>
              <w:rPr>
                <w:rFonts w:eastAsiaTheme="minorEastAsia"/>
                <w:color w:val="000000" w:themeColor="text1"/>
                <w:sz w:val="28"/>
                <w:szCs w:val="28"/>
                <w:vertAlign w:val="superscript"/>
              </w:rPr>
              <w:t>3</w:t>
            </w:r>
            <w:r>
              <w:rPr>
                <w:rFonts w:eastAsiaTheme="minorEastAsia"/>
                <w:color w:val="000000" w:themeColor="text1"/>
                <w:sz w:val="28"/>
                <w:szCs w:val="28"/>
              </w:rPr>
              <w:t>)</w:t>
            </w:r>
          </w:p>
        </w:tc>
        <w:tc>
          <w:tcPr>
            <w:tcW w:w="127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w:t>
            </w:r>
          </w:p>
        </w:tc>
        <w:tc>
          <w:tcPr>
            <w:tcW w:w="111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45～38</w:t>
            </w:r>
          </w:p>
        </w:tc>
        <w:tc>
          <w:tcPr>
            <w:tcW w:w="115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7.6</w:t>
            </w:r>
          </w:p>
        </w:tc>
        <w:tc>
          <w:tcPr>
            <w:tcW w:w="1497" w:type="dxa"/>
            <w:vMerge w:val="continue"/>
            <w:vAlign w:val="center"/>
          </w:tcPr>
          <w:p>
            <w:pPr>
              <w:wordWrap w:val="0"/>
              <w:spacing w:line="360" w:lineRule="auto"/>
              <w:jc w:val="center"/>
              <w:rPr>
                <w:rFonts w:eastAsiaTheme="minorEastAsia"/>
                <w:color w:val="000000" w:themeColor="text1"/>
                <w:sz w:val="28"/>
                <w:szCs w:val="28"/>
              </w:rPr>
            </w:pPr>
          </w:p>
        </w:tc>
        <w:tc>
          <w:tcPr>
            <w:tcW w:w="11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3.6kg/m～6.7kg/m</w:t>
            </w:r>
          </w:p>
        </w:tc>
        <w:tc>
          <w:tcPr>
            <w:tcW w:w="10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2.7kg/m～4.99kg/m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52" w:hRule="atLeast"/>
        </w:trPr>
        <w:tc>
          <w:tcPr>
            <w:tcW w:w="2341"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挂膜重量(kg/m</w:t>
            </w:r>
            <w:r>
              <w:rPr>
                <w:rFonts w:eastAsiaTheme="minorEastAsia"/>
                <w:color w:val="000000" w:themeColor="text1"/>
                <w:sz w:val="28"/>
                <w:szCs w:val="28"/>
                <w:vertAlign w:val="superscript"/>
              </w:rPr>
              <w:t>3</w:t>
            </w:r>
            <w:r>
              <w:rPr>
                <w:rFonts w:eastAsiaTheme="minorEastAsia"/>
                <w:color w:val="000000" w:themeColor="text1"/>
                <w:sz w:val="28"/>
                <w:szCs w:val="28"/>
              </w:rPr>
              <w:t>)</w:t>
            </w:r>
          </w:p>
        </w:tc>
        <w:tc>
          <w:tcPr>
            <w:tcW w:w="127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190～316</w:t>
            </w:r>
          </w:p>
        </w:tc>
        <w:tc>
          <w:tcPr>
            <w:tcW w:w="111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115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1497" w:type="dxa"/>
            <w:vMerge w:val="continue"/>
            <w:vAlign w:val="center"/>
          </w:tcPr>
          <w:p>
            <w:pPr>
              <w:wordWrap w:val="0"/>
              <w:spacing w:line="360" w:lineRule="auto"/>
              <w:jc w:val="center"/>
              <w:rPr>
                <w:rFonts w:eastAsiaTheme="minorEastAsia"/>
                <w:color w:val="000000" w:themeColor="text1"/>
                <w:sz w:val="28"/>
                <w:szCs w:val="28"/>
              </w:rPr>
            </w:pPr>
          </w:p>
        </w:tc>
        <w:tc>
          <w:tcPr>
            <w:tcW w:w="11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4.8g/片～5.2g/片</w:t>
            </w:r>
          </w:p>
        </w:tc>
        <w:tc>
          <w:tcPr>
            <w:tcW w:w="10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52" w:hRule="atLeast"/>
        </w:trPr>
        <w:tc>
          <w:tcPr>
            <w:tcW w:w="2341"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填充率(%)</w:t>
            </w:r>
          </w:p>
        </w:tc>
        <w:tc>
          <w:tcPr>
            <w:tcW w:w="127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30～40</w:t>
            </w:r>
          </w:p>
        </w:tc>
        <w:tc>
          <w:tcPr>
            <w:tcW w:w="111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50～70</w:t>
            </w:r>
          </w:p>
        </w:tc>
        <w:tc>
          <w:tcPr>
            <w:tcW w:w="115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60～80</w:t>
            </w:r>
          </w:p>
        </w:tc>
        <w:tc>
          <w:tcPr>
            <w:tcW w:w="149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堆积数量1000个/m</w:t>
            </w:r>
            <w:r>
              <w:rPr>
                <w:rFonts w:eastAsiaTheme="minorEastAsia"/>
                <w:color w:val="000000" w:themeColor="text1"/>
                <w:sz w:val="28"/>
                <w:szCs w:val="28"/>
                <w:vertAlign w:val="superscript"/>
              </w:rPr>
              <w:t>3</w:t>
            </w:r>
            <w:r>
              <w:rPr>
                <w:rFonts w:eastAsiaTheme="minorEastAsia"/>
                <w:color w:val="000000" w:themeColor="text1"/>
                <w:sz w:val="28"/>
                <w:szCs w:val="28"/>
              </w:rPr>
              <w:t>产品直径φ100</w:t>
            </w:r>
          </w:p>
        </w:tc>
        <w:tc>
          <w:tcPr>
            <w:tcW w:w="11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c>
          <w:tcPr>
            <w:tcW w:w="10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99" w:hRule="atLeast"/>
        </w:trPr>
        <w:tc>
          <w:tcPr>
            <w:tcW w:w="1598" w:type="dxa"/>
            <w:vMerge w:val="restart"/>
            <w:tcBorders>
              <w:right w:val="single" w:color="auto" w:sz="4" w:space="0"/>
            </w:tcBorders>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填料容积负荷[kgCOD/(m</w:t>
            </w:r>
            <w:r>
              <w:rPr>
                <w:rFonts w:eastAsiaTheme="minorEastAsia"/>
                <w:color w:val="000000" w:themeColor="text1"/>
                <w:sz w:val="28"/>
                <w:szCs w:val="28"/>
                <w:vertAlign w:val="superscript"/>
              </w:rPr>
              <w:t>3</w:t>
            </w:r>
            <w:r>
              <w:rPr>
                <w:rFonts w:eastAsiaTheme="minorEastAsia"/>
                <w:color w:val="000000" w:themeColor="text1"/>
                <w:sz w:val="28"/>
                <w:szCs w:val="28"/>
              </w:rPr>
              <w:t>·d)]</w:t>
            </w:r>
          </w:p>
        </w:tc>
        <w:tc>
          <w:tcPr>
            <w:tcW w:w="743" w:type="dxa"/>
            <w:tcBorders>
              <w:left w:val="single" w:color="auto" w:sz="4" w:space="0"/>
            </w:tcBorders>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正常负荷</w:t>
            </w:r>
          </w:p>
        </w:tc>
        <w:tc>
          <w:tcPr>
            <w:tcW w:w="127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4.4</w:t>
            </w:r>
          </w:p>
        </w:tc>
        <w:tc>
          <w:tcPr>
            <w:tcW w:w="111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115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3～4.5</w:t>
            </w:r>
          </w:p>
        </w:tc>
        <w:tc>
          <w:tcPr>
            <w:tcW w:w="149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1.5～2.0</w:t>
            </w:r>
          </w:p>
        </w:tc>
        <w:tc>
          <w:tcPr>
            <w:tcW w:w="11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2～3</w:t>
            </w:r>
          </w:p>
        </w:tc>
        <w:tc>
          <w:tcPr>
            <w:tcW w:w="10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52" w:hRule="atLeast"/>
        </w:trPr>
        <w:tc>
          <w:tcPr>
            <w:tcW w:w="1598" w:type="dxa"/>
            <w:vMerge w:val="continue"/>
            <w:tcBorders>
              <w:right w:val="single" w:color="auto" w:sz="4" w:space="0"/>
            </w:tcBorders>
            <w:vAlign w:val="center"/>
          </w:tcPr>
          <w:p>
            <w:pPr>
              <w:wordWrap w:val="0"/>
              <w:spacing w:line="360" w:lineRule="auto"/>
              <w:jc w:val="center"/>
              <w:rPr>
                <w:rFonts w:eastAsiaTheme="minorEastAsia"/>
                <w:color w:val="000000" w:themeColor="text1"/>
                <w:sz w:val="28"/>
                <w:szCs w:val="28"/>
              </w:rPr>
            </w:pPr>
          </w:p>
        </w:tc>
        <w:tc>
          <w:tcPr>
            <w:tcW w:w="743" w:type="dxa"/>
            <w:tcBorders>
              <w:left w:val="single" w:color="auto" w:sz="4" w:space="0"/>
            </w:tcBorders>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冲击负荷</w:t>
            </w:r>
          </w:p>
        </w:tc>
        <w:tc>
          <w:tcPr>
            <w:tcW w:w="127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5.7</w:t>
            </w:r>
          </w:p>
        </w:tc>
        <w:tc>
          <w:tcPr>
            <w:tcW w:w="111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c>
          <w:tcPr>
            <w:tcW w:w="115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4～6</w:t>
            </w:r>
          </w:p>
        </w:tc>
        <w:tc>
          <w:tcPr>
            <w:tcW w:w="149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w:t>
            </w:r>
          </w:p>
        </w:tc>
        <w:tc>
          <w:tcPr>
            <w:tcW w:w="11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w:t>
            </w:r>
          </w:p>
        </w:tc>
        <w:tc>
          <w:tcPr>
            <w:tcW w:w="10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52" w:hRule="atLeast"/>
        </w:trPr>
        <w:tc>
          <w:tcPr>
            <w:tcW w:w="2341"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安装条件</w:t>
            </w:r>
          </w:p>
        </w:tc>
        <w:tc>
          <w:tcPr>
            <w:tcW w:w="127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整体</w:t>
            </w:r>
          </w:p>
        </w:tc>
        <w:tc>
          <w:tcPr>
            <w:tcW w:w="111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整体</w:t>
            </w:r>
          </w:p>
        </w:tc>
        <w:tc>
          <w:tcPr>
            <w:tcW w:w="115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悬浮</w:t>
            </w:r>
          </w:p>
        </w:tc>
        <w:tc>
          <w:tcPr>
            <w:tcW w:w="149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悬浮</w:t>
            </w:r>
          </w:p>
        </w:tc>
        <w:tc>
          <w:tcPr>
            <w:tcW w:w="11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吊装</w:t>
            </w:r>
          </w:p>
        </w:tc>
        <w:tc>
          <w:tcPr>
            <w:tcW w:w="10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吊装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99" w:hRule="atLeast"/>
        </w:trPr>
        <w:tc>
          <w:tcPr>
            <w:tcW w:w="2341"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支架形式</w:t>
            </w:r>
          </w:p>
        </w:tc>
        <w:tc>
          <w:tcPr>
            <w:tcW w:w="127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平格栅</w:t>
            </w:r>
          </w:p>
        </w:tc>
        <w:tc>
          <w:tcPr>
            <w:tcW w:w="1113"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平格栅</w:t>
            </w:r>
          </w:p>
        </w:tc>
        <w:tc>
          <w:tcPr>
            <w:tcW w:w="115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绳网</w:t>
            </w:r>
          </w:p>
        </w:tc>
        <w:tc>
          <w:tcPr>
            <w:tcW w:w="149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绳网</w:t>
            </w:r>
          </w:p>
        </w:tc>
        <w:tc>
          <w:tcPr>
            <w:tcW w:w="11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框架或上下固定</w:t>
            </w:r>
          </w:p>
        </w:tc>
        <w:tc>
          <w:tcPr>
            <w:tcW w:w="107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框架或上下固定</w:t>
            </w:r>
          </w:p>
        </w:tc>
      </w:tr>
    </w:tbl>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曝气装置应根据生物接触氧化池填料的布置形式布置。底部全池曝气时，气水比宜为6:1~9:1。</w:t>
      </w:r>
    </w:p>
    <w:p>
      <w:pPr>
        <w:wordWrap w:val="0"/>
        <w:rPr>
          <w:rFonts w:eastAsiaTheme="minorEastAsia"/>
          <w:color w:val="000000" w:themeColor="text1"/>
          <w:sz w:val="28"/>
          <w:szCs w:val="28"/>
        </w:rPr>
      </w:pPr>
      <w:r>
        <w:rPr>
          <w:rFonts w:eastAsiaTheme="minorEastAsia"/>
          <w:color w:val="000000" w:themeColor="text1"/>
          <w:sz w:val="28"/>
          <w:szCs w:val="28"/>
        </w:rPr>
        <w:t>【条文说明】生物接触氧化池有池底均布曝气方式、侧部进气方式、池上面安装表面曝气器充氧方式（池中心为曝气区）、射流曝气充氧方式等。一般常采用池底均布曝气方式，该方式曝气均匀．氧转移率高，对生物膜搅动充分，生物膜的更新快。常用的曝气器有中微孔曝气软管、穿孔管、微孔曝气等。</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生物接触氧化池进水应防止短流，出水宜采用堰式出水。</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生物接触氧化池底部应设排泥和放空设施。</w:t>
      </w:r>
    </w:p>
    <w:p>
      <w:pPr>
        <w:wordWrap w:val="0"/>
        <w:rPr>
          <w:rFonts w:eastAsiaTheme="minorEastAsia"/>
          <w:color w:val="000000" w:themeColor="text1"/>
          <w:sz w:val="28"/>
          <w:szCs w:val="28"/>
        </w:rPr>
      </w:pPr>
      <w:r>
        <w:rPr>
          <w:rFonts w:eastAsiaTheme="minorEastAsia"/>
          <w:color w:val="000000" w:themeColor="text1"/>
          <w:sz w:val="28"/>
          <w:szCs w:val="28"/>
        </w:rPr>
        <w:t>【条文说明】生物接触氧化池底部设排泥斗和放空设施，以利于排除池底积泥和方便维护。</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生物接触氧化池的五日生化需氧量容积负荷，宜根据试验资料确定，无试验资料时，碳氧化宜为2.0kg</w:t>
      </w:r>
      <w:r>
        <w:rPr>
          <w:rFonts w:ascii="Times New Roman" w:hAnsi="Times New Roman" w:eastAsiaTheme="minorEastAsia"/>
          <w:iCs/>
          <w:color w:val="000000" w:themeColor="text1"/>
          <w:sz w:val="28"/>
          <w:szCs w:val="28"/>
        </w:rPr>
        <w:t>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·d）～5.0kg</w:t>
      </w:r>
      <w:r>
        <w:rPr>
          <w:rFonts w:ascii="Times New Roman" w:hAnsi="Times New Roman" w:eastAsiaTheme="minorEastAsia"/>
          <w:iCs/>
          <w:color w:val="000000" w:themeColor="text1"/>
          <w:sz w:val="28"/>
          <w:szCs w:val="28"/>
        </w:rPr>
        <w:t>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·d），碳氧化/硝化宜为0.2kg</w:t>
      </w:r>
      <w:r>
        <w:rPr>
          <w:rFonts w:ascii="Times New Roman" w:hAnsi="Times New Roman" w:eastAsiaTheme="minorEastAsia"/>
          <w:iCs/>
          <w:color w:val="000000" w:themeColor="text1"/>
          <w:sz w:val="28"/>
          <w:szCs w:val="28"/>
        </w:rPr>
        <w:t>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·d）～2.0kg</w:t>
      </w:r>
      <w:r>
        <w:rPr>
          <w:rFonts w:ascii="Times New Roman" w:hAnsi="Times New Roman" w:eastAsiaTheme="minorEastAsia"/>
          <w:iCs/>
          <w:color w:val="000000" w:themeColor="text1"/>
          <w:sz w:val="28"/>
          <w:szCs w:val="28"/>
        </w:rPr>
        <w:t>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w:t>
      </w:r>
    </w:p>
    <w:p>
      <w:pPr>
        <w:wordWrap w:val="0"/>
        <w:rPr>
          <w:rFonts w:eastAsiaTheme="minorEastAsia"/>
          <w:color w:val="000000" w:themeColor="text1"/>
          <w:sz w:val="28"/>
          <w:szCs w:val="28"/>
        </w:rPr>
      </w:pPr>
      <w:r>
        <w:rPr>
          <w:rFonts w:eastAsiaTheme="minorEastAsia"/>
          <w:color w:val="000000" w:themeColor="text1"/>
          <w:sz w:val="28"/>
          <w:szCs w:val="28"/>
        </w:rPr>
        <w:t>【条文说明】该数据是根据国内经验，参照国外标准而制定。生物接触氧化池典型负荷率见表17，此表摘自欧盟标准《污水处理厂—第7部分：生物膜法》BS EN 1225-7：2002。</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表17生物接触氧化池的典型负荷</w:t>
      </w:r>
    </w:p>
    <w:tbl>
      <w:tblPr>
        <w:tblStyle w:val="2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处理要求</w:t>
            </w:r>
          </w:p>
        </w:tc>
        <w:tc>
          <w:tcPr>
            <w:tcW w:w="2130"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工艺要求</w:t>
            </w:r>
          </w:p>
        </w:tc>
        <w:tc>
          <w:tcPr>
            <w:tcW w:w="4262"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容积负荷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0" w:type="dxa"/>
            <w:vMerge w:val="continue"/>
            <w:vAlign w:val="center"/>
          </w:tcPr>
          <w:p>
            <w:pPr>
              <w:wordWrap w:val="0"/>
              <w:spacing w:line="360" w:lineRule="auto"/>
              <w:jc w:val="center"/>
              <w:rPr>
                <w:rFonts w:eastAsiaTheme="minorEastAsia"/>
                <w:color w:val="000000" w:themeColor="text1"/>
                <w:sz w:val="28"/>
                <w:szCs w:val="28"/>
              </w:rPr>
            </w:pP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kgBOD</w:t>
            </w:r>
            <w:r>
              <w:rPr>
                <w:rFonts w:eastAsiaTheme="minorEastAsia"/>
                <w:color w:val="000000" w:themeColor="text1"/>
                <w:sz w:val="28"/>
                <w:szCs w:val="28"/>
                <w:vertAlign w:val="subscript"/>
              </w:rPr>
              <w:t>5</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·d)</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kgNH</w:t>
            </w:r>
            <w:r>
              <w:rPr>
                <w:rFonts w:eastAsiaTheme="minorEastAsia"/>
                <w:color w:val="000000" w:themeColor="text1"/>
                <w:sz w:val="28"/>
                <w:szCs w:val="28"/>
                <w:vertAlign w:val="subscript"/>
              </w:rPr>
              <w:t>4</w:t>
            </w:r>
            <w:r>
              <w:rPr>
                <w:rFonts w:eastAsiaTheme="minorEastAsia"/>
                <w:color w:val="000000" w:themeColor="text1"/>
                <w:sz w:val="28"/>
                <w:szCs w:val="28"/>
              </w:rPr>
              <w:t>-N/(m</w:t>
            </w:r>
            <w:r>
              <w:rPr>
                <w:rFonts w:eastAsiaTheme="minorEastAsia"/>
                <w:color w:val="000000" w:themeColor="text1"/>
                <w:sz w:val="28"/>
                <w:szCs w:val="28"/>
                <w:vertAlign w:val="superscript"/>
              </w:rPr>
              <w:t>3</w:t>
            </w:r>
            <w:r>
              <w:rPr>
                <w:rFonts w:eastAsiaTheme="minorEastAsia"/>
                <w:color w:val="000000" w:themeColor="text1"/>
                <w:sz w:val="28"/>
                <w:szCs w:val="2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碳氧化</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高负荷</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碳氧化／硝化</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高负荷</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0.5～2</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深度处理中的硝化</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高负荷</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&lt;20mgBOD/L*</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0.2～1.0</w:t>
            </w:r>
          </w:p>
        </w:tc>
      </w:tr>
    </w:tbl>
    <w:p>
      <w:pPr>
        <w:widowControl/>
        <w:wordWrap w:val="0"/>
        <w:spacing w:line="360" w:lineRule="auto"/>
        <w:rPr>
          <w:rFonts w:eastAsiaTheme="minorEastAsia"/>
          <w:color w:val="000000" w:themeColor="text1"/>
          <w:sz w:val="28"/>
          <w:szCs w:val="28"/>
        </w:rPr>
      </w:pPr>
      <w:r>
        <w:rPr>
          <w:rFonts w:eastAsiaTheme="minorEastAsia"/>
          <w:color w:val="000000" w:themeColor="text1"/>
          <w:sz w:val="28"/>
          <w:szCs w:val="28"/>
        </w:rPr>
        <w:t xml:space="preserve">    注：*污水厂进水浓度。</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t>III  曝气生物滤池</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曝气生物滤池的池型可采用上向流或下向流进水方式。</w:t>
      </w:r>
    </w:p>
    <w:p>
      <w:pPr>
        <w:wordWrap w:val="0"/>
        <w:rPr>
          <w:rFonts w:eastAsiaTheme="minorEastAsia"/>
          <w:color w:val="000000" w:themeColor="text1"/>
          <w:sz w:val="28"/>
          <w:szCs w:val="28"/>
        </w:rPr>
      </w:pPr>
      <w:r>
        <w:rPr>
          <w:rFonts w:eastAsiaTheme="minorEastAsia"/>
          <w:color w:val="000000" w:themeColor="text1"/>
          <w:sz w:val="28"/>
          <w:szCs w:val="28"/>
        </w:rPr>
        <w:t>【条文说明】曝气生物滤池由池体、布水系统、布气系统、承托层、填料层和反冲洗系统等组成。曝气生物滤池的池型有上向流曝气生物滤池（池底进水，水流与空气同向运行）和下向流曝气生物滤池（滤池上部进水，水流与空气逆向运行）两种。</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曝气生物滤池前应设沉砂池、初次沉淀池或混凝沉淀池、除油池、超细格栅等预处理设施，也可设水解调节池，进水悬浮固体浓度不宜大于60mg/L。</w:t>
      </w:r>
    </w:p>
    <w:p>
      <w:pPr>
        <w:wordWrap w:val="0"/>
        <w:rPr>
          <w:rFonts w:eastAsiaTheme="minorEastAsia"/>
          <w:color w:val="000000" w:themeColor="text1"/>
          <w:sz w:val="28"/>
          <w:szCs w:val="28"/>
        </w:rPr>
      </w:pPr>
      <w:r>
        <w:rPr>
          <w:rFonts w:eastAsiaTheme="minorEastAsia"/>
          <w:color w:val="000000" w:themeColor="text1"/>
          <w:sz w:val="28"/>
          <w:szCs w:val="28"/>
        </w:rPr>
        <w:t>【条文说明】污水经预处理后使悬浮固体浓度降低，再进入曝气生物滤池，有利于减少反冲洗次数和保证滤池的运行。如进水有机物浓度较高，污水经沉淀后可进入水解调节池进行水质水量的调节，同时也提高了污水的可生化性。</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曝气生物滤池根据处理程度不同可分为碳氧化、硝化、后置反硝化或前置反硝化等。碳氧化、硝化和反硝化可在单级曝气生物滤池内完成，也可在多级曝气生物滤池内完成。</w:t>
      </w:r>
    </w:p>
    <w:p>
      <w:pPr>
        <w:wordWrap w:val="0"/>
        <w:rPr>
          <w:rFonts w:eastAsiaTheme="minorEastAsia"/>
          <w:color w:val="000000" w:themeColor="text1"/>
          <w:sz w:val="28"/>
          <w:szCs w:val="28"/>
        </w:rPr>
      </w:pPr>
      <w:r>
        <w:rPr>
          <w:rFonts w:eastAsiaTheme="minorEastAsia"/>
          <w:color w:val="000000" w:themeColor="text1"/>
          <w:sz w:val="28"/>
          <w:szCs w:val="28"/>
        </w:rPr>
        <w:t>【条文说明】多级曝气生物滤池中，第一级曝气生物滤池以碳氧化为主；第二级曝气生物滤池主要对污水中的氨氮进行硝化；第三级曝气生物滤池主要为反硝化除氮，也可在第二级滤池出水中投加碳源和铁盐或铝盐同时进行反硝化脱氮除磷。</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曝气生物滤池的池体高度宜为5m～9m。</w:t>
      </w:r>
    </w:p>
    <w:p>
      <w:pPr>
        <w:wordWrap w:val="0"/>
        <w:rPr>
          <w:rFonts w:eastAsiaTheme="minorEastAsia"/>
          <w:color w:val="000000" w:themeColor="text1"/>
          <w:sz w:val="28"/>
          <w:szCs w:val="28"/>
        </w:rPr>
      </w:pPr>
      <w:r>
        <w:rPr>
          <w:rFonts w:eastAsiaTheme="minorEastAsia"/>
          <w:color w:val="000000" w:themeColor="text1"/>
          <w:sz w:val="28"/>
          <w:szCs w:val="28"/>
        </w:rPr>
        <w:t>【条文说明】曝气生物滤池的池体高度宜为5m～9m，由配水区、承托层、滤料层、清水区的高度和超高等组成。</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曝气生物滤池宜采用滤头布水布气系统。</w:t>
      </w:r>
    </w:p>
    <w:p>
      <w:pPr>
        <w:wordWrap w:val="0"/>
        <w:rPr>
          <w:rFonts w:eastAsiaTheme="minorEastAsia"/>
          <w:color w:val="000000" w:themeColor="text1"/>
          <w:sz w:val="28"/>
          <w:szCs w:val="28"/>
        </w:rPr>
      </w:pPr>
      <w:r>
        <w:rPr>
          <w:rFonts w:eastAsiaTheme="minorEastAsia"/>
          <w:color w:val="000000" w:themeColor="text1"/>
          <w:sz w:val="28"/>
          <w:szCs w:val="28"/>
        </w:rPr>
        <w:t>【条文说明】曝气生物滤池的布水布气系统有滤头布水布气系统、栅型承托板布水布气系统和穿孔管布水布气系统。根据调查研究，城镇污水处理宜采用滤头布水布气系统。</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曝气生物滤池宜分别设曝气充氧和反冲洗供气和曝气系统。曝气装置可采用单孔膜空气扩散器和穿孔管等曝气器。曝气器可设在承托层或滤料层中。</w:t>
      </w:r>
    </w:p>
    <w:p>
      <w:pPr>
        <w:wordWrap w:val="0"/>
        <w:rPr>
          <w:rFonts w:eastAsiaTheme="minorEastAsia"/>
          <w:color w:val="000000" w:themeColor="text1"/>
          <w:sz w:val="28"/>
          <w:szCs w:val="28"/>
        </w:rPr>
      </w:pPr>
      <w:r>
        <w:rPr>
          <w:rFonts w:eastAsiaTheme="minorEastAsia"/>
          <w:color w:val="000000" w:themeColor="text1"/>
          <w:sz w:val="28"/>
          <w:szCs w:val="28"/>
        </w:rPr>
        <w:t>【条文说明】曝气生物滤池的布气系统包括曝气充氧系统和进行气／水联合反冲洗时的供气系统。曝气充氧量由计算得出，一般比活性污泥法低30%～40%。</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曝气生物滤池宜选用机械强度和化学稳定性好的卵石作承托层，并按一定级配布置。</w:t>
      </w:r>
    </w:p>
    <w:p>
      <w:pPr>
        <w:wordWrap w:val="0"/>
        <w:rPr>
          <w:rFonts w:eastAsiaTheme="minorEastAsia"/>
          <w:color w:val="000000" w:themeColor="text1"/>
          <w:sz w:val="28"/>
          <w:szCs w:val="28"/>
        </w:rPr>
      </w:pPr>
      <w:r>
        <w:rPr>
          <w:rFonts w:eastAsiaTheme="minorEastAsia"/>
          <w:color w:val="000000" w:themeColor="text1"/>
          <w:sz w:val="28"/>
          <w:szCs w:val="28"/>
        </w:rPr>
        <w:t>【条文说明】曝气生物滤池承托层采用的材质应具有良好的机械强度和化学稳定性，一般选用卵石作承托层。</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曝气生物滤池的滤料应具有强度大、不易磨损、孔隙率高、比表面积大、化学物理稳定性好、易挂膜、生物附着性强、比重小、耐冲洗和不易堵塞的性质。</w:t>
      </w:r>
    </w:p>
    <w:p>
      <w:pPr>
        <w:wordWrap w:val="0"/>
        <w:rPr>
          <w:rFonts w:eastAsiaTheme="minorEastAsia"/>
          <w:color w:val="000000" w:themeColor="text1"/>
          <w:sz w:val="28"/>
          <w:szCs w:val="28"/>
        </w:rPr>
      </w:pPr>
      <w:r>
        <w:rPr>
          <w:rFonts w:eastAsiaTheme="minorEastAsia"/>
          <w:color w:val="000000" w:themeColor="text1"/>
          <w:sz w:val="28"/>
          <w:szCs w:val="28"/>
        </w:rPr>
        <w:t>【条文说明】生物滤池的滤料应选择比表面积大、空隙率高、吸附性强、密度合适、质轻且有足够机械强度的材料。根据资料和工程运行经验，宜选用粒径5mm左右的均质陶粒及塑料球形颗粒，常用滤料的物理特性见表18。</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表18 常用滤料的物理特性</w:t>
      </w:r>
    </w:p>
    <w:tbl>
      <w:tblPr>
        <w:tblStyle w:val="25"/>
        <w:tblW w:w="9781" w:type="dxa"/>
        <w:tblInd w:w="-4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9"/>
        <w:gridCol w:w="1134"/>
        <w:gridCol w:w="1037"/>
        <w:gridCol w:w="1278"/>
        <w:gridCol w:w="996"/>
        <w:gridCol w:w="1234"/>
        <w:gridCol w:w="997"/>
        <w:gridCol w:w="997"/>
        <w:gridCol w:w="10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2" w:hRule="atLeast"/>
        </w:trPr>
        <w:tc>
          <w:tcPr>
            <w:tcW w:w="1089"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名称</w:t>
            </w:r>
          </w:p>
        </w:tc>
        <w:tc>
          <w:tcPr>
            <w:tcW w:w="8692" w:type="dxa"/>
            <w:gridSpan w:val="8"/>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物理特性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2" w:hRule="atLeast"/>
        </w:trPr>
        <w:tc>
          <w:tcPr>
            <w:tcW w:w="1089" w:type="dxa"/>
            <w:vMerge w:val="continue"/>
            <w:vAlign w:val="center"/>
          </w:tcPr>
          <w:p>
            <w:pPr>
              <w:wordWrap w:val="0"/>
              <w:spacing w:line="360" w:lineRule="auto"/>
              <w:jc w:val="center"/>
              <w:rPr>
                <w:rFonts w:eastAsiaTheme="minorEastAsia"/>
                <w:color w:val="000000" w:themeColor="text1"/>
                <w:sz w:val="28"/>
                <w:szCs w:val="28"/>
              </w:rPr>
            </w:pP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比表面积(m</w:t>
            </w:r>
            <w:r>
              <w:rPr>
                <w:rFonts w:eastAsiaTheme="minorEastAsia"/>
                <w:color w:val="000000" w:themeColor="text1"/>
                <w:sz w:val="28"/>
                <w:szCs w:val="28"/>
                <w:vertAlign w:val="superscript"/>
              </w:rPr>
              <w:t>2</w:t>
            </w:r>
            <w:r>
              <w:rPr>
                <w:rFonts w:eastAsiaTheme="minorEastAsia"/>
                <w:color w:val="000000" w:themeColor="text1"/>
                <w:sz w:val="28"/>
                <w:szCs w:val="28"/>
              </w:rPr>
              <w:t>/g)</w:t>
            </w:r>
          </w:p>
        </w:tc>
        <w:tc>
          <w:tcPr>
            <w:tcW w:w="103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总孔体积(cm</w:t>
            </w:r>
            <w:r>
              <w:rPr>
                <w:rFonts w:eastAsiaTheme="minorEastAsia"/>
                <w:color w:val="000000" w:themeColor="text1"/>
                <w:sz w:val="28"/>
                <w:szCs w:val="28"/>
                <w:vertAlign w:val="superscript"/>
              </w:rPr>
              <w:t>3</w:t>
            </w:r>
            <w:r>
              <w:rPr>
                <w:rFonts w:eastAsiaTheme="minorEastAsia"/>
                <w:color w:val="000000" w:themeColor="text1"/>
                <w:sz w:val="28"/>
                <w:szCs w:val="28"/>
              </w:rPr>
              <w:t>/g)</w:t>
            </w:r>
          </w:p>
        </w:tc>
        <w:tc>
          <w:tcPr>
            <w:tcW w:w="127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松散容重(g/L)</w:t>
            </w:r>
          </w:p>
        </w:tc>
        <w:tc>
          <w:tcPr>
            <w:tcW w:w="99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磨损率(%)</w:t>
            </w:r>
          </w:p>
        </w:tc>
        <w:tc>
          <w:tcPr>
            <w:tcW w:w="12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堆积密度（g/cm</w:t>
            </w:r>
            <w:r>
              <w:rPr>
                <w:rFonts w:eastAsiaTheme="minorEastAsia"/>
                <w:color w:val="000000" w:themeColor="text1"/>
                <w:sz w:val="28"/>
                <w:szCs w:val="28"/>
                <w:vertAlign w:val="superscript"/>
              </w:rPr>
              <w:t>3</w:t>
            </w:r>
            <w:r>
              <w:rPr>
                <w:rFonts w:eastAsiaTheme="minorEastAsia"/>
                <w:color w:val="000000" w:themeColor="text1"/>
                <w:sz w:val="28"/>
                <w:szCs w:val="28"/>
              </w:rPr>
              <w:t>）</w:t>
            </w:r>
          </w:p>
        </w:tc>
        <w:tc>
          <w:tcPr>
            <w:tcW w:w="99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堆积空隙率(%)</w:t>
            </w:r>
          </w:p>
        </w:tc>
        <w:tc>
          <w:tcPr>
            <w:tcW w:w="99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粒内孔隙率(%)</w:t>
            </w:r>
          </w:p>
        </w:tc>
        <w:tc>
          <w:tcPr>
            <w:tcW w:w="101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粒径(mm)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2" w:hRule="atLeast"/>
        </w:trPr>
        <w:tc>
          <w:tcPr>
            <w:tcW w:w="108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黏土陶粒</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4.89</w:t>
            </w:r>
          </w:p>
        </w:tc>
        <w:tc>
          <w:tcPr>
            <w:tcW w:w="103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0.39</w:t>
            </w:r>
          </w:p>
        </w:tc>
        <w:tc>
          <w:tcPr>
            <w:tcW w:w="127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875</w:t>
            </w:r>
          </w:p>
        </w:tc>
        <w:tc>
          <w:tcPr>
            <w:tcW w:w="99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w:t>
            </w:r>
          </w:p>
        </w:tc>
        <w:tc>
          <w:tcPr>
            <w:tcW w:w="12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0.7～1.0</w:t>
            </w:r>
          </w:p>
        </w:tc>
        <w:tc>
          <w:tcPr>
            <w:tcW w:w="99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&gt;42</w:t>
            </w:r>
          </w:p>
        </w:tc>
        <w:tc>
          <w:tcPr>
            <w:tcW w:w="99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&gt;30</w:t>
            </w:r>
          </w:p>
        </w:tc>
        <w:tc>
          <w:tcPr>
            <w:tcW w:w="101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2" w:hRule="atLeast"/>
        </w:trPr>
        <w:tc>
          <w:tcPr>
            <w:tcW w:w="108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页岩陶粒</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3.99</w:t>
            </w:r>
          </w:p>
        </w:tc>
        <w:tc>
          <w:tcPr>
            <w:tcW w:w="103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0.103</w:t>
            </w:r>
          </w:p>
        </w:tc>
        <w:tc>
          <w:tcPr>
            <w:tcW w:w="127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976</w:t>
            </w:r>
          </w:p>
        </w:tc>
        <w:tc>
          <w:tcPr>
            <w:tcW w:w="996" w:type="dxa"/>
            <w:vAlign w:val="center"/>
          </w:tcPr>
          <w:p>
            <w:pPr>
              <w:wordWrap w:val="0"/>
              <w:spacing w:line="360" w:lineRule="auto"/>
              <w:jc w:val="center"/>
              <w:rPr>
                <w:rFonts w:eastAsiaTheme="minorEastAsia"/>
                <w:color w:val="000000" w:themeColor="text1"/>
                <w:sz w:val="28"/>
                <w:szCs w:val="28"/>
              </w:rPr>
            </w:pPr>
          </w:p>
        </w:tc>
        <w:tc>
          <w:tcPr>
            <w:tcW w:w="1234" w:type="dxa"/>
            <w:vAlign w:val="center"/>
          </w:tcPr>
          <w:p>
            <w:pPr>
              <w:wordWrap w:val="0"/>
              <w:spacing w:line="360" w:lineRule="auto"/>
              <w:jc w:val="center"/>
              <w:rPr>
                <w:rFonts w:eastAsiaTheme="minorEastAsia"/>
                <w:color w:val="000000" w:themeColor="text1"/>
                <w:sz w:val="28"/>
                <w:szCs w:val="28"/>
              </w:rPr>
            </w:pPr>
          </w:p>
        </w:tc>
        <w:tc>
          <w:tcPr>
            <w:tcW w:w="997" w:type="dxa"/>
            <w:vAlign w:val="center"/>
          </w:tcPr>
          <w:p>
            <w:pPr>
              <w:wordWrap w:val="0"/>
              <w:spacing w:line="360" w:lineRule="auto"/>
              <w:jc w:val="center"/>
              <w:rPr>
                <w:rFonts w:eastAsiaTheme="minorEastAsia"/>
                <w:color w:val="000000" w:themeColor="text1"/>
                <w:sz w:val="28"/>
                <w:szCs w:val="28"/>
              </w:rPr>
            </w:pPr>
          </w:p>
        </w:tc>
        <w:tc>
          <w:tcPr>
            <w:tcW w:w="997" w:type="dxa"/>
            <w:vAlign w:val="center"/>
          </w:tcPr>
          <w:p>
            <w:pPr>
              <w:wordWrap w:val="0"/>
              <w:spacing w:line="360" w:lineRule="auto"/>
              <w:jc w:val="center"/>
              <w:rPr>
                <w:rFonts w:eastAsiaTheme="minorEastAsia"/>
                <w:color w:val="000000" w:themeColor="text1"/>
                <w:sz w:val="28"/>
                <w:szCs w:val="28"/>
              </w:rPr>
            </w:pPr>
          </w:p>
        </w:tc>
        <w:tc>
          <w:tcPr>
            <w:tcW w:w="1019" w:type="dxa"/>
            <w:vAlign w:val="center"/>
          </w:tcPr>
          <w:p>
            <w:pPr>
              <w:wordWrap w:val="0"/>
              <w:spacing w:line="360" w:lineRule="auto"/>
              <w:jc w:val="center"/>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2" w:hRule="atLeast"/>
        </w:trPr>
        <w:tc>
          <w:tcPr>
            <w:tcW w:w="108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沸石</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0.46</w:t>
            </w:r>
          </w:p>
        </w:tc>
        <w:tc>
          <w:tcPr>
            <w:tcW w:w="103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0.0269</w:t>
            </w:r>
          </w:p>
        </w:tc>
        <w:tc>
          <w:tcPr>
            <w:tcW w:w="127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830</w:t>
            </w:r>
          </w:p>
        </w:tc>
        <w:tc>
          <w:tcPr>
            <w:tcW w:w="996" w:type="dxa"/>
            <w:vAlign w:val="center"/>
          </w:tcPr>
          <w:p>
            <w:pPr>
              <w:wordWrap w:val="0"/>
              <w:spacing w:line="360" w:lineRule="auto"/>
              <w:jc w:val="center"/>
              <w:rPr>
                <w:rFonts w:eastAsiaTheme="minorEastAsia"/>
                <w:color w:val="000000" w:themeColor="text1"/>
                <w:sz w:val="28"/>
                <w:szCs w:val="28"/>
              </w:rPr>
            </w:pPr>
          </w:p>
        </w:tc>
        <w:tc>
          <w:tcPr>
            <w:tcW w:w="1234" w:type="dxa"/>
            <w:vAlign w:val="center"/>
          </w:tcPr>
          <w:p>
            <w:pPr>
              <w:wordWrap w:val="0"/>
              <w:spacing w:line="360" w:lineRule="auto"/>
              <w:jc w:val="center"/>
              <w:rPr>
                <w:rFonts w:eastAsiaTheme="minorEastAsia"/>
                <w:color w:val="000000" w:themeColor="text1"/>
                <w:sz w:val="28"/>
                <w:szCs w:val="28"/>
              </w:rPr>
            </w:pPr>
          </w:p>
        </w:tc>
        <w:tc>
          <w:tcPr>
            <w:tcW w:w="997" w:type="dxa"/>
            <w:vAlign w:val="center"/>
          </w:tcPr>
          <w:p>
            <w:pPr>
              <w:wordWrap w:val="0"/>
              <w:spacing w:line="360" w:lineRule="auto"/>
              <w:jc w:val="center"/>
              <w:rPr>
                <w:rFonts w:eastAsiaTheme="minorEastAsia"/>
                <w:color w:val="000000" w:themeColor="text1"/>
                <w:sz w:val="28"/>
                <w:szCs w:val="28"/>
              </w:rPr>
            </w:pPr>
          </w:p>
        </w:tc>
        <w:tc>
          <w:tcPr>
            <w:tcW w:w="997" w:type="dxa"/>
            <w:vAlign w:val="center"/>
          </w:tcPr>
          <w:p>
            <w:pPr>
              <w:wordWrap w:val="0"/>
              <w:spacing w:line="360" w:lineRule="auto"/>
              <w:jc w:val="center"/>
              <w:rPr>
                <w:rFonts w:eastAsiaTheme="minorEastAsia"/>
                <w:color w:val="000000" w:themeColor="text1"/>
                <w:sz w:val="28"/>
                <w:szCs w:val="28"/>
              </w:rPr>
            </w:pPr>
          </w:p>
        </w:tc>
        <w:tc>
          <w:tcPr>
            <w:tcW w:w="1019" w:type="dxa"/>
            <w:vAlign w:val="center"/>
          </w:tcPr>
          <w:p>
            <w:pPr>
              <w:wordWrap w:val="0"/>
              <w:spacing w:line="360" w:lineRule="auto"/>
              <w:jc w:val="center"/>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65" w:hRule="atLeast"/>
        </w:trPr>
        <w:tc>
          <w:tcPr>
            <w:tcW w:w="108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膨胀球形黏土</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3.98</w:t>
            </w:r>
          </w:p>
        </w:tc>
        <w:tc>
          <w:tcPr>
            <w:tcW w:w="1037" w:type="dxa"/>
            <w:vAlign w:val="center"/>
          </w:tcPr>
          <w:p>
            <w:pPr>
              <w:wordWrap w:val="0"/>
              <w:spacing w:line="360" w:lineRule="auto"/>
              <w:jc w:val="center"/>
              <w:rPr>
                <w:rFonts w:eastAsiaTheme="minorEastAsia"/>
                <w:color w:val="000000" w:themeColor="text1"/>
                <w:sz w:val="28"/>
                <w:szCs w:val="28"/>
              </w:rPr>
            </w:pPr>
          </w:p>
        </w:tc>
        <w:tc>
          <w:tcPr>
            <w:tcW w:w="127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密度1550(kg/m</w:t>
            </w:r>
            <w:r>
              <w:rPr>
                <w:rFonts w:eastAsiaTheme="minorEastAsia"/>
                <w:color w:val="000000" w:themeColor="text1"/>
                <w:sz w:val="28"/>
                <w:szCs w:val="28"/>
                <w:vertAlign w:val="superscript"/>
              </w:rPr>
              <w:t>3</w:t>
            </w:r>
            <w:r>
              <w:rPr>
                <w:rFonts w:eastAsiaTheme="minorEastAsia"/>
                <w:color w:val="000000" w:themeColor="text1"/>
                <w:sz w:val="28"/>
                <w:szCs w:val="28"/>
              </w:rPr>
              <w:t>)</w:t>
            </w:r>
          </w:p>
        </w:tc>
        <w:tc>
          <w:tcPr>
            <w:tcW w:w="99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w:t>
            </w:r>
          </w:p>
        </w:tc>
        <w:tc>
          <w:tcPr>
            <w:tcW w:w="1234" w:type="dxa"/>
            <w:vAlign w:val="center"/>
          </w:tcPr>
          <w:p>
            <w:pPr>
              <w:wordWrap w:val="0"/>
              <w:spacing w:line="360" w:lineRule="auto"/>
              <w:jc w:val="center"/>
              <w:rPr>
                <w:rFonts w:eastAsiaTheme="minorEastAsia"/>
                <w:color w:val="000000" w:themeColor="text1"/>
                <w:sz w:val="28"/>
                <w:szCs w:val="28"/>
              </w:rPr>
            </w:pPr>
          </w:p>
        </w:tc>
        <w:tc>
          <w:tcPr>
            <w:tcW w:w="997" w:type="dxa"/>
            <w:vAlign w:val="center"/>
          </w:tcPr>
          <w:p>
            <w:pPr>
              <w:wordWrap w:val="0"/>
              <w:spacing w:line="360" w:lineRule="auto"/>
              <w:jc w:val="center"/>
              <w:rPr>
                <w:rFonts w:eastAsiaTheme="minorEastAsia"/>
                <w:color w:val="000000" w:themeColor="text1"/>
                <w:sz w:val="28"/>
                <w:szCs w:val="28"/>
              </w:rPr>
            </w:pPr>
          </w:p>
        </w:tc>
        <w:tc>
          <w:tcPr>
            <w:tcW w:w="997" w:type="dxa"/>
            <w:vAlign w:val="center"/>
          </w:tcPr>
          <w:p>
            <w:pPr>
              <w:wordWrap w:val="0"/>
              <w:spacing w:line="360" w:lineRule="auto"/>
              <w:jc w:val="center"/>
              <w:rPr>
                <w:rFonts w:eastAsiaTheme="minorEastAsia"/>
                <w:color w:val="000000" w:themeColor="text1"/>
                <w:sz w:val="28"/>
                <w:szCs w:val="28"/>
              </w:rPr>
            </w:pPr>
          </w:p>
        </w:tc>
        <w:tc>
          <w:tcPr>
            <w:tcW w:w="101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3.5～6.2</w:t>
            </w:r>
          </w:p>
        </w:tc>
      </w:tr>
    </w:tbl>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曝气生物滤池的反冲洗宜采用气水联合反冲洗，通过滤头实现。反冲洗空气强度宜为10 L/(m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·s)～15L/(m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·s)， 反冲洗水强度不应超过8L/(m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·s)。</w:t>
      </w:r>
    </w:p>
    <w:p>
      <w:pPr>
        <w:wordWrap w:val="0"/>
        <w:rPr>
          <w:rFonts w:eastAsiaTheme="minorEastAsia"/>
          <w:color w:val="000000" w:themeColor="text1"/>
          <w:sz w:val="28"/>
          <w:szCs w:val="28"/>
        </w:rPr>
      </w:pPr>
      <w:r>
        <w:rPr>
          <w:rFonts w:eastAsiaTheme="minorEastAsia"/>
          <w:color w:val="000000" w:themeColor="text1"/>
          <w:sz w:val="28"/>
          <w:szCs w:val="28"/>
        </w:rPr>
        <w:t>【条文说明】曝气生物滤池反冲洗通过滤板和固定其上的长柄滤头来实现，由单独气冲洗、气水联合反冲洗、单独水洗三个过程组成。反冲洗周期，根据水质参数和滤料层阻力加以控制，一般24h为一周期，反冲洗水量为进水水量的8%左右。反冲洗出水平均悬浮固体可达600mg/L。</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曝气生物滤池用于二级处理时，污泥产率系数可为0.3~0.5kgVSS/kgBOD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曝气生物滤池设计参数宜根据实验资料确定，无实验资料时，可采用经验数据或按表7.</w:t>
      </w:r>
      <w:r>
        <w:rPr>
          <w:rFonts w:hint="eastAsia" w:ascii="Times New Roman" w:hAnsi="Times New Roman" w:eastAsiaTheme="minorEastAsia"/>
          <w:color w:val="000000" w:themeColor="text1"/>
          <w:sz w:val="28"/>
          <w:szCs w:val="28"/>
        </w:rPr>
        <w:t>8</w:t>
      </w:r>
      <w:r>
        <w:rPr>
          <w:rFonts w:ascii="Times New Roman" w:hAnsi="Times New Roman" w:eastAsiaTheme="minorEastAsia"/>
          <w:color w:val="000000" w:themeColor="text1"/>
          <w:sz w:val="28"/>
          <w:szCs w:val="28"/>
        </w:rPr>
        <w:t>.21取值。</w:t>
      </w:r>
    </w:p>
    <w:p>
      <w:pPr>
        <w:widowControl/>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表7.</w:t>
      </w:r>
      <w:r>
        <w:rPr>
          <w:rFonts w:hint="eastAsia" w:eastAsiaTheme="minorEastAsia"/>
          <w:b/>
          <w:color w:val="000000" w:themeColor="text1"/>
          <w:sz w:val="28"/>
          <w:szCs w:val="28"/>
        </w:rPr>
        <w:t>8</w:t>
      </w:r>
      <w:r>
        <w:rPr>
          <w:rFonts w:eastAsiaTheme="minorEastAsia"/>
          <w:b/>
          <w:color w:val="000000" w:themeColor="text1"/>
          <w:sz w:val="28"/>
          <w:szCs w:val="28"/>
        </w:rPr>
        <w:t>.21 曝气生物滤池设计参数</w:t>
      </w:r>
    </w:p>
    <w:tbl>
      <w:tblPr>
        <w:tblStyle w:val="25"/>
        <w:tblW w:w="8528" w:type="dxa"/>
        <w:tblInd w:w="0" w:type="dxa"/>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585"/>
        <w:gridCol w:w="3561"/>
        <w:gridCol w:w="1649"/>
      </w:tblGrid>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33"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类型</w:t>
            </w:r>
          </w:p>
        </w:tc>
        <w:tc>
          <w:tcPr>
            <w:tcW w:w="1585"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功能</w:t>
            </w:r>
          </w:p>
        </w:tc>
        <w:tc>
          <w:tcPr>
            <w:tcW w:w="3561"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参数</w:t>
            </w:r>
          </w:p>
        </w:tc>
        <w:tc>
          <w:tcPr>
            <w:tcW w:w="1649"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取值</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33" w:type="dxa"/>
            <w:vMerge w:val="restart"/>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碳氧化曝气生物滤池</w:t>
            </w:r>
          </w:p>
        </w:tc>
        <w:tc>
          <w:tcPr>
            <w:tcW w:w="1585" w:type="dxa"/>
            <w:vMerge w:val="restart"/>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降解污水中含碳有机物</w:t>
            </w:r>
          </w:p>
        </w:tc>
        <w:tc>
          <w:tcPr>
            <w:tcW w:w="3561"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滤池表面水力负荷（滤速）</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·h（m/h）]</w:t>
            </w:r>
          </w:p>
        </w:tc>
        <w:tc>
          <w:tcPr>
            <w:tcW w:w="1649"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3.0-6.0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33" w:type="dxa"/>
            <w:vMerge w:val="continue"/>
            <w:shd w:val="clear" w:color="auto" w:fill="auto"/>
            <w:vAlign w:val="center"/>
          </w:tcPr>
          <w:p>
            <w:pPr>
              <w:wordWrap w:val="0"/>
              <w:spacing w:line="360" w:lineRule="auto"/>
              <w:jc w:val="center"/>
              <w:rPr>
                <w:rFonts w:eastAsiaTheme="minorEastAsia"/>
                <w:color w:val="000000" w:themeColor="text1"/>
                <w:sz w:val="28"/>
                <w:szCs w:val="28"/>
              </w:rPr>
            </w:pPr>
          </w:p>
        </w:tc>
        <w:tc>
          <w:tcPr>
            <w:tcW w:w="1585" w:type="dxa"/>
            <w:vMerge w:val="continue"/>
            <w:shd w:val="clear" w:color="auto" w:fill="auto"/>
            <w:vAlign w:val="center"/>
          </w:tcPr>
          <w:p>
            <w:pPr>
              <w:wordWrap w:val="0"/>
              <w:spacing w:line="360" w:lineRule="auto"/>
              <w:jc w:val="center"/>
              <w:rPr>
                <w:rFonts w:eastAsiaTheme="minorEastAsia"/>
                <w:color w:val="000000" w:themeColor="text1"/>
                <w:sz w:val="28"/>
                <w:szCs w:val="28"/>
              </w:rPr>
            </w:pPr>
          </w:p>
        </w:tc>
        <w:tc>
          <w:tcPr>
            <w:tcW w:w="3561"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BOD负荷</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kgBOD/（m</w:t>
            </w:r>
            <w:r>
              <w:rPr>
                <w:rFonts w:eastAsiaTheme="minorEastAsia"/>
                <w:color w:val="000000" w:themeColor="text1"/>
                <w:sz w:val="28"/>
                <w:szCs w:val="28"/>
                <w:vertAlign w:val="superscript"/>
              </w:rPr>
              <w:t>3</w:t>
            </w:r>
            <w:r>
              <w:rPr>
                <w:rFonts w:eastAsiaTheme="minorEastAsia"/>
                <w:color w:val="000000" w:themeColor="text1"/>
                <w:sz w:val="28"/>
                <w:szCs w:val="28"/>
              </w:rPr>
              <w:t>·d）</w:t>
            </w:r>
          </w:p>
        </w:tc>
        <w:tc>
          <w:tcPr>
            <w:tcW w:w="1649"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2.5-6.0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33" w:type="dxa"/>
            <w:vMerge w:val="restart"/>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碳氧化/硝化曝气生物滤池</w:t>
            </w:r>
          </w:p>
        </w:tc>
        <w:tc>
          <w:tcPr>
            <w:tcW w:w="1585" w:type="dxa"/>
            <w:vMerge w:val="restart"/>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降解污水中含碳有机物并对氨氮进行部分硝化</w:t>
            </w:r>
          </w:p>
        </w:tc>
        <w:tc>
          <w:tcPr>
            <w:tcW w:w="3561"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滤池表面水力负荷（滤速）</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·h（m/h）]</w:t>
            </w:r>
          </w:p>
        </w:tc>
        <w:tc>
          <w:tcPr>
            <w:tcW w:w="1649"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2.5-4.0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33" w:type="dxa"/>
            <w:vMerge w:val="continue"/>
            <w:shd w:val="clear" w:color="auto" w:fill="auto"/>
            <w:vAlign w:val="center"/>
          </w:tcPr>
          <w:p>
            <w:pPr>
              <w:wordWrap w:val="0"/>
              <w:spacing w:line="360" w:lineRule="auto"/>
              <w:jc w:val="center"/>
              <w:rPr>
                <w:rFonts w:eastAsiaTheme="minorEastAsia"/>
                <w:color w:val="000000" w:themeColor="text1"/>
                <w:sz w:val="28"/>
                <w:szCs w:val="28"/>
              </w:rPr>
            </w:pPr>
          </w:p>
        </w:tc>
        <w:tc>
          <w:tcPr>
            <w:tcW w:w="1585" w:type="dxa"/>
            <w:vMerge w:val="continue"/>
            <w:shd w:val="clear" w:color="auto" w:fill="auto"/>
            <w:vAlign w:val="center"/>
          </w:tcPr>
          <w:p>
            <w:pPr>
              <w:wordWrap w:val="0"/>
              <w:spacing w:line="360" w:lineRule="auto"/>
              <w:jc w:val="center"/>
              <w:rPr>
                <w:rFonts w:eastAsiaTheme="minorEastAsia"/>
                <w:color w:val="000000" w:themeColor="text1"/>
                <w:sz w:val="28"/>
                <w:szCs w:val="28"/>
              </w:rPr>
            </w:pPr>
          </w:p>
        </w:tc>
        <w:tc>
          <w:tcPr>
            <w:tcW w:w="3561"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BOD负荷</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kgBOD/（m</w:t>
            </w:r>
            <w:r>
              <w:rPr>
                <w:rFonts w:eastAsiaTheme="minorEastAsia"/>
                <w:color w:val="000000" w:themeColor="text1"/>
                <w:sz w:val="28"/>
                <w:szCs w:val="28"/>
                <w:vertAlign w:val="superscript"/>
              </w:rPr>
              <w:t>3</w:t>
            </w:r>
            <w:r>
              <w:rPr>
                <w:rFonts w:eastAsiaTheme="minorEastAsia"/>
                <w:color w:val="000000" w:themeColor="text1"/>
                <w:sz w:val="28"/>
                <w:szCs w:val="28"/>
              </w:rPr>
              <w:t>·d）</w:t>
            </w:r>
          </w:p>
        </w:tc>
        <w:tc>
          <w:tcPr>
            <w:tcW w:w="1649"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1.2-2.0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PrEx>
        <w:trPr>
          <w:cantSplit/>
          <w:trHeight w:val="340" w:hRule="atLeast"/>
        </w:trPr>
        <w:tc>
          <w:tcPr>
            <w:tcW w:w="1733" w:type="dxa"/>
            <w:vMerge w:val="continue"/>
            <w:shd w:val="clear" w:color="auto" w:fill="auto"/>
            <w:vAlign w:val="center"/>
          </w:tcPr>
          <w:p>
            <w:pPr>
              <w:wordWrap w:val="0"/>
              <w:spacing w:line="360" w:lineRule="auto"/>
              <w:jc w:val="center"/>
              <w:rPr>
                <w:rFonts w:eastAsiaTheme="minorEastAsia"/>
                <w:color w:val="000000" w:themeColor="text1"/>
                <w:sz w:val="28"/>
                <w:szCs w:val="28"/>
              </w:rPr>
            </w:pPr>
          </w:p>
        </w:tc>
        <w:tc>
          <w:tcPr>
            <w:tcW w:w="1585" w:type="dxa"/>
            <w:vMerge w:val="continue"/>
            <w:shd w:val="clear" w:color="auto" w:fill="auto"/>
            <w:vAlign w:val="center"/>
          </w:tcPr>
          <w:p>
            <w:pPr>
              <w:wordWrap w:val="0"/>
              <w:spacing w:line="360" w:lineRule="auto"/>
              <w:jc w:val="center"/>
              <w:rPr>
                <w:rFonts w:eastAsiaTheme="minorEastAsia"/>
                <w:color w:val="000000" w:themeColor="text1"/>
                <w:sz w:val="28"/>
                <w:szCs w:val="28"/>
              </w:rPr>
            </w:pPr>
          </w:p>
        </w:tc>
        <w:tc>
          <w:tcPr>
            <w:tcW w:w="3561"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硝化负荷</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kgNH</w:t>
            </w:r>
            <w:r>
              <w:rPr>
                <w:rFonts w:eastAsiaTheme="minorEastAsia"/>
                <w:color w:val="000000" w:themeColor="text1"/>
                <w:sz w:val="28"/>
                <w:szCs w:val="28"/>
                <w:vertAlign w:val="subscript"/>
              </w:rPr>
              <w:t>3</w:t>
            </w:r>
            <w:r>
              <w:rPr>
                <w:rFonts w:eastAsiaTheme="minorEastAsia"/>
                <w:color w:val="000000" w:themeColor="text1"/>
                <w:sz w:val="28"/>
                <w:szCs w:val="28"/>
              </w:rPr>
              <w:t>-N/（m</w:t>
            </w:r>
            <w:r>
              <w:rPr>
                <w:rFonts w:eastAsiaTheme="minorEastAsia"/>
                <w:color w:val="000000" w:themeColor="text1"/>
                <w:sz w:val="28"/>
                <w:szCs w:val="28"/>
                <w:vertAlign w:val="superscript"/>
              </w:rPr>
              <w:t>3</w:t>
            </w:r>
            <w:r>
              <w:rPr>
                <w:rFonts w:eastAsiaTheme="minorEastAsia"/>
                <w:color w:val="000000" w:themeColor="text1"/>
                <w:sz w:val="28"/>
                <w:szCs w:val="28"/>
              </w:rPr>
              <w:t>·d）</w:t>
            </w:r>
          </w:p>
        </w:tc>
        <w:tc>
          <w:tcPr>
            <w:tcW w:w="1649"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0.4-0.6</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33" w:type="dxa"/>
            <w:vMerge w:val="restart"/>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硝化曝气生物滤池</w:t>
            </w:r>
          </w:p>
        </w:tc>
        <w:tc>
          <w:tcPr>
            <w:tcW w:w="1585" w:type="dxa"/>
            <w:vMerge w:val="restart"/>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对污水中氨氮进行硝化</w:t>
            </w:r>
          </w:p>
        </w:tc>
        <w:tc>
          <w:tcPr>
            <w:tcW w:w="3561"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滤池表面水力负荷（滤速）</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·h（m/h）]</w:t>
            </w:r>
          </w:p>
        </w:tc>
        <w:tc>
          <w:tcPr>
            <w:tcW w:w="1649"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3.0-12.0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33" w:type="dxa"/>
            <w:vMerge w:val="continue"/>
            <w:shd w:val="clear" w:color="auto" w:fill="auto"/>
            <w:vAlign w:val="center"/>
          </w:tcPr>
          <w:p>
            <w:pPr>
              <w:wordWrap w:val="0"/>
              <w:spacing w:line="360" w:lineRule="auto"/>
              <w:jc w:val="center"/>
              <w:rPr>
                <w:rFonts w:eastAsiaTheme="minorEastAsia"/>
                <w:color w:val="000000" w:themeColor="text1"/>
                <w:sz w:val="28"/>
                <w:szCs w:val="28"/>
              </w:rPr>
            </w:pPr>
          </w:p>
        </w:tc>
        <w:tc>
          <w:tcPr>
            <w:tcW w:w="1585" w:type="dxa"/>
            <w:vMerge w:val="continue"/>
            <w:shd w:val="clear" w:color="auto" w:fill="auto"/>
            <w:vAlign w:val="center"/>
          </w:tcPr>
          <w:p>
            <w:pPr>
              <w:wordWrap w:val="0"/>
              <w:spacing w:line="360" w:lineRule="auto"/>
              <w:jc w:val="center"/>
              <w:rPr>
                <w:rFonts w:eastAsiaTheme="minorEastAsia"/>
                <w:color w:val="000000" w:themeColor="text1"/>
                <w:sz w:val="28"/>
                <w:szCs w:val="28"/>
              </w:rPr>
            </w:pPr>
          </w:p>
        </w:tc>
        <w:tc>
          <w:tcPr>
            <w:tcW w:w="3561"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硝化负荷</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kgNH</w:t>
            </w:r>
            <w:r>
              <w:rPr>
                <w:rFonts w:eastAsiaTheme="minorEastAsia"/>
                <w:color w:val="000000" w:themeColor="text1"/>
                <w:sz w:val="28"/>
                <w:szCs w:val="28"/>
                <w:vertAlign w:val="subscript"/>
              </w:rPr>
              <w:t>3</w:t>
            </w:r>
            <w:r>
              <w:rPr>
                <w:rFonts w:eastAsiaTheme="minorEastAsia"/>
                <w:color w:val="000000" w:themeColor="text1"/>
                <w:sz w:val="28"/>
                <w:szCs w:val="28"/>
              </w:rPr>
              <w:t>-N/（m</w:t>
            </w:r>
            <w:r>
              <w:rPr>
                <w:rFonts w:eastAsiaTheme="minorEastAsia"/>
                <w:color w:val="000000" w:themeColor="text1"/>
                <w:sz w:val="28"/>
                <w:szCs w:val="28"/>
                <w:vertAlign w:val="superscript"/>
              </w:rPr>
              <w:t>3</w:t>
            </w:r>
            <w:r>
              <w:rPr>
                <w:rFonts w:eastAsiaTheme="minorEastAsia"/>
                <w:color w:val="000000" w:themeColor="text1"/>
                <w:sz w:val="28"/>
                <w:szCs w:val="28"/>
              </w:rPr>
              <w:t>·d）</w:t>
            </w:r>
          </w:p>
        </w:tc>
        <w:tc>
          <w:tcPr>
            <w:tcW w:w="1649"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0.6-1.0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33" w:type="dxa"/>
            <w:vMerge w:val="restart"/>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前置反硝化生物滤池</w:t>
            </w:r>
          </w:p>
        </w:tc>
        <w:tc>
          <w:tcPr>
            <w:tcW w:w="1585" w:type="dxa"/>
            <w:vMerge w:val="restart"/>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利用污水中的碳源对硝态氮进行反硝化</w:t>
            </w:r>
          </w:p>
        </w:tc>
        <w:tc>
          <w:tcPr>
            <w:tcW w:w="3561"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滤池表面水力负荷（滤速）</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·h（m/h）]</w:t>
            </w:r>
          </w:p>
        </w:tc>
        <w:tc>
          <w:tcPr>
            <w:tcW w:w="1649"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8.0-10.0（含回流）</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33" w:type="dxa"/>
            <w:vMerge w:val="continue"/>
            <w:shd w:val="clear" w:color="auto" w:fill="auto"/>
            <w:vAlign w:val="center"/>
          </w:tcPr>
          <w:p>
            <w:pPr>
              <w:wordWrap w:val="0"/>
              <w:spacing w:line="360" w:lineRule="auto"/>
              <w:jc w:val="center"/>
              <w:rPr>
                <w:rFonts w:eastAsiaTheme="minorEastAsia"/>
                <w:color w:val="000000" w:themeColor="text1"/>
                <w:sz w:val="28"/>
                <w:szCs w:val="28"/>
              </w:rPr>
            </w:pPr>
          </w:p>
        </w:tc>
        <w:tc>
          <w:tcPr>
            <w:tcW w:w="1585" w:type="dxa"/>
            <w:vMerge w:val="continue"/>
            <w:shd w:val="clear" w:color="auto" w:fill="auto"/>
            <w:vAlign w:val="center"/>
          </w:tcPr>
          <w:p>
            <w:pPr>
              <w:wordWrap w:val="0"/>
              <w:spacing w:line="360" w:lineRule="auto"/>
              <w:jc w:val="center"/>
              <w:rPr>
                <w:rFonts w:eastAsiaTheme="minorEastAsia"/>
                <w:color w:val="000000" w:themeColor="text1"/>
                <w:sz w:val="28"/>
                <w:szCs w:val="28"/>
              </w:rPr>
            </w:pPr>
          </w:p>
        </w:tc>
        <w:tc>
          <w:tcPr>
            <w:tcW w:w="3561"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反硝化负荷</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kgNO</w:t>
            </w:r>
            <w:r>
              <w:rPr>
                <w:rFonts w:eastAsiaTheme="minorEastAsia"/>
                <w:color w:val="000000" w:themeColor="text1"/>
                <w:sz w:val="28"/>
                <w:szCs w:val="28"/>
                <w:vertAlign w:val="subscript"/>
              </w:rPr>
              <w:t>3</w:t>
            </w:r>
            <w:r>
              <w:rPr>
                <w:rFonts w:eastAsiaTheme="minorEastAsia"/>
                <w:color w:val="000000" w:themeColor="text1"/>
                <w:sz w:val="28"/>
                <w:szCs w:val="28"/>
                <w:vertAlign w:val="superscript"/>
              </w:rPr>
              <w:t>-</w:t>
            </w:r>
            <w:r>
              <w:rPr>
                <w:rFonts w:eastAsiaTheme="minorEastAsia"/>
                <w:color w:val="000000" w:themeColor="text1"/>
                <w:sz w:val="28"/>
                <w:szCs w:val="28"/>
              </w:rPr>
              <w:t>-N/（m</w:t>
            </w:r>
            <w:r>
              <w:rPr>
                <w:rFonts w:eastAsiaTheme="minorEastAsia"/>
                <w:color w:val="000000" w:themeColor="text1"/>
                <w:sz w:val="28"/>
                <w:szCs w:val="28"/>
                <w:vertAlign w:val="superscript"/>
              </w:rPr>
              <w:t>3</w:t>
            </w:r>
            <w:r>
              <w:rPr>
                <w:rFonts w:eastAsiaTheme="minorEastAsia"/>
                <w:color w:val="000000" w:themeColor="text1"/>
                <w:sz w:val="28"/>
                <w:szCs w:val="28"/>
              </w:rPr>
              <w:t>·d）</w:t>
            </w:r>
          </w:p>
        </w:tc>
        <w:tc>
          <w:tcPr>
            <w:tcW w:w="1649"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0.8-1.2</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33" w:type="dxa"/>
            <w:vMerge w:val="restart"/>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后置反硝化生物滤池</w:t>
            </w:r>
          </w:p>
        </w:tc>
        <w:tc>
          <w:tcPr>
            <w:tcW w:w="1585" w:type="dxa"/>
            <w:vMerge w:val="restart"/>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利用外加碳源对硝态氮进行反硝化</w:t>
            </w:r>
          </w:p>
        </w:tc>
        <w:tc>
          <w:tcPr>
            <w:tcW w:w="3561"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滤池表面水力负荷（滤速）</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·h（m/h）]</w:t>
            </w:r>
          </w:p>
        </w:tc>
        <w:tc>
          <w:tcPr>
            <w:tcW w:w="1649"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8.0-12.0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PrEx>
        <w:trPr>
          <w:cantSplit/>
          <w:trHeight w:val="340" w:hRule="atLeast"/>
        </w:trPr>
        <w:tc>
          <w:tcPr>
            <w:tcW w:w="1733" w:type="dxa"/>
            <w:vMerge w:val="continue"/>
            <w:shd w:val="clear" w:color="auto" w:fill="auto"/>
            <w:vAlign w:val="center"/>
          </w:tcPr>
          <w:p>
            <w:pPr>
              <w:wordWrap w:val="0"/>
              <w:spacing w:line="360" w:lineRule="auto"/>
              <w:jc w:val="center"/>
              <w:rPr>
                <w:rFonts w:eastAsiaTheme="minorEastAsia"/>
                <w:color w:val="000000" w:themeColor="text1"/>
                <w:sz w:val="28"/>
                <w:szCs w:val="28"/>
              </w:rPr>
            </w:pPr>
          </w:p>
        </w:tc>
        <w:tc>
          <w:tcPr>
            <w:tcW w:w="1585" w:type="dxa"/>
            <w:vMerge w:val="continue"/>
            <w:shd w:val="clear" w:color="auto" w:fill="auto"/>
            <w:vAlign w:val="center"/>
          </w:tcPr>
          <w:p>
            <w:pPr>
              <w:wordWrap w:val="0"/>
              <w:spacing w:line="360" w:lineRule="auto"/>
              <w:jc w:val="center"/>
              <w:rPr>
                <w:rFonts w:eastAsiaTheme="minorEastAsia"/>
                <w:color w:val="000000" w:themeColor="text1"/>
                <w:sz w:val="28"/>
                <w:szCs w:val="28"/>
              </w:rPr>
            </w:pPr>
          </w:p>
        </w:tc>
        <w:tc>
          <w:tcPr>
            <w:tcW w:w="3561"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反硝化负荷</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kgNO</w:t>
            </w:r>
            <w:r>
              <w:rPr>
                <w:rFonts w:eastAsiaTheme="minorEastAsia"/>
                <w:color w:val="000000" w:themeColor="text1"/>
                <w:sz w:val="28"/>
                <w:szCs w:val="28"/>
                <w:vertAlign w:val="subscript"/>
              </w:rPr>
              <w:t>3</w:t>
            </w:r>
            <w:r>
              <w:rPr>
                <w:rFonts w:eastAsiaTheme="minorEastAsia"/>
                <w:color w:val="000000" w:themeColor="text1"/>
                <w:sz w:val="28"/>
                <w:szCs w:val="28"/>
                <w:vertAlign w:val="superscript"/>
              </w:rPr>
              <w:t>-</w:t>
            </w:r>
            <w:r>
              <w:rPr>
                <w:rFonts w:eastAsiaTheme="minorEastAsia"/>
                <w:color w:val="000000" w:themeColor="text1"/>
                <w:sz w:val="28"/>
                <w:szCs w:val="28"/>
              </w:rPr>
              <w:t>-N/（m</w:t>
            </w:r>
            <w:r>
              <w:rPr>
                <w:rFonts w:eastAsiaTheme="minorEastAsia"/>
                <w:color w:val="000000" w:themeColor="text1"/>
                <w:sz w:val="28"/>
                <w:szCs w:val="28"/>
                <w:vertAlign w:val="superscript"/>
              </w:rPr>
              <w:t>3</w:t>
            </w:r>
            <w:r>
              <w:rPr>
                <w:rFonts w:eastAsiaTheme="minorEastAsia"/>
                <w:color w:val="000000" w:themeColor="text1"/>
                <w:sz w:val="28"/>
                <w:szCs w:val="28"/>
              </w:rPr>
              <w:t>·d）</w:t>
            </w:r>
          </w:p>
        </w:tc>
        <w:tc>
          <w:tcPr>
            <w:tcW w:w="1649" w:type="dxa"/>
            <w:shd w:val="clear" w:color="auto" w:fill="auto"/>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1.5-3.0</w:t>
            </w:r>
          </w:p>
        </w:tc>
      </w:tr>
    </w:tbl>
    <w:p>
      <w:pPr>
        <w:widowControl/>
        <w:wordWrap w:val="0"/>
        <w:jc w:val="center"/>
        <w:rPr>
          <w:rFonts w:eastAsiaTheme="minorEastAsia"/>
          <w:color w:val="000000" w:themeColor="text1"/>
          <w:sz w:val="28"/>
          <w:szCs w:val="28"/>
        </w:rPr>
      </w:pPr>
      <w:r>
        <w:rPr>
          <w:rFonts w:eastAsiaTheme="minorEastAsia"/>
          <w:color w:val="000000" w:themeColor="text1"/>
          <w:sz w:val="28"/>
          <w:szCs w:val="28"/>
        </w:rPr>
        <w:t>IV  生物转盘</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生物转盘处理工艺流程宜为：初次沉淀池，生物转盘，二次沉淀池。根据污水水量、水质和处理程度等，生物转盘可采用单轴单级式、单轴多级式或多轴多级式布置形式。</w:t>
      </w:r>
    </w:p>
    <w:p>
      <w:pPr>
        <w:wordWrap w:val="0"/>
        <w:rPr>
          <w:rFonts w:eastAsiaTheme="minorEastAsia"/>
          <w:color w:val="000000" w:themeColor="text1"/>
          <w:sz w:val="28"/>
          <w:szCs w:val="28"/>
        </w:rPr>
      </w:pPr>
      <w:r>
        <w:rPr>
          <w:rFonts w:eastAsiaTheme="minorEastAsia"/>
          <w:color w:val="000000" w:themeColor="text1"/>
          <w:sz w:val="28"/>
          <w:szCs w:val="28"/>
        </w:rPr>
        <w:t>【条文说明】生物转盘可分为单轴单级式、单轴多级式和多轴多级式。对单轴转盘，可在槽内设隔板分段；对多轴转盘，可以轴或槽分段。</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生物转盘的盘体材料应质轻、高强度、耐腐蚀、抗老化、易挂膜、比表面积大以及方便安装、养护和运输。</w:t>
      </w:r>
    </w:p>
    <w:p>
      <w:pPr>
        <w:wordWrap w:val="0"/>
        <w:rPr>
          <w:rFonts w:eastAsiaTheme="minorEastAsia"/>
          <w:color w:val="000000" w:themeColor="text1"/>
          <w:sz w:val="28"/>
          <w:szCs w:val="28"/>
        </w:rPr>
      </w:pPr>
      <w:r>
        <w:rPr>
          <w:rFonts w:eastAsiaTheme="minorEastAsia"/>
          <w:color w:val="000000" w:themeColor="text1"/>
          <w:sz w:val="28"/>
          <w:szCs w:val="28"/>
        </w:rPr>
        <w:t>【条文说明】盘体材料应轻质、高强度、比表面积大、易于挂膜、使用寿命长和便于安装运输。盘体宜由高密度聚乙烯、聚氯乙烯或聚酯玻璃钢等制成。</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生物转盘反应槽的设计，应符合下列规定：</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反应槽断面形状应呈半圆形；</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盘片外缘与槽壁的净距不宜小于150mm；盘片净距：进水端宜为25mm～35mm，出水端宜为10mm～20mm；</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盘片在槽内的浸没深度不应小于盘片直径的35%，转轴中心高度应高出水位150mm以上。</w:t>
      </w:r>
    </w:p>
    <w:p>
      <w:pPr>
        <w:wordWrap w:val="0"/>
        <w:rPr>
          <w:rFonts w:eastAsiaTheme="minorEastAsia"/>
          <w:color w:val="000000" w:themeColor="text1"/>
          <w:sz w:val="28"/>
          <w:szCs w:val="28"/>
        </w:rPr>
      </w:pPr>
      <w:r>
        <w:rPr>
          <w:rFonts w:eastAsiaTheme="minorEastAsia"/>
          <w:color w:val="000000" w:themeColor="text1"/>
          <w:sz w:val="28"/>
          <w:szCs w:val="28"/>
        </w:rPr>
        <w:t>【条文说明】</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1</w:t>
      </w:r>
      <w:r>
        <w:rPr>
          <w:rFonts w:eastAsiaTheme="minorEastAsia"/>
          <w:color w:val="000000" w:themeColor="text1"/>
          <w:sz w:val="28"/>
          <w:szCs w:val="28"/>
        </w:rPr>
        <w:t xml:space="preserve"> 反应槽的断面形状呈半圆形，可与盘体外形基本吻合。</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2</w:t>
      </w:r>
      <w:r>
        <w:rPr>
          <w:rFonts w:eastAsiaTheme="minorEastAsia"/>
          <w:color w:val="000000" w:themeColor="text1"/>
          <w:sz w:val="28"/>
          <w:szCs w:val="28"/>
        </w:rPr>
        <w:t xml:space="preserve"> 盘体外缘与槽壁净距的要求是为了保证盘体外缘的通风。盘片净距取决于盘片直径和生物膜厚度，一般为10mm～35mm，污水浓度高，取上限值，以免生物膜造成堵塞。如采用多级转盘，则前数级的盘片间距为25mm～35mm，后数级为10mm～20mm。</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3</w:t>
      </w:r>
      <w:r>
        <w:rPr>
          <w:rFonts w:eastAsiaTheme="minorEastAsia"/>
          <w:color w:val="000000" w:themeColor="text1"/>
          <w:sz w:val="28"/>
          <w:szCs w:val="28"/>
        </w:rPr>
        <w:t xml:space="preserve"> 为确保处理效率，盘片在槽内的浸没深度不应小于盘片直径的35%。水槽容积与盘片总面积的比值，影响着水在槽中的平均停留时间，一般采用5L/m</w:t>
      </w:r>
      <w:r>
        <w:rPr>
          <w:rFonts w:eastAsiaTheme="minorEastAsia"/>
          <w:color w:val="000000" w:themeColor="text1"/>
          <w:sz w:val="28"/>
          <w:szCs w:val="28"/>
          <w:vertAlign w:val="superscript"/>
        </w:rPr>
        <w:t>2</w:t>
      </w:r>
      <w:r>
        <w:rPr>
          <w:rFonts w:eastAsiaTheme="minorEastAsia"/>
          <w:color w:val="000000" w:themeColor="text1"/>
          <w:sz w:val="28"/>
          <w:szCs w:val="28"/>
        </w:rPr>
        <w:t>～9L/m</w:t>
      </w:r>
      <w:r>
        <w:rPr>
          <w:rFonts w:eastAsiaTheme="minorEastAsia"/>
          <w:color w:val="000000" w:themeColor="text1"/>
          <w:sz w:val="28"/>
          <w:szCs w:val="28"/>
          <w:vertAlign w:val="superscript"/>
        </w:rPr>
        <w:t>2</w:t>
      </w:r>
      <w:r>
        <w:rPr>
          <w:rFonts w:eastAsiaTheme="minorEastAsia"/>
          <w:color w:val="000000" w:themeColor="text1"/>
          <w:sz w:val="28"/>
          <w:szCs w:val="28"/>
        </w:rPr>
        <w:t>。</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生物转盘转速宜为2.0r/mim～4.0r/mim，盘体外缘线速度宜为15m/min～19m/min。</w:t>
      </w:r>
    </w:p>
    <w:p>
      <w:pPr>
        <w:wordWrap w:val="0"/>
        <w:rPr>
          <w:rFonts w:eastAsiaTheme="minorEastAsia"/>
          <w:color w:val="000000" w:themeColor="text1"/>
          <w:sz w:val="28"/>
          <w:szCs w:val="28"/>
        </w:rPr>
      </w:pPr>
      <w:r>
        <w:rPr>
          <w:rFonts w:eastAsiaTheme="minorEastAsia"/>
          <w:color w:val="000000" w:themeColor="text1"/>
          <w:sz w:val="28"/>
          <w:szCs w:val="28"/>
        </w:rPr>
        <w:t>【条文说明】生物转盘转速宜为2.0r/min～4.0r/min，转速过高有损于设备的机械强度，同时在盘片上易产生较大的剪切力，易使生物膜过早剥离。一般对于小直径转盘的线速度采用15m/min;中大直径转盘采用19m/min。</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生物转盘的转轴强度和挠度必须满足盘体自重和运行过程中附加荷重的要求。</w:t>
      </w:r>
    </w:p>
    <w:p>
      <w:pPr>
        <w:wordWrap w:val="0"/>
        <w:rPr>
          <w:rFonts w:eastAsiaTheme="minorEastAsia"/>
          <w:color w:val="000000" w:themeColor="text1"/>
          <w:sz w:val="28"/>
          <w:szCs w:val="28"/>
        </w:rPr>
      </w:pPr>
      <w:r>
        <w:rPr>
          <w:rFonts w:eastAsiaTheme="minorEastAsia"/>
          <w:color w:val="000000" w:themeColor="text1"/>
          <w:sz w:val="28"/>
          <w:szCs w:val="28"/>
        </w:rPr>
        <w:t>【条文说明】生物转盘的转轴强度和挠度必须满足盘体自重、生物膜和附着水重量形成的挠度及启动时扭矩的要求。</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生物转盘的设计负荷宜根据试验资料确定，无试验资料时，五日生化需氧量表面有机负荷，以盘片面积计，宜为0.005gBOD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·d）～0.020kgBOD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·d），首级转盘不宜超过0.030gBOD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·d）～0.040kgBOD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·d）；表面水力负荷以盘片面积计，宜为0.04m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·d）～0.20m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·d）。</w:t>
      </w:r>
    </w:p>
    <w:p>
      <w:pPr>
        <w:wordWrap w:val="0"/>
        <w:rPr>
          <w:rFonts w:eastAsiaTheme="minorEastAsia"/>
          <w:color w:val="000000" w:themeColor="text1"/>
          <w:sz w:val="28"/>
          <w:szCs w:val="28"/>
        </w:rPr>
      </w:pPr>
      <w:r>
        <w:rPr>
          <w:rFonts w:eastAsiaTheme="minorEastAsia"/>
          <w:color w:val="000000" w:themeColor="text1"/>
          <w:sz w:val="28"/>
          <w:szCs w:val="28"/>
        </w:rPr>
        <w:t>【条文说明】国内生物转盘大都应用于处理工业废水，国外生物转盘用于处理城镇污水已有成熟的经验。生物转盘的五日生化需氧量表面有机负荷宜根据试验资料确定，一般处理城镇污水五日生化需氧量表面有机负荷为0.005kgBOD</w:t>
      </w:r>
      <w:r>
        <w:rPr>
          <w:rFonts w:eastAsiaTheme="minorEastAsia"/>
          <w:color w:val="000000" w:themeColor="text1"/>
          <w:sz w:val="28"/>
          <w:szCs w:val="28"/>
          <w:vertAlign w:val="subscript"/>
        </w:rPr>
        <w:t>5</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·d)～0.020kgBOD</w:t>
      </w:r>
      <w:r>
        <w:rPr>
          <w:rFonts w:eastAsiaTheme="minorEastAsia"/>
          <w:color w:val="000000" w:themeColor="text1"/>
          <w:sz w:val="28"/>
          <w:szCs w:val="28"/>
          <w:vertAlign w:val="subscript"/>
        </w:rPr>
        <w:t>5</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·d)。国外资料：要求出水BOD</w:t>
      </w:r>
      <w:r>
        <w:rPr>
          <w:rFonts w:eastAsiaTheme="minorEastAsia"/>
          <w:color w:val="000000" w:themeColor="text1"/>
          <w:sz w:val="28"/>
          <w:szCs w:val="28"/>
          <w:vertAlign w:val="subscript"/>
        </w:rPr>
        <w:t>5</w:t>
      </w:r>
      <w:r>
        <w:rPr>
          <w:rFonts w:eastAsiaTheme="minorEastAsia"/>
          <w:color w:val="000000" w:themeColor="text1"/>
          <w:sz w:val="28"/>
          <w:szCs w:val="28"/>
        </w:rPr>
        <w:t>≤60mg/L时，表面有机负荷为0.020kgBOD</w:t>
      </w:r>
      <w:r>
        <w:rPr>
          <w:rFonts w:eastAsiaTheme="minorEastAsia"/>
          <w:color w:val="000000" w:themeColor="text1"/>
          <w:sz w:val="28"/>
          <w:szCs w:val="28"/>
          <w:vertAlign w:val="subscript"/>
        </w:rPr>
        <w:t>5</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·d)～0.040kgBOD</w:t>
      </w:r>
      <w:r>
        <w:rPr>
          <w:rFonts w:eastAsiaTheme="minorEastAsia"/>
          <w:color w:val="000000" w:themeColor="text1"/>
          <w:sz w:val="28"/>
          <w:szCs w:val="28"/>
          <w:vertAlign w:val="subscript"/>
        </w:rPr>
        <w:t>5</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·d);要求出水BOD</w:t>
      </w:r>
      <w:r>
        <w:rPr>
          <w:rFonts w:eastAsiaTheme="minorEastAsia"/>
          <w:color w:val="000000" w:themeColor="text1"/>
          <w:sz w:val="28"/>
          <w:szCs w:val="28"/>
          <w:vertAlign w:val="subscript"/>
        </w:rPr>
        <w:t>5</w:t>
      </w:r>
      <w:r>
        <w:rPr>
          <w:rFonts w:eastAsiaTheme="minorEastAsia"/>
          <w:color w:val="000000" w:themeColor="text1"/>
          <w:sz w:val="28"/>
          <w:szCs w:val="28"/>
        </w:rPr>
        <w:t>≤30mg/L时，表面有机负荷为0.010kgBOD</w:t>
      </w:r>
      <w:r>
        <w:rPr>
          <w:rFonts w:eastAsiaTheme="minorEastAsia"/>
          <w:color w:val="000000" w:themeColor="text1"/>
          <w:sz w:val="28"/>
          <w:szCs w:val="28"/>
          <w:vertAlign w:val="subscript"/>
        </w:rPr>
        <w:t>5</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·d)～0.020kgBOD</w:t>
      </w:r>
      <w:r>
        <w:rPr>
          <w:rFonts w:eastAsiaTheme="minorEastAsia"/>
          <w:color w:val="000000" w:themeColor="text1"/>
          <w:sz w:val="28"/>
          <w:szCs w:val="28"/>
          <w:vertAlign w:val="subscript"/>
        </w:rPr>
        <w:t>5</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·d)。水力负荷一般为0.04m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·d)～0.2m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·d)。生物转盘的典型负荷见表19，此表摘自欧盟标准《污水处理厂—第7部分：生物膜法》BS EN 1225-7：2002。</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表19 生物转盘的典型负荷</w:t>
      </w:r>
    </w:p>
    <w:tbl>
      <w:tblPr>
        <w:tblStyle w:val="25"/>
        <w:tblW w:w="85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5"/>
        <w:gridCol w:w="1932"/>
        <w:gridCol w:w="2359"/>
        <w:gridCol w:w="21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3" w:hRule="atLeast"/>
        </w:trPr>
        <w:tc>
          <w:tcPr>
            <w:tcW w:w="214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处理要求</w:t>
            </w:r>
          </w:p>
        </w:tc>
        <w:tc>
          <w:tcPr>
            <w:tcW w:w="193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工艺类型</w:t>
            </w:r>
          </w:p>
        </w:tc>
        <w:tc>
          <w:tcPr>
            <w:tcW w:w="23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第一级表面有机负荷[kg/(m</w:t>
            </w:r>
            <w:r>
              <w:rPr>
                <w:rFonts w:eastAsiaTheme="minorEastAsia"/>
                <w:color w:val="000000" w:themeColor="text1"/>
                <w:sz w:val="28"/>
                <w:szCs w:val="28"/>
                <w:vertAlign w:val="superscript"/>
              </w:rPr>
              <w:t>2</w:t>
            </w:r>
            <w:r>
              <w:rPr>
                <w:rFonts w:eastAsiaTheme="minorEastAsia"/>
                <w:color w:val="000000" w:themeColor="text1"/>
                <w:sz w:val="28"/>
                <w:szCs w:val="28"/>
              </w:rPr>
              <w:t>·d)]*</w:t>
            </w:r>
          </w:p>
        </w:tc>
        <w:tc>
          <w:tcPr>
            <w:tcW w:w="214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平均表面有机负荷[kg/(m</w:t>
            </w:r>
            <w:r>
              <w:rPr>
                <w:rFonts w:eastAsiaTheme="minorEastAsia"/>
                <w:color w:val="000000" w:themeColor="text1"/>
                <w:sz w:val="28"/>
                <w:szCs w:val="28"/>
                <w:vertAlign w:val="superscript"/>
              </w:rPr>
              <w:t>2</w:t>
            </w:r>
            <w:r>
              <w:rPr>
                <w:rFonts w:eastAsiaTheme="minorEastAsia"/>
                <w:color w:val="000000" w:themeColor="text1"/>
                <w:sz w:val="28"/>
                <w:szCs w:val="2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7" w:hRule="atLeast"/>
        </w:trPr>
        <w:tc>
          <w:tcPr>
            <w:tcW w:w="214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部分处理</w:t>
            </w:r>
          </w:p>
        </w:tc>
        <w:tc>
          <w:tcPr>
            <w:tcW w:w="193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高负荷</w:t>
            </w:r>
          </w:p>
        </w:tc>
        <w:tc>
          <w:tcPr>
            <w:tcW w:w="23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≤0.04</w:t>
            </w:r>
          </w:p>
        </w:tc>
        <w:tc>
          <w:tcPr>
            <w:tcW w:w="214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7" w:hRule="atLeast"/>
        </w:trPr>
        <w:tc>
          <w:tcPr>
            <w:tcW w:w="214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碳氧化</w:t>
            </w:r>
          </w:p>
        </w:tc>
        <w:tc>
          <w:tcPr>
            <w:tcW w:w="193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低负荷</w:t>
            </w:r>
          </w:p>
        </w:tc>
        <w:tc>
          <w:tcPr>
            <w:tcW w:w="23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≤0.03</w:t>
            </w:r>
          </w:p>
        </w:tc>
        <w:tc>
          <w:tcPr>
            <w:tcW w:w="214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3" w:hRule="atLeast"/>
        </w:trPr>
        <w:tc>
          <w:tcPr>
            <w:tcW w:w="214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碳氧化／硝化</w:t>
            </w:r>
          </w:p>
        </w:tc>
        <w:tc>
          <w:tcPr>
            <w:tcW w:w="193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低负荷</w:t>
            </w:r>
          </w:p>
        </w:tc>
        <w:tc>
          <w:tcPr>
            <w:tcW w:w="23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≤0.03</w:t>
            </w:r>
          </w:p>
        </w:tc>
        <w:tc>
          <w:tcPr>
            <w:tcW w:w="214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≤0.002</w:t>
            </w:r>
          </w:p>
        </w:tc>
      </w:tr>
    </w:tbl>
    <w:p>
      <w:pPr>
        <w:wordWrap w:val="0"/>
        <w:spacing w:line="360" w:lineRule="auto"/>
        <w:ind w:left="1120" w:leftChars="200" w:hanging="700" w:hangingChars="250"/>
        <w:rPr>
          <w:rFonts w:eastAsiaTheme="minorEastAsia"/>
          <w:color w:val="000000" w:themeColor="text1"/>
          <w:sz w:val="28"/>
          <w:szCs w:val="28"/>
        </w:rPr>
      </w:pPr>
      <w:r>
        <w:rPr>
          <w:rFonts w:eastAsiaTheme="minorEastAsia"/>
          <w:color w:val="000000" w:themeColor="text1"/>
          <w:sz w:val="28"/>
          <w:szCs w:val="28"/>
        </w:rPr>
        <w:t>注：*指多段串联系统的第一级，该级的负荷率应低于表中的推荐值，以防止膜的过度增长和尽可能减少臭味。</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fldChar w:fldCharType="begin"/>
      </w:r>
      <w:r>
        <w:rPr>
          <w:rFonts w:eastAsiaTheme="minorEastAsia"/>
          <w:color w:val="000000" w:themeColor="text1"/>
          <w:sz w:val="28"/>
          <w:szCs w:val="28"/>
        </w:rPr>
        <w:instrText xml:space="preserve"> = 5 \* ROMAN </w:instrText>
      </w:r>
      <w:r>
        <w:rPr>
          <w:rFonts w:eastAsiaTheme="minorEastAsia"/>
          <w:color w:val="000000" w:themeColor="text1"/>
          <w:sz w:val="28"/>
          <w:szCs w:val="28"/>
        </w:rPr>
        <w:fldChar w:fldCharType="separate"/>
      </w:r>
      <w:r>
        <w:rPr>
          <w:rFonts w:eastAsiaTheme="minorEastAsia"/>
          <w:color w:val="000000" w:themeColor="text1"/>
          <w:sz w:val="28"/>
          <w:szCs w:val="28"/>
        </w:rPr>
        <w:t>V</w:t>
      </w:r>
      <w:r>
        <w:rPr>
          <w:rFonts w:eastAsiaTheme="minorEastAsia"/>
          <w:color w:val="000000" w:themeColor="text1"/>
          <w:sz w:val="28"/>
          <w:szCs w:val="28"/>
        </w:rPr>
        <w:fldChar w:fldCharType="end"/>
      </w:r>
      <w:r>
        <w:rPr>
          <w:rFonts w:eastAsiaTheme="minorEastAsia"/>
          <w:color w:val="000000" w:themeColor="text1"/>
          <w:sz w:val="28"/>
          <w:szCs w:val="28"/>
        </w:rPr>
        <w:t xml:space="preserve">  移动床生物膜反应器</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移动床生物膜反应器工艺应采用悬浮载体的有效表面负荷进行设计。有效表面负荷宜根据试验资料确定，无试验资料时，在20</w:t>
      </w:r>
      <w:r>
        <w:rPr>
          <w:rFonts w:ascii="Times New Roman" w:hAnsi="Times New Roman" w:eastAsia="宋体"/>
          <w:color w:val="000000" w:themeColor="text1"/>
          <w:sz w:val="28"/>
          <w:szCs w:val="28"/>
        </w:rPr>
        <w:t>°C</w:t>
      </w:r>
      <w:r>
        <w:rPr>
          <w:rFonts w:ascii="Times New Roman" w:hAnsi="Times New Roman" w:eastAsiaTheme="minorEastAsia"/>
          <w:color w:val="000000" w:themeColor="text1"/>
          <w:sz w:val="28"/>
          <w:szCs w:val="28"/>
        </w:rPr>
        <w:t>的水温条件下，五日生化需氧量有效表面负荷宜为5g 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·d~15g 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·d，硝化有效表面负荷</w:t>
      </w:r>
      <w:r>
        <w:rPr>
          <w:rStyle w:val="46"/>
          <w:rFonts w:ascii="Times New Roman" w:hAnsi="Times New Roman" w:cs="Times New Roman" w:eastAsiaTheme="minorEastAsia"/>
          <w:color w:val="000000" w:themeColor="text1"/>
          <w:sz w:val="28"/>
          <w:szCs w:val="28"/>
          <w:lang w:eastAsia="zh-TW"/>
        </w:rPr>
        <w:t>宜为</w:t>
      </w:r>
      <w:r>
        <w:rPr>
          <w:rFonts w:ascii="Times New Roman" w:hAnsi="Times New Roman" w:eastAsiaTheme="minorEastAsia"/>
          <w:color w:val="000000" w:themeColor="text1"/>
          <w:sz w:val="28"/>
          <w:szCs w:val="28"/>
        </w:rPr>
        <w:t>0.3g</w:t>
      </w:r>
      <w:r>
        <w:rPr>
          <w:rStyle w:val="45"/>
          <w:rFonts w:ascii="Times New Roman" w:hAnsi="Times New Roman" w:cs="Times New Roman" w:eastAsiaTheme="minorEastAsia"/>
          <w:color w:val="000000" w:themeColor="text1"/>
          <w:sz w:val="28"/>
          <w:szCs w:val="28"/>
          <w:lang w:eastAsia="zh-TW"/>
        </w:rPr>
        <w:t>NH</w:t>
      </w:r>
      <w:r>
        <w:rPr>
          <w:rStyle w:val="45"/>
          <w:rFonts w:ascii="Times New Roman" w:hAnsi="Times New Roman" w:cs="Times New Roman" w:eastAsiaTheme="minorEastAsia"/>
          <w:color w:val="000000" w:themeColor="text1"/>
          <w:sz w:val="28"/>
          <w:szCs w:val="28"/>
          <w:vertAlign w:val="subscript"/>
        </w:rPr>
        <w:t>3</w:t>
      </w:r>
      <w:r>
        <w:rPr>
          <w:rStyle w:val="45"/>
          <w:rFonts w:ascii="Times New Roman" w:hAnsi="Times New Roman" w:cs="Times New Roman" w:eastAsiaTheme="minorEastAsia"/>
          <w:color w:val="000000" w:themeColor="text1"/>
          <w:sz w:val="28"/>
          <w:szCs w:val="28"/>
          <w:lang w:eastAsia="zh-TW"/>
        </w:rPr>
        <w:t>-N</w:t>
      </w:r>
      <w:r>
        <w:rPr>
          <w:rFonts w:ascii="Times New Roman" w:hAnsi="Times New Roman" w:eastAsiaTheme="minorEastAsia"/>
          <w:color w:val="000000" w:themeColor="text1"/>
          <w:sz w:val="28"/>
          <w:szCs w:val="28"/>
          <w:lang w:eastAsia="zh-TW"/>
        </w:rPr>
        <w:t>/(m</w:t>
      </w:r>
      <w:r>
        <w:rPr>
          <w:rFonts w:ascii="Times New Roman" w:hAnsi="Times New Roman" w:eastAsiaTheme="minorEastAsia"/>
          <w:color w:val="000000" w:themeColor="text1"/>
          <w:sz w:val="28"/>
          <w:szCs w:val="28"/>
          <w:vertAlign w:val="superscript"/>
          <w:lang w:eastAsia="zh-TW"/>
        </w:rPr>
        <w:t>2</w:t>
      </w:r>
      <w:r>
        <w:rPr>
          <w:rFonts w:ascii="Times New Roman" w:hAnsi="Times New Roman" w:eastAsiaTheme="minorEastAsia"/>
          <w:color w:val="000000" w:themeColor="text1"/>
          <w:sz w:val="28"/>
          <w:szCs w:val="28"/>
        </w:rPr>
        <w:t>·</w:t>
      </w:r>
      <w:r>
        <w:rPr>
          <w:rFonts w:ascii="Times New Roman" w:hAnsi="Times New Roman" w:eastAsiaTheme="minorEastAsia"/>
          <w:color w:val="000000" w:themeColor="text1"/>
          <w:sz w:val="28"/>
          <w:szCs w:val="28"/>
          <w:lang w:eastAsia="zh-TW"/>
        </w:rPr>
        <w:t>d</w:t>
      </w:r>
      <w:r>
        <w:rPr>
          <w:rStyle w:val="46"/>
          <w:rFonts w:ascii="Times New Roman" w:hAnsi="Times New Roman" w:cs="Times New Roman" w:eastAsiaTheme="minorEastAsia"/>
          <w:color w:val="000000" w:themeColor="text1"/>
          <w:sz w:val="28"/>
          <w:szCs w:val="28"/>
          <w:lang w:eastAsia="zh-TW"/>
        </w:rPr>
        <w:t>)</w:t>
      </w:r>
      <w:r>
        <w:rPr>
          <w:rFonts w:ascii="Times New Roman" w:hAnsi="Times New Roman" w:eastAsiaTheme="minorEastAsia"/>
          <w:color w:val="000000" w:themeColor="text1"/>
          <w:sz w:val="28"/>
          <w:szCs w:val="28"/>
        </w:rPr>
        <w:t>～2g</w:t>
      </w:r>
      <w:r>
        <w:rPr>
          <w:rStyle w:val="45"/>
          <w:rFonts w:ascii="Times New Roman" w:hAnsi="Times New Roman" w:cs="Times New Roman" w:eastAsiaTheme="minorEastAsia"/>
          <w:color w:val="000000" w:themeColor="text1"/>
          <w:sz w:val="28"/>
          <w:szCs w:val="28"/>
          <w:lang w:eastAsia="zh-TW"/>
        </w:rPr>
        <w:t>NH</w:t>
      </w:r>
      <w:r>
        <w:rPr>
          <w:rStyle w:val="45"/>
          <w:rFonts w:ascii="Times New Roman" w:hAnsi="Times New Roman" w:cs="Times New Roman" w:eastAsiaTheme="minorEastAsia"/>
          <w:color w:val="000000" w:themeColor="text1"/>
          <w:sz w:val="28"/>
          <w:szCs w:val="28"/>
          <w:vertAlign w:val="subscript"/>
        </w:rPr>
        <w:t>3</w:t>
      </w:r>
      <w:r>
        <w:rPr>
          <w:rStyle w:val="45"/>
          <w:rFonts w:ascii="Times New Roman" w:hAnsi="Times New Roman" w:cs="Times New Roman" w:eastAsiaTheme="minorEastAsia"/>
          <w:color w:val="000000" w:themeColor="text1"/>
          <w:sz w:val="28"/>
          <w:szCs w:val="28"/>
          <w:lang w:eastAsia="zh-TW"/>
        </w:rPr>
        <w:t>-N</w:t>
      </w:r>
      <w:r>
        <w:rPr>
          <w:rFonts w:ascii="Times New Roman" w:hAnsi="Times New Roman" w:eastAsiaTheme="minorEastAsia"/>
          <w:color w:val="000000" w:themeColor="text1"/>
          <w:sz w:val="28"/>
          <w:szCs w:val="28"/>
          <w:lang w:eastAsia="zh-TW"/>
        </w:rPr>
        <w:t>/(m</w:t>
      </w:r>
      <w:r>
        <w:rPr>
          <w:rFonts w:ascii="Times New Roman" w:hAnsi="Times New Roman" w:eastAsiaTheme="minorEastAsia"/>
          <w:color w:val="000000" w:themeColor="text1"/>
          <w:sz w:val="28"/>
          <w:szCs w:val="28"/>
          <w:vertAlign w:val="superscript"/>
          <w:lang w:eastAsia="zh-TW"/>
        </w:rPr>
        <w:t>2</w:t>
      </w:r>
      <w:r>
        <w:rPr>
          <w:rFonts w:ascii="Times New Roman" w:hAnsi="Times New Roman" w:eastAsiaTheme="minorEastAsia"/>
          <w:color w:val="000000" w:themeColor="text1"/>
          <w:sz w:val="28"/>
          <w:szCs w:val="28"/>
        </w:rPr>
        <w:t>·</w:t>
      </w:r>
      <w:r>
        <w:rPr>
          <w:rFonts w:ascii="Times New Roman" w:hAnsi="Times New Roman" w:eastAsiaTheme="minorEastAsia"/>
          <w:color w:val="000000" w:themeColor="text1"/>
          <w:sz w:val="28"/>
          <w:szCs w:val="28"/>
          <w:lang w:eastAsia="zh-TW"/>
        </w:rPr>
        <w:t>d</w:t>
      </w:r>
      <w:r>
        <w:rPr>
          <w:rStyle w:val="46"/>
          <w:rFonts w:ascii="Times New Roman" w:hAnsi="Times New Roman" w:cs="Times New Roman" w:eastAsiaTheme="minorEastAsia"/>
          <w:color w:val="000000" w:themeColor="text1"/>
          <w:sz w:val="28"/>
          <w:szCs w:val="28"/>
          <w:lang w:eastAsia="zh-TW"/>
        </w:rPr>
        <w:t>)，</w:t>
      </w:r>
      <w:r>
        <w:rPr>
          <w:rStyle w:val="46"/>
          <w:rFonts w:ascii="Times New Roman" w:hAnsi="Times New Roman" w:cs="Times New Roman" w:eastAsiaTheme="minorEastAsia"/>
          <w:color w:val="000000" w:themeColor="text1"/>
          <w:sz w:val="28"/>
          <w:szCs w:val="28"/>
        </w:rPr>
        <w:t>反硝化</w:t>
      </w:r>
      <w:r>
        <w:rPr>
          <w:rFonts w:ascii="Times New Roman" w:hAnsi="Times New Roman" w:eastAsiaTheme="minorEastAsia"/>
          <w:color w:val="000000" w:themeColor="text1"/>
          <w:sz w:val="28"/>
          <w:szCs w:val="28"/>
        </w:rPr>
        <w:t>有效表面负荷（以</w:t>
      </w:r>
      <w:r>
        <w:rPr>
          <w:rStyle w:val="45"/>
          <w:rFonts w:ascii="Times New Roman" w:hAnsi="Times New Roman" w:cs="Times New Roman" w:eastAsiaTheme="minorEastAsia"/>
          <w:color w:val="000000" w:themeColor="text1"/>
          <w:sz w:val="28"/>
          <w:szCs w:val="28"/>
          <w:lang w:eastAsia="zh-TW"/>
        </w:rPr>
        <w:t>N</w:t>
      </w:r>
      <w:r>
        <w:rPr>
          <w:rStyle w:val="45"/>
          <w:rFonts w:ascii="Times New Roman" w:hAnsi="Times New Roman" w:cs="Times New Roman" w:eastAsiaTheme="minorEastAsia"/>
          <w:color w:val="000000" w:themeColor="text1"/>
          <w:sz w:val="28"/>
          <w:szCs w:val="28"/>
        </w:rPr>
        <w:t>O</w:t>
      </w:r>
      <w:r>
        <w:rPr>
          <w:rStyle w:val="45"/>
          <w:rFonts w:ascii="Times New Roman" w:hAnsi="Times New Roman" w:cs="Times New Roman" w:eastAsiaTheme="minorEastAsia"/>
          <w:color w:val="000000" w:themeColor="text1"/>
          <w:sz w:val="28"/>
          <w:szCs w:val="28"/>
          <w:vertAlign w:val="subscript"/>
        </w:rPr>
        <w:t>3</w:t>
      </w:r>
      <w:r>
        <w:rPr>
          <w:rStyle w:val="45"/>
          <w:rFonts w:ascii="Times New Roman" w:hAnsi="Times New Roman" w:cs="Times New Roman" w:eastAsiaTheme="minorEastAsia"/>
          <w:color w:val="000000" w:themeColor="text1"/>
          <w:sz w:val="28"/>
          <w:szCs w:val="28"/>
          <w:lang w:eastAsia="zh-TW"/>
        </w:rPr>
        <w:t>-N</w:t>
      </w:r>
      <w:r>
        <w:rPr>
          <w:rStyle w:val="46"/>
          <w:rFonts w:ascii="Times New Roman" w:hAnsi="Times New Roman" w:cs="Times New Roman" w:eastAsiaTheme="minorEastAsia"/>
          <w:color w:val="000000" w:themeColor="text1"/>
          <w:sz w:val="28"/>
          <w:szCs w:val="28"/>
          <w:lang w:eastAsia="zh-TW"/>
        </w:rPr>
        <w:t>计)宜为</w:t>
      </w:r>
      <w:r>
        <w:rPr>
          <w:rFonts w:ascii="Times New Roman" w:hAnsi="Times New Roman" w:eastAsiaTheme="minorEastAsia"/>
          <w:color w:val="000000" w:themeColor="text1"/>
          <w:sz w:val="28"/>
          <w:szCs w:val="28"/>
        </w:rPr>
        <w:t>0.4 g</w:t>
      </w:r>
      <w:r>
        <w:rPr>
          <w:rStyle w:val="45"/>
          <w:rFonts w:ascii="Times New Roman" w:hAnsi="Times New Roman" w:cs="Times New Roman" w:eastAsiaTheme="minorEastAsia"/>
          <w:color w:val="000000" w:themeColor="text1"/>
          <w:sz w:val="28"/>
          <w:szCs w:val="28"/>
          <w:lang w:eastAsia="zh-TW"/>
        </w:rPr>
        <w:t>N</w:t>
      </w:r>
      <w:r>
        <w:rPr>
          <w:rStyle w:val="45"/>
          <w:rFonts w:ascii="Times New Roman" w:hAnsi="Times New Roman" w:cs="Times New Roman" w:eastAsiaTheme="minorEastAsia"/>
          <w:color w:val="000000" w:themeColor="text1"/>
          <w:sz w:val="28"/>
          <w:szCs w:val="28"/>
        </w:rPr>
        <w:t>O</w:t>
      </w:r>
      <w:r>
        <w:rPr>
          <w:rStyle w:val="45"/>
          <w:rFonts w:ascii="Times New Roman" w:hAnsi="Times New Roman" w:cs="Times New Roman" w:eastAsiaTheme="minorEastAsia"/>
          <w:color w:val="000000" w:themeColor="text1"/>
          <w:sz w:val="28"/>
          <w:szCs w:val="28"/>
          <w:vertAlign w:val="subscript"/>
        </w:rPr>
        <w:t>3</w:t>
      </w:r>
      <w:r>
        <w:rPr>
          <w:rStyle w:val="45"/>
          <w:rFonts w:ascii="Times New Roman" w:hAnsi="Times New Roman" w:cs="Times New Roman" w:eastAsiaTheme="minorEastAsia"/>
          <w:color w:val="000000" w:themeColor="text1"/>
          <w:sz w:val="28"/>
          <w:szCs w:val="28"/>
          <w:lang w:eastAsia="zh-TW"/>
        </w:rPr>
        <w:t>-N</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·d</w:t>
      </w:r>
      <w:r>
        <w:rPr>
          <w:rStyle w:val="46"/>
          <w:rFonts w:ascii="Times New Roman" w:hAnsi="Times New Roman" w:cs="Times New Roman" w:eastAsiaTheme="minorEastAsia"/>
          <w:color w:val="000000" w:themeColor="text1"/>
          <w:sz w:val="28"/>
          <w:szCs w:val="28"/>
        </w:rPr>
        <w:t>)</w:t>
      </w:r>
      <w:r>
        <w:rPr>
          <w:rFonts w:ascii="Times New Roman" w:hAnsi="Times New Roman" w:eastAsiaTheme="minorEastAsia"/>
          <w:color w:val="000000" w:themeColor="text1"/>
          <w:sz w:val="28"/>
          <w:szCs w:val="28"/>
        </w:rPr>
        <w:t>～2.5g</w:t>
      </w:r>
      <w:r>
        <w:rPr>
          <w:rStyle w:val="45"/>
          <w:rFonts w:ascii="Times New Roman" w:hAnsi="Times New Roman" w:cs="Times New Roman" w:eastAsiaTheme="minorEastAsia"/>
          <w:color w:val="000000" w:themeColor="text1"/>
          <w:sz w:val="28"/>
          <w:szCs w:val="28"/>
          <w:lang w:eastAsia="zh-TW"/>
        </w:rPr>
        <w:t>N</w:t>
      </w:r>
      <w:r>
        <w:rPr>
          <w:rStyle w:val="45"/>
          <w:rFonts w:ascii="Times New Roman" w:hAnsi="Times New Roman" w:cs="Times New Roman" w:eastAsiaTheme="minorEastAsia"/>
          <w:color w:val="000000" w:themeColor="text1"/>
          <w:sz w:val="28"/>
          <w:szCs w:val="28"/>
        </w:rPr>
        <w:t>O</w:t>
      </w:r>
      <w:r>
        <w:rPr>
          <w:rStyle w:val="45"/>
          <w:rFonts w:ascii="Times New Roman" w:hAnsi="Times New Roman" w:cs="Times New Roman" w:eastAsiaTheme="minorEastAsia"/>
          <w:color w:val="000000" w:themeColor="text1"/>
          <w:sz w:val="28"/>
          <w:szCs w:val="28"/>
          <w:vertAlign w:val="subscript"/>
        </w:rPr>
        <w:t>3</w:t>
      </w:r>
      <w:r>
        <w:rPr>
          <w:rStyle w:val="45"/>
          <w:rFonts w:ascii="Times New Roman" w:hAnsi="Times New Roman" w:cs="Times New Roman" w:eastAsiaTheme="minorEastAsia"/>
          <w:color w:val="000000" w:themeColor="text1"/>
          <w:sz w:val="28"/>
          <w:szCs w:val="28"/>
          <w:lang w:eastAsia="zh-TW"/>
        </w:rPr>
        <w:t>-N</w:t>
      </w:r>
      <w:r>
        <w:rPr>
          <w:rFonts w:ascii="Times New Roman" w:hAnsi="Times New Roman" w:eastAsiaTheme="minorEastAsia"/>
          <w:color w:val="000000" w:themeColor="text1"/>
          <w:sz w:val="28"/>
          <w:szCs w:val="28"/>
        </w:rPr>
        <w:t>/(m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·d</w:t>
      </w:r>
      <w:r>
        <w:rPr>
          <w:rStyle w:val="46"/>
          <w:rFonts w:ascii="Times New Roman" w:hAnsi="Times New Roman" w:cs="Times New Roman" w:eastAsiaTheme="minorEastAsia"/>
          <w:color w:val="000000" w:themeColor="text1"/>
          <w:sz w:val="28"/>
          <w:szCs w:val="28"/>
        </w:rPr>
        <w:t>)。</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【条文说明】悬浮填料生物膜工艺设计时应根据水质、水温、表面负荷等参数，计算出所需悬浮填料的有效填料表面积,再根据不同填料的有效比表面积，转换成该类型填料的体积。</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悬浮填料应满足易于流化、微生物附着性好、有效比表面积大、耐腐蚀、抗机械磨损的要求。悬浮填料的选择不得</w:t>
      </w:r>
      <w:commentRangeStart w:id="6"/>
      <w:commentRangeStart w:id="7"/>
      <w:r>
        <w:rPr>
          <w:rStyle w:val="24"/>
          <w:rFonts w:ascii="Times New Roman" w:hAnsi="Times New Roman"/>
        </w:rPr>
        <w:commentReference w:id="6"/>
      </w:r>
      <w:r>
        <w:rPr>
          <w:rFonts w:ascii="Times New Roman" w:hAnsi="Times New Roman" w:eastAsiaTheme="minorEastAsia"/>
          <w:color w:val="000000" w:themeColor="text1"/>
          <w:sz w:val="28"/>
          <w:szCs w:val="28"/>
        </w:rPr>
        <w:t>超过</w:t>
      </w:r>
      <w:commentRangeEnd w:id="7"/>
      <w:r>
        <w:rPr>
          <w:rStyle w:val="24"/>
          <w:rFonts w:ascii="Times New Roman" w:hAnsi="Times New Roman"/>
        </w:rPr>
        <w:commentReference w:id="7"/>
      </w:r>
      <w:r>
        <w:rPr>
          <w:rFonts w:ascii="Times New Roman" w:hAnsi="Times New Roman" w:eastAsiaTheme="minorEastAsia"/>
          <w:color w:val="000000" w:themeColor="text1"/>
          <w:sz w:val="28"/>
          <w:szCs w:val="28"/>
        </w:rPr>
        <w:t>反应池容积的2/3。</w:t>
      </w:r>
    </w:p>
    <w:p>
      <w:pPr>
        <w:widowControl/>
        <w:wordWrap w:val="0"/>
        <w:rPr>
          <w:rFonts w:eastAsiaTheme="minorEastAsia"/>
          <w:color w:val="000000" w:themeColor="text1"/>
          <w:sz w:val="28"/>
          <w:szCs w:val="28"/>
        </w:rPr>
      </w:pPr>
      <w:r>
        <w:rPr>
          <w:rFonts w:eastAsiaTheme="minorEastAsia"/>
          <w:color w:val="000000" w:themeColor="text1"/>
          <w:sz w:val="28"/>
          <w:szCs w:val="28"/>
        </w:rPr>
        <w:t>【条文说明】悬浮填料密度与水接近时，易于流化。亲水性能好，带正电等性能易于挂膜。此外，填料还应具有良好的化学和物理稳定性，刚性弹性兼备。</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纯高密度聚乙烯的悬浮载体填料还应满足现行行业标准《水处理用高密度聚乙烯悬浮载体填料》（CJ/T461）的相关要求。</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有效比表面积是指单位体积悬浮载体填料可供微生物生长，且保证良好传质和保护微生物不被冲刷的表面积。按有效比表面积不同可将悬浮填料分为A类填料、B类填料、和C类填料，其中A类填料有效比表面积为350m</w:t>
      </w:r>
      <w:r>
        <w:rPr>
          <w:rFonts w:eastAsiaTheme="minorEastAsia"/>
          <w:color w:val="000000" w:themeColor="text1"/>
          <w:sz w:val="28"/>
          <w:szCs w:val="28"/>
          <w:vertAlign w:val="superscript"/>
        </w:rPr>
        <w:t>2</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~500m</w:t>
      </w:r>
      <w:r>
        <w:rPr>
          <w:rFonts w:eastAsiaTheme="minorEastAsia"/>
          <w:color w:val="000000" w:themeColor="text1"/>
          <w:sz w:val="28"/>
          <w:szCs w:val="28"/>
          <w:vertAlign w:val="superscript"/>
        </w:rPr>
        <w:t>2</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，B类填料有效比表面积为620m</w:t>
      </w:r>
      <w:r>
        <w:rPr>
          <w:rFonts w:eastAsiaTheme="minorEastAsia"/>
          <w:color w:val="000000" w:themeColor="text1"/>
          <w:sz w:val="28"/>
          <w:szCs w:val="28"/>
          <w:vertAlign w:val="superscript"/>
        </w:rPr>
        <w:t>2</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~800 m</w:t>
      </w:r>
      <w:r>
        <w:rPr>
          <w:rFonts w:eastAsiaTheme="minorEastAsia"/>
          <w:color w:val="000000" w:themeColor="text1"/>
          <w:sz w:val="28"/>
          <w:szCs w:val="28"/>
          <w:vertAlign w:val="superscript"/>
        </w:rPr>
        <w:t>2</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，C类填料有效比表面积为1200m</w:t>
      </w:r>
      <w:r>
        <w:rPr>
          <w:rFonts w:eastAsiaTheme="minorEastAsia"/>
          <w:color w:val="000000" w:themeColor="text1"/>
          <w:sz w:val="28"/>
          <w:szCs w:val="28"/>
          <w:vertAlign w:val="superscript"/>
        </w:rPr>
        <w:t>2</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，填料的相关参数如表22所示。</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表22悬浮载体填料的性能参数</w:t>
      </w:r>
    </w:p>
    <w:tbl>
      <w:tblPr>
        <w:tblStyle w:val="25"/>
        <w:tblW w:w="89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275"/>
        <w:gridCol w:w="993"/>
        <w:gridCol w:w="1025"/>
        <w:gridCol w:w="1276"/>
        <w:gridCol w:w="1175"/>
        <w:gridCol w:w="1093"/>
        <w:gridCol w:w="13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1" w:type="dxa"/>
            <w:tcBorders>
              <w:top w:val="single" w:color="auto" w:sz="8" w:space="0"/>
              <w:bottom w:val="single" w:color="auto" w:sz="8" w:space="0"/>
            </w:tcBorders>
            <w:shd w:val="clear" w:color="auto" w:fill="auto"/>
            <w:tcMar>
              <w:left w:w="0" w:type="dxa"/>
              <w:right w:w="0" w:type="dxa"/>
            </w:tcMar>
            <w:vAlign w:val="center"/>
          </w:tcPr>
          <w:p>
            <w:pPr>
              <w:wordWrap w:val="0"/>
              <w:rPr>
                <w:rFonts w:eastAsiaTheme="minorEastAsia"/>
                <w:color w:val="000000" w:themeColor="text1"/>
                <w:sz w:val="28"/>
                <w:szCs w:val="28"/>
              </w:rPr>
            </w:pPr>
            <w:r>
              <w:rPr>
                <w:rFonts w:eastAsiaTheme="minorEastAsia"/>
                <w:color w:val="000000" w:themeColor="text1"/>
                <w:sz w:val="28"/>
                <w:szCs w:val="28"/>
              </w:rPr>
              <w:t>类别</w:t>
            </w:r>
          </w:p>
        </w:tc>
        <w:tc>
          <w:tcPr>
            <w:tcW w:w="1275" w:type="dxa"/>
            <w:tcBorders>
              <w:top w:val="single" w:color="auto" w:sz="8" w:space="0"/>
              <w:bottom w:val="single" w:color="auto" w:sz="8" w:space="0"/>
            </w:tcBorders>
            <w:shd w:val="clear" w:color="auto" w:fill="auto"/>
            <w:tcMar>
              <w:left w:w="0" w:type="dxa"/>
              <w:right w:w="0" w:type="dxa"/>
            </w:tcMar>
            <w:vAlign w:val="center"/>
          </w:tcPr>
          <w:p>
            <w:pPr>
              <w:pStyle w:val="47"/>
              <w:wordWrap w:val="0"/>
              <w:ind w:left="75" w:firstLine="0" w:firstLineChars="0"/>
              <w:rPr>
                <w:rFonts w:ascii="Times New Roman" w:eastAsiaTheme="minorEastAsia"/>
                <w:color w:val="000000" w:themeColor="text1"/>
                <w:sz w:val="28"/>
                <w:szCs w:val="28"/>
              </w:rPr>
            </w:pPr>
            <w:r>
              <w:rPr>
                <w:rFonts w:ascii="Times New Roman" w:eastAsiaTheme="minorEastAsia"/>
                <w:color w:val="000000" w:themeColor="text1"/>
                <w:sz w:val="28"/>
                <w:szCs w:val="28"/>
              </w:rPr>
              <w:t>有效比表面积（m</w:t>
            </w:r>
            <w:r>
              <w:rPr>
                <w:rFonts w:ascii="Times New Roman" w:eastAsiaTheme="minorEastAsia"/>
                <w:color w:val="000000" w:themeColor="text1"/>
                <w:sz w:val="28"/>
                <w:szCs w:val="28"/>
                <w:vertAlign w:val="superscript"/>
              </w:rPr>
              <w:t>2</w:t>
            </w:r>
            <w:r>
              <w:rPr>
                <w:rFonts w:ascii="Times New Roman" w:eastAsiaTheme="minorEastAsia"/>
                <w:color w:val="000000" w:themeColor="text1"/>
                <w:sz w:val="28"/>
                <w:szCs w:val="28"/>
              </w:rPr>
              <w:t>/m³）</w:t>
            </w:r>
          </w:p>
        </w:tc>
        <w:tc>
          <w:tcPr>
            <w:tcW w:w="993" w:type="dxa"/>
            <w:tcBorders>
              <w:top w:val="single" w:color="auto" w:sz="8" w:space="0"/>
              <w:bottom w:val="single" w:color="auto" w:sz="8" w:space="0"/>
            </w:tcBorders>
            <w:shd w:val="clear" w:color="auto" w:fill="auto"/>
            <w:tcMar>
              <w:left w:w="0" w:type="dxa"/>
              <w:right w:w="0" w:type="dxa"/>
            </w:tcMar>
            <w:vAlign w:val="center"/>
          </w:tcPr>
          <w:p>
            <w:pPr>
              <w:wordWrap w:val="0"/>
              <w:rPr>
                <w:rFonts w:eastAsiaTheme="minorEastAsia"/>
                <w:color w:val="000000" w:themeColor="text1"/>
                <w:sz w:val="28"/>
                <w:szCs w:val="28"/>
              </w:rPr>
            </w:pPr>
            <w:r>
              <w:rPr>
                <w:rFonts w:eastAsiaTheme="minorEastAsia"/>
                <w:color w:val="000000" w:themeColor="text1"/>
                <w:sz w:val="28"/>
                <w:szCs w:val="28"/>
              </w:rPr>
              <w:t>直径</w:t>
            </w:r>
          </w:p>
          <w:p>
            <w:pPr>
              <w:wordWrap w:val="0"/>
              <w:rPr>
                <w:rFonts w:eastAsiaTheme="minorEastAsia"/>
                <w:color w:val="000000" w:themeColor="text1"/>
                <w:sz w:val="28"/>
                <w:szCs w:val="28"/>
              </w:rPr>
            </w:pPr>
            <w:r>
              <w:rPr>
                <w:rFonts w:eastAsiaTheme="minorEastAsia"/>
                <w:color w:val="000000" w:themeColor="text1"/>
                <w:sz w:val="28"/>
                <w:szCs w:val="28"/>
              </w:rPr>
              <w:t>mm</w:t>
            </w:r>
          </w:p>
        </w:tc>
        <w:tc>
          <w:tcPr>
            <w:tcW w:w="1025" w:type="dxa"/>
            <w:tcBorders>
              <w:top w:val="single" w:color="auto" w:sz="8" w:space="0"/>
              <w:bottom w:val="single" w:color="auto" w:sz="8" w:space="0"/>
            </w:tcBorders>
            <w:shd w:val="clear" w:color="auto" w:fill="auto"/>
            <w:tcMar>
              <w:left w:w="0" w:type="dxa"/>
              <w:right w:w="0" w:type="dxa"/>
            </w:tcMar>
            <w:vAlign w:val="center"/>
          </w:tcPr>
          <w:p>
            <w:pPr>
              <w:wordWrap w:val="0"/>
              <w:rPr>
                <w:rFonts w:eastAsiaTheme="minorEastAsia"/>
                <w:color w:val="000000" w:themeColor="text1"/>
                <w:sz w:val="28"/>
                <w:szCs w:val="28"/>
              </w:rPr>
            </w:pPr>
            <w:r>
              <w:rPr>
                <w:rFonts w:eastAsiaTheme="minorEastAsia"/>
                <w:color w:val="000000" w:themeColor="text1"/>
                <w:sz w:val="28"/>
                <w:szCs w:val="28"/>
              </w:rPr>
              <w:t>高度</w:t>
            </w:r>
          </w:p>
          <w:p>
            <w:pPr>
              <w:wordWrap w:val="0"/>
              <w:rPr>
                <w:rFonts w:eastAsiaTheme="minorEastAsia"/>
                <w:color w:val="000000" w:themeColor="text1"/>
                <w:sz w:val="28"/>
                <w:szCs w:val="28"/>
              </w:rPr>
            </w:pPr>
            <w:r>
              <w:rPr>
                <w:rFonts w:eastAsiaTheme="minorEastAsia"/>
                <w:color w:val="000000" w:themeColor="text1"/>
                <w:sz w:val="28"/>
                <w:szCs w:val="28"/>
              </w:rPr>
              <w:t>Mm</w:t>
            </w:r>
          </w:p>
        </w:tc>
        <w:tc>
          <w:tcPr>
            <w:tcW w:w="1276" w:type="dxa"/>
            <w:tcBorders>
              <w:top w:val="single" w:color="auto" w:sz="8" w:space="0"/>
              <w:bottom w:val="single" w:color="auto" w:sz="8" w:space="0"/>
            </w:tcBorders>
            <w:shd w:val="clear" w:color="auto" w:fill="auto"/>
            <w:tcMar>
              <w:left w:w="0" w:type="dxa"/>
              <w:right w:w="0" w:type="dxa"/>
            </w:tcMar>
            <w:vAlign w:val="center"/>
          </w:tcPr>
          <w:p>
            <w:pPr>
              <w:wordWrap w:val="0"/>
              <w:rPr>
                <w:rFonts w:eastAsiaTheme="minorEastAsia"/>
                <w:color w:val="000000" w:themeColor="text1"/>
                <w:sz w:val="28"/>
                <w:szCs w:val="28"/>
              </w:rPr>
            </w:pPr>
            <w:r>
              <w:rPr>
                <w:rFonts w:eastAsiaTheme="minorEastAsia"/>
                <w:color w:val="000000" w:themeColor="text1"/>
                <w:sz w:val="28"/>
                <w:szCs w:val="28"/>
              </w:rPr>
              <w:t>壁厚</w:t>
            </w:r>
          </w:p>
          <w:p>
            <w:pPr>
              <w:wordWrap w:val="0"/>
              <w:rPr>
                <w:rFonts w:eastAsiaTheme="minorEastAsia"/>
                <w:color w:val="000000" w:themeColor="text1"/>
                <w:sz w:val="28"/>
                <w:szCs w:val="28"/>
              </w:rPr>
            </w:pPr>
            <w:r>
              <w:rPr>
                <w:rFonts w:eastAsiaTheme="minorEastAsia"/>
                <w:color w:val="000000" w:themeColor="text1"/>
                <w:sz w:val="28"/>
                <w:szCs w:val="28"/>
              </w:rPr>
              <w:t>mm</w:t>
            </w:r>
          </w:p>
        </w:tc>
        <w:tc>
          <w:tcPr>
            <w:tcW w:w="1175" w:type="dxa"/>
            <w:tcBorders>
              <w:top w:val="single" w:color="auto" w:sz="8" w:space="0"/>
              <w:bottom w:val="single" w:color="auto" w:sz="8" w:space="0"/>
            </w:tcBorders>
            <w:shd w:val="clear" w:color="auto" w:fill="auto"/>
            <w:tcMar>
              <w:left w:w="0" w:type="dxa"/>
              <w:right w:w="0" w:type="dxa"/>
            </w:tcMar>
            <w:vAlign w:val="center"/>
          </w:tcPr>
          <w:p>
            <w:pPr>
              <w:pStyle w:val="47"/>
              <w:wordWrap w:val="0"/>
              <w:ind w:left="75" w:firstLine="0" w:firstLineChars="0"/>
              <w:rPr>
                <w:rFonts w:ascii="Times New Roman" w:eastAsiaTheme="minorEastAsia"/>
                <w:color w:val="000000" w:themeColor="text1"/>
                <w:sz w:val="28"/>
                <w:szCs w:val="28"/>
              </w:rPr>
            </w:pPr>
            <w:r>
              <w:rPr>
                <w:rFonts w:ascii="Times New Roman" w:eastAsiaTheme="minorEastAsia"/>
                <w:color w:val="000000" w:themeColor="text1"/>
                <w:sz w:val="28"/>
                <w:szCs w:val="28"/>
              </w:rPr>
              <w:t>填料密度</w:t>
            </w:r>
          </w:p>
          <w:p>
            <w:pPr>
              <w:pStyle w:val="47"/>
              <w:wordWrap w:val="0"/>
              <w:ind w:firstLine="0" w:firstLineChars="0"/>
              <w:rPr>
                <w:rFonts w:ascii="Times New Roman" w:eastAsiaTheme="minorEastAsia"/>
                <w:color w:val="000000" w:themeColor="text1"/>
                <w:sz w:val="28"/>
                <w:szCs w:val="28"/>
              </w:rPr>
            </w:pPr>
            <w:r>
              <w:rPr>
                <w:rFonts w:ascii="Times New Roman" w:eastAsiaTheme="minorEastAsia"/>
                <w:color w:val="000000" w:themeColor="text1"/>
                <w:sz w:val="28"/>
                <w:szCs w:val="28"/>
              </w:rPr>
              <w:t>（g/cm</w:t>
            </w:r>
            <w:r>
              <w:rPr>
                <w:rFonts w:ascii="Times New Roman" w:eastAsiaTheme="minorEastAsia"/>
                <w:color w:val="000000" w:themeColor="text1"/>
                <w:sz w:val="28"/>
                <w:szCs w:val="28"/>
                <w:vertAlign w:val="superscript"/>
              </w:rPr>
              <w:t>3</w:t>
            </w:r>
            <w:r>
              <w:rPr>
                <w:rFonts w:ascii="Times New Roman" w:eastAsiaTheme="minorEastAsia"/>
                <w:color w:val="000000" w:themeColor="text1"/>
                <w:sz w:val="28"/>
                <w:szCs w:val="28"/>
              </w:rPr>
              <w:t>）</w:t>
            </w:r>
          </w:p>
        </w:tc>
        <w:tc>
          <w:tcPr>
            <w:tcW w:w="1093" w:type="dxa"/>
            <w:tcBorders>
              <w:top w:val="single" w:color="auto" w:sz="8" w:space="0"/>
              <w:bottom w:val="single" w:color="auto" w:sz="8" w:space="0"/>
            </w:tcBorders>
            <w:shd w:val="clear" w:color="auto" w:fill="auto"/>
            <w:tcMar>
              <w:left w:w="0" w:type="dxa"/>
              <w:right w:w="0" w:type="dxa"/>
            </w:tcMar>
            <w:vAlign w:val="center"/>
          </w:tcPr>
          <w:p>
            <w:pPr>
              <w:pStyle w:val="47"/>
              <w:wordWrap w:val="0"/>
              <w:ind w:firstLine="0" w:firstLineChars="0"/>
              <w:rPr>
                <w:rFonts w:ascii="Times New Roman" w:eastAsiaTheme="minorEastAsia"/>
                <w:color w:val="000000" w:themeColor="text1"/>
                <w:sz w:val="28"/>
                <w:szCs w:val="28"/>
              </w:rPr>
            </w:pPr>
            <w:r>
              <w:rPr>
                <w:rFonts w:ascii="Times New Roman" w:eastAsiaTheme="minorEastAsia"/>
                <w:color w:val="000000" w:themeColor="text1"/>
                <w:sz w:val="28"/>
                <w:szCs w:val="28"/>
              </w:rPr>
              <w:t>空隙率</w:t>
            </w:r>
          </w:p>
          <w:p>
            <w:pPr>
              <w:pStyle w:val="47"/>
              <w:wordWrap w:val="0"/>
              <w:ind w:firstLine="0" w:firstLineChars="0"/>
              <w:rPr>
                <w:rFonts w:ascii="Times New Roman" w:eastAsiaTheme="minorEastAsia"/>
                <w:color w:val="000000" w:themeColor="text1"/>
                <w:sz w:val="28"/>
                <w:szCs w:val="28"/>
              </w:rPr>
            </w:pPr>
            <w:r>
              <w:rPr>
                <w:rFonts w:ascii="Times New Roman" w:eastAsiaTheme="minorEastAsia"/>
                <w:color w:val="000000" w:themeColor="text1"/>
                <w:sz w:val="28"/>
                <w:szCs w:val="28"/>
              </w:rPr>
              <w:t>(%)</w:t>
            </w:r>
          </w:p>
        </w:tc>
        <w:tc>
          <w:tcPr>
            <w:tcW w:w="1384" w:type="dxa"/>
            <w:tcBorders>
              <w:top w:val="single" w:color="auto" w:sz="8" w:space="0"/>
              <w:bottom w:val="single" w:color="auto" w:sz="8" w:space="0"/>
            </w:tcBorders>
          </w:tcPr>
          <w:p>
            <w:pPr>
              <w:pStyle w:val="47"/>
              <w:wordWrap w:val="0"/>
              <w:ind w:firstLine="0" w:firstLineChars="0"/>
              <w:rPr>
                <w:rFonts w:ascii="Times New Roman" w:eastAsiaTheme="minorEastAsia"/>
                <w:color w:val="000000" w:themeColor="text1"/>
                <w:sz w:val="28"/>
                <w:szCs w:val="28"/>
              </w:rPr>
            </w:pPr>
            <w:r>
              <w:rPr>
                <w:rFonts w:ascii="Times New Roman" w:eastAsiaTheme="minorEastAsia"/>
                <w:color w:val="000000" w:themeColor="text1"/>
                <w:sz w:val="28"/>
                <w:szCs w:val="28"/>
              </w:rPr>
              <w:t>示意图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23" w:hRule="atLeast"/>
          <w:jc w:val="center"/>
        </w:trPr>
        <w:tc>
          <w:tcPr>
            <w:tcW w:w="701" w:type="dxa"/>
            <w:vMerge w:val="restart"/>
            <w:tcBorders>
              <w:top w:val="single" w:color="auto" w:sz="8" w:space="0"/>
            </w:tcBorders>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A类填料</w:t>
            </w:r>
          </w:p>
        </w:tc>
        <w:tc>
          <w:tcPr>
            <w:tcW w:w="1275" w:type="dxa"/>
            <w:tcBorders>
              <w:top w:val="single" w:color="auto" w:sz="8" w:space="0"/>
            </w:tcBorders>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≥350</w:t>
            </w:r>
          </w:p>
        </w:tc>
        <w:tc>
          <w:tcPr>
            <w:tcW w:w="993" w:type="dxa"/>
            <w:tcBorders>
              <w:top w:val="single" w:color="auto" w:sz="8" w:space="0"/>
            </w:tcBorders>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10±0.5</w:t>
            </w:r>
          </w:p>
        </w:tc>
        <w:tc>
          <w:tcPr>
            <w:tcW w:w="1025" w:type="dxa"/>
            <w:tcBorders>
              <w:top w:val="single" w:color="auto" w:sz="8" w:space="0"/>
            </w:tcBorders>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10±1</w:t>
            </w:r>
          </w:p>
        </w:tc>
        <w:tc>
          <w:tcPr>
            <w:tcW w:w="1276" w:type="dxa"/>
            <w:tcBorders>
              <w:top w:val="single" w:color="auto" w:sz="8" w:space="0"/>
            </w:tcBorders>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r>
              <w:rPr>
                <w:rFonts w:ascii="Times New Roman" w:hAnsi="Times New Roman" w:cs="Times New Roman" w:eastAsiaTheme="minorEastAsia"/>
                <w:color w:val="000000" w:themeColor="text1"/>
                <w:sz w:val="28"/>
                <w:szCs w:val="28"/>
              </w:rPr>
              <w:t>0.35±0.10</w:t>
            </w:r>
          </w:p>
        </w:tc>
        <w:tc>
          <w:tcPr>
            <w:tcW w:w="1175" w:type="dxa"/>
            <w:tcBorders>
              <w:top w:val="single" w:color="auto" w:sz="8" w:space="0"/>
            </w:tcBorders>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0.94~0.97</w:t>
            </w:r>
          </w:p>
        </w:tc>
        <w:tc>
          <w:tcPr>
            <w:tcW w:w="1093" w:type="dxa"/>
            <w:tcBorders>
              <w:top w:val="single" w:color="auto" w:sz="8" w:space="0"/>
            </w:tcBorders>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≥90</w:t>
            </w:r>
          </w:p>
        </w:tc>
        <w:tc>
          <w:tcPr>
            <w:tcW w:w="1384" w:type="dxa"/>
            <w:tcBorders>
              <w:top w:val="single" w:color="auto" w:sz="8" w:space="0"/>
            </w:tcBorders>
          </w:tcPr>
          <w:p>
            <w:pPr>
              <w:wordWrap w:val="0"/>
              <w:rPr>
                <w:rFonts w:eastAsiaTheme="minorEastAsia"/>
                <w:color w:val="000000" w:themeColor="text1"/>
                <w:sz w:val="28"/>
                <w:szCs w:val="28"/>
              </w:rPr>
            </w:pPr>
            <w:r>
              <w:rPr>
                <w:rFonts w:eastAsiaTheme="minorEastAsia"/>
                <w:color w:val="000000" w:themeColor="text1"/>
                <w:sz w:val="28"/>
                <w:szCs w:val="28"/>
              </w:rPr>
              <w:drawing>
                <wp:inline distT="0" distB="0" distL="0" distR="0">
                  <wp:extent cx="731520" cy="720090"/>
                  <wp:effectExtent l="0" t="0" r="0" b="381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noChangeArrowheads="1"/>
                          </pic:cNvPicPr>
                        </pic:nvPicPr>
                        <pic:blipFill>
                          <a:blip r:embed="rId76" cstate="print">
                            <a:extLst>
                              <a:ext uri="{28A0092B-C50C-407E-A947-70E740481C1C}">
                                <a14:useLocalDpi xmlns:a14="http://schemas.microsoft.com/office/drawing/2010/main" val="0"/>
                              </a:ext>
                            </a:extLst>
                          </a:blip>
                          <a:srcRect l="29974" t="39424" r="54646" b="17938"/>
                          <a:stretch>
                            <a:fillRect/>
                          </a:stretch>
                        </pic:blipFill>
                        <pic:spPr>
                          <a:xfrm>
                            <a:off x="0" y="0"/>
                            <a:ext cx="731520" cy="72009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21" w:hRule="atLeast"/>
          <w:jc w:val="center"/>
        </w:trPr>
        <w:tc>
          <w:tcPr>
            <w:tcW w:w="701" w:type="dxa"/>
            <w:vMerge w:val="continue"/>
            <w:shd w:val="clear" w:color="auto" w:fill="auto"/>
            <w:vAlign w:val="center"/>
          </w:tcPr>
          <w:p>
            <w:pPr>
              <w:wordWrap w:val="0"/>
              <w:rPr>
                <w:rFonts w:eastAsiaTheme="minorEastAsia"/>
                <w:color w:val="000000" w:themeColor="text1"/>
                <w:sz w:val="28"/>
                <w:szCs w:val="28"/>
              </w:rPr>
            </w:pPr>
          </w:p>
        </w:tc>
        <w:tc>
          <w:tcPr>
            <w:tcW w:w="127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≥450</w:t>
            </w:r>
          </w:p>
        </w:tc>
        <w:tc>
          <w:tcPr>
            <w:tcW w:w="993"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25±0.5</w:t>
            </w:r>
          </w:p>
        </w:tc>
        <w:tc>
          <w:tcPr>
            <w:tcW w:w="102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10±1</w:t>
            </w:r>
          </w:p>
        </w:tc>
        <w:tc>
          <w:tcPr>
            <w:tcW w:w="1276" w:type="dxa"/>
            <w:shd w:val="clear" w:color="auto" w:fill="auto"/>
            <w:vAlign w:val="center"/>
          </w:tcPr>
          <w:p>
            <w:pPr>
              <w:pStyle w:val="49"/>
              <w:wordWrap w:val="0"/>
              <w:ind w:firstLine="0" w:firstLineChars="0"/>
              <w:rPr>
                <w:rFonts w:ascii="Times New Roman" w:hAnsi="Times New Roman" w:cs="Times New Roman" w:eastAsiaTheme="minorEastAsia"/>
                <w:color w:val="000000" w:themeColor="text1"/>
                <w:sz w:val="28"/>
                <w:szCs w:val="28"/>
              </w:rPr>
            </w:pPr>
            <w:r>
              <w:rPr>
                <w:rFonts w:ascii="Times New Roman" w:hAnsi="Times New Roman" w:cs="Times New Roman" w:eastAsiaTheme="minorEastAsia"/>
                <w:color w:val="000000" w:themeColor="text1"/>
                <w:sz w:val="28"/>
                <w:szCs w:val="28"/>
              </w:rPr>
              <w:t>0.35±0.10</w:t>
            </w:r>
          </w:p>
        </w:tc>
        <w:tc>
          <w:tcPr>
            <w:tcW w:w="117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0.94~0.97</w:t>
            </w:r>
          </w:p>
        </w:tc>
        <w:tc>
          <w:tcPr>
            <w:tcW w:w="1093"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≥92</w:t>
            </w:r>
          </w:p>
        </w:tc>
        <w:tc>
          <w:tcPr>
            <w:tcW w:w="1384" w:type="dxa"/>
          </w:tcPr>
          <w:p>
            <w:pPr>
              <w:wordWrap w:val="0"/>
              <w:rPr>
                <w:rFonts w:eastAsiaTheme="minorEastAsia"/>
                <w:color w:val="000000" w:themeColor="text1"/>
                <w:sz w:val="28"/>
                <w:szCs w:val="28"/>
              </w:rPr>
            </w:pPr>
            <w:r>
              <w:rPr>
                <w:rFonts w:eastAsiaTheme="minorEastAsia"/>
                <w:color w:val="000000" w:themeColor="text1"/>
                <w:sz w:val="28"/>
                <w:szCs w:val="28"/>
              </w:rPr>
              <w:drawing>
                <wp:inline distT="0" distB="0" distL="0" distR="0">
                  <wp:extent cx="742950" cy="720090"/>
                  <wp:effectExtent l="0" t="0" r="0" b="381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77" cstate="print">
                            <a:extLst>
                              <a:ext uri="{28A0092B-C50C-407E-A947-70E740481C1C}">
                                <a14:useLocalDpi xmlns:a14="http://schemas.microsoft.com/office/drawing/2010/main" val="0"/>
                              </a:ext>
                            </a:extLst>
                          </a:blip>
                          <a:srcRect l="27255" t="27051" r="52901" b="19760"/>
                          <a:stretch>
                            <a:fillRect/>
                          </a:stretch>
                        </pic:blipFill>
                        <pic:spPr>
                          <a:xfrm>
                            <a:off x="0" y="0"/>
                            <a:ext cx="742950" cy="72009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65" w:hRule="atLeast"/>
          <w:jc w:val="center"/>
        </w:trPr>
        <w:tc>
          <w:tcPr>
            <w:tcW w:w="701" w:type="dxa"/>
            <w:vMerge w:val="continue"/>
            <w:shd w:val="clear" w:color="auto" w:fill="auto"/>
            <w:vAlign w:val="center"/>
          </w:tcPr>
          <w:p>
            <w:pPr>
              <w:wordWrap w:val="0"/>
              <w:rPr>
                <w:rFonts w:eastAsiaTheme="minorEastAsia"/>
                <w:color w:val="000000" w:themeColor="text1"/>
                <w:sz w:val="28"/>
                <w:szCs w:val="28"/>
              </w:rPr>
            </w:pPr>
          </w:p>
        </w:tc>
        <w:tc>
          <w:tcPr>
            <w:tcW w:w="127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≥500</w:t>
            </w:r>
          </w:p>
        </w:tc>
        <w:tc>
          <w:tcPr>
            <w:tcW w:w="993"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25±0.5</w:t>
            </w:r>
          </w:p>
        </w:tc>
        <w:tc>
          <w:tcPr>
            <w:tcW w:w="102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10±1</w:t>
            </w:r>
          </w:p>
        </w:tc>
        <w:tc>
          <w:tcPr>
            <w:tcW w:w="1276" w:type="dxa"/>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r>
              <w:rPr>
                <w:rFonts w:ascii="Times New Roman" w:hAnsi="Times New Roman" w:cs="Times New Roman" w:eastAsiaTheme="minorEastAsia"/>
                <w:color w:val="000000" w:themeColor="text1"/>
                <w:sz w:val="28"/>
                <w:szCs w:val="28"/>
              </w:rPr>
              <w:t>0.35±0.10</w:t>
            </w:r>
          </w:p>
        </w:tc>
        <w:tc>
          <w:tcPr>
            <w:tcW w:w="117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0.94~0.97</w:t>
            </w:r>
          </w:p>
        </w:tc>
        <w:tc>
          <w:tcPr>
            <w:tcW w:w="1093"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≥92</w:t>
            </w:r>
          </w:p>
        </w:tc>
        <w:tc>
          <w:tcPr>
            <w:tcW w:w="1384" w:type="dxa"/>
          </w:tcPr>
          <w:p>
            <w:pPr>
              <w:wordWrap w:val="0"/>
              <w:rPr>
                <w:rFonts w:eastAsiaTheme="minorEastAsia"/>
                <w:color w:val="000000" w:themeColor="text1"/>
                <w:sz w:val="28"/>
                <w:szCs w:val="28"/>
              </w:rPr>
            </w:pPr>
            <w:r>
              <w:rPr>
                <w:rFonts w:eastAsiaTheme="minorEastAsia"/>
                <w:color w:val="000000" w:themeColor="text1"/>
                <w:sz w:val="28"/>
                <w:szCs w:val="28"/>
              </w:rPr>
              <w:drawing>
                <wp:inline distT="0" distB="0" distL="0" distR="0">
                  <wp:extent cx="720090" cy="720090"/>
                  <wp:effectExtent l="0" t="0" r="3810" b="381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noChangeArrowheads="1"/>
                          </pic:cNvPicPr>
                        </pic:nvPicPr>
                        <pic:blipFill>
                          <a:blip r:embed="rId78" cstate="print">
                            <a:extLst>
                              <a:ext uri="{28A0092B-C50C-407E-A947-70E740481C1C}">
                                <a14:useLocalDpi xmlns:a14="http://schemas.microsoft.com/office/drawing/2010/main" val="0"/>
                              </a:ext>
                            </a:extLst>
                          </a:blip>
                          <a:srcRect l="14098" t="5084" r="52901"/>
                          <a:stretch>
                            <a:fillRect/>
                          </a:stretch>
                        </pic:blipFill>
                        <pic:spPr>
                          <a:xfrm>
                            <a:off x="0" y="0"/>
                            <a:ext cx="720090" cy="72009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701" w:type="dxa"/>
            <w:vMerge w:val="restart"/>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B类填料</w:t>
            </w:r>
          </w:p>
          <w:p>
            <w:pPr>
              <w:wordWrap w:val="0"/>
              <w:rPr>
                <w:rFonts w:eastAsiaTheme="minorEastAsia"/>
                <w:color w:val="000000" w:themeColor="text1"/>
                <w:sz w:val="28"/>
                <w:szCs w:val="28"/>
              </w:rPr>
            </w:pPr>
          </w:p>
        </w:tc>
        <w:tc>
          <w:tcPr>
            <w:tcW w:w="1275" w:type="dxa"/>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r>
              <w:rPr>
                <w:rFonts w:ascii="Times New Roman" w:hAnsi="Times New Roman" w:cs="Times New Roman" w:eastAsiaTheme="minorEastAsia"/>
                <w:color w:val="000000" w:themeColor="text1"/>
                <w:kern w:val="0"/>
                <w:sz w:val="28"/>
                <w:szCs w:val="28"/>
              </w:rPr>
              <w:t>≥620</w:t>
            </w:r>
          </w:p>
        </w:tc>
        <w:tc>
          <w:tcPr>
            <w:tcW w:w="993"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25±0.5</w:t>
            </w:r>
          </w:p>
        </w:tc>
        <w:tc>
          <w:tcPr>
            <w:tcW w:w="102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10±1</w:t>
            </w:r>
          </w:p>
        </w:tc>
        <w:tc>
          <w:tcPr>
            <w:tcW w:w="1276" w:type="dxa"/>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r>
              <w:rPr>
                <w:rFonts w:ascii="Times New Roman" w:hAnsi="Times New Roman" w:cs="Times New Roman" w:eastAsiaTheme="minorEastAsia"/>
                <w:color w:val="000000" w:themeColor="text1"/>
                <w:sz w:val="28"/>
                <w:szCs w:val="28"/>
              </w:rPr>
              <w:t>0.35±0.10</w:t>
            </w:r>
          </w:p>
        </w:tc>
        <w:tc>
          <w:tcPr>
            <w:tcW w:w="117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0.94~0.97</w:t>
            </w:r>
          </w:p>
        </w:tc>
        <w:tc>
          <w:tcPr>
            <w:tcW w:w="1093"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≥92</w:t>
            </w:r>
          </w:p>
        </w:tc>
        <w:tc>
          <w:tcPr>
            <w:tcW w:w="1384" w:type="dxa"/>
          </w:tcPr>
          <w:p>
            <w:pPr>
              <w:wordWrap w:val="0"/>
              <w:rPr>
                <w:rFonts w:eastAsiaTheme="minorEastAsia"/>
                <w:color w:val="000000" w:themeColor="text1"/>
                <w:sz w:val="28"/>
                <w:szCs w:val="28"/>
              </w:rPr>
            </w:pPr>
            <w:r>
              <w:rPr>
                <w:rFonts w:eastAsiaTheme="minorEastAsia"/>
                <w:color w:val="000000" w:themeColor="text1"/>
                <w:sz w:val="28"/>
                <w:szCs w:val="28"/>
              </w:rPr>
              <w:drawing>
                <wp:inline distT="0" distB="0" distL="0" distR="0">
                  <wp:extent cx="754380" cy="720090"/>
                  <wp:effectExtent l="0" t="0" r="7620" b="381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noChangeArrowheads="1"/>
                          </pic:cNvPicPr>
                        </pic:nvPicPr>
                        <pic:blipFill>
                          <a:blip r:embed="rId79" cstate="print">
                            <a:extLst>
                              <a:ext uri="{28A0092B-C50C-407E-A947-70E740481C1C}">
                                <a14:useLocalDpi xmlns:a14="http://schemas.microsoft.com/office/drawing/2010/main" val="0"/>
                              </a:ext>
                            </a:extLst>
                          </a:blip>
                          <a:srcRect l="33676" t="29829" r="50636" b="27922"/>
                          <a:stretch>
                            <a:fillRect/>
                          </a:stretch>
                        </pic:blipFill>
                        <pic:spPr>
                          <a:xfrm>
                            <a:off x="0" y="0"/>
                            <a:ext cx="754380" cy="72009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01" w:type="dxa"/>
            <w:vMerge w:val="continue"/>
            <w:shd w:val="clear" w:color="auto" w:fill="auto"/>
            <w:vAlign w:val="center"/>
          </w:tcPr>
          <w:p>
            <w:pPr>
              <w:wordWrap w:val="0"/>
              <w:rPr>
                <w:rFonts w:eastAsiaTheme="minorEastAsia"/>
                <w:color w:val="000000" w:themeColor="text1"/>
                <w:sz w:val="28"/>
                <w:szCs w:val="28"/>
              </w:rPr>
            </w:pPr>
          </w:p>
        </w:tc>
        <w:tc>
          <w:tcPr>
            <w:tcW w:w="1275" w:type="dxa"/>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r>
              <w:rPr>
                <w:rFonts w:ascii="Times New Roman" w:hAnsi="Times New Roman" w:cs="Times New Roman" w:eastAsiaTheme="minorEastAsia"/>
                <w:color w:val="000000" w:themeColor="text1"/>
                <w:kern w:val="0"/>
                <w:sz w:val="28"/>
                <w:szCs w:val="28"/>
              </w:rPr>
              <w:t>≥800</w:t>
            </w:r>
          </w:p>
        </w:tc>
        <w:tc>
          <w:tcPr>
            <w:tcW w:w="993" w:type="dxa"/>
            <w:vMerge w:val="restart"/>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25±0.5</w:t>
            </w:r>
          </w:p>
        </w:tc>
        <w:tc>
          <w:tcPr>
            <w:tcW w:w="1025" w:type="dxa"/>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r>
              <w:rPr>
                <w:rFonts w:ascii="Times New Roman" w:hAnsi="Times New Roman" w:cs="Times New Roman" w:eastAsiaTheme="minorEastAsia"/>
                <w:color w:val="000000" w:themeColor="text1"/>
                <w:sz w:val="28"/>
                <w:szCs w:val="28"/>
              </w:rPr>
              <w:t>10±1</w:t>
            </w:r>
          </w:p>
        </w:tc>
        <w:tc>
          <w:tcPr>
            <w:tcW w:w="1276" w:type="dxa"/>
            <w:vMerge w:val="restart"/>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r>
              <w:rPr>
                <w:rFonts w:ascii="Times New Roman" w:hAnsi="Times New Roman" w:cs="Times New Roman" w:eastAsiaTheme="minorEastAsia"/>
                <w:color w:val="000000" w:themeColor="text1"/>
                <w:sz w:val="28"/>
                <w:szCs w:val="28"/>
              </w:rPr>
              <w:t>0.35±0.10</w:t>
            </w:r>
          </w:p>
        </w:tc>
        <w:tc>
          <w:tcPr>
            <w:tcW w:w="1175" w:type="dxa"/>
            <w:vMerge w:val="restart"/>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0.94~0.97</w:t>
            </w:r>
          </w:p>
        </w:tc>
        <w:tc>
          <w:tcPr>
            <w:tcW w:w="1093" w:type="dxa"/>
            <w:vMerge w:val="restart"/>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≥90</w:t>
            </w:r>
          </w:p>
        </w:tc>
        <w:tc>
          <w:tcPr>
            <w:tcW w:w="1384" w:type="dxa"/>
            <w:vMerge w:val="restart"/>
          </w:tcPr>
          <w:p>
            <w:pPr>
              <w:wordWrap w:val="0"/>
              <w:rPr>
                <w:rFonts w:eastAsiaTheme="minorEastAsia"/>
                <w:color w:val="000000" w:themeColor="text1"/>
                <w:sz w:val="28"/>
                <w:szCs w:val="28"/>
              </w:rPr>
            </w:pPr>
            <w:r>
              <w:rPr>
                <w:rFonts w:eastAsiaTheme="minorEastAsia"/>
                <w:color w:val="000000" w:themeColor="text1"/>
                <w:sz w:val="28"/>
                <w:szCs w:val="28"/>
              </w:rPr>
              <w:drawing>
                <wp:inline distT="0" distB="0" distL="0" distR="0">
                  <wp:extent cx="720090" cy="720090"/>
                  <wp:effectExtent l="0" t="0" r="3810" b="381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noChangeArrowheads="1"/>
                          </pic:cNvPicPr>
                        </pic:nvPicPr>
                        <pic:blipFill>
                          <a:blip r:embed="rId80" cstate="print">
                            <a:extLst>
                              <a:ext uri="{28A0092B-C50C-407E-A947-70E740481C1C}">
                                <a14:useLocalDpi xmlns:a14="http://schemas.microsoft.com/office/drawing/2010/main" val="0"/>
                              </a:ext>
                            </a:extLst>
                          </a:blip>
                          <a:srcRect l="30948" t="18800" r="49510" b="25227"/>
                          <a:stretch>
                            <a:fillRect/>
                          </a:stretch>
                        </pic:blipFill>
                        <pic:spPr>
                          <a:xfrm>
                            <a:off x="0" y="0"/>
                            <a:ext cx="720090" cy="72009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1" w:type="dxa"/>
            <w:vMerge w:val="continue"/>
            <w:shd w:val="clear" w:color="auto" w:fill="auto"/>
            <w:vAlign w:val="center"/>
          </w:tcPr>
          <w:p>
            <w:pPr>
              <w:wordWrap w:val="0"/>
              <w:rPr>
                <w:rFonts w:eastAsiaTheme="minorEastAsia"/>
                <w:color w:val="000000" w:themeColor="text1"/>
                <w:sz w:val="28"/>
                <w:szCs w:val="28"/>
              </w:rPr>
            </w:pPr>
          </w:p>
        </w:tc>
        <w:tc>
          <w:tcPr>
            <w:tcW w:w="1275" w:type="dxa"/>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r>
              <w:rPr>
                <w:rFonts w:ascii="Times New Roman" w:hAnsi="Times New Roman" w:cs="Times New Roman" w:eastAsiaTheme="minorEastAsia"/>
                <w:color w:val="000000" w:themeColor="text1"/>
                <w:kern w:val="0"/>
                <w:sz w:val="28"/>
                <w:szCs w:val="28"/>
              </w:rPr>
              <w:t>≥800</w:t>
            </w:r>
          </w:p>
        </w:tc>
        <w:tc>
          <w:tcPr>
            <w:tcW w:w="993" w:type="dxa"/>
            <w:vMerge w:val="continue"/>
            <w:shd w:val="clear" w:color="auto" w:fill="auto"/>
            <w:vAlign w:val="center"/>
          </w:tcPr>
          <w:p>
            <w:pPr>
              <w:wordWrap w:val="0"/>
              <w:rPr>
                <w:rFonts w:eastAsiaTheme="minorEastAsia"/>
                <w:color w:val="000000" w:themeColor="text1"/>
                <w:sz w:val="28"/>
                <w:szCs w:val="28"/>
              </w:rPr>
            </w:pPr>
          </w:p>
        </w:tc>
        <w:tc>
          <w:tcPr>
            <w:tcW w:w="1025" w:type="dxa"/>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r>
              <w:rPr>
                <w:rFonts w:ascii="Times New Roman" w:hAnsi="Times New Roman" w:cs="Times New Roman" w:eastAsiaTheme="minorEastAsia"/>
                <w:color w:val="000000" w:themeColor="text1"/>
                <w:sz w:val="28"/>
                <w:szCs w:val="28"/>
              </w:rPr>
              <w:t>8±1</w:t>
            </w:r>
          </w:p>
        </w:tc>
        <w:tc>
          <w:tcPr>
            <w:tcW w:w="1276" w:type="dxa"/>
            <w:vMerge w:val="continue"/>
            <w:shd w:val="clear" w:color="auto" w:fill="auto"/>
            <w:vAlign w:val="center"/>
          </w:tcPr>
          <w:p>
            <w:pPr>
              <w:pStyle w:val="49"/>
              <w:wordWrap w:val="0"/>
              <w:ind w:firstLine="560"/>
              <w:rPr>
                <w:rFonts w:ascii="Times New Roman" w:hAnsi="Times New Roman" w:cs="Times New Roman" w:eastAsiaTheme="minorEastAsia"/>
                <w:color w:val="000000" w:themeColor="text1"/>
                <w:kern w:val="0"/>
                <w:sz w:val="28"/>
                <w:szCs w:val="28"/>
              </w:rPr>
            </w:pPr>
          </w:p>
        </w:tc>
        <w:tc>
          <w:tcPr>
            <w:tcW w:w="1175" w:type="dxa"/>
            <w:vMerge w:val="continue"/>
            <w:shd w:val="clear" w:color="auto" w:fill="auto"/>
            <w:vAlign w:val="center"/>
          </w:tcPr>
          <w:p>
            <w:pPr>
              <w:wordWrap w:val="0"/>
              <w:rPr>
                <w:rFonts w:eastAsiaTheme="minorEastAsia"/>
                <w:color w:val="000000" w:themeColor="text1"/>
                <w:sz w:val="28"/>
                <w:szCs w:val="28"/>
              </w:rPr>
            </w:pPr>
          </w:p>
        </w:tc>
        <w:tc>
          <w:tcPr>
            <w:tcW w:w="1093" w:type="dxa"/>
            <w:vMerge w:val="continue"/>
            <w:shd w:val="clear" w:color="auto" w:fill="auto"/>
            <w:vAlign w:val="center"/>
          </w:tcPr>
          <w:p>
            <w:pPr>
              <w:wordWrap w:val="0"/>
              <w:rPr>
                <w:rFonts w:eastAsiaTheme="minorEastAsia"/>
                <w:color w:val="000000" w:themeColor="text1"/>
                <w:sz w:val="28"/>
                <w:szCs w:val="28"/>
              </w:rPr>
            </w:pPr>
          </w:p>
        </w:tc>
        <w:tc>
          <w:tcPr>
            <w:tcW w:w="1384" w:type="dxa"/>
            <w:vMerge w:val="continue"/>
          </w:tcPr>
          <w:p>
            <w:pPr>
              <w:wordWrap w:val="0"/>
              <w:rPr>
                <w:rFonts w:eastAsiaTheme="minorEastAsia"/>
                <w:color w:val="000000" w:themeColor="text1"/>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701" w:type="dxa"/>
            <w:vMerge w:val="continue"/>
            <w:shd w:val="clear" w:color="auto" w:fill="auto"/>
            <w:vAlign w:val="center"/>
          </w:tcPr>
          <w:p>
            <w:pPr>
              <w:wordWrap w:val="0"/>
              <w:rPr>
                <w:rFonts w:eastAsiaTheme="minorEastAsia"/>
                <w:color w:val="000000" w:themeColor="text1"/>
                <w:sz w:val="28"/>
                <w:szCs w:val="28"/>
              </w:rPr>
            </w:pPr>
          </w:p>
        </w:tc>
        <w:tc>
          <w:tcPr>
            <w:tcW w:w="1275" w:type="dxa"/>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r>
              <w:rPr>
                <w:rFonts w:ascii="Times New Roman" w:hAnsi="Times New Roman" w:cs="Times New Roman" w:eastAsiaTheme="minorEastAsia"/>
                <w:color w:val="000000" w:themeColor="text1"/>
                <w:kern w:val="0"/>
                <w:sz w:val="28"/>
                <w:szCs w:val="28"/>
              </w:rPr>
              <w:t>≥800</w:t>
            </w:r>
          </w:p>
        </w:tc>
        <w:tc>
          <w:tcPr>
            <w:tcW w:w="993" w:type="dxa"/>
            <w:vMerge w:val="restart"/>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35±0.5</w:t>
            </w:r>
          </w:p>
        </w:tc>
        <w:tc>
          <w:tcPr>
            <w:tcW w:w="1025" w:type="dxa"/>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r>
              <w:rPr>
                <w:rFonts w:ascii="Times New Roman" w:hAnsi="Times New Roman" w:cs="Times New Roman" w:eastAsiaTheme="minorEastAsia"/>
                <w:color w:val="000000" w:themeColor="text1"/>
                <w:sz w:val="28"/>
                <w:szCs w:val="28"/>
              </w:rPr>
              <w:t>10±1</w:t>
            </w:r>
          </w:p>
        </w:tc>
        <w:tc>
          <w:tcPr>
            <w:tcW w:w="1276" w:type="dxa"/>
            <w:vMerge w:val="continue"/>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p>
        </w:tc>
        <w:tc>
          <w:tcPr>
            <w:tcW w:w="1175" w:type="dxa"/>
            <w:vMerge w:val="continue"/>
            <w:shd w:val="clear" w:color="auto" w:fill="auto"/>
            <w:vAlign w:val="center"/>
          </w:tcPr>
          <w:p>
            <w:pPr>
              <w:wordWrap w:val="0"/>
              <w:rPr>
                <w:rFonts w:eastAsiaTheme="minorEastAsia"/>
                <w:color w:val="000000" w:themeColor="text1"/>
                <w:sz w:val="28"/>
                <w:szCs w:val="28"/>
              </w:rPr>
            </w:pPr>
          </w:p>
        </w:tc>
        <w:tc>
          <w:tcPr>
            <w:tcW w:w="1093" w:type="dxa"/>
            <w:vMerge w:val="restart"/>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≥91</w:t>
            </w:r>
          </w:p>
        </w:tc>
        <w:tc>
          <w:tcPr>
            <w:tcW w:w="1384" w:type="dxa"/>
            <w:vMerge w:val="continue"/>
          </w:tcPr>
          <w:p>
            <w:pPr>
              <w:wordWrap w:val="0"/>
              <w:rPr>
                <w:rFonts w:eastAsiaTheme="minorEastAsia"/>
                <w:color w:val="000000" w:themeColor="text1"/>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1" w:type="dxa"/>
            <w:vMerge w:val="continue"/>
            <w:shd w:val="clear" w:color="auto" w:fill="auto"/>
            <w:vAlign w:val="center"/>
          </w:tcPr>
          <w:p>
            <w:pPr>
              <w:wordWrap w:val="0"/>
              <w:rPr>
                <w:rFonts w:eastAsiaTheme="minorEastAsia"/>
                <w:color w:val="000000" w:themeColor="text1"/>
                <w:sz w:val="28"/>
                <w:szCs w:val="28"/>
              </w:rPr>
            </w:pPr>
          </w:p>
        </w:tc>
        <w:tc>
          <w:tcPr>
            <w:tcW w:w="1275" w:type="dxa"/>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r>
              <w:rPr>
                <w:rFonts w:ascii="Times New Roman" w:hAnsi="Times New Roman" w:cs="Times New Roman" w:eastAsiaTheme="minorEastAsia"/>
                <w:color w:val="000000" w:themeColor="text1"/>
                <w:kern w:val="0"/>
                <w:sz w:val="28"/>
                <w:szCs w:val="28"/>
              </w:rPr>
              <w:t>≥800</w:t>
            </w:r>
          </w:p>
        </w:tc>
        <w:tc>
          <w:tcPr>
            <w:tcW w:w="993" w:type="dxa"/>
            <w:vMerge w:val="continue"/>
            <w:shd w:val="clear" w:color="auto" w:fill="auto"/>
            <w:vAlign w:val="center"/>
          </w:tcPr>
          <w:p>
            <w:pPr>
              <w:wordWrap w:val="0"/>
              <w:rPr>
                <w:rFonts w:eastAsiaTheme="minorEastAsia"/>
                <w:color w:val="000000" w:themeColor="text1"/>
                <w:sz w:val="28"/>
                <w:szCs w:val="28"/>
              </w:rPr>
            </w:pPr>
          </w:p>
        </w:tc>
        <w:tc>
          <w:tcPr>
            <w:tcW w:w="1025" w:type="dxa"/>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r>
              <w:rPr>
                <w:rFonts w:ascii="Times New Roman" w:hAnsi="Times New Roman" w:cs="Times New Roman" w:eastAsiaTheme="minorEastAsia"/>
                <w:color w:val="000000" w:themeColor="text1"/>
                <w:sz w:val="28"/>
                <w:szCs w:val="28"/>
              </w:rPr>
              <w:t>8±1</w:t>
            </w:r>
          </w:p>
        </w:tc>
        <w:tc>
          <w:tcPr>
            <w:tcW w:w="1276" w:type="dxa"/>
            <w:vMerge w:val="continue"/>
            <w:shd w:val="clear" w:color="auto" w:fill="auto"/>
            <w:vAlign w:val="center"/>
          </w:tcPr>
          <w:p>
            <w:pPr>
              <w:pStyle w:val="49"/>
              <w:wordWrap w:val="0"/>
              <w:ind w:firstLine="0" w:firstLineChars="0"/>
              <w:rPr>
                <w:rFonts w:ascii="Times New Roman" w:hAnsi="Times New Roman" w:cs="Times New Roman" w:eastAsiaTheme="minorEastAsia"/>
                <w:color w:val="000000" w:themeColor="text1"/>
                <w:kern w:val="0"/>
                <w:sz w:val="28"/>
                <w:szCs w:val="28"/>
              </w:rPr>
            </w:pPr>
          </w:p>
        </w:tc>
        <w:tc>
          <w:tcPr>
            <w:tcW w:w="1175" w:type="dxa"/>
            <w:vMerge w:val="continue"/>
            <w:shd w:val="clear" w:color="auto" w:fill="auto"/>
            <w:vAlign w:val="center"/>
          </w:tcPr>
          <w:p>
            <w:pPr>
              <w:wordWrap w:val="0"/>
              <w:rPr>
                <w:rFonts w:eastAsiaTheme="minorEastAsia"/>
                <w:color w:val="000000" w:themeColor="text1"/>
                <w:sz w:val="28"/>
                <w:szCs w:val="28"/>
              </w:rPr>
            </w:pPr>
          </w:p>
        </w:tc>
        <w:tc>
          <w:tcPr>
            <w:tcW w:w="1093" w:type="dxa"/>
            <w:vMerge w:val="continue"/>
            <w:shd w:val="clear" w:color="auto" w:fill="auto"/>
            <w:vAlign w:val="center"/>
          </w:tcPr>
          <w:p>
            <w:pPr>
              <w:wordWrap w:val="0"/>
              <w:rPr>
                <w:rFonts w:eastAsiaTheme="minorEastAsia"/>
                <w:color w:val="000000" w:themeColor="text1"/>
                <w:sz w:val="28"/>
                <w:szCs w:val="28"/>
              </w:rPr>
            </w:pPr>
          </w:p>
        </w:tc>
        <w:tc>
          <w:tcPr>
            <w:tcW w:w="1384" w:type="dxa"/>
            <w:vMerge w:val="continue"/>
          </w:tcPr>
          <w:p>
            <w:pPr>
              <w:wordWrap w:val="0"/>
              <w:rPr>
                <w:rFonts w:eastAsiaTheme="minorEastAsia"/>
                <w:color w:val="000000" w:themeColor="text1"/>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1" w:type="dxa"/>
            <w:vMerge w:val="restart"/>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C类填料</w:t>
            </w:r>
          </w:p>
        </w:tc>
        <w:tc>
          <w:tcPr>
            <w:tcW w:w="127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≥1200</w:t>
            </w:r>
          </w:p>
        </w:tc>
        <w:tc>
          <w:tcPr>
            <w:tcW w:w="993"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36±0.5</w:t>
            </w:r>
          </w:p>
        </w:tc>
        <w:tc>
          <w:tcPr>
            <w:tcW w:w="102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4±1</w:t>
            </w:r>
          </w:p>
        </w:tc>
        <w:tc>
          <w:tcPr>
            <w:tcW w:w="1276"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0.35±0.10</w:t>
            </w:r>
          </w:p>
        </w:tc>
        <w:tc>
          <w:tcPr>
            <w:tcW w:w="117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0.94~0.97</w:t>
            </w:r>
          </w:p>
        </w:tc>
        <w:tc>
          <w:tcPr>
            <w:tcW w:w="1093"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≥90</w:t>
            </w:r>
          </w:p>
        </w:tc>
        <w:tc>
          <w:tcPr>
            <w:tcW w:w="1384" w:type="dxa"/>
          </w:tcPr>
          <w:p>
            <w:pPr>
              <w:wordWrap w:val="0"/>
              <w:rPr>
                <w:rFonts w:eastAsiaTheme="minorEastAsia"/>
                <w:color w:val="000000" w:themeColor="text1"/>
                <w:sz w:val="28"/>
                <w:szCs w:val="28"/>
              </w:rPr>
            </w:pPr>
            <w:r>
              <w:rPr>
                <w:rFonts w:eastAsiaTheme="minorEastAsia"/>
                <w:color w:val="000000" w:themeColor="text1"/>
                <w:sz w:val="28"/>
                <w:szCs w:val="28"/>
              </w:rPr>
              <w:drawing>
                <wp:inline distT="0" distB="0" distL="0" distR="0">
                  <wp:extent cx="765810" cy="777240"/>
                  <wp:effectExtent l="0" t="0" r="0" b="381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noChangeArrowheads="1"/>
                          </pic:cNvPicPr>
                        </pic:nvPicPr>
                        <pic:blipFill>
                          <a:blip r:embed="rId81" cstate="print">
                            <a:extLst>
                              <a:ext uri="{28A0092B-C50C-407E-A947-70E740481C1C}">
                                <a14:useLocalDpi xmlns:a14="http://schemas.microsoft.com/office/drawing/2010/main" val="0"/>
                              </a:ext>
                            </a:extLst>
                          </a:blip>
                          <a:srcRect l="53085" t="23853" r="29167" b="24312"/>
                          <a:stretch>
                            <a:fillRect/>
                          </a:stretch>
                        </pic:blipFill>
                        <pic:spPr>
                          <a:xfrm>
                            <a:off x="0" y="0"/>
                            <a:ext cx="765810" cy="77724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1" w:type="dxa"/>
            <w:vMerge w:val="continue"/>
            <w:shd w:val="clear" w:color="auto" w:fill="auto"/>
            <w:vAlign w:val="center"/>
          </w:tcPr>
          <w:p>
            <w:pPr>
              <w:wordWrap w:val="0"/>
              <w:rPr>
                <w:rFonts w:eastAsiaTheme="minorEastAsia"/>
                <w:color w:val="000000" w:themeColor="text1"/>
                <w:sz w:val="28"/>
                <w:szCs w:val="28"/>
              </w:rPr>
            </w:pPr>
          </w:p>
        </w:tc>
        <w:tc>
          <w:tcPr>
            <w:tcW w:w="127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≥1200</w:t>
            </w:r>
          </w:p>
        </w:tc>
        <w:tc>
          <w:tcPr>
            <w:tcW w:w="993"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48±0.5</w:t>
            </w:r>
          </w:p>
        </w:tc>
        <w:tc>
          <w:tcPr>
            <w:tcW w:w="102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2.2±0.2</w:t>
            </w:r>
          </w:p>
        </w:tc>
        <w:tc>
          <w:tcPr>
            <w:tcW w:w="1276"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0.5±0.20</w:t>
            </w:r>
          </w:p>
        </w:tc>
        <w:tc>
          <w:tcPr>
            <w:tcW w:w="1175"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0.94~0.97</w:t>
            </w:r>
          </w:p>
        </w:tc>
        <w:tc>
          <w:tcPr>
            <w:tcW w:w="1093" w:type="dxa"/>
            <w:shd w:val="clear" w:color="auto" w:fill="auto"/>
            <w:vAlign w:val="center"/>
          </w:tcPr>
          <w:p>
            <w:pPr>
              <w:wordWrap w:val="0"/>
              <w:rPr>
                <w:rFonts w:eastAsiaTheme="minorEastAsia"/>
                <w:color w:val="000000" w:themeColor="text1"/>
                <w:sz w:val="28"/>
                <w:szCs w:val="28"/>
              </w:rPr>
            </w:pPr>
            <w:r>
              <w:rPr>
                <w:rFonts w:eastAsiaTheme="minorEastAsia"/>
                <w:color w:val="000000" w:themeColor="text1"/>
                <w:sz w:val="28"/>
                <w:szCs w:val="28"/>
              </w:rPr>
              <w:t>≥70</w:t>
            </w:r>
          </w:p>
        </w:tc>
        <w:tc>
          <w:tcPr>
            <w:tcW w:w="1384" w:type="dxa"/>
          </w:tcPr>
          <w:p>
            <w:pPr>
              <w:wordWrap w:val="0"/>
              <w:rPr>
                <w:rFonts w:eastAsiaTheme="minorEastAsia"/>
                <w:color w:val="000000" w:themeColor="text1"/>
                <w:sz w:val="28"/>
                <w:szCs w:val="28"/>
              </w:rPr>
            </w:pPr>
            <w:r>
              <w:rPr>
                <w:rFonts w:eastAsiaTheme="minorEastAsia"/>
                <w:color w:val="000000" w:themeColor="text1"/>
                <w:sz w:val="28"/>
                <w:szCs w:val="28"/>
              </w:rPr>
              <w:drawing>
                <wp:inline distT="0" distB="0" distL="0" distR="0">
                  <wp:extent cx="720090" cy="720090"/>
                  <wp:effectExtent l="0" t="0" r="3810" b="381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noChangeArrowheads="1"/>
                          </pic:cNvPicPr>
                        </pic:nvPicPr>
                        <pic:blipFill>
                          <a:blip r:embed="rId82" cstate="print">
                            <a:extLst>
                              <a:ext uri="{28A0092B-C50C-407E-A947-70E740481C1C}">
                                <a14:useLocalDpi xmlns:a14="http://schemas.microsoft.com/office/drawing/2010/main" val="0"/>
                              </a:ext>
                            </a:extLst>
                          </a:blip>
                          <a:srcRect l="29672" t="17075" r="42528" b="6619"/>
                          <a:stretch>
                            <a:fillRect/>
                          </a:stretch>
                        </pic:blipFill>
                        <pic:spPr>
                          <a:xfrm>
                            <a:off x="0" y="0"/>
                            <a:ext cx="720090" cy="720090"/>
                          </a:xfrm>
                          <a:prstGeom prst="rect">
                            <a:avLst/>
                          </a:prstGeom>
                          <a:noFill/>
                          <a:ln>
                            <a:noFill/>
                          </a:ln>
                        </pic:spPr>
                      </pic:pic>
                    </a:graphicData>
                  </a:graphic>
                </wp:inline>
              </w:drawing>
            </w:r>
          </w:p>
        </w:tc>
      </w:tr>
    </w:tbl>
    <w:p>
      <w:pPr>
        <w:widowControl/>
        <w:wordWrap w:val="0"/>
        <w:ind w:firstLine="565" w:firstLineChars="202"/>
        <w:rPr>
          <w:rFonts w:eastAsiaTheme="minorEastAsia"/>
          <w:color w:val="000000" w:themeColor="text1"/>
          <w:sz w:val="28"/>
          <w:szCs w:val="28"/>
        </w:rPr>
      </w:pPr>
      <w:r>
        <w:rPr>
          <w:rFonts w:eastAsiaTheme="minorEastAsia"/>
          <w:color w:val="000000" w:themeColor="text1"/>
          <w:sz w:val="28"/>
          <w:szCs w:val="28"/>
        </w:rPr>
        <w:t>悬浮填料的填充率可采用20%</w:t>
      </w:r>
      <w:r>
        <w:rPr>
          <w:rFonts w:eastAsia="MS Gothic"/>
          <w:color w:val="000000" w:themeColor="text1"/>
          <w:sz w:val="28"/>
          <w:szCs w:val="28"/>
        </w:rPr>
        <w:t>〜</w:t>
      </w:r>
      <w:r>
        <w:rPr>
          <w:rFonts w:eastAsiaTheme="minorEastAsia"/>
          <w:color w:val="000000" w:themeColor="text1"/>
          <w:sz w:val="28"/>
          <w:szCs w:val="28"/>
        </w:rPr>
        <w:t>60%，一般要求≤67%。</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悬浮填料投加区域应设拦截筛网。</w:t>
      </w:r>
    </w:p>
    <w:p>
      <w:pPr>
        <w:widowControl/>
        <w:wordWrap w:val="0"/>
        <w:rPr>
          <w:rFonts w:eastAsiaTheme="minorEastAsia"/>
          <w:color w:val="000000" w:themeColor="text1"/>
          <w:sz w:val="28"/>
          <w:szCs w:val="28"/>
        </w:rPr>
      </w:pPr>
      <w:r>
        <w:rPr>
          <w:rFonts w:eastAsiaTheme="minorEastAsia"/>
          <w:color w:val="000000" w:themeColor="text1"/>
          <w:sz w:val="28"/>
          <w:szCs w:val="28"/>
        </w:rPr>
        <w:t>【条文说明】为防止填料随水流外泄，悬浮填料投加区域与非投加区之间应设拦截筛网。同时，为避免填料在拦截格网处的堆积堵塞，保证填料的充分流化和出水区过水断面的畅通，应在末端填料拦截格网外增加穿孔管曝气的管路布置，避免悬浮填料在拦截筛网处的堆积，有效防止格网空隙的堵塞，保障出水畅通。</w:t>
      </w:r>
    </w:p>
    <w:p>
      <w:pPr>
        <w:pStyle w:val="30"/>
        <w:numPr>
          <w:ilvl w:val="0"/>
          <w:numId w:val="4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移动床生物膜反应器池内水平流速不应大于35m/h，长宽比宜在2:1~4:1范围内，当不满足此条件时，应增设导流隔墙和弧形导流隔墙，强化悬浮填料的循环流动。</w:t>
      </w:r>
    </w:p>
    <w:p>
      <w:pPr>
        <w:widowControl/>
        <w:wordWrap w:val="0"/>
        <w:rPr>
          <w:rFonts w:eastAsiaTheme="minorEastAsia"/>
          <w:color w:val="000000" w:themeColor="text1"/>
          <w:sz w:val="28"/>
          <w:szCs w:val="28"/>
        </w:rPr>
      </w:pPr>
      <w:r>
        <w:rPr>
          <w:rFonts w:eastAsiaTheme="minorEastAsia"/>
          <w:color w:val="000000" w:themeColor="text1"/>
          <w:sz w:val="28"/>
          <w:szCs w:val="28"/>
        </w:rPr>
        <w:t>【条文说明】移动床生物膜反应器反应池的工艺设计，宜采用循环流态的构筑物形式，不宜采用完全推流式。</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由于移动床生物膜反应器工艺中悬浮填料会随着水流方向流往下游方向，因此宜控制水平流速和长宽比，促进填料的循环流态，保证悬浮填料分布的均匀性，避免填料在出口处堆积。已建工程提标需要改造原有的完全推流式反应池时，应采取措施强化悬浮填料的循环流动。</w:t>
      </w:r>
    </w:p>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53" w:name="_Toc515281063"/>
      <w:r>
        <w:rPr>
          <w:rFonts w:ascii="Times New Roman" w:hAnsi="Times New Roman" w:eastAsiaTheme="minorEastAsia"/>
          <w:b w:val="0"/>
          <w:color w:val="000000" w:themeColor="text1"/>
          <w:sz w:val="28"/>
          <w:szCs w:val="28"/>
        </w:rPr>
        <w:t>供氧设施</w:t>
      </w:r>
      <w:bookmarkEnd w:id="53"/>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生物反应池中好氧区的供氧，应满足污水需氧量、混合和处理效率等要求，一般宜采用鼓风曝气或表面曝气等方式。</w:t>
      </w:r>
    </w:p>
    <w:p>
      <w:pPr>
        <w:wordWrap w:val="0"/>
        <w:rPr>
          <w:rFonts w:eastAsiaTheme="minorEastAsia"/>
          <w:color w:val="000000" w:themeColor="text1"/>
          <w:sz w:val="28"/>
          <w:szCs w:val="28"/>
        </w:rPr>
      </w:pPr>
      <w:r>
        <w:rPr>
          <w:rFonts w:eastAsiaTheme="minorEastAsia"/>
          <w:color w:val="000000" w:themeColor="text1"/>
          <w:sz w:val="28"/>
          <w:szCs w:val="28"/>
        </w:rPr>
        <w:t>【条文说明】供氧设施的功能应同时满足污水需氧量、活性污泥与污水的混合和相应的处理效率等要求。</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生物反应池中好氧区的污水需氧量，根据去除的五日生化需氧量、氨氮的硝化和除氮等要求，宜按下列公式计算：</w:t>
      </w:r>
    </w:p>
    <w:p>
      <w:pPr>
        <w:widowControl/>
        <w:wordWrap w:val="0"/>
        <w:rPr>
          <w:rFonts w:eastAsiaTheme="minorEastAsia"/>
          <w:color w:val="000000" w:themeColor="text1"/>
          <w:sz w:val="28"/>
          <w:szCs w:val="28"/>
        </w:rPr>
      </w:pPr>
      <w:r>
        <w:rPr>
          <w:rFonts w:eastAsiaTheme="minorEastAsia"/>
          <w:i/>
          <w:color w:val="000000" w:themeColor="text1"/>
          <w:sz w:val="28"/>
          <w:szCs w:val="28"/>
        </w:rPr>
        <w:t>O</w:t>
      </w:r>
      <w:r>
        <w:rPr>
          <w:rFonts w:eastAsiaTheme="minorEastAsia"/>
          <w:color w:val="000000" w:themeColor="text1"/>
          <w:sz w:val="28"/>
          <w:szCs w:val="28"/>
          <w:vertAlign w:val="subscript"/>
        </w:rPr>
        <w:t xml:space="preserve">2 </w:t>
      </w:r>
      <w:r>
        <w:rPr>
          <w:rFonts w:eastAsiaTheme="minorEastAsia"/>
          <w:color w:val="000000" w:themeColor="text1"/>
          <w:sz w:val="28"/>
          <w:szCs w:val="28"/>
        </w:rPr>
        <w:t>= 0.001</w:t>
      </w:r>
      <w:r>
        <w:rPr>
          <w:rFonts w:eastAsiaTheme="minorEastAsia"/>
          <w:i/>
          <w:color w:val="000000" w:themeColor="text1"/>
          <w:sz w:val="28"/>
          <w:szCs w:val="28"/>
        </w:rPr>
        <w:t>aQ</w:t>
      </w:r>
      <w:r>
        <w:rPr>
          <w:rFonts w:eastAsiaTheme="minorEastAsia"/>
          <w:color w:val="000000" w:themeColor="text1"/>
          <w:sz w:val="28"/>
          <w:szCs w:val="28"/>
        </w:rPr>
        <w:t>（</w:t>
      </w:r>
      <w:r>
        <w:rPr>
          <w:rFonts w:eastAsiaTheme="minorEastAsia"/>
          <w:i/>
          <w:color w:val="000000" w:themeColor="text1"/>
          <w:sz w:val="28"/>
          <w:szCs w:val="28"/>
        </w:rPr>
        <w:t>S</w:t>
      </w:r>
      <w:r>
        <w:rPr>
          <w:rFonts w:eastAsiaTheme="minorEastAsia"/>
          <w:color w:val="000000" w:themeColor="text1"/>
          <w:sz w:val="28"/>
          <w:szCs w:val="28"/>
          <w:vertAlign w:val="subscript"/>
        </w:rPr>
        <w:t>o</w:t>
      </w:r>
      <w:r>
        <w:rPr>
          <w:rFonts w:eastAsiaTheme="minorEastAsia"/>
          <w:color w:val="000000" w:themeColor="text1"/>
          <w:sz w:val="28"/>
          <w:szCs w:val="28"/>
        </w:rPr>
        <w:t>－</w:t>
      </w:r>
      <w:r>
        <w:rPr>
          <w:rFonts w:eastAsiaTheme="minorEastAsia"/>
          <w:i/>
          <w:color w:val="000000" w:themeColor="text1"/>
          <w:sz w:val="28"/>
          <w:szCs w:val="28"/>
        </w:rPr>
        <w:t>S</w:t>
      </w:r>
      <w:r>
        <w:rPr>
          <w:rFonts w:eastAsiaTheme="minorEastAsia"/>
          <w:color w:val="000000" w:themeColor="text1"/>
          <w:sz w:val="28"/>
          <w:szCs w:val="28"/>
          <w:vertAlign w:val="subscript"/>
        </w:rPr>
        <w:t>e</w:t>
      </w:r>
      <w:r>
        <w:rPr>
          <w:rFonts w:eastAsiaTheme="minorEastAsia"/>
          <w:color w:val="000000" w:themeColor="text1"/>
          <w:sz w:val="28"/>
          <w:szCs w:val="28"/>
        </w:rPr>
        <w:t>）－</w:t>
      </w:r>
      <w:r>
        <w:rPr>
          <w:rFonts w:eastAsiaTheme="minorEastAsia"/>
          <w:i/>
          <w:color w:val="000000" w:themeColor="text1"/>
          <w:sz w:val="28"/>
          <w:szCs w:val="28"/>
        </w:rPr>
        <w:t>c</w:t>
      </w:r>
      <w:r>
        <w:rPr>
          <w:rFonts w:ascii="Cambria Math" w:hAnsi="Cambria Math" w:cs="Cambria Math" w:eastAsiaTheme="minorEastAsia"/>
          <w:i/>
          <w:color w:val="000000" w:themeColor="text1"/>
          <w:sz w:val="28"/>
          <w:szCs w:val="28"/>
        </w:rPr>
        <w:t>△</w:t>
      </w:r>
      <w:r>
        <w:rPr>
          <w:rFonts w:eastAsiaTheme="minorEastAsia"/>
          <w:i/>
          <w:color w:val="000000" w:themeColor="text1"/>
          <w:sz w:val="28"/>
          <w:szCs w:val="28"/>
        </w:rPr>
        <w:t>X</w:t>
      </w:r>
      <w:r>
        <w:rPr>
          <w:rFonts w:eastAsiaTheme="minorEastAsia"/>
          <w:color w:val="000000" w:themeColor="text1"/>
          <w:sz w:val="28"/>
          <w:szCs w:val="28"/>
          <w:vertAlign w:val="subscript"/>
        </w:rPr>
        <w:t>V</w:t>
      </w:r>
      <w:r>
        <w:rPr>
          <w:rFonts w:eastAsiaTheme="minorEastAsia"/>
          <w:color w:val="000000" w:themeColor="text1"/>
          <w:sz w:val="28"/>
          <w:szCs w:val="28"/>
        </w:rPr>
        <w:t>+</w:t>
      </w:r>
      <w:r>
        <w:rPr>
          <w:rFonts w:eastAsiaTheme="minorEastAsia"/>
          <w:i/>
          <w:color w:val="000000" w:themeColor="text1"/>
          <w:sz w:val="28"/>
          <w:szCs w:val="28"/>
        </w:rPr>
        <w:t>b</w:t>
      </w:r>
      <w:r>
        <w:rPr>
          <w:rFonts w:eastAsiaTheme="minorEastAsia"/>
          <w:color w:val="000000" w:themeColor="text1"/>
          <w:sz w:val="28"/>
          <w:szCs w:val="28"/>
        </w:rPr>
        <w:t>[0.001</w:t>
      </w:r>
      <w:r>
        <w:rPr>
          <w:rFonts w:eastAsiaTheme="minorEastAsia"/>
          <w:i/>
          <w:color w:val="000000" w:themeColor="text1"/>
          <w:sz w:val="28"/>
          <w:szCs w:val="28"/>
        </w:rPr>
        <w:t>Q</w:t>
      </w:r>
      <w:r>
        <w:rPr>
          <w:rFonts w:eastAsiaTheme="minorEastAsia"/>
          <w:color w:val="000000" w:themeColor="text1"/>
          <w:sz w:val="28"/>
          <w:szCs w:val="28"/>
        </w:rPr>
        <w:t>（</w:t>
      </w:r>
      <w:r>
        <w:rPr>
          <w:rFonts w:eastAsiaTheme="minorEastAsia"/>
          <w:i/>
          <w:color w:val="000000" w:themeColor="text1"/>
          <w:sz w:val="28"/>
          <w:szCs w:val="28"/>
        </w:rPr>
        <w:t>N</w:t>
      </w:r>
      <w:r>
        <w:rPr>
          <w:rFonts w:eastAsiaTheme="minorEastAsia"/>
          <w:color w:val="000000" w:themeColor="text1"/>
          <w:sz w:val="28"/>
          <w:szCs w:val="28"/>
          <w:vertAlign w:val="subscript"/>
        </w:rPr>
        <w:t>k</w:t>
      </w:r>
      <w:r>
        <w:rPr>
          <w:rFonts w:eastAsiaTheme="minorEastAsia"/>
          <w:color w:val="000000" w:themeColor="text1"/>
          <w:sz w:val="28"/>
          <w:szCs w:val="28"/>
        </w:rPr>
        <w:t>－</w:t>
      </w:r>
      <w:r>
        <w:rPr>
          <w:rFonts w:eastAsiaTheme="minorEastAsia"/>
          <w:i/>
          <w:color w:val="000000" w:themeColor="text1"/>
          <w:sz w:val="28"/>
          <w:szCs w:val="28"/>
        </w:rPr>
        <w:t>N</w:t>
      </w:r>
      <w:r>
        <w:rPr>
          <w:rFonts w:eastAsiaTheme="minorEastAsia"/>
          <w:color w:val="000000" w:themeColor="text1"/>
          <w:sz w:val="28"/>
          <w:szCs w:val="28"/>
          <w:vertAlign w:val="subscript"/>
        </w:rPr>
        <w:t>ke</w:t>
      </w:r>
      <w:r>
        <w:rPr>
          <w:rFonts w:eastAsiaTheme="minorEastAsia"/>
          <w:color w:val="000000" w:themeColor="text1"/>
          <w:sz w:val="28"/>
          <w:szCs w:val="28"/>
        </w:rPr>
        <w:t>）－0.12</w:t>
      </w:r>
      <w:r>
        <w:rPr>
          <w:rFonts w:ascii="Cambria Math" w:hAnsi="Cambria Math" w:cs="Cambria Math" w:eastAsiaTheme="minorEastAsia"/>
          <w:i/>
          <w:color w:val="000000" w:themeColor="text1"/>
          <w:sz w:val="28"/>
          <w:szCs w:val="28"/>
        </w:rPr>
        <w:t>△</w:t>
      </w:r>
      <w:r>
        <w:rPr>
          <w:rFonts w:eastAsiaTheme="minorEastAsia"/>
          <w:i/>
          <w:color w:val="000000" w:themeColor="text1"/>
          <w:sz w:val="28"/>
          <w:szCs w:val="28"/>
        </w:rPr>
        <w:t>X</w:t>
      </w:r>
      <w:r>
        <w:rPr>
          <w:rFonts w:eastAsiaTheme="minorEastAsia"/>
          <w:color w:val="000000" w:themeColor="text1"/>
          <w:sz w:val="28"/>
          <w:szCs w:val="28"/>
          <w:vertAlign w:val="subscript"/>
        </w:rPr>
        <w:t>V</w:t>
      </w:r>
      <w:r>
        <w:rPr>
          <w:rFonts w:eastAsiaTheme="minorEastAsia"/>
          <w:color w:val="000000" w:themeColor="text1"/>
          <w:sz w:val="28"/>
          <w:szCs w:val="28"/>
        </w:rPr>
        <w:t>]－0.62</w:t>
      </w:r>
      <w:r>
        <w:rPr>
          <w:rFonts w:eastAsiaTheme="minorEastAsia"/>
          <w:i/>
          <w:color w:val="000000" w:themeColor="text1"/>
          <w:sz w:val="28"/>
          <w:szCs w:val="28"/>
        </w:rPr>
        <w:t>b</w:t>
      </w:r>
      <w:r>
        <w:rPr>
          <w:rFonts w:eastAsiaTheme="minorEastAsia"/>
          <w:color w:val="000000" w:themeColor="text1"/>
          <w:sz w:val="28"/>
          <w:szCs w:val="28"/>
        </w:rPr>
        <w:t>[0.001</w:t>
      </w:r>
      <w:r>
        <w:rPr>
          <w:rFonts w:eastAsiaTheme="minorEastAsia"/>
          <w:i/>
          <w:color w:val="000000" w:themeColor="text1"/>
          <w:sz w:val="28"/>
          <w:szCs w:val="28"/>
        </w:rPr>
        <w:t>Q</w:t>
      </w:r>
      <w:r>
        <w:rPr>
          <w:rFonts w:eastAsiaTheme="minorEastAsia"/>
          <w:color w:val="000000" w:themeColor="text1"/>
          <w:sz w:val="28"/>
          <w:szCs w:val="28"/>
        </w:rPr>
        <w:t>（</w:t>
      </w:r>
      <w:r>
        <w:rPr>
          <w:rFonts w:eastAsiaTheme="minorEastAsia"/>
          <w:i/>
          <w:color w:val="000000" w:themeColor="text1"/>
          <w:sz w:val="28"/>
          <w:szCs w:val="28"/>
        </w:rPr>
        <w:t>N</w:t>
      </w:r>
      <w:r>
        <w:rPr>
          <w:rFonts w:eastAsiaTheme="minorEastAsia"/>
          <w:color w:val="000000" w:themeColor="text1"/>
          <w:sz w:val="28"/>
          <w:szCs w:val="28"/>
          <w:vertAlign w:val="subscript"/>
        </w:rPr>
        <w:t>t</w:t>
      </w:r>
      <w:r>
        <w:rPr>
          <w:rFonts w:eastAsiaTheme="minorEastAsia"/>
          <w:color w:val="000000" w:themeColor="text1"/>
          <w:sz w:val="28"/>
          <w:szCs w:val="28"/>
        </w:rPr>
        <w:t>－</w:t>
      </w:r>
      <w:r>
        <w:rPr>
          <w:rFonts w:eastAsiaTheme="minorEastAsia"/>
          <w:i/>
          <w:color w:val="000000" w:themeColor="text1"/>
          <w:sz w:val="28"/>
          <w:szCs w:val="28"/>
        </w:rPr>
        <w:t>N</w:t>
      </w:r>
      <w:r>
        <w:rPr>
          <w:rFonts w:eastAsiaTheme="minorEastAsia"/>
          <w:color w:val="000000" w:themeColor="text1"/>
          <w:sz w:val="28"/>
          <w:szCs w:val="28"/>
          <w:vertAlign w:val="subscript"/>
        </w:rPr>
        <w:t>ke</w:t>
      </w:r>
      <w:r>
        <w:rPr>
          <w:rFonts w:eastAsiaTheme="minorEastAsia"/>
          <w:color w:val="000000" w:themeColor="text1"/>
          <w:sz w:val="28"/>
          <w:szCs w:val="28"/>
        </w:rPr>
        <w:t>－</w:t>
      </w:r>
      <w:r>
        <w:rPr>
          <w:rFonts w:eastAsiaTheme="minorEastAsia"/>
          <w:i/>
          <w:color w:val="000000" w:themeColor="text1"/>
          <w:sz w:val="28"/>
          <w:szCs w:val="28"/>
        </w:rPr>
        <w:t>N</w:t>
      </w:r>
      <w:r>
        <w:rPr>
          <w:rFonts w:eastAsiaTheme="minorEastAsia"/>
          <w:color w:val="000000" w:themeColor="text1"/>
          <w:sz w:val="28"/>
          <w:szCs w:val="28"/>
          <w:vertAlign w:val="subscript"/>
        </w:rPr>
        <w:t>oe</w:t>
      </w:r>
      <w:r>
        <w:rPr>
          <w:rFonts w:eastAsiaTheme="minorEastAsia"/>
          <w:color w:val="000000" w:themeColor="text1"/>
          <w:sz w:val="28"/>
          <w:szCs w:val="28"/>
        </w:rPr>
        <w:t>）－0.12</w:t>
      </w:r>
      <w:r>
        <w:rPr>
          <w:rFonts w:ascii="Cambria Math" w:hAnsi="Cambria Math" w:cs="Cambria Math" w:eastAsiaTheme="minorEastAsia"/>
          <w:i/>
          <w:color w:val="000000" w:themeColor="text1"/>
          <w:sz w:val="28"/>
          <w:szCs w:val="28"/>
        </w:rPr>
        <w:t>△</w:t>
      </w:r>
      <w:r>
        <w:rPr>
          <w:rFonts w:eastAsiaTheme="minorEastAsia"/>
          <w:i/>
          <w:color w:val="000000" w:themeColor="text1"/>
          <w:sz w:val="28"/>
          <w:szCs w:val="28"/>
        </w:rPr>
        <w:t>X</w:t>
      </w:r>
      <w:r>
        <w:rPr>
          <w:rFonts w:eastAsiaTheme="minorEastAsia"/>
          <w:color w:val="000000" w:themeColor="text1"/>
          <w:sz w:val="28"/>
          <w:szCs w:val="28"/>
          <w:vertAlign w:val="subscript"/>
        </w:rPr>
        <w:t>V</w:t>
      </w:r>
      <w:r>
        <w:rPr>
          <w:rFonts w:eastAsiaTheme="minorEastAsia"/>
          <w:color w:val="000000" w:themeColor="text1"/>
          <w:sz w:val="28"/>
          <w:szCs w:val="28"/>
        </w:rPr>
        <w:t>]</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（7.</w:t>
      </w:r>
      <w:r>
        <w:rPr>
          <w:rFonts w:hint="eastAsia" w:eastAsiaTheme="minorEastAsia"/>
          <w:color w:val="000000" w:themeColor="text1"/>
          <w:sz w:val="28"/>
          <w:szCs w:val="28"/>
        </w:rPr>
        <w:t>9</w:t>
      </w:r>
      <w:r>
        <w:rPr>
          <w:rFonts w:eastAsiaTheme="minorEastAsia"/>
          <w:color w:val="000000" w:themeColor="text1"/>
          <w:sz w:val="28"/>
          <w:szCs w:val="28"/>
        </w:rPr>
        <w:t>.2）</w:t>
      </w:r>
    </w:p>
    <w:p>
      <w:pPr>
        <w:widowControl/>
        <w:wordWrap w:val="0"/>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O</w:t>
      </w:r>
      <w:r>
        <w:rPr>
          <w:rFonts w:eastAsiaTheme="minorEastAsia"/>
          <w:color w:val="000000" w:themeColor="text1"/>
          <w:sz w:val="28"/>
          <w:szCs w:val="28"/>
          <w:vertAlign w:val="subscript"/>
        </w:rPr>
        <w:t>2</w:t>
      </w:r>
      <w:r>
        <w:rPr>
          <w:rFonts w:eastAsiaTheme="minorEastAsia"/>
          <w:color w:val="000000" w:themeColor="text1"/>
          <w:sz w:val="28"/>
          <w:szCs w:val="28"/>
        </w:rPr>
        <w:t>——污水需氧量（kgO</w:t>
      </w:r>
      <w:r>
        <w:rPr>
          <w:rFonts w:eastAsiaTheme="minorEastAsia"/>
          <w:color w:val="000000" w:themeColor="text1"/>
          <w:sz w:val="28"/>
          <w:szCs w:val="28"/>
          <w:vertAlign w:val="subscript"/>
        </w:rPr>
        <w:t>2</w:t>
      </w:r>
      <w:r>
        <w:rPr>
          <w:rFonts w:eastAsiaTheme="minorEastAsia"/>
          <w:color w:val="000000" w:themeColor="text1"/>
          <w:sz w:val="28"/>
          <w:szCs w:val="28"/>
        </w:rPr>
        <w:t>/d）；</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a</w:t>
      </w:r>
      <w:r>
        <w:rPr>
          <w:rFonts w:eastAsiaTheme="minorEastAsia"/>
          <w:color w:val="000000" w:themeColor="text1"/>
          <w:sz w:val="28"/>
          <w:szCs w:val="28"/>
        </w:rPr>
        <w:t>——碳的氧当量，当含碳物质以</w:t>
      </w:r>
      <w:r>
        <w:rPr>
          <w:rFonts w:eastAsiaTheme="minorEastAsia"/>
          <w:i/>
          <w:color w:val="000000" w:themeColor="text1"/>
          <w:sz w:val="28"/>
          <w:szCs w:val="28"/>
        </w:rPr>
        <w:t>BOD</w:t>
      </w:r>
      <w:r>
        <w:rPr>
          <w:rFonts w:eastAsiaTheme="minorEastAsia"/>
          <w:color w:val="000000" w:themeColor="text1"/>
          <w:sz w:val="28"/>
          <w:szCs w:val="28"/>
          <w:vertAlign w:val="subscript"/>
        </w:rPr>
        <w:t>5</w:t>
      </w:r>
      <w:r>
        <w:rPr>
          <w:rFonts w:eastAsiaTheme="minorEastAsia"/>
          <w:color w:val="000000" w:themeColor="text1"/>
          <w:sz w:val="28"/>
          <w:szCs w:val="28"/>
        </w:rPr>
        <w:t>计时，</w:t>
      </w:r>
      <w:r>
        <w:rPr>
          <w:rFonts w:hint="eastAsia" w:eastAsiaTheme="minorEastAsia"/>
          <w:color w:val="000000" w:themeColor="text1"/>
          <w:sz w:val="28"/>
          <w:szCs w:val="28"/>
        </w:rPr>
        <w:t>应</w:t>
      </w:r>
      <w:r>
        <w:rPr>
          <w:rFonts w:eastAsiaTheme="minorEastAsia"/>
          <w:color w:val="000000" w:themeColor="text1"/>
          <w:sz w:val="28"/>
          <w:szCs w:val="28"/>
        </w:rPr>
        <w:t>取1.47；</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rPr>
        <w:t>——生物反应池的进水流量（m</w:t>
      </w:r>
      <w:r>
        <w:rPr>
          <w:rFonts w:eastAsiaTheme="minorEastAsia"/>
          <w:color w:val="000000" w:themeColor="text1"/>
          <w:sz w:val="28"/>
          <w:szCs w:val="28"/>
          <w:vertAlign w:val="superscript"/>
        </w:rPr>
        <w:t>3</w:t>
      </w:r>
      <w:r>
        <w:rPr>
          <w:rFonts w:eastAsiaTheme="minorEastAsia"/>
          <w:color w:val="000000" w:themeColor="text1"/>
          <w:sz w:val="28"/>
          <w:szCs w:val="28"/>
        </w:rPr>
        <w:t>/d）；</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o</w:t>
      </w:r>
      <w:r>
        <w:rPr>
          <w:rFonts w:eastAsiaTheme="minorEastAsia"/>
          <w:color w:val="000000" w:themeColor="text1"/>
          <w:sz w:val="28"/>
          <w:szCs w:val="28"/>
        </w:rPr>
        <w:t>——生物反应池进水五日生化需氧量浓度（mg/L）；</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S</w:t>
      </w:r>
      <w:r>
        <w:rPr>
          <w:rFonts w:eastAsiaTheme="minorEastAsia"/>
          <w:color w:val="000000" w:themeColor="text1"/>
          <w:sz w:val="28"/>
          <w:szCs w:val="28"/>
          <w:vertAlign w:val="subscript"/>
        </w:rPr>
        <w:t>e</w:t>
      </w:r>
      <w:r>
        <w:rPr>
          <w:rFonts w:eastAsiaTheme="minorEastAsia"/>
          <w:color w:val="000000" w:themeColor="text1"/>
          <w:sz w:val="28"/>
          <w:szCs w:val="28"/>
        </w:rPr>
        <w:t>——生物反应池出水五日生化需氧量浓度（mg/L）；</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c</w:t>
      </w:r>
      <w:r>
        <w:rPr>
          <w:rFonts w:eastAsiaTheme="minorEastAsia"/>
          <w:color w:val="000000" w:themeColor="text1"/>
          <w:sz w:val="28"/>
          <w:szCs w:val="28"/>
        </w:rPr>
        <w:t>——常数，细菌细胞的氧当量，</w:t>
      </w:r>
      <w:r>
        <w:rPr>
          <w:rFonts w:hint="eastAsia" w:eastAsiaTheme="minorEastAsia"/>
          <w:color w:val="000000" w:themeColor="text1"/>
          <w:sz w:val="28"/>
          <w:szCs w:val="28"/>
        </w:rPr>
        <w:t>应</w:t>
      </w:r>
      <w:r>
        <w:rPr>
          <w:rFonts w:eastAsiaTheme="minorEastAsia"/>
          <w:color w:val="000000" w:themeColor="text1"/>
          <w:sz w:val="28"/>
          <w:szCs w:val="28"/>
        </w:rPr>
        <w:t>取1.42；</w:t>
      </w:r>
    </w:p>
    <w:p>
      <w:pPr>
        <w:widowControl/>
        <w:wordWrap w:val="0"/>
        <w:ind w:firstLine="848" w:firstLineChars="303"/>
        <w:rPr>
          <w:rFonts w:eastAsiaTheme="minorEastAsia"/>
          <w:color w:val="000000" w:themeColor="text1"/>
          <w:sz w:val="28"/>
          <w:szCs w:val="28"/>
        </w:rPr>
      </w:pPr>
      <w:r>
        <w:rPr>
          <w:rFonts w:ascii="Cambria Math" w:hAnsi="Cambria Math" w:cs="Cambria Math" w:eastAsiaTheme="minorEastAsia"/>
          <w:i/>
          <w:color w:val="000000" w:themeColor="text1"/>
          <w:sz w:val="28"/>
          <w:szCs w:val="28"/>
        </w:rPr>
        <w:t>△</w:t>
      </w:r>
      <w:r>
        <w:rPr>
          <w:rFonts w:eastAsiaTheme="minorEastAsia"/>
          <w:i/>
          <w:color w:val="000000" w:themeColor="text1"/>
          <w:sz w:val="28"/>
          <w:szCs w:val="28"/>
        </w:rPr>
        <w:t>X</w:t>
      </w:r>
      <w:r>
        <w:rPr>
          <w:rFonts w:eastAsiaTheme="minorEastAsia"/>
          <w:color w:val="000000" w:themeColor="text1"/>
          <w:sz w:val="28"/>
          <w:szCs w:val="28"/>
          <w:vertAlign w:val="subscript"/>
        </w:rPr>
        <w:t>V</w:t>
      </w:r>
      <w:r>
        <w:rPr>
          <w:rFonts w:eastAsiaTheme="minorEastAsia"/>
          <w:color w:val="000000" w:themeColor="text1"/>
          <w:sz w:val="28"/>
          <w:szCs w:val="28"/>
        </w:rPr>
        <w:t>——排出生物反应池系统的微生物量（kg/d）；</w:t>
      </w:r>
    </w:p>
    <w:p>
      <w:pPr>
        <w:widowControl/>
        <w:wordWrap w:val="0"/>
        <w:ind w:firstLine="840" w:firstLineChars="300"/>
        <w:rPr>
          <w:rFonts w:eastAsiaTheme="minorEastAsia"/>
          <w:color w:val="000000" w:themeColor="text1"/>
          <w:sz w:val="28"/>
          <w:szCs w:val="28"/>
        </w:rPr>
      </w:pPr>
      <w:r>
        <w:rPr>
          <w:rFonts w:eastAsiaTheme="minorEastAsia"/>
          <w:i/>
          <w:color w:val="000000" w:themeColor="text1"/>
          <w:sz w:val="28"/>
          <w:szCs w:val="28"/>
        </w:rPr>
        <w:t>b</w:t>
      </w:r>
      <w:r>
        <w:rPr>
          <w:rFonts w:eastAsiaTheme="minorEastAsia"/>
          <w:color w:val="000000" w:themeColor="text1"/>
          <w:sz w:val="28"/>
          <w:szCs w:val="28"/>
        </w:rPr>
        <w:t>——</w:t>
      </w:r>
      <w:r>
        <w:rPr>
          <w:rFonts w:hint="eastAsia" w:eastAsiaTheme="minorEastAsia"/>
          <w:color w:val="000000" w:themeColor="text1"/>
          <w:sz w:val="28"/>
          <w:szCs w:val="28"/>
        </w:rPr>
        <w:t xml:space="preserve"> </w:t>
      </w:r>
      <w:r>
        <w:rPr>
          <w:rFonts w:eastAsiaTheme="minorEastAsia"/>
          <w:color w:val="000000" w:themeColor="text1"/>
          <w:sz w:val="28"/>
          <w:szCs w:val="28"/>
        </w:rPr>
        <w:t>常数，氧化每公斤氨氮所需氧量（kgO</w:t>
      </w:r>
      <w:r>
        <w:rPr>
          <w:rFonts w:eastAsiaTheme="minorEastAsia"/>
          <w:color w:val="000000" w:themeColor="text1"/>
          <w:sz w:val="28"/>
          <w:szCs w:val="28"/>
          <w:vertAlign w:val="subscript"/>
        </w:rPr>
        <w:t>2</w:t>
      </w:r>
      <w:r>
        <w:rPr>
          <w:rFonts w:eastAsiaTheme="minorEastAsia"/>
          <w:color w:val="000000" w:themeColor="text1"/>
          <w:sz w:val="28"/>
          <w:szCs w:val="28"/>
        </w:rPr>
        <w:t>/kgN），</w:t>
      </w:r>
    </w:p>
    <w:p>
      <w:pPr>
        <w:widowControl/>
        <w:wordWrap w:val="0"/>
        <w:ind w:firstLine="1680" w:firstLineChars="600"/>
        <w:rPr>
          <w:rFonts w:eastAsiaTheme="minorEastAsia"/>
          <w:color w:val="000000" w:themeColor="text1"/>
          <w:sz w:val="28"/>
          <w:szCs w:val="28"/>
        </w:rPr>
      </w:pPr>
      <w:r>
        <w:rPr>
          <w:rFonts w:hint="eastAsia" w:eastAsiaTheme="minorEastAsia"/>
          <w:color w:val="000000" w:themeColor="text1"/>
          <w:sz w:val="28"/>
          <w:szCs w:val="28"/>
        </w:rPr>
        <w:t>应</w:t>
      </w:r>
      <w:r>
        <w:rPr>
          <w:rFonts w:eastAsiaTheme="minorEastAsia"/>
          <w:color w:val="000000" w:themeColor="text1"/>
          <w:sz w:val="28"/>
          <w:szCs w:val="28"/>
        </w:rPr>
        <w:t>取4.57；</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k</w:t>
      </w:r>
      <w:r>
        <w:rPr>
          <w:rFonts w:eastAsiaTheme="minorEastAsia"/>
          <w:color w:val="000000" w:themeColor="text1"/>
          <w:sz w:val="28"/>
          <w:szCs w:val="28"/>
        </w:rPr>
        <w:t>——生物反应池进水总凯氏氮浓度（mg/L）；</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ke</w:t>
      </w:r>
      <w:r>
        <w:rPr>
          <w:rFonts w:eastAsiaTheme="minorEastAsia"/>
          <w:color w:val="000000" w:themeColor="text1"/>
          <w:sz w:val="28"/>
          <w:szCs w:val="28"/>
        </w:rPr>
        <w:t>——生物反应池出水总凯氏氮浓度（mg/L）；</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t</w:t>
      </w:r>
      <w:r>
        <w:rPr>
          <w:rFonts w:eastAsiaTheme="minorEastAsia"/>
          <w:color w:val="000000" w:themeColor="text1"/>
          <w:sz w:val="28"/>
          <w:szCs w:val="28"/>
        </w:rPr>
        <w:t>——生物反应池进水总氮浓度（mg/L）；</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N</w:t>
      </w:r>
      <w:r>
        <w:rPr>
          <w:rFonts w:eastAsiaTheme="minorEastAsia"/>
          <w:color w:val="000000" w:themeColor="text1"/>
          <w:sz w:val="28"/>
          <w:szCs w:val="28"/>
          <w:vertAlign w:val="subscript"/>
        </w:rPr>
        <w:t>oe</w:t>
      </w:r>
      <w:r>
        <w:rPr>
          <w:rFonts w:eastAsiaTheme="minorEastAsia"/>
          <w:color w:val="000000" w:themeColor="text1"/>
          <w:sz w:val="28"/>
          <w:szCs w:val="28"/>
        </w:rPr>
        <w:t>——生物反应池出水硝态氮浓度（mg/L）；</w:t>
      </w:r>
    </w:p>
    <w:p>
      <w:pPr>
        <w:widowControl/>
        <w:wordWrap w:val="0"/>
        <w:ind w:firstLine="848" w:firstLineChars="303"/>
        <w:rPr>
          <w:rFonts w:eastAsiaTheme="minorEastAsia"/>
          <w:color w:val="000000" w:themeColor="text1"/>
          <w:sz w:val="28"/>
          <w:szCs w:val="28"/>
        </w:rPr>
      </w:pPr>
      <w:r>
        <w:rPr>
          <w:rFonts w:eastAsiaTheme="minorEastAsia"/>
          <w:color w:val="000000" w:themeColor="text1"/>
          <w:sz w:val="28"/>
          <w:szCs w:val="28"/>
        </w:rPr>
        <w:t>0.12</w:t>
      </w:r>
      <w:r>
        <w:rPr>
          <w:rFonts w:ascii="Cambria Math" w:hAnsi="Cambria Math" w:cs="Cambria Math" w:eastAsiaTheme="minorEastAsia"/>
          <w:i/>
          <w:color w:val="000000" w:themeColor="text1"/>
          <w:sz w:val="28"/>
          <w:szCs w:val="28"/>
        </w:rPr>
        <w:t>△</w:t>
      </w:r>
      <w:r>
        <w:rPr>
          <w:rFonts w:eastAsiaTheme="minorEastAsia"/>
          <w:i/>
          <w:color w:val="000000" w:themeColor="text1"/>
          <w:sz w:val="28"/>
          <w:szCs w:val="28"/>
        </w:rPr>
        <w:t>X</w:t>
      </w:r>
      <w:r>
        <w:rPr>
          <w:rFonts w:eastAsiaTheme="minorEastAsia"/>
          <w:color w:val="000000" w:themeColor="text1"/>
          <w:sz w:val="28"/>
          <w:szCs w:val="28"/>
          <w:vertAlign w:val="subscript"/>
        </w:rPr>
        <w:t>V</w:t>
      </w:r>
      <w:r>
        <w:rPr>
          <w:rFonts w:eastAsiaTheme="minorEastAsia"/>
          <w:color w:val="000000" w:themeColor="text1"/>
          <w:sz w:val="28"/>
          <w:szCs w:val="28"/>
        </w:rPr>
        <w:t>——排出生物反应池系统的微生物中含氮量（kg/d）。</w:t>
      </w:r>
    </w:p>
    <w:p>
      <w:pPr>
        <w:widowControl/>
        <w:wordWrap w:val="0"/>
        <w:ind w:firstLine="848" w:firstLineChars="303"/>
        <w:rPr>
          <w:rFonts w:eastAsiaTheme="minorEastAsia"/>
          <w:color w:val="000000" w:themeColor="text1"/>
          <w:sz w:val="28"/>
          <w:szCs w:val="28"/>
        </w:rPr>
      </w:pPr>
      <w:r>
        <w:rPr>
          <w:rFonts w:eastAsiaTheme="minorEastAsia"/>
          <w:color w:val="000000" w:themeColor="text1"/>
          <w:sz w:val="28"/>
          <w:szCs w:val="28"/>
        </w:rPr>
        <w:t>去除含碳污染物时，去除每公斤五日生化需氧量可采用0.7kg～1.2kgO</w:t>
      </w:r>
      <w:r>
        <w:rPr>
          <w:rFonts w:eastAsiaTheme="minorEastAsia"/>
          <w:color w:val="000000" w:themeColor="text1"/>
          <w:sz w:val="28"/>
          <w:szCs w:val="28"/>
          <w:vertAlign w:val="subscript"/>
        </w:rPr>
        <w:t>2</w:t>
      </w:r>
      <w:r>
        <w:rPr>
          <w:rFonts w:eastAsiaTheme="minorEastAsia"/>
          <w:color w:val="000000" w:themeColor="text1"/>
          <w:sz w:val="28"/>
          <w:szCs w:val="28"/>
        </w:rPr>
        <w:t>。</w:t>
      </w:r>
    </w:p>
    <w:p>
      <w:pPr>
        <w:wordWrap w:val="0"/>
        <w:rPr>
          <w:rFonts w:eastAsiaTheme="minorEastAsia"/>
          <w:color w:val="000000" w:themeColor="text1"/>
          <w:sz w:val="28"/>
          <w:szCs w:val="28"/>
        </w:rPr>
      </w:pPr>
      <w:r>
        <w:rPr>
          <w:rFonts w:eastAsiaTheme="minorEastAsia"/>
          <w:color w:val="000000" w:themeColor="text1"/>
          <w:sz w:val="28"/>
          <w:szCs w:val="28"/>
        </w:rPr>
        <w:t>【条文说明】公式右边第一项为去除含碳污染物的需氧量，第二项为剩余污泥氧当量，第三项为氧化氨氮需氧量，第四项为反硝化脱氮回收的氧量。若处理系统仅为去除碳源污染物则常数</w:t>
      </w:r>
      <w:r>
        <w:rPr>
          <w:rFonts w:eastAsiaTheme="minorEastAsia"/>
          <w:i/>
          <w:color w:val="000000" w:themeColor="text1"/>
          <w:sz w:val="28"/>
          <w:szCs w:val="28"/>
        </w:rPr>
        <w:t>b</w:t>
      </w:r>
      <w:r>
        <w:rPr>
          <w:rFonts w:eastAsiaTheme="minorEastAsia"/>
          <w:color w:val="000000" w:themeColor="text1"/>
          <w:sz w:val="28"/>
          <w:szCs w:val="28"/>
        </w:rPr>
        <w:t>为零，只计第一项和第二项。</w:t>
      </w:r>
    </w:p>
    <w:p>
      <w:pPr>
        <w:wordWrap w:val="0"/>
        <w:rPr>
          <w:rFonts w:eastAsiaTheme="minorEastAsia"/>
          <w:color w:val="000000" w:themeColor="text1"/>
          <w:sz w:val="28"/>
          <w:szCs w:val="28"/>
        </w:rPr>
      </w:pPr>
      <w:r>
        <w:rPr>
          <w:rFonts w:eastAsiaTheme="minorEastAsia"/>
          <w:color w:val="000000" w:themeColor="text1"/>
          <w:sz w:val="28"/>
          <w:szCs w:val="28"/>
        </w:rPr>
        <w:t xml:space="preserve">    总凯氏氮(TKN)包括有机氮和氨氮。有机氮可通过水解脱氨基而生成氨氮，此过程为氨化作用。氨化作用对氮原子而言化合价不变，并无氧化还原反应发生。故采用氧化1kg氨氮需4.57kg氧计算TKN降低所需要的氧量。</w:t>
      </w:r>
    </w:p>
    <w:p>
      <w:pPr>
        <w:wordWrap w:val="0"/>
        <w:rPr>
          <w:rFonts w:eastAsiaTheme="minorEastAsia"/>
          <w:color w:val="000000" w:themeColor="text1"/>
          <w:sz w:val="28"/>
          <w:szCs w:val="28"/>
        </w:rPr>
      </w:pPr>
      <w:r>
        <w:rPr>
          <w:rFonts w:eastAsiaTheme="minorEastAsia"/>
          <w:color w:val="000000" w:themeColor="text1"/>
          <w:sz w:val="28"/>
          <w:szCs w:val="28"/>
        </w:rPr>
        <w:t xml:space="preserve">    反硝化反应可采用下列公式表示：</w:t>
      </w:r>
    </w:p>
    <w:p>
      <w:pPr>
        <w:wordWrap w:val="0"/>
        <w:rPr>
          <w:rFonts w:eastAsiaTheme="minorEastAsia"/>
          <w:color w:val="000000" w:themeColor="text1"/>
          <w:sz w:val="28"/>
          <w:szCs w:val="28"/>
        </w:rPr>
      </w:pPr>
      <w:r>
        <w:rPr>
          <w:rFonts w:eastAsiaTheme="minorEastAsia"/>
          <w:color w:val="000000" w:themeColor="text1"/>
          <w:sz w:val="28"/>
          <w:szCs w:val="28"/>
        </w:rPr>
        <w:t xml:space="preserve">    5C+2H</w:t>
      </w:r>
      <w:r>
        <w:rPr>
          <w:rFonts w:eastAsiaTheme="minorEastAsia"/>
          <w:color w:val="000000" w:themeColor="text1"/>
          <w:sz w:val="28"/>
          <w:szCs w:val="28"/>
          <w:vertAlign w:val="subscript"/>
        </w:rPr>
        <w:t>2</w:t>
      </w:r>
      <w:r>
        <w:rPr>
          <w:rFonts w:eastAsiaTheme="minorEastAsia"/>
          <w:color w:val="000000" w:themeColor="text1"/>
          <w:sz w:val="28"/>
          <w:szCs w:val="28"/>
        </w:rPr>
        <w:t>O+4NO</w:t>
      </w:r>
      <w:r>
        <w:rPr>
          <w:rFonts w:eastAsiaTheme="minorEastAsia"/>
          <w:color w:val="000000" w:themeColor="text1"/>
          <w:sz w:val="28"/>
          <w:szCs w:val="28"/>
          <w:vertAlign w:val="subscript"/>
        </w:rPr>
        <w:t>3</w:t>
      </w:r>
      <w:r>
        <w:rPr>
          <w:rFonts w:eastAsiaTheme="minorEastAsia"/>
          <w:color w:val="000000" w:themeColor="text1"/>
          <w:sz w:val="28"/>
          <w:szCs w:val="28"/>
          <w:vertAlign w:val="superscript"/>
        </w:rPr>
        <w:t>－</w:t>
      </w:r>
      <w:r>
        <w:rPr>
          <w:rFonts w:eastAsiaTheme="minorEastAsia"/>
          <w:color w:val="000000" w:themeColor="text1"/>
          <w:sz w:val="28"/>
          <w:szCs w:val="28"/>
        </w:rPr>
        <w:t>→2N</w:t>
      </w:r>
      <w:r>
        <w:rPr>
          <w:rFonts w:eastAsiaTheme="minorEastAsia"/>
          <w:color w:val="000000" w:themeColor="text1"/>
          <w:sz w:val="28"/>
          <w:szCs w:val="28"/>
          <w:vertAlign w:val="subscript"/>
        </w:rPr>
        <w:t>2</w:t>
      </w:r>
      <w:r>
        <w:rPr>
          <w:rFonts w:eastAsiaTheme="minorEastAsia"/>
          <w:color w:val="000000" w:themeColor="text1"/>
          <w:sz w:val="28"/>
          <w:szCs w:val="28"/>
        </w:rPr>
        <w:t>+40H</w:t>
      </w:r>
      <w:r>
        <w:rPr>
          <w:rFonts w:eastAsiaTheme="minorEastAsia"/>
          <w:color w:val="000000" w:themeColor="text1"/>
          <w:sz w:val="28"/>
          <w:szCs w:val="28"/>
          <w:vertAlign w:val="superscript"/>
        </w:rPr>
        <w:t>－</w:t>
      </w:r>
      <w:r>
        <w:rPr>
          <w:rFonts w:eastAsiaTheme="minorEastAsia"/>
          <w:color w:val="000000" w:themeColor="text1"/>
          <w:sz w:val="28"/>
          <w:szCs w:val="28"/>
        </w:rPr>
        <w:t>+5CO</w:t>
      </w:r>
      <w:r>
        <w:rPr>
          <w:rFonts w:eastAsiaTheme="minorEastAsia"/>
          <w:color w:val="000000" w:themeColor="text1"/>
          <w:sz w:val="28"/>
          <w:szCs w:val="28"/>
          <w:vertAlign w:val="subscript"/>
        </w:rPr>
        <w:t>2</w:t>
      </w:r>
    </w:p>
    <w:p>
      <w:pPr>
        <w:wordWrap w:val="0"/>
        <w:rPr>
          <w:rFonts w:eastAsiaTheme="minorEastAsia"/>
          <w:color w:val="000000" w:themeColor="text1"/>
          <w:sz w:val="28"/>
          <w:szCs w:val="28"/>
        </w:rPr>
      </w:pPr>
      <w:r>
        <w:rPr>
          <w:rFonts w:eastAsiaTheme="minorEastAsia"/>
          <w:color w:val="000000" w:themeColor="text1"/>
          <w:sz w:val="28"/>
          <w:szCs w:val="28"/>
        </w:rPr>
        <w:t xml:space="preserve">    由此可知：4个NO</w:t>
      </w:r>
      <w:r>
        <w:rPr>
          <w:rFonts w:eastAsiaTheme="minorEastAsia"/>
          <w:color w:val="000000" w:themeColor="text1"/>
          <w:sz w:val="28"/>
          <w:szCs w:val="28"/>
          <w:vertAlign w:val="subscript"/>
        </w:rPr>
        <w:t>3</w:t>
      </w:r>
      <w:r>
        <w:rPr>
          <w:rFonts w:eastAsiaTheme="minorEastAsia"/>
          <w:color w:val="000000" w:themeColor="text1"/>
          <w:sz w:val="28"/>
          <w:szCs w:val="28"/>
          <w:vertAlign w:val="superscript"/>
        </w:rPr>
        <w:t>－</w:t>
      </w:r>
      <w:r>
        <w:rPr>
          <w:rFonts w:eastAsiaTheme="minorEastAsia"/>
          <w:color w:val="000000" w:themeColor="text1"/>
          <w:sz w:val="28"/>
          <w:szCs w:val="28"/>
        </w:rPr>
        <w:t>还原成2个N</w:t>
      </w:r>
      <w:r>
        <w:rPr>
          <w:rFonts w:eastAsiaTheme="minorEastAsia"/>
          <w:color w:val="000000" w:themeColor="text1"/>
          <w:sz w:val="28"/>
          <w:szCs w:val="28"/>
          <w:vertAlign w:val="subscript"/>
        </w:rPr>
        <w:t>2</w:t>
      </w:r>
      <w:r>
        <w:rPr>
          <w:rFonts w:eastAsiaTheme="minorEastAsia"/>
          <w:color w:val="000000" w:themeColor="text1"/>
          <w:sz w:val="28"/>
          <w:szCs w:val="28"/>
        </w:rPr>
        <w:t>，可使5个有机碳氧化成CO</w:t>
      </w:r>
      <w:r>
        <w:rPr>
          <w:rFonts w:eastAsiaTheme="minorEastAsia"/>
          <w:color w:val="000000" w:themeColor="text1"/>
          <w:sz w:val="28"/>
          <w:szCs w:val="28"/>
          <w:vertAlign w:val="subscript"/>
        </w:rPr>
        <w:t>2</w:t>
      </w:r>
      <w:r>
        <w:rPr>
          <w:rFonts w:eastAsiaTheme="minorEastAsia"/>
          <w:color w:val="000000" w:themeColor="text1"/>
          <w:sz w:val="28"/>
          <w:szCs w:val="28"/>
        </w:rPr>
        <w:t>，相当于耗去5个O</w:t>
      </w:r>
      <w:r>
        <w:rPr>
          <w:rFonts w:eastAsiaTheme="minorEastAsia"/>
          <w:color w:val="000000" w:themeColor="text1"/>
          <w:sz w:val="28"/>
          <w:szCs w:val="28"/>
          <w:vertAlign w:val="subscript"/>
        </w:rPr>
        <w:t>2</w:t>
      </w:r>
      <w:r>
        <w:rPr>
          <w:rFonts w:eastAsiaTheme="minorEastAsia"/>
          <w:color w:val="000000" w:themeColor="text1"/>
          <w:sz w:val="28"/>
          <w:szCs w:val="28"/>
        </w:rPr>
        <w:t>，而从反应式4NH</w:t>
      </w:r>
      <w:r>
        <w:rPr>
          <w:rFonts w:eastAsiaTheme="minorEastAsia"/>
          <w:color w:val="000000" w:themeColor="text1"/>
          <w:sz w:val="28"/>
          <w:szCs w:val="28"/>
          <w:vertAlign w:val="subscript"/>
        </w:rPr>
        <w:t>4</w:t>
      </w:r>
      <w:r>
        <w:rPr>
          <w:rFonts w:eastAsiaTheme="minorEastAsia"/>
          <w:color w:val="000000" w:themeColor="text1"/>
          <w:sz w:val="28"/>
          <w:szCs w:val="28"/>
          <w:vertAlign w:val="superscript"/>
        </w:rPr>
        <w:t>+</w:t>
      </w:r>
      <w:r>
        <w:rPr>
          <w:rFonts w:eastAsiaTheme="minorEastAsia"/>
          <w:color w:val="000000" w:themeColor="text1"/>
          <w:sz w:val="28"/>
          <w:szCs w:val="28"/>
        </w:rPr>
        <w:t>+8O</w:t>
      </w:r>
      <w:r>
        <w:rPr>
          <w:rFonts w:eastAsiaTheme="minorEastAsia"/>
          <w:color w:val="000000" w:themeColor="text1"/>
          <w:sz w:val="28"/>
          <w:szCs w:val="28"/>
          <w:vertAlign w:val="subscript"/>
        </w:rPr>
        <w:t>2</w:t>
      </w:r>
      <w:r>
        <w:rPr>
          <w:rFonts w:eastAsiaTheme="minorEastAsia"/>
          <w:color w:val="000000" w:themeColor="text1"/>
          <w:sz w:val="28"/>
          <w:szCs w:val="28"/>
        </w:rPr>
        <w:t>→4NO</w:t>
      </w:r>
      <w:r>
        <w:rPr>
          <w:rFonts w:eastAsiaTheme="minorEastAsia"/>
          <w:color w:val="000000" w:themeColor="text1"/>
          <w:sz w:val="28"/>
          <w:szCs w:val="28"/>
          <w:vertAlign w:val="subscript"/>
        </w:rPr>
        <w:t>3</w:t>
      </w:r>
      <w:r>
        <w:rPr>
          <w:rFonts w:eastAsiaTheme="minorEastAsia"/>
          <w:color w:val="000000" w:themeColor="text1"/>
          <w:sz w:val="28"/>
          <w:szCs w:val="28"/>
          <w:vertAlign w:val="superscript"/>
        </w:rPr>
        <w:t>－</w:t>
      </w:r>
      <w:r>
        <w:rPr>
          <w:rFonts w:eastAsiaTheme="minorEastAsia"/>
          <w:color w:val="000000" w:themeColor="text1"/>
          <w:sz w:val="28"/>
          <w:szCs w:val="28"/>
        </w:rPr>
        <w:t>+8H</w:t>
      </w:r>
      <w:r>
        <w:rPr>
          <w:rFonts w:eastAsiaTheme="minorEastAsia"/>
          <w:color w:val="000000" w:themeColor="text1"/>
          <w:sz w:val="28"/>
          <w:szCs w:val="28"/>
          <w:vertAlign w:val="superscript"/>
        </w:rPr>
        <w:t>+</w:t>
      </w:r>
      <w:r>
        <w:rPr>
          <w:rFonts w:eastAsiaTheme="minorEastAsia"/>
          <w:color w:val="000000" w:themeColor="text1"/>
          <w:sz w:val="28"/>
          <w:szCs w:val="28"/>
        </w:rPr>
        <w:t>+4H</w:t>
      </w:r>
      <w:r>
        <w:rPr>
          <w:rFonts w:eastAsiaTheme="minorEastAsia"/>
          <w:color w:val="000000" w:themeColor="text1"/>
          <w:sz w:val="28"/>
          <w:szCs w:val="28"/>
          <w:vertAlign w:val="subscript"/>
        </w:rPr>
        <w:t>2</w:t>
      </w:r>
      <w:r>
        <w:rPr>
          <w:rFonts w:eastAsiaTheme="minorEastAsia"/>
          <w:color w:val="000000" w:themeColor="text1"/>
          <w:sz w:val="28"/>
          <w:szCs w:val="28"/>
        </w:rPr>
        <w:t>O可知，4个氨氮氧化成4个NO</w:t>
      </w:r>
      <w:r>
        <w:rPr>
          <w:rFonts w:eastAsiaTheme="minorEastAsia"/>
          <w:color w:val="000000" w:themeColor="text1"/>
          <w:sz w:val="28"/>
          <w:szCs w:val="28"/>
          <w:vertAlign w:val="subscript"/>
        </w:rPr>
        <w:t>3</w:t>
      </w:r>
      <w:r>
        <w:rPr>
          <w:rFonts w:eastAsiaTheme="minorEastAsia"/>
          <w:color w:val="000000" w:themeColor="text1"/>
          <w:sz w:val="28"/>
          <w:szCs w:val="28"/>
          <w:vertAlign w:val="superscript"/>
        </w:rPr>
        <w:t>－</w:t>
      </w:r>
      <w:r>
        <w:rPr>
          <w:rFonts w:eastAsiaTheme="minorEastAsia"/>
          <w:color w:val="000000" w:themeColor="text1"/>
          <w:sz w:val="28"/>
          <w:szCs w:val="28"/>
        </w:rPr>
        <w:t>需消耗8个O</w:t>
      </w:r>
      <w:r>
        <w:rPr>
          <w:rFonts w:eastAsiaTheme="minorEastAsia"/>
          <w:color w:val="000000" w:themeColor="text1"/>
          <w:sz w:val="28"/>
          <w:szCs w:val="28"/>
          <w:vertAlign w:val="subscript"/>
        </w:rPr>
        <w:t>2</w:t>
      </w:r>
      <w:r>
        <w:rPr>
          <w:rFonts w:eastAsiaTheme="minorEastAsia"/>
          <w:color w:val="000000" w:themeColor="text1"/>
          <w:sz w:val="28"/>
          <w:szCs w:val="28"/>
        </w:rPr>
        <w:t>，故反硝化时氧的回收率为5/8=0.62。</w:t>
      </w:r>
    </w:p>
    <w:p>
      <w:pPr>
        <w:wordWrap w:val="0"/>
        <w:rPr>
          <w:rFonts w:eastAsiaTheme="minorEastAsia"/>
          <w:color w:val="000000" w:themeColor="text1"/>
          <w:sz w:val="28"/>
          <w:szCs w:val="28"/>
        </w:rPr>
      </w:pPr>
      <w:r>
        <w:rPr>
          <w:rFonts w:eastAsiaTheme="minorEastAsia"/>
          <w:color w:val="000000" w:themeColor="text1"/>
          <w:sz w:val="28"/>
          <w:szCs w:val="28"/>
        </w:rPr>
        <w:t xml:space="preserve">    1.42为细菌细胞的氧当量，若用C</w:t>
      </w:r>
      <w:r>
        <w:rPr>
          <w:rFonts w:eastAsiaTheme="minorEastAsia"/>
          <w:color w:val="000000" w:themeColor="text1"/>
          <w:sz w:val="28"/>
          <w:szCs w:val="28"/>
          <w:vertAlign w:val="subscript"/>
        </w:rPr>
        <w:t>5</w:t>
      </w:r>
      <w:r>
        <w:rPr>
          <w:rFonts w:eastAsiaTheme="minorEastAsia"/>
          <w:color w:val="000000" w:themeColor="text1"/>
          <w:sz w:val="28"/>
          <w:szCs w:val="28"/>
        </w:rPr>
        <w:t>H</w:t>
      </w:r>
      <w:r>
        <w:rPr>
          <w:rFonts w:eastAsiaTheme="minorEastAsia"/>
          <w:color w:val="000000" w:themeColor="text1"/>
          <w:sz w:val="28"/>
          <w:szCs w:val="28"/>
          <w:vertAlign w:val="subscript"/>
        </w:rPr>
        <w:t>7</w:t>
      </w:r>
      <w:r>
        <w:rPr>
          <w:rFonts w:eastAsiaTheme="minorEastAsia"/>
          <w:color w:val="000000" w:themeColor="text1"/>
          <w:sz w:val="28"/>
          <w:szCs w:val="28"/>
        </w:rPr>
        <w:t>NO</w:t>
      </w:r>
      <w:r>
        <w:rPr>
          <w:rFonts w:eastAsiaTheme="minorEastAsia"/>
          <w:color w:val="000000" w:themeColor="text1"/>
          <w:sz w:val="28"/>
          <w:szCs w:val="28"/>
          <w:vertAlign w:val="subscript"/>
        </w:rPr>
        <w:t>2</w:t>
      </w:r>
      <w:r>
        <w:rPr>
          <w:rFonts w:eastAsiaTheme="minorEastAsia"/>
          <w:color w:val="000000" w:themeColor="text1"/>
          <w:sz w:val="28"/>
          <w:szCs w:val="28"/>
        </w:rPr>
        <w:t>表示细菌细胞，则氧化1个C</w:t>
      </w:r>
      <w:r>
        <w:rPr>
          <w:rFonts w:eastAsiaTheme="minorEastAsia"/>
          <w:color w:val="000000" w:themeColor="text1"/>
          <w:sz w:val="28"/>
          <w:szCs w:val="28"/>
          <w:vertAlign w:val="subscript"/>
        </w:rPr>
        <w:t>5</w:t>
      </w:r>
      <w:r>
        <w:rPr>
          <w:rFonts w:eastAsiaTheme="minorEastAsia"/>
          <w:color w:val="000000" w:themeColor="text1"/>
          <w:sz w:val="28"/>
          <w:szCs w:val="28"/>
        </w:rPr>
        <w:t>H</w:t>
      </w:r>
      <w:r>
        <w:rPr>
          <w:rFonts w:eastAsiaTheme="minorEastAsia"/>
          <w:color w:val="000000" w:themeColor="text1"/>
          <w:sz w:val="28"/>
          <w:szCs w:val="28"/>
          <w:vertAlign w:val="subscript"/>
        </w:rPr>
        <w:t>7</w:t>
      </w:r>
      <w:r>
        <w:rPr>
          <w:rFonts w:eastAsiaTheme="minorEastAsia"/>
          <w:color w:val="000000" w:themeColor="text1"/>
          <w:sz w:val="28"/>
          <w:szCs w:val="28"/>
        </w:rPr>
        <w:t>NO</w:t>
      </w:r>
      <w:r>
        <w:rPr>
          <w:rFonts w:eastAsiaTheme="minorEastAsia"/>
          <w:color w:val="000000" w:themeColor="text1"/>
          <w:sz w:val="28"/>
          <w:szCs w:val="28"/>
          <w:vertAlign w:val="subscript"/>
        </w:rPr>
        <w:t>2</w:t>
      </w:r>
      <w:r>
        <w:rPr>
          <w:rFonts w:eastAsiaTheme="minorEastAsia"/>
          <w:color w:val="000000" w:themeColor="text1"/>
          <w:sz w:val="28"/>
          <w:szCs w:val="28"/>
        </w:rPr>
        <w:t>分子需5个氧分子，即160/113=1.42(kgO</w:t>
      </w:r>
      <w:r>
        <w:rPr>
          <w:rFonts w:eastAsiaTheme="minorEastAsia"/>
          <w:color w:val="000000" w:themeColor="text1"/>
          <w:sz w:val="28"/>
          <w:szCs w:val="28"/>
          <w:vertAlign w:val="subscript"/>
        </w:rPr>
        <w:t>2</w:t>
      </w:r>
      <w:r>
        <w:rPr>
          <w:rFonts w:eastAsiaTheme="minorEastAsia"/>
          <w:color w:val="000000" w:themeColor="text1"/>
          <w:sz w:val="28"/>
          <w:szCs w:val="28"/>
        </w:rPr>
        <w:t>/kgVSS)。</w:t>
      </w:r>
    </w:p>
    <w:p>
      <w:pPr>
        <w:widowControl/>
        <w:wordWrap w:val="0"/>
        <w:ind w:firstLine="570"/>
        <w:rPr>
          <w:rFonts w:eastAsiaTheme="minorEastAsia"/>
          <w:color w:val="000000" w:themeColor="text1"/>
          <w:sz w:val="28"/>
          <w:szCs w:val="28"/>
        </w:rPr>
      </w:pPr>
      <w:r>
        <w:rPr>
          <w:rFonts w:eastAsiaTheme="minorEastAsia"/>
          <w:color w:val="000000" w:themeColor="text1"/>
          <w:sz w:val="28"/>
          <w:szCs w:val="28"/>
        </w:rPr>
        <w:t>含碳物质氧化的需氧量，也可采用经验数据，参照国内外研究成果和国内污水厂生物反应池污水需氧量数据，综合分析为去除1kg五日生化需氧量需0.7kg～1.2kgO</w:t>
      </w:r>
      <w:r>
        <w:rPr>
          <w:rFonts w:eastAsiaTheme="minorEastAsia"/>
          <w:color w:val="000000" w:themeColor="text1"/>
          <w:sz w:val="28"/>
          <w:szCs w:val="28"/>
          <w:vertAlign w:val="subscript"/>
        </w:rPr>
        <w:t>2</w:t>
      </w:r>
      <w:r>
        <w:rPr>
          <w:rFonts w:eastAsiaTheme="minorEastAsia"/>
          <w:color w:val="000000" w:themeColor="text1"/>
          <w:sz w:val="28"/>
          <w:szCs w:val="28"/>
        </w:rPr>
        <w:t>。</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选用曝气装置和设备时，应根据设备的特性、位于水面下的深度、水温、污水的氧总转移特性、当地的海拔高度以及预期生物反应池中溶解氧浓度等因素，将计算的污水需氧量换算为标准状态下清水需氧量。</w:t>
      </w:r>
    </w:p>
    <w:p>
      <w:pPr>
        <w:wordWrap w:val="0"/>
        <w:rPr>
          <w:rFonts w:eastAsiaTheme="minorEastAsia"/>
          <w:color w:val="000000" w:themeColor="text1"/>
          <w:sz w:val="28"/>
          <w:szCs w:val="28"/>
        </w:rPr>
      </w:pPr>
      <w:r>
        <w:rPr>
          <w:rFonts w:eastAsiaTheme="minorEastAsia"/>
          <w:color w:val="000000" w:themeColor="text1"/>
          <w:sz w:val="28"/>
          <w:szCs w:val="28"/>
        </w:rPr>
        <w:t>【条文说明】同一曝气器在不同压力、不同水温、不同水质时性能不同，曝气器的充氧性能数据是指单个曝气器标准状态下之值（即0.1MPa，20</w:t>
      </w:r>
      <w:r>
        <w:rPr>
          <w:rFonts w:eastAsia="宋体"/>
          <w:color w:val="000000" w:themeColor="text1"/>
          <w:sz w:val="28"/>
          <w:szCs w:val="28"/>
        </w:rPr>
        <w:t>°C</w:t>
      </w:r>
      <w:r>
        <w:rPr>
          <w:rFonts w:eastAsiaTheme="minorEastAsia"/>
          <w:color w:val="000000" w:themeColor="text1"/>
          <w:sz w:val="28"/>
          <w:szCs w:val="28"/>
        </w:rPr>
        <w:t>清水）。生物反应池污水需氧量，不是0.1MPa 20</w:t>
      </w:r>
      <w:r>
        <w:rPr>
          <w:rFonts w:eastAsia="宋体"/>
          <w:color w:val="000000" w:themeColor="text1"/>
          <w:sz w:val="28"/>
          <w:szCs w:val="28"/>
        </w:rPr>
        <w:t>°C</w:t>
      </w:r>
      <w:r>
        <w:rPr>
          <w:rFonts w:eastAsiaTheme="minorEastAsia"/>
          <w:color w:val="000000" w:themeColor="text1"/>
          <w:sz w:val="28"/>
          <w:szCs w:val="28"/>
        </w:rPr>
        <w:t>清水中的需氧量，为了计算曝气器的数量，必须将污水需氧量换成标准状态下的值。</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鼓风曝气时，可按下列公式将标准状态下污水需氧量，换算为标准状态下的供气量。</w:t>
      </w:r>
    </w:p>
    <w:p>
      <w:pPr>
        <w:widowControl/>
        <w:wordWrap w:val="0"/>
        <w:jc w:val="right"/>
        <w:rPr>
          <w:rFonts w:eastAsiaTheme="minorEastAsia"/>
          <w:color w:val="000000" w:themeColor="text1"/>
          <w:sz w:val="28"/>
          <w:szCs w:val="28"/>
        </w:rPr>
      </w:pPr>
      <w:r>
        <w:rPr>
          <w:rFonts w:eastAsiaTheme="minorEastAsia"/>
          <w:color w:val="000000" w:themeColor="text1"/>
          <w:position w:val="-32"/>
          <w:sz w:val="28"/>
          <w:szCs w:val="28"/>
        </w:rPr>
        <w:object>
          <v:shape id="_x0000_i1056" o:spt="75" type="#_x0000_t75" style="height:42.1pt;width:80.4pt;" o:ole="t" fillcolor="#000005 [-4142]" filled="f" o:preferrelative="t" stroked="f" coordsize="21600,21600">
            <v:path/>
            <v:fill on="f" focussize="0,0"/>
            <v:stroke on="f" joinstyle="miter"/>
            <v:imagedata r:id="rId84" o:title=""/>
            <o:lock v:ext="edit" aspectratio="t"/>
            <w10:wrap type="none"/>
            <w10:anchorlock/>
          </v:shape>
          <o:OLEObject Type="Embed" ProgID="Equation.3" ShapeID="_x0000_i1056" DrawAspect="Content" ObjectID="_1468075756" r:id="rId83">
            <o:LockedField>false</o:LockedField>
          </o:OLEObject>
        </w:objec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（7.</w:t>
      </w:r>
      <w:r>
        <w:rPr>
          <w:rFonts w:hint="eastAsia" w:eastAsiaTheme="minorEastAsia"/>
          <w:color w:val="000000" w:themeColor="text1"/>
          <w:sz w:val="28"/>
          <w:szCs w:val="28"/>
        </w:rPr>
        <w:t>9</w:t>
      </w:r>
      <w:r>
        <w:rPr>
          <w:rFonts w:eastAsiaTheme="minorEastAsia"/>
          <w:color w:val="000000" w:themeColor="text1"/>
          <w:sz w:val="28"/>
          <w:szCs w:val="28"/>
        </w:rPr>
        <w:t>.4）</w:t>
      </w:r>
    </w:p>
    <w:p>
      <w:pPr>
        <w:widowControl/>
        <w:wordWrap w:val="0"/>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G</w:t>
      </w:r>
      <w:r>
        <w:rPr>
          <w:rFonts w:eastAsiaTheme="minorEastAsia"/>
          <w:color w:val="000000" w:themeColor="text1"/>
          <w:sz w:val="28"/>
          <w:szCs w:val="28"/>
          <w:vertAlign w:val="subscript"/>
        </w:rPr>
        <w:t>s</w:t>
      </w:r>
      <w:r>
        <w:rPr>
          <w:rFonts w:eastAsiaTheme="minorEastAsia"/>
          <w:color w:val="000000" w:themeColor="text1"/>
          <w:sz w:val="28"/>
          <w:szCs w:val="28"/>
        </w:rPr>
        <w:t>—标准状态下供气量（m</w:t>
      </w:r>
      <w:r>
        <w:rPr>
          <w:rFonts w:eastAsiaTheme="minorEastAsia"/>
          <w:color w:val="000000" w:themeColor="text1"/>
          <w:sz w:val="28"/>
          <w:szCs w:val="28"/>
          <w:vertAlign w:val="superscript"/>
        </w:rPr>
        <w:t>3</w:t>
      </w:r>
      <w:r>
        <w:rPr>
          <w:rFonts w:eastAsiaTheme="minorEastAsia"/>
          <w:color w:val="000000" w:themeColor="text1"/>
          <w:sz w:val="28"/>
          <w:szCs w:val="28"/>
        </w:rPr>
        <w:t>/h）；</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O</w:t>
      </w:r>
      <w:r>
        <w:rPr>
          <w:rFonts w:eastAsiaTheme="minorEastAsia"/>
          <w:color w:val="000000" w:themeColor="text1"/>
          <w:sz w:val="28"/>
          <w:szCs w:val="28"/>
          <w:vertAlign w:val="subscript"/>
        </w:rPr>
        <w:t>s</w:t>
      </w:r>
      <w:r>
        <w:rPr>
          <w:rFonts w:eastAsiaTheme="minorEastAsia"/>
          <w:color w:val="000000" w:themeColor="text1"/>
          <w:sz w:val="28"/>
          <w:szCs w:val="28"/>
        </w:rPr>
        <w:t>—标准状态下，生物反应池污水需氧量（kgO</w:t>
      </w:r>
      <w:r>
        <w:rPr>
          <w:rFonts w:eastAsiaTheme="minorEastAsia"/>
          <w:color w:val="000000" w:themeColor="text1"/>
          <w:sz w:val="28"/>
          <w:szCs w:val="28"/>
          <w:vertAlign w:val="subscript"/>
        </w:rPr>
        <w:t>2</w:t>
      </w:r>
      <w:r>
        <w:rPr>
          <w:rFonts w:eastAsiaTheme="minorEastAsia"/>
          <w:color w:val="000000" w:themeColor="text1"/>
          <w:sz w:val="28"/>
          <w:szCs w:val="28"/>
        </w:rPr>
        <w:t>/h）；</w:t>
      </w:r>
    </w:p>
    <w:p>
      <w:pPr>
        <w:widowControl/>
        <w:wordWrap w:val="0"/>
        <w:ind w:left="1126" w:leftChars="403" w:hanging="280" w:hangingChars="100"/>
        <w:rPr>
          <w:rFonts w:eastAsiaTheme="minorEastAsia"/>
          <w:color w:val="000000" w:themeColor="text1"/>
          <w:sz w:val="28"/>
          <w:szCs w:val="28"/>
        </w:rPr>
      </w:pPr>
      <w:r>
        <w:rPr>
          <w:rFonts w:eastAsiaTheme="minorEastAsia"/>
          <w:color w:val="000000" w:themeColor="text1"/>
          <w:sz w:val="28"/>
          <w:szCs w:val="28"/>
        </w:rPr>
        <w:t>0.28—标准状态（0.1MPa、20</w:t>
      </w:r>
      <w:r>
        <w:rPr>
          <w:rFonts w:eastAsia="宋体"/>
          <w:color w:val="000000" w:themeColor="text1"/>
          <w:sz w:val="28"/>
          <w:szCs w:val="28"/>
        </w:rPr>
        <w:t>°C</w:t>
      </w:r>
      <w:r>
        <w:rPr>
          <w:rFonts w:eastAsiaTheme="minorEastAsia"/>
          <w:color w:val="000000" w:themeColor="text1"/>
          <w:sz w:val="28"/>
          <w:szCs w:val="28"/>
        </w:rPr>
        <w:t>）下的每立方米空气中含氧量（kgO</w:t>
      </w:r>
      <w:r>
        <w:rPr>
          <w:rFonts w:eastAsiaTheme="minorEastAsia"/>
          <w:color w:val="000000" w:themeColor="text1"/>
          <w:sz w:val="28"/>
          <w:szCs w:val="28"/>
          <w:vertAlign w:val="subscript"/>
        </w:rPr>
        <w:t>2</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E</w:t>
      </w:r>
      <w:r>
        <w:rPr>
          <w:rFonts w:eastAsiaTheme="minorEastAsia"/>
          <w:color w:val="000000" w:themeColor="text1"/>
          <w:sz w:val="28"/>
          <w:szCs w:val="28"/>
          <w:vertAlign w:val="subscript"/>
        </w:rPr>
        <w:t>A</w:t>
      </w:r>
      <w:r>
        <w:rPr>
          <w:rFonts w:eastAsiaTheme="minorEastAsia"/>
          <w:color w:val="000000" w:themeColor="text1"/>
          <w:sz w:val="28"/>
          <w:szCs w:val="28"/>
        </w:rPr>
        <w:t>—曝气器氧的利用率，以%计。</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鼓风曝气系统中的曝气器，应选用有较高充氧性能、布气均匀、阻力小、不易堵塞、耐腐蚀、操作管理和维修方便的产品。应具有不同服务面积、不同空气量、不同曝气水深，在标准状态下的充氧性能及底部流速等技术资料。</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曝气器的数量，应根据供气量和服务面积计算确定。</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廊道式生物反应池中的曝气器，可满池布置或池侧布置，或沿池长分段渐减布置。</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采用表面曝气器供氧时，宜符合下列规定：</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叶轮的直径与生物反应池（区）的直径（或正方形的一边）之比:倒伞或混流型</w:t>
      </w:r>
      <w:r>
        <w:rPr>
          <w:rFonts w:hint="eastAsia" w:eastAsiaTheme="minorEastAsia"/>
          <w:color w:val="000000" w:themeColor="text1"/>
          <w:sz w:val="28"/>
          <w:szCs w:val="28"/>
        </w:rPr>
        <w:t>可</w:t>
      </w:r>
      <w:r>
        <w:rPr>
          <w:rFonts w:eastAsiaTheme="minorEastAsia"/>
          <w:color w:val="000000" w:themeColor="text1"/>
          <w:sz w:val="28"/>
          <w:szCs w:val="28"/>
        </w:rPr>
        <w:t>为1:3～1:5，泵型</w:t>
      </w:r>
      <w:r>
        <w:rPr>
          <w:rFonts w:hint="eastAsia" w:eastAsiaTheme="minorEastAsia"/>
          <w:color w:val="000000" w:themeColor="text1"/>
          <w:sz w:val="28"/>
          <w:szCs w:val="28"/>
        </w:rPr>
        <w:t>可</w:t>
      </w:r>
      <w:r>
        <w:rPr>
          <w:rFonts w:eastAsiaTheme="minorEastAsia"/>
          <w:color w:val="000000" w:themeColor="text1"/>
          <w:sz w:val="28"/>
          <w:szCs w:val="28"/>
        </w:rPr>
        <w:t>为1:3.5～1:7；</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叶轮线速度</w:t>
      </w:r>
      <w:r>
        <w:rPr>
          <w:rFonts w:hint="eastAsia" w:eastAsiaTheme="minorEastAsia"/>
          <w:color w:val="000000" w:themeColor="text1"/>
          <w:sz w:val="28"/>
          <w:szCs w:val="28"/>
        </w:rPr>
        <w:t>可</w:t>
      </w:r>
      <w:r>
        <w:rPr>
          <w:rFonts w:eastAsiaTheme="minorEastAsia"/>
          <w:color w:val="000000" w:themeColor="text1"/>
          <w:sz w:val="28"/>
          <w:szCs w:val="28"/>
        </w:rPr>
        <w:t>为3.5 m/s～5.0m/s；</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生物反应池宜有调节叶轮（转刷、转碟）速度或淹没水深的控制设施。</w:t>
      </w:r>
    </w:p>
    <w:p>
      <w:pPr>
        <w:wordWrap w:val="0"/>
        <w:rPr>
          <w:rFonts w:eastAsiaTheme="minorEastAsia"/>
          <w:color w:val="000000" w:themeColor="text1"/>
          <w:sz w:val="28"/>
          <w:szCs w:val="28"/>
        </w:rPr>
      </w:pPr>
      <w:r>
        <w:rPr>
          <w:rFonts w:eastAsiaTheme="minorEastAsia"/>
          <w:color w:val="000000" w:themeColor="text1"/>
          <w:sz w:val="28"/>
          <w:szCs w:val="28"/>
        </w:rPr>
        <w:t>【条文说明】叶轮使用应与池型相匹配，才可获得良好的效果，根据国内外运行经验作了相应的规定：</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1</w:t>
      </w:r>
      <w:r>
        <w:rPr>
          <w:rFonts w:eastAsiaTheme="minorEastAsia"/>
          <w:color w:val="000000" w:themeColor="text1"/>
          <w:sz w:val="28"/>
          <w:szCs w:val="28"/>
        </w:rPr>
        <w:t xml:space="preserve"> 叶轮直径与生物反应池直径之比，根据国内运行经验，较小直径的泵型叶轮的影响范围达不到叶轮直径的4倍，故适当调整为1</w:t>
      </w:r>
      <w:r>
        <w:rPr>
          <w:rFonts w:eastAsia="宋体"/>
          <w:color w:val="000000" w:themeColor="text1"/>
          <w:sz w:val="28"/>
          <w:szCs w:val="28"/>
        </w:rPr>
        <w:t>:</w:t>
      </w:r>
      <w:r>
        <w:rPr>
          <w:rFonts w:eastAsiaTheme="minorEastAsia"/>
          <w:color w:val="000000" w:themeColor="text1"/>
          <w:sz w:val="28"/>
          <w:szCs w:val="28"/>
        </w:rPr>
        <w:t>3.5～1</w:t>
      </w:r>
      <w:r>
        <w:rPr>
          <w:rFonts w:eastAsia="宋体"/>
          <w:color w:val="000000" w:themeColor="text1"/>
          <w:sz w:val="28"/>
          <w:szCs w:val="28"/>
        </w:rPr>
        <w:t>:</w:t>
      </w:r>
      <w:r>
        <w:rPr>
          <w:rFonts w:eastAsiaTheme="minorEastAsia"/>
          <w:color w:val="000000" w:themeColor="text1"/>
          <w:sz w:val="28"/>
          <w:szCs w:val="28"/>
        </w:rPr>
        <w:t>7。</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2</w:t>
      </w:r>
      <w:r>
        <w:rPr>
          <w:rFonts w:eastAsiaTheme="minorEastAsia"/>
          <w:color w:val="000000" w:themeColor="text1"/>
          <w:sz w:val="28"/>
          <w:szCs w:val="28"/>
        </w:rPr>
        <w:t xml:space="preserve"> 根据国内实际使用情况，叶轮线速度在3.5m/s～5.0m/s范围内，效果较好。小于3.5m/s，提升效果降低，故本条规定为3.5m/s～5.0m/s。</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3</w:t>
      </w:r>
      <w:r>
        <w:rPr>
          <w:rFonts w:eastAsiaTheme="minorEastAsia"/>
          <w:color w:val="000000" w:themeColor="text1"/>
          <w:sz w:val="28"/>
          <w:szCs w:val="28"/>
        </w:rPr>
        <w:t xml:space="preserve"> 控制叶轮供氧量的措施，根据国内外的运行经验，一般有调节叶轮速度、控制生物反应池出口水位和升降叶轮改变淹没水深等。</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各种类型的机械曝气设备的充氧能力应根据测定资料或相关技术资料采用。</w:t>
      </w:r>
    </w:p>
    <w:p>
      <w:pPr>
        <w:wordWrap w:val="0"/>
        <w:rPr>
          <w:rFonts w:eastAsiaTheme="minorEastAsia"/>
          <w:color w:val="000000" w:themeColor="text1"/>
          <w:sz w:val="28"/>
          <w:szCs w:val="28"/>
        </w:rPr>
      </w:pPr>
      <w:r>
        <w:rPr>
          <w:rFonts w:eastAsiaTheme="minorEastAsia"/>
          <w:color w:val="000000" w:themeColor="text1"/>
          <w:sz w:val="28"/>
          <w:szCs w:val="28"/>
        </w:rPr>
        <w:t>【条文说明】目前多数曝气叶轮、转刷、转碟和各种射流曝气器均为非标准型产品，该类产品的供氧能力应根据测定资料或相关技术资料采用。</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选用供氧设施时，应考虑冬季溅水、结冰、风沙等气候因素以及噪声、臭气等环境因素。</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污水厂采用鼓风曝气时，宜设单独的鼓风机房。鼓风机房可设有值班室、控制室、配电室和工具室，必要时尚应设鼓风机冷却系统和隔声的维修场所。</w:t>
      </w:r>
    </w:p>
    <w:p>
      <w:pPr>
        <w:wordWrap w:val="0"/>
        <w:rPr>
          <w:rFonts w:eastAsiaTheme="minorEastAsia"/>
          <w:color w:val="000000" w:themeColor="text1"/>
          <w:sz w:val="28"/>
          <w:szCs w:val="28"/>
        </w:rPr>
      </w:pPr>
      <w:r>
        <w:rPr>
          <w:rFonts w:eastAsiaTheme="minorEastAsia"/>
          <w:color w:val="000000" w:themeColor="text1"/>
          <w:sz w:val="28"/>
          <w:szCs w:val="28"/>
        </w:rPr>
        <w:t>【条文说明】目前国内有露天式风机站，根据多年运行经验，考虑鼓风机的噪声影响和操作管理的方便，规定污水厂一般宜设独立鼓风机房，并设辅助设施。离心式鼓风机需设冷却装置，应考虑设的位置。</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鼓风机的选型应根据使用的风压、单机风量、控制方式、噪声和维修管理等条件确定。选用离心鼓风机时，应详细核算各种工况条件时鼓风机的工作点，不得接近鼓风机的湍振区，并宜设有调节风量的装置。在同一供气系统中，宜选用同一类型的鼓风机。应根据当地海拔高度，最高、最低空气的温度，相对湿度对鼓风机的风量、风压及配置的电动机功率进行校核。</w:t>
      </w:r>
    </w:p>
    <w:p>
      <w:pPr>
        <w:wordWrap w:val="0"/>
        <w:rPr>
          <w:rFonts w:eastAsiaTheme="minorEastAsia"/>
          <w:color w:val="000000" w:themeColor="text1"/>
          <w:sz w:val="28"/>
          <w:szCs w:val="28"/>
        </w:rPr>
      </w:pPr>
      <w:r>
        <w:rPr>
          <w:rFonts w:eastAsiaTheme="minorEastAsia"/>
          <w:color w:val="000000" w:themeColor="text1"/>
          <w:sz w:val="28"/>
          <w:szCs w:val="28"/>
        </w:rPr>
        <w:t>【条文说明】目前在污水厂中常用的鼓风机有单级高速离心式鼓风机，多级离心式鼓风机和容积式罗茨鼓风机。</w:t>
      </w:r>
    </w:p>
    <w:p>
      <w:pPr>
        <w:wordWrap w:val="0"/>
        <w:rPr>
          <w:rFonts w:eastAsiaTheme="minorEastAsia"/>
          <w:color w:val="000000" w:themeColor="text1"/>
          <w:sz w:val="28"/>
          <w:szCs w:val="28"/>
        </w:rPr>
      </w:pPr>
      <w:r>
        <w:rPr>
          <w:rFonts w:eastAsiaTheme="minorEastAsia"/>
          <w:color w:val="000000" w:themeColor="text1"/>
          <w:sz w:val="28"/>
          <w:szCs w:val="28"/>
        </w:rPr>
        <w:t xml:space="preserve">    离心式鼓风机噪声相对较低。调节风量的方法，目前大多采用在进口调节，操作简便。它的特性是压力条件及气体相对密度变化时对送风量及动力影响很大，所以应考虑风压和空气温度的变动带来的影响。离心式鼓风机宜用于水深不变的生物反应池。</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罗茨鼓风机的噪声较大。为防止风压异常上升，应设防止超负荷的装置。生物反应池的水深在运行中变化时，采用罗茨鼓风机较为适用。</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采用污泥气（沼气）燃气发动机作为鼓风机的动力时，可与电动鼓风机共同布置，其间应有隔离措施，并应符合国家现行的防火防爆规范的要求。</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计算鼓风机的工作压力时，应考虑进出风管路系统压力损失和使用时阻力增加等因素。输气管道中空气流速宜采用：干支管为10m/s～15m/s；竖管、小支管为4m/s～5m/s。</w:t>
      </w:r>
    </w:p>
    <w:p>
      <w:pPr>
        <w:pStyle w:val="30"/>
        <w:widowControl/>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鼓风机房应设备用鼓风机。鼓风机设的台数，应根据气温、风量、风压、污水量和污染物负荷变化等，对供气的需要量而确定。可采用不同风量的风机，但不应超过两种。工作鼓风机台数在4台以下时，应设1台备用鼓风机；工作鼓风机台数在4台或4台以上时，应设2台备用鼓风机。备用鼓风机应按设计配置的最大机组考虑。</w:t>
      </w:r>
    </w:p>
    <w:p>
      <w:pPr>
        <w:wordWrap w:val="0"/>
        <w:rPr>
          <w:rFonts w:eastAsiaTheme="minorEastAsia"/>
          <w:color w:val="000000" w:themeColor="text1"/>
          <w:sz w:val="28"/>
          <w:szCs w:val="28"/>
        </w:rPr>
      </w:pPr>
      <w:r>
        <w:rPr>
          <w:rFonts w:eastAsiaTheme="minorEastAsia"/>
          <w:color w:val="000000" w:themeColor="text1"/>
          <w:sz w:val="28"/>
          <w:szCs w:val="28"/>
        </w:rPr>
        <w:t>【条文说明】为便于污水厂实际运行管理，可采用不同风量的风机，如水量较小或水质污染物负荷较低时开启小风量风机，节约能耗，但不能超过两种。</w:t>
      </w:r>
    </w:p>
    <w:p>
      <w:pPr>
        <w:wordWrap w:val="0"/>
        <w:ind w:firstLine="565" w:firstLineChars="202"/>
        <w:rPr>
          <w:rFonts w:eastAsiaTheme="minorEastAsia"/>
          <w:color w:val="000000" w:themeColor="text1"/>
          <w:sz w:val="28"/>
          <w:szCs w:val="28"/>
        </w:rPr>
      </w:pPr>
      <w:r>
        <w:rPr>
          <w:rFonts w:eastAsiaTheme="minorEastAsia"/>
          <w:color w:val="000000" w:themeColor="text1"/>
          <w:sz w:val="28"/>
          <w:szCs w:val="28"/>
        </w:rPr>
        <w:t>工作鼓风机台数，按平均风量配置时，需加设备用鼓风机。根据污水厂管理部门的经验，一般认为如按最大风量配置工作鼓风机时，可不设备用机组。</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鼓风机应根据产品本身和空气曝气器的要求，设不同的空气除尘设施。鼓风机进风管口的位置应根据环境条件而设，一般宜高于地面。大型鼓风机房宜采用风道进风，风道转折点宜设整流板。风道应进行防尘处理。进风塔进口宜设耐腐蚀的百叶窗，并应根据气候条件加设防止雪、雾或水蒸汽在过滤器上冻结冰霜的设施。</w:t>
      </w:r>
    </w:p>
    <w:p>
      <w:pPr>
        <w:wordWrap w:val="0"/>
        <w:rPr>
          <w:rFonts w:eastAsiaTheme="minorEastAsia"/>
          <w:color w:val="000000" w:themeColor="text1"/>
          <w:sz w:val="28"/>
          <w:szCs w:val="28"/>
        </w:rPr>
      </w:pPr>
      <w:r>
        <w:rPr>
          <w:rFonts w:eastAsiaTheme="minorEastAsia"/>
          <w:color w:val="000000" w:themeColor="text1"/>
          <w:sz w:val="28"/>
          <w:szCs w:val="28"/>
        </w:rPr>
        <w:t>【条文说明】气体中固体微粒含量，罗茨鼓风机不应大于100mg/m</w:t>
      </w:r>
      <w:r>
        <w:rPr>
          <w:rFonts w:eastAsiaTheme="minorEastAsia"/>
          <w:color w:val="000000" w:themeColor="text1"/>
          <w:sz w:val="28"/>
          <w:szCs w:val="28"/>
          <w:vertAlign w:val="superscript"/>
        </w:rPr>
        <w:t>3</w:t>
      </w:r>
      <w:r>
        <w:rPr>
          <w:rFonts w:eastAsiaTheme="minorEastAsia"/>
          <w:color w:val="000000" w:themeColor="text1"/>
          <w:sz w:val="28"/>
          <w:szCs w:val="28"/>
        </w:rPr>
        <w:t>，离心式鼓风机不应大于10mg/m</w:t>
      </w:r>
      <w:r>
        <w:rPr>
          <w:rFonts w:eastAsiaTheme="minorEastAsia"/>
          <w:color w:val="000000" w:themeColor="text1"/>
          <w:sz w:val="28"/>
          <w:szCs w:val="28"/>
          <w:vertAlign w:val="superscript"/>
        </w:rPr>
        <w:t>3</w:t>
      </w:r>
      <w:r>
        <w:rPr>
          <w:rFonts w:eastAsiaTheme="minorEastAsia"/>
          <w:color w:val="000000" w:themeColor="text1"/>
          <w:sz w:val="28"/>
          <w:szCs w:val="28"/>
        </w:rPr>
        <w:t>。微粒最大尺寸不应大于气缸内各相对运动部件的最小工作间隙之半。空气曝气器对空气除尘也有要求，钟罩式、平板式微孔曝气器，固体微粒含量应小于15mg/m</w:t>
      </w:r>
      <w:r>
        <w:rPr>
          <w:rFonts w:eastAsiaTheme="minorEastAsia"/>
          <w:color w:val="000000" w:themeColor="text1"/>
          <w:sz w:val="28"/>
          <w:szCs w:val="28"/>
          <w:vertAlign w:val="superscript"/>
        </w:rPr>
        <w:t>3</w:t>
      </w:r>
      <w:r>
        <w:rPr>
          <w:rFonts w:eastAsiaTheme="minorEastAsia"/>
          <w:color w:val="000000" w:themeColor="text1"/>
          <w:sz w:val="28"/>
          <w:szCs w:val="28"/>
        </w:rPr>
        <w:t>；中大气泡曝气器可采用粗效除尘器。</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在进风口设的防止在过滤器上冻结冰霜的措施，一般是加热处理。</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选择输气管道的管材时，应考虑强度、耐腐蚀性以及膨胀系数。当采用钢管时，管道内外应有不同的耐热、耐腐蚀处理，敷设管道时应考虑温度补偿。当管道置于管廊或室内时，在管外应敷设隔热材料或加做隔热层。</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鼓风机与输气管道连接处，宜设柔性连接管。输气管道的低点应设排除水分（或油分）的放泄口和清扫管道的排出口；必要时可设排入大气的放泄口，并应采取消声措施。</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生物反应池的输气干管宜采用环状布置。进入生物反应池的输气立管管顶宜高出水面0.5m。在生物反应池水面上的输气管，宜根据需要布置控制阀，在其最高点宜适当设真空破坏阀。</w:t>
      </w:r>
    </w:p>
    <w:p>
      <w:pPr>
        <w:wordWrap w:val="0"/>
        <w:rPr>
          <w:rFonts w:eastAsiaTheme="minorEastAsia"/>
          <w:color w:val="000000" w:themeColor="text1"/>
          <w:sz w:val="28"/>
          <w:szCs w:val="28"/>
        </w:rPr>
      </w:pPr>
      <w:r>
        <w:rPr>
          <w:rFonts w:eastAsiaTheme="minorEastAsia"/>
          <w:color w:val="000000" w:themeColor="text1"/>
          <w:sz w:val="28"/>
          <w:szCs w:val="28"/>
        </w:rPr>
        <w:t>【条文说明】生物反应池输气干管，环状布置可提高供气的安全性。为防止鼓风机突然停止运转，使池内水回灌进入输气管中，规定了应采取的措施。</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鼓风机房内的机组布置和起重设备宜符合本标准第6.</w:t>
      </w:r>
      <w:r>
        <w:rPr>
          <w:rFonts w:hint="eastAsia" w:ascii="Times New Roman" w:hAnsi="Times New Roman" w:eastAsiaTheme="minorEastAsia"/>
          <w:color w:val="000000" w:themeColor="text1"/>
          <w:sz w:val="28"/>
          <w:szCs w:val="28"/>
        </w:rPr>
        <w:t>3</w:t>
      </w:r>
      <w:r>
        <w:rPr>
          <w:rFonts w:ascii="Times New Roman" w:hAnsi="Times New Roman" w:eastAsiaTheme="minorEastAsia"/>
          <w:color w:val="000000" w:themeColor="text1"/>
          <w:sz w:val="28"/>
          <w:szCs w:val="28"/>
        </w:rPr>
        <w:t>.7条和第6.</w:t>
      </w:r>
      <w:r>
        <w:rPr>
          <w:rFonts w:hint="eastAsia" w:ascii="Times New Roman" w:hAnsi="Times New Roman" w:eastAsiaTheme="minorEastAsia"/>
          <w:color w:val="000000" w:themeColor="text1"/>
          <w:sz w:val="28"/>
          <w:szCs w:val="28"/>
        </w:rPr>
        <w:t>3</w:t>
      </w:r>
      <w:r>
        <w:rPr>
          <w:rFonts w:ascii="Times New Roman" w:hAnsi="Times New Roman" w:eastAsiaTheme="minorEastAsia"/>
          <w:color w:val="000000" w:themeColor="text1"/>
          <w:sz w:val="28"/>
          <w:szCs w:val="28"/>
        </w:rPr>
        <w:t>.9条的规定。</w:t>
      </w:r>
    </w:p>
    <w:p>
      <w:pPr>
        <w:wordWrap w:val="0"/>
        <w:rPr>
          <w:rFonts w:eastAsiaTheme="minorEastAsia"/>
          <w:color w:val="000000" w:themeColor="text1"/>
          <w:sz w:val="28"/>
          <w:szCs w:val="28"/>
        </w:rPr>
      </w:pPr>
      <w:r>
        <w:rPr>
          <w:rFonts w:eastAsiaTheme="minorEastAsia"/>
          <w:color w:val="000000" w:themeColor="text1"/>
          <w:sz w:val="28"/>
          <w:szCs w:val="28"/>
        </w:rPr>
        <w:t>【条文说明】鼓风机机组布置宜符合本标准第6.</w:t>
      </w:r>
      <w:r>
        <w:rPr>
          <w:rFonts w:hint="eastAsia" w:eastAsiaTheme="minorEastAsia"/>
          <w:color w:val="000000" w:themeColor="text1"/>
          <w:sz w:val="28"/>
          <w:szCs w:val="28"/>
        </w:rPr>
        <w:t>3</w:t>
      </w:r>
      <w:r>
        <w:rPr>
          <w:rFonts w:eastAsiaTheme="minorEastAsia"/>
          <w:color w:val="000000" w:themeColor="text1"/>
          <w:sz w:val="28"/>
          <w:szCs w:val="28"/>
        </w:rPr>
        <w:t>.7条对水泵机组布置的规定；鼓风机房起重设备宜符合本标准第6.</w:t>
      </w:r>
      <w:r>
        <w:rPr>
          <w:rFonts w:hint="eastAsia" w:eastAsiaTheme="minorEastAsia"/>
          <w:color w:val="000000" w:themeColor="text1"/>
          <w:sz w:val="28"/>
          <w:szCs w:val="28"/>
        </w:rPr>
        <w:t>3</w:t>
      </w:r>
      <w:r>
        <w:rPr>
          <w:rFonts w:eastAsiaTheme="minorEastAsia"/>
          <w:color w:val="000000" w:themeColor="text1"/>
          <w:sz w:val="28"/>
          <w:szCs w:val="28"/>
        </w:rPr>
        <w:t>.9条对泵房起重设备的规定。</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大中型鼓风机应设单独基础，机组基础间通道宽度不应小于1.5m。</w:t>
      </w:r>
    </w:p>
    <w:p>
      <w:pPr>
        <w:wordWrap w:val="0"/>
        <w:rPr>
          <w:rFonts w:eastAsiaTheme="minorEastAsia"/>
          <w:color w:val="000000" w:themeColor="text1"/>
          <w:sz w:val="28"/>
          <w:szCs w:val="28"/>
        </w:rPr>
      </w:pPr>
      <w:r>
        <w:rPr>
          <w:rFonts w:eastAsiaTheme="minorEastAsia"/>
          <w:color w:val="000000" w:themeColor="text1"/>
          <w:sz w:val="28"/>
          <w:szCs w:val="28"/>
        </w:rPr>
        <w:t>【条文说明】为了发生振动时，不影响鼓风机房的建筑安全，做此规定。</w:t>
      </w:r>
    </w:p>
    <w:p>
      <w:pPr>
        <w:pStyle w:val="30"/>
        <w:numPr>
          <w:ilvl w:val="0"/>
          <w:numId w:val="4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鼓风机房内、外的噪声应分别符合</w:t>
      </w:r>
      <w:r>
        <w:rPr>
          <w:rFonts w:hint="eastAsia" w:ascii="Times New Roman" w:hAnsi="Times New Roman" w:eastAsiaTheme="minorEastAsia"/>
          <w:b/>
          <w:color w:val="000000" w:themeColor="text1"/>
          <w:sz w:val="28"/>
          <w:szCs w:val="28"/>
        </w:rPr>
        <w:t>现行</w:t>
      </w:r>
      <w:r>
        <w:rPr>
          <w:rFonts w:ascii="Times New Roman" w:hAnsi="Times New Roman" w:eastAsiaTheme="minorEastAsia"/>
          <w:b/>
          <w:color w:val="000000" w:themeColor="text1"/>
          <w:sz w:val="28"/>
          <w:szCs w:val="28"/>
        </w:rPr>
        <w:t>国家</w:t>
      </w:r>
      <w:r>
        <w:rPr>
          <w:rFonts w:hint="eastAsia" w:ascii="Times New Roman" w:hAnsi="Times New Roman" w:eastAsiaTheme="minorEastAsia"/>
          <w:b/>
          <w:color w:val="000000" w:themeColor="text1"/>
          <w:sz w:val="28"/>
          <w:szCs w:val="28"/>
        </w:rPr>
        <w:t>标准</w:t>
      </w:r>
      <w:r>
        <w:rPr>
          <w:rFonts w:ascii="Times New Roman" w:hAnsi="Times New Roman" w:eastAsiaTheme="minorEastAsia"/>
          <w:b/>
          <w:color w:val="000000" w:themeColor="text1"/>
          <w:sz w:val="28"/>
          <w:szCs w:val="28"/>
        </w:rPr>
        <w:t>《工业企业厂界环境噪声排放标准》 GB12348和《</w:t>
      </w:r>
      <w:r>
        <w:rPr>
          <w:rFonts w:hint="eastAsia" w:ascii="Times New Roman" w:hAnsi="Times New Roman" w:eastAsiaTheme="minorEastAsia"/>
          <w:b/>
          <w:color w:val="000000" w:themeColor="text1"/>
          <w:sz w:val="28"/>
          <w:szCs w:val="28"/>
        </w:rPr>
        <w:t>声环境质量</w:t>
      </w:r>
      <w:r>
        <w:rPr>
          <w:rFonts w:ascii="Times New Roman" w:hAnsi="Times New Roman" w:eastAsiaTheme="minorEastAsia"/>
          <w:b/>
          <w:color w:val="000000" w:themeColor="text1"/>
          <w:sz w:val="28"/>
          <w:szCs w:val="28"/>
        </w:rPr>
        <w:t>标准》GB3096的有关规定</w:t>
      </w:r>
      <w:r>
        <w:rPr>
          <w:rFonts w:ascii="Times New Roman" w:hAnsi="Times New Roman" w:eastAsiaTheme="minorEastAsia"/>
          <w:color w:val="000000" w:themeColor="text1"/>
          <w:sz w:val="28"/>
          <w:szCs w:val="28"/>
        </w:rPr>
        <w:t>。</w:t>
      </w:r>
    </w:p>
    <w:p>
      <w:pPr>
        <w:widowControl/>
        <w:wordWrap w:val="0"/>
        <w:rPr>
          <w:rFonts w:eastAsiaTheme="minorEastAsia"/>
          <w:color w:val="000000" w:themeColor="text1"/>
          <w:sz w:val="28"/>
          <w:szCs w:val="28"/>
        </w:rPr>
      </w:pPr>
      <w:r>
        <w:rPr>
          <w:rFonts w:eastAsiaTheme="minorEastAsia"/>
          <w:color w:val="000000" w:themeColor="text1"/>
          <w:sz w:val="28"/>
          <w:szCs w:val="28"/>
        </w:rPr>
        <w:t>【条文说明】鼓风机尤其是罗茨鼓风机会产生超标的噪声，应首先从声源上进行控制，选用低噪声的设备，同时采用隔声、消声、吸声和隔振等措施，以符合</w:t>
      </w:r>
      <w:r>
        <w:rPr>
          <w:rFonts w:hint="eastAsia" w:eastAsiaTheme="minorEastAsia"/>
          <w:color w:val="000000" w:themeColor="text1"/>
          <w:sz w:val="28"/>
          <w:szCs w:val="28"/>
        </w:rPr>
        <w:t>现行</w:t>
      </w:r>
      <w:r>
        <w:rPr>
          <w:rFonts w:eastAsiaTheme="minorEastAsia"/>
          <w:color w:val="000000" w:themeColor="text1"/>
          <w:sz w:val="28"/>
          <w:szCs w:val="28"/>
        </w:rPr>
        <w:t>国家</w:t>
      </w:r>
      <w:r>
        <w:rPr>
          <w:rFonts w:hint="eastAsia" w:eastAsiaTheme="minorEastAsia"/>
          <w:color w:val="000000" w:themeColor="text1"/>
          <w:sz w:val="28"/>
          <w:szCs w:val="28"/>
        </w:rPr>
        <w:t>标准</w:t>
      </w:r>
      <w:r>
        <w:rPr>
          <w:rFonts w:eastAsiaTheme="minorEastAsia"/>
          <w:color w:val="000000" w:themeColor="text1"/>
          <w:sz w:val="28"/>
          <w:szCs w:val="28"/>
        </w:rPr>
        <w:t>的《工业企业厂界环境噪声排放标准》 GB12348和《</w:t>
      </w:r>
      <w:r>
        <w:rPr>
          <w:rFonts w:hint="eastAsia" w:eastAsiaTheme="minorEastAsia"/>
          <w:color w:val="000000" w:themeColor="text1"/>
          <w:sz w:val="28"/>
          <w:szCs w:val="28"/>
        </w:rPr>
        <w:t>声环境质量</w:t>
      </w:r>
      <w:r>
        <w:rPr>
          <w:rFonts w:eastAsiaTheme="minorEastAsia"/>
          <w:color w:val="000000" w:themeColor="text1"/>
          <w:sz w:val="28"/>
          <w:szCs w:val="28"/>
        </w:rPr>
        <w:t>标准》GB3096的有关规定。</w:t>
      </w:r>
    </w:p>
    <w:p>
      <w:pPr>
        <w:widowControl/>
        <w:wordWrap w:val="0"/>
        <w:ind w:firstLine="570"/>
        <w:rPr>
          <w:rFonts w:eastAsiaTheme="minorEastAsia"/>
          <w:color w:val="000000" w:themeColor="text1"/>
          <w:sz w:val="28"/>
          <w:szCs w:val="28"/>
        </w:rPr>
      </w:pPr>
    </w:p>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54" w:name="_Toc515281064"/>
      <w:bookmarkStart w:id="55" w:name="_Toc102292561"/>
      <w:r>
        <w:rPr>
          <w:rFonts w:ascii="Times New Roman" w:hAnsi="Times New Roman" w:eastAsiaTheme="minorEastAsia"/>
          <w:b w:val="0"/>
          <w:color w:val="000000" w:themeColor="text1"/>
          <w:sz w:val="28"/>
          <w:szCs w:val="28"/>
        </w:rPr>
        <w:t>化学除磷</w:t>
      </w:r>
      <w:bookmarkEnd w:id="54"/>
    </w:p>
    <w:p>
      <w:pPr>
        <w:pStyle w:val="30"/>
        <w:numPr>
          <w:ilvl w:val="0"/>
          <w:numId w:val="4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污水经生物除磷工艺处理后，其出水总磷不能达到要求时，应采用化学除磷工艺处理；污泥处理过程中产生的污水含磷较高影响出厂水总磷不能达标时，也应采用化学除磷工艺。</w:t>
      </w:r>
    </w:p>
    <w:p>
      <w:pPr>
        <w:wordWrap w:val="0"/>
        <w:rPr>
          <w:rFonts w:eastAsiaTheme="minorEastAsia"/>
          <w:color w:val="000000" w:themeColor="text1"/>
          <w:sz w:val="28"/>
          <w:szCs w:val="28"/>
        </w:rPr>
      </w:pPr>
      <w:r>
        <w:rPr>
          <w:rFonts w:eastAsiaTheme="minorEastAsia"/>
          <w:color w:val="000000" w:themeColor="text1"/>
          <w:sz w:val="28"/>
          <w:szCs w:val="28"/>
        </w:rPr>
        <w:t>【条文说明】《城镇污水处理厂污染物排放标准》GB 18918规定，自2006年1月1日起建设的污水厂总磷（</w:t>
      </w:r>
      <w:r>
        <w:rPr>
          <w:rFonts w:hint="eastAsia" w:eastAsiaTheme="minorEastAsia"/>
          <w:color w:val="000000" w:themeColor="text1"/>
          <w:sz w:val="28"/>
          <w:szCs w:val="28"/>
        </w:rPr>
        <w:t>以p计）</w:t>
      </w:r>
      <w:r>
        <w:rPr>
          <w:rFonts w:eastAsiaTheme="minorEastAsia"/>
          <w:color w:val="000000" w:themeColor="text1"/>
          <w:sz w:val="28"/>
          <w:szCs w:val="28"/>
        </w:rPr>
        <w:t>的一级A排放标准为0.5mg/L。一般城镇污水经生物除磷后，较难达到上述标准，故应辅以化学除磷，以满足出水水质的要求。由于在厌氧条件下，有大量含磷物质释放到液体中，污泥厌氧处理过程中的上清液、脱水机的过滤液和浓缩池上清液等污水，若回流入污水处理系统，将造成污水处理系统中磷的恶性循环，增加污水生物处理除磷难度，因此可在回流入污水处理系统前先进行化学除磷。</w:t>
      </w:r>
    </w:p>
    <w:p>
      <w:pPr>
        <w:pStyle w:val="30"/>
        <w:numPr>
          <w:ilvl w:val="0"/>
          <w:numId w:val="4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化学除磷可采用生物反应池的前置投加、后置投加和同步投加，也可采用多点投加。</w:t>
      </w:r>
    </w:p>
    <w:p>
      <w:pPr>
        <w:wordWrap w:val="0"/>
        <w:rPr>
          <w:rFonts w:eastAsiaTheme="minorEastAsia"/>
          <w:color w:val="000000" w:themeColor="text1"/>
          <w:sz w:val="28"/>
          <w:szCs w:val="28"/>
        </w:rPr>
      </w:pPr>
      <w:r>
        <w:rPr>
          <w:rFonts w:eastAsiaTheme="minorEastAsia"/>
          <w:color w:val="000000" w:themeColor="text1"/>
          <w:sz w:val="28"/>
          <w:szCs w:val="28"/>
        </w:rPr>
        <w:t>【条文说明】前置投加点在原污水预处理阶段，形成沉淀物与初沉污泥一起排除。前置投加的优点是除磷的同时还可去除相当数量的有机物，能减少生物处理的有机负荷，但污水处理总污泥产量较多，且对生物反硝化有一定的影响。后置投加点是在生物处理系统之后，形成的沉淀物通过生物反应池后的固液分离装置进行分离，这一方法的出水水质好。目前大多出水执行GB 18918一级A标准以上的污水厂采用了后置投加。同步投加点为生物反应池入口上游或生物反应池内，形成的沉淀物与剩余污泥一起排除。此时如采用酸性药剂会使pH值下降，对生物硝化不利。多点投加点是在生物反应池前、生物反应池和固液分离设施等位置投加药剂，其可以降低投药总量，增加运行的灵活性。</w:t>
      </w:r>
    </w:p>
    <w:p>
      <w:pPr>
        <w:pStyle w:val="30"/>
        <w:numPr>
          <w:ilvl w:val="0"/>
          <w:numId w:val="4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化学除磷设计中，药剂的种类、剂量和投加点宜根据试验资料确定。</w:t>
      </w:r>
    </w:p>
    <w:p>
      <w:pPr>
        <w:wordWrap w:val="0"/>
        <w:rPr>
          <w:rFonts w:eastAsiaTheme="minorEastAsia"/>
          <w:color w:val="000000" w:themeColor="text1"/>
          <w:sz w:val="28"/>
          <w:szCs w:val="28"/>
        </w:rPr>
      </w:pPr>
      <w:r>
        <w:rPr>
          <w:rFonts w:eastAsiaTheme="minorEastAsia"/>
          <w:color w:val="000000" w:themeColor="text1"/>
          <w:sz w:val="28"/>
          <w:szCs w:val="28"/>
        </w:rPr>
        <w:t>【条文说明】由于污水水质和环境条件各异，因而宜根据试验确定最佳药剂种类、剂量和投加点。</w:t>
      </w:r>
    </w:p>
    <w:p>
      <w:pPr>
        <w:pStyle w:val="30"/>
        <w:numPr>
          <w:ilvl w:val="0"/>
          <w:numId w:val="4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化学除磷药剂可采用铝盐、铁盐、石灰或其他有效的药剂。后置投加除磷药剂采用铝盐或铁盐作混凝剂时，宜投加离子型聚合电解质作为助凝剂。在生物滤池中不宜采用同步投加方式除磷。</w:t>
      </w:r>
    </w:p>
    <w:p>
      <w:pPr>
        <w:wordWrap w:val="0"/>
        <w:rPr>
          <w:rFonts w:eastAsiaTheme="minorEastAsia"/>
          <w:color w:val="000000" w:themeColor="text1"/>
          <w:sz w:val="28"/>
          <w:szCs w:val="28"/>
        </w:rPr>
      </w:pPr>
      <w:r>
        <w:rPr>
          <w:rFonts w:eastAsiaTheme="minorEastAsia"/>
          <w:color w:val="000000" w:themeColor="text1"/>
          <w:sz w:val="28"/>
          <w:szCs w:val="28"/>
        </w:rPr>
        <w:t>【条文说明】铝盐有硫酸铝、铝酸钠和聚合铝等，其中硫酸铝较常用。铁盐有三氯化铁、氯化亚铁、硫酸铁和硫酸亚铁等，其中三氯化铁最常用。</w:t>
      </w:r>
    </w:p>
    <w:p>
      <w:pPr>
        <w:wordWrap w:val="0"/>
        <w:ind w:firstLine="570"/>
        <w:rPr>
          <w:rFonts w:eastAsiaTheme="minorEastAsia"/>
          <w:color w:val="000000" w:themeColor="text1"/>
          <w:sz w:val="28"/>
          <w:szCs w:val="28"/>
        </w:rPr>
      </w:pPr>
      <w:r>
        <w:rPr>
          <w:rFonts w:eastAsiaTheme="minorEastAsia"/>
          <w:color w:val="000000" w:themeColor="text1"/>
          <w:sz w:val="28"/>
          <w:szCs w:val="28"/>
        </w:rPr>
        <w:t>采用铝盐或铁盐除磷时，主要生成难溶性的磷酸铝或磷酸铁，其投加量与污水中总磷量成正比，可用于生物反应池的前置、后置和同步投加。采用亚铁盐需先氧化成铁盐后才能取得最大除磷效果，因此其一般不作为后置投加的混凝剂，在前置投加时，一般投加在曝气沉砂池中，以使亚铁盐迅速氧化成铁盐。采用石灰除磷时，生成Ca</w:t>
      </w:r>
      <w:r>
        <w:rPr>
          <w:rFonts w:eastAsiaTheme="minorEastAsia"/>
          <w:color w:val="000000" w:themeColor="text1"/>
          <w:sz w:val="28"/>
          <w:szCs w:val="28"/>
          <w:vertAlign w:val="subscript"/>
        </w:rPr>
        <w:t>5</w:t>
      </w:r>
      <w:r>
        <w:rPr>
          <w:rFonts w:eastAsiaTheme="minorEastAsia"/>
          <w:color w:val="000000" w:themeColor="text1"/>
          <w:sz w:val="28"/>
          <w:szCs w:val="28"/>
        </w:rPr>
        <w:t>(PO</w:t>
      </w:r>
      <w:r>
        <w:rPr>
          <w:rFonts w:eastAsiaTheme="minorEastAsia"/>
          <w:color w:val="000000" w:themeColor="text1"/>
          <w:sz w:val="28"/>
          <w:szCs w:val="28"/>
          <w:vertAlign w:val="subscript"/>
        </w:rPr>
        <w:t>4</w:t>
      </w:r>
      <w:r>
        <w:rPr>
          <w:rFonts w:eastAsiaTheme="minorEastAsia"/>
          <w:color w:val="000000" w:themeColor="text1"/>
          <w:sz w:val="28"/>
          <w:szCs w:val="28"/>
        </w:rPr>
        <w:t>)</w:t>
      </w:r>
      <w:r>
        <w:rPr>
          <w:rFonts w:eastAsiaTheme="minorEastAsia"/>
          <w:color w:val="000000" w:themeColor="text1"/>
          <w:sz w:val="28"/>
          <w:szCs w:val="28"/>
          <w:vertAlign w:val="subscript"/>
        </w:rPr>
        <w:t>3</w:t>
      </w:r>
      <w:r>
        <w:rPr>
          <w:rFonts w:eastAsiaTheme="minorEastAsia"/>
          <w:color w:val="000000" w:themeColor="text1"/>
          <w:sz w:val="28"/>
          <w:szCs w:val="28"/>
        </w:rPr>
        <w:t>OH沉淀，其溶解度与pH值有关，因而所需石灰量取决于污水的碱度，而不是含磷量，石灰作混凝剂不能用于同步除磷，只能用于前置或后置除磷，石灰用于前置除磷后污水pH值较高，进生物处理系统前需调节pH值；石灰用于后置除磷时，处理后的出水必须调节pH值才能满足排放要求，石灰还可用于污泥厌氧释磷池或污泥处理过程中产生的富磷上清液的除磷，用石灰除磷，污泥量较铝盐或铁盐大很多，因而很少采用。加入少量阴离子、阳离子或阴阳离子聚合电解质，如聚丙烯酰胺(PAM)，作为助凝剂，有利于分散的游离金属磷酸盐絮体混凝和沉淀。</w:t>
      </w:r>
    </w:p>
    <w:p>
      <w:pPr>
        <w:wordWrap w:val="0"/>
        <w:ind w:firstLine="570"/>
        <w:rPr>
          <w:rFonts w:eastAsiaTheme="minorEastAsia"/>
          <w:color w:val="000000" w:themeColor="text1"/>
          <w:sz w:val="28"/>
          <w:szCs w:val="28"/>
        </w:rPr>
      </w:pPr>
      <w:r>
        <w:rPr>
          <w:rFonts w:eastAsiaTheme="minorEastAsia"/>
          <w:color w:val="000000" w:themeColor="text1"/>
          <w:sz w:val="28"/>
          <w:szCs w:val="28"/>
        </w:rPr>
        <w:t>如果生物反应池采用的是生物接触氧化池或曝气生物滤池，则不宜采用同步投加方式除磷，以防止填料堵塞。</w:t>
      </w:r>
    </w:p>
    <w:p>
      <w:pPr>
        <w:pStyle w:val="30"/>
        <w:numPr>
          <w:ilvl w:val="0"/>
          <w:numId w:val="4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采用铝盐或铁盐作混凝剂时，其投加混凝剂与污水中总磷的摩尔比宜为1.5～3，当出水中总磷的浓度低于0.5mg/L时，可适当增加摩尔比。</w:t>
      </w:r>
    </w:p>
    <w:p>
      <w:pPr>
        <w:wordWrap w:val="0"/>
        <w:rPr>
          <w:rFonts w:eastAsiaTheme="minorEastAsia"/>
          <w:color w:val="000000" w:themeColor="text1"/>
          <w:sz w:val="28"/>
          <w:szCs w:val="28"/>
        </w:rPr>
      </w:pPr>
      <w:r>
        <w:rPr>
          <w:rFonts w:eastAsiaTheme="minorEastAsia"/>
          <w:color w:val="000000" w:themeColor="text1"/>
          <w:sz w:val="28"/>
          <w:szCs w:val="28"/>
        </w:rPr>
        <w:t>【条文说明】理论上，三价铝和铁离子与等摩尔磷酸反应生成磷酸铝和磷酸铁，但在实际中，化学反应并不是100%有效进行的， OH</w:t>
      </w:r>
      <w:r>
        <w:rPr>
          <w:rFonts w:eastAsiaTheme="minorEastAsia"/>
          <w:color w:val="000000" w:themeColor="text1"/>
          <w:sz w:val="28"/>
          <w:szCs w:val="28"/>
          <w:vertAlign w:val="superscript"/>
        </w:rPr>
        <w:t>-</w:t>
      </w:r>
      <w:r>
        <w:rPr>
          <w:rFonts w:eastAsiaTheme="minorEastAsia"/>
          <w:color w:val="000000" w:themeColor="text1"/>
          <w:sz w:val="28"/>
          <w:szCs w:val="28"/>
        </w:rPr>
        <w:t>亦会与金属离子竞争反应，生成相应的氢氧化物，同时由于污水中成分极其复杂，含有大量阴离子，铝、铁离子会与它们反应，从而消耗混凝剂，所以化学药剂在实际应用中需要超量投加，以保证出水总磷标准。德国在化学除磷计算时，提出了投加系数β的概念，β是铁盐或铝盐的摩尔浓度与磷的摩尔浓度的比值。投加系数β是受多种因素影响的，如投加地点、混合条件等。然而，过量投加药剂不仅会使药剂费增加，而且因氢氧化物的大量形成也会使污泥量大大增加，这种污泥体积大、难脱水。在我国，根据经验投加铝盐或铁盐时其摩尔比宜为1.5～3。美国《营养物控制设计手册（2009版）》中铝盐与总磷的摩尔比与总磷的去除率相关：当去除率为75%、85%和95%时，摩尔比分别为1.38:1、1.72:1和2.3:1，铁盐与总磷的摩尔比为1:1，但是需要投加额外的10mg/L以形成氢氧化物。当对出水总磷的要求更高时，铝盐或铁盐与总磷的比例约为2:1~6:1。出水的总磷浓度越低，摩尔比越高。</w:t>
      </w:r>
    </w:p>
    <w:p>
      <w:pPr>
        <w:wordWrap w:val="0"/>
        <w:ind w:firstLine="570"/>
        <w:rPr>
          <w:rFonts w:eastAsiaTheme="minorEastAsia"/>
          <w:color w:val="000000" w:themeColor="text1"/>
          <w:sz w:val="28"/>
          <w:szCs w:val="28"/>
        </w:rPr>
      </w:pPr>
      <w:r>
        <w:rPr>
          <w:rFonts w:eastAsiaTheme="minorEastAsia"/>
          <w:color w:val="000000" w:themeColor="text1"/>
          <w:sz w:val="28"/>
          <w:szCs w:val="28"/>
        </w:rPr>
        <w:t>前置投加应注意控制投加量，以保证进入生物反应池剩余磷酸盐的含量为1.5mg/L-2.5mg/L，满足后续生物处理对磷的需要。</w:t>
      </w:r>
    </w:p>
    <w:p>
      <w:pPr>
        <w:pStyle w:val="30"/>
        <w:numPr>
          <w:ilvl w:val="0"/>
          <w:numId w:val="4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化学除磷时应考虑产生的污泥量。</w:t>
      </w:r>
    </w:p>
    <w:p>
      <w:pPr>
        <w:wordWrap w:val="0"/>
        <w:rPr>
          <w:rFonts w:eastAsiaTheme="minorEastAsia"/>
          <w:color w:val="000000" w:themeColor="text1"/>
          <w:sz w:val="28"/>
          <w:szCs w:val="28"/>
        </w:rPr>
      </w:pPr>
      <w:r>
        <w:rPr>
          <w:rFonts w:eastAsiaTheme="minorEastAsia"/>
          <w:color w:val="000000" w:themeColor="text1"/>
          <w:sz w:val="28"/>
          <w:szCs w:val="28"/>
        </w:rPr>
        <w:t>【条文说明】化学除磷时会产生较多的污泥。采用铝盐或铁盐作混凝剂时，前置投加，污泥量增加40%～75%；后置投加，污泥量增加20%～35%；同步投加，污泥量增加15%～50%。采用石灰作混凝剂时，前置投加，污泥量增加150%～500%；后置投加，污泥量增加130%～145%。</w:t>
      </w:r>
    </w:p>
    <w:p>
      <w:pPr>
        <w:pStyle w:val="30"/>
        <w:numPr>
          <w:ilvl w:val="0"/>
          <w:numId w:val="4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化学除磷时，对接触腐蚀性物质的设备和管道应采取防腐蚀措施。</w:t>
      </w:r>
    </w:p>
    <w:p>
      <w:pPr>
        <w:wordWrap w:val="0"/>
        <w:rPr>
          <w:rFonts w:eastAsiaTheme="minorEastAsia"/>
          <w:color w:val="000000" w:themeColor="text1"/>
          <w:sz w:val="28"/>
          <w:szCs w:val="28"/>
        </w:rPr>
      </w:pPr>
      <w:r>
        <w:rPr>
          <w:rFonts w:eastAsiaTheme="minorEastAsia"/>
          <w:color w:val="000000" w:themeColor="text1"/>
          <w:sz w:val="28"/>
          <w:szCs w:val="28"/>
        </w:rPr>
        <w:t>【条文说明】三氯化铁、氯化亚铁、硫酸铁和硫酸亚铁都具有很强的腐蚀性；硫酸铝固体在于燥条件下没有腐蚀性，但硫酸铝液体却有很强的腐蚀性，故做此规定。</w:t>
      </w:r>
    </w:p>
    <w:bookmarkEnd w:id="55"/>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56" w:name="_Toc74992752"/>
      <w:bookmarkStart w:id="57" w:name="_Toc102292562"/>
      <w:bookmarkStart w:id="58" w:name="_Toc515281065"/>
      <w:r>
        <w:rPr>
          <w:rFonts w:ascii="Times New Roman" w:hAnsi="Times New Roman" w:eastAsiaTheme="minorEastAsia"/>
          <w:b w:val="0"/>
          <w:color w:val="000000" w:themeColor="text1"/>
          <w:sz w:val="28"/>
          <w:szCs w:val="28"/>
        </w:rPr>
        <w:t>污水深度和</w:t>
      </w:r>
      <w:bookmarkEnd w:id="56"/>
      <w:bookmarkEnd w:id="57"/>
      <w:bookmarkStart w:id="59" w:name="_Toc74992753"/>
      <w:r>
        <w:rPr>
          <w:rFonts w:ascii="Times New Roman" w:hAnsi="Times New Roman" w:eastAsiaTheme="minorEastAsia"/>
          <w:b w:val="0"/>
          <w:color w:val="000000" w:themeColor="text1"/>
          <w:sz w:val="28"/>
          <w:szCs w:val="28"/>
        </w:rPr>
        <w:t>再生处理</w:t>
      </w:r>
      <w:bookmarkEnd w:id="58"/>
    </w:p>
    <w:p>
      <w:pPr>
        <w:widowControl/>
        <w:wordWrap w:val="0"/>
        <w:jc w:val="center"/>
        <w:rPr>
          <w:rFonts w:eastAsiaTheme="minorEastAsia"/>
          <w:bCs/>
          <w:color w:val="000000" w:themeColor="text1"/>
          <w:sz w:val="28"/>
          <w:szCs w:val="28"/>
        </w:rPr>
      </w:pPr>
      <w:r>
        <w:rPr>
          <w:rFonts w:eastAsiaTheme="minorEastAsia"/>
          <w:bCs/>
          <w:color w:val="000000" w:themeColor="text1"/>
          <w:sz w:val="28"/>
          <w:szCs w:val="28"/>
        </w:rPr>
        <w:t>I  一般规定</w:t>
      </w:r>
      <w:bookmarkEnd w:id="59"/>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污水厂宜设再生水处理系统。</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【条文说明】我国是一个水资源短缺的国家。城镇污水处理已将污水处理到一定标准，经再生处理后能够回用，实现污水资源化，对保障安全供水具有重要的战略意义。</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污水深度处理和再生处理的工艺应根据水质目标选择，工艺单元的组合形式应进行多方案比较，满足实用、经济、运行稳定的要求。再生水的水质应符合国家现行的水质标准的规定。</w:t>
      </w:r>
    </w:p>
    <w:p>
      <w:pPr>
        <w:pStyle w:val="30"/>
        <w:wordWrap w:val="0"/>
        <w:ind w:firstLine="0" w:firstLineChars="0"/>
        <w:rPr>
          <w:rFonts w:ascii="Times New Roman" w:hAnsi="Times New Roman" w:eastAsiaTheme="minorEastAsia"/>
          <w:sz w:val="28"/>
          <w:szCs w:val="28"/>
        </w:rPr>
      </w:pPr>
      <w:r>
        <w:rPr>
          <w:rFonts w:ascii="Times New Roman" w:hAnsi="Times New Roman" w:eastAsiaTheme="minorEastAsia"/>
          <w:color w:val="000000" w:themeColor="text1"/>
          <w:sz w:val="28"/>
          <w:szCs w:val="28"/>
        </w:rPr>
        <w:t>【条文说明】深度处理以排放标准为处理目的，再生处理以回用水质要求为目标。</w:t>
      </w:r>
      <w:r>
        <w:rPr>
          <w:rFonts w:ascii="Times New Roman" w:hAnsi="Times New Roman" w:eastAsiaTheme="minorEastAsia"/>
          <w:sz w:val="28"/>
          <w:szCs w:val="28"/>
        </w:rPr>
        <w:t>污水深度处理和再生处理工艺应根据处理目标选择，</w:t>
      </w:r>
      <w:r>
        <w:rPr>
          <w:rFonts w:ascii="Times New Roman" w:hAnsi="Times New Roman" w:eastAsiaTheme="minorEastAsia"/>
          <w:color w:val="000000" w:themeColor="text1"/>
          <w:sz w:val="28"/>
          <w:szCs w:val="28"/>
        </w:rPr>
        <w:t>可采用其中的1个工艺单元或几种单元的组合</w:t>
      </w:r>
      <w:r>
        <w:rPr>
          <w:rFonts w:ascii="Times New Roman" w:hAnsi="Times New Roman" w:eastAsiaTheme="minorEastAsia"/>
          <w:sz w:val="28"/>
          <w:szCs w:val="28"/>
        </w:rPr>
        <w:t>。</w:t>
      </w:r>
    </w:p>
    <w:p>
      <w:pPr>
        <w:pStyle w:val="30"/>
        <w:wordWrap w:val="0"/>
        <w:ind w:firstLine="57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深度处理工艺应根据排放标准进行选择，保证经济和有效。污水再生利用的目标不同，其水质标准也不同。根据《城市污水再生利用分类》GB/T 18919的规定，城市污水再生利用类别共分为五类，包括农、林、牧、渔业用水，城镇杂用水，工业用水，环境用水，补充水源水。污水再生利用时，其水质应符合以上标准及其他相关标准的规定。</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污水深度处理和再生水处理主要工艺</w:t>
      </w:r>
      <w:r>
        <w:rPr>
          <w:rFonts w:hint="eastAsia" w:ascii="Times New Roman" w:hAnsi="Times New Roman" w:eastAsiaTheme="minorEastAsia"/>
          <w:color w:val="000000" w:themeColor="text1"/>
          <w:sz w:val="28"/>
          <w:szCs w:val="28"/>
        </w:rPr>
        <w:t>宜采用</w:t>
      </w:r>
      <w:r>
        <w:rPr>
          <w:rFonts w:ascii="Times New Roman" w:hAnsi="Times New Roman" w:eastAsiaTheme="minorEastAsia"/>
          <w:color w:val="000000" w:themeColor="text1"/>
          <w:sz w:val="28"/>
          <w:szCs w:val="28"/>
        </w:rPr>
        <w:t>混凝、沉淀（澄清、气浮）、过滤、消毒，必要时可采用活性炭吸附、膜过滤、臭氧氧化和自然处理等工艺。</w:t>
      </w:r>
    </w:p>
    <w:p>
      <w:pPr>
        <w:wordWrap w:val="0"/>
        <w:rPr>
          <w:rFonts w:eastAsiaTheme="minorEastAsia"/>
          <w:color w:val="000000" w:themeColor="text1"/>
          <w:sz w:val="28"/>
          <w:szCs w:val="28"/>
        </w:rPr>
      </w:pPr>
      <w:r>
        <w:rPr>
          <w:rFonts w:eastAsiaTheme="minorEastAsia"/>
          <w:color w:val="000000" w:themeColor="text1"/>
          <w:sz w:val="28"/>
          <w:szCs w:val="28"/>
        </w:rPr>
        <w:t>【条文说明】本条列出常规条件下城镇污水深度处理和再生水处理的主要工艺形式，其中，膜过滤包括：微滤、超滤、纳滤、反渗透、电渗析等，不同膜过滤工艺去除污染物分子量大小和对预处理要求不同。</w:t>
      </w:r>
    </w:p>
    <w:p>
      <w:pPr>
        <w:widowControl/>
        <w:wordWrap w:val="0"/>
        <w:jc w:val="center"/>
        <w:rPr>
          <w:rFonts w:eastAsiaTheme="minorEastAsia"/>
          <w:bCs/>
          <w:color w:val="000000" w:themeColor="text1"/>
          <w:sz w:val="28"/>
          <w:szCs w:val="28"/>
        </w:rPr>
      </w:pPr>
      <w:bookmarkStart w:id="60" w:name="_Toc74992754"/>
      <w:r>
        <w:rPr>
          <w:rFonts w:eastAsiaTheme="minorEastAsia"/>
          <w:bCs/>
          <w:color w:val="000000" w:themeColor="text1"/>
          <w:sz w:val="28"/>
          <w:szCs w:val="28"/>
        </w:rPr>
        <w:t>II  处理</w:t>
      </w:r>
      <w:bookmarkEnd w:id="60"/>
      <w:r>
        <w:rPr>
          <w:rFonts w:eastAsiaTheme="minorEastAsia"/>
          <w:bCs/>
          <w:color w:val="000000" w:themeColor="text1"/>
          <w:sz w:val="28"/>
          <w:szCs w:val="28"/>
        </w:rPr>
        <w:t>工艺</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深度处理和再生水处理工艺的设计参数宜根据试验资料确定，也可参照类似运行经验确定。</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采用混合、絮凝、沉淀工艺时，投药混和设施中</w:t>
      </w:r>
      <w:r>
        <w:rPr>
          <w:rFonts w:ascii="Times New Roman" w:hAnsi="Times New Roman" w:eastAsiaTheme="minorEastAsia"/>
          <w:i/>
          <w:color w:val="000000" w:themeColor="text1"/>
          <w:sz w:val="28"/>
          <w:szCs w:val="28"/>
        </w:rPr>
        <w:t>G</w:t>
      </w:r>
      <w:r>
        <w:rPr>
          <w:rFonts w:ascii="Times New Roman" w:hAnsi="Times New Roman" w:eastAsiaTheme="minorEastAsia"/>
          <w:color w:val="000000" w:themeColor="text1"/>
          <w:sz w:val="28"/>
          <w:szCs w:val="28"/>
        </w:rPr>
        <w:t>值宜采用300s</w:t>
      </w:r>
      <w:r>
        <w:rPr>
          <w:rFonts w:ascii="Times New Roman" w:hAnsi="Times New Roman" w:eastAsiaTheme="minorEastAsia"/>
          <w:color w:val="000000" w:themeColor="text1"/>
          <w:sz w:val="28"/>
          <w:szCs w:val="28"/>
          <w:vertAlign w:val="superscript"/>
        </w:rPr>
        <w:t>-1</w:t>
      </w:r>
      <w:r>
        <w:rPr>
          <w:rFonts w:ascii="Times New Roman" w:hAnsi="Times New Roman" w:eastAsiaTheme="minorEastAsia"/>
          <w:color w:val="000000" w:themeColor="text1"/>
          <w:sz w:val="28"/>
          <w:szCs w:val="28"/>
        </w:rPr>
        <w:t>，混合时间宜采用30s～120s。</w:t>
      </w:r>
    </w:p>
    <w:p>
      <w:pPr>
        <w:wordWrap w:val="0"/>
        <w:rPr>
          <w:rFonts w:eastAsiaTheme="minorEastAsia"/>
          <w:color w:val="000000" w:themeColor="text1"/>
          <w:sz w:val="28"/>
          <w:szCs w:val="28"/>
        </w:rPr>
      </w:pPr>
      <w:r>
        <w:rPr>
          <w:rFonts w:eastAsiaTheme="minorEastAsia"/>
          <w:color w:val="000000" w:themeColor="text1"/>
          <w:sz w:val="28"/>
          <w:szCs w:val="28"/>
        </w:rPr>
        <w:t>【条文说明】混合是混凝剂被迅速均匀地分布于整个水体的过程。在混合阶段中胶体颗粒间的排斥力被消除或其亲水性被破坏，使颗粒具有相互接触而吸附的性能。根据国外资料，混合时间可采用30s～120s。</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絮凝、沉淀、澄清、气浮工艺的设计，宜符合下列规定：</w:t>
      </w:r>
    </w:p>
    <w:p>
      <w:pPr>
        <w:widowControl/>
        <w:wordWrap w:val="0"/>
        <w:ind w:firstLine="565" w:firstLineChars="201"/>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絮凝时间宜为10min～30min；</w:t>
      </w:r>
    </w:p>
    <w:p>
      <w:pPr>
        <w:widowControl/>
        <w:wordWrap w:val="0"/>
        <w:ind w:firstLine="565" w:firstLineChars="201"/>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平流沉淀池的沉淀时间宜为 2.0h～4.0h，水平流速宜为4.0mm/s～12.0mm/s；</w:t>
      </w:r>
    </w:p>
    <w:p>
      <w:pPr>
        <w:widowControl/>
        <w:wordWrap w:val="0"/>
        <w:ind w:firstLine="565" w:firstLineChars="201"/>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澄清池表面水力负荷宜为2.5m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·h)~3.0m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w:t>
      </w:r>
    </w:p>
    <w:p>
      <w:pPr>
        <w:widowControl/>
        <w:wordWrap w:val="0"/>
        <w:ind w:firstLine="565" w:firstLineChars="201"/>
        <w:rPr>
          <w:rFonts w:eastAsiaTheme="minorEastAsia"/>
          <w:sz w:val="28"/>
          <w:szCs w:val="28"/>
        </w:rPr>
      </w:pPr>
      <w:r>
        <w:rPr>
          <w:rFonts w:eastAsiaTheme="minorEastAsia"/>
          <w:b/>
          <w:bCs/>
          <w:color w:val="000000" w:themeColor="text1"/>
          <w:sz w:val="28"/>
          <w:szCs w:val="28"/>
        </w:rPr>
        <w:t>4</w:t>
      </w:r>
      <w:r>
        <w:rPr>
          <w:rFonts w:eastAsiaTheme="minorEastAsia"/>
          <w:sz w:val="28"/>
          <w:szCs w:val="28"/>
        </w:rPr>
        <w:t>溶气气浮池，接触室的上升流速可采用10mm/s～20mm/s，分离室的向下流速可采用1.5mm/s～2.0mm/s。溶气水回流比</w:t>
      </w:r>
      <w:r>
        <w:rPr>
          <w:rFonts w:hint="eastAsia" w:eastAsiaTheme="minorEastAsia"/>
          <w:sz w:val="28"/>
          <w:szCs w:val="28"/>
        </w:rPr>
        <w:t>宜</w:t>
      </w:r>
      <w:r>
        <w:rPr>
          <w:rFonts w:eastAsiaTheme="minorEastAsia"/>
          <w:sz w:val="28"/>
          <w:szCs w:val="28"/>
        </w:rPr>
        <w:t>为5%～10%；</w:t>
      </w:r>
    </w:p>
    <w:p>
      <w:pPr>
        <w:widowControl/>
        <w:wordWrap w:val="0"/>
        <w:ind w:firstLine="565" w:firstLineChars="201"/>
        <w:rPr>
          <w:rFonts w:eastAsiaTheme="minorEastAsia"/>
          <w:color w:val="000000" w:themeColor="text1"/>
          <w:sz w:val="28"/>
          <w:szCs w:val="28"/>
        </w:rPr>
      </w:pPr>
      <w:r>
        <w:rPr>
          <w:rFonts w:eastAsiaTheme="minorEastAsia"/>
          <w:b/>
          <w:bCs/>
          <w:color w:val="000000" w:themeColor="text1"/>
          <w:sz w:val="28"/>
          <w:szCs w:val="28"/>
        </w:rPr>
        <w:t>5</w:t>
      </w:r>
      <w:r>
        <w:rPr>
          <w:rFonts w:eastAsiaTheme="minorEastAsia"/>
          <w:sz w:val="28"/>
          <w:szCs w:val="28"/>
        </w:rPr>
        <w:t>高效浅层气浮，气浮池水力负荷宜为 5.0m</w:t>
      </w:r>
      <w:r>
        <w:rPr>
          <w:rFonts w:eastAsiaTheme="minorEastAsia"/>
          <w:sz w:val="28"/>
          <w:szCs w:val="28"/>
          <w:vertAlign w:val="superscript"/>
        </w:rPr>
        <w:t>3</w:t>
      </w:r>
      <w:r>
        <w:rPr>
          <w:rFonts w:eastAsiaTheme="minorEastAsia"/>
          <w:sz w:val="28"/>
          <w:szCs w:val="28"/>
        </w:rPr>
        <w:t>/（m</w:t>
      </w:r>
      <w:r>
        <w:rPr>
          <w:rFonts w:eastAsiaTheme="minorEastAsia"/>
          <w:sz w:val="28"/>
          <w:szCs w:val="28"/>
          <w:vertAlign w:val="superscript"/>
        </w:rPr>
        <w:t>2</w:t>
      </w:r>
      <w:r>
        <w:rPr>
          <w:rFonts w:eastAsiaTheme="minorEastAsia"/>
          <w:sz w:val="28"/>
          <w:szCs w:val="28"/>
        </w:rPr>
        <w:t>·h）～6.0m</w:t>
      </w:r>
      <w:r>
        <w:rPr>
          <w:rFonts w:eastAsiaTheme="minorEastAsia"/>
          <w:sz w:val="28"/>
          <w:szCs w:val="28"/>
          <w:vertAlign w:val="superscript"/>
        </w:rPr>
        <w:t>3</w:t>
      </w:r>
      <w:r>
        <w:rPr>
          <w:rFonts w:eastAsiaTheme="minorEastAsia"/>
          <w:sz w:val="28"/>
          <w:szCs w:val="28"/>
        </w:rPr>
        <w:t>/（m</w:t>
      </w:r>
      <w:r>
        <w:rPr>
          <w:rFonts w:eastAsiaTheme="minorEastAsia"/>
          <w:sz w:val="28"/>
          <w:szCs w:val="28"/>
          <w:vertAlign w:val="superscript"/>
        </w:rPr>
        <w:t>2</w:t>
      </w:r>
      <w:r>
        <w:rPr>
          <w:rFonts w:eastAsiaTheme="minorEastAsia"/>
          <w:sz w:val="28"/>
          <w:szCs w:val="28"/>
        </w:rPr>
        <w:t>·h），溶气水回流比可采用15%～30%；</w:t>
      </w:r>
    </w:p>
    <w:p>
      <w:pPr>
        <w:wordWrap w:val="0"/>
        <w:rPr>
          <w:rFonts w:eastAsiaTheme="minorEastAsia"/>
          <w:color w:val="000000" w:themeColor="text1"/>
          <w:sz w:val="28"/>
          <w:szCs w:val="28"/>
        </w:rPr>
      </w:pPr>
      <w:r>
        <w:rPr>
          <w:rFonts w:eastAsiaTheme="minorEastAsia"/>
          <w:color w:val="000000" w:themeColor="text1"/>
          <w:sz w:val="28"/>
          <w:szCs w:val="28"/>
        </w:rPr>
        <w:t>【条文说明】污水处理出水的水质特点与给水处理的原水水质有较大的差异，因此实际的设计参数不完全一致。</w:t>
      </w:r>
    </w:p>
    <w:p>
      <w:pPr>
        <w:wordWrap w:val="0"/>
        <w:rPr>
          <w:rFonts w:eastAsiaTheme="minorEastAsia"/>
          <w:color w:val="000000" w:themeColor="text1"/>
          <w:sz w:val="28"/>
          <w:szCs w:val="28"/>
        </w:rPr>
      </w:pPr>
      <w:r>
        <w:rPr>
          <w:rFonts w:eastAsiaTheme="minorEastAsia"/>
          <w:color w:val="000000" w:themeColor="text1"/>
          <w:sz w:val="28"/>
          <w:szCs w:val="28"/>
        </w:rPr>
        <w:t xml:space="preserve">    如美国南太和湖石灰作混凝剂的絮凝（空气搅拌）时间为5min、沉淀（圆形辐流式）表面水力负荷为1.6m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上升流速为0.44mm/s；美国加利福尼亚州橘县给水区深度处理厂的絮凝（机械絮凝）时间为30min；科罗拉多泉污水深度处理厂处理二级处理出水，用于灌溉及工业回用，澄清池上升流速为0.57mm/s～0.63mm/s；《室外给水设计标准》GB 50013规定不同形式的絮凝时间为12min～30min；平流沉淀池水平流速为10mm/s～25mm/s，沉淀时间为1.5h～3.0h；机械搅拌澄清池液面负荷为</w:t>
      </w:r>
      <w:r>
        <w:rPr>
          <w:rFonts w:eastAsiaTheme="minorEastAsia"/>
          <w:sz w:val="28"/>
          <w:szCs w:val="28"/>
        </w:rPr>
        <w:t>2.9m</w:t>
      </w:r>
      <w:r>
        <w:rPr>
          <w:rFonts w:eastAsiaTheme="minorEastAsia"/>
          <w:sz w:val="28"/>
          <w:szCs w:val="28"/>
          <w:vertAlign w:val="superscript"/>
        </w:rPr>
        <w:t>3</w:t>
      </w:r>
      <w:r>
        <w:rPr>
          <w:rFonts w:eastAsiaTheme="minorEastAsia"/>
          <w:sz w:val="28"/>
          <w:szCs w:val="28"/>
        </w:rPr>
        <w:t>/(m</w:t>
      </w:r>
      <w:r>
        <w:rPr>
          <w:rFonts w:eastAsiaTheme="minorEastAsia"/>
          <w:sz w:val="28"/>
          <w:szCs w:val="28"/>
          <w:vertAlign w:val="superscript"/>
        </w:rPr>
        <w:t>2</w:t>
      </w:r>
      <w:r>
        <w:rPr>
          <w:rFonts w:eastAsiaTheme="minorEastAsia"/>
          <w:sz w:val="28"/>
          <w:szCs w:val="28"/>
        </w:rPr>
        <w:t>·h)～3.6m</w:t>
      </w:r>
      <w:r>
        <w:rPr>
          <w:rFonts w:eastAsiaTheme="minorEastAsia"/>
          <w:sz w:val="28"/>
          <w:szCs w:val="28"/>
          <w:vertAlign w:val="superscript"/>
        </w:rPr>
        <w:t>3</w:t>
      </w:r>
      <w:r>
        <w:rPr>
          <w:rFonts w:eastAsiaTheme="minorEastAsia"/>
          <w:sz w:val="28"/>
          <w:szCs w:val="28"/>
        </w:rPr>
        <w:t>/(m</w:t>
      </w:r>
      <w:r>
        <w:rPr>
          <w:rFonts w:eastAsiaTheme="minorEastAsia"/>
          <w:sz w:val="28"/>
          <w:szCs w:val="28"/>
          <w:vertAlign w:val="superscript"/>
        </w:rPr>
        <w:t>2</w:t>
      </w:r>
      <w:r>
        <w:rPr>
          <w:rFonts w:eastAsiaTheme="minorEastAsia"/>
          <w:sz w:val="28"/>
          <w:szCs w:val="28"/>
        </w:rPr>
        <w:t>·h)</w:t>
      </w:r>
      <w:r>
        <w:rPr>
          <w:rFonts w:eastAsiaTheme="minorEastAsia"/>
          <w:color w:val="000000" w:themeColor="text1"/>
          <w:sz w:val="28"/>
          <w:szCs w:val="28"/>
        </w:rPr>
        <w:t>，脉冲澄清池液面负荷为</w:t>
      </w:r>
      <w:r>
        <w:rPr>
          <w:rFonts w:eastAsiaTheme="minorEastAsia"/>
          <w:sz w:val="28"/>
          <w:szCs w:val="28"/>
        </w:rPr>
        <w:t>2.5m</w:t>
      </w:r>
      <w:r>
        <w:rPr>
          <w:rFonts w:eastAsiaTheme="minorEastAsia"/>
          <w:sz w:val="28"/>
          <w:szCs w:val="28"/>
          <w:vertAlign w:val="superscript"/>
        </w:rPr>
        <w:t>3</w:t>
      </w:r>
      <w:r>
        <w:rPr>
          <w:rFonts w:eastAsiaTheme="minorEastAsia"/>
          <w:sz w:val="28"/>
          <w:szCs w:val="28"/>
        </w:rPr>
        <w:t>/(m</w:t>
      </w:r>
      <w:r>
        <w:rPr>
          <w:rFonts w:eastAsiaTheme="minorEastAsia"/>
          <w:sz w:val="28"/>
          <w:szCs w:val="28"/>
          <w:vertAlign w:val="superscript"/>
        </w:rPr>
        <w:t>2</w:t>
      </w:r>
      <w:r>
        <w:rPr>
          <w:rFonts w:eastAsiaTheme="minorEastAsia"/>
          <w:sz w:val="28"/>
          <w:szCs w:val="28"/>
        </w:rPr>
        <w:t>·h)～3.2m</w:t>
      </w:r>
      <w:r>
        <w:rPr>
          <w:rFonts w:eastAsiaTheme="minorEastAsia"/>
          <w:sz w:val="28"/>
          <w:szCs w:val="28"/>
          <w:vertAlign w:val="superscript"/>
        </w:rPr>
        <w:t>3</w:t>
      </w:r>
      <w:r>
        <w:rPr>
          <w:rFonts w:eastAsiaTheme="minorEastAsia"/>
          <w:sz w:val="28"/>
          <w:szCs w:val="28"/>
        </w:rPr>
        <w:t>/(m</w:t>
      </w:r>
      <w:r>
        <w:rPr>
          <w:rFonts w:eastAsiaTheme="minorEastAsia"/>
          <w:sz w:val="28"/>
          <w:szCs w:val="28"/>
          <w:vertAlign w:val="superscript"/>
        </w:rPr>
        <w:t>2</w:t>
      </w:r>
      <w:r>
        <w:rPr>
          <w:rFonts w:eastAsiaTheme="minorEastAsia"/>
          <w:sz w:val="28"/>
          <w:szCs w:val="28"/>
        </w:rPr>
        <w:t>·h)</w:t>
      </w:r>
      <w:r>
        <w:rPr>
          <w:rFonts w:eastAsiaTheme="minorEastAsia"/>
          <w:color w:val="000000" w:themeColor="text1"/>
          <w:sz w:val="28"/>
          <w:szCs w:val="28"/>
        </w:rPr>
        <w:t>。《污水再生利用工程设计规范》GB 50335规定隔板絮凝池絮凝时间为20min～30min，折板絮凝池、栅条（网格）絮凝池和机械絮凝池絮凝时间为15min～25min，平流沉淀池沉淀时间为2.0h～4.0h，水平流速为4.0mm/s～12.0mm/s；机械搅拌澄清池表面水力负荷应为2.5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·h)~3.0m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w:t>
      </w:r>
    </w:p>
    <w:p>
      <w:pPr>
        <w:wordWrap w:val="0"/>
        <w:rPr>
          <w:rFonts w:eastAsiaTheme="minorEastAsia"/>
          <w:color w:val="000000" w:themeColor="text1"/>
          <w:sz w:val="28"/>
          <w:szCs w:val="28"/>
        </w:rPr>
      </w:pPr>
      <w:r>
        <w:rPr>
          <w:rFonts w:eastAsiaTheme="minorEastAsia"/>
          <w:color w:val="000000" w:themeColor="text1"/>
          <w:sz w:val="28"/>
          <w:szCs w:val="28"/>
        </w:rPr>
        <w:t xml:space="preserve">    污水的絮凝时间较天然水絮凝时间短，形成的絮体较轻，不易沉淀，宜根据实际运行经验，提出混凝沉淀设计参数。</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滤池的设计，应符合下列规定：</w:t>
      </w:r>
    </w:p>
    <w:p>
      <w:pPr>
        <w:widowControl/>
        <w:wordWrap w:val="0"/>
        <w:ind w:firstLine="568" w:firstLineChars="202"/>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滤池的进水SS宜小于20mg/L；</w:t>
      </w:r>
    </w:p>
    <w:p>
      <w:pPr>
        <w:wordWrap w:val="0"/>
        <w:ind w:firstLine="570"/>
        <w:rPr>
          <w:rFonts w:eastAsiaTheme="minorEastAsia"/>
          <w:color w:val="000000" w:themeColor="text1"/>
          <w:sz w:val="28"/>
          <w:szCs w:val="28"/>
        </w:rPr>
      </w:pPr>
      <w:r>
        <w:rPr>
          <w:rFonts w:eastAsiaTheme="minorEastAsia"/>
          <w:b/>
          <w:color w:val="000000" w:themeColor="text1"/>
          <w:sz w:val="28"/>
          <w:szCs w:val="28"/>
        </w:rPr>
        <w:t xml:space="preserve">2 </w:t>
      </w:r>
      <w:r>
        <w:rPr>
          <w:rFonts w:eastAsiaTheme="minorEastAsia"/>
          <w:color w:val="000000" w:themeColor="text1"/>
          <w:sz w:val="28"/>
          <w:szCs w:val="28"/>
        </w:rPr>
        <w:t>滤池宜设有冲洗滤池表面污垢和泡沫的冲洗水管；</w:t>
      </w:r>
    </w:p>
    <w:p>
      <w:pPr>
        <w:wordWrap w:val="0"/>
        <w:ind w:firstLine="570"/>
        <w:rPr>
          <w:rFonts w:eastAsiaTheme="minorEastAsia"/>
          <w:color w:val="000000" w:themeColor="text1"/>
          <w:sz w:val="28"/>
          <w:szCs w:val="28"/>
        </w:rPr>
      </w:pPr>
      <w:r>
        <w:rPr>
          <w:rFonts w:eastAsiaTheme="minorEastAsia"/>
          <w:b/>
          <w:color w:val="000000" w:themeColor="text1"/>
          <w:sz w:val="28"/>
          <w:szCs w:val="28"/>
        </w:rPr>
        <w:t xml:space="preserve">3 </w:t>
      </w:r>
      <w:r>
        <w:rPr>
          <w:rFonts w:eastAsiaTheme="minorEastAsia"/>
          <w:color w:val="000000" w:themeColor="text1"/>
          <w:sz w:val="28"/>
          <w:szCs w:val="28"/>
        </w:rPr>
        <w:t>滤池宜采取预加氯等措施。</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【条文说明】</w:t>
      </w:r>
      <w:r>
        <w:rPr>
          <w:rFonts w:eastAsiaTheme="minorEastAsia"/>
          <w:b/>
          <w:color w:val="000000" w:themeColor="text1"/>
          <w:sz w:val="28"/>
          <w:szCs w:val="28"/>
        </w:rPr>
        <w:t>1</w:t>
      </w:r>
      <w:r>
        <w:rPr>
          <w:rFonts w:eastAsiaTheme="minorEastAsia"/>
          <w:color w:val="000000" w:themeColor="text1"/>
          <w:sz w:val="28"/>
          <w:szCs w:val="28"/>
        </w:rPr>
        <w:t xml:space="preserve"> 为避免滤池填料堵塞，影响过滤效果，因此滤池的进水SS宜小于20mg/L。</w:t>
      </w:r>
    </w:p>
    <w:p>
      <w:pPr>
        <w:wordWrap w:val="0"/>
        <w:ind w:firstLine="57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根据国内工程实践经验，在适宜的水温、充足的阳光作用下，滤池存在藻类滋生的现象，因此宜采取预加氯等措施加以控制。</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石英砂滤料滤池、无烟煤和石英砂双层滤料滤池的设计，应符合下列规定：</w:t>
      </w:r>
    </w:p>
    <w:p>
      <w:pPr>
        <w:widowControl/>
        <w:wordWrap w:val="0"/>
        <w:ind w:firstLine="568" w:firstLineChars="202"/>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采用均匀级配石英砂滤料的V型滤池，滤料厚度宜采用l000mm～1300mm，滤速宜为5m/h～8m/h，</w:t>
      </w:r>
      <w:r>
        <w:rPr>
          <w:rFonts w:eastAsiaTheme="minorEastAsia"/>
          <w:sz w:val="28"/>
          <w:szCs w:val="28"/>
        </w:rPr>
        <w:t>应设气水联合反冲洗和表面扫洗辅助系统，表面扫洗强度宜为2L/(m</w:t>
      </w:r>
      <w:r>
        <w:rPr>
          <w:rFonts w:eastAsiaTheme="minorEastAsia"/>
          <w:sz w:val="28"/>
          <w:szCs w:val="28"/>
          <w:vertAlign w:val="superscript"/>
        </w:rPr>
        <w:t>2</w:t>
      </w:r>
      <w:r>
        <w:rPr>
          <w:rFonts w:eastAsiaTheme="minorEastAsia"/>
          <w:sz w:val="28"/>
          <w:szCs w:val="28"/>
        </w:rPr>
        <w:t>·s)～3L/(m</w:t>
      </w:r>
      <w:r>
        <w:rPr>
          <w:rFonts w:eastAsiaTheme="minorEastAsia"/>
          <w:sz w:val="28"/>
          <w:szCs w:val="28"/>
          <w:vertAlign w:val="superscript"/>
        </w:rPr>
        <w:t>2</w:t>
      </w:r>
      <w:r>
        <w:rPr>
          <w:rFonts w:eastAsiaTheme="minorEastAsia"/>
          <w:sz w:val="28"/>
          <w:szCs w:val="28"/>
        </w:rPr>
        <w:t>·s)。单独气冲强度宜为13L/(m</w:t>
      </w:r>
      <w:r>
        <w:rPr>
          <w:rFonts w:eastAsiaTheme="minorEastAsia"/>
          <w:sz w:val="28"/>
          <w:szCs w:val="28"/>
          <w:vertAlign w:val="superscript"/>
        </w:rPr>
        <w:t>2</w:t>
      </w:r>
      <w:r>
        <w:rPr>
          <w:rFonts w:eastAsiaTheme="minorEastAsia"/>
          <w:sz w:val="28"/>
          <w:szCs w:val="28"/>
        </w:rPr>
        <w:t>·s)～17L/(m</w:t>
      </w:r>
      <w:r>
        <w:rPr>
          <w:rFonts w:eastAsiaTheme="minorEastAsia"/>
          <w:sz w:val="28"/>
          <w:szCs w:val="28"/>
          <w:vertAlign w:val="superscript"/>
        </w:rPr>
        <w:t>2</w:t>
      </w:r>
      <w:r>
        <w:rPr>
          <w:rFonts w:eastAsiaTheme="minorEastAsia"/>
          <w:sz w:val="28"/>
          <w:szCs w:val="28"/>
        </w:rPr>
        <w:t>·s)，历时2min～4min；气水联合冲洗时气冲强度宜为13L/(m</w:t>
      </w:r>
      <w:r>
        <w:rPr>
          <w:rFonts w:eastAsiaTheme="minorEastAsia"/>
          <w:sz w:val="28"/>
          <w:szCs w:val="28"/>
          <w:vertAlign w:val="superscript"/>
        </w:rPr>
        <w:t>2</w:t>
      </w:r>
      <w:r>
        <w:rPr>
          <w:rFonts w:eastAsiaTheme="minorEastAsia"/>
          <w:sz w:val="28"/>
          <w:szCs w:val="28"/>
        </w:rPr>
        <w:t>·s)～17L/(m</w:t>
      </w:r>
      <w:r>
        <w:rPr>
          <w:rFonts w:eastAsiaTheme="minorEastAsia"/>
          <w:sz w:val="28"/>
          <w:szCs w:val="28"/>
          <w:vertAlign w:val="superscript"/>
        </w:rPr>
        <w:t>2</w:t>
      </w:r>
      <w:r>
        <w:rPr>
          <w:rFonts w:eastAsiaTheme="minorEastAsia"/>
          <w:sz w:val="28"/>
          <w:szCs w:val="28"/>
        </w:rPr>
        <w:t>·s)，单独水水冲强度宜为2L/(m</w:t>
      </w:r>
      <w:r>
        <w:rPr>
          <w:rFonts w:eastAsiaTheme="minorEastAsia"/>
          <w:sz w:val="28"/>
          <w:szCs w:val="28"/>
          <w:vertAlign w:val="superscript"/>
        </w:rPr>
        <w:t>2</w:t>
      </w:r>
      <w:r>
        <w:rPr>
          <w:rFonts w:eastAsiaTheme="minorEastAsia"/>
          <w:sz w:val="28"/>
          <w:szCs w:val="28"/>
        </w:rPr>
        <w:t>·s)～3L/(m</w:t>
      </w:r>
      <w:r>
        <w:rPr>
          <w:rFonts w:eastAsiaTheme="minorEastAsia"/>
          <w:sz w:val="28"/>
          <w:szCs w:val="28"/>
          <w:vertAlign w:val="superscript"/>
        </w:rPr>
        <w:t>2</w:t>
      </w:r>
      <w:r>
        <w:rPr>
          <w:rFonts w:eastAsiaTheme="minorEastAsia"/>
          <w:sz w:val="28"/>
          <w:szCs w:val="28"/>
        </w:rPr>
        <w:t>·s)，历时3min～4min，冲强度宜为4L/(m</w:t>
      </w:r>
      <w:r>
        <w:rPr>
          <w:rFonts w:eastAsiaTheme="minorEastAsia"/>
          <w:sz w:val="28"/>
          <w:szCs w:val="28"/>
          <w:vertAlign w:val="superscript"/>
        </w:rPr>
        <w:t>2</w:t>
      </w:r>
      <w:r>
        <w:rPr>
          <w:rFonts w:eastAsiaTheme="minorEastAsia"/>
          <w:sz w:val="28"/>
          <w:szCs w:val="28"/>
        </w:rPr>
        <w:t>·s)～6L/(m</w:t>
      </w:r>
      <w:r>
        <w:rPr>
          <w:rFonts w:eastAsiaTheme="minorEastAsia"/>
          <w:sz w:val="28"/>
          <w:szCs w:val="28"/>
          <w:vertAlign w:val="superscript"/>
        </w:rPr>
        <w:t>2</w:t>
      </w:r>
      <w:r>
        <w:rPr>
          <w:rFonts w:eastAsiaTheme="minorEastAsia"/>
          <w:sz w:val="28"/>
          <w:szCs w:val="28"/>
        </w:rPr>
        <w:t>·s)，历时 5min～8min。滤池的过滤周期应为12h～24h。</w:t>
      </w:r>
    </w:p>
    <w:p>
      <w:pPr>
        <w:widowControl/>
        <w:wordWrap w:val="0"/>
        <w:ind w:firstLine="568" w:firstLineChars="202"/>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无烟煤和石英砂双层滤料滤池，滤速宜为 5m/h～l0m/h，</w:t>
      </w:r>
      <w:r>
        <w:rPr>
          <w:rFonts w:eastAsiaTheme="minorEastAsia"/>
          <w:sz w:val="28"/>
          <w:szCs w:val="28"/>
        </w:rPr>
        <w:t>宜采用先气冲洗后水冲洗方式，气冲强度</w:t>
      </w:r>
      <w:r>
        <w:rPr>
          <w:rFonts w:hint="eastAsia" w:eastAsiaTheme="minorEastAsia"/>
          <w:sz w:val="28"/>
          <w:szCs w:val="28"/>
        </w:rPr>
        <w:t>宜为</w:t>
      </w:r>
      <w:r>
        <w:rPr>
          <w:rFonts w:eastAsiaTheme="minorEastAsia"/>
          <w:sz w:val="28"/>
          <w:szCs w:val="28"/>
        </w:rPr>
        <w:t>15L/(m</w:t>
      </w:r>
      <w:r>
        <w:rPr>
          <w:rFonts w:eastAsiaTheme="minorEastAsia"/>
          <w:sz w:val="28"/>
          <w:szCs w:val="28"/>
          <w:vertAlign w:val="superscript"/>
        </w:rPr>
        <w:t>2</w:t>
      </w:r>
      <w:r>
        <w:rPr>
          <w:rFonts w:eastAsiaTheme="minorEastAsia"/>
          <w:sz w:val="28"/>
          <w:szCs w:val="28"/>
        </w:rPr>
        <w:t>·s)～20L/(m</w:t>
      </w:r>
      <w:r>
        <w:rPr>
          <w:rFonts w:eastAsiaTheme="minorEastAsia"/>
          <w:sz w:val="28"/>
          <w:szCs w:val="28"/>
          <w:vertAlign w:val="superscript"/>
        </w:rPr>
        <w:t>2</w:t>
      </w:r>
      <w:r>
        <w:rPr>
          <w:rFonts w:eastAsiaTheme="minorEastAsia"/>
          <w:sz w:val="28"/>
          <w:szCs w:val="28"/>
        </w:rPr>
        <w:t>·s)，历时1min～3min；水冲强度宜为6.5L/(m</w:t>
      </w:r>
      <w:r>
        <w:rPr>
          <w:rFonts w:eastAsiaTheme="minorEastAsia"/>
          <w:sz w:val="28"/>
          <w:szCs w:val="28"/>
          <w:vertAlign w:val="superscript"/>
        </w:rPr>
        <w:t>2</w:t>
      </w:r>
      <w:r>
        <w:rPr>
          <w:rFonts w:eastAsiaTheme="minorEastAsia"/>
          <w:sz w:val="28"/>
          <w:szCs w:val="28"/>
        </w:rPr>
        <w:t>·s)～10L/(m</w:t>
      </w:r>
      <w:r>
        <w:rPr>
          <w:rFonts w:eastAsiaTheme="minorEastAsia"/>
          <w:sz w:val="28"/>
          <w:szCs w:val="28"/>
          <w:vertAlign w:val="superscript"/>
        </w:rPr>
        <w:t>2</w:t>
      </w:r>
      <w:r>
        <w:rPr>
          <w:rFonts w:eastAsiaTheme="minorEastAsia"/>
          <w:sz w:val="28"/>
          <w:szCs w:val="28"/>
        </w:rPr>
        <w:t>·s)，历时5min～6min。</w:t>
      </w:r>
      <w:r>
        <w:rPr>
          <w:rFonts w:eastAsiaTheme="minorEastAsia"/>
          <w:color w:val="000000" w:themeColor="text1"/>
          <w:sz w:val="28"/>
          <w:szCs w:val="28"/>
        </w:rPr>
        <w:t xml:space="preserve"> </w:t>
      </w:r>
    </w:p>
    <w:p>
      <w:pPr>
        <w:widowControl/>
        <w:wordWrap w:val="0"/>
        <w:ind w:firstLine="568" w:firstLineChars="202"/>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单层细砂滤料滤池，滤速宜为4m/h～6m/h，</w:t>
      </w:r>
      <w:r>
        <w:rPr>
          <w:rFonts w:eastAsiaTheme="minorEastAsia"/>
          <w:sz w:val="28"/>
          <w:szCs w:val="28"/>
        </w:rPr>
        <w:t>宜采用先气冲洗后水冲洗方式，气冲强度宜为15L/(m</w:t>
      </w:r>
      <w:r>
        <w:rPr>
          <w:rFonts w:eastAsiaTheme="minorEastAsia"/>
          <w:sz w:val="28"/>
          <w:szCs w:val="28"/>
          <w:vertAlign w:val="superscript"/>
        </w:rPr>
        <w:t>2</w:t>
      </w:r>
      <w:r>
        <w:rPr>
          <w:rFonts w:eastAsiaTheme="minorEastAsia"/>
          <w:sz w:val="28"/>
          <w:szCs w:val="28"/>
        </w:rPr>
        <w:t>·s)～20L/(m</w:t>
      </w:r>
      <w:r>
        <w:rPr>
          <w:rFonts w:eastAsiaTheme="minorEastAsia"/>
          <w:sz w:val="28"/>
          <w:szCs w:val="28"/>
          <w:vertAlign w:val="superscript"/>
        </w:rPr>
        <w:t>2</w:t>
      </w:r>
      <w:r>
        <w:rPr>
          <w:rFonts w:eastAsiaTheme="minorEastAsia"/>
          <w:sz w:val="28"/>
          <w:szCs w:val="28"/>
        </w:rPr>
        <w:t>·s)，历时1min～3min；水冲强度宜为8L/(m</w:t>
      </w:r>
      <w:r>
        <w:rPr>
          <w:rFonts w:eastAsiaTheme="minorEastAsia"/>
          <w:sz w:val="28"/>
          <w:szCs w:val="28"/>
          <w:vertAlign w:val="superscript"/>
        </w:rPr>
        <w:t>2</w:t>
      </w:r>
      <w:r>
        <w:rPr>
          <w:rFonts w:eastAsiaTheme="minorEastAsia"/>
          <w:sz w:val="28"/>
          <w:szCs w:val="28"/>
        </w:rPr>
        <w:t>·s)～10L/(m</w:t>
      </w:r>
      <w:r>
        <w:rPr>
          <w:rFonts w:eastAsiaTheme="minorEastAsia"/>
          <w:sz w:val="28"/>
          <w:szCs w:val="28"/>
          <w:vertAlign w:val="superscript"/>
        </w:rPr>
        <w:t>2</w:t>
      </w:r>
      <w:r>
        <w:rPr>
          <w:rFonts w:eastAsiaTheme="minorEastAsia"/>
          <w:sz w:val="28"/>
          <w:szCs w:val="28"/>
        </w:rPr>
        <w:t>·s)，历时5min～7min。</w:t>
      </w:r>
      <w:r>
        <w:rPr>
          <w:rFonts w:eastAsiaTheme="minorEastAsia"/>
          <w:color w:val="000000" w:themeColor="text1"/>
          <w:sz w:val="28"/>
          <w:szCs w:val="28"/>
        </w:rPr>
        <w:t xml:space="preserve"> </w:t>
      </w:r>
    </w:p>
    <w:p>
      <w:pPr>
        <w:widowControl/>
        <w:wordWrap w:val="0"/>
        <w:ind w:firstLine="568" w:firstLineChars="202"/>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滤池的构造、滤料组成等宜符合现行国家标准《室外给水设计标准》GB50013的</w:t>
      </w:r>
      <w:r>
        <w:rPr>
          <w:rFonts w:hint="eastAsia" w:eastAsiaTheme="minorEastAsia"/>
          <w:color w:val="000000" w:themeColor="text1"/>
          <w:sz w:val="28"/>
          <w:szCs w:val="28"/>
        </w:rPr>
        <w:t>有</w:t>
      </w:r>
      <w:r>
        <w:rPr>
          <w:rFonts w:eastAsiaTheme="minorEastAsia"/>
          <w:color w:val="000000" w:themeColor="text1"/>
          <w:sz w:val="28"/>
          <w:szCs w:val="28"/>
        </w:rPr>
        <w:t>关规定。</w:t>
      </w:r>
    </w:p>
    <w:p>
      <w:pPr>
        <w:wordWrap w:val="0"/>
        <w:rPr>
          <w:rFonts w:eastAsiaTheme="minorEastAsia"/>
          <w:color w:val="000000" w:themeColor="text1"/>
          <w:sz w:val="28"/>
          <w:szCs w:val="28"/>
        </w:rPr>
      </w:pPr>
      <w:r>
        <w:rPr>
          <w:rFonts w:eastAsiaTheme="minorEastAsia"/>
          <w:color w:val="000000" w:themeColor="text1"/>
          <w:sz w:val="28"/>
          <w:szCs w:val="28"/>
        </w:rPr>
        <w:t>【条文说明】用于污水深度处理的滤池与给水处理的池形没有大的差异，因此，在污水深度处理中可以参照给水处理的滤池设计参数进行选用。</w:t>
      </w:r>
    </w:p>
    <w:p>
      <w:pPr>
        <w:wordWrap w:val="0"/>
        <w:rPr>
          <w:rFonts w:eastAsiaTheme="minorEastAsia"/>
          <w:color w:val="000000" w:themeColor="text1"/>
          <w:sz w:val="28"/>
          <w:szCs w:val="28"/>
        </w:rPr>
      </w:pPr>
      <w:r>
        <w:rPr>
          <w:rFonts w:eastAsiaTheme="minorEastAsia"/>
          <w:color w:val="000000" w:themeColor="text1"/>
          <w:sz w:val="28"/>
          <w:szCs w:val="28"/>
        </w:rPr>
        <w:t xml:space="preserve">    滤池的设计参数，主要根据目前国内外的实际运行情况和《污水再生利用工程设计规范》GB50335以及有关资料的内容确定。</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转盘滤池的设计，应符合下列规定： </w:t>
      </w:r>
    </w:p>
    <w:p>
      <w:pPr>
        <w:widowControl/>
        <w:wordWrap w:val="0"/>
        <w:ind w:firstLine="568" w:firstLineChars="202"/>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滤速宜为8-10m/h；</w:t>
      </w:r>
    </w:p>
    <w:p>
      <w:pPr>
        <w:widowControl/>
        <w:wordWrap w:val="0"/>
        <w:ind w:firstLine="568" w:firstLineChars="202"/>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反冲洗水压力：过滤介质采用不锈钢丝网时</w:t>
      </w:r>
      <w:r>
        <w:rPr>
          <w:rFonts w:hint="eastAsia" w:eastAsiaTheme="minorEastAsia"/>
          <w:color w:val="000000" w:themeColor="text1"/>
          <w:sz w:val="28"/>
          <w:szCs w:val="28"/>
        </w:rPr>
        <w:t>宜？</w:t>
      </w:r>
      <w:r>
        <w:rPr>
          <w:rFonts w:eastAsiaTheme="minorEastAsia"/>
          <w:color w:val="000000" w:themeColor="text1"/>
          <w:sz w:val="28"/>
          <w:szCs w:val="28"/>
        </w:rPr>
        <w:t>为60-100m，采用滤布时</w:t>
      </w:r>
      <w:r>
        <w:rPr>
          <w:rFonts w:hint="eastAsia" w:eastAsiaTheme="minorEastAsia"/>
          <w:color w:val="000000" w:themeColor="text1"/>
          <w:sz w:val="28"/>
          <w:szCs w:val="28"/>
        </w:rPr>
        <w:t>宜？</w:t>
      </w:r>
      <w:r>
        <w:rPr>
          <w:rFonts w:eastAsiaTheme="minorEastAsia"/>
          <w:color w:val="000000" w:themeColor="text1"/>
          <w:sz w:val="28"/>
          <w:szCs w:val="28"/>
        </w:rPr>
        <w:t>为7m-15m；</w:t>
      </w:r>
    </w:p>
    <w:p>
      <w:pPr>
        <w:widowControl/>
        <w:wordWrap w:val="0"/>
        <w:ind w:firstLine="568" w:firstLineChars="202"/>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冲洗前水头损失宜为0.2m～0.4m；</w:t>
      </w:r>
    </w:p>
    <w:p>
      <w:pPr>
        <w:widowControl/>
        <w:wordWrap w:val="0"/>
        <w:ind w:firstLine="568" w:firstLineChars="202"/>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滤池前宜设可靠的沉淀措施。</w:t>
      </w:r>
    </w:p>
    <w:p>
      <w:pPr>
        <w:autoSpaceDE w:val="0"/>
        <w:autoSpaceDN w:val="0"/>
        <w:spacing w:line="240" w:lineRule="auto"/>
        <w:jc w:val="left"/>
        <w:textAlignment w:val="auto"/>
        <w:rPr>
          <w:rFonts w:eastAsiaTheme="minorEastAsia"/>
          <w:color w:val="000000" w:themeColor="text1"/>
          <w:sz w:val="28"/>
          <w:szCs w:val="28"/>
        </w:rPr>
      </w:pPr>
      <w:r>
        <w:rPr>
          <w:rFonts w:eastAsiaTheme="minorEastAsia"/>
          <w:color w:val="000000" w:themeColor="text1"/>
          <w:sz w:val="28"/>
          <w:szCs w:val="28"/>
        </w:rPr>
        <w:t>【条文说明】转盘滤池是一种表面过滤方式，冲洗能耗低，过滤水头小，占地面积小，维护使用简便。</w:t>
      </w:r>
    </w:p>
    <w:p>
      <w:pPr>
        <w:widowControl/>
        <w:wordWrap w:val="0"/>
        <w:ind w:firstLine="565" w:firstLineChars="202"/>
        <w:rPr>
          <w:rFonts w:eastAsiaTheme="minorEastAsia"/>
          <w:color w:val="000000" w:themeColor="text1"/>
          <w:sz w:val="28"/>
          <w:szCs w:val="28"/>
        </w:rPr>
      </w:pPr>
      <w:r>
        <w:rPr>
          <w:rFonts w:eastAsiaTheme="minorEastAsia"/>
          <w:color w:val="000000" w:themeColor="text1"/>
          <w:sz w:val="28"/>
          <w:szCs w:val="28"/>
        </w:rPr>
        <w:t>滤池的设计参数，主要根据目前国内外的实际运行情况和《污水再生利用工程设计规范》GB50335确定。</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污水厂二级处理出水经混凝、沉淀、过滤后，仍不能达到再生水水质要求时，可采用活性炭吸附处理。</w:t>
      </w:r>
    </w:p>
    <w:p>
      <w:pPr>
        <w:widowControl/>
        <w:wordWrap w:val="0"/>
        <w:rPr>
          <w:rFonts w:eastAsiaTheme="minorEastAsia"/>
          <w:color w:val="000000" w:themeColor="text1"/>
          <w:sz w:val="28"/>
          <w:szCs w:val="28"/>
        </w:rPr>
      </w:pPr>
      <w:r>
        <w:rPr>
          <w:rFonts w:eastAsiaTheme="minorEastAsia"/>
          <w:color w:val="000000" w:themeColor="text1"/>
          <w:sz w:val="28"/>
          <w:szCs w:val="28"/>
        </w:rPr>
        <w:t>【条文说明】因活性炭吸附处理的投资和运行费用相对较高，所以，在城镇污水再生利用中应慎重采用。在常规的处理工艺不能满足再生水水质要求或对水质有特殊要求时，为进一步提高水质，可采用活性炭吸附处理工艺。</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活性炭吸附处理的设计，宜符合下列规定：</w:t>
      </w:r>
    </w:p>
    <w:p>
      <w:pPr>
        <w:widowControl/>
        <w:wordWrap w:val="0"/>
        <w:ind w:firstLine="565" w:firstLineChars="201"/>
        <w:rPr>
          <w:rFonts w:eastAsiaTheme="minorEastAsia"/>
          <w:color w:val="000000" w:themeColor="text1"/>
          <w:sz w:val="28"/>
          <w:szCs w:val="28"/>
        </w:rPr>
      </w:pPr>
      <w:r>
        <w:rPr>
          <w:rFonts w:eastAsiaTheme="minorEastAsia"/>
          <w:b/>
          <w:bCs/>
          <w:color w:val="000000" w:themeColor="text1"/>
          <w:sz w:val="28"/>
          <w:szCs w:val="28"/>
        </w:rPr>
        <w:t xml:space="preserve">1 </w:t>
      </w:r>
      <w:r>
        <w:rPr>
          <w:rFonts w:eastAsiaTheme="minorEastAsia"/>
          <w:color w:val="000000" w:themeColor="text1"/>
          <w:sz w:val="28"/>
          <w:szCs w:val="28"/>
        </w:rPr>
        <w:t>采用活性炭吸附工艺时，宜进行静态或动态试验，合理确定活性炭的用量、接触时间、水力负荷和再生周期；</w:t>
      </w:r>
    </w:p>
    <w:p>
      <w:pPr>
        <w:widowControl/>
        <w:wordWrap w:val="0"/>
        <w:ind w:firstLine="565" w:firstLineChars="201"/>
        <w:rPr>
          <w:rFonts w:eastAsiaTheme="minorEastAsia"/>
          <w:color w:val="000000" w:themeColor="text1"/>
          <w:sz w:val="28"/>
          <w:szCs w:val="28"/>
        </w:rPr>
      </w:pPr>
      <w:r>
        <w:rPr>
          <w:rFonts w:eastAsiaTheme="minorEastAsia"/>
          <w:b/>
          <w:bCs/>
          <w:color w:val="000000" w:themeColor="text1"/>
          <w:sz w:val="28"/>
          <w:szCs w:val="28"/>
        </w:rPr>
        <w:t xml:space="preserve">2 </w:t>
      </w:r>
      <w:r>
        <w:rPr>
          <w:rFonts w:eastAsiaTheme="minorEastAsia"/>
          <w:color w:val="000000" w:themeColor="text1"/>
          <w:sz w:val="28"/>
          <w:szCs w:val="28"/>
        </w:rPr>
        <w:t>采用活性炭吸附池的设计参数宜根据试验资料确定，无试验资料时，可按下列标准采用：</w:t>
      </w:r>
    </w:p>
    <w:p>
      <w:pPr>
        <w:widowControl/>
        <w:wordWrap w:val="0"/>
        <w:ind w:firstLine="562" w:firstLineChars="201"/>
        <w:rPr>
          <w:rFonts w:eastAsiaTheme="minorEastAsia"/>
          <w:color w:val="000000" w:themeColor="text1"/>
          <w:sz w:val="28"/>
          <w:szCs w:val="28"/>
        </w:rPr>
      </w:pPr>
      <w:r>
        <w:rPr>
          <w:rFonts w:eastAsiaTheme="minorEastAsia"/>
          <w:bCs/>
          <w:color w:val="000000" w:themeColor="text1"/>
          <w:sz w:val="28"/>
          <w:szCs w:val="28"/>
        </w:rPr>
        <w:t>1）</w:t>
      </w:r>
      <w:r>
        <w:rPr>
          <w:rFonts w:eastAsiaTheme="minorEastAsia"/>
          <w:color w:val="000000" w:themeColor="text1"/>
          <w:sz w:val="28"/>
          <w:szCs w:val="28"/>
        </w:rPr>
        <w:t>空床接触时间</w:t>
      </w:r>
      <w:r>
        <w:rPr>
          <w:rFonts w:hint="eastAsia" w:eastAsiaTheme="minorEastAsia"/>
          <w:color w:val="000000" w:themeColor="text1"/>
          <w:sz w:val="28"/>
          <w:szCs w:val="28"/>
        </w:rPr>
        <w:t>宜</w:t>
      </w:r>
      <w:r>
        <w:rPr>
          <w:rFonts w:eastAsiaTheme="minorEastAsia"/>
          <w:color w:val="000000" w:themeColor="text1"/>
          <w:sz w:val="28"/>
          <w:szCs w:val="28"/>
        </w:rPr>
        <w:t>为20min～30min；</w:t>
      </w:r>
    </w:p>
    <w:p>
      <w:pPr>
        <w:widowControl/>
        <w:wordWrap w:val="0"/>
        <w:ind w:firstLine="562" w:firstLineChars="201"/>
        <w:rPr>
          <w:rFonts w:eastAsiaTheme="minorEastAsia"/>
          <w:color w:val="000000" w:themeColor="text1"/>
          <w:sz w:val="28"/>
          <w:szCs w:val="28"/>
        </w:rPr>
      </w:pPr>
      <w:r>
        <w:rPr>
          <w:rFonts w:eastAsiaTheme="minorEastAsia"/>
          <w:bCs/>
          <w:color w:val="000000" w:themeColor="text1"/>
          <w:sz w:val="28"/>
          <w:szCs w:val="28"/>
        </w:rPr>
        <w:t>2）</w:t>
      </w:r>
      <w:r>
        <w:rPr>
          <w:rFonts w:eastAsiaTheme="minorEastAsia"/>
          <w:color w:val="000000" w:themeColor="text1"/>
          <w:sz w:val="28"/>
          <w:szCs w:val="28"/>
        </w:rPr>
        <w:t>炭层厚度</w:t>
      </w:r>
      <w:r>
        <w:rPr>
          <w:rFonts w:hint="eastAsia" w:eastAsiaTheme="minorEastAsia"/>
          <w:color w:val="000000" w:themeColor="text1"/>
          <w:sz w:val="28"/>
          <w:szCs w:val="28"/>
        </w:rPr>
        <w:t>宜</w:t>
      </w:r>
      <w:r>
        <w:rPr>
          <w:rFonts w:eastAsiaTheme="minorEastAsia"/>
          <w:color w:val="000000" w:themeColor="text1"/>
          <w:sz w:val="28"/>
          <w:szCs w:val="28"/>
        </w:rPr>
        <w:t>为3m～4m；</w:t>
      </w:r>
    </w:p>
    <w:p>
      <w:pPr>
        <w:widowControl/>
        <w:wordWrap w:val="0"/>
        <w:ind w:firstLine="562" w:firstLineChars="201"/>
        <w:rPr>
          <w:rFonts w:eastAsiaTheme="minorEastAsia"/>
          <w:color w:val="000000" w:themeColor="text1"/>
          <w:sz w:val="28"/>
          <w:szCs w:val="28"/>
        </w:rPr>
      </w:pPr>
      <w:r>
        <w:rPr>
          <w:rFonts w:eastAsiaTheme="minorEastAsia"/>
          <w:bCs/>
          <w:color w:val="000000" w:themeColor="text1"/>
          <w:sz w:val="28"/>
          <w:szCs w:val="28"/>
        </w:rPr>
        <w:t>3）</w:t>
      </w:r>
      <w:r>
        <w:rPr>
          <w:rFonts w:eastAsiaTheme="minorEastAsia"/>
          <w:color w:val="000000" w:themeColor="text1"/>
          <w:sz w:val="28"/>
          <w:szCs w:val="28"/>
        </w:rPr>
        <w:t>下向流的空床滤速</w:t>
      </w:r>
      <w:r>
        <w:rPr>
          <w:rFonts w:hint="eastAsia" w:eastAsiaTheme="minorEastAsia"/>
          <w:color w:val="000000" w:themeColor="text1"/>
          <w:sz w:val="28"/>
          <w:szCs w:val="28"/>
        </w:rPr>
        <w:t>宜</w:t>
      </w:r>
      <w:r>
        <w:rPr>
          <w:rFonts w:eastAsiaTheme="minorEastAsia"/>
          <w:color w:val="000000" w:themeColor="text1"/>
          <w:sz w:val="28"/>
          <w:szCs w:val="28"/>
        </w:rPr>
        <w:t>为7m/h～12m/h；</w:t>
      </w:r>
    </w:p>
    <w:p>
      <w:pPr>
        <w:widowControl/>
        <w:wordWrap w:val="0"/>
        <w:ind w:firstLine="562" w:firstLineChars="201"/>
        <w:rPr>
          <w:rFonts w:eastAsiaTheme="minorEastAsia"/>
          <w:color w:val="000000" w:themeColor="text1"/>
          <w:sz w:val="28"/>
          <w:szCs w:val="28"/>
        </w:rPr>
      </w:pPr>
      <w:r>
        <w:rPr>
          <w:rFonts w:eastAsiaTheme="minorEastAsia"/>
          <w:color w:val="000000" w:themeColor="text1"/>
          <w:sz w:val="28"/>
          <w:szCs w:val="28"/>
        </w:rPr>
        <w:t>4）炭层最终水头损失</w:t>
      </w:r>
      <w:r>
        <w:rPr>
          <w:rFonts w:hint="eastAsia" w:eastAsiaTheme="minorEastAsia"/>
          <w:color w:val="000000" w:themeColor="text1"/>
          <w:sz w:val="28"/>
          <w:szCs w:val="28"/>
        </w:rPr>
        <w:t>宜</w:t>
      </w:r>
      <w:r>
        <w:rPr>
          <w:rFonts w:eastAsiaTheme="minorEastAsia"/>
          <w:color w:val="000000" w:themeColor="text1"/>
          <w:sz w:val="28"/>
          <w:szCs w:val="28"/>
        </w:rPr>
        <w:t>为0.4m～1.0m；</w:t>
      </w:r>
    </w:p>
    <w:p>
      <w:pPr>
        <w:widowControl/>
        <w:wordWrap w:val="0"/>
        <w:ind w:firstLine="562" w:firstLineChars="201"/>
        <w:rPr>
          <w:rFonts w:eastAsiaTheme="minorEastAsia"/>
          <w:color w:val="000000" w:themeColor="text1"/>
          <w:sz w:val="28"/>
          <w:szCs w:val="28"/>
        </w:rPr>
      </w:pPr>
      <w:r>
        <w:rPr>
          <w:rFonts w:eastAsiaTheme="minorEastAsia"/>
          <w:bCs/>
          <w:color w:val="000000" w:themeColor="text1"/>
          <w:sz w:val="28"/>
          <w:szCs w:val="28"/>
        </w:rPr>
        <w:t>5）</w:t>
      </w:r>
      <w:r>
        <w:rPr>
          <w:rFonts w:eastAsiaTheme="minorEastAsia"/>
          <w:color w:val="000000" w:themeColor="text1"/>
          <w:sz w:val="28"/>
          <w:szCs w:val="28"/>
        </w:rPr>
        <w:t>常温下经常性冲洗时，水冲洗强度</w:t>
      </w:r>
      <w:r>
        <w:rPr>
          <w:rFonts w:hint="eastAsia" w:eastAsiaTheme="minorEastAsia"/>
          <w:color w:val="000000" w:themeColor="text1"/>
          <w:sz w:val="28"/>
          <w:szCs w:val="28"/>
        </w:rPr>
        <w:t>宜</w:t>
      </w:r>
      <w:r>
        <w:rPr>
          <w:rFonts w:eastAsiaTheme="minorEastAsia"/>
          <w:color w:val="000000" w:themeColor="text1"/>
          <w:sz w:val="28"/>
          <w:szCs w:val="28"/>
        </w:rPr>
        <w:t>为11L/（m</w:t>
      </w:r>
      <w:r>
        <w:rPr>
          <w:rFonts w:eastAsiaTheme="minorEastAsia"/>
          <w:color w:val="000000" w:themeColor="text1"/>
          <w:sz w:val="28"/>
          <w:szCs w:val="28"/>
          <w:vertAlign w:val="superscript"/>
        </w:rPr>
        <w:t>2</w:t>
      </w:r>
      <w:r>
        <w:rPr>
          <w:rFonts w:eastAsiaTheme="minorEastAsia"/>
          <w:color w:val="000000" w:themeColor="text1"/>
          <w:sz w:val="28"/>
          <w:szCs w:val="28"/>
        </w:rPr>
        <w:t>·s）～13L/（m</w:t>
      </w:r>
      <w:r>
        <w:rPr>
          <w:rFonts w:eastAsiaTheme="minorEastAsia"/>
          <w:color w:val="000000" w:themeColor="text1"/>
          <w:sz w:val="28"/>
          <w:szCs w:val="28"/>
          <w:vertAlign w:val="superscript"/>
        </w:rPr>
        <w:t>2</w:t>
      </w:r>
      <w:r>
        <w:rPr>
          <w:rFonts w:eastAsiaTheme="minorEastAsia"/>
          <w:color w:val="000000" w:themeColor="text1"/>
          <w:sz w:val="28"/>
          <w:szCs w:val="28"/>
        </w:rPr>
        <w:t>·s），历时10min～15min，膨胀率15%～20%，定期大流量冲洗时，水冲洗强度</w:t>
      </w:r>
      <w:r>
        <w:rPr>
          <w:rFonts w:hint="eastAsia" w:eastAsiaTheme="minorEastAsia"/>
          <w:color w:val="000000" w:themeColor="text1"/>
          <w:sz w:val="28"/>
          <w:szCs w:val="28"/>
        </w:rPr>
        <w:t>宜</w:t>
      </w:r>
      <w:r>
        <w:rPr>
          <w:rFonts w:eastAsiaTheme="minorEastAsia"/>
          <w:color w:val="000000" w:themeColor="text1"/>
          <w:sz w:val="28"/>
          <w:szCs w:val="28"/>
        </w:rPr>
        <w:t>为15L/（m</w:t>
      </w:r>
      <w:r>
        <w:rPr>
          <w:rFonts w:eastAsiaTheme="minorEastAsia"/>
          <w:color w:val="000000" w:themeColor="text1"/>
          <w:sz w:val="28"/>
          <w:szCs w:val="28"/>
          <w:vertAlign w:val="superscript"/>
        </w:rPr>
        <w:t>2</w:t>
      </w:r>
      <w:r>
        <w:rPr>
          <w:rFonts w:eastAsiaTheme="minorEastAsia"/>
          <w:color w:val="000000" w:themeColor="text1"/>
          <w:sz w:val="28"/>
          <w:szCs w:val="28"/>
        </w:rPr>
        <w:t>·s）～18L/（m</w:t>
      </w:r>
      <w:r>
        <w:rPr>
          <w:rFonts w:eastAsiaTheme="minorEastAsia"/>
          <w:color w:val="000000" w:themeColor="text1"/>
          <w:sz w:val="28"/>
          <w:szCs w:val="28"/>
          <w:vertAlign w:val="superscript"/>
        </w:rPr>
        <w:t>2</w:t>
      </w:r>
      <w:r>
        <w:rPr>
          <w:rFonts w:eastAsiaTheme="minorEastAsia"/>
          <w:color w:val="000000" w:themeColor="text1"/>
          <w:sz w:val="28"/>
          <w:szCs w:val="28"/>
        </w:rPr>
        <w:t>·s），历时8min～12min，膨胀率</w:t>
      </w:r>
      <w:r>
        <w:rPr>
          <w:rFonts w:hint="eastAsia" w:eastAsiaTheme="minorEastAsia"/>
          <w:color w:val="000000" w:themeColor="text1"/>
          <w:sz w:val="28"/>
          <w:szCs w:val="28"/>
        </w:rPr>
        <w:t>宜</w:t>
      </w:r>
      <w:r>
        <w:rPr>
          <w:rFonts w:eastAsiaTheme="minorEastAsia"/>
          <w:color w:val="000000" w:themeColor="text1"/>
          <w:sz w:val="28"/>
          <w:szCs w:val="28"/>
        </w:rPr>
        <w:t>为25%～35%。活性炭再生周期由处理后出水水质是否超过水质目标值确定，一般经常性冲洗周期</w:t>
      </w:r>
      <w:r>
        <w:rPr>
          <w:rFonts w:hint="eastAsia" w:eastAsiaTheme="minorEastAsia"/>
          <w:color w:val="000000" w:themeColor="text1"/>
          <w:sz w:val="28"/>
          <w:szCs w:val="28"/>
        </w:rPr>
        <w:t>宜</w:t>
      </w:r>
      <w:r>
        <w:rPr>
          <w:rFonts w:eastAsiaTheme="minorEastAsia"/>
          <w:color w:val="000000" w:themeColor="text1"/>
          <w:sz w:val="28"/>
          <w:szCs w:val="28"/>
        </w:rPr>
        <w:t>为3d～5d。冲洗水可用砂滤水或炭滤水，冲洗水浊度宜小于5NTU；</w:t>
      </w:r>
    </w:p>
    <w:p>
      <w:pPr>
        <w:widowControl/>
        <w:wordWrap w:val="0"/>
        <w:ind w:firstLine="565" w:firstLineChars="201"/>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活性炭吸附罐的设计参数宜根据试验资料确定，无试验资料时，可按下列标准确定：</w:t>
      </w:r>
    </w:p>
    <w:p>
      <w:pPr>
        <w:widowControl/>
        <w:wordWrap w:val="0"/>
        <w:ind w:firstLine="562" w:firstLineChars="201"/>
        <w:rPr>
          <w:rFonts w:eastAsiaTheme="minorEastAsia"/>
          <w:color w:val="000000" w:themeColor="text1"/>
          <w:sz w:val="28"/>
          <w:szCs w:val="28"/>
        </w:rPr>
      </w:pPr>
      <w:r>
        <w:rPr>
          <w:rFonts w:eastAsiaTheme="minorEastAsia"/>
          <w:bCs/>
          <w:color w:val="000000" w:themeColor="text1"/>
          <w:sz w:val="28"/>
          <w:szCs w:val="28"/>
        </w:rPr>
        <w:t>1）</w:t>
      </w:r>
      <w:r>
        <w:rPr>
          <w:rFonts w:eastAsiaTheme="minorEastAsia"/>
          <w:color w:val="000000" w:themeColor="text1"/>
          <w:sz w:val="28"/>
          <w:szCs w:val="28"/>
        </w:rPr>
        <w:t>接触时间</w:t>
      </w:r>
      <w:r>
        <w:rPr>
          <w:rFonts w:hint="eastAsia" w:eastAsiaTheme="minorEastAsia"/>
          <w:color w:val="000000" w:themeColor="text1"/>
          <w:sz w:val="28"/>
          <w:szCs w:val="28"/>
        </w:rPr>
        <w:t>宜</w:t>
      </w:r>
      <w:r>
        <w:rPr>
          <w:rFonts w:eastAsiaTheme="minorEastAsia"/>
          <w:color w:val="000000" w:themeColor="text1"/>
          <w:sz w:val="28"/>
          <w:szCs w:val="28"/>
        </w:rPr>
        <w:t>为20min～35min；</w:t>
      </w:r>
    </w:p>
    <w:p>
      <w:pPr>
        <w:widowControl/>
        <w:wordWrap w:val="0"/>
        <w:ind w:firstLine="562" w:firstLineChars="201"/>
        <w:rPr>
          <w:rFonts w:eastAsiaTheme="minorEastAsia"/>
          <w:color w:val="000000" w:themeColor="text1"/>
          <w:sz w:val="28"/>
          <w:szCs w:val="28"/>
        </w:rPr>
      </w:pPr>
      <w:r>
        <w:rPr>
          <w:rFonts w:eastAsiaTheme="minorEastAsia"/>
          <w:bCs/>
          <w:color w:val="000000" w:themeColor="text1"/>
          <w:sz w:val="28"/>
          <w:szCs w:val="28"/>
        </w:rPr>
        <w:t>2）</w:t>
      </w:r>
      <w:r>
        <w:rPr>
          <w:rFonts w:eastAsiaTheme="minorEastAsia"/>
          <w:color w:val="000000" w:themeColor="text1"/>
          <w:sz w:val="28"/>
          <w:szCs w:val="28"/>
        </w:rPr>
        <w:t>吸附罐的最小高度与直径之比可为2:1，罐径为1m～4m，最小炭层厚度</w:t>
      </w:r>
      <w:r>
        <w:rPr>
          <w:rFonts w:hint="eastAsia" w:eastAsiaTheme="minorEastAsia"/>
          <w:color w:val="000000" w:themeColor="text1"/>
          <w:sz w:val="28"/>
          <w:szCs w:val="28"/>
        </w:rPr>
        <w:t>宜</w:t>
      </w:r>
      <w:r>
        <w:rPr>
          <w:rFonts w:eastAsiaTheme="minorEastAsia"/>
          <w:color w:val="000000" w:themeColor="text1"/>
          <w:sz w:val="28"/>
          <w:szCs w:val="28"/>
        </w:rPr>
        <w:t>为3m，一般可为4.5m～6m；</w:t>
      </w:r>
    </w:p>
    <w:p>
      <w:pPr>
        <w:widowControl/>
        <w:wordWrap w:val="0"/>
        <w:ind w:firstLine="562" w:firstLineChars="201"/>
        <w:rPr>
          <w:rFonts w:eastAsiaTheme="minorEastAsia"/>
          <w:color w:val="000000" w:themeColor="text1"/>
          <w:sz w:val="28"/>
          <w:szCs w:val="28"/>
        </w:rPr>
      </w:pPr>
      <w:r>
        <w:rPr>
          <w:rFonts w:eastAsiaTheme="minorEastAsia"/>
          <w:bCs/>
          <w:color w:val="000000" w:themeColor="text1"/>
          <w:sz w:val="28"/>
          <w:szCs w:val="28"/>
        </w:rPr>
        <w:t>3）</w:t>
      </w:r>
      <w:r>
        <w:rPr>
          <w:rFonts w:eastAsiaTheme="minorEastAsia"/>
          <w:color w:val="000000" w:themeColor="text1"/>
          <w:sz w:val="28"/>
          <w:szCs w:val="28"/>
        </w:rPr>
        <w:t>升流式水力负荷</w:t>
      </w:r>
      <w:r>
        <w:rPr>
          <w:rFonts w:hint="eastAsia" w:eastAsiaTheme="minorEastAsia"/>
          <w:color w:val="000000" w:themeColor="text1"/>
          <w:sz w:val="28"/>
          <w:szCs w:val="28"/>
        </w:rPr>
        <w:t>宜</w:t>
      </w:r>
      <w:r>
        <w:rPr>
          <w:rFonts w:eastAsiaTheme="minorEastAsia"/>
          <w:color w:val="000000" w:themeColor="text1"/>
          <w:sz w:val="28"/>
          <w:szCs w:val="28"/>
        </w:rPr>
        <w:t>为2.5L/（m</w:t>
      </w:r>
      <w:r>
        <w:rPr>
          <w:rFonts w:eastAsiaTheme="minorEastAsia"/>
          <w:color w:val="000000" w:themeColor="text1"/>
          <w:sz w:val="28"/>
          <w:szCs w:val="28"/>
          <w:vertAlign w:val="superscript"/>
        </w:rPr>
        <w:t>2</w:t>
      </w:r>
      <w:r>
        <w:rPr>
          <w:rFonts w:eastAsiaTheme="minorEastAsia"/>
          <w:color w:val="000000" w:themeColor="text1"/>
          <w:sz w:val="28"/>
          <w:szCs w:val="28"/>
        </w:rPr>
        <w:t>·s）～6.8L/（m</w:t>
      </w:r>
      <w:r>
        <w:rPr>
          <w:rFonts w:eastAsiaTheme="minorEastAsia"/>
          <w:color w:val="000000" w:themeColor="text1"/>
          <w:sz w:val="28"/>
          <w:szCs w:val="28"/>
          <w:vertAlign w:val="superscript"/>
        </w:rPr>
        <w:t>2</w:t>
      </w:r>
      <w:r>
        <w:rPr>
          <w:rFonts w:eastAsiaTheme="minorEastAsia"/>
          <w:color w:val="000000" w:themeColor="text1"/>
          <w:sz w:val="28"/>
          <w:szCs w:val="28"/>
        </w:rPr>
        <w:t>·s），降流式水力负荷</w:t>
      </w:r>
      <w:r>
        <w:rPr>
          <w:rFonts w:hint="eastAsia" w:eastAsiaTheme="minorEastAsia"/>
          <w:color w:val="000000" w:themeColor="text1"/>
          <w:sz w:val="28"/>
          <w:szCs w:val="28"/>
        </w:rPr>
        <w:t>宜</w:t>
      </w:r>
      <w:r>
        <w:rPr>
          <w:rFonts w:eastAsiaTheme="minorEastAsia"/>
          <w:color w:val="000000" w:themeColor="text1"/>
          <w:sz w:val="28"/>
          <w:szCs w:val="28"/>
        </w:rPr>
        <w:t>为2.0L/（m</w:t>
      </w:r>
      <w:r>
        <w:rPr>
          <w:rFonts w:eastAsiaTheme="minorEastAsia"/>
          <w:color w:val="000000" w:themeColor="text1"/>
          <w:sz w:val="28"/>
          <w:szCs w:val="28"/>
          <w:vertAlign w:val="superscript"/>
        </w:rPr>
        <w:t>2</w:t>
      </w:r>
      <w:r>
        <w:rPr>
          <w:rFonts w:eastAsiaTheme="minorEastAsia"/>
          <w:color w:val="000000" w:themeColor="text1"/>
          <w:sz w:val="28"/>
          <w:szCs w:val="28"/>
        </w:rPr>
        <w:t>·s）～3.3L/（m</w:t>
      </w:r>
      <w:r>
        <w:rPr>
          <w:rFonts w:eastAsiaTheme="minorEastAsia"/>
          <w:color w:val="000000" w:themeColor="text1"/>
          <w:sz w:val="28"/>
          <w:szCs w:val="28"/>
          <w:vertAlign w:val="superscript"/>
        </w:rPr>
        <w:t>2</w:t>
      </w:r>
      <w:r>
        <w:rPr>
          <w:rFonts w:eastAsiaTheme="minorEastAsia"/>
          <w:color w:val="000000" w:themeColor="text1"/>
          <w:sz w:val="28"/>
          <w:szCs w:val="28"/>
        </w:rPr>
        <w:t>·s）；</w:t>
      </w:r>
    </w:p>
    <w:p>
      <w:pPr>
        <w:widowControl/>
        <w:wordWrap w:val="0"/>
        <w:ind w:firstLine="562" w:firstLineChars="201"/>
        <w:rPr>
          <w:rFonts w:eastAsiaTheme="minorEastAsia"/>
          <w:color w:val="000000" w:themeColor="text1"/>
          <w:sz w:val="28"/>
          <w:szCs w:val="28"/>
        </w:rPr>
      </w:pPr>
      <w:r>
        <w:rPr>
          <w:rFonts w:eastAsiaTheme="minorEastAsia"/>
          <w:bCs/>
          <w:color w:val="000000" w:themeColor="text1"/>
          <w:sz w:val="28"/>
          <w:szCs w:val="28"/>
        </w:rPr>
        <w:t>4）</w:t>
      </w:r>
      <w:r>
        <w:rPr>
          <w:rFonts w:eastAsiaTheme="minorEastAsia"/>
          <w:color w:val="000000" w:themeColor="text1"/>
          <w:sz w:val="28"/>
          <w:szCs w:val="28"/>
        </w:rPr>
        <w:t>操作压力</w:t>
      </w:r>
      <w:r>
        <w:rPr>
          <w:rFonts w:hint="eastAsia" w:eastAsiaTheme="minorEastAsia"/>
          <w:color w:val="000000" w:themeColor="text1"/>
          <w:sz w:val="28"/>
          <w:szCs w:val="28"/>
        </w:rPr>
        <w:t>宜</w:t>
      </w:r>
      <w:r>
        <w:rPr>
          <w:rFonts w:eastAsiaTheme="minorEastAsia"/>
          <w:color w:val="000000" w:themeColor="text1"/>
          <w:sz w:val="28"/>
          <w:szCs w:val="28"/>
        </w:rPr>
        <w:t>每0.3m炭层7kPa。</w:t>
      </w:r>
    </w:p>
    <w:p>
      <w:pPr>
        <w:wordWrap w:val="0"/>
        <w:rPr>
          <w:rFonts w:eastAsiaTheme="minorEastAsia"/>
          <w:color w:val="000000" w:themeColor="text1"/>
          <w:sz w:val="28"/>
          <w:szCs w:val="28"/>
        </w:rPr>
      </w:pPr>
      <w:r>
        <w:rPr>
          <w:rFonts w:eastAsiaTheme="minorEastAsia"/>
          <w:color w:val="000000" w:themeColor="text1"/>
          <w:sz w:val="28"/>
          <w:szCs w:val="28"/>
        </w:rPr>
        <w:t>【条文说明】活性炭吸附池的设计参数原则上应根据原水和再生水水质要求，根据试验资料或结合实际运行资料确定。本条按运行经验提出正常情况下可采用的参数。</w:t>
      </w:r>
    </w:p>
    <w:p>
      <w:pPr>
        <w:pStyle w:val="30"/>
        <w:numPr>
          <w:ilvl w:val="0"/>
          <w:numId w:val="45"/>
        </w:numPr>
        <w:wordWrap w:val="0"/>
        <w:spacing w:line="360" w:lineRule="auto"/>
        <w:ind w:left="0" w:firstLine="0" w:firstLineChars="0"/>
        <w:rPr>
          <w:rFonts w:ascii="Times New Roman" w:hAnsi="Times New Roman" w:eastAsiaTheme="minorEastAsia"/>
          <w:color w:val="000000"/>
          <w:sz w:val="28"/>
          <w:szCs w:val="28"/>
        </w:rPr>
      </w:pPr>
      <w:r>
        <w:rPr>
          <w:rFonts w:ascii="Times New Roman" w:hAnsi="Times New Roman" w:eastAsiaTheme="minorEastAsia"/>
          <w:color w:val="000000"/>
          <w:sz w:val="28"/>
          <w:szCs w:val="28"/>
        </w:rPr>
        <w:t>去除水中色度、嗅味及有毒有害及难降解有机物，可采用臭氧氧化技术，设计参数宜通过试验确定，无试验资料时，应符合下列规定：</w:t>
      </w:r>
    </w:p>
    <w:p>
      <w:pPr>
        <w:widowControl/>
        <w:wordWrap w:val="0"/>
        <w:ind w:firstLine="565" w:firstLineChars="201"/>
        <w:rPr>
          <w:rFonts w:eastAsiaTheme="minorEastAsia"/>
          <w:bCs/>
          <w:color w:val="000000"/>
          <w:sz w:val="28"/>
          <w:szCs w:val="28"/>
        </w:rPr>
      </w:pPr>
      <w:r>
        <w:rPr>
          <w:rFonts w:eastAsiaTheme="minorEastAsia"/>
          <w:b/>
          <w:bCs/>
          <w:color w:val="000000"/>
          <w:sz w:val="28"/>
          <w:szCs w:val="28"/>
        </w:rPr>
        <w:t>1</w:t>
      </w:r>
      <w:r>
        <w:rPr>
          <w:rFonts w:eastAsiaTheme="minorEastAsia"/>
          <w:bCs/>
          <w:color w:val="000000"/>
          <w:sz w:val="28"/>
          <w:szCs w:val="28"/>
        </w:rPr>
        <w:t xml:space="preserve"> 臭氧投量宜大于3mg/L，接触时间宜为5min～60min，接触池应加盖密封，并应设呼吸阀及安全阀；</w:t>
      </w:r>
    </w:p>
    <w:p>
      <w:pPr>
        <w:widowControl/>
        <w:wordWrap w:val="0"/>
        <w:ind w:firstLine="565" w:firstLineChars="201"/>
        <w:rPr>
          <w:rFonts w:eastAsiaTheme="minorEastAsia"/>
          <w:bCs/>
          <w:color w:val="000000"/>
          <w:sz w:val="28"/>
          <w:szCs w:val="28"/>
        </w:rPr>
      </w:pPr>
      <w:r>
        <w:rPr>
          <w:rFonts w:eastAsiaTheme="minorEastAsia"/>
          <w:b/>
          <w:bCs/>
          <w:color w:val="000000"/>
          <w:sz w:val="28"/>
          <w:szCs w:val="28"/>
        </w:rPr>
        <w:t>2</w:t>
      </w:r>
      <w:r>
        <w:rPr>
          <w:rFonts w:eastAsiaTheme="minorEastAsia"/>
          <w:bCs/>
          <w:color w:val="000000"/>
          <w:sz w:val="28"/>
          <w:szCs w:val="28"/>
        </w:rPr>
        <w:t xml:space="preserve"> 臭氧氧化系统中应设臭氧尾气消除装置；</w:t>
      </w:r>
    </w:p>
    <w:p>
      <w:pPr>
        <w:widowControl/>
        <w:wordWrap w:val="0"/>
        <w:ind w:firstLine="565" w:firstLineChars="201"/>
        <w:rPr>
          <w:rFonts w:eastAsiaTheme="minorEastAsia"/>
          <w:bCs/>
          <w:color w:val="000000"/>
          <w:sz w:val="28"/>
          <w:szCs w:val="28"/>
        </w:rPr>
      </w:pPr>
      <w:r>
        <w:rPr>
          <w:rFonts w:eastAsiaTheme="minorEastAsia"/>
          <w:b/>
          <w:bCs/>
          <w:color w:val="000000"/>
          <w:sz w:val="28"/>
          <w:szCs w:val="28"/>
        </w:rPr>
        <w:t>3</w:t>
      </w:r>
      <w:r>
        <w:rPr>
          <w:rFonts w:eastAsiaTheme="minorEastAsia"/>
          <w:bCs/>
          <w:color w:val="000000"/>
          <w:sz w:val="28"/>
          <w:szCs w:val="28"/>
        </w:rPr>
        <w:t xml:space="preserve"> 所有与臭氧气体或溶解有臭氧的水体接触的材料应耐臭氧腐蚀；</w:t>
      </w:r>
    </w:p>
    <w:p>
      <w:pPr>
        <w:pStyle w:val="30"/>
        <w:wordWrap w:val="0"/>
        <w:spacing w:line="360" w:lineRule="auto"/>
        <w:ind w:firstLine="565" w:firstLineChars="201"/>
        <w:rPr>
          <w:rFonts w:ascii="Times New Roman" w:hAnsi="Times New Roman" w:eastAsiaTheme="minorEastAsia"/>
          <w:bCs/>
          <w:color w:val="000000"/>
          <w:sz w:val="28"/>
          <w:szCs w:val="28"/>
        </w:rPr>
      </w:pPr>
      <w:r>
        <w:rPr>
          <w:rFonts w:ascii="Times New Roman" w:hAnsi="Times New Roman" w:eastAsiaTheme="minorEastAsia"/>
          <w:b/>
          <w:bCs/>
          <w:color w:val="000000"/>
          <w:sz w:val="28"/>
          <w:szCs w:val="28"/>
        </w:rPr>
        <w:t>4</w:t>
      </w:r>
      <w:r>
        <w:rPr>
          <w:rFonts w:ascii="Times New Roman" w:hAnsi="Times New Roman" w:eastAsiaTheme="minorEastAsia"/>
          <w:bCs/>
          <w:color w:val="000000"/>
          <w:sz w:val="28"/>
          <w:szCs w:val="28"/>
        </w:rPr>
        <w:t xml:space="preserve"> 可根据当地情况采用不同氧源的发生器。氧源及臭氧发生装置系统、臭氧接触池的设计应符合现行国家标准《室外给水设计标准》GB 50013的有关规定；</w:t>
      </w:r>
    </w:p>
    <w:p>
      <w:pPr>
        <w:widowControl/>
        <w:wordWrap w:val="0"/>
        <w:ind w:firstLine="565" w:firstLineChars="201"/>
        <w:rPr>
          <w:rFonts w:eastAsiaTheme="minorEastAsia"/>
          <w:bCs/>
          <w:color w:val="000000" w:themeColor="text1"/>
          <w:sz w:val="28"/>
          <w:szCs w:val="28"/>
        </w:rPr>
      </w:pPr>
      <w:r>
        <w:rPr>
          <w:rFonts w:eastAsiaTheme="minorEastAsia"/>
          <w:b/>
          <w:bCs/>
          <w:color w:val="000000"/>
          <w:sz w:val="28"/>
          <w:szCs w:val="28"/>
        </w:rPr>
        <w:t>5</w:t>
      </w:r>
      <w:r>
        <w:rPr>
          <w:rFonts w:eastAsiaTheme="minorEastAsia"/>
          <w:bCs/>
          <w:color w:val="000000"/>
          <w:sz w:val="28"/>
          <w:szCs w:val="28"/>
        </w:rPr>
        <w:t xml:space="preserve"> 臭氧氧化工艺中臭氧投加量较大或再生水规模较大时，臭氧尾气的利用应通过技术经济分析确定。</w:t>
      </w:r>
    </w:p>
    <w:p>
      <w:pPr>
        <w:widowControl/>
        <w:wordWrap w:val="0"/>
        <w:ind w:firstLine="562" w:firstLineChars="201"/>
        <w:rPr>
          <w:rFonts w:eastAsiaTheme="minorEastAsia"/>
          <w:color w:val="000000" w:themeColor="text1"/>
          <w:sz w:val="28"/>
          <w:szCs w:val="28"/>
        </w:rPr>
      </w:pPr>
      <w:r>
        <w:rPr>
          <w:rFonts w:eastAsiaTheme="minorEastAsia"/>
          <w:color w:val="000000" w:themeColor="text1"/>
          <w:sz w:val="28"/>
          <w:szCs w:val="28"/>
        </w:rPr>
        <w:t>【条文说明】臭氧的投加量和接触时间应根据采用臭氧处理的目的确定，根据国内工程实践，当臭氧作为脱色剂或去除嗅味时，臭氧的接触时间一般不宜小于5min。当需进一步氧化去除难以生物降解的有机物时，宜加大臭氧投加量和延长接触时间。</w:t>
      </w:r>
    </w:p>
    <w:p>
      <w:pPr>
        <w:widowControl/>
        <w:wordWrap w:val="0"/>
        <w:spacing w:line="360" w:lineRule="auto"/>
        <w:jc w:val="center"/>
        <w:rPr>
          <w:rFonts w:eastAsiaTheme="minorEastAsia"/>
          <w:bCs/>
          <w:color w:val="000000" w:themeColor="text1"/>
          <w:sz w:val="28"/>
          <w:szCs w:val="28"/>
        </w:rPr>
      </w:pPr>
      <w:bookmarkStart w:id="61" w:name="_Toc74992755"/>
      <w:r>
        <w:rPr>
          <w:rFonts w:eastAsiaTheme="minorEastAsia"/>
          <w:bCs/>
          <w:color w:val="000000" w:themeColor="text1"/>
          <w:sz w:val="28"/>
          <w:szCs w:val="28"/>
        </w:rPr>
        <w:t>III  输配水</w:t>
      </w:r>
      <w:bookmarkEnd w:id="61"/>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再生水管道敷设及其附属设施的设应符合现行国家标准《室外给水设计标准》GB50013的有关规定。</w:t>
      </w:r>
    </w:p>
    <w:p>
      <w:pPr>
        <w:wordWrap w:val="0"/>
        <w:rPr>
          <w:rFonts w:eastAsiaTheme="minorEastAsia"/>
          <w:color w:val="000000" w:themeColor="text1"/>
          <w:sz w:val="28"/>
          <w:szCs w:val="28"/>
        </w:rPr>
      </w:pPr>
      <w:r>
        <w:rPr>
          <w:rFonts w:eastAsiaTheme="minorEastAsia"/>
          <w:color w:val="000000" w:themeColor="text1"/>
          <w:sz w:val="28"/>
          <w:szCs w:val="28"/>
        </w:rPr>
        <w:t>【条文说明】再生水管道和给水管道的铺设原则上无大的差异，因此，再生水输配管道设计可参照现行国家标准《室外给水设计标准》GB 50013执行。</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sz w:val="28"/>
          <w:szCs w:val="28"/>
        </w:rPr>
        <w:t>再生水输配水管道平面和竖向布置，应按城镇相关专项规划确定，并应符合现行国家标准《城市工程管线综合规划规范》GB 50289的有关规定。</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w:t>
      </w:r>
      <w:r>
        <w:rPr>
          <w:rFonts w:ascii="Times New Roman" w:hAnsi="Times New Roman" w:eastAsiaTheme="minorEastAsia"/>
          <w:color w:val="000000"/>
          <w:sz w:val="28"/>
          <w:szCs w:val="28"/>
        </w:rPr>
        <w:t>再生水管道和给水管道的铺设无原则上的差异，再生水管线的平面位置和竖向位置一般由城镇总体规划及给排水、道路等专项规划确定，并按现行国家标准《城市工程管线综合规划规范》GB 50289的有关规定进行管线综合设计。</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污水再生处理厂宜靠近污水厂或再生水用户。有条件时再生水处理设施应与污水厂集中建设。</w:t>
      </w:r>
    </w:p>
    <w:p>
      <w:pPr>
        <w:wordWrap w:val="0"/>
        <w:rPr>
          <w:rFonts w:eastAsiaTheme="minorEastAsia"/>
          <w:color w:val="000000" w:themeColor="text1"/>
          <w:sz w:val="28"/>
          <w:szCs w:val="28"/>
        </w:rPr>
      </w:pPr>
      <w:r>
        <w:rPr>
          <w:rFonts w:eastAsiaTheme="minorEastAsia"/>
          <w:color w:val="000000" w:themeColor="text1"/>
          <w:sz w:val="28"/>
          <w:szCs w:val="28"/>
        </w:rPr>
        <w:t>【条文说明】为减少污水厂出水的输送距离，便于再生处理设施的管理，一般宜与城镇污水厂集中建设；同时，再生处理设施应尽量靠近再生水用户，以节省输配水管道的长度。</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输配水干管应根据再生水用户的用水特点和安全性要求，合理确定干管的数量，不能断水用户的配水干管不宜少于两条。再生水管道应具有安全和监控水质的措施。</w:t>
      </w:r>
    </w:p>
    <w:p>
      <w:pPr>
        <w:wordWrap w:val="0"/>
        <w:rPr>
          <w:rFonts w:eastAsiaTheme="minorEastAsia"/>
          <w:color w:val="000000" w:themeColor="text1"/>
          <w:sz w:val="28"/>
          <w:szCs w:val="28"/>
        </w:rPr>
      </w:pPr>
      <w:r>
        <w:rPr>
          <w:rFonts w:eastAsiaTheme="minorEastAsia"/>
          <w:color w:val="000000" w:themeColor="text1"/>
          <w:sz w:val="28"/>
          <w:szCs w:val="28"/>
        </w:rPr>
        <w:t>【条文说明】再生水输配水管道的数量和布置与用户的用水特点及重要性有密切关系，一般比城镇供水的保证率低，应具体分析实际情况合理确定。</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输配水管道材料的选择应根据水压、外部荷载、土壤性质、施工维护和材料供应等条件，经技术经济比较确定。一般可采用塑料管、承插式预应力钢筋混凝土管和承插式自应力钢筋混凝土管等非金属管道或金属管道。采用金属管道时应进行管道的防腐。</w:t>
      </w:r>
    </w:p>
    <w:p>
      <w:pPr>
        <w:pStyle w:val="30"/>
        <w:numPr>
          <w:ilvl w:val="0"/>
          <w:numId w:val="45"/>
        </w:numPr>
        <w:wordWrap w:val="0"/>
        <w:spacing w:line="360" w:lineRule="auto"/>
        <w:ind w:left="0" w:firstLine="0" w:firstLineChars="0"/>
        <w:rPr>
          <w:rFonts w:ascii="Times New Roman" w:hAnsi="Times New Roman" w:eastAsiaTheme="minorEastAsia"/>
          <w:color w:val="000000" w:themeColor="text1"/>
          <w:sz w:val="28"/>
          <w:szCs w:val="28"/>
        </w:rPr>
      </w:pPr>
      <w:bookmarkStart w:id="62" w:name="_Toc74992756"/>
      <w:bookmarkStart w:id="63" w:name="_Toc102292563"/>
      <w:r>
        <w:rPr>
          <w:rFonts w:ascii="Times New Roman" w:hAnsi="Times New Roman" w:eastAsiaTheme="minorEastAsia"/>
          <w:color w:val="000000" w:themeColor="text1"/>
          <w:sz w:val="28"/>
          <w:szCs w:val="28"/>
        </w:rPr>
        <w:t>管道的埋设深度应根据竖向布置、管材性能、冻土深度、外部荷载、抗浮要求及与其他管道交叉等因素确定。露天管道应有调节伸缩设施及保证管道整体稳定的措施，严寒及寒冷地区应采取防冻措施。</w:t>
      </w:r>
    </w:p>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64" w:name="_Toc515281066"/>
      <w:r>
        <w:rPr>
          <w:rFonts w:ascii="Times New Roman" w:hAnsi="Times New Roman" w:eastAsiaTheme="minorEastAsia"/>
          <w:b w:val="0"/>
          <w:color w:val="000000" w:themeColor="text1"/>
          <w:sz w:val="28"/>
          <w:szCs w:val="28"/>
        </w:rPr>
        <w:t>污水自然处理</w:t>
      </w:r>
      <w:bookmarkEnd w:id="64"/>
      <w:bookmarkStart w:id="65" w:name="_Toc74992749"/>
    </w:p>
    <w:p>
      <w:pPr>
        <w:widowControl/>
        <w:wordWrap w:val="0"/>
        <w:jc w:val="center"/>
        <w:rPr>
          <w:rFonts w:eastAsiaTheme="minorEastAsia"/>
          <w:color w:val="000000" w:themeColor="text1"/>
          <w:sz w:val="28"/>
          <w:szCs w:val="28"/>
        </w:rPr>
      </w:pPr>
      <w:r>
        <w:rPr>
          <w:rFonts w:eastAsiaTheme="minorEastAsia"/>
          <w:color w:val="000000" w:themeColor="text1"/>
          <w:sz w:val="28"/>
          <w:szCs w:val="28"/>
        </w:rPr>
        <w:t>I  一般规定</w:t>
      </w:r>
      <w:bookmarkEnd w:id="65"/>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污水量较小的城镇，在环境影响评价和技术经济比较合理时，宜</w:t>
      </w:r>
      <w:r>
        <w:rPr>
          <w:rFonts w:hint="eastAsia" w:ascii="Times New Roman" w:hAnsi="Times New Roman" w:eastAsiaTheme="minorEastAsia"/>
          <w:color w:val="000000" w:themeColor="text1"/>
          <w:sz w:val="28"/>
          <w:szCs w:val="28"/>
          <w:highlight w:val="yellow"/>
        </w:rPr>
        <w:t>审慎</w:t>
      </w:r>
      <w:r>
        <w:rPr>
          <w:rFonts w:ascii="Times New Roman" w:hAnsi="Times New Roman" w:eastAsiaTheme="minorEastAsia"/>
          <w:color w:val="000000" w:themeColor="text1"/>
          <w:sz w:val="28"/>
          <w:szCs w:val="28"/>
        </w:rPr>
        <w:t>采用污水自然处理。</w:t>
      </w:r>
    </w:p>
    <w:p>
      <w:pPr>
        <w:wordWrap w:val="0"/>
        <w:rPr>
          <w:rFonts w:eastAsiaTheme="minorEastAsia"/>
          <w:color w:val="000000" w:themeColor="text1"/>
          <w:sz w:val="28"/>
          <w:szCs w:val="28"/>
        </w:rPr>
      </w:pPr>
      <w:r>
        <w:rPr>
          <w:rFonts w:eastAsiaTheme="minorEastAsia"/>
          <w:color w:val="000000" w:themeColor="text1"/>
          <w:sz w:val="28"/>
          <w:szCs w:val="28"/>
        </w:rPr>
        <w:t>【条文说明】污水自然处理主要依靠自然的净化能力，因此必须严格进行环境影响评价，通过技术经济比较后确定。污水自然处理对环境的依赖性强，所以从建设规模上考虑，一般仅应用在污水量较小的小城镇。</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污水的自然处理</w:t>
      </w:r>
      <w:r>
        <w:rPr>
          <w:rFonts w:hint="eastAsia" w:ascii="Times New Roman" w:hAnsi="Times New Roman" w:eastAsiaTheme="minorEastAsia"/>
          <w:color w:val="000000" w:themeColor="text1"/>
          <w:sz w:val="28"/>
          <w:szCs w:val="28"/>
        </w:rPr>
        <w:t>可</w:t>
      </w:r>
      <w:r>
        <w:rPr>
          <w:rFonts w:ascii="Times New Roman" w:hAnsi="Times New Roman" w:eastAsiaTheme="minorEastAsia"/>
          <w:color w:val="000000" w:themeColor="text1"/>
          <w:sz w:val="28"/>
          <w:szCs w:val="28"/>
        </w:rPr>
        <w:t>包括人工湿地和稳定塘。</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【条文说明】随着国家对土壤环境污染的重视，土地处理已不再推荐使用。故本次修订，删除土地处理的内容。冬季会出现冰冻的地区应谨慎考虑人工湿地处理。</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污水自然处理必须考虑对周围环境以及水体的影响，不得降低周围环境的质量，应根据区域特点选择适宜的污水自然处理方式。</w:t>
      </w:r>
    </w:p>
    <w:p>
      <w:pPr>
        <w:wordWrap w:val="0"/>
        <w:rPr>
          <w:rFonts w:eastAsiaTheme="minorEastAsia"/>
          <w:color w:val="000000" w:themeColor="text1"/>
          <w:sz w:val="28"/>
          <w:szCs w:val="28"/>
        </w:rPr>
      </w:pPr>
      <w:r>
        <w:rPr>
          <w:rFonts w:eastAsiaTheme="minorEastAsia"/>
          <w:color w:val="000000" w:themeColor="text1"/>
          <w:sz w:val="28"/>
          <w:szCs w:val="28"/>
        </w:rPr>
        <w:t>【条文说明】关于污水自然处理的环境影响和方式的规定。</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污水自然处理是利用环境的净化能力进行污水处理的方法，因此，当设计不合理时会破坏环境质量，所以建设污水自然处理设施时应充分考虑环境因素，不得降低周围环境的质量。污水自然处理的方式较多，必须结合当地的自然环境条件，进行多方案的比较，在技术经济可行、满足环境评价、满足生态环境和社会环境要求的基础上，选择适宜的污水自然处理方式。</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采用自然处理，应采取有效措施，严禁污染地下水。</w:t>
      </w:r>
    </w:p>
    <w:p>
      <w:pPr>
        <w:wordWrap w:val="0"/>
        <w:rPr>
          <w:rFonts w:eastAsiaTheme="minorEastAsia"/>
          <w:color w:val="000000" w:themeColor="text1"/>
          <w:sz w:val="28"/>
          <w:szCs w:val="28"/>
        </w:rPr>
      </w:pPr>
      <w:r>
        <w:rPr>
          <w:rFonts w:eastAsiaTheme="minorEastAsia"/>
          <w:color w:val="000000" w:themeColor="text1"/>
          <w:sz w:val="28"/>
          <w:szCs w:val="28"/>
        </w:rPr>
        <w:t>【条文说明】自然处理是利用植物和微生物构建的生态群落降解污染物的一种方式，具有生态价值和景观价值，在污水深度处理和径流污染控制方面具有良好的应用前景。当处理的废水有二次污染风险时，采用自然处理应采取措施防止对地下水的污染。</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污水厂二级处理出水水质不能满足要求时，有条件的可采用自然处理技术作为深度处理。</w:t>
      </w:r>
      <w:bookmarkStart w:id="66" w:name="_Toc74992750"/>
    </w:p>
    <w:p>
      <w:pPr>
        <w:wordWrap w:val="0"/>
        <w:rPr>
          <w:rFonts w:eastAsiaTheme="minorEastAsia"/>
          <w:color w:val="000000" w:themeColor="text1"/>
          <w:sz w:val="28"/>
          <w:szCs w:val="28"/>
        </w:rPr>
      </w:pPr>
      <w:r>
        <w:rPr>
          <w:rFonts w:eastAsiaTheme="minorEastAsia"/>
          <w:color w:val="000000" w:themeColor="text1"/>
          <w:sz w:val="28"/>
          <w:szCs w:val="28"/>
        </w:rPr>
        <w:t>【条文说明】自然处理的工程投资和运行费用较低。城镇污水二级处理的出水水质一般污染物浓度较低，所以有条件时可考虑采用自然处理进行深度处理。这样，不仅可改善水质，还能够恢复水体的生态功能。</w:t>
      </w:r>
    </w:p>
    <w:p>
      <w:pPr>
        <w:widowControl/>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fldChar w:fldCharType="begin"/>
      </w:r>
      <w:r>
        <w:rPr>
          <w:rFonts w:eastAsiaTheme="minorEastAsia"/>
          <w:color w:val="000000" w:themeColor="text1"/>
          <w:sz w:val="28"/>
          <w:szCs w:val="28"/>
        </w:rPr>
        <w:instrText xml:space="preserve"> = 2 \* ROMAN </w:instrText>
      </w:r>
      <w:r>
        <w:rPr>
          <w:rFonts w:eastAsiaTheme="minorEastAsia"/>
          <w:color w:val="000000" w:themeColor="text1"/>
          <w:sz w:val="28"/>
          <w:szCs w:val="28"/>
        </w:rPr>
        <w:fldChar w:fldCharType="separate"/>
      </w:r>
      <w:r>
        <w:rPr>
          <w:rFonts w:eastAsiaTheme="minorEastAsia"/>
          <w:color w:val="000000" w:themeColor="text1"/>
          <w:sz w:val="28"/>
          <w:szCs w:val="28"/>
        </w:rPr>
        <w:t>II</w:t>
      </w:r>
      <w:r>
        <w:rPr>
          <w:rFonts w:eastAsiaTheme="minorEastAsia"/>
          <w:color w:val="000000" w:themeColor="text1"/>
          <w:sz w:val="28"/>
          <w:szCs w:val="28"/>
        </w:rPr>
        <w:fldChar w:fldCharType="end"/>
      </w:r>
      <w:r>
        <w:rPr>
          <w:rFonts w:eastAsiaTheme="minorEastAsia"/>
          <w:color w:val="000000" w:themeColor="text1"/>
          <w:sz w:val="28"/>
          <w:szCs w:val="28"/>
        </w:rPr>
        <w:t xml:space="preserve"> 人工湿地</w:t>
      </w:r>
    </w:p>
    <w:p>
      <w:pPr>
        <w:pStyle w:val="30"/>
        <w:numPr>
          <w:ilvl w:val="0"/>
          <w:numId w:val="46"/>
        </w:numPr>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采用人工湿地处理污水时，应进行预处理。预处理设施出水SS不宜超过80mg/L。</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人工湿地作为深度处理工艺的出水水质可优于城镇污水厂一级A排放标准，且景观效果较好。因此特别适合景观用水区域附近的生活污水处理或直接对受污染水体的水进行处理，此外，人工湿地可以为这些水体提供清洁的水源补充。</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污水中污染物浓度过高不利于人工湿地的处理，尤其悬浮颗粒浓度较高易引发人工湿地堵塞。因此需对人工湿地进水进行预处理，以有效降低进水污染物浓度，一般采用格栅、沉砂池或初沉池即可，当进水量较大污染物浓度很高或者对人工湿地出水要求较高时，应采用一级强化处理或二级生物处理。</w:t>
      </w:r>
    </w:p>
    <w:p>
      <w:pPr>
        <w:wordWrap w:val="0"/>
        <w:ind w:firstLine="565" w:firstLineChars="202"/>
        <w:rPr>
          <w:rFonts w:eastAsiaTheme="minorEastAsia"/>
          <w:color w:val="000000" w:themeColor="text1"/>
          <w:sz w:val="28"/>
          <w:szCs w:val="28"/>
        </w:rPr>
      </w:pPr>
      <w:r>
        <w:rPr>
          <w:rFonts w:eastAsiaTheme="minorEastAsia"/>
          <w:color w:val="000000" w:themeColor="text1"/>
          <w:sz w:val="28"/>
          <w:szCs w:val="28"/>
        </w:rPr>
        <w:t>从延长人工湿地使用寿命角度考虑，规定了人工湿地的进水SS值不宜超过80mg/L。</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人工湿地面积应按五日生化需氧量表面有机负荷确定，同时应满足水力负荷和停留时间的要求。人工湿地的主要设计参数，宜根据试验资料确定；无试验资料时，可采用经验数据或按表7.1</w:t>
      </w:r>
      <w:r>
        <w:rPr>
          <w:rFonts w:hint="eastAsia" w:ascii="Times New Roman" w:hAnsi="Times New Roman" w:eastAsiaTheme="minorEastAsia"/>
          <w:color w:val="000000" w:themeColor="text1"/>
          <w:sz w:val="28"/>
          <w:szCs w:val="28"/>
        </w:rPr>
        <w:t>2</w:t>
      </w:r>
      <w:r>
        <w:rPr>
          <w:rFonts w:ascii="Times New Roman" w:hAnsi="Times New Roman" w:eastAsiaTheme="minorEastAsia"/>
          <w:color w:val="000000" w:themeColor="text1"/>
          <w:sz w:val="28"/>
          <w:szCs w:val="28"/>
        </w:rPr>
        <w:t>.7的规定取值。</w:t>
      </w:r>
    </w:p>
    <w:p>
      <w:pPr>
        <w:wordWrap w:val="0"/>
        <w:spacing w:line="360" w:lineRule="auto"/>
        <w:jc w:val="center"/>
        <w:rPr>
          <w:rFonts w:eastAsiaTheme="minorEastAsia"/>
          <w:b/>
          <w:color w:val="000000" w:themeColor="text1"/>
          <w:sz w:val="28"/>
          <w:szCs w:val="28"/>
        </w:rPr>
      </w:pP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表7.1</w:t>
      </w:r>
      <w:r>
        <w:rPr>
          <w:rFonts w:hint="eastAsia" w:eastAsiaTheme="minorEastAsia"/>
          <w:b/>
          <w:color w:val="000000" w:themeColor="text1"/>
          <w:sz w:val="28"/>
          <w:szCs w:val="28"/>
        </w:rPr>
        <w:t>2</w:t>
      </w:r>
      <w:r>
        <w:rPr>
          <w:rFonts w:eastAsiaTheme="minorEastAsia"/>
          <w:b/>
          <w:color w:val="000000" w:themeColor="text1"/>
          <w:sz w:val="28"/>
          <w:szCs w:val="28"/>
        </w:rPr>
        <w:t>.7 人工湿地的主要设计参数</w:t>
      </w:r>
    </w:p>
    <w:tbl>
      <w:tblPr>
        <w:tblStyle w:val="25"/>
        <w:tblW w:w="8528" w:type="dxa"/>
        <w:tblInd w:w="0" w:type="dxa"/>
        <w:tblLayout w:type="fixed"/>
        <w:tblCellMar>
          <w:top w:w="0" w:type="dxa"/>
          <w:left w:w="108" w:type="dxa"/>
          <w:bottom w:w="0" w:type="dxa"/>
          <w:right w:w="108" w:type="dxa"/>
        </w:tblCellMar>
      </w:tblPr>
      <w:tblGrid>
        <w:gridCol w:w="2292"/>
        <w:gridCol w:w="1927"/>
        <w:gridCol w:w="2267"/>
        <w:gridCol w:w="2042"/>
      </w:tblGrid>
      <w:tr>
        <w:tblPrEx>
          <w:tblLayout w:type="fixed"/>
          <w:tblCellMar>
            <w:top w:w="0" w:type="dxa"/>
            <w:left w:w="108" w:type="dxa"/>
            <w:bottom w:w="0" w:type="dxa"/>
            <w:right w:w="108" w:type="dxa"/>
          </w:tblCellMar>
        </w:tblPrEx>
        <w:trPr>
          <w:trHeight w:val="360" w:hRule="atLeast"/>
        </w:trPr>
        <w:tc>
          <w:tcPr>
            <w:tcW w:w="22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人工湿地类型</w:t>
            </w:r>
          </w:p>
        </w:tc>
        <w:tc>
          <w:tcPr>
            <w:tcW w:w="1927" w:type="dxa"/>
            <w:tcBorders>
              <w:top w:val="single" w:color="auto" w:sz="4" w:space="0"/>
              <w:left w:val="nil"/>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BOD</w:t>
            </w:r>
            <w:r>
              <w:rPr>
                <w:rFonts w:eastAsiaTheme="minorEastAsia"/>
                <w:color w:val="000000" w:themeColor="text1"/>
                <w:kern w:val="0"/>
                <w:sz w:val="28"/>
                <w:szCs w:val="28"/>
                <w:vertAlign w:val="subscript"/>
              </w:rPr>
              <w:t>5</w:t>
            </w:r>
            <w:r>
              <w:rPr>
                <w:rFonts w:eastAsiaTheme="minorEastAsia"/>
                <w:color w:val="000000" w:themeColor="text1"/>
                <w:kern w:val="0"/>
                <w:sz w:val="28"/>
                <w:szCs w:val="28"/>
              </w:rPr>
              <w:t>负荷</w:t>
            </w:r>
          </w:p>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（g/m</w:t>
            </w:r>
            <w:r>
              <w:rPr>
                <w:rFonts w:eastAsiaTheme="minorEastAsia"/>
                <w:color w:val="000000" w:themeColor="text1"/>
                <w:kern w:val="0"/>
                <w:sz w:val="28"/>
                <w:szCs w:val="28"/>
                <w:vertAlign w:val="superscript"/>
              </w:rPr>
              <w:t>2</w:t>
            </w:r>
            <w:r>
              <w:rPr>
                <w:rFonts w:eastAsiaTheme="minorEastAsia"/>
                <w:color w:val="000000" w:themeColor="text1"/>
                <w:kern w:val="0"/>
                <w:sz w:val="28"/>
                <w:szCs w:val="28"/>
              </w:rPr>
              <w:t>·d)</w:t>
            </w:r>
          </w:p>
        </w:tc>
        <w:tc>
          <w:tcPr>
            <w:tcW w:w="2267" w:type="dxa"/>
            <w:tcBorders>
              <w:top w:val="single" w:color="auto" w:sz="4" w:space="0"/>
              <w:left w:val="nil"/>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水力负荷</w:t>
            </w:r>
          </w:p>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（m</w:t>
            </w:r>
            <w:r>
              <w:rPr>
                <w:rFonts w:eastAsiaTheme="minorEastAsia"/>
                <w:color w:val="000000" w:themeColor="text1"/>
                <w:kern w:val="0"/>
                <w:sz w:val="28"/>
                <w:szCs w:val="28"/>
                <w:vertAlign w:val="superscript"/>
              </w:rPr>
              <w:t>3</w:t>
            </w:r>
            <w:r>
              <w:rPr>
                <w:rFonts w:eastAsiaTheme="minorEastAsia"/>
                <w:color w:val="000000" w:themeColor="text1"/>
                <w:kern w:val="0"/>
                <w:sz w:val="28"/>
                <w:szCs w:val="28"/>
              </w:rPr>
              <w:t>/m</w:t>
            </w:r>
            <w:r>
              <w:rPr>
                <w:rFonts w:eastAsiaTheme="minorEastAsia"/>
                <w:color w:val="000000" w:themeColor="text1"/>
                <w:kern w:val="0"/>
                <w:sz w:val="28"/>
                <w:szCs w:val="28"/>
                <w:vertAlign w:val="superscript"/>
              </w:rPr>
              <w:t>2</w:t>
            </w:r>
            <w:r>
              <w:rPr>
                <w:rFonts w:eastAsiaTheme="minorEastAsia"/>
                <w:color w:val="000000" w:themeColor="text1"/>
                <w:kern w:val="0"/>
                <w:sz w:val="28"/>
                <w:szCs w:val="28"/>
              </w:rPr>
              <w:t>·d)</w:t>
            </w:r>
          </w:p>
        </w:tc>
        <w:tc>
          <w:tcPr>
            <w:tcW w:w="2042" w:type="dxa"/>
            <w:tcBorders>
              <w:top w:val="single" w:color="auto" w:sz="4" w:space="0"/>
              <w:left w:val="nil"/>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水力停留时间</w:t>
            </w:r>
          </w:p>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（d）</w:t>
            </w:r>
          </w:p>
        </w:tc>
      </w:tr>
      <w:tr>
        <w:tblPrEx>
          <w:tblLayout w:type="fixed"/>
          <w:tblCellMar>
            <w:top w:w="0" w:type="dxa"/>
            <w:left w:w="108" w:type="dxa"/>
            <w:bottom w:w="0" w:type="dxa"/>
            <w:right w:w="108" w:type="dxa"/>
          </w:tblCellMar>
        </w:tblPrEx>
        <w:trPr>
          <w:trHeight w:val="300" w:hRule="atLeast"/>
        </w:trPr>
        <w:tc>
          <w:tcPr>
            <w:tcW w:w="2292" w:type="dxa"/>
            <w:tcBorders>
              <w:top w:val="nil"/>
              <w:left w:val="single" w:color="auto" w:sz="4" w:space="0"/>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表面流人工湿地</w:t>
            </w:r>
          </w:p>
        </w:tc>
        <w:tc>
          <w:tcPr>
            <w:tcW w:w="1927" w:type="dxa"/>
            <w:tcBorders>
              <w:top w:val="nil"/>
              <w:left w:val="nil"/>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1.5~5</w:t>
            </w:r>
          </w:p>
        </w:tc>
        <w:tc>
          <w:tcPr>
            <w:tcW w:w="2267" w:type="dxa"/>
            <w:tcBorders>
              <w:top w:val="nil"/>
              <w:left w:val="nil"/>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≤0.1</w:t>
            </w:r>
          </w:p>
        </w:tc>
        <w:tc>
          <w:tcPr>
            <w:tcW w:w="2042" w:type="dxa"/>
            <w:tcBorders>
              <w:top w:val="nil"/>
              <w:left w:val="nil"/>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4~8</w:t>
            </w:r>
          </w:p>
        </w:tc>
      </w:tr>
      <w:tr>
        <w:tblPrEx>
          <w:tblLayout w:type="fixed"/>
          <w:tblCellMar>
            <w:top w:w="0" w:type="dxa"/>
            <w:left w:w="108" w:type="dxa"/>
            <w:bottom w:w="0" w:type="dxa"/>
            <w:right w:w="108" w:type="dxa"/>
          </w:tblCellMar>
        </w:tblPrEx>
        <w:trPr>
          <w:trHeight w:val="300" w:hRule="atLeast"/>
        </w:trPr>
        <w:tc>
          <w:tcPr>
            <w:tcW w:w="2292" w:type="dxa"/>
            <w:tcBorders>
              <w:top w:val="nil"/>
              <w:left w:val="single" w:color="auto" w:sz="4" w:space="0"/>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水平潜流人工湿地</w:t>
            </w:r>
          </w:p>
        </w:tc>
        <w:tc>
          <w:tcPr>
            <w:tcW w:w="1927" w:type="dxa"/>
            <w:tcBorders>
              <w:top w:val="nil"/>
              <w:left w:val="nil"/>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4~8</w:t>
            </w:r>
          </w:p>
        </w:tc>
        <w:tc>
          <w:tcPr>
            <w:tcW w:w="2267" w:type="dxa"/>
            <w:tcBorders>
              <w:top w:val="nil"/>
              <w:left w:val="nil"/>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≤0.3</w:t>
            </w:r>
          </w:p>
        </w:tc>
        <w:tc>
          <w:tcPr>
            <w:tcW w:w="2042" w:type="dxa"/>
            <w:tcBorders>
              <w:top w:val="nil"/>
              <w:left w:val="nil"/>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1~3</w:t>
            </w:r>
          </w:p>
        </w:tc>
      </w:tr>
      <w:tr>
        <w:tblPrEx>
          <w:tblLayout w:type="fixed"/>
          <w:tblCellMar>
            <w:top w:w="0" w:type="dxa"/>
            <w:left w:w="108" w:type="dxa"/>
            <w:bottom w:w="0" w:type="dxa"/>
            <w:right w:w="108" w:type="dxa"/>
          </w:tblCellMar>
        </w:tblPrEx>
        <w:trPr>
          <w:trHeight w:val="600" w:hRule="atLeast"/>
        </w:trPr>
        <w:tc>
          <w:tcPr>
            <w:tcW w:w="2292" w:type="dxa"/>
            <w:tcBorders>
              <w:top w:val="nil"/>
              <w:left w:val="single" w:color="auto" w:sz="4" w:space="0"/>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垂直潜流人工湿地</w:t>
            </w:r>
          </w:p>
        </w:tc>
        <w:tc>
          <w:tcPr>
            <w:tcW w:w="1927" w:type="dxa"/>
            <w:tcBorders>
              <w:top w:val="nil"/>
              <w:left w:val="nil"/>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5~8</w:t>
            </w:r>
          </w:p>
        </w:tc>
        <w:tc>
          <w:tcPr>
            <w:tcW w:w="2267" w:type="dxa"/>
            <w:tcBorders>
              <w:top w:val="nil"/>
              <w:left w:val="nil"/>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&lt;0.5</w:t>
            </w:r>
          </w:p>
        </w:tc>
        <w:tc>
          <w:tcPr>
            <w:tcW w:w="2042" w:type="dxa"/>
            <w:tcBorders>
              <w:top w:val="nil"/>
              <w:left w:val="nil"/>
              <w:bottom w:val="single" w:color="auto" w:sz="4" w:space="0"/>
              <w:right w:val="single" w:color="auto" w:sz="4" w:space="0"/>
            </w:tcBorders>
            <w:shd w:val="clear" w:color="auto" w:fill="auto"/>
            <w:vAlign w:val="center"/>
          </w:tcPr>
          <w:p>
            <w:pPr>
              <w:widowControl/>
              <w:wordWrap w:val="0"/>
              <w:spacing w:line="320" w:lineRule="exact"/>
              <w:jc w:val="center"/>
              <w:rPr>
                <w:rFonts w:eastAsiaTheme="minorEastAsia"/>
                <w:color w:val="000000" w:themeColor="text1"/>
                <w:kern w:val="0"/>
                <w:sz w:val="28"/>
                <w:szCs w:val="28"/>
              </w:rPr>
            </w:pPr>
            <w:r>
              <w:rPr>
                <w:rFonts w:eastAsiaTheme="minorEastAsia"/>
                <w:color w:val="000000" w:themeColor="text1"/>
                <w:kern w:val="0"/>
                <w:sz w:val="28"/>
                <w:szCs w:val="28"/>
              </w:rPr>
              <w:t>1~3</w:t>
            </w:r>
          </w:p>
        </w:tc>
      </w:tr>
    </w:tbl>
    <w:p>
      <w:pPr>
        <w:widowControl/>
        <w:wordWrap w:val="0"/>
        <w:rPr>
          <w:rFonts w:eastAsiaTheme="minorEastAsia"/>
          <w:color w:val="000000" w:themeColor="text1"/>
          <w:sz w:val="28"/>
          <w:szCs w:val="28"/>
        </w:rPr>
      </w:pPr>
      <w:r>
        <w:rPr>
          <w:rFonts w:eastAsiaTheme="minorEastAsia"/>
          <w:color w:val="000000" w:themeColor="text1"/>
          <w:sz w:val="28"/>
          <w:szCs w:val="28"/>
        </w:rPr>
        <w:t>【条文说明】人工湿地处理污水采用的类型包括表面流湿地、水平潜流湿地、垂直潜流湿地及其组合，一般将处理污水与景观相结合。采用何种方式应进过技术经济分析。因人工湿地处理污水的目标不同，目前国内人工湿地的实际数据差距较大，因此，设计参数宜由试验确定。</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人工湿地表面积设计可按有机污染物负荷和水力负荷进行计算，取两者计算结果中的较大值。人工湿地用作二级生物处理时，可取较高的有机物负荷和较低的水力负荷；用作深度处理时，可取较低的有机物负荷和较高的水力负荷。年平均温度较低的地区可适当增加水力停留时间。</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表面流人工湿地的设计，应符合下列规定：</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 xml:space="preserve"> 单池长度宜为20m~50m，单池长宽比宜为3:1~5:1；</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 xml:space="preserve"> 表面流人工湿地的水深宜取30cm~60cm；</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3</w:t>
      </w:r>
      <w:r>
        <w:rPr>
          <w:rFonts w:ascii="Times New Roman" w:hAnsi="Times New Roman" w:eastAsiaTheme="minorEastAsia"/>
          <w:color w:val="000000" w:themeColor="text1"/>
          <w:sz w:val="28"/>
          <w:szCs w:val="28"/>
        </w:rPr>
        <w:t xml:space="preserve"> 表面流人工湿地的底坡宜为0.1%~0.5%。</w:t>
      </w:r>
    </w:p>
    <w:p>
      <w:pPr>
        <w:widowControl/>
        <w:wordWrap w:val="0"/>
        <w:rPr>
          <w:rFonts w:eastAsiaTheme="minorEastAsia"/>
          <w:color w:val="000000" w:themeColor="text1"/>
          <w:sz w:val="28"/>
          <w:szCs w:val="28"/>
        </w:rPr>
      </w:pPr>
      <w:r>
        <w:rPr>
          <w:rFonts w:eastAsiaTheme="minorEastAsia"/>
          <w:color w:val="000000" w:themeColor="text1"/>
          <w:sz w:val="28"/>
          <w:szCs w:val="28"/>
        </w:rPr>
        <w:t>【条文说明】在停留时间一定的条件下，人工湿地越长，水流流速越快，污染物的沉降以及植物的拦截过滤作用均会受到影响，因此表面流人工湿地的长度不宜过大，宜小于50m。人工湿地长宽比过小时，易形成短流,因此表面流人工湿地的长宽比宜控制在3:1~5:1。</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一般认为,表面流人工湿地主体植物多采用大型挺水植物,过大的水深不利于挺水植物的生长。</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由于表面流人工湿地沿程水头损失较小，故表面流人工湿地的水力坡度一般较水平潜流人工湿地小，一般建议不大于0.5%，坡度过大会导致额外的工程投资，且末端易壅水；坡度过小时，易造成前端壅水。设计时应根据人工湿地中水生植物的种植密度进行坡度的调整。种植密度较大时应适当加大坡度。</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潜流人工湿地的设计，应符合下列规定：</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水平潜流人工湿地单元的长宽比宜为3:1~4:1；垂直潜流人工湿地单元的长宽比宜控制在3:1以下；</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规则的潜流人工湿地单元的长度宜为20m～50m。对于不规则潜流人工湿地单元，应考虑均匀布水和集水的问题；</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潜流人工湿地水深宜为0.4m～1.6m；</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潜流人工湿地的水力坡度宜为0.5%～1%。</w:t>
      </w:r>
    </w:p>
    <w:p>
      <w:pPr>
        <w:widowControl/>
        <w:wordWrap w:val="0"/>
        <w:rPr>
          <w:rFonts w:eastAsiaTheme="minorEastAsia"/>
          <w:color w:val="000000" w:themeColor="text1"/>
          <w:sz w:val="28"/>
          <w:szCs w:val="28"/>
        </w:rPr>
      </w:pPr>
      <w:r>
        <w:rPr>
          <w:rFonts w:eastAsiaTheme="minorEastAsia"/>
          <w:color w:val="000000" w:themeColor="text1"/>
          <w:sz w:val="28"/>
          <w:szCs w:val="28"/>
        </w:rPr>
        <w:t>【条文说明】基于减弱水流冲刷作用以及减小短流和壅水的可能性，水平潜流人工湿地同表面流人工湿地一样需要注意选择合适的长度和长宽比，因此单元面积受到一定的限制。</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人工湿地的集配水应均匀，宜采用穿孔管、配（集）水管、配（集）水堰等方式。</w:t>
      </w:r>
    </w:p>
    <w:p>
      <w:pPr>
        <w:widowControl/>
        <w:wordWrap w:val="0"/>
        <w:rPr>
          <w:rFonts w:eastAsiaTheme="minorEastAsia"/>
          <w:color w:val="000000" w:themeColor="text1"/>
          <w:sz w:val="28"/>
          <w:szCs w:val="28"/>
        </w:rPr>
      </w:pPr>
      <w:r>
        <w:rPr>
          <w:rFonts w:eastAsiaTheme="minorEastAsia"/>
          <w:color w:val="000000" w:themeColor="text1"/>
          <w:sz w:val="28"/>
          <w:szCs w:val="28"/>
        </w:rPr>
        <w:t>【条文说明】人工湿地的集配水系统应该保证集配水的均匀性，这样才能减少短流现象和堵塞现象的发生，从而充分发挥湿地的净化功能。</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人工湿地宜选用比表面积大、机械强度高、稳定性好、取材方便的填料。</w:t>
      </w:r>
    </w:p>
    <w:p>
      <w:pPr>
        <w:widowControl/>
        <w:wordWrap w:val="0"/>
        <w:rPr>
          <w:rFonts w:eastAsiaTheme="minorEastAsia"/>
          <w:color w:val="000000" w:themeColor="text1"/>
          <w:sz w:val="28"/>
          <w:szCs w:val="28"/>
        </w:rPr>
      </w:pPr>
      <w:r>
        <w:rPr>
          <w:rFonts w:eastAsiaTheme="minorEastAsia"/>
          <w:color w:val="000000" w:themeColor="text1"/>
          <w:sz w:val="28"/>
          <w:szCs w:val="28"/>
        </w:rPr>
        <w:t>【条文说明】人工湿地填料不仅具有吸附、过滤、沉淀等水处理功能,而且为微生物生长提供载体，因此需要填料具有尽可能大的表面积。一般地,填料的总表面积与其粒径呈反比，但如果填料的粒径过小，将会容易造成人工湿地床体的堵塞。人工湿地填料作为床体的支持骨架，应具备一定的机械强度,可有效避免床体压实堵塞。人工湿地填料需具有较好的化学稳定性，应避免缓释有毒有害物质。为降低运输成本，人工湿地填料应尽可能就地取材。</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人工湿地应以本土植物为首选，宜选用耐污能力强、根系发达、去污效果好、具有抗冻及抗病虫害能力、有一定经济价值和美化景观效果、容易管理的植物。</w:t>
      </w:r>
    </w:p>
    <w:p>
      <w:pPr>
        <w:wordWrap w:val="0"/>
        <w:rPr>
          <w:rFonts w:eastAsiaTheme="minorEastAsia"/>
          <w:color w:val="000000" w:themeColor="text1"/>
          <w:sz w:val="28"/>
          <w:szCs w:val="28"/>
        </w:rPr>
      </w:pPr>
      <w:r>
        <w:rPr>
          <w:rFonts w:eastAsiaTheme="minorEastAsia"/>
          <w:color w:val="000000" w:themeColor="text1"/>
          <w:sz w:val="28"/>
          <w:szCs w:val="28"/>
        </w:rPr>
        <w:t>【条文说明】人工湿地选择的植物应该对当地的气候条件、土壤条件和周围的动植物环境有很好的适应能力，否则难以达到理想的处理效果，一般优先选用当地或本地区存在的植物。</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湿地系统应根据湿地类型、污水性质选择耐污能力强、去污效果好、具有抗冻抗病虫害能力、容易管理的湿地植物。</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建造人工湿地时要考虑一定的经济价值和景观效果。</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表面流人工湿地可选择菖蒲、灯芯草等挺水植物；凤眼莲、浮萍、睡莲等浮水植物；伊乐藻、茨藻、金鱼藻、黑藻等沉水植物。</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潜流人工湿地可选择芦苇、蒲草、荸荠、莲、水芹、水葱、茭白、香蒲、千屈菜、菖蒲、水麦冬、风车草、灯芯草等挺水植物。</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人工湿地应在池体底部和侧面进行防渗处理，防渗层的渗透系数不应大于10</w:t>
      </w:r>
      <w:r>
        <w:rPr>
          <w:rFonts w:ascii="Times New Roman" w:hAnsi="Times New Roman" w:eastAsiaTheme="minorEastAsia"/>
          <w:color w:val="000000" w:themeColor="text1"/>
          <w:sz w:val="28"/>
          <w:szCs w:val="28"/>
          <w:vertAlign w:val="superscript"/>
        </w:rPr>
        <w:t>-8</w:t>
      </w:r>
      <w:r>
        <w:rPr>
          <w:rFonts w:ascii="Times New Roman" w:hAnsi="Times New Roman" w:eastAsiaTheme="minorEastAsia"/>
          <w:color w:val="000000" w:themeColor="text1"/>
          <w:sz w:val="28"/>
          <w:szCs w:val="28"/>
        </w:rPr>
        <w:t>m/s。</w:t>
      </w:r>
    </w:p>
    <w:p>
      <w:pPr>
        <w:wordWrap w:val="0"/>
        <w:rPr>
          <w:rFonts w:eastAsiaTheme="minorEastAsia"/>
          <w:color w:val="000000" w:themeColor="text1"/>
          <w:sz w:val="28"/>
          <w:szCs w:val="28"/>
        </w:rPr>
      </w:pPr>
      <w:r>
        <w:rPr>
          <w:rFonts w:eastAsiaTheme="minorEastAsia"/>
          <w:color w:val="000000" w:themeColor="text1"/>
          <w:sz w:val="28"/>
          <w:szCs w:val="28"/>
        </w:rPr>
        <w:t>【条文说明】为防止人工湿地渗漏的污水对土壤、地下水等产生污染，必须设防渗层做好防渗措施。</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防渗层可采用黏土层、高密度聚乙烯土工膜及其他建筑工程防水材料，并要求其渗透系数应不大于10</w:t>
      </w:r>
      <w:r>
        <w:rPr>
          <w:rFonts w:eastAsiaTheme="minorEastAsia"/>
          <w:color w:val="000000" w:themeColor="text1"/>
          <w:sz w:val="28"/>
          <w:szCs w:val="28"/>
          <w:vertAlign w:val="superscript"/>
        </w:rPr>
        <w:t>-8</w:t>
      </w:r>
      <w:r>
        <w:rPr>
          <w:rFonts w:eastAsiaTheme="minorEastAsia"/>
          <w:color w:val="000000" w:themeColor="text1"/>
          <w:sz w:val="28"/>
          <w:szCs w:val="28"/>
        </w:rPr>
        <w:t>m/s</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在寒冷地区，集、配水及进、出水管的设</w:t>
      </w:r>
      <w:r>
        <w:rPr>
          <w:rFonts w:hint="eastAsia" w:ascii="Times New Roman" w:hAnsi="Times New Roman" w:eastAsiaTheme="minorEastAsia"/>
          <w:color w:val="000000" w:themeColor="text1"/>
          <w:sz w:val="28"/>
          <w:szCs w:val="28"/>
        </w:rPr>
        <w:t>计</w:t>
      </w:r>
      <w:r>
        <w:rPr>
          <w:rFonts w:ascii="Times New Roman" w:hAnsi="Times New Roman" w:eastAsiaTheme="minorEastAsia"/>
          <w:color w:val="000000" w:themeColor="text1"/>
          <w:sz w:val="28"/>
          <w:szCs w:val="28"/>
        </w:rPr>
        <w:t>应考虑防冻措施。</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人工湿地系统应定期清淤排泥。</w:t>
      </w:r>
    </w:p>
    <w:p>
      <w:pPr>
        <w:widowControl/>
        <w:wordWrap w:val="0"/>
        <w:rPr>
          <w:rFonts w:eastAsiaTheme="minorEastAsia"/>
          <w:color w:val="000000" w:themeColor="text1"/>
          <w:sz w:val="28"/>
          <w:szCs w:val="28"/>
        </w:rPr>
      </w:pPr>
      <w:r>
        <w:rPr>
          <w:rFonts w:eastAsiaTheme="minorEastAsia"/>
          <w:color w:val="000000" w:themeColor="text1"/>
          <w:sz w:val="28"/>
          <w:szCs w:val="28"/>
        </w:rPr>
        <w:t>【条文说明】潜流人工湿地底部应设清淤装置。</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人工湿地应综合考虑污水的悬浮物浓度、有机负荷、投配方式、填料粒径、植物、微生物、运行周期等因素进行防堵塞设计。</w:t>
      </w:r>
    </w:p>
    <w:p>
      <w:pPr>
        <w:widowControl/>
        <w:wordWrap w:val="0"/>
        <w:rPr>
          <w:rFonts w:eastAsiaTheme="minorEastAsia"/>
          <w:color w:val="000000" w:themeColor="text1"/>
          <w:sz w:val="28"/>
          <w:szCs w:val="28"/>
        </w:rPr>
      </w:pPr>
      <w:r>
        <w:rPr>
          <w:rFonts w:eastAsiaTheme="minorEastAsia"/>
          <w:color w:val="000000" w:themeColor="text1"/>
          <w:sz w:val="28"/>
          <w:szCs w:val="28"/>
        </w:rPr>
        <w:t>【条文说明】人工湿地防堵塞设计对于保证人工湿地的净化效果、提高人工湿地的使用寿命、减少维护管理工作量极为重要。必须控制进水有机物、悬浮物含量，控制合适的滤料级配。另外，通过多个单元的轮灌和加强预曝气，均可以降低堵塞风险。</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fldChar w:fldCharType="begin"/>
      </w:r>
      <w:r>
        <w:rPr>
          <w:rFonts w:eastAsiaTheme="minorEastAsia"/>
          <w:color w:val="000000" w:themeColor="text1"/>
          <w:sz w:val="28"/>
          <w:szCs w:val="28"/>
        </w:rPr>
        <w:instrText xml:space="preserve"> = 3 \* ROMAN </w:instrText>
      </w:r>
      <w:r>
        <w:rPr>
          <w:rFonts w:eastAsiaTheme="minorEastAsia"/>
          <w:color w:val="000000" w:themeColor="text1"/>
          <w:sz w:val="28"/>
          <w:szCs w:val="28"/>
        </w:rPr>
        <w:fldChar w:fldCharType="separate"/>
      </w:r>
      <w:r>
        <w:rPr>
          <w:rFonts w:eastAsiaTheme="minorEastAsia"/>
          <w:color w:val="000000" w:themeColor="text1"/>
          <w:sz w:val="28"/>
          <w:szCs w:val="28"/>
        </w:rPr>
        <w:t>III</w:t>
      </w:r>
      <w:r>
        <w:rPr>
          <w:rFonts w:eastAsiaTheme="minorEastAsia"/>
          <w:color w:val="000000" w:themeColor="text1"/>
          <w:sz w:val="28"/>
          <w:szCs w:val="28"/>
        </w:rPr>
        <w:fldChar w:fldCharType="end"/>
      </w:r>
      <w:r>
        <w:rPr>
          <w:rFonts w:eastAsiaTheme="minorEastAsia"/>
          <w:color w:val="000000" w:themeColor="text1"/>
          <w:sz w:val="28"/>
          <w:szCs w:val="28"/>
        </w:rPr>
        <w:t xml:space="preserve">  稳定塘</w:t>
      </w:r>
      <w:bookmarkEnd w:id="66"/>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有可利用的荒地或闲地等条件，技术经济比较合理时，可采用稳定塘处理污水。用作二级处理的稳定塘系统，处理规模不宜大于5000m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w:t>
      </w:r>
    </w:p>
    <w:p>
      <w:pPr>
        <w:wordWrap w:val="0"/>
        <w:rPr>
          <w:rFonts w:eastAsiaTheme="minorEastAsia"/>
          <w:color w:val="000000" w:themeColor="text1"/>
          <w:sz w:val="28"/>
          <w:szCs w:val="28"/>
        </w:rPr>
      </w:pPr>
      <w:r>
        <w:rPr>
          <w:rFonts w:eastAsiaTheme="minorEastAsia"/>
          <w:color w:val="000000" w:themeColor="text1"/>
          <w:sz w:val="28"/>
          <w:szCs w:val="28"/>
        </w:rPr>
        <w:t>【条文说明】在进行污水处理规划设计时，对地理环境合适的城镇，以及中、小城镇和干旱、半干旱地区，可考虑采用荒地、废地、劣质地，以及坑塘、洼地，建设稳定塘污水处理系统。</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稳定塘是人工的接近自然的生态系统，它具有管理方便、能耗少等优点，但有占地面积大等缺点。选用稳定塘时，必须考虑当地是否有足够的土地可供利用，并应对工程投资和运行费用做全面的经济比较。国外稳定塘一般用于处理小水量的污水。如日本因稳定塘占地面积大，不推广应用；英国限定稳定塘用于深度处理；美国5000座稳定塘的处理污水总量为898.9×10</w:t>
      </w:r>
      <w:r>
        <w:rPr>
          <w:rFonts w:eastAsiaTheme="minorEastAsia"/>
          <w:color w:val="000000" w:themeColor="text1"/>
          <w:sz w:val="28"/>
          <w:szCs w:val="28"/>
          <w:vertAlign w:val="superscript"/>
        </w:rPr>
        <w:t>4</w:t>
      </w:r>
      <w:r>
        <w:rPr>
          <w:rFonts w:eastAsiaTheme="minorEastAsia"/>
          <w:color w:val="000000" w:themeColor="text1"/>
          <w:sz w:val="28"/>
          <w:szCs w:val="28"/>
        </w:rPr>
        <w:t>m</w:t>
      </w:r>
      <w:r>
        <w:rPr>
          <w:rFonts w:eastAsiaTheme="minorEastAsia"/>
          <w:color w:val="000000" w:themeColor="text1"/>
          <w:sz w:val="28"/>
          <w:szCs w:val="28"/>
          <w:vertAlign w:val="superscript"/>
        </w:rPr>
        <w:t>3</w:t>
      </w:r>
      <w:r>
        <w:rPr>
          <w:rFonts w:eastAsiaTheme="minorEastAsia"/>
          <w:color w:val="000000" w:themeColor="text1"/>
          <w:sz w:val="28"/>
          <w:szCs w:val="28"/>
        </w:rPr>
        <w:t>/d，平均1798m</w:t>
      </w:r>
      <w:r>
        <w:rPr>
          <w:rFonts w:eastAsiaTheme="minorEastAsia"/>
          <w:color w:val="000000" w:themeColor="text1"/>
          <w:sz w:val="28"/>
          <w:szCs w:val="28"/>
          <w:vertAlign w:val="superscript"/>
        </w:rPr>
        <w:t>3</w:t>
      </w:r>
      <w:r>
        <w:rPr>
          <w:rFonts w:eastAsiaTheme="minorEastAsia"/>
          <w:color w:val="000000" w:themeColor="text1"/>
          <w:sz w:val="28"/>
          <w:szCs w:val="28"/>
        </w:rPr>
        <w:t>/d，仅135座大于3785m</w:t>
      </w:r>
      <w:r>
        <w:rPr>
          <w:rFonts w:eastAsiaTheme="minorEastAsia"/>
          <w:color w:val="000000" w:themeColor="text1"/>
          <w:sz w:val="28"/>
          <w:szCs w:val="28"/>
          <w:vertAlign w:val="superscript"/>
        </w:rPr>
        <w:t>3</w:t>
      </w:r>
      <w:r>
        <w:rPr>
          <w:rFonts w:eastAsiaTheme="minorEastAsia"/>
          <w:color w:val="000000" w:themeColor="text1"/>
          <w:sz w:val="28"/>
          <w:szCs w:val="28"/>
        </w:rPr>
        <w:t>/d。我国地少价高，稳定塘占地约为活性污泥法二级处理厂用地面积的13.3倍～66.7倍，因此，稳定塘的建设规模不宜大于5000m</w:t>
      </w:r>
      <w:r>
        <w:rPr>
          <w:rFonts w:eastAsiaTheme="minorEastAsia"/>
          <w:color w:val="000000" w:themeColor="text1"/>
          <w:sz w:val="28"/>
          <w:szCs w:val="28"/>
          <w:vertAlign w:val="superscript"/>
        </w:rPr>
        <w:t>3</w:t>
      </w:r>
      <w:r>
        <w:rPr>
          <w:rFonts w:eastAsiaTheme="minorEastAsia"/>
          <w:color w:val="000000" w:themeColor="text1"/>
          <w:sz w:val="28"/>
          <w:szCs w:val="28"/>
        </w:rPr>
        <w:t>/d。</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处理污水时，稳定塘的设计数据应根据试验资料确定。无试验资料时，根据污水水质、处理程度、当地气候和日照等条件，稳定塘的五日生化需氧量总平均表面有机负荷可采用1.5gBOD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/（m²·d）～10gBOD</w:t>
      </w:r>
      <w:r>
        <w:rPr>
          <w:rFonts w:ascii="Times New Roman" w:hAnsi="Times New Roman" w:eastAsiaTheme="minorEastAsia"/>
          <w:color w:val="000000" w:themeColor="text1"/>
          <w:sz w:val="28"/>
          <w:szCs w:val="28"/>
          <w:vertAlign w:val="subscript"/>
        </w:rPr>
        <w:t>5</w:t>
      </w:r>
      <w:r>
        <w:rPr>
          <w:rFonts w:ascii="Times New Roman" w:hAnsi="Times New Roman" w:eastAsiaTheme="minorEastAsia"/>
          <w:color w:val="000000" w:themeColor="text1"/>
          <w:sz w:val="28"/>
          <w:szCs w:val="28"/>
        </w:rPr>
        <w:t>/（m²·d），总停留时间可采用20d～120d。</w:t>
      </w:r>
    </w:p>
    <w:p>
      <w:pPr>
        <w:wordWrap w:val="0"/>
        <w:rPr>
          <w:rFonts w:eastAsiaTheme="minorEastAsia"/>
          <w:color w:val="000000" w:themeColor="text1"/>
          <w:sz w:val="28"/>
          <w:szCs w:val="28"/>
        </w:rPr>
      </w:pPr>
      <w:r>
        <w:rPr>
          <w:rFonts w:eastAsiaTheme="minorEastAsia"/>
          <w:color w:val="000000" w:themeColor="text1"/>
          <w:sz w:val="28"/>
          <w:szCs w:val="28"/>
        </w:rPr>
        <w:t>【条文说明】冰封期长的地区，其总停留时间应适当延长；曝气塘的有机负荷和停留时间不受本条规定的限制。</w:t>
      </w:r>
    </w:p>
    <w:p>
      <w:pPr>
        <w:wordWrap w:val="0"/>
        <w:rPr>
          <w:rFonts w:eastAsiaTheme="minorEastAsia"/>
          <w:color w:val="000000" w:themeColor="text1"/>
          <w:sz w:val="28"/>
          <w:szCs w:val="28"/>
        </w:rPr>
      </w:pPr>
      <w:r>
        <w:rPr>
          <w:rFonts w:eastAsiaTheme="minorEastAsia"/>
          <w:color w:val="000000" w:themeColor="text1"/>
          <w:sz w:val="28"/>
          <w:szCs w:val="28"/>
        </w:rPr>
        <w:t xml:space="preserve">    温度、光照等气候因素对稳定塘处理效果的影响十分重要，将决定稳定塘的负荷能力、处理效果以及塘内优势细菌、藻类及其他水生生物的种群。</w:t>
      </w:r>
    </w:p>
    <w:p>
      <w:pPr>
        <w:ind w:firstLine="435"/>
        <w:rPr>
          <w:rFonts w:eastAsiaTheme="minorEastAsia"/>
          <w:color w:val="000000" w:themeColor="text1"/>
          <w:sz w:val="28"/>
          <w:szCs w:val="28"/>
        </w:rPr>
      </w:pPr>
      <w:r>
        <w:rPr>
          <w:rFonts w:eastAsiaTheme="minorEastAsia"/>
          <w:color w:val="000000" w:themeColor="text1"/>
          <w:sz w:val="28"/>
          <w:szCs w:val="28"/>
        </w:rPr>
        <w:t>稳定塘的五日生化需氧量总平均表面负荷与冬季平均气温有关，气温高时，五日生化需氧量负荷较高，气温低时，五日生化需氧量负荷较低。为保证出水水质，冬季平均气温在0</w:t>
      </w:r>
      <w:r>
        <w:rPr>
          <w:rFonts w:eastAsia="宋体"/>
          <w:color w:val="000000" w:themeColor="text1"/>
          <w:sz w:val="28"/>
          <w:szCs w:val="28"/>
        </w:rPr>
        <w:t>°</w:t>
      </w:r>
      <w:r>
        <w:rPr>
          <w:rFonts w:eastAsiaTheme="minorEastAsia"/>
          <w:color w:val="000000" w:themeColor="text1"/>
          <w:sz w:val="28"/>
          <w:szCs w:val="28"/>
        </w:rPr>
        <w:t>C以下时，总水力停留时间以不少于塘面封冻期为宜。本条的表面有机负荷和停留时间适用于好氧稳定塘和兼性稳定塘。表23为几种稳定塘的典型设计参数。</w:t>
      </w:r>
    </w:p>
    <w:p>
      <w:pPr>
        <w:wordWrap w:val="0"/>
        <w:ind w:firstLine="435"/>
        <w:jc w:val="center"/>
        <w:rPr>
          <w:rFonts w:eastAsiaTheme="minorEastAsia"/>
          <w:b/>
          <w:color w:val="000000" w:themeColor="text1"/>
          <w:sz w:val="28"/>
          <w:szCs w:val="28"/>
        </w:rPr>
      </w:pPr>
      <w:r>
        <w:rPr>
          <w:rFonts w:eastAsiaTheme="minorEastAsia"/>
          <w:b/>
          <w:color w:val="000000" w:themeColor="text1"/>
          <w:sz w:val="28"/>
          <w:szCs w:val="28"/>
        </w:rPr>
        <w:t>表23 稳定塘典型设计参数</w:t>
      </w:r>
    </w:p>
    <w:tbl>
      <w:tblPr>
        <w:tblStyle w:val="25"/>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2184"/>
        <w:gridCol w:w="1737"/>
        <w:gridCol w:w="1465"/>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779" w:hRule="atLeast"/>
        </w:trPr>
        <w:tc>
          <w:tcPr>
            <w:tcW w:w="152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塘类型</w:t>
            </w:r>
          </w:p>
        </w:tc>
        <w:tc>
          <w:tcPr>
            <w:tcW w:w="218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表面有机负荷[gBOD</w:t>
            </w:r>
            <w:r>
              <w:rPr>
                <w:rFonts w:eastAsiaTheme="minorEastAsia"/>
                <w:color w:val="000000" w:themeColor="text1"/>
                <w:sz w:val="28"/>
                <w:szCs w:val="28"/>
                <w:vertAlign w:val="subscript"/>
              </w:rPr>
              <w:t>5</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·d)]</w:t>
            </w:r>
          </w:p>
        </w:tc>
        <w:tc>
          <w:tcPr>
            <w:tcW w:w="173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水力停留时间(d)</w:t>
            </w:r>
          </w:p>
        </w:tc>
        <w:tc>
          <w:tcPr>
            <w:tcW w:w="146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水深(m)</w:t>
            </w: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BOD5去除率(%)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5" w:hRule="atLeast"/>
        </w:trPr>
        <w:tc>
          <w:tcPr>
            <w:tcW w:w="152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好氧稳定塘</w:t>
            </w:r>
          </w:p>
        </w:tc>
        <w:tc>
          <w:tcPr>
            <w:tcW w:w="218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4～12</w:t>
            </w:r>
          </w:p>
        </w:tc>
        <w:tc>
          <w:tcPr>
            <w:tcW w:w="173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10～40</w:t>
            </w:r>
          </w:p>
        </w:tc>
        <w:tc>
          <w:tcPr>
            <w:tcW w:w="146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1.0～1.5</w:t>
            </w: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4" w:hRule="atLeast"/>
        </w:trPr>
        <w:tc>
          <w:tcPr>
            <w:tcW w:w="152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兼性稳定塘</w:t>
            </w:r>
          </w:p>
        </w:tc>
        <w:tc>
          <w:tcPr>
            <w:tcW w:w="218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1～10</w:t>
            </w:r>
          </w:p>
        </w:tc>
        <w:tc>
          <w:tcPr>
            <w:tcW w:w="173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25～80</w:t>
            </w:r>
          </w:p>
        </w:tc>
        <w:tc>
          <w:tcPr>
            <w:tcW w:w="146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1.5～2.5</w:t>
            </w: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6" w:hRule="atLeast"/>
        </w:trPr>
        <w:tc>
          <w:tcPr>
            <w:tcW w:w="152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厌氧稳定塘</w:t>
            </w:r>
          </w:p>
        </w:tc>
        <w:tc>
          <w:tcPr>
            <w:tcW w:w="218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15～100</w:t>
            </w:r>
          </w:p>
        </w:tc>
        <w:tc>
          <w:tcPr>
            <w:tcW w:w="173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5～30</w:t>
            </w:r>
          </w:p>
        </w:tc>
        <w:tc>
          <w:tcPr>
            <w:tcW w:w="146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2.5～5</w:t>
            </w: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9" w:hRule="atLeast"/>
        </w:trPr>
        <w:tc>
          <w:tcPr>
            <w:tcW w:w="152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曝气稳定塘</w:t>
            </w:r>
          </w:p>
        </w:tc>
        <w:tc>
          <w:tcPr>
            <w:tcW w:w="218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3～30</w:t>
            </w:r>
          </w:p>
        </w:tc>
        <w:tc>
          <w:tcPr>
            <w:tcW w:w="173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3～20</w:t>
            </w:r>
          </w:p>
        </w:tc>
        <w:tc>
          <w:tcPr>
            <w:tcW w:w="146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2.5～5</w:t>
            </w: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19" w:hRule="atLeast"/>
        </w:trPr>
        <w:tc>
          <w:tcPr>
            <w:tcW w:w="152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深度处理稳定塘</w:t>
            </w:r>
          </w:p>
        </w:tc>
        <w:tc>
          <w:tcPr>
            <w:tcW w:w="218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2～10</w:t>
            </w:r>
          </w:p>
        </w:tc>
        <w:tc>
          <w:tcPr>
            <w:tcW w:w="173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4～12</w:t>
            </w:r>
          </w:p>
        </w:tc>
        <w:tc>
          <w:tcPr>
            <w:tcW w:w="146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0.6～1.0</w:t>
            </w: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30～50</w:t>
            </w:r>
          </w:p>
        </w:tc>
      </w:tr>
    </w:tbl>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稳定塘的设计，应符合下列规定：</w:t>
      </w:r>
    </w:p>
    <w:p>
      <w:pPr>
        <w:widowControl/>
        <w:wordWrap w:val="0"/>
        <w:ind w:firstLine="565" w:firstLineChars="201"/>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稳定塘前宜设格栅，污水含砂量高时宜设沉砂池；</w:t>
      </w:r>
    </w:p>
    <w:p>
      <w:pPr>
        <w:widowControl/>
        <w:wordWrap w:val="0"/>
        <w:ind w:firstLine="565" w:firstLineChars="201"/>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稳定塘串联的级数不</w:t>
      </w:r>
      <w:r>
        <w:rPr>
          <w:rFonts w:hint="eastAsia" w:eastAsiaTheme="minorEastAsia"/>
          <w:color w:val="000000" w:themeColor="text1"/>
          <w:sz w:val="28"/>
          <w:szCs w:val="28"/>
        </w:rPr>
        <w:t>宜</w:t>
      </w:r>
      <w:r>
        <w:rPr>
          <w:rFonts w:eastAsiaTheme="minorEastAsia"/>
          <w:color w:val="000000" w:themeColor="text1"/>
          <w:sz w:val="28"/>
          <w:szCs w:val="28"/>
        </w:rPr>
        <w:t>少于3级，第一级塘有效深度不宜小于3m；</w:t>
      </w:r>
    </w:p>
    <w:p>
      <w:pPr>
        <w:widowControl/>
        <w:wordWrap w:val="0"/>
        <w:ind w:firstLine="565" w:firstLineChars="201"/>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推流式稳定塘的进水宜采用多点进水；</w:t>
      </w:r>
    </w:p>
    <w:p>
      <w:pPr>
        <w:widowControl/>
        <w:wordWrap w:val="0"/>
        <w:ind w:firstLine="565" w:firstLineChars="201"/>
        <w:rPr>
          <w:rFonts w:eastAsiaTheme="minorEastAsia"/>
          <w:color w:val="000000" w:themeColor="text1"/>
          <w:sz w:val="28"/>
          <w:szCs w:val="28"/>
        </w:rPr>
      </w:pPr>
      <w:r>
        <w:rPr>
          <w:rFonts w:eastAsiaTheme="minorEastAsia"/>
          <w:b/>
          <w:bCs/>
          <w:color w:val="000000" w:themeColor="text1"/>
          <w:sz w:val="28"/>
          <w:szCs w:val="28"/>
        </w:rPr>
        <w:t>4</w:t>
      </w:r>
      <w:r>
        <w:rPr>
          <w:rFonts w:eastAsiaTheme="minorEastAsia"/>
          <w:color w:val="000000" w:themeColor="text1"/>
          <w:sz w:val="28"/>
          <w:szCs w:val="28"/>
        </w:rPr>
        <w:t xml:space="preserve"> 稳定塘污泥的蓄积量</w:t>
      </w:r>
      <w:r>
        <w:rPr>
          <w:rFonts w:hint="eastAsia" w:eastAsiaTheme="minorEastAsia"/>
          <w:color w:val="000000" w:themeColor="text1"/>
          <w:sz w:val="28"/>
          <w:szCs w:val="28"/>
        </w:rPr>
        <w:t>宜</w:t>
      </w:r>
      <w:r>
        <w:rPr>
          <w:rFonts w:eastAsiaTheme="minorEastAsia"/>
          <w:color w:val="000000" w:themeColor="text1"/>
          <w:sz w:val="28"/>
          <w:szCs w:val="28"/>
        </w:rPr>
        <w:t>为40/（年·人）～100L/（年·人），一级塘应分格并联运行，轮换清除污泥。</w:t>
      </w:r>
    </w:p>
    <w:p>
      <w:pPr>
        <w:wordWrap w:val="0"/>
        <w:rPr>
          <w:rFonts w:eastAsiaTheme="minorEastAsia"/>
          <w:color w:val="000000" w:themeColor="text1"/>
          <w:sz w:val="28"/>
          <w:szCs w:val="28"/>
        </w:rPr>
      </w:pPr>
      <w:r>
        <w:rPr>
          <w:rFonts w:eastAsiaTheme="minorEastAsia"/>
          <w:color w:val="000000" w:themeColor="text1"/>
          <w:sz w:val="28"/>
          <w:szCs w:val="28"/>
        </w:rPr>
        <w:t>【条文说明】</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1</w:t>
      </w:r>
      <w:r>
        <w:rPr>
          <w:rFonts w:eastAsiaTheme="minorEastAsia"/>
          <w:color w:val="000000" w:themeColor="text1"/>
          <w:sz w:val="28"/>
          <w:szCs w:val="28"/>
        </w:rPr>
        <w:t xml:space="preserve"> 污水进入稳定塘前，宜进行预处理。预处理一般为物理处理，其目的在于尽量去除水中杂质或不利于后续处理的物质，减少塘中的积泥。</w:t>
      </w:r>
    </w:p>
    <w:p>
      <w:pPr>
        <w:wordWrap w:val="0"/>
        <w:rPr>
          <w:rFonts w:eastAsiaTheme="minorEastAsia"/>
          <w:color w:val="000000" w:themeColor="text1"/>
          <w:sz w:val="28"/>
          <w:szCs w:val="28"/>
        </w:rPr>
      </w:pPr>
      <w:r>
        <w:rPr>
          <w:rFonts w:eastAsiaTheme="minorEastAsia"/>
          <w:color w:val="000000" w:themeColor="text1"/>
          <w:sz w:val="28"/>
          <w:szCs w:val="28"/>
        </w:rPr>
        <w:t xml:space="preserve">    污水流量小于1000m</w:t>
      </w:r>
      <w:r>
        <w:rPr>
          <w:rFonts w:eastAsiaTheme="minorEastAsia"/>
          <w:color w:val="000000" w:themeColor="text1"/>
          <w:sz w:val="28"/>
          <w:szCs w:val="28"/>
          <w:vertAlign w:val="superscript"/>
        </w:rPr>
        <w:t>3</w:t>
      </w:r>
      <w:r>
        <w:rPr>
          <w:rFonts w:eastAsiaTheme="minorEastAsia"/>
          <w:color w:val="000000" w:themeColor="text1"/>
          <w:sz w:val="28"/>
          <w:szCs w:val="28"/>
        </w:rPr>
        <w:t>/d的小型稳定塘前一般可不设沉淀池，否则，增加了塘外处理污泥的困难。处理大水量的稳定塘前，可设沉淀池，防止稳定塘塘底沉积大量污泥，减少塘的容积。</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2</w:t>
      </w:r>
      <w:r>
        <w:rPr>
          <w:rFonts w:eastAsiaTheme="minorEastAsia"/>
          <w:color w:val="000000" w:themeColor="text1"/>
          <w:sz w:val="28"/>
          <w:szCs w:val="28"/>
        </w:rPr>
        <w:t xml:space="preserve"> 有关资料表明：对几个稳定塘进行串联模型实验，单塘处理效率76.8%，两塘处理效率80.9%，三塘处理效率83.4%，四塘处理效率84.6%，因此，本条规定稳定塘串联的级数一般不少于3级。</w:t>
      </w:r>
    </w:p>
    <w:p>
      <w:pPr>
        <w:wordWrap w:val="0"/>
        <w:rPr>
          <w:rFonts w:eastAsiaTheme="minorEastAsia"/>
          <w:color w:val="000000" w:themeColor="text1"/>
          <w:sz w:val="28"/>
          <w:szCs w:val="28"/>
        </w:rPr>
      </w:pPr>
      <w:r>
        <w:rPr>
          <w:rFonts w:eastAsiaTheme="minorEastAsia"/>
          <w:color w:val="000000" w:themeColor="text1"/>
          <w:sz w:val="28"/>
          <w:szCs w:val="28"/>
        </w:rPr>
        <w:t xml:space="preserve">    第一级塘的底泥增长较快，约占全塘系统的30%～50%，一级塘下部需用于储泥。深塘暴露于空气的面积小，保温效果好。因此，本条规定第一级塘的有效水深不宜小于3m。</w:t>
      </w:r>
    </w:p>
    <w:p>
      <w:pPr>
        <w:wordWrap w:val="0"/>
        <w:ind w:firstLine="435"/>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当只设一个进水口和一个出水口并把进水口和出水口设在长度方向中心线上时，则短流严重，容积利用系数可低至0.36。进水口与出水口离得太近，也会使塘内存在很大死水区。为取得较好的水力条件和运转效果，推流式稳定塘宜采用多个进水口装置，出水口尽可能布置在距进水口远一点的位置上。风能使塘产生环流，为减小这种环流，进出水口轴线布置在与当地主导风向相垂直的方向上，也可以利用导流墙，减小风产生环流的影响。</w:t>
      </w:r>
    </w:p>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4</w:t>
      </w:r>
      <w:r>
        <w:rPr>
          <w:rFonts w:eastAsiaTheme="minorEastAsia"/>
          <w:color w:val="000000" w:themeColor="text1"/>
          <w:sz w:val="28"/>
          <w:szCs w:val="28"/>
        </w:rPr>
        <w:t xml:space="preserve"> 关于稳定塘底泥的规定。</w:t>
      </w:r>
    </w:p>
    <w:p>
      <w:pPr>
        <w:wordWrap w:val="0"/>
        <w:rPr>
          <w:rFonts w:eastAsiaTheme="minorEastAsia"/>
          <w:color w:val="000000" w:themeColor="text1"/>
          <w:sz w:val="28"/>
          <w:szCs w:val="28"/>
        </w:rPr>
      </w:pPr>
      <w:r>
        <w:rPr>
          <w:rFonts w:eastAsiaTheme="minorEastAsia"/>
          <w:color w:val="000000" w:themeColor="text1"/>
          <w:sz w:val="28"/>
          <w:szCs w:val="28"/>
        </w:rPr>
        <w:t xml:space="preserve">    根据资料，各地区的稳定塘的底泥量分别为：武汉68L/（年·人）～78L/（年·人）、印度74L/（年·人）～156L（年·人）、美国30L/（年·人）～91L/（年·人）、加拿大91L/（年·人）～146L/（年·人），一般可按100L/（年·人）取值，五年后大约稳定在40L/（年·人）的水平。</w:t>
      </w:r>
    </w:p>
    <w:p>
      <w:pPr>
        <w:widowControl/>
        <w:wordWrap w:val="0"/>
        <w:rPr>
          <w:rFonts w:eastAsiaTheme="minorEastAsia"/>
          <w:b/>
          <w:color w:val="000000" w:themeColor="text1"/>
          <w:sz w:val="28"/>
          <w:szCs w:val="28"/>
        </w:rPr>
      </w:pPr>
      <w:r>
        <w:rPr>
          <w:rFonts w:eastAsiaTheme="minorEastAsia"/>
          <w:color w:val="000000" w:themeColor="text1"/>
          <w:sz w:val="28"/>
          <w:szCs w:val="28"/>
        </w:rPr>
        <w:t xml:space="preserve">    第一级塘的底泥增长较快，污泥最多，应考虑排泥或清淤措施。为清除污泥时不影响运行，一级塘可分格并联运行。</w:t>
      </w:r>
    </w:p>
    <w:p>
      <w:pPr>
        <w:pStyle w:val="30"/>
        <w:numPr>
          <w:ilvl w:val="0"/>
          <w:numId w:val="4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在多级稳定塘系统的后面可设养鱼塘，进入养鱼塘的水质必须符合国家现行的有关渔业水质的规定。</w:t>
      </w:r>
      <w:bookmarkStart w:id="67" w:name="_Toc74992751"/>
    </w:p>
    <w:p>
      <w:pPr>
        <w:wordWrap w:val="0"/>
        <w:rPr>
          <w:rFonts w:eastAsiaTheme="minorEastAsia"/>
          <w:color w:val="000000" w:themeColor="text1"/>
          <w:sz w:val="28"/>
          <w:szCs w:val="28"/>
        </w:rPr>
      </w:pPr>
      <w:r>
        <w:rPr>
          <w:rFonts w:eastAsiaTheme="minorEastAsia"/>
          <w:color w:val="000000" w:themeColor="text1"/>
          <w:sz w:val="28"/>
          <w:szCs w:val="28"/>
        </w:rPr>
        <w:t>【条文说明】多级稳定塘处理的最后出水中，一般含有藻类、浮游生物，可作鱼饵，在其后可设养鱼塘，但水质必须符合现行国家标准《渔业水质标准》GB 11607的规定。</w:t>
      </w:r>
    </w:p>
    <w:bookmarkEnd w:id="67"/>
    <w:p>
      <w:pPr>
        <w:widowControl/>
        <w:wordWrap w:val="0"/>
        <w:rPr>
          <w:rFonts w:eastAsiaTheme="minorEastAsia"/>
          <w:bCs/>
          <w:color w:val="000000" w:themeColor="text1"/>
          <w:sz w:val="28"/>
          <w:szCs w:val="28"/>
        </w:rPr>
      </w:pPr>
      <w:r>
        <w:rPr>
          <w:rFonts w:eastAsiaTheme="minorEastAsia"/>
          <w:b/>
          <w:color w:val="000000" w:themeColor="text1"/>
          <w:sz w:val="28"/>
          <w:szCs w:val="28"/>
        </w:rPr>
        <w:br w:type="page"/>
      </w:r>
    </w:p>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68" w:name="_Toc515281067"/>
      <w:r>
        <w:rPr>
          <w:rFonts w:ascii="Times New Roman" w:hAnsi="Times New Roman" w:eastAsiaTheme="minorEastAsia"/>
          <w:b w:val="0"/>
          <w:color w:val="000000" w:themeColor="text1"/>
          <w:sz w:val="28"/>
          <w:szCs w:val="28"/>
        </w:rPr>
        <w:t>消 毒</w:t>
      </w:r>
      <w:bookmarkEnd w:id="62"/>
      <w:bookmarkEnd w:id="63"/>
      <w:bookmarkEnd w:id="68"/>
      <w:bookmarkStart w:id="69" w:name="_Toc74992757"/>
    </w:p>
    <w:p>
      <w:pPr>
        <w:widowControl/>
        <w:wordWrap w:val="0"/>
        <w:jc w:val="center"/>
        <w:rPr>
          <w:rFonts w:eastAsiaTheme="minorEastAsia"/>
          <w:bCs/>
          <w:color w:val="000000" w:themeColor="text1"/>
          <w:sz w:val="28"/>
          <w:szCs w:val="28"/>
        </w:rPr>
      </w:pPr>
      <w:r>
        <w:rPr>
          <w:rFonts w:eastAsiaTheme="minorEastAsia"/>
          <w:bCs/>
          <w:color w:val="000000" w:themeColor="text1"/>
          <w:sz w:val="28"/>
          <w:szCs w:val="28"/>
        </w:rPr>
        <w:t>I  一般规定</w:t>
      </w:r>
      <w:bookmarkEnd w:id="69"/>
    </w:p>
    <w:p>
      <w:pPr>
        <w:pStyle w:val="30"/>
        <w:numPr>
          <w:ilvl w:val="0"/>
          <w:numId w:val="4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污水厂出水的消毒程度应根据污水性质、排放标准或再生利用要求确定。</w:t>
      </w:r>
    </w:p>
    <w:p>
      <w:pPr>
        <w:widowControl/>
        <w:wordWrap w:val="0"/>
        <w:rPr>
          <w:rFonts w:eastAsiaTheme="minorEastAsia"/>
          <w:color w:val="000000" w:themeColor="text1"/>
          <w:sz w:val="28"/>
          <w:szCs w:val="28"/>
        </w:rPr>
      </w:pPr>
      <w:r>
        <w:rPr>
          <w:rFonts w:eastAsiaTheme="minorEastAsia"/>
          <w:color w:val="000000" w:themeColor="text1"/>
          <w:sz w:val="28"/>
          <w:szCs w:val="28"/>
        </w:rPr>
        <w:t>【条文说明】目前，国内城镇污水厂出水执行《城镇污水处理厂污染物排放标准》GB18918，其控制指标为粪大肠菌群数，消毒主要考虑灭活致病细菌和病毒。再生水的消毒程度则需根据其用途确定，分别执行《城市污水再生利用 城市杂用水水质》GB/T 18920、《城市污水再生利用 景观环境用水水质》GB/T 18921、《城市污水再生利用 地下水回灌水质》GB/T 19972、《城市污水再生利用 工业用水水质》GB/T 19923、《城市污水再生利用 农田灌溉用水水质》GB 20922、《城市污水再生利用 绿地灌溉水质》GB/T 25499等，消毒除考虑灭活致病细菌和病毒外，还需考虑持续杀菌的效果、消毒副产物等因素。</w:t>
      </w:r>
    </w:p>
    <w:p>
      <w:pPr>
        <w:pStyle w:val="30"/>
        <w:numPr>
          <w:ilvl w:val="0"/>
          <w:numId w:val="4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污水厂出水可采用二氧化氯、次氯酸钠、液氯和紫外线消毒，也可采用上述方法的联合消毒方式。</w:t>
      </w:r>
    </w:p>
    <w:p>
      <w:pPr>
        <w:wordWrap w:val="0"/>
        <w:rPr>
          <w:rFonts w:eastAsiaTheme="minorEastAsia"/>
          <w:color w:val="000000" w:themeColor="text1"/>
          <w:sz w:val="28"/>
          <w:szCs w:val="28"/>
        </w:rPr>
      </w:pPr>
      <w:r>
        <w:rPr>
          <w:rFonts w:eastAsiaTheme="minorEastAsia"/>
          <w:color w:val="000000" w:themeColor="text1"/>
          <w:sz w:val="28"/>
          <w:szCs w:val="28"/>
        </w:rPr>
        <w:t>【条文说明】常用的污水消毒方法包括二氧化氯消毒、次氯酸钠消毒、液氯消毒、紫外线消毒，或上述方法的组合技术。其中二氧化氯消毒、次氯酸钠消毒、液氯消毒是化学消毒方法，维持一定的余氯量时，具有持续消毒作用，但会与水中的有机物反应生成消毒副产物；紫外线消毒是物理消毒方法，可避免或减少消毒副产物产生的二次污染物，但没有持续灭菌作用，消毒效果受水中悬浮物浓度及色度影响较大。因此，应根据工程实际情况选择合适的消毒方式。</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次氯酸钠是近年来污水厂使用较多的一种消毒剂，因其系统简单、副作用小、使用方便而受欢迎；尤其是在污水厂提标改造工程中，所耗投资较低，增加的设备设施简单，安全隐患小。</w:t>
      </w:r>
    </w:p>
    <w:p>
      <w:pPr>
        <w:pStyle w:val="30"/>
        <w:numPr>
          <w:ilvl w:val="0"/>
          <w:numId w:val="4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消毒设施和有关建筑物的设计，应符合现行国家标准《室外给水设计规范》GB 50013的有关规定。</w:t>
      </w:r>
    </w:p>
    <w:p>
      <w:pPr>
        <w:widowControl/>
        <w:wordWrap w:val="0"/>
        <w:jc w:val="center"/>
        <w:rPr>
          <w:rFonts w:eastAsiaTheme="minorEastAsia"/>
          <w:bCs/>
          <w:color w:val="000000" w:themeColor="text1"/>
          <w:sz w:val="28"/>
          <w:szCs w:val="28"/>
        </w:rPr>
      </w:pPr>
      <w:bookmarkStart w:id="70" w:name="_Toc74992758"/>
      <w:r>
        <w:rPr>
          <w:rFonts w:eastAsiaTheme="minorEastAsia"/>
          <w:bCs/>
          <w:color w:val="000000" w:themeColor="text1"/>
          <w:sz w:val="28"/>
          <w:szCs w:val="28"/>
        </w:rPr>
        <w:t>II  紫外线</w:t>
      </w:r>
      <w:bookmarkEnd w:id="70"/>
    </w:p>
    <w:p>
      <w:pPr>
        <w:pStyle w:val="30"/>
        <w:numPr>
          <w:ilvl w:val="0"/>
          <w:numId w:val="4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污水厂出水采用紫外线消毒时，宜采用明渠式紫外线消毒系统，</w:t>
      </w:r>
      <w:r>
        <w:rPr>
          <w:rFonts w:hint="eastAsia" w:ascii="Times New Roman" w:hAnsi="Times New Roman" w:eastAsiaTheme="minorEastAsia"/>
          <w:color w:val="000000" w:themeColor="text1"/>
          <w:sz w:val="28"/>
          <w:szCs w:val="28"/>
        </w:rPr>
        <w:t>清洗方式宜</w:t>
      </w:r>
      <w:r>
        <w:rPr>
          <w:rFonts w:ascii="Times New Roman" w:hAnsi="Times New Roman" w:eastAsiaTheme="minorEastAsia"/>
          <w:color w:val="000000" w:themeColor="text1"/>
          <w:sz w:val="28"/>
          <w:szCs w:val="28"/>
        </w:rPr>
        <w:t>采用在线机械加化学清洗</w:t>
      </w:r>
      <w:r>
        <w:rPr>
          <w:rFonts w:hint="eastAsia" w:ascii="Times New Roman" w:hAnsi="Times New Roman" w:eastAsiaTheme="minorEastAsia"/>
          <w:color w:val="000000" w:themeColor="text1"/>
          <w:sz w:val="28"/>
          <w:szCs w:val="28"/>
        </w:rPr>
        <w:t>的</w:t>
      </w:r>
      <w:r>
        <w:rPr>
          <w:rFonts w:ascii="Times New Roman" w:hAnsi="Times New Roman" w:eastAsiaTheme="minorEastAsia"/>
          <w:color w:val="000000" w:themeColor="text1"/>
          <w:sz w:val="28"/>
          <w:szCs w:val="28"/>
        </w:rPr>
        <w:t>方式。</w:t>
      </w:r>
    </w:p>
    <w:p>
      <w:pPr>
        <w:widowControl/>
        <w:wordWrap w:val="0"/>
        <w:rPr>
          <w:rFonts w:eastAsiaTheme="minorEastAsia"/>
          <w:color w:val="000000" w:themeColor="text1"/>
          <w:sz w:val="28"/>
          <w:szCs w:val="28"/>
        </w:rPr>
      </w:pPr>
      <w:r>
        <w:rPr>
          <w:rFonts w:eastAsiaTheme="minorEastAsia"/>
          <w:color w:val="000000" w:themeColor="text1"/>
          <w:sz w:val="28"/>
          <w:szCs w:val="28"/>
        </w:rPr>
        <w:t>【条文说明】明渠式紫外线消毒系统包括：紫外线消毒模块组、配电中心、系统控制中心、水位探测及水位控制装置等。紫外线消毒模块组的所有灯管相互平行，均匀排列在消毒明渠内。</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为确保紫外线消毒效果，保持渠道内紫外线有效剂量，应定期清洗紫外线灯管的石英玻璃套管表面。</w:t>
      </w:r>
    </w:p>
    <w:p>
      <w:pPr>
        <w:pStyle w:val="30"/>
        <w:numPr>
          <w:ilvl w:val="0"/>
          <w:numId w:val="4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紫外线消毒有效剂量宜根据试验资料或类似运行经验确定，也可按下列标准确定：</w:t>
      </w:r>
    </w:p>
    <w:p>
      <w:pPr>
        <w:widowControl/>
        <w:wordWrap w:val="0"/>
        <w:ind w:firstLine="565" w:firstLineChars="201"/>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二级处理的出水</w:t>
      </w:r>
      <w:r>
        <w:rPr>
          <w:rFonts w:hint="eastAsia" w:eastAsiaTheme="minorEastAsia"/>
          <w:color w:val="000000" w:themeColor="text1"/>
          <w:sz w:val="28"/>
          <w:szCs w:val="28"/>
        </w:rPr>
        <w:t>宜</w:t>
      </w:r>
      <w:r>
        <w:rPr>
          <w:rFonts w:eastAsiaTheme="minorEastAsia"/>
          <w:color w:val="000000" w:themeColor="text1"/>
          <w:sz w:val="28"/>
          <w:szCs w:val="28"/>
        </w:rPr>
        <w:t>为15mJ/cm</w:t>
      </w:r>
      <w:r>
        <w:rPr>
          <w:rFonts w:eastAsiaTheme="minorEastAsia"/>
          <w:color w:val="000000" w:themeColor="text1"/>
          <w:sz w:val="28"/>
          <w:szCs w:val="28"/>
          <w:vertAlign w:val="superscript"/>
        </w:rPr>
        <w:t>2</w:t>
      </w:r>
      <w:r>
        <w:rPr>
          <w:rFonts w:eastAsiaTheme="minorEastAsia"/>
          <w:color w:val="000000" w:themeColor="text1"/>
          <w:sz w:val="28"/>
          <w:szCs w:val="28"/>
        </w:rPr>
        <w:t>～2</w:t>
      </w:r>
      <w:r>
        <w:rPr>
          <w:rFonts w:hint="eastAsia" w:eastAsiaTheme="minorEastAsia"/>
          <w:color w:val="000000" w:themeColor="text1"/>
          <w:sz w:val="28"/>
          <w:szCs w:val="28"/>
        </w:rPr>
        <w:t>5</w:t>
      </w:r>
      <w:r>
        <w:rPr>
          <w:rFonts w:eastAsiaTheme="minorEastAsia"/>
          <w:color w:val="000000" w:themeColor="text1"/>
          <w:sz w:val="28"/>
          <w:szCs w:val="28"/>
        </w:rPr>
        <w:t>mJ/cm</w:t>
      </w:r>
      <w:r>
        <w:rPr>
          <w:rFonts w:eastAsiaTheme="minorEastAsia"/>
          <w:color w:val="000000" w:themeColor="text1"/>
          <w:sz w:val="28"/>
          <w:szCs w:val="28"/>
          <w:vertAlign w:val="superscript"/>
        </w:rPr>
        <w:t>2</w:t>
      </w:r>
      <w:r>
        <w:rPr>
          <w:rFonts w:eastAsiaTheme="minorEastAsia"/>
          <w:color w:val="000000" w:themeColor="text1"/>
          <w:sz w:val="28"/>
          <w:szCs w:val="28"/>
        </w:rPr>
        <w:t>；</w:t>
      </w:r>
    </w:p>
    <w:p>
      <w:pPr>
        <w:widowControl/>
        <w:wordWrap w:val="0"/>
        <w:ind w:firstLine="565" w:firstLineChars="201"/>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再生水宜</w:t>
      </w:r>
      <w:r>
        <w:rPr>
          <w:rFonts w:hint="eastAsia" w:eastAsiaTheme="minorEastAsia"/>
          <w:color w:val="000000" w:themeColor="text1"/>
          <w:sz w:val="28"/>
          <w:szCs w:val="28"/>
          <w:highlight w:val="yellow"/>
        </w:rPr>
        <w:t>24</w:t>
      </w:r>
      <w:r>
        <w:rPr>
          <w:rFonts w:eastAsiaTheme="minorEastAsia"/>
          <w:color w:val="000000" w:themeColor="text1"/>
          <w:sz w:val="28"/>
          <w:szCs w:val="28"/>
          <w:highlight w:val="yellow"/>
        </w:rPr>
        <w:t>mJ/cm</w:t>
      </w:r>
      <w:r>
        <w:rPr>
          <w:rFonts w:eastAsiaTheme="minorEastAsia"/>
          <w:color w:val="000000" w:themeColor="text1"/>
          <w:sz w:val="28"/>
          <w:szCs w:val="28"/>
          <w:highlight w:val="yellow"/>
          <w:vertAlign w:val="superscript"/>
        </w:rPr>
        <w:t>2</w:t>
      </w:r>
      <w:r>
        <w:rPr>
          <w:rFonts w:eastAsiaTheme="minorEastAsia"/>
          <w:color w:val="000000" w:themeColor="text1"/>
          <w:sz w:val="28"/>
          <w:szCs w:val="28"/>
          <w:highlight w:val="yellow"/>
        </w:rPr>
        <w:t>～</w:t>
      </w:r>
      <w:r>
        <w:rPr>
          <w:rFonts w:hint="eastAsia" w:eastAsiaTheme="minorEastAsia"/>
          <w:color w:val="000000" w:themeColor="text1"/>
          <w:sz w:val="28"/>
          <w:szCs w:val="28"/>
          <w:highlight w:val="yellow"/>
        </w:rPr>
        <w:t>30</w:t>
      </w:r>
      <w:r>
        <w:rPr>
          <w:rFonts w:eastAsiaTheme="minorEastAsia"/>
          <w:color w:val="000000" w:themeColor="text1"/>
          <w:sz w:val="28"/>
          <w:szCs w:val="28"/>
          <w:highlight w:val="yellow"/>
        </w:rPr>
        <w:t>mJ/cm</w:t>
      </w:r>
      <w:r>
        <w:rPr>
          <w:rFonts w:eastAsiaTheme="minorEastAsia"/>
          <w:color w:val="000000" w:themeColor="text1"/>
          <w:sz w:val="28"/>
          <w:szCs w:val="28"/>
          <w:highlight w:val="yellow"/>
          <w:vertAlign w:val="superscript"/>
        </w:rPr>
        <w:t>2</w:t>
      </w:r>
      <w:r>
        <w:rPr>
          <w:rFonts w:eastAsiaTheme="minorEastAsia"/>
          <w:color w:val="000000" w:themeColor="text1"/>
          <w:sz w:val="28"/>
          <w:szCs w:val="28"/>
        </w:rPr>
        <w:t>。</w:t>
      </w:r>
    </w:p>
    <w:p>
      <w:pPr>
        <w:wordWrap w:val="0"/>
        <w:rPr>
          <w:rFonts w:eastAsiaTheme="minorEastAsia"/>
          <w:color w:val="000000" w:themeColor="text1"/>
          <w:sz w:val="28"/>
          <w:szCs w:val="28"/>
        </w:rPr>
      </w:pPr>
      <w:r>
        <w:rPr>
          <w:rFonts w:eastAsiaTheme="minorEastAsia"/>
          <w:color w:val="000000" w:themeColor="text1"/>
          <w:sz w:val="28"/>
          <w:szCs w:val="28"/>
        </w:rPr>
        <w:t>【条文说明】污水的有效紫外线剂量应为生物体吸收至足量的紫外线剂量（生物验定剂量或有效剂量），以往用理论公式计算。由于污水的成分复杂且变化大，实践表明理论值比实际需要值低很多，为此，美国《紫外线消毒手册》（EPA，2003年）已推荐用经独立第三方验证的紫外线生物验定剂量作为紫外线有效剂量。据此，做此规定。</w:t>
      </w:r>
    </w:p>
    <w:p>
      <w:pPr>
        <w:wordWrap w:val="0"/>
        <w:ind w:firstLine="570"/>
        <w:rPr>
          <w:rFonts w:eastAsiaTheme="minorEastAsia"/>
          <w:color w:val="000000" w:themeColor="text1"/>
          <w:sz w:val="28"/>
          <w:szCs w:val="28"/>
        </w:rPr>
      </w:pPr>
      <w:r>
        <w:rPr>
          <w:rFonts w:eastAsiaTheme="minorEastAsia"/>
          <w:color w:val="000000" w:themeColor="text1"/>
          <w:sz w:val="28"/>
          <w:szCs w:val="28"/>
        </w:rPr>
        <w:t>《城市给排水紫外线消毒设备》GB/T 19837中明确规定用于污水消毒的紫外线有效剂量指标：为保证达到GB 18918所要求卫生学指标中的二级标准和一级B标准，SS不超过20mg/L时，紫外线有效剂量不应低于15mJ/cm</w:t>
      </w:r>
      <w:r>
        <w:rPr>
          <w:rFonts w:eastAsiaTheme="minorEastAsia"/>
          <w:color w:val="000000" w:themeColor="text1"/>
          <w:sz w:val="28"/>
          <w:szCs w:val="28"/>
          <w:vertAlign w:val="superscript"/>
        </w:rPr>
        <w:t>2</w:t>
      </w:r>
      <w:r>
        <w:rPr>
          <w:rFonts w:eastAsiaTheme="minorEastAsia"/>
          <w:color w:val="000000" w:themeColor="text1"/>
          <w:sz w:val="28"/>
          <w:szCs w:val="28"/>
        </w:rPr>
        <w:t>；为保证达到一级A标准，SS不超过10mg/L时，紫外线有效剂量不应低于20mJ/cm</w:t>
      </w:r>
      <w:r>
        <w:rPr>
          <w:rFonts w:eastAsiaTheme="minorEastAsia"/>
          <w:color w:val="000000" w:themeColor="text1"/>
          <w:sz w:val="28"/>
          <w:szCs w:val="28"/>
          <w:vertAlign w:val="superscript"/>
        </w:rPr>
        <w:t>2</w:t>
      </w:r>
      <w:r>
        <w:rPr>
          <w:rFonts w:eastAsiaTheme="minorEastAsia"/>
          <w:color w:val="000000" w:themeColor="text1"/>
          <w:sz w:val="28"/>
          <w:szCs w:val="28"/>
        </w:rPr>
        <w:t>。紫外线消毒设备在工程设计和应用之前，应提供有资质的第三方用同类设备在类似水质中所做的检验报告。</w:t>
      </w:r>
    </w:p>
    <w:p>
      <w:pPr>
        <w:wordWrap w:val="0"/>
        <w:ind w:firstLine="570"/>
        <w:rPr>
          <w:rFonts w:eastAsiaTheme="minorEastAsia"/>
          <w:color w:val="000000" w:themeColor="text1"/>
          <w:sz w:val="28"/>
          <w:szCs w:val="28"/>
        </w:rPr>
      </w:pPr>
      <w:r>
        <w:rPr>
          <w:rFonts w:eastAsiaTheme="minorEastAsia"/>
          <w:color w:val="000000" w:themeColor="text1"/>
          <w:sz w:val="28"/>
          <w:szCs w:val="28"/>
        </w:rPr>
        <w:t>经调查国内城镇污水厂的运行经验，一般二级处理出水水质达一级B标准时，紫外线消毒有效剂量按15mJ/cm</w:t>
      </w:r>
      <w:r>
        <w:rPr>
          <w:rFonts w:eastAsiaTheme="minorEastAsia"/>
          <w:color w:val="000000" w:themeColor="text1"/>
          <w:sz w:val="28"/>
          <w:szCs w:val="28"/>
          <w:vertAlign w:val="superscript"/>
        </w:rPr>
        <w:t>2</w:t>
      </w:r>
      <w:r>
        <w:rPr>
          <w:rFonts w:eastAsiaTheme="minorEastAsia"/>
          <w:color w:val="000000" w:themeColor="text1"/>
          <w:sz w:val="28"/>
          <w:szCs w:val="28"/>
        </w:rPr>
        <w:t>～19mJ/cm</w:t>
      </w:r>
      <w:r>
        <w:rPr>
          <w:rFonts w:eastAsiaTheme="minorEastAsia"/>
          <w:color w:val="000000" w:themeColor="text1"/>
          <w:sz w:val="28"/>
          <w:szCs w:val="28"/>
          <w:vertAlign w:val="superscript"/>
        </w:rPr>
        <w:t>2</w:t>
      </w:r>
      <w:r>
        <w:rPr>
          <w:rFonts w:eastAsiaTheme="minorEastAsia"/>
          <w:color w:val="000000" w:themeColor="text1"/>
          <w:sz w:val="28"/>
          <w:szCs w:val="28"/>
        </w:rPr>
        <w:t>；出水水质达一级A标准时，紫外线消毒有效剂量按20mJ/cm</w:t>
      </w:r>
      <w:r>
        <w:rPr>
          <w:rFonts w:eastAsiaTheme="minorEastAsia"/>
          <w:color w:val="000000" w:themeColor="text1"/>
          <w:sz w:val="28"/>
          <w:szCs w:val="28"/>
          <w:vertAlign w:val="superscript"/>
        </w:rPr>
        <w:t>2</w:t>
      </w:r>
      <w:r>
        <w:rPr>
          <w:rFonts w:eastAsiaTheme="minorEastAsia"/>
          <w:color w:val="000000" w:themeColor="text1"/>
          <w:sz w:val="28"/>
          <w:szCs w:val="28"/>
        </w:rPr>
        <w:t>～2</w:t>
      </w:r>
      <w:r>
        <w:rPr>
          <w:rFonts w:hint="eastAsia" w:eastAsiaTheme="minorEastAsia"/>
          <w:color w:val="000000" w:themeColor="text1"/>
          <w:sz w:val="28"/>
          <w:szCs w:val="28"/>
        </w:rPr>
        <w:t>5</w:t>
      </w:r>
      <w:r>
        <w:rPr>
          <w:rFonts w:eastAsiaTheme="minorEastAsia"/>
          <w:color w:val="000000" w:themeColor="text1"/>
          <w:sz w:val="28"/>
          <w:szCs w:val="28"/>
        </w:rPr>
        <w:t>mJ/cm</w:t>
      </w:r>
      <w:r>
        <w:rPr>
          <w:rFonts w:eastAsiaTheme="minorEastAsia"/>
          <w:color w:val="000000" w:themeColor="text1"/>
          <w:sz w:val="28"/>
          <w:szCs w:val="28"/>
          <w:vertAlign w:val="superscript"/>
        </w:rPr>
        <w:t>2</w:t>
      </w:r>
      <w:r>
        <w:rPr>
          <w:rFonts w:eastAsiaTheme="minorEastAsia"/>
          <w:color w:val="000000" w:themeColor="text1"/>
          <w:sz w:val="28"/>
          <w:szCs w:val="28"/>
        </w:rPr>
        <w:t>。据此做出二级处理出水的紫外线有效剂量规定。</w:t>
      </w:r>
    </w:p>
    <w:p>
      <w:pPr>
        <w:wordWrap w:val="0"/>
        <w:ind w:firstLine="570"/>
        <w:rPr>
          <w:rFonts w:eastAsiaTheme="minorEastAsia"/>
          <w:color w:val="000000" w:themeColor="text1"/>
          <w:sz w:val="28"/>
          <w:szCs w:val="28"/>
        </w:rPr>
      </w:pPr>
      <w:r>
        <w:rPr>
          <w:rFonts w:eastAsiaTheme="minorEastAsia"/>
          <w:color w:val="000000" w:themeColor="text1"/>
          <w:sz w:val="28"/>
          <w:szCs w:val="28"/>
        </w:rPr>
        <w:t>一些病原体进行不同程度灭活时所需紫外线剂量资料见表26。</w:t>
      </w:r>
    </w:p>
    <w:p>
      <w:pPr>
        <w:wordWrap w:val="0"/>
        <w:ind w:firstLine="570"/>
        <w:jc w:val="center"/>
        <w:rPr>
          <w:rFonts w:eastAsiaTheme="minorEastAsia"/>
          <w:b/>
          <w:color w:val="000000" w:themeColor="text1"/>
          <w:sz w:val="28"/>
          <w:szCs w:val="28"/>
        </w:rPr>
      </w:pPr>
      <w:r>
        <w:rPr>
          <w:rFonts w:eastAsiaTheme="minorEastAsia"/>
          <w:b/>
          <w:color w:val="000000" w:themeColor="text1"/>
          <w:sz w:val="28"/>
          <w:szCs w:val="28"/>
        </w:rPr>
        <w:t>表26灭活一些病原体的紫外线剂量(mJ/cm</w:t>
      </w:r>
      <w:r>
        <w:rPr>
          <w:rFonts w:eastAsiaTheme="minorEastAsia"/>
          <w:b/>
          <w:color w:val="000000" w:themeColor="text1"/>
          <w:sz w:val="28"/>
          <w:szCs w:val="28"/>
          <w:vertAlign w:val="superscript"/>
        </w:rPr>
        <w:t>2</w:t>
      </w:r>
      <w:r>
        <w:rPr>
          <w:rFonts w:eastAsiaTheme="minorEastAsia"/>
          <w:b/>
          <w:color w:val="000000" w:themeColor="text1"/>
          <w:sz w:val="28"/>
          <w:szCs w:val="28"/>
        </w:rPr>
        <w:t>）</w:t>
      </w:r>
    </w:p>
    <w:tbl>
      <w:tblPr>
        <w:tblStyle w:val="25"/>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5"/>
        <w:gridCol w:w="1701"/>
        <w:gridCol w:w="1701"/>
        <w:gridCol w:w="1559"/>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7" w:hRule="atLeast"/>
        </w:trPr>
        <w:tc>
          <w:tcPr>
            <w:tcW w:w="2235" w:type="dxa"/>
            <w:tcBorders>
              <w:tl2br w:val="single" w:color="auto" w:sz="4" w:space="0"/>
            </w:tcBorders>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病原体的灭活程度</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病原体</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90%</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99%</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99.9%</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trPr>
        <w:tc>
          <w:tcPr>
            <w:tcW w:w="22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隐孢子虫</w:t>
            </w:r>
          </w:p>
        </w:tc>
        <w:tc>
          <w:tcPr>
            <w:tcW w:w="1701" w:type="dxa"/>
            <w:vAlign w:val="center"/>
          </w:tcPr>
          <w:p>
            <w:pPr>
              <w:wordWrap w:val="0"/>
              <w:spacing w:line="360" w:lineRule="auto"/>
              <w:jc w:val="center"/>
              <w:rPr>
                <w:rFonts w:eastAsiaTheme="minorEastAsia"/>
                <w:color w:val="000000" w:themeColor="text1"/>
                <w:sz w:val="28"/>
                <w:szCs w:val="28"/>
              </w:rPr>
            </w:pP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&lt;10</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&lt;19</w:t>
            </w:r>
          </w:p>
        </w:tc>
        <w:tc>
          <w:tcPr>
            <w:tcW w:w="1134" w:type="dxa"/>
            <w:vAlign w:val="center"/>
          </w:tcPr>
          <w:p>
            <w:pPr>
              <w:wordWrap w:val="0"/>
              <w:spacing w:line="360" w:lineRule="auto"/>
              <w:jc w:val="center"/>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trPr>
        <w:tc>
          <w:tcPr>
            <w:tcW w:w="22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贾第虫</w:t>
            </w:r>
          </w:p>
        </w:tc>
        <w:tc>
          <w:tcPr>
            <w:tcW w:w="1701" w:type="dxa"/>
            <w:vAlign w:val="center"/>
          </w:tcPr>
          <w:p>
            <w:pPr>
              <w:wordWrap w:val="0"/>
              <w:spacing w:line="360" w:lineRule="auto"/>
              <w:jc w:val="center"/>
              <w:rPr>
                <w:rFonts w:eastAsiaTheme="minorEastAsia"/>
                <w:color w:val="000000" w:themeColor="text1"/>
                <w:sz w:val="28"/>
                <w:szCs w:val="28"/>
              </w:rPr>
            </w:pP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&lt;5</w:t>
            </w:r>
          </w:p>
        </w:tc>
        <w:tc>
          <w:tcPr>
            <w:tcW w:w="1559" w:type="dxa"/>
            <w:vAlign w:val="center"/>
          </w:tcPr>
          <w:p>
            <w:pPr>
              <w:wordWrap w:val="0"/>
              <w:spacing w:line="360" w:lineRule="auto"/>
              <w:jc w:val="center"/>
              <w:rPr>
                <w:rFonts w:eastAsiaTheme="minorEastAsia"/>
                <w:color w:val="000000" w:themeColor="text1"/>
                <w:sz w:val="28"/>
                <w:szCs w:val="28"/>
              </w:rPr>
            </w:pPr>
          </w:p>
        </w:tc>
        <w:tc>
          <w:tcPr>
            <w:tcW w:w="1134" w:type="dxa"/>
            <w:vAlign w:val="center"/>
          </w:tcPr>
          <w:p>
            <w:pPr>
              <w:wordWrap w:val="0"/>
              <w:spacing w:line="360" w:lineRule="auto"/>
              <w:jc w:val="center"/>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trPr>
        <w:tc>
          <w:tcPr>
            <w:tcW w:w="22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霍乱弧菌</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0.8</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1.4</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2.2</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trPr>
        <w:tc>
          <w:tcPr>
            <w:tcW w:w="22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痢疾志贺氏病毒</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0.5</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1.2</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85" w:hRule="atLeast"/>
        </w:trPr>
        <w:tc>
          <w:tcPr>
            <w:tcW w:w="22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埃希氏病菌</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2.8</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4.1</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trPr>
        <w:tc>
          <w:tcPr>
            <w:tcW w:w="22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伤寒沙门氏菌</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1.8～2.7</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4.1～4.8</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5.5～6.4</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trPr>
        <w:tc>
          <w:tcPr>
            <w:tcW w:w="22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伤寒志贺氏病菌</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3.2</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4.9</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6.5</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trPr>
        <w:tc>
          <w:tcPr>
            <w:tcW w:w="22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致肠炎沙门氏菌</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trPr>
        <w:tc>
          <w:tcPr>
            <w:tcW w:w="22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肝炎病毒</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4.1～5.5</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8.2～14</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12～22</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trPr>
        <w:tc>
          <w:tcPr>
            <w:tcW w:w="22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脊髓灰质炎病毒</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4～6</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8.7～14</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14～23</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85" w:hRule="atLeast"/>
        </w:trPr>
        <w:tc>
          <w:tcPr>
            <w:tcW w:w="22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柯萨奇病毒B5病毒</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6.9</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14</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22</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trPr>
        <w:tc>
          <w:tcPr>
            <w:tcW w:w="223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轮状病毒SAII</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7.1～9.1</w:t>
            </w:r>
          </w:p>
        </w:tc>
        <w:tc>
          <w:tcPr>
            <w:tcW w:w="170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15～19</w:t>
            </w:r>
          </w:p>
        </w:tc>
        <w:tc>
          <w:tcPr>
            <w:tcW w:w="155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23～26</w:t>
            </w:r>
          </w:p>
        </w:tc>
        <w:tc>
          <w:tcPr>
            <w:tcW w:w="113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31～36</w:t>
            </w:r>
          </w:p>
        </w:tc>
      </w:tr>
    </w:tbl>
    <w:p>
      <w:pPr>
        <w:wordWrap w:val="0"/>
        <w:spacing w:line="360" w:lineRule="auto"/>
        <w:ind w:firstLine="280" w:firstLineChars="100"/>
        <w:rPr>
          <w:rFonts w:eastAsiaTheme="minorEastAsia"/>
          <w:color w:val="000000" w:themeColor="text1"/>
          <w:sz w:val="28"/>
          <w:szCs w:val="28"/>
        </w:rPr>
      </w:pPr>
      <w:r>
        <w:rPr>
          <w:rFonts w:eastAsiaTheme="minorEastAsia"/>
          <w:color w:val="000000" w:themeColor="text1"/>
          <w:sz w:val="28"/>
          <w:szCs w:val="28"/>
        </w:rPr>
        <w:t>一些城镇污水厂消毒的紫外线剂量见表27。</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表27 一些城镇污水厂消毒的紫外线有效剂量</w:t>
      </w:r>
    </w:p>
    <w:tbl>
      <w:tblPr>
        <w:tblStyle w:val="25"/>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2131"/>
        <w:gridCol w:w="19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厂名</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拟消毒的水</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紫外线剂量(mJ/cm</w:t>
            </w:r>
            <w:r>
              <w:rPr>
                <w:rFonts w:eastAsiaTheme="minorEastAsia"/>
                <w:color w:val="000000" w:themeColor="text1"/>
                <w:sz w:val="28"/>
                <w:szCs w:val="28"/>
                <w:vertAlign w:val="superscript"/>
              </w:rPr>
              <w:t>2</w:t>
            </w:r>
            <w:r>
              <w:rPr>
                <w:rFonts w:eastAsiaTheme="minorEastAsia"/>
                <w:color w:val="000000" w:themeColor="text1"/>
                <w:sz w:val="28"/>
                <w:szCs w:val="28"/>
              </w:rPr>
              <w:t>)</w:t>
            </w:r>
          </w:p>
        </w:tc>
        <w:tc>
          <w:tcPr>
            <w:tcW w:w="193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建成时间（年）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上海市长桥污水厂</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A</w:t>
            </w:r>
            <w:r>
              <w:rPr>
                <w:rFonts w:eastAsiaTheme="minorEastAsia"/>
                <w:color w:val="000000" w:themeColor="text1"/>
                <w:sz w:val="28"/>
                <w:szCs w:val="28"/>
                <w:vertAlign w:val="subscript"/>
              </w:rPr>
              <w:t>N</w:t>
            </w:r>
            <w:r>
              <w:rPr>
                <w:rFonts w:eastAsiaTheme="minorEastAsia"/>
                <w:color w:val="000000" w:themeColor="text1"/>
                <w:sz w:val="28"/>
                <w:szCs w:val="28"/>
              </w:rPr>
              <w:t>O二级出水</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21.4</w:t>
            </w:r>
          </w:p>
        </w:tc>
        <w:tc>
          <w:tcPr>
            <w:tcW w:w="193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4" w:hRule="atLeast"/>
        </w:trPr>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上海市龙华污水厂</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二级出水</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21.6</w:t>
            </w:r>
          </w:p>
        </w:tc>
        <w:tc>
          <w:tcPr>
            <w:tcW w:w="193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4" w:hRule="atLeast"/>
        </w:trPr>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无锡市新城污水厂</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二级出水</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17.6</w:t>
            </w:r>
          </w:p>
        </w:tc>
        <w:tc>
          <w:tcPr>
            <w:tcW w:w="193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深圳市大工业区污水厂（一期）</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二级出水</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18.6</w:t>
            </w:r>
          </w:p>
        </w:tc>
        <w:tc>
          <w:tcPr>
            <w:tcW w:w="193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624" w:hRule="atLeast"/>
        </w:trPr>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苏州市新区第二污水厂</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二级出水</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17.6</w:t>
            </w:r>
          </w:p>
        </w:tc>
        <w:tc>
          <w:tcPr>
            <w:tcW w:w="193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上海市闵行污水厂</w:t>
            </w:r>
          </w:p>
        </w:tc>
        <w:tc>
          <w:tcPr>
            <w:tcW w:w="213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A</w:t>
            </w:r>
            <w:r>
              <w:rPr>
                <w:rFonts w:eastAsiaTheme="minorEastAsia"/>
                <w:color w:val="000000" w:themeColor="text1"/>
                <w:sz w:val="28"/>
                <w:szCs w:val="28"/>
                <w:vertAlign w:val="subscript"/>
              </w:rPr>
              <w:t>N</w:t>
            </w:r>
            <w:r>
              <w:rPr>
                <w:rFonts w:eastAsiaTheme="minorEastAsia"/>
                <w:color w:val="000000" w:themeColor="text1"/>
                <w:sz w:val="28"/>
                <w:szCs w:val="28"/>
              </w:rPr>
              <w:t>O二级出水</w:t>
            </w:r>
          </w:p>
        </w:tc>
        <w:tc>
          <w:tcPr>
            <w:tcW w:w="213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15.0</w:t>
            </w:r>
          </w:p>
        </w:tc>
        <w:tc>
          <w:tcPr>
            <w:tcW w:w="1939"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1999</w:t>
            </w:r>
          </w:p>
        </w:tc>
      </w:tr>
    </w:tbl>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单独采用紫外线消毒时，由于紫外光不能在管网中提供持续的消毒作用，为避免细菌的光复活，应尽量加大紫外线有效剂量。因此，《城市给排水紫外线消毒设备》GB/T 19837规定，紫外线消毒作为城市杂用水主要消毒手段时，紫外线有效剂量不应低于80mJ/cm</w:t>
      </w:r>
      <w:r>
        <w:rPr>
          <w:rFonts w:ascii="Times New Roman" w:hAnsi="Times New Roman" w:eastAsiaTheme="minorEastAsia"/>
          <w:color w:val="000000" w:themeColor="text1"/>
          <w:sz w:val="28"/>
          <w:szCs w:val="28"/>
          <w:vertAlign w:val="superscript"/>
        </w:rPr>
        <w:t>2</w:t>
      </w:r>
      <w:r>
        <w:rPr>
          <w:rFonts w:ascii="Times New Roman" w:hAnsi="Times New Roman" w:eastAsiaTheme="minorEastAsia"/>
          <w:color w:val="000000" w:themeColor="text1"/>
          <w:sz w:val="28"/>
          <w:szCs w:val="28"/>
        </w:rPr>
        <w:t>。否则，难以稳定达到《城市污水再生利用 城市杂用水水质》GB/T 18920规定的 “总大肠菌群≤3个/L”的指标。采用紫外线消毒与含氯消毒剂联用的方法，则可以增强水质安全保障，有效解决紫外线持续消毒能力差的问题。此外，根据污水再生利用的不同分类，按照国内相关水质标准，除地下水回灌水质无余氯要求外，其余（城市杂用水、景观环境用水、工业用水、农田灌溉用水、绿地灌溉）均有余氯量的要求，故规定再生水采用紫外线消毒时宜与含氯消毒剂联合使用。</w:t>
      </w:r>
    </w:p>
    <w:p>
      <w:pPr>
        <w:pStyle w:val="30"/>
        <w:numPr>
          <w:ilvl w:val="0"/>
          <w:numId w:val="4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bCs/>
          <w:color w:val="000000" w:themeColor="text1"/>
          <w:sz w:val="28"/>
          <w:szCs w:val="28"/>
        </w:rPr>
        <w:t>紫外线</w:t>
      </w:r>
      <w:r>
        <w:rPr>
          <w:rFonts w:ascii="Times New Roman" w:hAnsi="Times New Roman" w:eastAsiaTheme="minorEastAsia"/>
          <w:color w:val="000000" w:themeColor="text1"/>
          <w:sz w:val="28"/>
          <w:szCs w:val="28"/>
        </w:rPr>
        <w:t>照射渠的设计，应符合下列规定：</w:t>
      </w:r>
    </w:p>
    <w:p>
      <w:pPr>
        <w:widowControl/>
        <w:wordWrap w:val="0"/>
        <w:ind w:firstLine="565" w:firstLineChars="201"/>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照射渠水流均布，灯管前后的渠长度不宜小于1m；</w:t>
      </w:r>
    </w:p>
    <w:p>
      <w:pPr>
        <w:widowControl/>
        <w:wordWrap w:val="0"/>
        <w:ind w:firstLine="565" w:firstLineChars="201"/>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渠道设水位探测及水位控制装置，设计水深应满足全部灯管的淹没要求；同时</w:t>
      </w:r>
      <w:r>
        <w:rPr>
          <w:rFonts w:hint="eastAsia" w:eastAsiaTheme="minorEastAsia"/>
          <w:color w:val="000000" w:themeColor="text1"/>
          <w:sz w:val="28"/>
          <w:szCs w:val="28"/>
        </w:rPr>
        <w:t>应</w:t>
      </w:r>
      <w:r>
        <w:rPr>
          <w:rFonts w:eastAsiaTheme="minorEastAsia"/>
          <w:color w:val="000000" w:themeColor="text1"/>
          <w:sz w:val="28"/>
          <w:szCs w:val="28"/>
        </w:rPr>
        <w:t>满足最大流量时，最上层紫外灯管顶以上水深在灯管有效杀菌范围内。</w:t>
      </w:r>
    </w:p>
    <w:p>
      <w:pPr>
        <w:wordWrap w:val="0"/>
        <w:rPr>
          <w:rFonts w:eastAsiaTheme="minorEastAsia"/>
          <w:color w:val="000000" w:themeColor="text1"/>
          <w:sz w:val="28"/>
          <w:szCs w:val="28"/>
        </w:rPr>
      </w:pPr>
      <w:r>
        <w:rPr>
          <w:rFonts w:eastAsiaTheme="minorEastAsia"/>
          <w:color w:val="000000" w:themeColor="text1"/>
          <w:sz w:val="28"/>
          <w:szCs w:val="28"/>
        </w:rPr>
        <w:t>【条文说明】为控制合理的水流流态，充分发挥照射效果，做出本规定。</w:t>
      </w:r>
    </w:p>
    <w:p>
      <w:pPr>
        <w:pStyle w:val="30"/>
        <w:numPr>
          <w:ilvl w:val="0"/>
          <w:numId w:val="47"/>
        </w:numPr>
        <w:wordWrap w:val="0"/>
        <w:spacing w:line="360" w:lineRule="auto"/>
        <w:ind w:left="0" w:firstLine="0" w:firstLineChars="0"/>
        <w:rPr>
          <w:rFonts w:ascii="Times New Roman" w:hAnsi="Times New Roman" w:eastAsiaTheme="minorEastAsia"/>
          <w:color w:val="000000" w:themeColor="text1"/>
          <w:sz w:val="28"/>
          <w:szCs w:val="28"/>
        </w:rPr>
      </w:pPr>
      <w:bookmarkStart w:id="71" w:name="_Toc74992759"/>
      <w:r>
        <w:rPr>
          <w:rFonts w:ascii="Times New Roman" w:hAnsi="Times New Roman" w:eastAsiaTheme="minorEastAsia"/>
          <w:color w:val="000000" w:themeColor="text1"/>
          <w:sz w:val="28"/>
          <w:szCs w:val="28"/>
        </w:rPr>
        <w:t>紫外线消毒模块组应具备不停机维护检修的条件，维持消毒系统的持续运行。</w:t>
      </w:r>
    </w:p>
    <w:p>
      <w:pPr>
        <w:widowControl/>
        <w:wordWrap w:val="0"/>
        <w:jc w:val="center"/>
        <w:rPr>
          <w:rFonts w:eastAsiaTheme="minorEastAsia"/>
          <w:bCs/>
          <w:color w:val="000000" w:themeColor="text1"/>
          <w:sz w:val="28"/>
          <w:szCs w:val="28"/>
        </w:rPr>
      </w:pPr>
      <w:r>
        <w:rPr>
          <w:rFonts w:eastAsiaTheme="minorEastAsia"/>
          <w:bCs/>
          <w:color w:val="000000" w:themeColor="text1"/>
          <w:sz w:val="28"/>
          <w:szCs w:val="28"/>
        </w:rPr>
        <w:t>III  二氧化氯、次氯酸钠和氯</w:t>
      </w:r>
      <w:bookmarkEnd w:id="71"/>
    </w:p>
    <w:p>
      <w:pPr>
        <w:pStyle w:val="30"/>
        <w:numPr>
          <w:ilvl w:val="0"/>
          <w:numId w:val="4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污水厂出水的加氯量应根据试验资料或类似运行经验确定。无试验资料时，可采用5mg/L～15mg/L，再生水的加氯量按卫生学指标和余氯量确定。</w:t>
      </w:r>
    </w:p>
    <w:p>
      <w:pPr>
        <w:wordWrap w:val="0"/>
        <w:rPr>
          <w:rFonts w:eastAsiaTheme="minorEastAsia"/>
          <w:color w:val="000000" w:themeColor="text1"/>
          <w:sz w:val="28"/>
          <w:szCs w:val="28"/>
        </w:rPr>
      </w:pPr>
      <w:r>
        <w:rPr>
          <w:rFonts w:eastAsiaTheme="minorEastAsia"/>
          <w:color w:val="000000" w:themeColor="text1"/>
          <w:sz w:val="28"/>
          <w:szCs w:val="28"/>
        </w:rPr>
        <w:t>【条文说明】《城镇污水处理厂污染物排放标准》GB18918中规定了粪大肠菌群数排放指标，按此要求的加氯量，应根据试验资料或类似生产运行经验确定。</w:t>
      </w:r>
    </w:p>
    <w:p>
      <w:pPr>
        <w:wordWrap w:val="0"/>
        <w:ind w:firstLine="600"/>
        <w:rPr>
          <w:rFonts w:eastAsiaTheme="minorEastAsia"/>
          <w:color w:val="000000" w:themeColor="text1"/>
          <w:sz w:val="28"/>
          <w:szCs w:val="28"/>
        </w:rPr>
      </w:pPr>
      <w:r>
        <w:rPr>
          <w:rFonts w:eastAsiaTheme="minorEastAsia"/>
          <w:color w:val="000000" w:themeColor="text1"/>
          <w:sz w:val="28"/>
          <w:szCs w:val="28"/>
        </w:rPr>
        <w:t>经调查国内城镇污水厂的运行经验：一般出水水质达一级B标准时，加氯量为5mg/L～9mg/L；出水水质达一级A标准时，加氯量为3mg/L～5mg/L。据此规定：无试验资料时，二级处理出水的加氯量可采用5mg/L～l5mg/L。</w:t>
      </w:r>
    </w:p>
    <w:p>
      <w:pPr>
        <w:wordWrap w:val="0"/>
        <w:ind w:firstLine="565" w:firstLineChars="202"/>
        <w:rPr>
          <w:rFonts w:eastAsiaTheme="minorEastAsia"/>
          <w:color w:val="000000" w:themeColor="text1"/>
          <w:sz w:val="28"/>
          <w:szCs w:val="28"/>
        </w:rPr>
      </w:pPr>
      <w:r>
        <w:rPr>
          <w:rFonts w:eastAsiaTheme="minorEastAsia"/>
          <w:color w:val="000000" w:themeColor="text1"/>
          <w:sz w:val="28"/>
          <w:szCs w:val="28"/>
        </w:rPr>
        <w:t>再生水除卫生学指标外，还有余氯量的要求，故加氯量按卫生学指标和余氯量确定。</w:t>
      </w:r>
    </w:p>
    <w:p>
      <w:pPr>
        <w:pStyle w:val="30"/>
        <w:numPr>
          <w:ilvl w:val="0"/>
          <w:numId w:val="4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二氧化氯、次氯酸钠或氯消毒后应进行混合和接触，接触时间不应小于30min。</w:t>
      </w:r>
    </w:p>
    <w:p>
      <w:pPr>
        <w:wordWrap w:val="0"/>
        <w:rPr>
          <w:rFonts w:eastAsiaTheme="minorEastAsia"/>
          <w:color w:val="000000" w:themeColor="text1"/>
          <w:sz w:val="28"/>
          <w:szCs w:val="28"/>
        </w:rPr>
      </w:pPr>
      <w:r>
        <w:rPr>
          <w:rFonts w:eastAsiaTheme="minorEastAsia"/>
          <w:color w:val="000000" w:themeColor="text1"/>
          <w:sz w:val="28"/>
          <w:szCs w:val="28"/>
        </w:rPr>
        <w:t>【条文说明】在紊流条件下，二氧化氯或氯能在较短的接触时间内对污水达到最大的杀菌率。但考虑到接触池中水流可能发生死角和短流，因此，为了提高和保证消毒效果，规定二氧化氯或氯消毒的接触时间不应小于30min。</w:t>
      </w:r>
    </w:p>
    <w:p>
      <w:pPr>
        <w:pStyle w:val="30"/>
        <w:numPr>
          <w:ilvl w:val="0"/>
          <w:numId w:val="4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次氯酸钠溶液</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低温、避光储存，储存时间不宜大于7d。</w:t>
      </w:r>
    </w:p>
    <w:p>
      <w:pPr>
        <w:wordWrap w:val="0"/>
        <w:rPr>
          <w:rFonts w:eastAsiaTheme="minorEastAsia"/>
          <w:color w:val="000000" w:themeColor="text1"/>
          <w:sz w:val="28"/>
          <w:szCs w:val="28"/>
        </w:rPr>
      </w:pPr>
      <w:r>
        <w:rPr>
          <w:rFonts w:eastAsiaTheme="minorEastAsia"/>
          <w:color w:val="000000" w:themeColor="text1"/>
          <w:sz w:val="28"/>
          <w:szCs w:val="28"/>
        </w:rPr>
        <w:t>【条文说明】次氯酸钠溶液的稳定性较差，温度和紫外光对次氯酸钠的稳定性影响很大，升高温度或光照（特别是紫外光），次氯酸钠溶液的分解速度将明显加快，所以次氯酸钠溶液要低温、避光储存。储存区域室温不宜超过30</w:t>
      </w:r>
      <w:r>
        <w:rPr>
          <w:rFonts w:eastAsia="宋体"/>
          <w:color w:val="000000" w:themeColor="text1"/>
          <w:sz w:val="28"/>
          <w:szCs w:val="28"/>
        </w:rPr>
        <w:t>°</w:t>
      </w:r>
      <w:r>
        <w:rPr>
          <w:rFonts w:eastAsiaTheme="minorEastAsia"/>
          <w:color w:val="000000" w:themeColor="text1"/>
          <w:sz w:val="28"/>
          <w:szCs w:val="28"/>
        </w:rPr>
        <w:t>C，储存时间不宜大于7d。</w:t>
      </w:r>
    </w:p>
    <w:p>
      <w:pPr>
        <w:widowControl/>
        <w:wordWrap w:val="0"/>
        <w:ind w:firstLine="560" w:firstLineChars="200"/>
        <w:rPr>
          <w:rFonts w:eastAsiaTheme="minorEastAsia"/>
          <w:color w:val="000000" w:themeColor="text1"/>
          <w:sz w:val="28"/>
          <w:szCs w:val="28"/>
        </w:rPr>
      </w:pPr>
    </w:p>
    <w:p>
      <w:pPr>
        <w:pStyle w:val="3"/>
        <w:numPr>
          <w:ilvl w:val="0"/>
          <w:numId w:val="34"/>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72" w:name="_Toc515281068"/>
      <w:r>
        <w:rPr>
          <w:rFonts w:ascii="Times New Roman" w:hAnsi="Times New Roman" w:eastAsiaTheme="minorEastAsia"/>
          <w:b w:val="0"/>
          <w:color w:val="000000" w:themeColor="text1"/>
          <w:sz w:val="28"/>
          <w:szCs w:val="28"/>
        </w:rPr>
        <w:t>除臭</w:t>
      </w:r>
      <w:bookmarkEnd w:id="72"/>
      <w:r>
        <w:rPr>
          <w:rFonts w:ascii="Times New Roman" w:hAnsi="Times New Roman" w:eastAsiaTheme="minorEastAsia"/>
          <w:b w:val="0"/>
          <w:color w:val="000000" w:themeColor="text1"/>
          <w:sz w:val="28"/>
          <w:szCs w:val="28"/>
        </w:rPr>
        <w:t xml:space="preserve"> </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t>I 一般规定</w:t>
      </w:r>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室外排水工程进行臭气处理设计，宜采用臭气散发量少的污水、污泥处理工艺和设备，并应通过臭气源隔断、防止腐败、设备清洗等措施，对臭气源头进行控制。</w:t>
      </w:r>
    </w:p>
    <w:p>
      <w:pPr>
        <w:widowControl/>
        <w:wordWrap w:val="0"/>
        <w:rPr>
          <w:rFonts w:eastAsiaTheme="minorEastAsia"/>
          <w:color w:val="000000" w:themeColor="text1"/>
          <w:sz w:val="28"/>
          <w:szCs w:val="28"/>
        </w:rPr>
      </w:pPr>
      <w:r>
        <w:rPr>
          <w:rFonts w:eastAsiaTheme="minorEastAsia"/>
          <w:color w:val="000000" w:themeColor="text1"/>
          <w:sz w:val="28"/>
          <w:szCs w:val="28"/>
        </w:rPr>
        <w:t>【条文说明】通过工艺改进，采用臭气散发量少的污水污泥处理技术和设备，减少臭气产生量是除臭技术中最经济有效的方法。改进方法包括：污水收集应严格执行排放标准和排放程序，对工业废水进行预处理并设调节池等措施可以控制致臭废水排入收集系统；污水管道系统设计应确保管内流速不致引起固体物质沉降和累积，宜减少倒虹管和压力管的设以减少污水在管道内的停留时间；在收集系统和长距离压力管中可投加过氧化氢、纯氧或使空气维持好氧条件，维持水中的溶解氧浓度在0.5mg/L以上。其他措施包括：进行消毒或调节pH值控制厌氧生物生长；投加硝酸钙等化学药剂氧化或沉淀致臭物质。</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污水泵站可减少进集水井的跌水高度，避免渠道内紊流，采用变速泵等措施减小集水井体积，设集水井底坡防止沉积及及时清除油脂类物质等减少臭气产生。</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污水厂进水段应及时清除栅渣和沉砂，定期清洗格栅，设封闭式栅渣粉碎机、封闭式计量设备，采用淹没式出水；格栅除污机、输送机和压榨脱水机的进出料口宜采用密封形式；初沉池可减少出水跌水高度，采用完全密闭接口排泥，排泥浓度维持在2%左右，避免污泥长时间停留；处理技术注重选用敞开面积小、臭气散发量小的工艺；高负荷系统和机械曝气系统的臭气产生比低负荷系统和微孔曝气系统多；曝气池需要加盖时，不宜选择表面曝气系统，因为高负荷系统和机械曝气系统的臭气产生比低负荷系统和微孔曝气系统多；降低生物处理的工艺负荷，确保充氧充分和混合均匀；采用扩散空气曝气和水下搅拌器；将出水和排泥口置于水面下可减少臭气释放；低负荷工艺可减少污泥量从而减少后续污泥处理中的臭气生成量。</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储泥池和重力浓缩池应减少污泥存放时间；防止污泥和上清液排放中发生飞溅；应采用低速搅拌。</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机械浓缩和脱水可减少污泥浓缩及脱水前存放时间；臭气的收集和处理应防止污泥和上清液排放时的飞溅；可采用密封性能较好的处理设备，对污泥进行密闭转运和处置等。</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污泥厌氧消化应确保污泥气燃烧装置运行正常，降低消化污泥排入二级消化池的跌落高度，可投加铁盐以减少臭气。</w:t>
      </w:r>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污水厂除臭系统宜由臭气源封闭加罩或加盖、臭气收集、臭气处理和处理后排放等部分组成。</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【条文说明】污水厂的除臭系统是一项系统工程，涵盖从源头收集到末端排放的全过程控制，其中包括臭气源加盖、臭气收集、臭气处理和处理后排放等部分。</w:t>
      </w:r>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除臭系统应进行源强和组份分析，根据臭气发散量、浓度和臭气成份选用合适的处理工艺。周边环境要求高的场合宜采用多种处理工艺组合。</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随着对大气环境质量要求和污水设施臭气排放标准的提高，臭气处理的难度和运行成本也不断增加，应根据不同的臭源针对性采取高效的处理工艺和技术，确保达标排放。当污水厂厂界臭气浓度满足排放要求时，非封闭操作区域可采取喷洒植物液等缓解臭气的措施。</w:t>
      </w:r>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臭气处理系统应根据当地的气温和气候条件采取防冻和保温措施。</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【条文说明】寒冷地区的臭气处理系统包括臭气处理装置和臭气收集管道等应采取防冻保温措施，保证处理装置特别是生物处理装置能够正常运行。</w:t>
      </w:r>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hint="eastAsia" w:ascii="Times New Roman" w:hAnsi="Times New Roman" w:eastAsiaTheme="minorEastAsia"/>
          <w:color w:val="000000" w:themeColor="text1"/>
          <w:sz w:val="28"/>
          <w:szCs w:val="28"/>
        </w:rPr>
        <w:t>臭气</w:t>
      </w:r>
      <w:r>
        <w:rPr>
          <w:rFonts w:ascii="Times New Roman" w:hAnsi="Times New Roman" w:eastAsiaTheme="minorEastAsia"/>
          <w:color w:val="000000" w:themeColor="text1"/>
          <w:sz w:val="28"/>
          <w:szCs w:val="28"/>
        </w:rPr>
        <w:t>风量设计应采取量少、质浓的原则。在满足密闭空间内抽吸气均匀和浓度控制的条件下，应尽量采取小空间密闭，负压抽吸的收集方式。污水、污泥处理构筑物的臭气风量宜根据构筑物的种类、散发臭气的水面面积、臭气空间体积等因素确定。设备臭气风量宜根据设备的种类、封闭程度、封闭空间体积等因素确定。</w:t>
      </w:r>
      <w:r>
        <w:rPr>
          <w:rFonts w:hint="eastAsia" w:ascii="Times New Roman" w:hAnsi="Times New Roman" w:eastAsiaTheme="minorEastAsia"/>
          <w:color w:val="000000" w:themeColor="text1"/>
          <w:sz w:val="28"/>
          <w:szCs w:val="28"/>
        </w:rPr>
        <w:t>臭气</w:t>
      </w:r>
      <w:r>
        <w:rPr>
          <w:rFonts w:ascii="Times New Roman" w:hAnsi="Times New Roman" w:eastAsiaTheme="minorEastAsia"/>
          <w:color w:val="000000" w:themeColor="text1"/>
          <w:sz w:val="28"/>
          <w:szCs w:val="28"/>
        </w:rPr>
        <w:t>风量应根据监测和试验确定，无数据和试验资料时，可按下列规定计算：</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 xml:space="preserve">1 </w:t>
      </w:r>
      <w:r>
        <w:rPr>
          <w:rFonts w:eastAsiaTheme="minorEastAsia"/>
          <w:sz w:val="28"/>
          <w:szCs w:val="28"/>
        </w:rPr>
        <w:t>进水</w:t>
      </w:r>
      <w:r>
        <w:rPr>
          <w:rFonts w:eastAsiaTheme="minorEastAsia"/>
          <w:color w:val="000000" w:themeColor="text1"/>
          <w:sz w:val="28"/>
          <w:szCs w:val="28"/>
        </w:rPr>
        <w:t>泵吸水井或沉砂池臭气风量</w:t>
      </w:r>
      <w:r>
        <w:rPr>
          <w:rFonts w:hint="eastAsia" w:eastAsiaTheme="minorEastAsia"/>
          <w:color w:val="000000" w:themeColor="text1"/>
          <w:sz w:val="28"/>
          <w:szCs w:val="28"/>
        </w:rPr>
        <w:t>可</w:t>
      </w:r>
      <w:r>
        <w:rPr>
          <w:rFonts w:eastAsiaTheme="minorEastAsia"/>
          <w:color w:val="000000" w:themeColor="text1"/>
          <w:sz w:val="28"/>
          <w:szCs w:val="28"/>
        </w:rPr>
        <w:t>按单位水面积</w:t>
      </w:r>
      <w:r>
        <w:rPr>
          <w:rFonts w:eastAsiaTheme="minorEastAsia"/>
          <w:sz w:val="28"/>
          <w:szCs w:val="28"/>
        </w:rPr>
        <w:t>臭气风量指标</w:t>
      </w:r>
      <w:r>
        <w:rPr>
          <w:rFonts w:eastAsiaTheme="minorEastAsia"/>
          <w:color w:val="000000" w:themeColor="text1"/>
          <w:sz w:val="28"/>
          <w:szCs w:val="28"/>
        </w:rPr>
        <w:t>10m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·h)计算，并可增加1次/h~2次/h的空间换气量；</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初沉池、浓缩池等构筑物臭气风量</w:t>
      </w:r>
      <w:r>
        <w:rPr>
          <w:rFonts w:hint="eastAsia" w:eastAsiaTheme="minorEastAsia"/>
          <w:color w:val="000000" w:themeColor="text1"/>
          <w:sz w:val="28"/>
          <w:szCs w:val="28"/>
        </w:rPr>
        <w:t>可</w:t>
      </w:r>
      <w:r>
        <w:rPr>
          <w:rFonts w:eastAsiaTheme="minorEastAsia"/>
          <w:color w:val="000000" w:themeColor="text1"/>
          <w:sz w:val="28"/>
          <w:szCs w:val="28"/>
        </w:rPr>
        <w:t>按单位水面积臭</w:t>
      </w:r>
      <w:r>
        <w:rPr>
          <w:rFonts w:eastAsiaTheme="minorEastAsia"/>
          <w:sz w:val="28"/>
          <w:szCs w:val="28"/>
        </w:rPr>
        <w:t>气风量指标</w:t>
      </w:r>
      <w:r>
        <w:rPr>
          <w:rFonts w:eastAsiaTheme="minorEastAsia"/>
          <w:color w:val="000000" w:themeColor="text1"/>
          <w:sz w:val="28"/>
          <w:szCs w:val="28"/>
        </w:rPr>
        <w:t>3m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·h)计算，并可增加1次/h~2次/h的空间换气量；</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曝气处理构筑物臭气风量可按曝气量的110%计算；</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半封口设备臭气风量可按机盖内换气次数8次/h或机盖开口处抽气流速为0.6m//s计算，</w:t>
      </w:r>
      <w:r>
        <w:rPr>
          <w:rFonts w:hint="eastAsia" w:eastAsiaTheme="minorEastAsia"/>
          <w:color w:val="000000" w:themeColor="text1"/>
          <w:sz w:val="28"/>
          <w:szCs w:val="28"/>
        </w:rPr>
        <w:t>按</w:t>
      </w:r>
      <w:r>
        <w:rPr>
          <w:rFonts w:eastAsiaTheme="minorEastAsia"/>
          <w:sz w:val="28"/>
          <w:szCs w:val="28"/>
        </w:rPr>
        <w:t>二种计算结果的较小者取值</w:t>
      </w:r>
      <w:r>
        <w:rPr>
          <w:rFonts w:eastAsiaTheme="minorEastAsia"/>
          <w:color w:val="000000" w:themeColor="text1"/>
          <w:sz w:val="28"/>
          <w:szCs w:val="28"/>
        </w:rPr>
        <w:t>。</w:t>
      </w:r>
    </w:p>
    <w:p>
      <w:pPr>
        <w:widowControl/>
        <w:wordWrap w:val="0"/>
        <w:rPr>
          <w:rFonts w:eastAsiaTheme="minorEastAsia"/>
          <w:color w:val="000000" w:themeColor="text1"/>
          <w:sz w:val="28"/>
          <w:szCs w:val="28"/>
        </w:rPr>
      </w:pPr>
      <w:r>
        <w:rPr>
          <w:rFonts w:eastAsiaTheme="minorEastAsia"/>
          <w:color w:val="000000" w:themeColor="text1"/>
          <w:sz w:val="28"/>
          <w:szCs w:val="28"/>
        </w:rPr>
        <w:t>【条文说明】</w:t>
      </w:r>
      <w:r>
        <w:rPr>
          <w:rFonts w:hint="eastAsia" w:eastAsiaTheme="minorEastAsia"/>
          <w:color w:val="000000" w:themeColor="text1"/>
          <w:sz w:val="28"/>
          <w:szCs w:val="28"/>
        </w:rPr>
        <w:t>臭气</w:t>
      </w:r>
      <w:r>
        <w:rPr>
          <w:rFonts w:eastAsiaTheme="minorEastAsia"/>
          <w:color w:val="000000" w:themeColor="text1"/>
          <w:sz w:val="28"/>
          <w:szCs w:val="28"/>
        </w:rPr>
        <w:t>风量根据收集要求和集气方式确定。抽吸量越大，污水中逸出污染物越多，所以应以加强密闭和负压控制逸出为主。若密闭不严、抽吸口分布不均或负压不够，缝隙风速低于臭气扩散速率或达不到集气盖内部的合理流态，会导致臭气气体外逸和密闭空间内臭气浓度差异；若集气量太大，会增加投资和运行费用，超出臭气扩散速率过多，可能不满足处理设备的负荷要求，导致处理效率下降。除臭气风量应通过试验确定，条件不具备时可参照相似条件下已有工程运行经验确定或按本标准确定。</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本标准按照运行经验和《日本</w:t>
      </w:r>
      <w:r>
        <w:rPr>
          <w:rFonts w:eastAsia="宋体"/>
          <w:color w:val="000000"/>
          <w:sz w:val="28"/>
          <w:szCs w:val="28"/>
        </w:rPr>
        <w:t>下水道设计指南</w:t>
      </w:r>
      <w:r>
        <w:rPr>
          <w:rFonts w:eastAsiaTheme="minorEastAsia"/>
          <w:color w:val="000000" w:themeColor="text1"/>
          <w:sz w:val="28"/>
          <w:szCs w:val="28"/>
        </w:rPr>
        <w:t>》制定：</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ab/>
      </w:r>
      <w:r>
        <w:rPr>
          <w:rFonts w:eastAsiaTheme="minorEastAsia"/>
          <w:color w:val="000000" w:themeColor="text1"/>
          <w:sz w:val="28"/>
          <w:szCs w:val="28"/>
        </w:rPr>
        <w:t>进水泵吸水井、沉砂池由于水面交换较为频繁，臭气风量按单位水面积臭气风量指标10m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·h)计算，上部封闭空间参照不进人空间，按增加1~2次/h的空间换气量计算；</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ab/>
      </w:r>
      <w:r>
        <w:rPr>
          <w:rFonts w:eastAsiaTheme="minorEastAsia"/>
          <w:color w:val="000000" w:themeColor="text1"/>
          <w:sz w:val="28"/>
          <w:szCs w:val="28"/>
        </w:rPr>
        <w:t>初沉池、厌(缺)氧池、浓缩池、储泥池等构筑物由于水面交换频率相对较低，臭气风量按单位水面积臭气风量指标3m</w:t>
      </w:r>
      <w:r>
        <w:rPr>
          <w:rFonts w:eastAsiaTheme="minorEastAsia"/>
          <w:color w:val="000000" w:themeColor="text1"/>
          <w:sz w:val="28"/>
          <w:szCs w:val="28"/>
          <w:vertAlign w:val="superscript"/>
        </w:rPr>
        <w:t>3</w:t>
      </w:r>
      <w:r>
        <w:rPr>
          <w:rFonts w:eastAsiaTheme="minorEastAsia"/>
          <w:color w:val="000000" w:themeColor="text1"/>
          <w:sz w:val="28"/>
          <w:szCs w:val="28"/>
        </w:rPr>
        <w:t>/(m</w:t>
      </w:r>
      <w:r>
        <w:rPr>
          <w:rFonts w:eastAsiaTheme="minorEastAsia"/>
          <w:color w:val="000000" w:themeColor="text1"/>
          <w:sz w:val="28"/>
          <w:szCs w:val="28"/>
          <w:vertAlign w:val="superscript"/>
        </w:rPr>
        <w:t>2</w:t>
      </w:r>
      <w:r>
        <w:rPr>
          <w:rFonts w:eastAsiaTheme="minorEastAsia"/>
          <w:color w:val="000000" w:themeColor="text1"/>
          <w:sz w:val="28"/>
          <w:szCs w:val="28"/>
        </w:rPr>
        <w:t>·h)计算，上部封闭空间参照不进人空间，按增加1~2次/h的空间换气量计算；</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ab/>
      </w:r>
      <w:r>
        <w:rPr>
          <w:rFonts w:eastAsiaTheme="minorEastAsia"/>
          <w:color w:val="000000" w:themeColor="text1"/>
          <w:sz w:val="28"/>
          <w:szCs w:val="28"/>
        </w:rPr>
        <w:t>曝气池构筑物加盖除臭时，考虑加盖设备的泄漏，可按曝气量的110%计。</w:t>
      </w:r>
    </w:p>
    <w:p>
      <w:pPr>
        <w:widowControl/>
        <w:wordWrap w:val="0"/>
        <w:ind w:firstLine="565" w:firstLineChars="202"/>
        <w:rPr>
          <w:rFonts w:eastAsiaTheme="minorEastAsia"/>
          <w:color w:val="000000" w:themeColor="text1"/>
          <w:sz w:val="28"/>
          <w:szCs w:val="28"/>
        </w:rPr>
      </w:pPr>
      <w:r>
        <w:rPr>
          <w:rFonts w:eastAsiaTheme="minorEastAsia"/>
          <w:color w:val="000000" w:themeColor="text1"/>
          <w:sz w:val="28"/>
          <w:szCs w:val="28"/>
        </w:rPr>
        <w:t>4</w:t>
      </w:r>
      <w:r>
        <w:rPr>
          <w:rFonts w:eastAsiaTheme="minorEastAsia"/>
          <w:color w:val="000000" w:themeColor="text1"/>
          <w:sz w:val="28"/>
          <w:szCs w:val="28"/>
        </w:rPr>
        <w:tab/>
      </w:r>
      <w:r>
        <w:rPr>
          <w:rFonts w:eastAsiaTheme="minorEastAsia"/>
          <w:color w:val="000000" w:themeColor="text1"/>
          <w:sz w:val="28"/>
          <w:szCs w:val="28"/>
        </w:rPr>
        <w:t>脱水机房、污泥堆棚、污泥处理处置车间等构筑物宜将设备分隔除臭。难以分隔时，人员需要进入的处理构（建）筑物，抽气量宜按换气次数不少于8次/h计，经常进入且要求较高的场合换气次数可按12次/h计，贮泥料仓等一般人员不进入空间按2次/h计算。</w:t>
      </w:r>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当采用地下或半地下污水厂时，其除臭标准应高于地面污水厂。</w:t>
      </w:r>
    </w:p>
    <w:p>
      <w:pPr>
        <w:widowControl/>
        <w:wordWrap w:val="0"/>
        <w:jc w:val="center"/>
        <w:rPr>
          <w:rFonts w:eastAsiaTheme="minorEastAsia"/>
          <w:color w:val="000000" w:themeColor="text1"/>
          <w:sz w:val="28"/>
          <w:szCs w:val="28"/>
        </w:rPr>
      </w:pPr>
      <w:bookmarkStart w:id="73" w:name="_Toc268274602"/>
      <w:r>
        <w:rPr>
          <w:rFonts w:eastAsiaTheme="minorEastAsia"/>
          <w:color w:val="000000" w:themeColor="text1"/>
          <w:sz w:val="28"/>
          <w:szCs w:val="28"/>
        </w:rPr>
        <w:t>II 臭气源加盖</w:t>
      </w:r>
      <w:bookmarkEnd w:id="73"/>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臭气源加盖时，应符合下列规定：</w:t>
      </w:r>
    </w:p>
    <w:p>
      <w:pPr>
        <w:widowControl/>
        <w:wordWrap w:val="0"/>
        <w:ind w:firstLine="565" w:firstLineChars="201"/>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w:t>
      </w:r>
      <w:r>
        <w:rPr>
          <w:rFonts w:eastAsiaTheme="minorEastAsia"/>
          <w:sz w:val="28"/>
          <w:szCs w:val="28"/>
        </w:rPr>
        <w:t>正常运行时，加盖不应影响</w:t>
      </w:r>
      <w:r>
        <w:rPr>
          <w:rFonts w:eastAsiaTheme="minorEastAsia"/>
          <w:color w:val="000000" w:themeColor="text1"/>
          <w:sz w:val="28"/>
          <w:szCs w:val="28"/>
        </w:rPr>
        <w:t>构筑物内部和相关设备的观察和采光要求；</w:t>
      </w:r>
    </w:p>
    <w:p>
      <w:pPr>
        <w:widowControl/>
        <w:wordWrap w:val="0"/>
        <w:ind w:firstLine="565" w:firstLineChars="201"/>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应设检修通道，</w:t>
      </w:r>
      <w:r>
        <w:rPr>
          <w:rFonts w:eastAsiaTheme="minorEastAsia"/>
          <w:sz w:val="28"/>
          <w:szCs w:val="28"/>
        </w:rPr>
        <w:t>加盖</w:t>
      </w:r>
      <w:r>
        <w:rPr>
          <w:rFonts w:eastAsiaTheme="minorEastAsia"/>
          <w:color w:val="000000" w:themeColor="text1"/>
          <w:sz w:val="28"/>
          <w:szCs w:val="28"/>
        </w:rPr>
        <w:t>不应妨碍设备的操作和维护检修；</w:t>
      </w:r>
    </w:p>
    <w:p>
      <w:pPr>
        <w:widowControl/>
        <w:wordWrap w:val="0"/>
        <w:ind w:firstLine="565" w:firstLineChars="201"/>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盖和支撑的材质应具有良好的物理性能，耐腐蚀、抗紫外老化，并在不同温度条件下有足够的抗拉、抗剪和抗压强度，承受台风和雪载，定期进行检测，且不应有与臭气源直接接触的金属构件；</w:t>
      </w:r>
    </w:p>
    <w:p>
      <w:pPr>
        <w:widowControl/>
        <w:wordWrap w:val="0"/>
        <w:ind w:firstLine="565" w:firstLineChars="201"/>
        <w:rPr>
          <w:rFonts w:eastAsiaTheme="minorEastAsia"/>
          <w:b/>
          <w:color w:val="000000" w:themeColor="text1"/>
          <w:sz w:val="28"/>
          <w:szCs w:val="28"/>
        </w:rPr>
      </w:pPr>
      <w:r>
        <w:rPr>
          <w:rFonts w:eastAsiaTheme="minorEastAsia"/>
          <w:b/>
          <w:color w:val="000000" w:themeColor="text1"/>
          <w:sz w:val="28"/>
          <w:szCs w:val="28"/>
        </w:rPr>
        <w:t>4</w:t>
      </w:r>
      <w:r>
        <w:rPr>
          <w:rFonts w:eastAsiaTheme="minorEastAsia"/>
          <w:sz w:val="28"/>
          <w:szCs w:val="28"/>
        </w:rPr>
        <w:t>盖上宜设透明观察窗、观察孔、取样孔和人孔，窗、孔应开启方便且密封性良好</w:t>
      </w:r>
      <w:r>
        <w:rPr>
          <w:rFonts w:eastAsiaTheme="minorEastAsia"/>
          <w:color w:val="000000" w:themeColor="text1"/>
          <w:sz w:val="28"/>
          <w:szCs w:val="28"/>
        </w:rPr>
        <w:t>；</w:t>
      </w:r>
    </w:p>
    <w:p>
      <w:pPr>
        <w:widowControl/>
        <w:wordWrap w:val="0"/>
        <w:ind w:firstLine="565" w:firstLineChars="201"/>
        <w:rPr>
          <w:rFonts w:eastAsiaTheme="minorEastAsia"/>
          <w:color w:val="000000" w:themeColor="text1"/>
          <w:sz w:val="28"/>
          <w:szCs w:val="28"/>
        </w:rPr>
      </w:pPr>
      <w:r>
        <w:rPr>
          <w:rFonts w:eastAsiaTheme="minorEastAsia"/>
          <w:b/>
          <w:color w:val="000000" w:themeColor="text1"/>
          <w:sz w:val="28"/>
          <w:szCs w:val="28"/>
        </w:rPr>
        <w:t>5</w:t>
      </w:r>
      <w:r>
        <w:rPr>
          <w:rFonts w:eastAsiaTheme="minorEastAsia"/>
          <w:sz w:val="28"/>
          <w:szCs w:val="28"/>
        </w:rPr>
        <w:t>禁止踩踏的盖应设栏杆或醒目的警示标志</w:t>
      </w:r>
      <w:r>
        <w:rPr>
          <w:rFonts w:eastAsiaTheme="minorEastAsia"/>
          <w:color w:val="000000" w:themeColor="text1"/>
          <w:sz w:val="28"/>
          <w:szCs w:val="28"/>
        </w:rPr>
        <w:t>。</w:t>
      </w:r>
    </w:p>
    <w:p>
      <w:pPr>
        <w:widowControl/>
        <w:wordWrap w:val="0"/>
        <w:rPr>
          <w:rFonts w:eastAsiaTheme="minorEastAsia"/>
          <w:color w:val="000000" w:themeColor="text1"/>
          <w:sz w:val="28"/>
          <w:szCs w:val="28"/>
        </w:rPr>
      </w:pPr>
    </w:p>
    <w:p>
      <w:pPr>
        <w:widowControl/>
        <w:wordWrap w:val="0"/>
        <w:jc w:val="center"/>
        <w:rPr>
          <w:rFonts w:eastAsiaTheme="minorEastAsia"/>
          <w:color w:val="000000" w:themeColor="text1"/>
          <w:sz w:val="28"/>
          <w:szCs w:val="28"/>
        </w:rPr>
      </w:pPr>
      <w:bookmarkStart w:id="74" w:name="_Toc268274603"/>
      <w:r>
        <w:rPr>
          <w:rFonts w:eastAsiaTheme="minorEastAsia"/>
          <w:color w:val="000000" w:themeColor="text1"/>
          <w:sz w:val="28"/>
          <w:szCs w:val="28"/>
        </w:rPr>
        <w:t>III臭气收集</w:t>
      </w:r>
      <w:bookmarkEnd w:id="74"/>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收集风管</w:t>
      </w:r>
      <w:r>
        <w:rPr>
          <w:rFonts w:ascii="Times New Roman" w:hAnsi="Times New Roman" w:eastAsiaTheme="minorEastAsia"/>
          <w:sz w:val="28"/>
          <w:szCs w:val="28"/>
        </w:rPr>
        <w:t>宜采用玻璃钢、UPVC、不锈钢等耐腐蚀材料。风管</w:t>
      </w:r>
      <w:r>
        <w:rPr>
          <w:rFonts w:ascii="Times New Roman" w:hAnsi="Times New Roman" w:eastAsiaTheme="minorEastAsia"/>
          <w:color w:val="000000" w:themeColor="text1"/>
          <w:sz w:val="28"/>
          <w:szCs w:val="28"/>
        </w:rPr>
        <w:t>管径和截面尺寸应根据风量和风速确定，风管内的风速可按表7.1</w:t>
      </w:r>
      <w:r>
        <w:rPr>
          <w:rFonts w:hint="eastAsia" w:ascii="Times New Roman" w:hAnsi="Times New Roman" w:eastAsiaTheme="minorEastAsia"/>
          <w:color w:val="000000" w:themeColor="text1"/>
          <w:sz w:val="28"/>
          <w:szCs w:val="28"/>
        </w:rPr>
        <w:t>4</w:t>
      </w:r>
      <w:r>
        <w:rPr>
          <w:rFonts w:ascii="Times New Roman" w:hAnsi="Times New Roman" w:eastAsiaTheme="minorEastAsia"/>
          <w:color w:val="000000" w:themeColor="text1"/>
          <w:sz w:val="28"/>
          <w:szCs w:val="28"/>
        </w:rPr>
        <w:t>.8的规定确定。</w:t>
      </w:r>
    </w:p>
    <w:p>
      <w:pPr>
        <w:pStyle w:val="30"/>
        <w:widowControl/>
        <w:wordWrap w:val="0"/>
        <w:spacing w:line="360" w:lineRule="auto"/>
        <w:ind w:left="340" w:firstLine="0" w:firstLineChars="0"/>
        <w:jc w:val="center"/>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表7.1</w:t>
      </w:r>
      <w:r>
        <w:rPr>
          <w:rFonts w:hint="eastAsia" w:ascii="Times New Roman" w:hAnsi="Times New Roman" w:eastAsiaTheme="minorEastAsia"/>
          <w:b/>
          <w:color w:val="000000" w:themeColor="text1"/>
          <w:sz w:val="28"/>
          <w:szCs w:val="28"/>
        </w:rPr>
        <w:t>4</w:t>
      </w:r>
      <w:r>
        <w:rPr>
          <w:rFonts w:ascii="Times New Roman" w:hAnsi="Times New Roman" w:eastAsiaTheme="minorEastAsia"/>
          <w:b/>
          <w:color w:val="000000" w:themeColor="text1"/>
          <w:sz w:val="28"/>
          <w:szCs w:val="28"/>
        </w:rPr>
        <w:t>.8风管内的风速（m/s）</w:t>
      </w:r>
    </w:p>
    <w:tbl>
      <w:tblPr>
        <w:tblStyle w:val="25"/>
        <w:tblW w:w="59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6"/>
        <w:gridCol w:w="2456"/>
        <w:gridCol w:w="21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36" w:type="dxa"/>
          </w:tcPr>
          <w:p>
            <w:pPr>
              <w:pStyle w:val="11"/>
              <w:tabs>
                <w:tab w:val="left" w:pos="105"/>
              </w:tabs>
              <w:wordWrap w:val="0"/>
              <w:ind w:firstLine="0"/>
              <w:jc w:val="center"/>
              <w:rPr>
                <w:rFonts w:eastAsiaTheme="minorEastAsia"/>
                <w:color w:val="000000" w:themeColor="text1"/>
                <w:szCs w:val="28"/>
              </w:rPr>
            </w:pPr>
            <w:r>
              <w:rPr>
                <w:rFonts w:eastAsiaTheme="minorEastAsia"/>
                <w:color w:val="000000" w:themeColor="text1"/>
                <w:szCs w:val="28"/>
              </w:rPr>
              <w:t>风管类别</w:t>
            </w:r>
          </w:p>
        </w:tc>
        <w:tc>
          <w:tcPr>
            <w:tcW w:w="2456" w:type="dxa"/>
          </w:tcPr>
          <w:p>
            <w:pPr>
              <w:pStyle w:val="11"/>
              <w:tabs>
                <w:tab w:val="left" w:pos="105"/>
              </w:tabs>
              <w:wordWrap w:val="0"/>
              <w:ind w:firstLine="0"/>
              <w:jc w:val="center"/>
              <w:rPr>
                <w:rFonts w:eastAsiaTheme="minorEastAsia"/>
                <w:color w:val="000000" w:themeColor="text1"/>
                <w:szCs w:val="28"/>
              </w:rPr>
            </w:pPr>
            <w:r>
              <w:rPr>
                <w:rFonts w:eastAsiaTheme="minorEastAsia"/>
                <w:color w:val="000000" w:themeColor="text1"/>
                <w:szCs w:val="28"/>
              </w:rPr>
              <w:t>钢板和非金属风管</w:t>
            </w:r>
          </w:p>
        </w:tc>
        <w:tc>
          <w:tcPr>
            <w:tcW w:w="2176" w:type="dxa"/>
          </w:tcPr>
          <w:p>
            <w:pPr>
              <w:pStyle w:val="11"/>
              <w:tabs>
                <w:tab w:val="left" w:pos="105"/>
              </w:tabs>
              <w:wordWrap w:val="0"/>
              <w:ind w:firstLine="0"/>
              <w:jc w:val="center"/>
              <w:rPr>
                <w:rFonts w:eastAsiaTheme="minorEastAsia"/>
                <w:color w:val="000000" w:themeColor="text1"/>
                <w:szCs w:val="28"/>
              </w:rPr>
            </w:pPr>
            <w:r>
              <w:rPr>
                <w:rFonts w:eastAsiaTheme="minorEastAsia"/>
                <w:color w:val="000000" w:themeColor="text1"/>
                <w:szCs w:val="28"/>
              </w:rPr>
              <w:t>砖和混凝土风道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36" w:type="dxa"/>
          </w:tcPr>
          <w:p>
            <w:pPr>
              <w:pStyle w:val="11"/>
              <w:tabs>
                <w:tab w:val="left" w:pos="105"/>
              </w:tabs>
              <w:wordWrap w:val="0"/>
              <w:ind w:firstLine="0"/>
              <w:jc w:val="center"/>
              <w:rPr>
                <w:rFonts w:eastAsiaTheme="minorEastAsia"/>
                <w:color w:val="000000" w:themeColor="text1"/>
                <w:szCs w:val="28"/>
              </w:rPr>
            </w:pPr>
            <w:r>
              <w:rPr>
                <w:rFonts w:eastAsiaTheme="minorEastAsia"/>
                <w:color w:val="000000" w:themeColor="text1"/>
                <w:szCs w:val="28"/>
              </w:rPr>
              <w:t>干管</w:t>
            </w:r>
          </w:p>
        </w:tc>
        <w:tc>
          <w:tcPr>
            <w:tcW w:w="2456" w:type="dxa"/>
          </w:tcPr>
          <w:p>
            <w:pPr>
              <w:pStyle w:val="11"/>
              <w:tabs>
                <w:tab w:val="left" w:pos="105"/>
              </w:tabs>
              <w:wordWrap w:val="0"/>
              <w:ind w:firstLine="0"/>
              <w:jc w:val="center"/>
              <w:rPr>
                <w:rFonts w:eastAsiaTheme="minorEastAsia"/>
                <w:color w:val="000000" w:themeColor="text1"/>
                <w:szCs w:val="28"/>
              </w:rPr>
            </w:pPr>
            <w:r>
              <w:rPr>
                <w:rFonts w:eastAsiaTheme="minorEastAsia"/>
                <w:color w:val="000000" w:themeColor="text1"/>
                <w:szCs w:val="28"/>
              </w:rPr>
              <w:t>6~14</w:t>
            </w:r>
          </w:p>
        </w:tc>
        <w:tc>
          <w:tcPr>
            <w:tcW w:w="2176" w:type="dxa"/>
          </w:tcPr>
          <w:p>
            <w:pPr>
              <w:pStyle w:val="11"/>
              <w:tabs>
                <w:tab w:val="left" w:pos="105"/>
              </w:tabs>
              <w:wordWrap w:val="0"/>
              <w:ind w:firstLine="0"/>
              <w:jc w:val="center"/>
              <w:rPr>
                <w:rFonts w:eastAsiaTheme="minorEastAsia"/>
                <w:color w:val="000000" w:themeColor="text1"/>
                <w:szCs w:val="28"/>
              </w:rPr>
            </w:pPr>
            <w:r>
              <w:rPr>
                <w:rFonts w:eastAsiaTheme="minorEastAsia"/>
                <w:color w:val="000000" w:themeColor="text1"/>
                <w:szCs w:val="28"/>
              </w:rPr>
              <w:t>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36" w:type="dxa"/>
          </w:tcPr>
          <w:p>
            <w:pPr>
              <w:pStyle w:val="11"/>
              <w:tabs>
                <w:tab w:val="left" w:pos="105"/>
              </w:tabs>
              <w:wordWrap w:val="0"/>
              <w:ind w:firstLine="0"/>
              <w:jc w:val="center"/>
              <w:rPr>
                <w:rFonts w:eastAsiaTheme="minorEastAsia"/>
                <w:color w:val="000000" w:themeColor="text1"/>
                <w:szCs w:val="28"/>
              </w:rPr>
            </w:pPr>
            <w:r>
              <w:rPr>
                <w:rFonts w:eastAsiaTheme="minorEastAsia"/>
                <w:color w:val="000000" w:themeColor="text1"/>
                <w:szCs w:val="28"/>
              </w:rPr>
              <w:t>支管</w:t>
            </w:r>
          </w:p>
        </w:tc>
        <w:tc>
          <w:tcPr>
            <w:tcW w:w="2456" w:type="dxa"/>
          </w:tcPr>
          <w:p>
            <w:pPr>
              <w:pStyle w:val="11"/>
              <w:tabs>
                <w:tab w:val="left" w:pos="105"/>
              </w:tabs>
              <w:wordWrap w:val="0"/>
              <w:ind w:firstLine="0"/>
              <w:jc w:val="center"/>
              <w:rPr>
                <w:rFonts w:eastAsiaTheme="minorEastAsia"/>
                <w:color w:val="000000" w:themeColor="text1"/>
                <w:szCs w:val="28"/>
              </w:rPr>
            </w:pPr>
            <w:r>
              <w:rPr>
                <w:rFonts w:eastAsiaTheme="minorEastAsia"/>
                <w:color w:val="000000" w:themeColor="text1"/>
                <w:szCs w:val="28"/>
              </w:rPr>
              <w:t>2~8</w:t>
            </w:r>
          </w:p>
        </w:tc>
        <w:tc>
          <w:tcPr>
            <w:tcW w:w="2176" w:type="dxa"/>
          </w:tcPr>
          <w:p>
            <w:pPr>
              <w:pStyle w:val="11"/>
              <w:tabs>
                <w:tab w:val="left" w:pos="105"/>
              </w:tabs>
              <w:wordWrap w:val="0"/>
              <w:ind w:firstLine="0"/>
              <w:jc w:val="center"/>
              <w:rPr>
                <w:rFonts w:eastAsiaTheme="minorEastAsia"/>
                <w:color w:val="000000" w:themeColor="text1"/>
                <w:szCs w:val="28"/>
              </w:rPr>
            </w:pPr>
            <w:r>
              <w:rPr>
                <w:rFonts w:eastAsiaTheme="minorEastAsia"/>
                <w:color w:val="000000" w:themeColor="text1"/>
                <w:szCs w:val="28"/>
              </w:rPr>
              <w:t>2~6</w:t>
            </w:r>
          </w:p>
        </w:tc>
      </w:tr>
    </w:tbl>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【条文说明】为使管道系统经济合理，确定适当流速。</w:t>
      </w:r>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各并联收集风管的阻力宜保持平衡，各吸风口宜设带开闭指示的阀门。</w:t>
      </w:r>
    </w:p>
    <w:p>
      <w:pPr>
        <w:widowControl/>
        <w:wordWrap w:val="0"/>
        <w:rPr>
          <w:rFonts w:eastAsiaTheme="minorEastAsia"/>
          <w:color w:val="000000" w:themeColor="text1"/>
          <w:sz w:val="28"/>
          <w:szCs w:val="28"/>
        </w:rPr>
      </w:pPr>
      <w:r>
        <w:rPr>
          <w:rFonts w:eastAsiaTheme="minorEastAsia"/>
          <w:color w:val="000000" w:themeColor="text1"/>
          <w:sz w:val="28"/>
          <w:szCs w:val="28"/>
        </w:rPr>
        <w:t>【条文说明】由于臭气收集管路较长、管配件较多，气体输送时会产生压力损失，对各并联支管应进行阻力平衡计算，必要时可设孔板等设施调节风管风量。为便于风量平衡和操作管理，各吸风口宜设带开闭的指示阀门。</w:t>
      </w:r>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风压计算时，应考虑除臭空间负压、臭气收集风管沿程和局部损失、除臭设备自身阻力</w:t>
      </w:r>
      <w:r>
        <w:rPr>
          <w:rFonts w:ascii="Times New Roman" w:hAnsi="Times New Roman" w:eastAsiaTheme="minorEastAsia"/>
          <w:sz w:val="28"/>
          <w:szCs w:val="28"/>
        </w:rPr>
        <w:t>、臭气排放管风压损失，并应预留安全余量</w:t>
      </w:r>
      <w:r>
        <w:rPr>
          <w:rFonts w:ascii="Times New Roman" w:hAnsi="Times New Roman" w:eastAsiaTheme="minorEastAsia"/>
          <w:color w:val="000000" w:themeColor="text1"/>
          <w:sz w:val="28"/>
          <w:szCs w:val="28"/>
        </w:rPr>
        <w:t>。</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【条文说明】臭气处理装置通风机的风压，可按下列公式计算：</w:t>
      </w:r>
    </w:p>
    <w:p>
      <w:pPr>
        <w:pStyle w:val="11"/>
        <w:tabs>
          <w:tab w:val="left" w:pos="105"/>
        </w:tabs>
        <w:wordWrap w:val="0"/>
        <w:ind w:firstLine="0"/>
        <w:jc w:val="right"/>
        <w:rPr>
          <w:rFonts w:eastAsiaTheme="minorEastAsia"/>
          <w:color w:val="000000" w:themeColor="text1"/>
          <w:szCs w:val="28"/>
        </w:rPr>
      </w:pPr>
      <w:r>
        <w:rPr>
          <w:rFonts w:eastAsiaTheme="minorEastAsia"/>
          <w:color w:val="000000" w:themeColor="text1"/>
          <w:position w:val="-14"/>
          <w:szCs w:val="28"/>
        </w:rPr>
        <w:object>
          <v:shape id="_x0000_i1057" o:spt="75" type="#_x0000_t75" style="height:15.9pt;width:154.3pt;" o:ole="t" filled="f" o:preferrelative="t" stroked="f" coordsize="21600,21600">
            <v:path/>
            <v:fill on="f" focussize="0,0"/>
            <v:stroke on="f" joinstyle="miter"/>
            <v:imagedata r:id="rId86" o:title=""/>
            <o:lock v:ext="edit" aspectratio="t"/>
            <w10:wrap type="none"/>
            <w10:anchorlock/>
          </v:shape>
          <o:OLEObject Type="Embed" ProgID="Equation.3" ShapeID="_x0000_i1057" DrawAspect="Content" ObjectID="_1468075757" r:id="rId85">
            <o:LockedField>false</o:LockedField>
          </o:OLEObject>
        </w:object>
      </w:r>
      <w:r>
        <w:rPr>
          <w:rFonts w:eastAsiaTheme="minorEastAsia"/>
          <w:color w:val="000000" w:themeColor="text1"/>
          <w:position w:val="-14"/>
          <w:szCs w:val="28"/>
        </w:rPr>
        <w:t xml:space="preserve">           </w:t>
      </w:r>
      <w:r>
        <w:rPr>
          <w:rFonts w:eastAsiaTheme="minorEastAsia"/>
          <w:color w:val="000000" w:themeColor="text1"/>
          <w:szCs w:val="28"/>
        </w:rPr>
        <w:t xml:space="preserve">   （6）</w:t>
      </w:r>
    </w:p>
    <w:p>
      <w:pPr>
        <w:pStyle w:val="11"/>
        <w:wordWrap w:val="0"/>
        <w:ind w:firstLine="0"/>
        <w:jc w:val="right"/>
        <w:rPr>
          <w:rFonts w:eastAsiaTheme="minorEastAsia"/>
          <w:color w:val="000000" w:themeColor="text1"/>
          <w:szCs w:val="28"/>
        </w:rPr>
      </w:pPr>
      <w:r>
        <w:rPr>
          <w:rFonts w:eastAsiaTheme="minorEastAsia"/>
          <w:color w:val="000000" w:themeColor="text1"/>
          <w:position w:val="-28"/>
          <w:szCs w:val="28"/>
        </w:rPr>
        <w:object>
          <v:shape id="_x0000_i1058" o:spt="75" type="#_x0000_t75" style="height:35.55pt;width:94.45pt;" o:ole="t" filled="f" o:preferrelative="t" stroked="f" coordsize="21600,21600">
            <v:path/>
            <v:fill on="f" focussize="0,0"/>
            <v:stroke on="f" joinstyle="miter"/>
            <v:imagedata r:id="rId88" o:title=""/>
            <o:lock v:ext="edit" aspectratio="t"/>
            <w10:wrap type="none"/>
            <w10:anchorlock/>
          </v:shape>
          <o:OLEObject Type="Embed" ProgID="Equation.3" ShapeID="_x0000_i1058" DrawAspect="Content" ObjectID="_1468075758" r:id="rId87">
            <o:LockedField>false</o:LockedField>
          </o:OLEObject>
        </w:object>
      </w:r>
      <w:r>
        <w:rPr>
          <w:rFonts w:eastAsiaTheme="minorEastAsia"/>
          <w:color w:val="000000" w:themeColor="text1"/>
          <w:szCs w:val="28"/>
        </w:rPr>
        <w:t xml:space="preserve">                    （7）</w:t>
      </w:r>
    </w:p>
    <w:p>
      <w:pPr>
        <w:pStyle w:val="11"/>
        <w:tabs>
          <w:tab w:val="left" w:pos="105"/>
        </w:tabs>
        <w:wordWrap w:val="0"/>
        <w:ind w:firstLine="0"/>
        <w:rPr>
          <w:rFonts w:eastAsiaTheme="minorEastAsia"/>
          <w:color w:val="000000" w:themeColor="text1"/>
          <w:szCs w:val="28"/>
        </w:rPr>
      </w:pPr>
      <w:r>
        <w:rPr>
          <w:rFonts w:eastAsiaTheme="minorEastAsia"/>
          <w:color w:val="000000" w:themeColor="text1"/>
          <w:szCs w:val="28"/>
        </w:rPr>
        <w:t>式中：∆</w:t>
      </w:r>
      <w:r>
        <w:rPr>
          <w:rFonts w:eastAsiaTheme="minorEastAsia"/>
          <w:i/>
          <w:color w:val="000000" w:themeColor="text1"/>
          <w:szCs w:val="28"/>
        </w:rPr>
        <w:t>p</w:t>
      </w:r>
      <w:r>
        <w:rPr>
          <w:rFonts w:eastAsiaTheme="minorEastAsia"/>
          <w:color w:val="000000" w:themeColor="text1"/>
          <w:szCs w:val="28"/>
        </w:rPr>
        <w:t>——系统的总压力损失（Pa）；</w:t>
      </w:r>
    </w:p>
    <w:p>
      <w:pPr>
        <w:pStyle w:val="11"/>
        <w:tabs>
          <w:tab w:val="left" w:pos="105"/>
        </w:tabs>
        <w:wordWrap w:val="0"/>
        <w:ind w:firstLine="840" w:firstLineChars="300"/>
        <w:rPr>
          <w:rFonts w:eastAsiaTheme="minorEastAsia"/>
          <w:color w:val="000000" w:themeColor="text1"/>
          <w:szCs w:val="28"/>
        </w:rPr>
      </w:pPr>
      <w:r>
        <w:rPr>
          <w:rFonts w:eastAsiaTheme="minorEastAsia"/>
          <w:color w:val="000000" w:themeColor="text1"/>
          <w:szCs w:val="28"/>
        </w:rPr>
        <w:t>∆</w:t>
      </w:r>
      <w:r>
        <w:rPr>
          <w:rFonts w:eastAsiaTheme="minorEastAsia"/>
          <w:i/>
          <w:color w:val="000000" w:themeColor="text1"/>
          <w:szCs w:val="28"/>
        </w:rPr>
        <w:t>p</w:t>
      </w:r>
      <w:r>
        <w:rPr>
          <w:rFonts w:eastAsiaTheme="minorEastAsia"/>
          <w:color w:val="000000" w:themeColor="text1"/>
          <w:szCs w:val="28"/>
          <w:vertAlign w:val="subscript"/>
        </w:rPr>
        <w:t>1</w:t>
      </w:r>
      <w:r>
        <w:rPr>
          <w:rFonts w:eastAsiaTheme="minorEastAsia"/>
          <w:color w:val="000000" w:themeColor="text1"/>
          <w:szCs w:val="28"/>
        </w:rPr>
        <w:t>——除臭空间的负压（Pa）；</w:t>
      </w:r>
    </w:p>
    <w:p>
      <w:pPr>
        <w:pStyle w:val="11"/>
        <w:tabs>
          <w:tab w:val="left" w:pos="105"/>
        </w:tabs>
        <w:wordWrap w:val="0"/>
        <w:ind w:firstLine="840" w:firstLineChars="300"/>
        <w:rPr>
          <w:rFonts w:eastAsiaTheme="minorEastAsia"/>
          <w:color w:val="000000" w:themeColor="text1"/>
          <w:szCs w:val="28"/>
        </w:rPr>
      </w:pPr>
      <w:r>
        <w:rPr>
          <w:rFonts w:eastAsiaTheme="minorEastAsia"/>
          <w:i/>
          <w:color w:val="000000" w:themeColor="text1"/>
          <w:position w:val="-10"/>
          <w:szCs w:val="28"/>
        </w:rPr>
        <w:t>h</w:t>
      </w:r>
      <w:r>
        <w:rPr>
          <w:rFonts w:eastAsiaTheme="minorEastAsia"/>
          <w:color w:val="000000" w:themeColor="text1"/>
          <w:position w:val="-10"/>
          <w:szCs w:val="28"/>
          <w:vertAlign w:val="subscript"/>
        </w:rPr>
        <w:t>f1</w:t>
      </w:r>
      <w:r>
        <w:rPr>
          <w:rFonts w:eastAsiaTheme="minorEastAsia"/>
          <w:color w:val="000000" w:themeColor="text1"/>
          <w:szCs w:val="28"/>
        </w:rPr>
        <w:t>——臭气收集风管沿程损失和局部损失（Pa）；</w:t>
      </w:r>
    </w:p>
    <w:p>
      <w:pPr>
        <w:pStyle w:val="11"/>
        <w:tabs>
          <w:tab w:val="left" w:pos="105"/>
        </w:tabs>
        <w:wordWrap w:val="0"/>
        <w:ind w:firstLine="840" w:firstLineChars="300"/>
        <w:rPr>
          <w:rFonts w:eastAsiaTheme="minorEastAsia"/>
          <w:color w:val="000000" w:themeColor="text1"/>
          <w:szCs w:val="28"/>
        </w:rPr>
      </w:pPr>
      <w:r>
        <w:rPr>
          <w:rFonts w:eastAsiaTheme="minorEastAsia"/>
          <w:i/>
          <w:color w:val="000000" w:themeColor="text1"/>
          <w:position w:val="-10"/>
          <w:szCs w:val="28"/>
        </w:rPr>
        <w:t>h</w:t>
      </w:r>
      <w:r>
        <w:rPr>
          <w:rFonts w:eastAsiaTheme="minorEastAsia"/>
          <w:color w:val="000000" w:themeColor="text1"/>
          <w:position w:val="-10"/>
          <w:szCs w:val="28"/>
          <w:vertAlign w:val="subscript"/>
        </w:rPr>
        <w:t>f2</w:t>
      </w:r>
      <w:r>
        <w:rPr>
          <w:rFonts w:eastAsiaTheme="minorEastAsia"/>
          <w:color w:val="000000" w:themeColor="text1"/>
          <w:szCs w:val="28"/>
        </w:rPr>
        <w:t>——臭气处理装置阻力（Pa），包括使用后增加的阻力；</w:t>
      </w:r>
    </w:p>
    <w:p>
      <w:pPr>
        <w:pStyle w:val="11"/>
        <w:tabs>
          <w:tab w:val="left" w:pos="105"/>
        </w:tabs>
        <w:wordWrap w:val="0"/>
        <w:ind w:firstLine="840" w:firstLineChars="300"/>
        <w:rPr>
          <w:rFonts w:eastAsiaTheme="minorEastAsia"/>
          <w:color w:val="000000" w:themeColor="text1"/>
          <w:szCs w:val="28"/>
        </w:rPr>
      </w:pPr>
      <w:r>
        <w:rPr>
          <w:rFonts w:eastAsiaTheme="minorEastAsia"/>
          <w:i/>
          <w:color w:val="000000" w:themeColor="text1"/>
          <w:position w:val="-10"/>
          <w:szCs w:val="28"/>
        </w:rPr>
        <w:t>h</w:t>
      </w:r>
      <w:r>
        <w:rPr>
          <w:rFonts w:eastAsiaTheme="minorEastAsia"/>
          <w:color w:val="000000" w:themeColor="text1"/>
          <w:position w:val="-10"/>
          <w:szCs w:val="28"/>
          <w:vertAlign w:val="subscript"/>
        </w:rPr>
        <w:t>f3</w:t>
      </w:r>
      <w:r>
        <w:rPr>
          <w:rFonts w:eastAsiaTheme="minorEastAsia"/>
          <w:color w:val="000000" w:themeColor="text1"/>
          <w:szCs w:val="28"/>
        </w:rPr>
        <w:t>——臭气排放管风压损失（Pa）；</w:t>
      </w:r>
    </w:p>
    <w:p>
      <w:pPr>
        <w:pStyle w:val="11"/>
        <w:tabs>
          <w:tab w:val="left" w:pos="105"/>
        </w:tabs>
        <w:wordWrap w:val="0"/>
        <w:ind w:firstLine="840" w:firstLineChars="300"/>
        <w:rPr>
          <w:rFonts w:eastAsiaTheme="minorEastAsia"/>
          <w:color w:val="000000" w:themeColor="text1"/>
          <w:szCs w:val="28"/>
        </w:rPr>
      </w:pPr>
      <w:r>
        <w:rPr>
          <w:rFonts w:eastAsiaTheme="minorEastAsia"/>
          <w:color w:val="000000" w:themeColor="text1"/>
          <w:szCs w:val="28"/>
        </w:rPr>
        <w:t>∆</w:t>
      </w:r>
      <w:r>
        <w:rPr>
          <w:rFonts w:eastAsiaTheme="minorEastAsia"/>
          <w:i/>
          <w:color w:val="000000" w:themeColor="text1"/>
          <w:szCs w:val="28"/>
        </w:rPr>
        <w:t>H</w:t>
      </w:r>
      <w:r>
        <w:rPr>
          <w:rFonts w:eastAsiaTheme="minorEastAsia"/>
          <w:color w:val="000000" w:themeColor="text1"/>
          <w:szCs w:val="28"/>
        </w:rPr>
        <w:t>——安全余量（Pa），宜为300 Pa ~500Pa ；</w:t>
      </w:r>
    </w:p>
    <w:p>
      <w:pPr>
        <w:pStyle w:val="11"/>
        <w:tabs>
          <w:tab w:val="left" w:pos="105"/>
        </w:tabs>
        <w:wordWrap w:val="0"/>
        <w:ind w:firstLine="840" w:firstLineChars="300"/>
        <w:rPr>
          <w:rFonts w:eastAsiaTheme="minorEastAsia"/>
          <w:color w:val="000000" w:themeColor="text1"/>
          <w:szCs w:val="28"/>
        </w:rPr>
      </w:pPr>
      <w:r>
        <w:rPr>
          <w:rFonts w:eastAsiaTheme="minorEastAsia"/>
          <w:color w:val="000000" w:themeColor="text1"/>
          <w:szCs w:val="28"/>
        </w:rPr>
        <w:t>∆</w:t>
      </w:r>
      <w:r>
        <w:rPr>
          <w:rFonts w:eastAsiaTheme="minorEastAsia"/>
          <w:i/>
          <w:color w:val="000000" w:themeColor="text1"/>
          <w:szCs w:val="28"/>
        </w:rPr>
        <w:t>p</w:t>
      </w:r>
      <w:r>
        <w:rPr>
          <w:rFonts w:eastAsiaTheme="minorEastAsia"/>
          <w:color w:val="000000" w:themeColor="text1"/>
          <w:szCs w:val="28"/>
          <w:vertAlign w:val="subscript"/>
        </w:rPr>
        <w:t>0</w:t>
      </w:r>
      <w:r>
        <w:rPr>
          <w:rFonts w:eastAsiaTheme="minorEastAsia"/>
          <w:color w:val="000000" w:themeColor="text1"/>
          <w:szCs w:val="28"/>
        </w:rPr>
        <w:t>——通风机全压（Pa）；</w:t>
      </w:r>
    </w:p>
    <w:p>
      <w:pPr>
        <w:pStyle w:val="11"/>
        <w:tabs>
          <w:tab w:val="left" w:pos="0"/>
        </w:tabs>
        <w:wordWrap w:val="0"/>
        <w:ind w:left="1680" w:leftChars="400" w:hanging="840" w:hangingChars="300"/>
        <w:rPr>
          <w:rFonts w:eastAsiaTheme="minorEastAsia"/>
          <w:color w:val="000000" w:themeColor="text1"/>
          <w:szCs w:val="28"/>
        </w:rPr>
      </w:pPr>
      <w:r>
        <w:rPr>
          <w:rFonts w:eastAsiaTheme="minorEastAsia"/>
          <w:i/>
          <w:color w:val="000000" w:themeColor="text1"/>
          <w:szCs w:val="28"/>
        </w:rPr>
        <w:t>K</w:t>
      </w:r>
      <w:r>
        <w:rPr>
          <w:rFonts w:eastAsiaTheme="minorEastAsia"/>
          <w:i/>
          <w:color w:val="000000" w:themeColor="text1"/>
          <w:szCs w:val="28"/>
          <w:vertAlign w:val="subscript"/>
        </w:rPr>
        <w:t>p</w:t>
      </w:r>
      <w:r>
        <w:rPr>
          <w:rFonts w:eastAsiaTheme="minorEastAsia"/>
          <w:color w:val="000000" w:themeColor="text1"/>
          <w:szCs w:val="28"/>
        </w:rPr>
        <w:t>——考虑系统压损计算误差等所采用的安全系数，可取0.10～0.15；</w:t>
      </w:r>
    </w:p>
    <w:p>
      <w:pPr>
        <w:pStyle w:val="11"/>
        <w:tabs>
          <w:tab w:val="left" w:pos="0"/>
        </w:tabs>
        <w:wordWrap w:val="0"/>
        <w:ind w:firstLine="840" w:firstLineChars="300"/>
        <w:rPr>
          <w:rFonts w:eastAsiaTheme="minorEastAsia"/>
          <w:color w:val="000000" w:themeColor="text1"/>
          <w:szCs w:val="28"/>
        </w:rPr>
      </w:pPr>
      <w:r>
        <w:rPr>
          <w:rFonts w:eastAsiaTheme="minorEastAsia"/>
          <w:i/>
          <w:color w:val="000000" w:themeColor="text1"/>
          <w:position w:val="-12"/>
          <w:szCs w:val="28"/>
        </w:rPr>
        <w:t>ρ</w:t>
      </w:r>
      <w:r>
        <w:rPr>
          <w:rFonts w:eastAsiaTheme="minorEastAsia"/>
          <w:color w:val="000000" w:themeColor="text1"/>
          <w:position w:val="-12"/>
          <w:szCs w:val="28"/>
          <w:vertAlign w:val="subscript"/>
        </w:rPr>
        <w:t>0</w:t>
      </w:r>
      <w:r>
        <w:rPr>
          <w:rFonts w:eastAsiaTheme="minorEastAsia"/>
          <w:color w:val="000000" w:themeColor="text1"/>
          <w:szCs w:val="28"/>
        </w:rPr>
        <w:t>——通风机性能表中给出的空气密度（kg/m</w:t>
      </w:r>
      <w:r>
        <w:rPr>
          <w:rFonts w:eastAsiaTheme="minorEastAsia"/>
          <w:color w:val="000000" w:themeColor="text1"/>
          <w:szCs w:val="28"/>
          <w:vertAlign w:val="superscript"/>
        </w:rPr>
        <w:t>3</w:t>
      </w:r>
      <w:r>
        <w:rPr>
          <w:rFonts w:eastAsiaTheme="minorEastAsia"/>
          <w:color w:val="000000" w:themeColor="text1"/>
          <w:szCs w:val="28"/>
        </w:rPr>
        <w:t>）；</w:t>
      </w:r>
    </w:p>
    <w:p>
      <w:pPr>
        <w:pStyle w:val="11"/>
        <w:tabs>
          <w:tab w:val="left" w:pos="0"/>
        </w:tabs>
        <w:wordWrap w:val="0"/>
        <w:ind w:left="210" w:leftChars="100" w:firstLineChars="200"/>
        <w:rPr>
          <w:rFonts w:eastAsiaTheme="minorEastAsia"/>
          <w:color w:val="000000" w:themeColor="text1"/>
          <w:position w:val="-12"/>
          <w:szCs w:val="28"/>
        </w:rPr>
      </w:pPr>
      <w:r>
        <w:rPr>
          <w:rFonts w:eastAsiaTheme="minorEastAsia"/>
          <w:i/>
          <w:color w:val="000000" w:themeColor="text1"/>
          <w:position w:val="-12"/>
          <w:szCs w:val="28"/>
        </w:rPr>
        <w:t>ρ</w:t>
      </w:r>
      <w:r>
        <w:rPr>
          <w:rFonts w:eastAsiaTheme="minorEastAsia"/>
          <w:color w:val="000000" w:themeColor="text1"/>
          <w:position w:val="-12"/>
          <w:szCs w:val="28"/>
        </w:rPr>
        <w:t>——运行工况下系统总压力损失计算采用的空气密度（kg/m</w:t>
      </w:r>
      <w:r>
        <w:rPr>
          <w:rFonts w:eastAsiaTheme="minorEastAsia"/>
          <w:color w:val="000000" w:themeColor="text1"/>
          <w:position w:val="-12"/>
          <w:szCs w:val="28"/>
          <w:vertAlign w:val="superscript"/>
        </w:rPr>
        <w:t>3</w:t>
      </w:r>
      <w:r>
        <w:rPr>
          <w:rFonts w:eastAsiaTheme="minorEastAsia"/>
          <w:color w:val="000000" w:themeColor="text1"/>
          <w:position w:val="-12"/>
          <w:szCs w:val="28"/>
        </w:rPr>
        <w:t>）。</w:t>
      </w:r>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臭气处理装置通风机壳体和叶轮材质应选用玻璃钢等耐腐蚀材料。风机宜配备隔声罩，且面板应采用防腐材质，隔声罩内应设散热装置。</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【条文说明】臭气组分中氨气和硫化氢等都具有腐蚀性，因此通风机壳体和叶轮材质应选用玻璃钢等耐腐蚀材料。</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t>IV臭气处理</w:t>
      </w:r>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sz w:val="28"/>
          <w:szCs w:val="28"/>
        </w:rPr>
        <w:t>采用洗涤处理时，应符合下列规定：</w:t>
      </w:r>
    </w:p>
    <w:p>
      <w:pPr>
        <w:pStyle w:val="30"/>
        <w:wordWrap w:val="0"/>
        <w:spacing w:line="360" w:lineRule="auto"/>
        <w:ind w:firstLine="568" w:firstLineChars="202"/>
        <w:rPr>
          <w:rFonts w:ascii="Times New Roman" w:hAnsi="Times New Roman" w:eastAsiaTheme="minorEastAsia"/>
          <w:sz w:val="28"/>
          <w:szCs w:val="28"/>
        </w:rPr>
      </w:pPr>
      <w:r>
        <w:rPr>
          <w:rFonts w:ascii="Times New Roman" w:hAnsi="Times New Roman" w:eastAsiaTheme="minorEastAsia"/>
          <w:b/>
          <w:sz w:val="28"/>
          <w:szCs w:val="28"/>
        </w:rPr>
        <w:t>1</w:t>
      </w:r>
      <w:commentRangeStart w:id="8"/>
      <w:r>
        <w:rPr>
          <w:rFonts w:ascii="Times New Roman" w:hAnsi="Times New Roman" w:eastAsiaTheme="minorEastAsia"/>
          <w:sz w:val="28"/>
          <w:szCs w:val="28"/>
        </w:rPr>
        <w:t>洗涤塔</w:t>
      </w:r>
      <w:commentRangeEnd w:id="8"/>
      <w:r>
        <w:rPr>
          <w:rStyle w:val="24"/>
          <w:rFonts w:ascii="Times New Roman" w:hAnsi="Times New Roman"/>
        </w:rPr>
        <w:commentReference w:id="8"/>
      </w:r>
      <w:r>
        <w:rPr>
          <w:rFonts w:ascii="Times New Roman" w:hAnsi="Times New Roman" w:eastAsiaTheme="minorEastAsia"/>
          <w:sz w:val="28"/>
          <w:szCs w:val="28"/>
        </w:rPr>
        <w:t>（器）的空塔流速可取0.6m/s ~1.5m/s；</w:t>
      </w:r>
    </w:p>
    <w:p>
      <w:pPr>
        <w:pStyle w:val="30"/>
        <w:ind w:firstLine="562"/>
        <w:rPr>
          <w:rFonts w:ascii="Times New Roman" w:hAnsi="Times New Roman" w:eastAsiaTheme="minorEastAsia"/>
          <w:color w:val="000000" w:themeColor="text1"/>
          <w:sz w:val="28"/>
          <w:szCs w:val="28"/>
        </w:rPr>
      </w:pPr>
      <w:r>
        <w:rPr>
          <w:rFonts w:ascii="Times New Roman" w:hAnsi="Times New Roman" w:eastAsiaTheme="minorEastAsia"/>
          <w:b/>
          <w:sz w:val="28"/>
          <w:szCs w:val="28"/>
        </w:rPr>
        <w:t>2</w:t>
      </w:r>
      <w:r>
        <w:rPr>
          <w:rFonts w:ascii="Times New Roman" w:hAnsi="Times New Roman" w:eastAsiaTheme="minorEastAsia"/>
          <w:sz w:val="28"/>
          <w:szCs w:val="28"/>
        </w:rPr>
        <w:t xml:space="preserve"> 废气在填料层停留时间可取1s ~3s。</w:t>
      </w:r>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sz w:val="28"/>
          <w:szCs w:val="28"/>
        </w:rPr>
        <w:t>采用生物处理时，应符合下列规定：</w:t>
      </w:r>
    </w:p>
    <w:p>
      <w:pPr>
        <w:pStyle w:val="30"/>
        <w:wordWrap w:val="0"/>
        <w:spacing w:line="360" w:lineRule="auto"/>
        <w:ind w:firstLine="568" w:firstLineChars="202"/>
        <w:rPr>
          <w:rFonts w:ascii="Times New Roman" w:hAnsi="Times New Roman" w:eastAsiaTheme="minorEastAsia"/>
          <w:color w:val="000000" w:themeColor="text1"/>
          <w:sz w:val="28"/>
          <w:szCs w:val="28"/>
        </w:rPr>
      </w:pPr>
      <w:r>
        <w:rPr>
          <w:rFonts w:ascii="Times New Roman" w:hAnsi="Times New Roman" w:eastAsiaTheme="minorEastAsia"/>
          <w:b/>
          <w:sz w:val="28"/>
          <w:szCs w:val="28"/>
        </w:rPr>
        <w:t>1</w:t>
      </w:r>
      <w:r>
        <w:rPr>
          <w:rFonts w:ascii="Times New Roman" w:hAnsi="Times New Roman" w:eastAsiaTheme="minorEastAsia"/>
          <w:color w:val="000000" w:themeColor="text1"/>
          <w:sz w:val="28"/>
          <w:szCs w:val="28"/>
        </w:rPr>
        <w:t>填料区停留时间不宜小于15s，寒冷地区宜根据进气温度情况延长空塔停留时间；</w:t>
      </w:r>
    </w:p>
    <w:p>
      <w:pPr>
        <w:pStyle w:val="30"/>
        <w:wordWrap w:val="0"/>
        <w:spacing w:line="360" w:lineRule="auto"/>
        <w:ind w:firstLine="568" w:firstLineChars="20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 xml:space="preserve"> 空塔气速不宜大于300m/h；</w:t>
      </w:r>
    </w:p>
    <w:p>
      <w:pPr>
        <w:pStyle w:val="30"/>
        <w:wordWrap w:val="0"/>
        <w:spacing w:line="360" w:lineRule="auto"/>
        <w:ind w:firstLine="568" w:firstLineChars="20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3</w:t>
      </w:r>
      <w:r>
        <w:rPr>
          <w:rFonts w:ascii="Times New Roman" w:hAnsi="Times New Roman" w:eastAsiaTheme="minorEastAsia"/>
          <w:sz w:val="28"/>
          <w:szCs w:val="28"/>
        </w:rPr>
        <w:t>单位填料负荷宜根据臭气浓度和去除要求确定，硫化氢负荷不宜高于5 g/(m</w:t>
      </w:r>
      <w:r>
        <w:rPr>
          <w:rFonts w:ascii="Times New Roman" w:hAnsi="Times New Roman" w:eastAsiaTheme="minorEastAsia"/>
          <w:sz w:val="28"/>
          <w:szCs w:val="28"/>
          <w:vertAlign w:val="superscript"/>
        </w:rPr>
        <w:t>3</w:t>
      </w:r>
      <w:r>
        <w:rPr>
          <w:rFonts w:ascii="Times New Roman" w:hAnsi="Times New Roman" w:eastAsiaTheme="minorEastAsia"/>
          <w:sz w:val="28"/>
          <w:szCs w:val="28"/>
        </w:rPr>
        <w:t>·h)。</w:t>
      </w:r>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sz w:val="28"/>
          <w:szCs w:val="28"/>
        </w:rPr>
        <w:t>采用活性炭处理时，活性炭吸附单元的空塔停留时间，应根据臭气浓度、处理要求、吸附容量确定，且宜为2s~5s</w:t>
      </w:r>
      <w:r>
        <w:rPr>
          <w:rFonts w:ascii="Times New Roman" w:hAnsi="Times New Roman" w:eastAsiaTheme="minorEastAsia"/>
          <w:color w:val="000000" w:themeColor="text1"/>
          <w:sz w:val="28"/>
          <w:szCs w:val="28"/>
        </w:rPr>
        <w:t>。</w:t>
      </w:r>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sz w:val="28"/>
          <w:szCs w:val="28"/>
        </w:rPr>
        <w:t>采用离子体处理时，</w:t>
      </w:r>
      <w:r>
        <w:rPr>
          <w:rFonts w:ascii="Times New Roman" w:hAnsi="Times New Roman" w:eastAsiaTheme="minorEastAsia"/>
          <w:color w:val="000000" w:themeColor="text1"/>
          <w:sz w:val="28"/>
          <w:szCs w:val="28"/>
        </w:rPr>
        <w:t>反应区风速宜为3m/s~5m/s。</w:t>
      </w:r>
    </w:p>
    <w:p>
      <w:pPr>
        <w:widowControl/>
        <w:wordWrap w:val="0"/>
        <w:rPr>
          <w:rFonts w:eastAsiaTheme="minorEastAsia"/>
          <w:color w:val="000000" w:themeColor="text1"/>
          <w:sz w:val="28"/>
          <w:szCs w:val="28"/>
        </w:rPr>
      </w:pPr>
      <w:r>
        <w:rPr>
          <w:rFonts w:eastAsiaTheme="minorEastAsia"/>
          <w:color w:val="000000" w:themeColor="text1"/>
          <w:sz w:val="28"/>
          <w:szCs w:val="28"/>
        </w:rPr>
        <w:t>【条文说明】反应区气体流速是确定设备容量和恶臭消除率的重要因素，故做此规定。</w:t>
      </w:r>
    </w:p>
    <w:p>
      <w:pPr>
        <w:widowControl/>
        <w:wordWrap w:val="0"/>
        <w:jc w:val="center"/>
        <w:rPr>
          <w:rFonts w:eastAsiaTheme="minorEastAsia"/>
          <w:color w:val="000000" w:themeColor="text1"/>
          <w:sz w:val="28"/>
          <w:szCs w:val="28"/>
        </w:rPr>
      </w:pPr>
      <w:bookmarkStart w:id="75" w:name="_Toc268274607"/>
      <w:r>
        <w:rPr>
          <w:rFonts w:eastAsiaTheme="minorEastAsia"/>
          <w:color w:val="000000" w:themeColor="text1"/>
          <w:sz w:val="28"/>
          <w:szCs w:val="28"/>
        </w:rPr>
        <w:fldChar w:fldCharType="begin"/>
      </w:r>
      <w:r>
        <w:rPr>
          <w:rFonts w:eastAsiaTheme="minorEastAsia"/>
          <w:color w:val="000000" w:themeColor="text1"/>
          <w:sz w:val="28"/>
          <w:szCs w:val="28"/>
        </w:rPr>
        <w:instrText xml:space="preserve"> = 5 \* ROMAN </w:instrText>
      </w:r>
      <w:r>
        <w:rPr>
          <w:rFonts w:eastAsiaTheme="minorEastAsia"/>
          <w:color w:val="000000" w:themeColor="text1"/>
          <w:sz w:val="28"/>
          <w:szCs w:val="28"/>
        </w:rPr>
        <w:fldChar w:fldCharType="separate"/>
      </w:r>
      <w:r>
        <w:rPr>
          <w:rFonts w:eastAsiaTheme="minorEastAsia"/>
          <w:color w:val="000000" w:themeColor="text1"/>
          <w:sz w:val="28"/>
          <w:szCs w:val="28"/>
        </w:rPr>
        <w:t>V</w:t>
      </w:r>
      <w:r>
        <w:rPr>
          <w:rFonts w:eastAsiaTheme="minorEastAsia"/>
          <w:color w:val="000000" w:themeColor="text1"/>
          <w:sz w:val="28"/>
          <w:szCs w:val="28"/>
        </w:rPr>
        <w:fldChar w:fldCharType="end"/>
      </w:r>
      <w:r>
        <w:rPr>
          <w:rFonts w:eastAsiaTheme="minorEastAsia"/>
          <w:color w:val="000000" w:themeColor="text1"/>
          <w:sz w:val="28"/>
          <w:szCs w:val="28"/>
        </w:rPr>
        <w:t xml:space="preserve"> 臭气排放</w:t>
      </w:r>
      <w:bookmarkEnd w:id="75"/>
    </w:p>
    <w:p>
      <w:pPr>
        <w:pStyle w:val="30"/>
        <w:numPr>
          <w:ilvl w:val="0"/>
          <w:numId w:val="48"/>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臭气排放应进行环境影响评估。</w:t>
      </w:r>
      <w:r>
        <w:rPr>
          <w:rFonts w:ascii="Times New Roman" w:hAnsi="Times New Roman" w:eastAsia="宋体"/>
          <w:sz w:val="28"/>
          <w:szCs w:val="28"/>
        </w:rPr>
        <w:t>当厂区周边存在环境敏感区域时，应进行臭气防护距离计算。</w:t>
      </w:r>
    </w:p>
    <w:p>
      <w:pPr>
        <w:widowControl/>
        <w:wordWrap w:val="0"/>
        <w:rPr>
          <w:rFonts w:eastAsiaTheme="minorEastAsia"/>
          <w:color w:val="000000" w:themeColor="text1"/>
          <w:sz w:val="28"/>
          <w:szCs w:val="28"/>
        </w:rPr>
      </w:pPr>
      <w:r>
        <w:rPr>
          <w:rFonts w:eastAsiaTheme="minorEastAsia"/>
          <w:color w:val="000000" w:themeColor="text1"/>
          <w:sz w:val="28"/>
          <w:szCs w:val="28"/>
        </w:rPr>
        <w:t>【条文说明】臭气排放应进行影响估算或影响预测，可按现行行业标准《环境影响评价技术导则 大气环境》HJ 2.2-2008的有关规定执行。</w:t>
      </w:r>
    </w:p>
    <w:p>
      <w:pPr>
        <w:pStyle w:val="30"/>
        <w:widowControl/>
        <w:numPr>
          <w:ilvl w:val="0"/>
          <w:numId w:val="48"/>
        </w:numPr>
        <w:wordWrap w:val="0"/>
        <w:spacing w:line="360" w:lineRule="auto"/>
        <w:ind w:left="0" w:firstLine="0" w:firstLineChars="0"/>
        <w:jc w:val="left"/>
        <w:rPr>
          <w:rFonts w:ascii="Times New Roman" w:hAnsi="Times New Roman" w:eastAsiaTheme="minorEastAsia"/>
          <w:b/>
          <w:color w:val="000000" w:themeColor="text1"/>
          <w:spacing w:val="8"/>
          <w:kern w:val="0"/>
          <w:sz w:val="28"/>
          <w:szCs w:val="28"/>
        </w:rPr>
      </w:pPr>
      <w:r>
        <w:rPr>
          <w:rFonts w:ascii="Times New Roman" w:hAnsi="Times New Roman" w:eastAsiaTheme="minorEastAsia"/>
          <w:color w:val="000000" w:themeColor="text1"/>
          <w:sz w:val="28"/>
          <w:szCs w:val="28"/>
        </w:rPr>
        <w:t>采用高空排放时，应设避雷设施，室外采用金属外壳的排放装置还应有可靠的接地措施。</w:t>
      </w:r>
      <w:r>
        <w:rPr>
          <w:rFonts w:ascii="Times New Roman" w:hAnsi="Times New Roman" w:eastAsiaTheme="minorEastAsia"/>
          <w:sz w:val="28"/>
          <w:szCs w:val="28"/>
        </w:rPr>
        <w:br w:type="page"/>
      </w:r>
    </w:p>
    <w:p>
      <w:pPr>
        <w:pStyle w:val="2"/>
        <w:wordWrap w:val="0"/>
        <w:spacing w:before="312" w:after="312"/>
        <w:rPr>
          <w:sz w:val="28"/>
          <w:szCs w:val="28"/>
        </w:rPr>
      </w:pPr>
      <w:bookmarkStart w:id="76" w:name="_Toc515281069"/>
      <w:r>
        <w:rPr>
          <w:sz w:val="28"/>
          <w:szCs w:val="28"/>
        </w:rPr>
        <w:t>8 污泥处理和处置</w:t>
      </w:r>
      <w:bookmarkEnd w:id="76"/>
      <w:bookmarkStart w:id="77" w:name="_Toc74992761"/>
      <w:bookmarkStart w:id="78" w:name="_Toc102292565"/>
    </w:p>
    <w:p>
      <w:pPr>
        <w:pStyle w:val="3"/>
        <w:numPr>
          <w:ilvl w:val="0"/>
          <w:numId w:val="49"/>
        </w:numPr>
        <w:wordWrap w:val="0"/>
        <w:spacing w:before="312" w:beforeLines="100" w:after="312" w:afterLines="100" w:line="415" w:lineRule="auto"/>
        <w:rPr>
          <w:rFonts w:ascii="Times New Roman" w:hAnsi="Times New Roman" w:eastAsiaTheme="minorEastAsia"/>
          <w:b w:val="0"/>
          <w:color w:val="000000" w:themeColor="text1"/>
          <w:sz w:val="28"/>
          <w:szCs w:val="28"/>
        </w:rPr>
      </w:pPr>
      <w:r>
        <w:rPr>
          <w:rFonts w:ascii="Times New Roman" w:hAnsi="Times New Roman" w:eastAsiaTheme="minorEastAsia"/>
          <w:b w:val="0"/>
          <w:color w:val="000000" w:themeColor="text1"/>
          <w:sz w:val="28"/>
          <w:szCs w:val="28"/>
        </w:rPr>
        <w:t xml:space="preserve"> </w:t>
      </w:r>
      <w:bookmarkStart w:id="79" w:name="_Toc515281070"/>
      <w:r>
        <w:rPr>
          <w:rFonts w:ascii="Times New Roman" w:hAnsi="Times New Roman" w:eastAsiaTheme="minorEastAsia"/>
          <w:b w:val="0"/>
          <w:color w:val="000000" w:themeColor="text1"/>
          <w:sz w:val="28"/>
          <w:szCs w:val="28"/>
        </w:rPr>
        <w:t>一般规定</w:t>
      </w:r>
      <w:bookmarkEnd w:id="77"/>
      <w:bookmarkEnd w:id="78"/>
      <w:bookmarkEnd w:id="79"/>
    </w:p>
    <w:p>
      <w:pPr>
        <w:pStyle w:val="30"/>
        <w:numPr>
          <w:ilvl w:val="0"/>
          <w:numId w:val="5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污泥处理工艺应根据污泥性质处理后的泥质要求、当地经济条件、污泥处置的出路、占地面积等因素合理选择。一般包括浓缩、厌氧消化、好氧消化、好氧发酵、脱水、石灰稳定、干化和焚烧等。</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【条文说明】目前污水污泥的处理技术种类繁多，采用何种技术对污水污泥进行处理应与污泥的最终处置方式相适应，由处置出路决定处理工艺，并经过技术经济比较确定。例如污水污泥用作土地利用</w:t>
      </w:r>
      <w:r>
        <w:rPr>
          <w:rFonts w:hint="eastAsia" w:ascii="Times New Roman" w:hAnsi="Times New Roman" w:eastAsiaTheme="minorEastAsia"/>
          <w:color w:val="000000" w:themeColor="text1"/>
          <w:sz w:val="28"/>
          <w:szCs w:val="28"/>
        </w:rPr>
        <w:t>时</w:t>
      </w:r>
      <w:r>
        <w:rPr>
          <w:rFonts w:ascii="Times New Roman" w:hAnsi="Times New Roman" w:eastAsiaTheme="minorEastAsia"/>
          <w:color w:val="000000" w:themeColor="text1"/>
          <w:sz w:val="28"/>
          <w:szCs w:val="28"/>
        </w:rPr>
        <w:t>，应该进行稳定化、无害化处理。污泥处理工艺的设计应参考现行行业标准《城镇污水处理厂污泥处理 稳定标准》CJ/T 510对污泥</w:t>
      </w:r>
      <w:r>
        <w:rPr>
          <w:rFonts w:hint="eastAsia" w:ascii="Times New Roman" w:hAnsi="Times New Roman" w:eastAsiaTheme="minorEastAsia"/>
          <w:color w:val="000000" w:themeColor="text1"/>
          <w:sz w:val="28"/>
          <w:szCs w:val="28"/>
        </w:rPr>
        <w:t>进行</w:t>
      </w:r>
      <w:r>
        <w:rPr>
          <w:rFonts w:ascii="Times New Roman" w:hAnsi="Times New Roman" w:eastAsiaTheme="minorEastAsia"/>
          <w:color w:val="000000" w:themeColor="text1"/>
          <w:sz w:val="28"/>
          <w:szCs w:val="28"/>
        </w:rPr>
        <w:t>稳定处理。污水污泥用作建材利用时，应进行脱水处理，并视情况进行干化处理。污水污泥用作填埋时，应进行稳定化处理，满足《城镇污水处理厂污泥处置 混合填埋用泥质》GB/T23485的规定。</w:t>
      </w:r>
    </w:p>
    <w:p>
      <w:pPr>
        <w:pStyle w:val="30"/>
        <w:numPr>
          <w:ilvl w:val="0"/>
          <w:numId w:val="5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污泥的处置方式应根据污泥特性、最终出路等因素综合考虑。一般包括土地利用、建筑材料利用</w:t>
      </w:r>
      <w:r>
        <w:rPr>
          <w:rFonts w:hint="eastAsia" w:ascii="Times New Roman" w:hAnsi="Times New Roman" w:eastAsiaTheme="minorEastAsia"/>
          <w:color w:val="000000" w:themeColor="text1"/>
          <w:sz w:val="28"/>
          <w:szCs w:val="28"/>
        </w:rPr>
        <w:t>和填埋</w:t>
      </w:r>
      <w:r>
        <w:rPr>
          <w:rFonts w:ascii="Times New Roman" w:hAnsi="Times New Roman" w:eastAsiaTheme="minorEastAsia"/>
          <w:color w:val="000000" w:themeColor="text1"/>
          <w:sz w:val="28"/>
          <w:szCs w:val="28"/>
        </w:rPr>
        <w:t>等。</w:t>
      </w:r>
    </w:p>
    <w:p>
      <w:pPr>
        <w:pStyle w:val="30"/>
        <w:wordWrap w:val="0"/>
        <w:spacing w:line="360" w:lineRule="auto"/>
        <w:ind w:firstLine="0" w:firstLineChars="0"/>
        <w:rPr>
          <w:rFonts w:ascii="Times New Roman" w:hAnsi="Times New Roman" w:eastAsiaTheme="minorEastAsia"/>
          <w:bCs/>
          <w:color w:val="000000" w:themeColor="text1"/>
          <w:sz w:val="28"/>
          <w:szCs w:val="28"/>
        </w:rPr>
      </w:pPr>
      <w:r>
        <w:rPr>
          <w:rFonts w:ascii="Times New Roman" w:hAnsi="Times New Roman" w:eastAsiaTheme="minorEastAsia"/>
          <w:color w:val="000000" w:themeColor="text1"/>
          <w:sz w:val="28"/>
          <w:szCs w:val="28"/>
        </w:rPr>
        <w:t>【条文说明】污泥处理处置应从节能减排的角度出发，综合考虑处置效率、能源消耗、碳足迹等因素，工艺选择以体积减量处理为基础，以稳定化处理为核心，以资源化利用为目标，以对环境总体影响最小为宗旨。因此，</w:t>
      </w:r>
      <w:r>
        <w:rPr>
          <w:rFonts w:ascii="Times New Roman" w:hAnsi="Times New Roman" w:eastAsiaTheme="minorEastAsia"/>
          <w:bCs/>
          <w:color w:val="000000" w:themeColor="text1"/>
          <w:sz w:val="28"/>
          <w:szCs w:val="28"/>
        </w:rPr>
        <w:t>污泥处理工程建设之前，应进行污泥中有机质、营养物、重金属、病原菌、污泥热值、有毒有机物的分析测试，根据泥质确定经济合理且对环境安全的处置方式，再根据处置方式选定合理的处理工艺。</w:t>
      </w:r>
    </w:p>
    <w:p>
      <w:pPr>
        <w:pStyle w:val="30"/>
        <w:numPr>
          <w:ilvl w:val="0"/>
          <w:numId w:val="5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污水厂污泥产量，</w:t>
      </w:r>
      <w:r>
        <w:rPr>
          <w:rFonts w:hint="eastAsia" w:ascii="Times New Roman" w:hAnsi="Times New Roman" w:eastAsiaTheme="minorEastAsia"/>
          <w:color w:val="000000" w:themeColor="text1"/>
          <w:sz w:val="28"/>
          <w:szCs w:val="28"/>
        </w:rPr>
        <w:t>可</w:t>
      </w:r>
      <w:r>
        <w:rPr>
          <w:rFonts w:ascii="Times New Roman" w:hAnsi="Times New Roman" w:eastAsiaTheme="minorEastAsia"/>
          <w:color w:val="000000" w:themeColor="text1"/>
          <w:sz w:val="28"/>
          <w:szCs w:val="28"/>
        </w:rPr>
        <w:t>按下式计算：</w:t>
      </w:r>
    </w:p>
    <w:p>
      <w:pPr>
        <w:pStyle w:val="30"/>
        <w:tabs>
          <w:tab w:val="center" w:pos="4253"/>
          <w:tab w:val="right" w:pos="8364"/>
        </w:tabs>
        <w:spacing w:line="360" w:lineRule="auto"/>
        <w:ind w:left="1" w:firstLine="0" w:firstLineChars="0"/>
        <w:jc w:val="center"/>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ab/>
      </w:r>
      <w:r>
        <w:rPr>
          <w:rFonts w:ascii="Times New Roman" w:hAnsi="Times New Roman" w:eastAsiaTheme="minorEastAsia"/>
          <w:i/>
          <w:color w:val="000000" w:themeColor="text1"/>
          <w:sz w:val="28"/>
          <w:szCs w:val="28"/>
        </w:rPr>
        <w:t>Q</w:t>
      </w:r>
      <w:r>
        <w:rPr>
          <w:rFonts w:ascii="Times New Roman" w:hAnsi="Times New Roman" w:eastAsiaTheme="minorEastAsia"/>
          <w:i/>
          <w:color w:val="000000" w:themeColor="text1"/>
          <w:sz w:val="28"/>
          <w:szCs w:val="28"/>
          <w:vertAlign w:val="subscript"/>
        </w:rPr>
        <w:t>sl</w:t>
      </w:r>
      <w:r>
        <w:rPr>
          <w:rFonts w:ascii="Times New Roman" w:hAnsi="Times New Roman" w:eastAsiaTheme="minorEastAsia"/>
          <w:color w:val="000000" w:themeColor="text1"/>
          <w:sz w:val="28"/>
          <w:szCs w:val="28"/>
        </w:rPr>
        <w:t>=</w:t>
      </w:r>
      <w:r>
        <w:rPr>
          <w:rFonts w:ascii="Times New Roman" w:hAnsi="Times New Roman" w:eastAsiaTheme="minorEastAsia"/>
          <w:i/>
          <w:color w:val="000000" w:themeColor="text1"/>
          <w:sz w:val="28"/>
          <w:szCs w:val="28"/>
        </w:rPr>
        <w:t>Q</w:t>
      </w:r>
      <w:r>
        <w:rPr>
          <w:rFonts w:ascii="Times New Roman" w:hAnsi="Times New Roman" w:eastAsiaTheme="minorEastAsia"/>
          <w:i/>
          <w:color w:val="000000" w:themeColor="text1"/>
          <w:sz w:val="28"/>
          <w:szCs w:val="28"/>
          <w:vertAlign w:val="subscript"/>
        </w:rPr>
        <w:t>ps</w:t>
      </w:r>
      <w:r>
        <w:rPr>
          <w:rFonts w:ascii="Times New Roman" w:hAnsi="Times New Roman" w:eastAsiaTheme="minorEastAsia"/>
          <w:color w:val="000000" w:themeColor="text1"/>
          <w:sz w:val="28"/>
          <w:szCs w:val="28"/>
        </w:rPr>
        <w:t>+</w:t>
      </w:r>
      <w:r>
        <w:rPr>
          <w:rFonts w:ascii="Times New Roman" w:hAnsi="Times New Roman" w:eastAsiaTheme="minorEastAsia"/>
          <w:i/>
          <w:color w:val="000000" w:themeColor="text1"/>
          <w:sz w:val="28"/>
          <w:szCs w:val="28"/>
        </w:rPr>
        <w:t>Q</w:t>
      </w:r>
      <w:r>
        <w:rPr>
          <w:rFonts w:ascii="Times New Roman" w:hAnsi="Times New Roman" w:eastAsiaTheme="minorEastAsia"/>
          <w:i/>
          <w:color w:val="000000" w:themeColor="text1"/>
          <w:sz w:val="28"/>
          <w:szCs w:val="28"/>
          <w:vertAlign w:val="subscript"/>
        </w:rPr>
        <w:t>es</w:t>
      </w:r>
      <w:r>
        <w:rPr>
          <w:rFonts w:ascii="Times New Roman" w:hAnsi="Times New Roman" w:eastAsiaTheme="minorEastAsia"/>
          <w:color w:val="000000" w:themeColor="text1"/>
          <w:sz w:val="28"/>
          <w:szCs w:val="28"/>
        </w:rPr>
        <w:t>+</w:t>
      </w:r>
      <w:r>
        <w:rPr>
          <w:rFonts w:ascii="Times New Roman" w:hAnsi="Times New Roman" w:eastAsiaTheme="minorEastAsia"/>
          <w:i/>
          <w:color w:val="000000" w:themeColor="text1"/>
          <w:sz w:val="28"/>
          <w:szCs w:val="28"/>
        </w:rPr>
        <w:t>Q</w:t>
      </w:r>
      <w:r>
        <w:rPr>
          <w:rFonts w:ascii="Times New Roman" w:hAnsi="Times New Roman" w:eastAsiaTheme="minorEastAsia"/>
          <w:i/>
          <w:color w:val="000000" w:themeColor="text1"/>
          <w:sz w:val="28"/>
          <w:szCs w:val="28"/>
          <w:vertAlign w:val="subscript"/>
        </w:rPr>
        <w:t>cs</w:t>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(8.</w:t>
      </w:r>
      <w:r>
        <w:rPr>
          <w:rFonts w:hint="eastAsia" w:ascii="Times New Roman" w:hAnsi="Times New Roman" w:eastAsiaTheme="minorEastAsia"/>
          <w:color w:val="000000" w:themeColor="text1"/>
          <w:sz w:val="28"/>
          <w:szCs w:val="28"/>
        </w:rPr>
        <w:t>1</w:t>
      </w:r>
      <w:r>
        <w:rPr>
          <w:rFonts w:ascii="Times New Roman" w:hAnsi="Times New Roman" w:eastAsiaTheme="minorEastAsia"/>
          <w:color w:val="000000" w:themeColor="text1"/>
          <w:sz w:val="28"/>
          <w:szCs w:val="28"/>
        </w:rPr>
        <w:t>.</w:t>
      </w:r>
      <w:r>
        <w:rPr>
          <w:rFonts w:hint="eastAsia" w:ascii="Times New Roman" w:hAnsi="Times New Roman" w:eastAsiaTheme="minorEastAsia"/>
          <w:color w:val="000000" w:themeColor="text1"/>
          <w:sz w:val="28"/>
          <w:szCs w:val="28"/>
        </w:rPr>
        <w:t>3</w:t>
      </w:r>
      <w:r>
        <w:rPr>
          <w:rFonts w:ascii="Times New Roman" w:hAnsi="Times New Roman" w:eastAsiaTheme="minorEastAsia"/>
          <w:color w:val="000000" w:themeColor="text1"/>
          <w:sz w:val="28"/>
          <w:szCs w:val="28"/>
        </w:rPr>
        <w:t>)</w:t>
      </w:r>
    </w:p>
    <w:p>
      <w:pPr>
        <w:wordWrap w:val="0"/>
        <w:spacing w:line="480" w:lineRule="atLeast"/>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Q</w:t>
      </w:r>
      <w:r>
        <w:rPr>
          <w:rFonts w:eastAsiaTheme="minorEastAsia"/>
          <w:color w:val="000000" w:themeColor="text1"/>
          <w:sz w:val="28"/>
          <w:szCs w:val="28"/>
          <w:vertAlign w:val="subscript"/>
        </w:rPr>
        <w:t>sl</w:t>
      </w:r>
      <w:r>
        <w:rPr>
          <w:rFonts w:eastAsiaTheme="minorEastAsia"/>
          <w:color w:val="000000" w:themeColor="text1"/>
          <w:sz w:val="28"/>
          <w:szCs w:val="28"/>
        </w:rPr>
        <w:t>——污泥产生量（kg/d）；</w:t>
      </w:r>
    </w:p>
    <w:p>
      <w:pPr>
        <w:wordWrap w:val="0"/>
        <w:spacing w:line="480" w:lineRule="atLeast"/>
        <w:ind w:firstLine="708" w:firstLineChars="253"/>
        <w:rPr>
          <w:rFonts w:eastAsiaTheme="minorEastAsia"/>
          <w:color w:val="000000" w:themeColor="text1"/>
          <w:sz w:val="28"/>
          <w:szCs w:val="28"/>
        </w:rPr>
      </w:pPr>
      <w:r>
        <w:rPr>
          <w:rFonts w:eastAsiaTheme="minorEastAsia"/>
          <w:i/>
          <w:color w:val="000000" w:themeColor="text1"/>
          <w:sz w:val="28"/>
          <w:szCs w:val="28"/>
        </w:rPr>
        <w:t>Q</w:t>
      </w:r>
      <w:r>
        <w:rPr>
          <w:rFonts w:eastAsiaTheme="minorEastAsia"/>
          <w:i/>
          <w:color w:val="000000" w:themeColor="text1"/>
          <w:sz w:val="28"/>
          <w:szCs w:val="28"/>
          <w:vertAlign w:val="subscript"/>
        </w:rPr>
        <w:t>ps</w:t>
      </w:r>
      <w:r>
        <w:rPr>
          <w:rFonts w:eastAsiaTheme="minorEastAsia"/>
          <w:i/>
          <w:color w:val="000000" w:themeColor="text1"/>
          <w:sz w:val="28"/>
          <w:szCs w:val="28"/>
        </w:rPr>
        <w:t>——</w:t>
      </w:r>
      <w:r>
        <w:rPr>
          <w:rFonts w:eastAsiaTheme="minorEastAsia"/>
          <w:color w:val="000000" w:themeColor="text1"/>
          <w:sz w:val="28"/>
          <w:szCs w:val="28"/>
        </w:rPr>
        <w:t>初沉污泥量（kg/d）；</w:t>
      </w:r>
    </w:p>
    <w:p>
      <w:pPr>
        <w:wordWrap w:val="0"/>
        <w:spacing w:line="480" w:lineRule="atLeast"/>
        <w:ind w:firstLine="708" w:firstLineChars="253"/>
        <w:rPr>
          <w:rFonts w:eastAsiaTheme="minorEastAsia"/>
          <w:color w:val="000000" w:themeColor="text1"/>
          <w:sz w:val="28"/>
          <w:szCs w:val="28"/>
        </w:rPr>
      </w:pPr>
      <w:r>
        <w:rPr>
          <w:rFonts w:eastAsiaTheme="minorEastAsia"/>
          <w:i/>
          <w:color w:val="000000" w:themeColor="text1"/>
          <w:sz w:val="28"/>
          <w:szCs w:val="28"/>
        </w:rPr>
        <w:t>Q</w:t>
      </w:r>
      <w:r>
        <w:rPr>
          <w:rFonts w:eastAsiaTheme="minorEastAsia"/>
          <w:i/>
          <w:color w:val="000000" w:themeColor="text1"/>
          <w:sz w:val="28"/>
          <w:szCs w:val="28"/>
          <w:vertAlign w:val="subscript"/>
        </w:rPr>
        <w:t>es</w:t>
      </w:r>
      <w:r>
        <w:rPr>
          <w:rFonts w:eastAsiaTheme="minorEastAsia"/>
          <w:i/>
          <w:color w:val="000000" w:themeColor="text1"/>
          <w:sz w:val="28"/>
          <w:szCs w:val="28"/>
        </w:rPr>
        <w:t>——</w:t>
      </w:r>
      <w:r>
        <w:rPr>
          <w:rFonts w:eastAsiaTheme="minorEastAsia"/>
          <w:color w:val="000000" w:themeColor="text1"/>
          <w:sz w:val="28"/>
          <w:szCs w:val="28"/>
        </w:rPr>
        <w:t>剩余污泥量（kg/d）；</w:t>
      </w:r>
    </w:p>
    <w:p>
      <w:pPr>
        <w:wordWrap w:val="0"/>
        <w:spacing w:line="480" w:lineRule="atLeast"/>
        <w:ind w:firstLine="708" w:firstLineChars="253"/>
        <w:rPr>
          <w:rFonts w:eastAsiaTheme="minorEastAsia"/>
          <w:color w:val="000000" w:themeColor="text1"/>
          <w:sz w:val="28"/>
          <w:szCs w:val="28"/>
        </w:rPr>
      </w:pPr>
      <w:r>
        <w:rPr>
          <w:rFonts w:eastAsiaTheme="minorEastAsia"/>
          <w:i/>
          <w:color w:val="000000" w:themeColor="text1"/>
          <w:sz w:val="28"/>
          <w:szCs w:val="28"/>
        </w:rPr>
        <w:t>Q</w:t>
      </w:r>
      <w:r>
        <w:rPr>
          <w:rFonts w:eastAsiaTheme="minorEastAsia"/>
          <w:i/>
          <w:color w:val="000000" w:themeColor="text1"/>
          <w:sz w:val="28"/>
          <w:szCs w:val="28"/>
          <w:vertAlign w:val="subscript"/>
        </w:rPr>
        <w:t>cs</w:t>
      </w:r>
      <w:r>
        <w:rPr>
          <w:rFonts w:eastAsiaTheme="minorEastAsia"/>
          <w:i/>
          <w:color w:val="000000" w:themeColor="text1"/>
          <w:sz w:val="28"/>
          <w:szCs w:val="28"/>
        </w:rPr>
        <w:t>——</w:t>
      </w:r>
      <w:r>
        <w:rPr>
          <w:rFonts w:eastAsiaTheme="minorEastAsia"/>
          <w:color w:val="000000" w:themeColor="text1"/>
          <w:sz w:val="28"/>
          <w:szCs w:val="28"/>
        </w:rPr>
        <w:t>化学污泥量（kg/d）。</w:t>
      </w:r>
    </w:p>
    <w:p>
      <w:pPr>
        <w:pStyle w:val="30"/>
        <w:numPr>
          <w:ilvl w:val="0"/>
          <w:numId w:val="5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污泥处理处置设施的规模应以污泥产量为依据，并</w:t>
      </w:r>
      <w:r>
        <w:rPr>
          <w:rFonts w:ascii="Times New Roman" w:hAnsi="Times New Roman" w:eastAsia="宋体"/>
          <w:color w:val="000000" w:themeColor="text1"/>
          <w:kern w:val="0"/>
          <w:sz w:val="28"/>
          <w:szCs w:val="28"/>
          <w:lang w:val="zh-CN"/>
        </w:rPr>
        <w:t>应综合考虑排水体制、污水处理水量、水质和工艺</w:t>
      </w:r>
      <w:r>
        <w:rPr>
          <w:rFonts w:ascii="Times New Roman" w:hAnsi="Times New Roman" w:eastAsia="宋体"/>
          <w:color w:val="000000" w:themeColor="text1"/>
          <w:kern w:val="0"/>
          <w:sz w:val="28"/>
          <w:szCs w:val="28"/>
        </w:rPr>
        <w:t>、季节变化对</w:t>
      </w:r>
      <w:r>
        <w:rPr>
          <w:rFonts w:ascii="Times New Roman" w:hAnsi="Times New Roman" w:eastAsia="宋体"/>
          <w:color w:val="000000" w:themeColor="text1"/>
          <w:kern w:val="0"/>
          <w:sz w:val="28"/>
          <w:szCs w:val="28"/>
          <w:lang w:val="zh-CN"/>
        </w:rPr>
        <w:t>污泥产生量的影响，合理确定。处理</w:t>
      </w:r>
      <w:r>
        <w:rPr>
          <w:rFonts w:hint="eastAsia" w:ascii="Times New Roman" w:hAnsi="Times New Roman" w:eastAsia="宋体"/>
          <w:color w:val="000000" w:themeColor="text1"/>
          <w:kern w:val="0"/>
          <w:sz w:val="28"/>
          <w:szCs w:val="28"/>
          <w:lang w:val="zh-CN"/>
        </w:rPr>
        <w:t>截流雨水</w:t>
      </w:r>
      <w:r>
        <w:rPr>
          <w:rFonts w:ascii="Times New Roman" w:hAnsi="Times New Roman" w:eastAsia="宋体"/>
          <w:color w:val="000000" w:themeColor="text1"/>
          <w:kern w:val="0"/>
          <w:sz w:val="28"/>
          <w:szCs w:val="28"/>
          <w:lang w:val="zh-CN"/>
        </w:rPr>
        <w:t>的污水系统，其污泥处理处置设施的规模应统筹考虑相应的污泥增量</w:t>
      </w:r>
      <w:r>
        <w:rPr>
          <w:rFonts w:hint="eastAsia" w:ascii="Times New Roman" w:hAnsi="Times New Roman" w:eastAsia="宋体"/>
          <w:color w:val="000000" w:themeColor="text1"/>
          <w:kern w:val="0"/>
          <w:sz w:val="28"/>
          <w:szCs w:val="28"/>
          <w:lang w:val="zh-CN"/>
        </w:rPr>
        <w:t>，至少在旱流污水量上增加</w:t>
      </w:r>
      <w:r>
        <w:rPr>
          <w:rFonts w:ascii="Times New Roman" w:hAnsi="Times New Roman" w:eastAsia="宋体"/>
          <w:color w:val="000000" w:themeColor="text1"/>
          <w:kern w:val="0"/>
          <w:sz w:val="28"/>
          <w:szCs w:val="28"/>
          <w:lang w:val="zh-CN"/>
        </w:rPr>
        <w:t>20%。</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w:t>
      </w:r>
      <w:r>
        <w:rPr>
          <w:rFonts w:ascii="Times New Roman" w:hAnsi="Times New Roman" w:eastAsia="宋体"/>
          <w:color w:val="000000" w:themeColor="text1"/>
          <w:spacing w:val="-8"/>
          <w:sz w:val="28"/>
          <w:szCs w:val="28"/>
        </w:rPr>
        <w:t>本条规定了污泥处理处置设施规模确定的原则。</w:t>
      </w:r>
      <w:r>
        <w:rPr>
          <w:rFonts w:ascii="Times New Roman" w:hAnsi="Times New Roman" w:eastAsiaTheme="minorEastAsia"/>
          <w:color w:val="000000" w:themeColor="text1"/>
          <w:sz w:val="28"/>
          <w:szCs w:val="28"/>
        </w:rPr>
        <w:t>污泥产生量会受到多种因素的影响而变化，主要影响污泥产生量的因素有：</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1）</w:t>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不同的排水体制以及管网运行维护程度造成污水厂进水</w:t>
      </w:r>
      <w:r>
        <w:rPr>
          <w:rFonts w:ascii="Times New Roman" w:hAnsi="Times New Roman" w:eastAsia="宋体"/>
          <w:color w:val="000000" w:themeColor="text1"/>
          <w:spacing w:val="-8"/>
          <w:sz w:val="28"/>
          <w:szCs w:val="28"/>
        </w:rPr>
        <w:t>水量、水质</w:t>
      </w:r>
      <w:r>
        <w:rPr>
          <w:rFonts w:ascii="Times New Roman" w:hAnsi="Times New Roman" w:eastAsiaTheme="minorEastAsia"/>
          <w:color w:val="000000" w:themeColor="text1"/>
          <w:sz w:val="28"/>
          <w:szCs w:val="28"/>
        </w:rPr>
        <w:t>的差异；</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2）</w:t>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不同的污水处理工艺产泥量差异；</w:t>
      </w:r>
    </w:p>
    <w:p>
      <w:pPr>
        <w:pStyle w:val="30"/>
        <w:wordWrap w:val="0"/>
        <w:spacing w:line="360" w:lineRule="auto"/>
        <w:ind w:firstLine="560"/>
        <w:rPr>
          <w:rFonts w:ascii="Times New Roman" w:hAnsi="Times New Roman" w:eastAsia="宋体"/>
          <w:color w:val="000000" w:themeColor="text1"/>
          <w:spacing w:val="-8"/>
          <w:sz w:val="28"/>
          <w:szCs w:val="28"/>
        </w:rPr>
      </w:pPr>
      <w:r>
        <w:rPr>
          <w:rFonts w:hint="eastAsia" w:ascii="Times New Roman" w:hAnsi="Times New Roman" w:eastAsiaTheme="minorEastAsia"/>
          <w:color w:val="000000" w:themeColor="text1"/>
          <w:sz w:val="28"/>
          <w:szCs w:val="28"/>
        </w:rPr>
        <w:t>3</w:t>
      </w:r>
      <w:r>
        <w:rPr>
          <w:rFonts w:ascii="Times New Roman" w:hAnsi="Times New Roman" w:eastAsiaTheme="minorEastAsia"/>
          <w:color w:val="000000" w:themeColor="text1"/>
          <w:sz w:val="28"/>
          <w:szCs w:val="28"/>
        </w:rPr>
        <w:t>）</w:t>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季节交替等因素造成的水温波动</w:t>
      </w:r>
      <w:r>
        <w:rPr>
          <w:rFonts w:ascii="Times New Roman" w:hAnsi="Times New Roman" w:eastAsia="宋体"/>
          <w:color w:val="000000" w:themeColor="text1"/>
          <w:spacing w:val="-8"/>
          <w:sz w:val="28"/>
          <w:szCs w:val="28"/>
        </w:rPr>
        <w:t>从而影响污泥产生量。</w:t>
      </w:r>
    </w:p>
    <w:p>
      <w:pPr>
        <w:pStyle w:val="30"/>
        <w:wordWrap w:val="0"/>
        <w:spacing w:line="360" w:lineRule="auto"/>
        <w:ind w:firstLine="560"/>
        <w:rPr>
          <w:rFonts w:ascii="Times New Roman" w:hAnsi="Times New Roman" w:eastAsia="宋体"/>
          <w:color w:val="000000" w:themeColor="text1"/>
          <w:spacing w:val="-8"/>
          <w:sz w:val="28"/>
          <w:szCs w:val="28"/>
        </w:rPr>
      </w:pPr>
      <w:r>
        <w:rPr>
          <w:rFonts w:ascii="Times New Roman" w:hAnsi="Times New Roman" w:eastAsiaTheme="minorEastAsia"/>
          <w:color w:val="000000" w:themeColor="text1"/>
          <w:sz w:val="28"/>
          <w:szCs w:val="28"/>
        </w:rPr>
        <w:t>4）</w:t>
      </w:r>
      <w:r>
        <w:rPr>
          <w:rFonts w:ascii="Times New Roman" w:hAnsi="Times New Roman" w:eastAsia="宋体"/>
          <w:color w:val="000000" w:themeColor="text1"/>
          <w:spacing w:val="-8"/>
          <w:sz w:val="28"/>
          <w:szCs w:val="28"/>
        </w:rPr>
        <w:t>雨季时的污水污泥增量。</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宋体"/>
          <w:color w:val="000000" w:themeColor="text1"/>
          <w:kern w:val="0"/>
          <w:sz w:val="28"/>
          <w:szCs w:val="28"/>
          <w:lang w:val="zh-CN"/>
        </w:rPr>
        <w:t>处理</w:t>
      </w:r>
      <w:r>
        <w:rPr>
          <w:rFonts w:hint="eastAsia" w:ascii="Times New Roman" w:hAnsi="Times New Roman" w:eastAsia="宋体"/>
          <w:color w:val="000000" w:themeColor="text1"/>
          <w:kern w:val="0"/>
          <w:sz w:val="28"/>
          <w:szCs w:val="28"/>
          <w:lang w:val="zh-CN"/>
        </w:rPr>
        <w:t>截流雨水</w:t>
      </w:r>
      <w:r>
        <w:rPr>
          <w:rFonts w:ascii="Times New Roman" w:hAnsi="Times New Roman" w:eastAsia="宋体"/>
          <w:color w:val="000000" w:themeColor="text1"/>
          <w:kern w:val="0"/>
          <w:sz w:val="28"/>
          <w:szCs w:val="28"/>
          <w:lang w:val="zh-CN"/>
        </w:rPr>
        <w:t>的污水系统，其污泥处理处置设施的规模</w:t>
      </w:r>
      <w:r>
        <w:rPr>
          <w:rFonts w:hint="eastAsia" w:ascii="Times New Roman" w:hAnsi="Times New Roman" w:eastAsia="宋体"/>
          <w:color w:val="000000" w:themeColor="text1"/>
          <w:kern w:val="0"/>
          <w:sz w:val="28"/>
          <w:szCs w:val="28"/>
          <w:lang w:val="zh-CN"/>
        </w:rPr>
        <w:t>应考虑截流雨水的水量、水质</w:t>
      </w:r>
      <w:r>
        <w:rPr>
          <w:rFonts w:ascii="Times New Roman" w:hAnsi="Times New Roman" w:eastAsia="宋体"/>
          <w:color w:val="000000" w:themeColor="text1"/>
          <w:kern w:val="0"/>
          <w:sz w:val="28"/>
          <w:szCs w:val="28"/>
          <w:lang w:val="zh-CN"/>
        </w:rPr>
        <w:t>，</w:t>
      </w:r>
      <w:r>
        <w:rPr>
          <w:rFonts w:ascii="Times New Roman" w:hAnsi="Times New Roman" w:eastAsiaTheme="minorEastAsia"/>
          <w:color w:val="000000" w:themeColor="text1"/>
          <w:sz w:val="28"/>
          <w:szCs w:val="28"/>
        </w:rPr>
        <w:t>至少</w:t>
      </w:r>
      <w:r>
        <w:rPr>
          <w:rFonts w:hint="eastAsia" w:ascii="Times New Roman" w:hAnsi="Times New Roman" w:eastAsiaTheme="minorEastAsia"/>
          <w:color w:val="000000" w:themeColor="text1"/>
          <w:sz w:val="28"/>
          <w:szCs w:val="28"/>
        </w:rPr>
        <w:t>在</w:t>
      </w:r>
      <w:r>
        <w:rPr>
          <w:rFonts w:hint="eastAsia" w:ascii="Times New Roman" w:hAnsi="Times New Roman" w:eastAsia="宋体"/>
          <w:color w:val="000000" w:themeColor="text1"/>
          <w:kern w:val="0"/>
          <w:sz w:val="28"/>
          <w:szCs w:val="28"/>
          <w:lang w:val="zh-CN"/>
        </w:rPr>
        <w:t>旱流污水量</w:t>
      </w:r>
      <w:r>
        <w:rPr>
          <w:rFonts w:hint="eastAsia" w:ascii="Times New Roman" w:hAnsi="Times New Roman" w:eastAsiaTheme="minorEastAsia"/>
          <w:color w:val="000000" w:themeColor="text1"/>
          <w:sz w:val="28"/>
          <w:szCs w:val="28"/>
        </w:rPr>
        <w:t>上增加</w:t>
      </w:r>
      <w:r>
        <w:rPr>
          <w:rFonts w:ascii="Times New Roman" w:hAnsi="Times New Roman" w:eastAsiaTheme="minorEastAsia"/>
          <w:color w:val="000000" w:themeColor="text1"/>
          <w:sz w:val="28"/>
          <w:szCs w:val="28"/>
        </w:rPr>
        <w:t>20%</w:t>
      </w:r>
      <w:r>
        <w:rPr>
          <w:rFonts w:hint="eastAsia" w:ascii="Times New Roman" w:hAnsi="Times New Roman" w:eastAsiaTheme="minorEastAsia"/>
          <w:color w:val="000000" w:themeColor="text1"/>
          <w:sz w:val="28"/>
          <w:szCs w:val="28"/>
        </w:rPr>
        <w:t>。</w:t>
      </w:r>
    </w:p>
    <w:p>
      <w:pPr>
        <w:pStyle w:val="30"/>
        <w:numPr>
          <w:ilvl w:val="0"/>
          <w:numId w:val="50"/>
        </w:numPr>
        <w:wordWrap w:val="0"/>
        <w:spacing w:line="360" w:lineRule="auto"/>
        <w:ind w:left="0" w:firstLine="0" w:firstLineChars="0"/>
        <w:rPr>
          <w:rFonts w:ascii="Times New Roman" w:hAnsi="Times New Roman" w:eastAsia="宋体"/>
          <w:color w:val="000000" w:themeColor="text1"/>
          <w:kern w:val="0"/>
          <w:sz w:val="28"/>
          <w:szCs w:val="28"/>
          <w:lang w:val="zh-CN"/>
        </w:rPr>
      </w:pPr>
      <w:r>
        <w:rPr>
          <w:rFonts w:ascii="Times New Roman" w:hAnsi="Times New Roman" w:eastAsia="宋体"/>
          <w:color w:val="000000" w:themeColor="text1"/>
          <w:kern w:val="0"/>
          <w:sz w:val="28"/>
          <w:szCs w:val="28"/>
          <w:lang w:val="zh-CN"/>
        </w:rPr>
        <w:t>污泥处理处置设施的设计能力应满足设施检修维护时的污泥处理处置要求，当设施检修时，应仍能全量处理处置产生的污泥。</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宋体"/>
          <w:color w:val="000000" w:themeColor="text1"/>
          <w:kern w:val="0"/>
          <w:sz w:val="28"/>
          <w:szCs w:val="28"/>
          <w:lang w:val="zh-CN"/>
        </w:rPr>
        <w:t>【条文说明】污水处理是全年无休的，所以每天都产生污泥，而不同的污泥处理处置设施有不同的运行和维护保养周期，如一台污泥焚烧设备的设计年运行时间</w:t>
      </w:r>
      <w:r>
        <w:rPr>
          <w:rFonts w:hint="eastAsia" w:ascii="Times New Roman" w:hAnsi="Times New Roman" w:eastAsia="宋体"/>
          <w:color w:val="000000" w:themeColor="text1"/>
          <w:kern w:val="0"/>
          <w:sz w:val="28"/>
          <w:szCs w:val="28"/>
          <w:lang w:val="zh-CN"/>
        </w:rPr>
        <w:t>一般</w:t>
      </w:r>
      <w:r>
        <w:rPr>
          <w:rFonts w:ascii="Times New Roman" w:hAnsi="Times New Roman" w:eastAsia="宋体"/>
          <w:color w:val="000000" w:themeColor="text1"/>
          <w:kern w:val="0"/>
          <w:sz w:val="28"/>
          <w:szCs w:val="28"/>
          <w:lang w:val="zh-CN"/>
        </w:rPr>
        <w:t>为7200h。因此必须通过放大设计能力以保证设施检修维护时的污泥处理处置要求。此外，在特殊工况条件下污泥产量会超出原有规模，而任何设备都不可能永远满负荷运行，因此污泥处理处置设施的设计能力还应留有富裕，使污水处理产生的污泥得到全量处理处置。</w:t>
      </w:r>
    </w:p>
    <w:p>
      <w:pPr>
        <w:pStyle w:val="30"/>
        <w:numPr>
          <w:ilvl w:val="0"/>
          <w:numId w:val="50"/>
        </w:numPr>
        <w:wordWrap w:val="0"/>
        <w:spacing w:line="360" w:lineRule="auto"/>
        <w:ind w:left="0" w:firstLine="0" w:firstLineChars="0"/>
        <w:rPr>
          <w:rFonts w:ascii="Times New Roman" w:hAnsi="Times New Roman" w:eastAsiaTheme="minorEastAsia"/>
          <w:bCs/>
          <w:color w:val="000000" w:themeColor="text1"/>
          <w:sz w:val="28"/>
          <w:szCs w:val="28"/>
        </w:rPr>
      </w:pPr>
      <w:r>
        <w:rPr>
          <w:rFonts w:ascii="Times New Roman" w:hAnsi="Times New Roman" w:eastAsiaTheme="minorEastAsia"/>
          <w:bCs/>
          <w:color w:val="000000" w:themeColor="text1"/>
          <w:sz w:val="28"/>
          <w:szCs w:val="28"/>
        </w:rPr>
        <w:t>污泥处理宜根据污水处理除砂及除渣情况设置相应的预处理工艺。</w:t>
      </w:r>
    </w:p>
    <w:p>
      <w:pPr>
        <w:pStyle w:val="30"/>
        <w:wordWrap w:val="0"/>
        <w:spacing w:line="360" w:lineRule="auto"/>
        <w:ind w:firstLine="0" w:firstLineChars="0"/>
        <w:rPr>
          <w:rFonts w:ascii="Times New Roman" w:hAnsi="Times New Roman" w:eastAsiaTheme="minorEastAsia"/>
          <w:bCs/>
          <w:color w:val="000000" w:themeColor="text1"/>
          <w:sz w:val="28"/>
          <w:szCs w:val="28"/>
        </w:rPr>
      </w:pPr>
      <w:r>
        <w:rPr>
          <w:rFonts w:ascii="Times New Roman" w:hAnsi="Times New Roman" w:eastAsiaTheme="minorEastAsia"/>
          <w:color w:val="000000" w:themeColor="text1"/>
          <w:sz w:val="28"/>
          <w:szCs w:val="28"/>
        </w:rPr>
        <w:t>【条文说明】污泥中的砂、渣将加速污泥处理设备设施的磨损、加重设施堵塞程度，影响处理设施的运行保障能力，因此</w:t>
      </w:r>
      <w:r>
        <w:rPr>
          <w:rFonts w:ascii="Times New Roman" w:hAnsi="Times New Roman" w:eastAsiaTheme="minorEastAsia"/>
          <w:bCs/>
          <w:color w:val="000000" w:themeColor="text1"/>
          <w:sz w:val="28"/>
          <w:szCs w:val="28"/>
        </w:rPr>
        <w:t>宜根据污水处理除砂及除渣情况设置相应的预处理工艺。</w:t>
      </w:r>
    </w:p>
    <w:p>
      <w:pPr>
        <w:pStyle w:val="30"/>
        <w:numPr>
          <w:ilvl w:val="0"/>
          <w:numId w:val="5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污泥处理构筑物和主要设备的数量不宜少于2个。</w:t>
      </w:r>
    </w:p>
    <w:p>
      <w:pPr>
        <w:wordWrap w:val="0"/>
        <w:rPr>
          <w:rFonts w:eastAsiaTheme="minorEastAsia"/>
          <w:color w:val="000000" w:themeColor="text1"/>
          <w:sz w:val="28"/>
          <w:szCs w:val="28"/>
        </w:rPr>
      </w:pPr>
      <w:r>
        <w:rPr>
          <w:rFonts w:eastAsiaTheme="minorEastAsia"/>
          <w:color w:val="000000" w:themeColor="text1"/>
          <w:sz w:val="28"/>
          <w:szCs w:val="28"/>
        </w:rPr>
        <w:t>【条文说明】考虑到构筑物和设备检修的需要和运行中会出现故障等因素，各种污泥处理构筑物和主要设备均不宜只设1个。</w:t>
      </w:r>
    </w:p>
    <w:p>
      <w:pPr>
        <w:pStyle w:val="30"/>
        <w:numPr>
          <w:ilvl w:val="0"/>
          <w:numId w:val="50"/>
        </w:numPr>
        <w:wordWrap w:val="0"/>
        <w:spacing w:line="360" w:lineRule="auto"/>
        <w:ind w:left="0" w:firstLine="0" w:firstLineChars="0"/>
        <w:rPr>
          <w:rFonts w:ascii="Times New Roman" w:hAnsi="Times New Roman" w:eastAsiaTheme="minorEastAsia"/>
          <w:color w:val="000000" w:themeColor="text1"/>
          <w:sz w:val="28"/>
          <w:szCs w:val="28"/>
        </w:rPr>
      </w:pPr>
      <w:bookmarkStart w:id="80" w:name="_Toc74992762"/>
      <w:r>
        <w:rPr>
          <w:rFonts w:ascii="Times New Roman" w:hAnsi="Times New Roman" w:eastAsiaTheme="minorEastAsia"/>
          <w:color w:val="000000" w:themeColor="text1"/>
          <w:sz w:val="28"/>
          <w:szCs w:val="28"/>
        </w:rPr>
        <w:t>污泥处理处置过程中产生的臭气，应收集后进行处理。</w:t>
      </w:r>
      <w:bookmarkStart w:id="81" w:name="_Toc102292566"/>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eastAsiaTheme="minorEastAsia"/>
          <w:color w:val="000000" w:themeColor="text1"/>
          <w:sz w:val="28"/>
          <w:szCs w:val="28"/>
        </w:rPr>
        <w:t>【条文说明】</w:t>
      </w:r>
      <w:r>
        <w:rPr>
          <w:rFonts w:hint="eastAsia" w:eastAsiaTheme="minorEastAsia"/>
          <w:color w:val="000000" w:themeColor="text1"/>
          <w:sz w:val="28"/>
          <w:szCs w:val="28"/>
        </w:rPr>
        <w:t>臭气收集和处理可按照本标准</w:t>
      </w:r>
      <w:r>
        <w:rPr>
          <w:rFonts w:ascii="Times New Roman" w:hAnsi="Times New Roman" w:eastAsiaTheme="minorEastAsia"/>
          <w:color w:val="000000" w:themeColor="text1"/>
          <w:sz w:val="28"/>
          <w:szCs w:val="28"/>
        </w:rPr>
        <w:t>7.1</w:t>
      </w:r>
      <w:r>
        <w:rPr>
          <w:rFonts w:hint="eastAsia" w:ascii="Times New Roman" w:hAnsi="Times New Roman" w:eastAsiaTheme="minorEastAsia"/>
          <w:color w:val="000000" w:themeColor="text1"/>
          <w:sz w:val="28"/>
          <w:szCs w:val="28"/>
        </w:rPr>
        <w:t>4节</w:t>
      </w:r>
      <w:r>
        <w:rPr>
          <w:rFonts w:hint="eastAsia" w:eastAsiaTheme="minorEastAsia"/>
          <w:color w:val="000000" w:themeColor="text1"/>
          <w:sz w:val="28"/>
          <w:szCs w:val="28"/>
        </w:rPr>
        <w:t>的要求执行。</w:t>
      </w:r>
    </w:p>
    <w:p>
      <w:pPr>
        <w:pStyle w:val="30"/>
        <w:numPr>
          <w:ilvl w:val="0"/>
          <w:numId w:val="5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污泥处理处置过程中产生的污泥水应返回污水处理构筑物进行处理。</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【条文说明】污泥水含有较多污染物，其浓度一般比原污水高，若不经处理直接排放，势必污染水体，造成二次污染。因此，污泥处理过程中产生的污泥水均应进行处理，不得直接排放。</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污泥水一般返回至污水厂进口，与进水混合后一并处理。若条件允许，也可送入初次沉淀池或生物处理构筑物进行处理。必要时，污泥水应进行化学除磷后再返回污水处理构筑物进行处理。</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不在污水厂内的污泥处理处置设施产生的污泥水，可通过专用管道输送至污水厂进行处理。</w:t>
      </w:r>
    </w:p>
    <w:p>
      <w:pPr>
        <w:pStyle w:val="30"/>
        <w:numPr>
          <w:ilvl w:val="0"/>
          <w:numId w:val="5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经处理后的污泥资源利用时，其有害物质含量应符合国家现行标准的规定。</w:t>
      </w:r>
    </w:p>
    <w:p>
      <w:pPr>
        <w:wordWrap w:val="0"/>
        <w:rPr>
          <w:rFonts w:eastAsiaTheme="minorEastAsia"/>
          <w:color w:val="000000" w:themeColor="text1"/>
          <w:sz w:val="28"/>
          <w:szCs w:val="28"/>
        </w:rPr>
      </w:pPr>
      <w:r>
        <w:rPr>
          <w:rFonts w:eastAsiaTheme="minorEastAsia"/>
          <w:color w:val="000000" w:themeColor="text1"/>
          <w:sz w:val="28"/>
          <w:szCs w:val="28"/>
        </w:rPr>
        <w:t>【条文说明】污水污泥含有重金属、致病菌、寄生虫卵等有害物质，为保证污泥用作营养土的安全性，根据不同的用途，污泥泥质应符合《城镇污水处理厂污泥处置 园林绿化用泥质》GB/T 23486、《城镇污水处理厂污泥处置 土地改良用泥质》GB/T 24600、《城镇污水处理厂污泥处置 林地用泥质》CJ/T 362、《城镇污水处理厂污泥处置 农用泥质》CJ/T 309等相应标准的要求，以免有害物质迁移、进入食物链或污染地下水。</w:t>
      </w:r>
    </w:p>
    <w:p>
      <w:pPr>
        <w:pStyle w:val="30"/>
        <w:numPr>
          <w:ilvl w:val="0"/>
          <w:numId w:val="5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w:t>
      </w:r>
      <w:r>
        <w:rPr>
          <w:rFonts w:ascii="Times New Roman" w:hAnsi="Times New Roman" w:eastAsiaTheme="minorEastAsia"/>
          <w:bCs/>
          <w:color w:val="000000" w:themeColor="text1"/>
          <w:sz w:val="28"/>
          <w:szCs w:val="28"/>
        </w:rPr>
        <w:t>产生</w:t>
      </w:r>
      <w:r>
        <w:rPr>
          <w:rFonts w:ascii="Times New Roman" w:hAnsi="Times New Roman" w:eastAsiaTheme="minorEastAsia"/>
          <w:color w:val="000000" w:themeColor="text1"/>
          <w:sz w:val="28"/>
          <w:szCs w:val="28"/>
        </w:rPr>
        <w:t>、运输、贮存、处理处置的全过程应当遵守国家和地方相关污染控制标准和技术规范的规定。</w:t>
      </w:r>
    </w:p>
    <w:p>
      <w:pPr>
        <w:widowControl/>
        <w:wordWrap w:val="0"/>
        <w:rPr>
          <w:rFonts w:eastAsiaTheme="minorEastAsia"/>
          <w:color w:val="000000" w:themeColor="text1"/>
          <w:sz w:val="28"/>
          <w:szCs w:val="28"/>
        </w:rPr>
      </w:pPr>
      <w:r>
        <w:rPr>
          <w:rFonts w:eastAsiaTheme="minorEastAsia"/>
          <w:color w:val="000000" w:themeColor="text1"/>
          <w:sz w:val="28"/>
          <w:szCs w:val="28"/>
        </w:rPr>
        <w:t>【条文说明】本条制定的依据是《中华人民共和国水污染防治法》第51条城镇污水集中处理设施的运营单位或者污泥处理处置单位应当安全处理处置污泥，保证处理处置后的污泥符合国家标准，并对污泥的去向等进行记录”</w:t>
      </w:r>
      <w:r>
        <w:rPr>
          <w:rFonts w:hint="eastAsia" w:eastAsiaTheme="minorEastAsia"/>
          <w:color w:val="000000" w:themeColor="text1"/>
          <w:sz w:val="28"/>
          <w:szCs w:val="28"/>
        </w:rPr>
        <w:t>”。</w:t>
      </w:r>
    </w:p>
    <w:p>
      <w:pPr>
        <w:pStyle w:val="3"/>
        <w:numPr>
          <w:ilvl w:val="0"/>
          <w:numId w:val="49"/>
        </w:numPr>
        <w:wordWrap w:val="0"/>
        <w:spacing w:before="312" w:beforeLines="100" w:after="312" w:afterLines="100" w:line="415" w:lineRule="auto"/>
        <w:rPr>
          <w:rFonts w:ascii="Times New Roman" w:hAnsi="Times New Roman" w:eastAsiaTheme="minorEastAsia"/>
          <w:b w:val="0"/>
          <w:color w:val="000000" w:themeColor="text1"/>
          <w:sz w:val="28"/>
          <w:szCs w:val="28"/>
        </w:rPr>
      </w:pPr>
      <w:bookmarkStart w:id="82" w:name="_Toc515281071"/>
      <w:r>
        <w:rPr>
          <w:rFonts w:ascii="Times New Roman" w:hAnsi="Times New Roman" w:eastAsiaTheme="minorEastAsia"/>
          <w:b w:val="0"/>
          <w:color w:val="000000" w:themeColor="text1"/>
          <w:sz w:val="28"/>
          <w:szCs w:val="28"/>
        </w:rPr>
        <w:t>污泥浓缩</w:t>
      </w:r>
      <w:bookmarkEnd w:id="80"/>
      <w:bookmarkEnd w:id="81"/>
      <w:bookmarkEnd w:id="82"/>
    </w:p>
    <w:p>
      <w:pPr>
        <w:pStyle w:val="30"/>
        <w:numPr>
          <w:ilvl w:val="0"/>
          <w:numId w:val="5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浓缩剩余污泥时，重力式污泥浓缩池的设计，应符合下列规定：</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污泥固体负荷宜采用30kg/(m</w:t>
      </w:r>
      <w:r>
        <w:rPr>
          <w:rFonts w:eastAsiaTheme="minorEastAsia"/>
          <w:color w:val="000000" w:themeColor="text1"/>
          <w:sz w:val="28"/>
          <w:szCs w:val="28"/>
          <w:vertAlign w:val="superscript"/>
        </w:rPr>
        <w:t>2</w:t>
      </w:r>
      <w:r>
        <w:rPr>
          <w:rFonts w:eastAsiaTheme="minorEastAsia"/>
          <w:color w:val="000000" w:themeColor="text1"/>
          <w:sz w:val="28"/>
          <w:szCs w:val="28"/>
        </w:rPr>
        <w:t>·d)~60kg/(m</w:t>
      </w:r>
      <w:r>
        <w:rPr>
          <w:rFonts w:eastAsiaTheme="minorEastAsia"/>
          <w:color w:val="000000" w:themeColor="text1"/>
          <w:sz w:val="28"/>
          <w:szCs w:val="28"/>
          <w:vertAlign w:val="superscript"/>
        </w:rPr>
        <w:t>2</w:t>
      </w:r>
      <w:r>
        <w:rPr>
          <w:rFonts w:eastAsiaTheme="minorEastAsia"/>
          <w:color w:val="000000" w:themeColor="text1"/>
          <w:sz w:val="28"/>
          <w:szCs w:val="28"/>
        </w:rPr>
        <w:t>·d)；</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浓缩时间不宜小于12h；</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由生物反应池后二次沉淀池进入污泥浓缩池的污泥含水率为99.2%~99.6%时，浓缩后污泥含水率可为97%~98%；</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4</w:t>
      </w:r>
      <w:r>
        <w:rPr>
          <w:rFonts w:eastAsiaTheme="minorEastAsia"/>
          <w:color w:val="000000" w:themeColor="text1"/>
          <w:sz w:val="28"/>
          <w:szCs w:val="28"/>
        </w:rPr>
        <w:t xml:space="preserve"> 有效水深宜为4m；</w:t>
      </w:r>
    </w:p>
    <w:p>
      <w:pPr>
        <w:widowControl/>
        <w:ind w:firstLine="562" w:firstLineChars="200"/>
        <w:rPr>
          <w:rFonts w:eastAsiaTheme="minorEastAsia"/>
          <w:color w:val="000000" w:themeColor="text1"/>
          <w:sz w:val="28"/>
          <w:szCs w:val="28"/>
        </w:rPr>
      </w:pPr>
      <w:r>
        <w:rPr>
          <w:rFonts w:eastAsiaTheme="minorEastAsia"/>
          <w:b/>
          <w:bCs/>
          <w:color w:val="000000" w:themeColor="text1"/>
          <w:sz w:val="28"/>
          <w:szCs w:val="28"/>
        </w:rPr>
        <w:t>5</w:t>
      </w:r>
      <w:r>
        <w:rPr>
          <w:rFonts w:eastAsiaTheme="minorEastAsia"/>
          <w:color w:val="000000" w:themeColor="text1"/>
          <w:sz w:val="28"/>
          <w:szCs w:val="28"/>
        </w:rPr>
        <w:t xml:space="preserve"> 采用栅条浓缩机时，其外缘线速度一般宜为1m/min ~2m/min，池底坡向泥斗的坡度不宜小于0.05。</w:t>
      </w:r>
    </w:p>
    <w:p>
      <w:pPr>
        <w:wordWrap w:val="0"/>
        <w:rPr>
          <w:rFonts w:eastAsiaTheme="minorEastAsia"/>
          <w:color w:val="000000" w:themeColor="text1"/>
          <w:sz w:val="28"/>
          <w:szCs w:val="28"/>
        </w:rPr>
      </w:pPr>
      <w:r>
        <w:rPr>
          <w:rFonts w:eastAsiaTheme="minorEastAsia"/>
          <w:color w:val="000000" w:themeColor="text1"/>
          <w:sz w:val="28"/>
          <w:szCs w:val="28"/>
        </w:rPr>
        <w:t>【条文说明】</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根据调查，目前我国的污泥浓缩池的固体负荷见表28。</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根据调查，现有的污泥浓缩池水力停留时间不低于12h。</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根据一些污泥浓缩池的实践经验，浓缩后污泥的含水率往往达不到97%。故本条规定：当浓缩前含水率为99.2%～99.6%时，浓缩后含水率为97%～98%。</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表28 污泥浓缩池浓缩剩余污泥时的水力停留时间与固体负荷</w:t>
      </w:r>
    </w:p>
    <w:tbl>
      <w:tblPr>
        <w:tblStyle w:val="25"/>
        <w:tblW w:w="82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55"/>
        <w:gridCol w:w="2756"/>
        <w:gridCol w:w="2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275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污水厂名称</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水力停留时间(h)</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固体负荷[kg/(m</w:t>
            </w:r>
            <w:r>
              <w:rPr>
                <w:rFonts w:eastAsiaTheme="minorEastAsia"/>
                <w:color w:val="000000" w:themeColor="text1"/>
                <w:sz w:val="28"/>
                <w:szCs w:val="28"/>
                <w:vertAlign w:val="superscript"/>
              </w:rPr>
              <w:t>2</w:t>
            </w:r>
            <w:r>
              <w:rPr>
                <w:rFonts w:eastAsiaTheme="minorEastAsia"/>
                <w:color w:val="000000" w:themeColor="text1"/>
                <w:sz w:val="28"/>
                <w:szCs w:val="2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275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苏州新加坡工业园区污水厂</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36.5</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9" w:hRule="atLeast"/>
        </w:trPr>
        <w:tc>
          <w:tcPr>
            <w:tcW w:w="275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常州市城北污水厂</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14～18</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275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徐州市污水厂</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26.6</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275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唐山南堡开发区污水厂</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12.7</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275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湖州市市北污水厂</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33.9</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9" w:hRule="atLeast"/>
        </w:trPr>
        <w:tc>
          <w:tcPr>
            <w:tcW w:w="275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西宁市污水处理一期工程</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24</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3" w:hRule="atLeast"/>
        </w:trPr>
        <w:tc>
          <w:tcPr>
            <w:tcW w:w="2755"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富阳市污水厂</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16～17</w:t>
            </w:r>
          </w:p>
        </w:tc>
        <w:tc>
          <w:tcPr>
            <w:tcW w:w="2756"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38</w:t>
            </w:r>
          </w:p>
        </w:tc>
      </w:tr>
    </w:tbl>
    <w:p>
      <w:pPr>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4</w:t>
      </w:r>
      <w:r>
        <w:rPr>
          <w:rFonts w:eastAsiaTheme="minorEastAsia"/>
          <w:color w:val="000000" w:themeColor="text1"/>
          <w:sz w:val="28"/>
          <w:szCs w:val="28"/>
        </w:rPr>
        <w:t xml:space="preserve"> 浓缩池有效水深采用4m的规定不变。</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5</w:t>
      </w:r>
      <w:r>
        <w:rPr>
          <w:rFonts w:eastAsiaTheme="minorEastAsia"/>
          <w:color w:val="000000" w:themeColor="text1"/>
          <w:sz w:val="28"/>
          <w:szCs w:val="28"/>
        </w:rPr>
        <w:t xml:space="preserve"> 栅条浓缩机的外缘线速度的大小，以不影响污泥浓缩为准。我国目前运行的部分重力浓缩池，其浓缩机外缘线速度一般为1m/min～2m/min。同时，根据有关污水厂的运行经验，池底坡向泥斗的坡度规定为不小于0.05。</w:t>
      </w:r>
    </w:p>
    <w:p>
      <w:pPr>
        <w:pStyle w:val="30"/>
        <w:numPr>
          <w:ilvl w:val="0"/>
          <w:numId w:val="5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污泥浓缩池宜设去除浮渣的装置。</w:t>
      </w:r>
    </w:p>
    <w:p>
      <w:pPr>
        <w:wordWrap w:val="0"/>
        <w:rPr>
          <w:rFonts w:eastAsiaTheme="minorEastAsia"/>
          <w:color w:val="000000" w:themeColor="text1"/>
          <w:sz w:val="28"/>
          <w:szCs w:val="28"/>
        </w:rPr>
      </w:pPr>
      <w:r>
        <w:rPr>
          <w:rFonts w:eastAsiaTheme="minorEastAsia"/>
          <w:color w:val="000000" w:themeColor="text1"/>
          <w:sz w:val="28"/>
          <w:szCs w:val="28"/>
        </w:rPr>
        <w:t>【条文说明】由于污泥在浓缩池内停留时间较长，有可能会因厌氧分解而产生气体，污泥附着气体上浮到水面，形成浮渣。如不及时排除浮渣，会产生污泥出流。为此，规定宜设去除浮渣的装置。</w:t>
      </w:r>
    </w:p>
    <w:p>
      <w:pPr>
        <w:pStyle w:val="30"/>
        <w:numPr>
          <w:ilvl w:val="0"/>
          <w:numId w:val="5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当采用生物除磷工艺进行污水处理时，不宜采用重力浓缩。</w:t>
      </w:r>
    </w:p>
    <w:p>
      <w:pPr>
        <w:wordWrap w:val="0"/>
        <w:rPr>
          <w:rFonts w:eastAsiaTheme="minorEastAsia"/>
          <w:color w:val="000000" w:themeColor="text1"/>
          <w:sz w:val="28"/>
          <w:szCs w:val="28"/>
        </w:rPr>
      </w:pPr>
      <w:r>
        <w:rPr>
          <w:rFonts w:eastAsiaTheme="minorEastAsia"/>
          <w:color w:val="000000" w:themeColor="text1"/>
          <w:sz w:val="28"/>
          <w:szCs w:val="28"/>
        </w:rPr>
        <w:t>【条文说明】污水生物除磷工艺是靠聚磷菌在好氧条件下超量吸磷形成富磷污泥，将富磷污泥从系统中排出，达到生物除磷的目的。重力浓缩池因水力停留时间长，污泥在池内会发生厌氧释磷，如果将污泥水直接回流至污水处理系统，将增加污水处理的磷负荷，降低生物除磷的效果。因此，当采用生物除磷工艺进行污水处理时，不宜采用重力浓缩。</w:t>
      </w:r>
    </w:p>
    <w:p>
      <w:pPr>
        <w:pStyle w:val="30"/>
        <w:numPr>
          <w:ilvl w:val="0"/>
          <w:numId w:val="5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当采用机械浓缩设备进行污泥浓缩时，宜根据试验资料或类似运行经验确定设计参数。</w:t>
      </w:r>
    </w:p>
    <w:p>
      <w:pPr>
        <w:wordWrap w:val="0"/>
        <w:rPr>
          <w:rFonts w:eastAsiaTheme="minorEastAsia"/>
          <w:color w:val="000000" w:themeColor="text1"/>
          <w:sz w:val="28"/>
          <w:szCs w:val="28"/>
        </w:rPr>
      </w:pPr>
      <w:r>
        <w:rPr>
          <w:rFonts w:eastAsiaTheme="minorEastAsia"/>
          <w:color w:val="000000" w:themeColor="text1"/>
          <w:sz w:val="28"/>
          <w:szCs w:val="28"/>
        </w:rPr>
        <w:t>【条文说明】调查表明，目前一些污水厂已经采用机械式污泥浓缩设备浓缩污水污泥，例如采用带式浓缩机、螺压式浓缩机、转筒式浓缩机等。鉴于污泥浓缩机械设备种类较多，各设备生产厂家提供的技术参数不尽相同，因此宜根据试验资料确定设计参数，无试验资料时，按类似运行经验（污泥性质相似、单台设备处理能力相似）合理选用设计参数。</w:t>
      </w:r>
    </w:p>
    <w:p>
      <w:pPr>
        <w:pStyle w:val="30"/>
        <w:numPr>
          <w:ilvl w:val="0"/>
          <w:numId w:val="51"/>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污泥浓缩脱水可采用一体化机械。</w:t>
      </w:r>
    </w:p>
    <w:p>
      <w:pPr>
        <w:wordWrap w:val="0"/>
        <w:rPr>
          <w:rFonts w:eastAsiaTheme="minorEastAsia"/>
          <w:color w:val="000000" w:themeColor="text1"/>
          <w:sz w:val="28"/>
          <w:szCs w:val="28"/>
        </w:rPr>
      </w:pPr>
      <w:r>
        <w:rPr>
          <w:rFonts w:eastAsiaTheme="minorEastAsia"/>
          <w:color w:val="000000" w:themeColor="text1"/>
          <w:sz w:val="28"/>
          <w:szCs w:val="28"/>
        </w:rPr>
        <w:t>【条文说明】目前，污泥浓缩脱水一体化机械</w:t>
      </w:r>
      <w:r>
        <w:rPr>
          <w:rFonts w:hint="eastAsia" w:eastAsiaTheme="minorEastAsia"/>
          <w:color w:val="000000" w:themeColor="text1"/>
          <w:sz w:val="28"/>
          <w:szCs w:val="28"/>
        </w:rPr>
        <w:t>已经</w:t>
      </w:r>
      <w:r>
        <w:rPr>
          <w:rFonts w:eastAsiaTheme="minorEastAsia"/>
          <w:color w:val="000000" w:themeColor="text1"/>
          <w:sz w:val="28"/>
          <w:szCs w:val="28"/>
        </w:rPr>
        <w:t>较广泛应用于工程中</w:t>
      </w:r>
      <w:r>
        <w:rPr>
          <w:rFonts w:hint="eastAsia" w:eastAsiaTheme="minorEastAsia"/>
          <w:color w:val="000000" w:themeColor="text1"/>
          <w:sz w:val="28"/>
          <w:szCs w:val="28"/>
        </w:rPr>
        <w:t>。</w:t>
      </w:r>
    </w:p>
    <w:p>
      <w:pPr>
        <w:pStyle w:val="30"/>
        <w:numPr>
          <w:ilvl w:val="0"/>
          <w:numId w:val="51"/>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间歇式污泥浓缩池应设可排出深度不同的污泥水的设施。</w:t>
      </w:r>
      <w:bookmarkStart w:id="83" w:name="_Toc74992763"/>
      <w:bookmarkStart w:id="84" w:name="_Toc102292567"/>
    </w:p>
    <w:p>
      <w:pPr>
        <w:wordWrap w:val="0"/>
        <w:rPr>
          <w:rFonts w:eastAsiaTheme="minorEastAsia"/>
          <w:color w:val="000000" w:themeColor="text1"/>
          <w:sz w:val="28"/>
          <w:szCs w:val="28"/>
        </w:rPr>
      </w:pPr>
      <w:r>
        <w:rPr>
          <w:rFonts w:eastAsiaTheme="minorEastAsia"/>
          <w:color w:val="000000" w:themeColor="text1"/>
          <w:sz w:val="28"/>
          <w:szCs w:val="28"/>
        </w:rPr>
        <w:t>【条文说明】污泥在间歇式污泥浓缩池为静止沉淀，一般情况下污泥水在上层，浓缩污泥在下层。但经较长时间日晒或贮存后，部分污泥可能腐化上浮，形成浮渣，变为中间是污泥水，上、下层是浓缩污泥。此外，污泥贮存深度也有不同。为此，本条规定应设可排出深度不同的污泥水的设施。</w:t>
      </w:r>
    </w:p>
    <w:p>
      <w:pPr>
        <w:pStyle w:val="3"/>
        <w:numPr>
          <w:ilvl w:val="0"/>
          <w:numId w:val="49"/>
        </w:numPr>
        <w:wordWrap w:val="0"/>
        <w:spacing w:before="312" w:beforeLines="100" w:after="312" w:afterLines="100" w:line="415" w:lineRule="auto"/>
        <w:ind w:left="420"/>
        <w:jc w:val="center"/>
        <w:rPr>
          <w:rFonts w:ascii="Times New Roman" w:hAnsi="Times New Roman" w:eastAsiaTheme="minorEastAsia"/>
          <w:b w:val="0"/>
          <w:color w:val="000000" w:themeColor="text1"/>
          <w:sz w:val="28"/>
          <w:szCs w:val="28"/>
        </w:rPr>
      </w:pPr>
      <w:bookmarkStart w:id="85" w:name="_Toc515281072"/>
      <w:r>
        <w:rPr>
          <w:rFonts w:ascii="Times New Roman" w:hAnsi="Times New Roman" w:eastAsiaTheme="minorEastAsia"/>
          <w:b w:val="0"/>
          <w:color w:val="000000" w:themeColor="text1"/>
          <w:sz w:val="28"/>
          <w:szCs w:val="28"/>
        </w:rPr>
        <w:t>污泥消化</w:t>
      </w:r>
      <w:bookmarkEnd w:id="83"/>
      <w:bookmarkEnd w:id="84"/>
      <w:bookmarkEnd w:id="85"/>
      <w:bookmarkStart w:id="86" w:name="_Toc74992764"/>
    </w:p>
    <w:p>
      <w:pPr>
        <w:widowControl/>
        <w:wordWrap w:val="0"/>
        <w:jc w:val="center"/>
        <w:rPr>
          <w:rFonts w:eastAsiaTheme="minorEastAsia"/>
          <w:color w:val="000000" w:themeColor="text1"/>
          <w:sz w:val="28"/>
          <w:szCs w:val="28"/>
        </w:rPr>
      </w:pPr>
      <w:r>
        <w:rPr>
          <w:rFonts w:eastAsiaTheme="minorEastAsia"/>
          <w:color w:val="000000" w:themeColor="text1"/>
          <w:sz w:val="28"/>
          <w:szCs w:val="28"/>
        </w:rPr>
        <w:t>I  一般规定</w:t>
      </w:r>
      <w:bookmarkEnd w:id="86"/>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根据污泥性质、环境要求、工程条件和污泥处置方式，选择经济适用、管理方便的污泥消化工艺，可采用污泥厌氧消化或好氧消化工艺。</w:t>
      </w:r>
    </w:p>
    <w:p>
      <w:pPr>
        <w:wordWrap w:val="0"/>
        <w:rPr>
          <w:rFonts w:eastAsiaTheme="minorEastAsia"/>
          <w:color w:val="000000" w:themeColor="text1"/>
          <w:sz w:val="28"/>
          <w:szCs w:val="28"/>
        </w:rPr>
      </w:pPr>
      <w:r>
        <w:rPr>
          <w:rFonts w:eastAsiaTheme="minorEastAsia"/>
          <w:color w:val="000000" w:themeColor="text1"/>
          <w:sz w:val="28"/>
          <w:szCs w:val="28"/>
        </w:rPr>
        <w:t>【条文说明】规定污泥消化可采用厌氧消化或好氧消化两种方法。</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厌氧消化可以降低污泥中有机质含量，使污泥稳定、易于脱水，并适合作为有机肥利用；产生的污泥气可资源利用，因此，污泥厌氧消化对提高污水厂能量自给率、碳减排意义重大，已成为国际上应用较为广泛的污泥稳定化和资源化方法。</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近年来，污泥厌氧消化技术研究与实践均取得了较大进展，高含固</w:t>
      </w:r>
      <w:r>
        <w:rPr>
          <w:rFonts w:hint="eastAsia" w:eastAsiaTheme="minorEastAsia"/>
          <w:color w:val="000000" w:themeColor="text1"/>
          <w:sz w:val="28"/>
          <w:szCs w:val="28"/>
        </w:rPr>
        <w:t>浓度</w:t>
      </w:r>
      <w:r>
        <w:rPr>
          <w:rFonts w:eastAsiaTheme="minorEastAsia"/>
          <w:color w:val="000000" w:themeColor="text1"/>
          <w:sz w:val="28"/>
          <w:szCs w:val="28"/>
        </w:rPr>
        <w:t>厌氧消化、污泥与餐厨垃圾联合厌氧消化、热水解（水热）等</w:t>
      </w:r>
      <w:r>
        <w:rPr>
          <w:rFonts w:hint="eastAsia" w:eastAsiaTheme="minorEastAsia"/>
          <w:color w:val="000000" w:themeColor="text1"/>
          <w:sz w:val="28"/>
          <w:szCs w:val="28"/>
        </w:rPr>
        <w:t>消化</w:t>
      </w:r>
      <w:r>
        <w:rPr>
          <w:rFonts w:eastAsiaTheme="minorEastAsia"/>
          <w:color w:val="000000" w:themeColor="text1"/>
          <w:sz w:val="28"/>
          <w:szCs w:val="28"/>
        </w:rPr>
        <w:t>预处理工艺也得到了应用，污泥气利用方式有所改善。但与发达国家相比，我国对污泥厌氧消化的认识仍有待提高，采用污泥厌氧消化工艺的污水厂不到3%，部分已经建成的污泥厌氧消化工艺运行不良或者处于停运状态，除污泥有机质含量低、含砂量高、碳氮比低等客观原因外，对污泥厌氧消化在回收能源、提高污水厂能量自给率、建设碳汇的污水厂等方面认识不足是原因之一。</w:t>
      </w:r>
    </w:p>
    <w:p>
      <w:pPr>
        <w:wordWrap w:val="0"/>
        <w:jc w:val="left"/>
        <w:rPr>
          <w:rFonts w:eastAsiaTheme="minorEastAsia"/>
          <w:color w:val="000000" w:themeColor="text1"/>
          <w:sz w:val="28"/>
          <w:szCs w:val="28"/>
        </w:rPr>
      </w:pPr>
      <w:r>
        <w:rPr>
          <w:rFonts w:eastAsiaTheme="minorEastAsia"/>
          <w:color w:val="000000" w:themeColor="text1"/>
          <w:sz w:val="28"/>
          <w:szCs w:val="28"/>
        </w:rPr>
        <w:t xml:space="preserve">    污泥好氧消化系统由于投资和运行费用相对较高、占地面积较大、工艺条件（污泥温度）随气温变化波动较大、冬季运行效果较差、能耗高等原因，采用较少；但好氧消化工艺仍具有有机物去除率较高、处理后污泥品质较好、工艺过程危险性较低等优点。</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 xml:space="preserve">    一般在污泥量较少的小型污水厂（国外资料报道当污水厂规模小于1.8万m</w:t>
      </w:r>
      <w:r>
        <w:rPr>
          <w:rFonts w:eastAsiaTheme="minorEastAsia"/>
          <w:color w:val="000000" w:themeColor="text1"/>
          <w:sz w:val="28"/>
          <w:szCs w:val="28"/>
          <w:vertAlign w:val="superscript"/>
        </w:rPr>
        <w:t>3</w:t>
      </w:r>
      <w:r>
        <w:rPr>
          <w:rFonts w:eastAsiaTheme="minorEastAsia"/>
          <w:color w:val="000000" w:themeColor="text1"/>
          <w:sz w:val="28"/>
          <w:szCs w:val="28"/>
        </w:rPr>
        <w:t>/d时，好氧消化的投资可能低于厌氧消化），或由于受工业废水的影响，污泥进行厌氧消化有困难时，可考虑采用好氧消化工艺。</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污泥经消化处理后，其挥发性固体去除率应大于40%。</w:t>
      </w:r>
      <w:bookmarkStart w:id="87" w:name="_Toc74992765"/>
    </w:p>
    <w:p>
      <w:pPr>
        <w:wordWrap w:val="0"/>
        <w:rPr>
          <w:rFonts w:eastAsiaTheme="minorEastAsia"/>
          <w:color w:val="000000" w:themeColor="text1"/>
          <w:sz w:val="28"/>
          <w:szCs w:val="28"/>
        </w:rPr>
      </w:pPr>
      <w:r>
        <w:rPr>
          <w:rFonts w:eastAsiaTheme="minorEastAsia"/>
          <w:color w:val="000000" w:themeColor="text1"/>
          <w:sz w:val="28"/>
          <w:szCs w:val="28"/>
        </w:rPr>
        <w:t>【条文说明】据有关文献介绍，污泥厌氧消化的挥发性固体分解率最高可达到80%。对于充分搅拌、连续工作、运行良好的厌氧消化池，在有限消化时间(20d～30d)内，挥发性固体分解率可达到40%～50%。</w:t>
      </w:r>
    </w:p>
    <w:p>
      <w:pPr>
        <w:wordWrap w:val="0"/>
        <w:rPr>
          <w:rFonts w:eastAsiaTheme="minorEastAsia"/>
          <w:color w:val="000000" w:themeColor="text1"/>
          <w:sz w:val="28"/>
          <w:szCs w:val="28"/>
        </w:rPr>
      </w:pPr>
      <w:r>
        <w:rPr>
          <w:rFonts w:eastAsiaTheme="minorEastAsia"/>
          <w:color w:val="000000" w:themeColor="text1"/>
          <w:sz w:val="28"/>
          <w:szCs w:val="28"/>
        </w:rPr>
        <w:t xml:space="preserve">    据有关文献介绍，污泥好氧消化的挥发性固体分解率最高可达到80%。对于运行良好的好氧消化池，在有限消化时间(15d～25d)内，挥发性固体分解率可达到50%。</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据调查资料，我国现有的厌氧或好氧消化池设计有机固体分解率在30%～50%，实际运行基本达到40%。《城镇污水处理厂污染物排放标准》GB 18918第4.3.1条提出的污泥稳定化控制指标为：</w:t>
      </w:r>
      <w:r>
        <w:rPr>
          <w:rFonts w:hint="eastAsia" w:eastAsiaTheme="minorEastAsia"/>
          <w:color w:val="000000" w:themeColor="text1"/>
          <w:sz w:val="28"/>
          <w:szCs w:val="28"/>
        </w:rPr>
        <w:t>“</w:t>
      </w:r>
      <w:r>
        <w:rPr>
          <w:rFonts w:eastAsiaTheme="minorEastAsia"/>
          <w:color w:val="000000" w:themeColor="text1"/>
          <w:sz w:val="28"/>
          <w:szCs w:val="28"/>
        </w:rPr>
        <w:t>采用厌氧消化时，有机物降解率＞40%，采用好氧消化时，有机物降解率＞40%</w:t>
      </w:r>
      <w:r>
        <w:rPr>
          <w:rFonts w:hint="eastAsia" w:eastAsiaTheme="minorEastAsia"/>
          <w:color w:val="000000" w:themeColor="text1"/>
          <w:sz w:val="28"/>
          <w:szCs w:val="28"/>
        </w:rPr>
        <w:t>”</w:t>
      </w:r>
      <w:r>
        <w:rPr>
          <w:rFonts w:eastAsiaTheme="minorEastAsia"/>
          <w:color w:val="000000" w:themeColor="text1"/>
          <w:sz w:val="28"/>
          <w:szCs w:val="28"/>
        </w:rPr>
        <w:t>。本标准将有机物降解的指标名称统一为挥发性固体降解率，并按照《城镇污水处理厂污染物排放标准》GB 18918的要求，将该值确定为40%。</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t>II  污泥厌氧消化</w:t>
      </w:r>
      <w:bookmarkEnd w:id="87"/>
    </w:p>
    <w:p>
      <w:pPr>
        <w:pStyle w:val="30"/>
        <w:widowControl/>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有初次沉淀池系统的剩余污泥，宜与初沉污泥合并进行厌氧消化处理。当有条件时，污泥可与餐厨垃圾等进行联合处理。</w:t>
      </w:r>
    </w:p>
    <w:p>
      <w:pPr>
        <w:widowControl/>
        <w:wordWrap w:val="0"/>
        <w:rPr>
          <w:rFonts w:eastAsiaTheme="minorEastAsia"/>
          <w:color w:val="000000" w:themeColor="text1"/>
          <w:sz w:val="28"/>
          <w:szCs w:val="28"/>
        </w:rPr>
      </w:pPr>
      <w:r>
        <w:rPr>
          <w:rFonts w:eastAsiaTheme="minorEastAsia"/>
          <w:color w:val="000000" w:themeColor="text1"/>
          <w:sz w:val="28"/>
          <w:szCs w:val="28"/>
        </w:rPr>
        <w:t>【条文说明】厌氧消化反应的理想碳氮比为10~20，污水厂初沉污泥的碳氮比为(9.40~10.35):1，剩余污泥的碳氮比为(4.60–5.04):1，混合污泥的的碳氮比为(6.80–7.50):1。初沉污泥比较适合厌氧消化，混合污泥次之。故规定剩余污泥宜与初沉污泥合并进行厌氧消化处理。</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为改善厌氧发酵基质的碳氮比，还可通过将污泥和餐厨垃圾等有机物按照一定比例混合后进行协同厌氧消化。协同厌氧消化的优势主要表现在：1）提高了系统的碳氮比，有利于厌氧消化系统的高效运行，同时降低了厌氧消化运行成本；2）餐厨垃圾与污泥协同互补，降低了氨氮和重金属离子等抑制物的浓度，缓冲能力得到提升，提高了厌氧消化系统的运行稳定性，污泥和餐厨垃圾混合厌氧消化在丹麦、瑞典等国家有广泛的应用且效果良好，在我国也开始有所应用。镇江市餐厨废弃物及生活污泥协同处理工程一期的设计规模为260t/d，包括140t/d含水率为85% 的餐厨垃圾和120t/d含水率为80%的污水污泥。该项目采用高温热水解作为污泥的预处理，再和餐厨垃圾混合进行协同厌氧消化，消化池总容积为12800m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，厌氧消化温度为38</w:t>
      </w:r>
      <w:r>
        <w:rPr>
          <w:rFonts w:ascii="Times New Roman" w:hAnsi="Times New Roman" w:eastAsia="宋体"/>
          <w:color w:val="000000" w:themeColor="text1"/>
          <w:sz w:val="28"/>
          <w:szCs w:val="28"/>
        </w:rPr>
        <w:t>°C</w:t>
      </w:r>
      <w:r>
        <w:rPr>
          <w:rFonts w:ascii="Times New Roman" w:hAnsi="Times New Roman" w:eastAsiaTheme="minorEastAsia"/>
          <w:color w:val="000000" w:themeColor="text1"/>
          <w:sz w:val="28"/>
          <w:szCs w:val="28"/>
        </w:rPr>
        <w:t>，停留时间为25d~30d，进料含固率为8%，运行产生的污泥气中甲烷含量达到63%左右，平均产气率为0.77m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甲烷/kgVS（去除）</w:t>
      </w:r>
      <w:r>
        <w:rPr>
          <w:rFonts w:hint="eastAsia" w:ascii="Times New Roman" w:hAnsi="Times New Roman" w:eastAsiaTheme="minorEastAsia"/>
          <w:color w:val="000000" w:themeColor="text1"/>
          <w:sz w:val="28"/>
          <w:szCs w:val="28"/>
        </w:rPr>
        <w:t>，</w:t>
      </w:r>
      <w:r>
        <w:rPr>
          <w:rFonts w:ascii="Times New Roman" w:hAnsi="Times New Roman" w:eastAsiaTheme="minorEastAsia"/>
          <w:color w:val="000000" w:themeColor="text1"/>
          <w:sz w:val="28"/>
          <w:szCs w:val="28"/>
        </w:rPr>
        <w:t>平均有机物降解率达到51.8%。</w:t>
      </w:r>
    </w:p>
    <w:p>
      <w:pPr>
        <w:pStyle w:val="30"/>
        <w:widowControl/>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污泥厌氧消化工艺，按照消化级数分可为单级或两级消化；按照消化温度</w:t>
      </w:r>
      <w:r>
        <w:rPr>
          <w:rFonts w:hint="eastAsia" w:ascii="Times New Roman" w:hAnsi="Times New Roman" w:eastAsiaTheme="minorEastAsia"/>
          <w:color w:val="000000" w:themeColor="text1"/>
          <w:sz w:val="28"/>
          <w:szCs w:val="28"/>
        </w:rPr>
        <w:t>可</w:t>
      </w:r>
      <w:r>
        <w:rPr>
          <w:rFonts w:ascii="Times New Roman" w:hAnsi="Times New Roman" w:eastAsiaTheme="minorEastAsia"/>
          <w:color w:val="000000" w:themeColor="text1"/>
          <w:sz w:val="28"/>
          <w:szCs w:val="28"/>
        </w:rPr>
        <w:t>分为中温或高温消化；按照消化相数可分为单相或两相消化；按照消化固体浓度可分为常规浓度或高含固浓度消化。</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原标准中考虑到高温厌氧消化能耗较高，一般情况下不经济，未列入高温消化。相对于中温消化，高温消化固体负荷率更高，挥发性固体降解率更高，消化后污泥具有更好的脱水特性，可产生包含较少病原体的生物固体。上述优点加上目前开始采用热水解（水热）等厌氧消化预处理技术，使得高温消化的技术经济优势有所变化，可根据具体项目进行技术经济比较。</w:t>
      </w:r>
    </w:p>
    <w:p>
      <w:pPr>
        <w:pStyle w:val="30"/>
        <w:widowControl/>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单级厌氧消化池（两级厌氧消化池中的第一级）污泥应加热并搅拌，宜有防止浮渣结壳和排出上清液的措施。采用两级厌氧消化时，一级厌氧消化池与二级厌氧消化池的容积比应根据二级厌氧消化池的运行操作方式，通过技术经济比较确定；二级厌氧消化池可不加热、不搅拌，但应有防止浮渣结壳和排出上清液的措施。</w:t>
      </w:r>
    </w:p>
    <w:p>
      <w:pPr>
        <w:wordWrap w:val="0"/>
        <w:rPr>
          <w:rFonts w:eastAsiaTheme="minorEastAsia"/>
          <w:color w:val="000000" w:themeColor="text1"/>
          <w:sz w:val="28"/>
          <w:szCs w:val="28"/>
        </w:rPr>
      </w:pPr>
      <w:r>
        <w:rPr>
          <w:rFonts w:eastAsiaTheme="minorEastAsia"/>
          <w:color w:val="000000" w:themeColor="text1"/>
          <w:sz w:val="28"/>
          <w:szCs w:val="28"/>
        </w:rPr>
        <w:t>【条文说明】一级厌氧消化池与二级厌氧消化池的容积比多采用2:1，与二级厌氧消化池的运行控制方式和后续的污泥浓缩设施有关，应通过技术经济比较确定。</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对二级消化池，由于可以不搅拌，运行时常有污泥浮渣在表面结壳，影响上清液的排出，所以应采取防止浮渣结壳的措施。</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厌氧消化池的总有效容积，应根据厌氧消化时间或挥发性固体容积负荷计算互相校核，并按下列计算公式计算：</w:t>
      </w:r>
    </w:p>
    <w:p>
      <w:pPr>
        <w:widowControl/>
        <w:wordWrap w:val="0"/>
        <w:jc w:val="right"/>
        <w:rPr>
          <w:rFonts w:eastAsiaTheme="minorEastAsia"/>
          <w:color w:val="000000" w:themeColor="text1"/>
          <w:sz w:val="28"/>
          <w:szCs w:val="28"/>
        </w:rPr>
      </w:pPr>
      <w:r>
        <w:rPr>
          <w:rFonts w:eastAsiaTheme="minorEastAsia"/>
          <w:i/>
          <w:color w:val="000000" w:themeColor="text1"/>
          <w:sz w:val="28"/>
          <w:szCs w:val="28"/>
        </w:rPr>
        <w:t>V</w:t>
      </w:r>
      <w:r>
        <w:rPr>
          <w:rFonts w:eastAsiaTheme="minorEastAsia"/>
          <w:color w:val="000000" w:themeColor="text1"/>
          <w:sz w:val="28"/>
          <w:szCs w:val="28"/>
        </w:rPr>
        <w:t>＝</w:t>
      </w:r>
      <w:r>
        <w:rPr>
          <w:rFonts w:eastAsiaTheme="minorEastAsia"/>
          <w:i/>
          <w:color w:val="000000" w:themeColor="text1"/>
          <w:sz w:val="28"/>
          <w:szCs w:val="28"/>
        </w:rPr>
        <w:t>Q</w:t>
      </w:r>
      <w:r>
        <w:rPr>
          <w:rFonts w:eastAsiaTheme="minorEastAsia"/>
          <w:color w:val="000000" w:themeColor="text1"/>
          <w:sz w:val="28"/>
          <w:szCs w:val="28"/>
          <w:vertAlign w:val="subscript"/>
        </w:rPr>
        <w:t>o</w:t>
      </w:r>
      <w:r>
        <w:rPr>
          <w:rFonts w:eastAsiaTheme="minorEastAsia"/>
          <w:color w:val="000000" w:themeColor="text1"/>
          <w:sz w:val="28"/>
          <w:szCs w:val="28"/>
        </w:rPr>
        <w:t>·</w:t>
      </w:r>
      <w:r>
        <w:rPr>
          <w:rFonts w:eastAsiaTheme="minorEastAsia"/>
          <w:i/>
          <w:color w:val="000000" w:themeColor="text1"/>
          <w:sz w:val="28"/>
          <w:szCs w:val="28"/>
        </w:rPr>
        <w:t>t</w:t>
      </w:r>
      <w:r>
        <w:rPr>
          <w:rFonts w:eastAsiaTheme="minorEastAsia"/>
          <w:color w:val="000000" w:themeColor="text1"/>
          <w:sz w:val="28"/>
          <w:szCs w:val="28"/>
          <w:vertAlign w:val="subscript"/>
        </w:rPr>
        <w:t>d</w:t>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（8.</w:t>
      </w:r>
      <w:r>
        <w:rPr>
          <w:rFonts w:hint="eastAsia" w:eastAsiaTheme="minorEastAsia"/>
          <w:color w:val="000000" w:themeColor="text1"/>
          <w:sz w:val="28"/>
          <w:szCs w:val="28"/>
        </w:rPr>
        <w:t>3</w:t>
      </w:r>
      <w:r>
        <w:rPr>
          <w:rFonts w:eastAsiaTheme="minorEastAsia"/>
          <w:color w:val="000000" w:themeColor="text1"/>
          <w:sz w:val="28"/>
          <w:szCs w:val="28"/>
        </w:rPr>
        <w:t>.6-1）</w:t>
      </w:r>
    </w:p>
    <w:p>
      <w:pPr>
        <w:widowControl/>
        <w:wordWrap w:val="0"/>
        <w:jc w:val="right"/>
        <w:rPr>
          <w:rFonts w:eastAsiaTheme="minorEastAsia"/>
          <w:color w:val="000000" w:themeColor="text1"/>
          <w:sz w:val="28"/>
          <w:szCs w:val="28"/>
        </w:rPr>
      </w:pPr>
      <w:r>
        <w:rPr>
          <w:rFonts w:eastAsiaTheme="minorEastAsia"/>
          <w:color w:val="000000" w:themeColor="text1"/>
          <w:sz w:val="28"/>
          <w:szCs w:val="28"/>
        </w:rPr>
        <w:object>
          <v:shape id="_x0000_i1059" o:spt="75" type="#_x0000_t75" style="height:29pt;width:43pt;" o:ole="t" fillcolor="#000005 [-4142]" filled="f" o:preferrelative="t" stroked="f" coordsize="21600,21600">
            <v:path/>
            <v:fill on="f" focussize="0,0"/>
            <v:stroke on="f" joinstyle="miter"/>
            <v:imagedata r:id="rId90" o:title=""/>
            <o:lock v:ext="edit" aspectratio="t"/>
            <w10:wrap type="none"/>
            <w10:anchorlock/>
          </v:shape>
          <o:OLEObject Type="Embed" ProgID="Equation.3" ShapeID="_x0000_i1059" DrawAspect="Content" ObjectID="_1468075759" r:id="rId89">
            <o:LockedField>false</o:LockedField>
          </o:OLEObject>
        </w:object>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ab/>
      </w:r>
      <w:r>
        <w:rPr>
          <w:rFonts w:eastAsiaTheme="minorEastAsia"/>
          <w:color w:val="000000" w:themeColor="text1"/>
          <w:sz w:val="28"/>
          <w:szCs w:val="28"/>
        </w:rPr>
        <w:t xml:space="preserve">            </w:t>
      </w:r>
      <w:r>
        <w:rPr>
          <w:rFonts w:eastAsiaTheme="minorEastAsia"/>
          <w:color w:val="000000" w:themeColor="text1"/>
          <w:sz w:val="28"/>
          <w:szCs w:val="28"/>
        </w:rPr>
        <w:tab/>
      </w:r>
      <w:r>
        <w:rPr>
          <w:rFonts w:eastAsiaTheme="minorEastAsia"/>
          <w:color w:val="000000" w:themeColor="text1"/>
          <w:sz w:val="28"/>
          <w:szCs w:val="28"/>
        </w:rPr>
        <w:t>（8.</w:t>
      </w:r>
      <w:r>
        <w:rPr>
          <w:rFonts w:hint="eastAsia" w:eastAsiaTheme="minorEastAsia"/>
          <w:color w:val="000000" w:themeColor="text1"/>
          <w:sz w:val="28"/>
          <w:szCs w:val="28"/>
        </w:rPr>
        <w:t>3</w:t>
      </w:r>
      <w:r>
        <w:rPr>
          <w:rFonts w:eastAsiaTheme="minorEastAsia"/>
          <w:color w:val="000000" w:themeColor="text1"/>
          <w:sz w:val="28"/>
          <w:szCs w:val="28"/>
        </w:rPr>
        <w:t>.6-2）</w:t>
      </w:r>
    </w:p>
    <w:p>
      <w:pPr>
        <w:widowControl/>
        <w:wordWrap w:val="0"/>
        <w:rPr>
          <w:rFonts w:eastAsiaTheme="minorEastAsia"/>
          <w:color w:val="000000" w:themeColor="text1"/>
          <w:sz w:val="28"/>
          <w:szCs w:val="28"/>
        </w:rPr>
      </w:pPr>
      <w:r>
        <w:rPr>
          <w:rFonts w:eastAsiaTheme="minorEastAsia"/>
          <w:color w:val="000000" w:themeColor="text1"/>
          <w:sz w:val="28"/>
          <w:szCs w:val="28"/>
        </w:rPr>
        <w:t>式中：</w:t>
      </w:r>
      <w:r>
        <w:rPr>
          <w:rFonts w:eastAsiaTheme="minorEastAsia"/>
          <w:i/>
          <w:color w:val="000000" w:themeColor="text1"/>
          <w:sz w:val="28"/>
          <w:szCs w:val="28"/>
        </w:rPr>
        <w:t>V</w:t>
      </w:r>
      <w:r>
        <w:rPr>
          <w:rFonts w:eastAsiaTheme="minorEastAsia"/>
          <w:color w:val="000000" w:themeColor="text1"/>
          <w:sz w:val="28"/>
          <w:szCs w:val="28"/>
        </w:rPr>
        <w:t>—消化池总有效容积（m</w:t>
      </w:r>
      <w:r>
        <w:rPr>
          <w:rFonts w:eastAsiaTheme="minorEastAsia"/>
          <w:color w:val="000000" w:themeColor="text1"/>
          <w:sz w:val="28"/>
          <w:szCs w:val="28"/>
          <w:vertAlign w:val="superscript"/>
        </w:rPr>
        <w:t>3</w:t>
      </w:r>
      <w:r>
        <w:rPr>
          <w:rFonts w:eastAsiaTheme="minorEastAsia"/>
          <w:color w:val="000000" w:themeColor="text1"/>
          <w:sz w:val="28"/>
          <w:szCs w:val="28"/>
        </w:rPr>
        <w:t>）；</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Q</w:t>
      </w:r>
      <w:r>
        <w:rPr>
          <w:rFonts w:eastAsiaTheme="minorEastAsia"/>
          <w:color w:val="000000" w:themeColor="text1"/>
          <w:sz w:val="28"/>
          <w:szCs w:val="28"/>
          <w:vertAlign w:val="subscript"/>
        </w:rPr>
        <w:t>o</w:t>
      </w:r>
      <w:r>
        <w:rPr>
          <w:rFonts w:eastAsiaTheme="minorEastAsia"/>
          <w:color w:val="000000" w:themeColor="text1"/>
          <w:sz w:val="28"/>
          <w:szCs w:val="28"/>
        </w:rPr>
        <w:t>— 每日投入消化池的原污泥量（m</w:t>
      </w:r>
      <w:r>
        <w:rPr>
          <w:rFonts w:eastAsiaTheme="minorEastAsia"/>
          <w:color w:val="000000" w:themeColor="text1"/>
          <w:sz w:val="28"/>
          <w:szCs w:val="28"/>
          <w:vertAlign w:val="superscript"/>
        </w:rPr>
        <w:t>3</w:t>
      </w:r>
      <w:r>
        <w:rPr>
          <w:rFonts w:eastAsiaTheme="minorEastAsia"/>
          <w:color w:val="000000" w:themeColor="text1"/>
          <w:sz w:val="28"/>
          <w:szCs w:val="28"/>
        </w:rPr>
        <w:t>/d）；</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t</w:t>
      </w:r>
      <w:r>
        <w:rPr>
          <w:rFonts w:eastAsiaTheme="minorEastAsia"/>
          <w:color w:val="000000" w:themeColor="text1"/>
          <w:sz w:val="28"/>
          <w:szCs w:val="28"/>
          <w:vertAlign w:val="subscript"/>
        </w:rPr>
        <w:t>d</w:t>
      </w:r>
      <w:r>
        <w:rPr>
          <w:rFonts w:eastAsiaTheme="minorEastAsia"/>
          <w:color w:val="000000" w:themeColor="text1"/>
          <w:sz w:val="28"/>
          <w:szCs w:val="28"/>
        </w:rPr>
        <w:t>—消化时间(d)；</w:t>
      </w:r>
    </w:p>
    <w:p>
      <w:pPr>
        <w:widowControl/>
        <w:wordWrap w:val="0"/>
        <w:ind w:left="1540" w:leftChars="400" w:hanging="700" w:hangingChars="250"/>
        <w:rPr>
          <w:rFonts w:eastAsiaTheme="minorEastAsia"/>
          <w:color w:val="000000" w:themeColor="text1"/>
          <w:sz w:val="28"/>
          <w:szCs w:val="28"/>
        </w:rPr>
      </w:pPr>
      <w:r>
        <w:rPr>
          <w:rFonts w:eastAsiaTheme="minorEastAsia"/>
          <w:i/>
          <w:color w:val="000000" w:themeColor="text1"/>
          <w:sz w:val="28"/>
          <w:szCs w:val="28"/>
        </w:rPr>
        <w:t>W</w:t>
      </w:r>
      <w:r>
        <w:rPr>
          <w:rFonts w:eastAsiaTheme="minorEastAsia"/>
          <w:color w:val="000000" w:themeColor="text1"/>
          <w:sz w:val="28"/>
          <w:szCs w:val="28"/>
          <w:vertAlign w:val="subscript"/>
        </w:rPr>
        <w:t>S</w:t>
      </w:r>
      <w:r>
        <w:rPr>
          <w:rFonts w:eastAsiaTheme="minorEastAsia"/>
          <w:color w:val="000000" w:themeColor="text1"/>
          <w:sz w:val="28"/>
          <w:szCs w:val="28"/>
        </w:rPr>
        <w:t>— 每日投入消化池的原污泥中挥发性干固体重量（kgVSS/d）；</w:t>
      </w:r>
    </w:p>
    <w:p>
      <w:pPr>
        <w:widowControl/>
        <w:wordWrap w:val="0"/>
        <w:ind w:firstLine="848" w:firstLineChars="303"/>
        <w:rPr>
          <w:rFonts w:eastAsiaTheme="minorEastAsia"/>
          <w:color w:val="000000" w:themeColor="text1"/>
          <w:sz w:val="28"/>
          <w:szCs w:val="28"/>
        </w:rPr>
      </w:pPr>
      <w:r>
        <w:rPr>
          <w:rFonts w:eastAsiaTheme="minorEastAsia"/>
          <w:i/>
          <w:color w:val="000000" w:themeColor="text1"/>
          <w:sz w:val="28"/>
          <w:szCs w:val="28"/>
        </w:rPr>
        <w:t>L</w:t>
      </w:r>
      <w:r>
        <w:rPr>
          <w:rFonts w:eastAsiaTheme="minorEastAsia"/>
          <w:color w:val="000000" w:themeColor="text1"/>
          <w:sz w:val="28"/>
          <w:szCs w:val="28"/>
          <w:vertAlign w:val="subscript"/>
        </w:rPr>
        <w:t>V</w:t>
      </w:r>
      <w:r>
        <w:rPr>
          <w:rFonts w:eastAsiaTheme="minorEastAsia"/>
          <w:color w:val="000000" w:themeColor="text1"/>
          <w:sz w:val="28"/>
          <w:szCs w:val="28"/>
        </w:rPr>
        <w:t>— 消化池挥发性固体容积负荷（kgVSS/m</w:t>
      </w:r>
      <w:r>
        <w:rPr>
          <w:rFonts w:eastAsiaTheme="minorEastAsia"/>
          <w:color w:val="000000" w:themeColor="text1"/>
          <w:sz w:val="28"/>
          <w:szCs w:val="28"/>
          <w:vertAlign w:val="superscript"/>
        </w:rPr>
        <w:t>3</w:t>
      </w:r>
      <w:r>
        <w:rPr>
          <w:rFonts w:eastAsiaTheme="minorEastAsia"/>
          <w:color w:val="000000" w:themeColor="text1"/>
          <w:sz w:val="28"/>
          <w:szCs w:val="28"/>
        </w:rPr>
        <w:t>·d）。</w:t>
      </w:r>
    </w:p>
    <w:p>
      <w:pPr>
        <w:wordWrap w:val="0"/>
        <w:rPr>
          <w:rFonts w:eastAsiaTheme="minorEastAsia"/>
          <w:color w:val="000000" w:themeColor="text1"/>
          <w:sz w:val="28"/>
          <w:szCs w:val="28"/>
        </w:rPr>
      </w:pPr>
      <w:r>
        <w:rPr>
          <w:rFonts w:eastAsiaTheme="minorEastAsia"/>
          <w:color w:val="000000" w:themeColor="text1"/>
          <w:sz w:val="28"/>
          <w:szCs w:val="28"/>
        </w:rPr>
        <w:t>【条文说明】本标准参照美国、德国、日本相关设计标准，采用消化时间和挥发性固体容积负荷两个参数确定厌氧消化池的有效容积，提出两个参数互相校核，保证消化池设计合理，运行可靠。</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中温厌氧消化池的设计，</w:t>
      </w:r>
      <w:r>
        <w:rPr>
          <w:rFonts w:hint="eastAsia" w:ascii="Times New Roman" w:hAnsi="Times New Roman" w:eastAsiaTheme="minorEastAsia"/>
          <w:color w:val="000000" w:themeColor="text1"/>
          <w:sz w:val="28"/>
          <w:szCs w:val="28"/>
        </w:rPr>
        <w:t>应</w:t>
      </w:r>
      <w:r>
        <w:rPr>
          <w:rFonts w:ascii="Times New Roman" w:hAnsi="Times New Roman" w:eastAsiaTheme="minorEastAsia"/>
          <w:color w:val="000000" w:themeColor="text1"/>
          <w:sz w:val="28"/>
          <w:szCs w:val="28"/>
        </w:rPr>
        <w:t>符合下列规定：</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 xml:space="preserve"> 两级消化池的第一级或者单级消化池的消化温度</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为33°C~38°C；</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 xml:space="preserve"> 消化时间宜为20d~30d；</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3</w:t>
      </w:r>
      <w:r>
        <w:rPr>
          <w:rFonts w:ascii="Times New Roman" w:hAnsi="Times New Roman" w:eastAsiaTheme="minorEastAsia"/>
          <w:color w:val="000000" w:themeColor="text1"/>
          <w:sz w:val="28"/>
          <w:szCs w:val="28"/>
        </w:rPr>
        <w:t xml:space="preserve"> 挥发性固体容积负荷取值：重力浓缩后的污泥</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为0.6kgVSS/(m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·d)~1.5kgVSS/(m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·d)；机械浓缩后的污泥不</w:t>
      </w:r>
      <w:r>
        <w:rPr>
          <w:rFonts w:hint="eastAsia" w:ascii="Times New Roman" w:hAnsi="Times New Roman" w:eastAsiaTheme="minorEastAsia"/>
          <w:color w:val="000000" w:themeColor="text1"/>
          <w:sz w:val="28"/>
          <w:szCs w:val="28"/>
        </w:rPr>
        <w:t>应</w:t>
      </w:r>
      <w:r>
        <w:rPr>
          <w:rFonts w:ascii="Times New Roman" w:hAnsi="Times New Roman" w:eastAsiaTheme="minorEastAsia"/>
          <w:color w:val="000000" w:themeColor="text1"/>
          <w:sz w:val="28"/>
          <w:szCs w:val="28"/>
        </w:rPr>
        <w:t>大于2.3kgVSS/(m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w:t>
      </w:r>
    </w:p>
    <w:p>
      <w:pPr>
        <w:wordWrap w:val="0"/>
        <w:spacing w:line="360" w:lineRule="auto"/>
        <w:jc w:val="left"/>
        <w:rPr>
          <w:rFonts w:eastAsiaTheme="minorEastAsia"/>
          <w:color w:val="000000" w:themeColor="text1"/>
          <w:sz w:val="28"/>
          <w:szCs w:val="28"/>
        </w:rPr>
      </w:pPr>
      <w:r>
        <w:rPr>
          <w:rFonts w:eastAsiaTheme="minorEastAsia"/>
          <w:color w:val="000000" w:themeColor="text1"/>
          <w:sz w:val="28"/>
          <w:szCs w:val="28"/>
        </w:rPr>
        <w:t>【条文说明】中温厌氧消化池是</w:t>
      </w:r>
      <w:r>
        <w:rPr>
          <w:rFonts w:hint="eastAsia" w:eastAsiaTheme="minorEastAsia"/>
          <w:color w:val="000000" w:themeColor="text1"/>
          <w:sz w:val="28"/>
          <w:szCs w:val="28"/>
        </w:rPr>
        <w:t>目前</w:t>
      </w:r>
      <w:r>
        <w:rPr>
          <w:rFonts w:eastAsiaTheme="minorEastAsia"/>
          <w:color w:val="000000" w:themeColor="text1"/>
          <w:sz w:val="28"/>
          <w:szCs w:val="28"/>
        </w:rPr>
        <w:t>我国采用较多的形式。</w:t>
      </w:r>
    </w:p>
    <w:p>
      <w:pPr>
        <w:wordWrap w:val="0"/>
        <w:spacing w:line="360" w:lineRule="auto"/>
        <w:ind w:firstLine="560" w:firstLineChars="200"/>
        <w:jc w:val="left"/>
        <w:rPr>
          <w:rFonts w:eastAsiaTheme="minorEastAsia"/>
          <w:color w:val="000000" w:themeColor="text1"/>
          <w:sz w:val="28"/>
          <w:szCs w:val="28"/>
        </w:rPr>
      </w:pPr>
      <w:r>
        <w:rPr>
          <w:rFonts w:eastAsiaTheme="minorEastAsia"/>
          <w:color w:val="000000" w:themeColor="text1"/>
          <w:sz w:val="28"/>
          <w:szCs w:val="28"/>
        </w:rPr>
        <w:t>表29是我国与美国厌氧消化的主要设计参数对比表。</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表29我国与美国厌氧消化主要设计参数对比</w:t>
      </w:r>
    </w:p>
    <w:tbl>
      <w:tblPr>
        <w:tblStyle w:val="25"/>
        <w:tblW w:w="7877" w:type="dxa"/>
        <w:jc w:val="center"/>
        <w:tblInd w:w="0" w:type="dxa"/>
        <w:tblLayout w:type="fixed"/>
        <w:tblCellMar>
          <w:top w:w="0" w:type="dxa"/>
          <w:left w:w="0" w:type="dxa"/>
          <w:bottom w:w="0" w:type="dxa"/>
          <w:right w:w="0" w:type="dxa"/>
        </w:tblCellMar>
      </w:tblPr>
      <w:tblGrid>
        <w:gridCol w:w="2224"/>
        <w:gridCol w:w="3939"/>
        <w:gridCol w:w="1714"/>
      </w:tblGrid>
      <w:tr>
        <w:tblPrEx>
          <w:tblLayout w:type="fixed"/>
          <w:tblCellMar>
            <w:top w:w="0" w:type="dxa"/>
            <w:left w:w="0" w:type="dxa"/>
            <w:bottom w:w="0" w:type="dxa"/>
            <w:right w:w="0" w:type="dxa"/>
          </w:tblCellMar>
        </w:tblPrEx>
        <w:trPr>
          <w:trHeight w:val="397" w:hRule="atLeast"/>
          <w:jc w:val="center"/>
        </w:trPr>
        <w:tc>
          <w:tcPr>
            <w:tcW w:w="2224" w:type="dxa"/>
            <w:tcBorders>
              <w:top w:val="single" w:color="000000" w:sz="8" w:space="0"/>
              <w:left w:val="single" w:color="000000" w:sz="8" w:space="0"/>
              <w:bottom w:val="single" w:color="000000" w:sz="8" w:space="0"/>
              <w:right w:val="single" w:color="000000" w:sz="8" w:space="0"/>
            </w:tcBorders>
            <w:tcMar>
              <w:top w:w="15" w:type="dxa"/>
              <w:left w:w="92" w:type="dxa"/>
              <w:bottom w:w="0" w:type="dxa"/>
              <w:right w:w="92" w:type="dxa"/>
            </w:tcMar>
            <w:vAlign w:val="center"/>
          </w:tcPr>
          <w:p>
            <w:pPr>
              <w:widowControl/>
              <w:wordWrap w:val="0"/>
              <w:spacing w:line="360" w:lineRule="exact"/>
              <w:jc w:val="center"/>
              <w:rPr>
                <w:rFonts w:eastAsiaTheme="minorEastAsia"/>
                <w:color w:val="000000" w:themeColor="text1"/>
                <w:kern w:val="0"/>
                <w:sz w:val="28"/>
                <w:szCs w:val="28"/>
              </w:rPr>
            </w:pPr>
            <w:r>
              <w:rPr>
                <w:rFonts w:eastAsiaTheme="minorEastAsia"/>
                <w:color w:val="000000" w:themeColor="text1"/>
                <w:kern w:val="0"/>
                <w:sz w:val="28"/>
                <w:szCs w:val="28"/>
              </w:rPr>
              <w:t>参数</w:t>
            </w:r>
          </w:p>
        </w:tc>
        <w:tc>
          <w:tcPr>
            <w:tcW w:w="3939" w:type="dxa"/>
            <w:tcBorders>
              <w:top w:val="single" w:color="000000" w:sz="8" w:space="0"/>
              <w:left w:val="single" w:color="000000" w:sz="8" w:space="0"/>
              <w:bottom w:val="single" w:color="000000" w:sz="8" w:space="0"/>
              <w:right w:val="single" w:color="000000" w:sz="8" w:space="0"/>
            </w:tcBorders>
            <w:tcMar>
              <w:top w:w="15" w:type="dxa"/>
              <w:left w:w="92" w:type="dxa"/>
              <w:bottom w:w="0" w:type="dxa"/>
              <w:right w:w="92" w:type="dxa"/>
            </w:tcMar>
            <w:vAlign w:val="center"/>
          </w:tcPr>
          <w:p>
            <w:pPr>
              <w:widowControl/>
              <w:wordWrap w:val="0"/>
              <w:spacing w:line="360" w:lineRule="exact"/>
              <w:jc w:val="center"/>
              <w:rPr>
                <w:rFonts w:eastAsiaTheme="minorEastAsia"/>
                <w:color w:val="000000" w:themeColor="text1"/>
                <w:kern w:val="0"/>
                <w:sz w:val="28"/>
                <w:szCs w:val="28"/>
              </w:rPr>
            </w:pPr>
            <w:r>
              <w:rPr>
                <w:rFonts w:eastAsiaTheme="minorEastAsia"/>
                <w:color w:val="000000" w:themeColor="text1"/>
                <w:sz w:val="28"/>
                <w:szCs w:val="28"/>
              </w:rPr>
              <w:t>中国</w:t>
            </w:r>
          </w:p>
        </w:tc>
        <w:tc>
          <w:tcPr>
            <w:tcW w:w="1714" w:type="dxa"/>
            <w:tcBorders>
              <w:top w:val="single" w:color="000000" w:sz="8" w:space="0"/>
              <w:left w:val="single" w:color="000000" w:sz="8" w:space="0"/>
              <w:bottom w:val="single" w:color="000000" w:sz="8" w:space="0"/>
              <w:right w:val="single" w:color="000000" w:sz="8" w:space="0"/>
            </w:tcBorders>
            <w:tcMar>
              <w:top w:w="15" w:type="dxa"/>
              <w:left w:w="92" w:type="dxa"/>
              <w:bottom w:w="0" w:type="dxa"/>
              <w:right w:w="92" w:type="dxa"/>
            </w:tcMar>
            <w:vAlign w:val="center"/>
          </w:tcPr>
          <w:p>
            <w:pPr>
              <w:widowControl/>
              <w:wordWrap w:val="0"/>
              <w:spacing w:line="360" w:lineRule="exact"/>
              <w:jc w:val="center"/>
              <w:rPr>
                <w:rFonts w:eastAsiaTheme="minorEastAsia"/>
                <w:color w:val="000000" w:themeColor="text1"/>
                <w:kern w:val="0"/>
                <w:sz w:val="28"/>
                <w:szCs w:val="28"/>
              </w:rPr>
            </w:pPr>
            <w:r>
              <w:rPr>
                <w:rFonts w:eastAsiaTheme="minorEastAsia"/>
                <w:color w:val="000000" w:themeColor="text1"/>
                <w:sz w:val="28"/>
                <w:szCs w:val="28"/>
              </w:rPr>
              <w:t>美国</w:t>
            </w:r>
          </w:p>
        </w:tc>
      </w:tr>
      <w:tr>
        <w:tblPrEx>
          <w:tblLayout w:type="fixed"/>
          <w:tblCellMar>
            <w:top w:w="0" w:type="dxa"/>
            <w:left w:w="0" w:type="dxa"/>
            <w:bottom w:w="0" w:type="dxa"/>
            <w:right w:w="0" w:type="dxa"/>
          </w:tblCellMar>
        </w:tblPrEx>
        <w:trPr>
          <w:trHeight w:val="397" w:hRule="atLeast"/>
          <w:jc w:val="center"/>
        </w:trPr>
        <w:tc>
          <w:tcPr>
            <w:tcW w:w="2224" w:type="dxa"/>
            <w:tcBorders>
              <w:top w:val="single" w:color="000000" w:sz="8" w:space="0"/>
              <w:left w:val="single" w:color="000000" w:sz="8" w:space="0"/>
              <w:bottom w:val="single" w:color="000000" w:sz="8" w:space="0"/>
              <w:right w:val="single" w:color="000000" w:sz="8" w:space="0"/>
            </w:tcBorders>
            <w:tcMar>
              <w:top w:w="15" w:type="dxa"/>
              <w:left w:w="92" w:type="dxa"/>
              <w:bottom w:w="0" w:type="dxa"/>
              <w:right w:w="92" w:type="dxa"/>
            </w:tcMar>
            <w:vAlign w:val="center"/>
          </w:tcPr>
          <w:p>
            <w:pPr>
              <w:widowControl/>
              <w:wordWrap w:val="0"/>
              <w:spacing w:line="360" w:lineRule="exact"/>
              <w:jc w:val="center"/>
              <w:rPr>
                <w:rFonts w:eastAsiaTheme="minorEastAsia"/>
                <w:color w:val="000000" w:themeColor="text1"/>
                <w:kern w:val="0"/>
                <w:sz w:val="28"/>
                <w:szCs w:val="28"/>
              </w:rPr>
            </w:pPr>
            <w:r>
              <w:rPr>
                <w:rFonts w:eastAsiaTheme="minorEastAsia"/>
                <w:color w:val="000000" w:themeColor="text1"/>
                <w:kern w:val="0"/>
                <w:sz w:val="28"/>
                <w:szCs w:val="28"/>
              </w:rPr>
              <w:t>SRT（d）</w:t>
            </w:r>
          </w:p>
        </w:tc>
        <w:tc>
          <w:tcPr>
            <w:tcW w:w="3939" w:type="dxa"/>
            <w:tcBorders>
              <w:top w:val="single" w:color="000000" w:sz="8" w:space="0"/>
              <w:left w:val="single" w:color="000000" w:sz="8" w:space="0"/>
              <w:bottom w:val="single" w:color="000000" w:sz="8" w:space="0"/>
              <w:right w:val="single" w:color="000000" w:sz="8" w:space="0"/>
            </w:tcBorders>
            <w:tcMar>
              <w:top w:w="15" w:type="dxa"/>
              <w:left w:w="92" w:type="dxa"/>
              <w:bottom w:w="0" w:type="dxa"/>
              <w:right w:w="92" w:type="dxa"/>
            </w:tcMar>
            <w:vAlign w:val="center"/>
          </w:tcPr>
          <w:p>
            <w:pPr>
              <w:widowControl/>
              <w:wordWrap w:val="0"/>
              <w:spacing w:line="360" w:lineRule="exact"/>
              <w:jc w:val="center"/>
              <w:rPr>
                <w:rFonts w:eastAsiaTheme="minorEastAsia"/>
                <w:color w:val="000000" w:themeColor="text1"/>
                <w:kern w:val="0"/>
                <w:sz w:val="28"/>
                <w:szCs w:val="28"/>
              </w:rPr>
            </w:pPr>
            <w:r>
              <w:rPr>
                <w:rFonts w:eastAsiaTheme="minorEastAsia"/>
                <w:color w:val="000000" w:themeColor="text1"/>
                <w:sz w:val="28"/>
                <w:szCs w:val="28"/>
              </w:rPr>
              <w:t>20~30</w:t>
            </w:r>
          </w:p>
        </w:tc>
        <w:tc>
          <w:tcPr>
            <w:tcW w:w="1714" w:type="dxa"/>
            <w:tcBorders>
              <w:top w:val="single" w:color="000000" w:sz="8" w:space="0"/>
              <w:left w:val="single" w:color="000000" w:sz="8" w:space="0"/>
              <w:bottom w:val="single" w:color="000000" w:sz="8" w:space="0"/>
              <w:right w:val="single" w:color="000000" w:sz="8" w:space="0"/>
            </w:tcBorders>
            <w:tcMar>
              <w:top w:w="15" w:type="dxa"/>
              <w:left w:w="92" w:type="dxa"/>
              <w:bottom w:w="0" w:type="dxa"/>
              <w:right w:w="92" w:type="dxa"/>
            </w:tcMar>
            <w:vAlign w:val="center"/>
          </w:tcPr>
          <w:p>
            <w:pPr>
              <w:widowControl/>
              <w:wordWrap w:val="0"/>
              <w:spacing w:line="360" w:lineRule="exact"/>
              <w:jc w:val="center"/>
              <w:rPr>
                <w:rFonts w:eastAsiaTheme="minorEastAsia"/>
                <w:color w:val="000000" w:themeColor="text1"/>
                <w:kern w:val="0"/>
                <w:sz w:val="28"/>
                <w:szCs w:val="28"/>
              </w:rPr>
            </w:pPr>
            <w:r>
              <w:rPr>
                <w:rFonts w:eastAsiaTheme="minorEastAsia"/>
                <w:color w:val="000000" w:themeColor="text1"/>
                <w:sz w:val="28"/>
                <w:szCs w:val="28"/>
              </w:rPr>
              <w:t>＞15</w:t>
            </w:r>
          </w:p>
        </w:tc>
      </w:tr>
      <w:tr>
        <w:tblPrEx>
          <w:tblLayout w:type="fixed"/>
          <w:tblCellMar>
            <w:top w:w="0" w:type="dxa"/>
            <w:left w:w="0" w:type="dxa"/>
            <w:bottom w:w="0" w:type="dxa"/>
            <w:right w:w="0" w:type="dxa"/>
          </w:tblCellMar>
        </w:tblPrEx>
        <w:trPr>
          <w:trHeight w:val="397" w:hRule="atLeast"/>
          <w:jc w:val="center"/>
        </w:trPr>
        <w:tc>
          <w:tcPr>
            <w:tcW w:w="2224" w:type="dxa"/>
            <w:tcBorders>
              <w:top w:val="single" w:color="000000" w:sz="8" w:space="0"/>
              <w:left w:val="single" w:color="000000" w:sz="8" w:space="0"/>
              <w:bottom w:val="single" w:color="000000" w:sz="8" w:space="0"/>
              <w:right w:val="single" w:color="000000" w:sz="8" w:space="0"/>
            </w:tcBorders>
            <w:tcMar>
              <w:top w:w="15" w:type="dxa"/>
              <w:left w:w="92" w:type="dxa"/>
              <w:bottom w:w="0" w:type="dxa"/>
              <w:right w:w="92" w:type="dxa"/>
            </w:tcMar>
            <w:vAlign w:val="center"/>
          </w:tcPr>
          <w:p>
            <w:pPr>
              <w:widowControl/>
              <w:wordWrap w:val="0"/>
              <w:spacing w:line="360" w:lineRule="exact"/>
              <w:jc w:val="center"/>
              <w:rPr>
                <w:rFonts w:eastAsiaTheme="minorEastAsia"/>
                <w:color w:val="000000" w:themeColor="text1"/>
                <w:kern w:val="0"/>
                <w:sz w:val="28"/>
                <w:szCs w:val="28"/>
              </w:rPr>
            </w:pPr>
            <w:r>
              <w:rPr>
                <w:rFonts w:eastAsiaTheme="minorEastAsia"/>
                <w:color w:val="000000" w:themeColor="text1"/>
                <w:kern w:val="24"/>
                <w:sz w:val="28"/>
                <w:szCs w:val="28"/>
              </w:rPr>
              <w:t>VS</w:t>
            </w:r>
            <w:r>
              <w:rPr>
                <w:rFonts w:eastAsiaTheme="minorEastAsia"/>
                <w:color w:val="000000" w:themeColor="text1"/>
                <w:sz w:val="28"/>
                <w:szCs w:val="28"/>
              </w:rPr>
              <w:t>容积负荷</w:t>
            </w:r>
          </w:p>
          <w:p>
            <w:pPr>
              <w:widowControl/>
              <w:wordWrap w:val="0"/>
              <w:spacing w:line="360" w:lineRule="exact"/>
              <w:jc w:val="center"/>
              <w:rPr>
                <w:rFonts w:eastAsiaTheme="minorEastAsia"/>
                <w:color w:val="000000" w:themeColor="text1"/>
                <w:kern w:val="0"/>
                <w:sz w:val="28"/>
                <w:szCs w:val="28"/>
              </w:rPr>
            </w:pPr>
            <w:r>
              <w:rPr>
                <w:rFonts w:eastAsiaTheme="minorEastAsia"/>
                <w:color w:val="000000" w:themeColor="text1"/>
                <w:sz w:val="28"/>
                <w:szCs w:val="28"/>
              </w:rPr>
              <w:t>[</w:t>
            </w:r>
            <w:r>
              <w:rPr>
                <w:rFonts w:eastAsiaTheme="minorEastAsia"/>
                <w:color w:val="000000" w:themeColor="text1"/>
                <w:kern w:val="24"/>
                <w:sz w:val="28"/>
                <w:szCs w:val="28"/>
              </w:rPr>
              <w:t>kgVSS/（m</w:t>
            </w:r>
            <w:r>
              <w:rPr>
                <w:rFonts w:eastAsiaTheme="minorEastAsia"/>
                <w:color w:val="000000" w:themeColor="text1"/>
                <w:kern w:val="24"/>
                <w:position w:val="10"/>
                <w:sz w:val="28"/>
                <w:szCs w:val="28"/>
                <w:vertAlign w:val="superscript"/>
              </w:rPr>
              <w:t>3</w:t>
            </w:r>
            <w:r>
              <w:rPr>
                <w:rFonts w:eastAsiaTheme="minorEastAsia"/>
                <w:color w:val="000000" w:themeColor="text1"/>
                <w:kern w:val="24"/>
                <w:sz w:val="28"/>
                <w:szCs w:val="28"/>
              </w:rPr>
              <w:t>∙d）]</w:t>
            </w:r>
          </w:p>
        </w:tc>
        <w:tc>
          <w:tcPr>
            <w:tcW w:w="3939" w:type="dxa"/>
            <w:tcBorders>
              <w:top w:val="single" w:color="000000" w:sz="8" w:space="0"/>
              <w:left w:val="single" w:color="000000" w:sz="8" w:space="0"/>
              <w:bottom w:val="single" w:color="000000" w:sz="8" w:space="0"/>
              <w:right w:val="single" w:color="000000" w:sz="8" w:space="0"/>
            </w:tcBorders>
            <w:tcMar>
              <w:top w:w="15" w:type="dxa"/>
              <w:left w:w="92" w:type="dxa"/>
              <w:bottom w:w="0" w:type="dxa"/>
              <w:right w:w="92" w:type="dxa"/>
            </w:tcMar>
            <w:vAlign w:val="center"/>
          </w:tcPr>
          <w:p>
            <w:pPr>
              <w:widowControl/>
              <w:wordWrap w:val="0"/>
              <w:spacing w:line="360" w:lineRule="exact"/>
              <w:jc w:val="center"/>
              <w:rPr>
                <w:rFonts w:eastAsiaTheme="minorEastAsia"/>
                <w:color w:val="000000" w:themeColor="text1"/>
                <w:kern w:val="24"/>
                <w:sz w:val="28"/>
                <w:szCs w:val="28"/>
              </w:rPr>
            </w:pPr>
            <w:r>
              <w:rPr>
                <w:rFonts w:eastAsiaTheme="minorEastAsia"/>
                <w:color w:val="000000" w:themeColor="text1"/>
                <w:kern w:val="24"/>
                <w:sz w:val="28"/>
                <w:szCs w:val="28"/>
              </w:rPr>
              <w:t>重力浓缩后的原污泥：0.6</w:t>
            </w:r>
            <w:r>
              <w:rPr>
                <w:rFonts w:eastAsiaTheme="minorEastAsia"/>
                <w:color w:val="000000" w:themeColor="text1"/>
                <w:sz w:val="28"/>
                <w:szCs w:val="28"/>
              </w:rPr>
              <w:t>~</w:t>
            </w:r>
            <w:r>
              <w:rPr>
                <w:rFonts w:eastAsiaTheme="minorEastAsia"/>
                <w:color w:val="000000" w:themeColor="text1"/>
                <w:kern w:val="24"/>
                <w:sz w:val="28"/>
                <w:szCs w:val="28"/>
              </w:rPr>
              <w:t>1.5；</w:t>
            </w:r>
          </w:p>
          <w:p>
            <w:pPr>
              <w:widowControl/>
              <w:wordWrap w:val="0"/>
              <w:spacing w:line="360" w:lineRule="exact"/>
              <w:jc w:val="center"/>
              <w:rPr>
                <w:rFonts w:eastAsiaTheme="minorEastAsia"/>
                <w:color w:val="000000" w:themeColor="text1"/>
                <w:kern w:val="0"/>
                <w:sz w:val="28"/>
                <w:szCs w:val="28"/>
              </w:rPr>
            </w:pPr>
            <w:r>
              <w:rPr>
                <w:rFonts w:eastAsiaTheme="minorEastAsia"/>
                <w:color w:val="000000" w:themeColor="text1"/>
                <w:kern w:val="24"/>
                <w:sz w:val="28"/>
                <w:szCs w:val="28"/>
              </w:rPr>
              <w:t>机械浓缩后的原污泥：≤2.3</w:t>
            </w:r>
          </w:p>
        </w:tc>
        <w:tc>
          <w:tcPr>
            <w:tcW w:w="1714" w:type="dxa"/>
            <w:tcBorders>
              <w:top w:val="single" w:color="000000" w:sz="8" w:space="0"/>
              <w:left w:val="single" w:color="000000" w:sz="8" w:space="0"/>
              <w:bottom w:val="single" w:color="000000" w:sz="8" w:space="0"/>
              <w:right w:val="single" w:color="000000" w:sz="8" w:space="0"/>
            </w:tcBorders>
            <w:tcMar>
              <w:top w:w="15" w:type="dxa"/>
              <w:left w:w="92" w:type="dxa"/>
              <w:bottom w:w="0" w:type="dxa"/>
              <w:right w:w="92" w:type="dxa"/>
            </w:tcMar>
            <w:vAlign w:val="center"/>
          </w:tcPr>
          <w:p>
            <w:pPr>
              <w:widowControl/>
              <w:wordWrap w:val="0"/>
              <w:spacing w:line="360" w:lineRule="exact"/>
              <w:jc w:val="center"/>
              <w:rPr>
                <w:rFonts w:eastAsiaTheme="minorEastAsia"/>
                <w:color w:val="000000" w:themeColor="text1"/>
                <w:kern w:val="0"/>
                <w:sz w:val="28"/>
                <w:szCs w:val="28"/>
              </w:rPr>
            </w:pPr>
            <w:r>
              <w:rPr>
                <w:rFonts w:eastAsiaTheme="minorEastAsia"/>
                <w:color w:val="000000" w:themeColor="text1"/>
                <w:sz w:val="28"/>
                <w:szCs w:val="28"/>
              </w:rPr>
              <w:t>1.9~2.5</w:t>
            </w:r>
          </w:p>
        </w:tc>
      </w:tr>
      <w:tr>
        <w:tblPrEx>
          <w:tblLayout w:type="fixed"/>
          <w:tblCellMar>
            <w:top w:w="0" w:type="dxa"/>
            <w:left w:w="0" w:type="dxa"/>
            <w:bottom w:w="0" w:type="dxa"/>
            <w:right w:w="0" w:type="dxa"/>
          </w:tblCellMar>
        </w:tblPrEx>
        <w:trPr>
          <w:trHeight w:val="397" w:hRule="atLeast"/>
          <w:jc w:val="center"/>
        </w:trPr>
        <w:tc>
          <w:tcPr>
            <w:tcW w:w="2224" w:type="dxa"/>
            <w:tcBorders>
              <w:top w:val="single" w:color="000000" w:sz="8" w:space="0"/>
              <w:left w:val="single" w:color="000000" w:sz="8" w:space="0"/>
              <w:bottom w:val="single" w:color="000000" w:sz="8" w:space="0"/>
              <w:right w:val="single" w:color="000000" w:sz="8" w:space="0"/>
            </w:tcBorders>
            <w:tcMar>
              <w:top w:w="15" w:type="dxa"/>
              <w:left w:w="92" w:type="dxa"/>
              <w:bottom w:w="0" w:type="dxa"/>
              <w:right w:w="92" w:type="dxa"/>
            </w:tcMar>
            <w:vAlign w:val="center"/>
          </w:tcPr>
          <w:p>
            <w:pPr>
              <w:widowControl/>
              <w:wordWrap w:val="0"/>
              <w:spacing w:line="360" w:lineRule="exact"/>
              <w:jc w:val="center"/>
              <w:rPr>
                <w:rFonts w:eastAsiaTheme="minorEastAsia"/>
                <w:color w:val="000000" w:themeColor="text1"/>
                <w:kern w:val="0"/>
                <w:sz w:val="28"/>
                <w:szCs w:val="28"/>
              </w:rPr>
            </w:pPr>
            <w:r>
              <w:rPr>
                <w:rFonts w:eastAsiaTheme="minorEastAsia"/>
                <w:color w:val="000000" w:themeColor="text1"/>
                <w:kern w:val="0"/>
                <w:sz w:val="28"/>
                <w:szCs w:val="28"/>
              </w:rPr>
              <w:t>消化温度</w:t>
            </w:r>
          </w:p>
        </w:tc>
        <w:tc>
          <w:tcPr>
            <w:tcW w:w="3939" w:type="dxa"/>
            <w:tcBorders>
              <w:top w:val="single" w:color="000000" w:sz="8" w:space="0"/>
              <w:left w:val="single" w:color="000000" w:sz="8" w:space="0"/>
              <w:bottom w:val="single" w:color="000000" w:sz="8" w:space="0"/>
              <w:right w:val="single" w:color="000000" w:sz="8" w:space="0"/>
            </w:tcBorders>
            <w:tcMar>
              <w:top w:w="15" w:type="dxa"/>
              <w:left w:w="92" w:type="dxa"/>
              <w:bottom w:w="0" w:type="dxa"/>
              <w:right w:w="92" w:type="dxa"/>
            </w:tcMar>
            <w:vAlign w:val="center"/>
          </w:tcPr>
          <w:p>
            <w:pPr>
              <w:widowControl/>
              <w:wordWrap w:val="0"/>
              <w:spacing w:line="360" w:lineRule="exact"/>
              <w:jc w:val="center"/>
              <w:rPr>
                <w:rFonts w:eastAsiaTheme="minorEastAsia"/>
                <w:color w:val="000000" w:themeColor="text1"/>
                <w:kern w:val="0"/>
                <w:sz w:val="28"/>
                <w:szCs w:val="28"/>
              </w:rPr>
            </w:pPr>
            <w:r>
              <w:rPr>
                <w:rFonts w:eastAsiaTheme="minorEastAsia"/>
                <w:color w:val="000000" w:themeColor="text1"/>
                <w:sz w:val="28"/>
                <w:szCs w:val="28"/>
              </w:rPr>
              <w:t>中温：33°C~35°C</w:t>
            </w:r>
          </w:p>
        </w:tc>
        <w:tc>
          <w:tcPr>
            <w:tcW w:w="1714" w:type="dxa"/>
            <w:tcBorders>
              <w:top w:val="single" w:color="000000" w:sz="8" w:space="0"/>
              <w:left w:val="single" w:color="000000" w:sz="8" w:space="0"/>
              <w:bottom w:val="single" w:color="000000" w:sz="8" w:space="0"/>
              <w:right w:val="single" w:color="000000" w:sz="8" w:space="0"/>
            </w:tcBorders>
            <w:tcMar>
              <w:top w:w="15" w:type="dxa"/>
              <w:left w:w="92" w:type="dxa"/>
              <w:bottom w:w="0" w:type="dxa"/>
              <w:right w:w="92" w:type="dxa"/>
            </w:tcMar>
            <w:vAlign w:val="center"/>
          </w:tcPr>
          <w:p>
            <w:pPr>
              <w:widowControl/>
              <w:wordWrap w:val="0"/>
              <w:spacing w:line="360" w:lineRule="exact"/>
              <w:jc w:val="center"/>
              <w:rPr>
                <w:rFonts w:eastAsia="宋体"/>
                <w:color w:val="000000" w:themeColor="text1"/>
                <w:kern w:val="0"/>
                <w:sz w:val="28"/>
                <w:szCs w:val="28"/>
              </w:rPr>
            </w:pPr>
            <w:r>
              <w:rPr>
                <w:rFonts w:eastAsiaTheme="minorEastAsia"/>
                <w:color w:val="000000" w:themeColor="text1"/>
                <w:sz w:val="28"/>
                <w:szCs w:val="28"/>
              </w:rPr>
              <w:t>中温：＞35°C</w:t>
            </w:r>
          </w:p>
        </w:tc>
      </w:tr>
    </w:tbl>
    <w:p>
      <w:pPr>
        <w:wordWrap w:val="0"/>
        <w:spacing w:line="360" w:lineRule="auto"/>
        <w:ind w:firstLine="560" w:firstLineChars="200"/>
        <w:rPr>
          <w:rFonts w:eastAsiaTheme="minorEastAsia"/>
          <w:color w:val="000000" w:themeColor="text1"/>
          <w:sz w:val="28"/>
          <w:szCs w:val="28"/>
        </w:rPr>
      </w:pPr>
      <w:r>
        <w:rPr>
          <w:rFonts w:eastAsiaTheme="minorEastAsia"/>
          <w:color w:val="000000" w:themeColor="text1"/>
          <w:sz w:val="28"/>
          <w:szCs w:val="28"/>
        </w:rPr>
        <w:t>表30是日本厌氧消化</w:t>
      </w:r>
      <w:r>
        <w:rPr>
          <w:rFonts w:hint="eastAsia" w:eastAsiaTheme="minorEastAsia"/>
          <w:color w:val="000000" w:themeColor="text1"/>
          <w:sz w:val="28"/>
          <w:szCs w:val="28"/>
        </w:rPr>
        <w:t>系统</w:t>
      </w:r>
      <w:r>
        <w:rPr>
          <w:rFonts w:eastAsiaTheme="minorEastAsia"/>
          <w:color w:val="000000" w:themeColor="text1"/>
          <w:sz w:val="28"/>
          <w:szCs w:val="28"/>
        </w:rPr>
        <w:t>设计和运行参数统计。</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表30日本厌氧消化系统参数统计</w:t>
      </w:r>
    </w:p>
    <w:tbl>
      <w:tblPr>
        <w:tblStyle w:val="25"/>
        <w:tblW w:w="73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56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701"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单级/两级</w:t>
            </w:r>
          </w:p>
        </w:tc>
        <w:tc>
          <w:tcPr>
            <w:tcW w:w="5667"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单级占35%；两级占65%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701"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是否加热</w:t>
            </w:r>
          </w:p>
        </w:tc>
        <w:tc>
          <w:tcPr>
            <w:tcW w:w="5667"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不加热占11%；加热占89%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701"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搅拌方式</w:t>
            </w:r>
          </w:p>
        </w:tc>
        <w:tc>
          <w:tcPr>
            <w:tcW w:w="5667"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污泥气搅拌占48%；机械搅拌占27%；</w:t>
            </w:r>
          </w:p>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水力搅拌占18%；组合搅拌或其他方式占7%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701"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总设计容量</w:t>
            </w:r>
          </w:p>
        </w:tc>
        <w:tc>
          <w:tcPr>
            <w:tcW w:w="5667"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270m</w:t>
            </w:r>
            <w:r>
              <w:rPr>
                <w:rFonts w:eastAsiaTheme="minorEastAsia"/>
                <w:bCs/>
                <w:color w:val="000000" w:themeColor="text1"/>
                <w:sz w:val="28"/>
                <w:szCs w:val="28"/>
                <w:vertAlign w:val="superscript"/>
              </w:rPr>
              <w:t>3</w:t>
            </w:r>
            <w:r>
              <w:rPr>
                <w:rFonts w:eastAsiaTheme="minorEastAsia"/>
                <w:bCs/>
                <w:color w:val="000000" w:themeColor="text1"/>
                <w:sz w:val="28"/>
                <w:szCs w:val="28"/>
              </w:rPr>
              <w:t>~48000m</w:t>
            </w:r>
            <w:r>
              <w:rPr>
                <w:rFonts w:eastAsiaTheme="minorEastAsia"/>
                <w:bCs/>
                <w:color w:val="000000" w:themeColor="text1"/>
                <w:sz w:val="28"/>
                <w:szCs w:val="28"/>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701"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消化时间</w:t>
            </w:r>
          </w:p>
        </w:tc>
        <w:tc>
          <w:tcPr>
            <w:tcW w:w="5667"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原污泥34d；浓缩污泥44d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97" w:hRule="atLeast"/>
          <w:jc w:val="center"/>
        </w:trPr>
        <w:tc>
          <w:tcPr>
            <w:tcW w:w="1701"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消化温度</w:t>
            </w:r>
          </w:p>
        </w:tc>
        <w:tc>
          <w:tcPr>
            <w:tcW w:w="5667"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19</w:t>
            </w:r>
            <w:r>
              <w:rPr>
                <w:rFonts w:eastAsia="宋体"/>
                <w:color w:val="000000" w:themeColor="text1"/>
                <w:sz w:val="28"/>
                <w:szCs w:val="28"/>
              </w:rPr>
              <w:t>°C</w:t>
            </w:r>
            <w:r>
              <w:rPr>
                <w:rFonts w:eastAsiaTheme="minorEastAsia"/>
                <w:bCs/>
                <w:color w:val="000000" w:themeColor="text1"/>
                <w:sz w:val="28"/>
                <w:szCs w:val="28"/>
              </w:rPr>
              <w:t>~29</w:t>
            </w:r>
            <w:r>
              <w:rPr>
                <w:rFonts w:eastAsia="宋体"/>
                <w:color w:val="000000" w:themeColor="text1"/>
                <w:sz w:val="28"/>
                <w:szCs w:val="28"/>
              </w:rPr>
              <w:t>°C</w:t>
            </w:r>
            <w:r>
              <w:rPr>
                <w:rFonts w:eastAsiaTheme="minorEastAsia"/>
                <w:bCs/>
                <w:color w:val="000000" w:themeColor="text1"/>
                <w:sz w:val="28"/>
                <w:szCs w:val="28"/>
              </w:rPr>
              <w:t>占14%；30</w:t>
            </w:r>
            <w:r>
              <w:rPr>
                <w:rFonts w:eastAsia="宋体"/>
                <w:color w:val="000000" w:themeColor="text1"/>
                <w:sz w:val="28"/>
                <w:szCs w:val="28"/>
              </w:rPr>
              <w:t>°C</w:t>
            </w:r>
            <w:r>
              <w:rPr>
                <w:rFonts w:eastAsiaTheme="minorEastAsia"/>
                <w:bCs/>
                <w:color w:val="000000" w:themeColor="text1"/>
                <w:sz w:val="28"/>
                <w:szCs w:val="28"/>
              </w:rPr>
              <w:t>~38</w:t>
            </w:r>
            <w:r>
              <w:rPr>
                <w:rFonts w:eastAsia="宋体"/>
                <w:color w:val="000000" w:themeColor="text1"/>
                <w:sz w:val="28"/>
                <w:szCs w:val="28"/>
              </w:rPr>
              <w:t>°C</w:t>
            </w:r>
            <w:r>
              <w:rPr>
                <w:rFonts w:eastAsiaTheme="minorEastAsia"/>
                <w:bCs/>
                <w:color w:val="000000" w:themeColor="text1"/>
                <w:sz w:val="28"/>
                <w:szCs w:val="28"/>
              </w:rPr>
              <w:t>占67%；</w:t>
            </w:r>
          </w:p>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39</w:t>
            </w:r>
            <w:r>
              <w:rPr>
                <w:rFonts w:eastAsia="宋体"/>
                <w:color w:val="000000" w:themeColor="text1"/>
                <w:sz w:val="28"/>
                <w:szCs w:val="28"/>
              </w:rPr>
              <w:t>°C</w:t>
            </w:r>
            <w:r>
              <w:rPr>
                <w:rFonts w:eastAsiaTheme="minorEastAsia"/>
                <w:bCs/>
                <w:color w:val="000000" w:themeColor="text1"/>
                <w:sz w:val="28"/>
                <w:szCs w:val="28"/>
              </w:rPr>
              <w:t>~49</w:t>
            </w:r>
            <w:r>
              <w:rPr>
                <w:rFonts w:eastAsia="宋体"/>
                <w:color w:val="000000" w:themeColor="text1"/>
                <w:sz w:val="28"/>
                <w:szCs w:val="28"/>
              </w:rPr>
              <w:t>°C</w:t>
            </w:r>
            <w:r>
              <w:rPr>
                <w:rFonts w:eastAsiaTheme="minorEastAsia"/>
                <w:bCs/>
                <w:color w:val="000000" w:themeColor="text1"/>
                <w:sz w:val="28"/>
                <w:szCs w:val="28"/>
              </w:rPr>
              <w:t>占16%；50</w:t>
            </w:r>
            <w:r>
              <w:rPr>
                <w:rFonts w:eastAsia="宋体"/>
                <w:color w:val="000000" w:themeColor="text1"/>
                <w:sz w:val="28"/>
                <w:szCs w:val="28"/>
              </w:rPr>
              <w:t>°C</w:t>
            </w:r>
            <w:r>
              <w:rPr>
                <w:rFonts w:eastAsiaTheme="minorEastAsia"/>
                <w:bCs/>
                <w:color w:val="000000" w:themeColor="text1"/>
                <w:sz w:val="28"/>
                <w:szCs w:val="28"/>
              </w:rPr>
              <w:t>~55</w:t>
            </w:r>
            <w:r>
              <w:rPr>
                <w:rFonts w:eastAsia="宋体"/>
                <w:color w:val="000000" w:themeColor="text1"/>
                <w:sz w:val="28"/>
                <w:szCs w:val="28"/>
              </w:rPr>
              <w:t>°C</w:t>
            </w:r>
            <w:r>
              <w:rPr>
                <w:rFonts w:eastAsiaTheme="minorEastAsia"/>
                <w:bCs/>
                <w:color w:val="000000" w:themeColor="text1"/>
                <w:sz w:val="28"/>
                <w:szCs w:val="28"/>
              </w:rPr>
              <w:t>占3%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701"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进泥含水率</w:t>
            </w:r>
          </w:p>
        </w:tc>
        <w:tc>
          <w:tcPr>
            <w:tcW w:w="5667"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范围为94.2% ~ 99.5%；平均值为96.77%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701"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进泥有机分</w:t>
            </w:r>
          </w:p>
        </w:tc>
        <w:tc>
          <w:tcPr>
            <w:tcW w:w="5667" w:type="dxa"/>
            <w:vAlign w:val="center"/>
          </w:tcPr>
          <w:p>
            <w:pPr>
              <w:wordWrap w:val="0"/>
              <w:spacing w:line="360" w:lineRule="auto"/>
              <w:jc w:val="center"/>
              <w:rPr>
                <w:rFonts w:eastAsiaTheme="minorEastAsia"/>
                <w:bCs/>
                <w:color w:val="000000" w:themeColor="text1"/>
                <w:sz w:val="28"/>
                <w:szCs w:val="28"/>
              </w:rPr>
            </w:pPr>
            <w:r>
              <w:rPr>
                <w:rFonts w:eastAsiaTheme="minorEastAsia"/>
                <w:bCs/>
                <w:color w:val="000000" w:themeColor="text1"/>
                <w:sz w:val="28"/>
                <w:szCs w:val="28"/>
              </w:rPr>
              <w:t>范围为51% ~ 95.4%；平均值为82.78%</w:t>
            </w:r>
          </w:p>
        </w:tc>
      </w:tr>
    </w:tbl>
    <w:p>
      <w:pPr>
        <w:wordWrap w:val="0"/>
        <w:spacing w:line="360" w:lineRule="auto"/>
        <w:ind w:firstLine="560" w:firstLineChars="200"/>
        <w:jc w:val="left"/>
        <w:rPr>
          <w:rFonts w:eastAsiaTheme="minorEastAsia"/>
          <w:color w:val="000000" w:themeColor="text1"/>
          <w:sz w:val="28"/>
          <w:szCs w:val="28"/>
        </w:rPr>
      </w:pPr>
      <w:r>
        <w:rPr>
          <w:rFonts w:eastAsiaTheme="minorEastAsia"/>
          <w:color w:val="000000" w:themeColor="text1"/>
          <w:sz w:val="28"/>
          <w:szCs w:val="28"/>
        </w:rPr>
        <w:t>根据温度和反应速度的关系，提高温度可以提高厌氧消化的反应速度。国外一些厌氧消化采用37°C，我国近年建设的污泥厌氧消化设施如大连夏家河污泥处理厂、天津津南污泥处理厂也采用37°C。因此，本条规定中温厌氧消化的温度由33°C ~35°C调整为33°C ~38°C。</w:t>
      </w:r>
    </w:p>
    <w:p>
      <w:pPr>
        <w:wordWrap w:val="0"/>
        <w:spacing w:line="360" w:lineRule="auto"/>
        <w:ind w:firstLine="560" w:firstLineChars="200"/>
        <w:jc w:val="left"/>
        <w:rPr>
          <w:rFonts w:eastAsiaTheme="minorEastAsia"/>
          <w:color w:val="000000" w:themeColor="text1"/>
          <w:sz w:val="28"/>
          <w:szCs w:val="28"/>
        </w:rPr>
      </w:pPr>
      <w:r>
        <w:rPr>
          <w:rFonts w:eastAsiaTheme="minorEastAsia"/>
          <w:color w:val="000000" w:themeColor="text1"/>
          <w:sz w:val="28"/>
          <w:szCs w:val="28"/>
        </w:rPr>
        <w:t>图7是日本2001年300余座厌氧消化系统运行参数平均值。</w:t>
      </w:r>
    </w:p>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object>
          <v:shape id="_x0000_i1060" o:spt="75" type="#_x0000_t75" style="height:164.55pt;width:279.6pt;" o:ole="t" filled="f" o:preferrelative="t" stroked="f" coordsize="21600,21600">
            <v:path/>
            <v:fill on="f" focussize="0,0"/>
            <v:stroke on="f" joinstyle="miter"/>
            <v:imagedata r:id="rId92" croptop="12612f" cropright="10216f" cropbottom="26602f" o:title=""/>
            <o:lock v:ext="edit" aspectratio="t"/>
            <w10:wrap type="none"/>
            <w10:anchorlock/>
          </v:shape>
          <o:OLEObject Type="Embed" ProgID="Visio.Drawing.11" ShapeID="_x0000_i1060" DrawAspect="Content" ObjectID="_1468075760" r:id="rId91">
            <o:LockedField>false</o:LockedField>
          </o:OLEObject>
        </w:objec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图7日本2001年300余座厌氧消化系统运行参数平均值</w:t>
      </w:r>
    </w:p>
    <w:p>
      <w:pPr>
        <w:wordWrap w:val="0"/>
        <w:spacing w:line="360" w:lineRule="auto"/>
        <w:ind w:firstLine="560" w:firstLineChars="200"/>
        <w:jc w:val="left"/>
        <w:rPr>
          <w:rFonts w:eastAsiaTheme="minorEastAsia"/>
          <w:color w:val="000000" w:themeColor="text1"/>
          <w:sz w:val="28"/>
          <w:szCs w:val="28"/>
        </w:rPr>
      </w:pPr>
      <w:r>
        <w:rPr>
          <w:rFonts w:eastAsiaTheme="minorEastAsia"/>
          <w:color w:val="000000" w:themeColor="text1"/>
          <w:sz w:val="28"/>
          <w:szCs w:val="28"/>
        </w:rPr>
        <w:t>表31是我国部分厌氧消化池设计参数。</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表31我国部分厌氧消化池主要设计参数</w:t>
      </w:r>
    </w:p>
    <w:tbl>
      <w:tblPr>
        <w:tblStyle w:val="25"/>
        <w:tblW w:w="8473"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810"/>
        <w:gridCol w:w="1531"/>
        <w:gridCol w:w="1617"/>
        <w:gridCol w:w="1871"/>
        <w:gridCol w:w="164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1810"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参数</w:t>
            </w:r>
          </w:p>
        </w:tc>
        <w:tc>
          <w:tcPr>
            <w:tcW w:w="153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青岛麦岛</w:t>
            </w:r>
          </w:p>
        </w:tc>
        <w:tc>
          <w:tcPr>
            <w:tcW w:w="1617"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上海白龙港</w:t>
            </w:r>
          </w:p>
        </w:tc>
        <w:tc>
          <w:tcPr>
            <w:tcW w:w="187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郑州王新庄</w:t>
            </w:r>
          </w:p>
        </w:tc>
        <w:tc>
          <w:tcPr>
            <w:tcW w:w="1644" w:type="dxa"/>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北京小红门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1810"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处理量（tDS/d）</w:t>
            </w:r>
          </w:p>
        </w:tc>
        <w:tc>
          <w:tcPr>
            <w:tcW w:w="153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48</w:t>
            </w:r>
          </w:p>
        </w:tc>
        <w:tc>
          <w:tcPr>
            <w:tcW w:w="1617"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204</w:t>
            </w:r>
          </w:p>
        </w:tc>
        <w:tc>
          <w:tcPr>
            <w:tcW w:w="187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66</w:t>
            </w:r>
          </w:p>
        </w:tc>
        <w:tc>
          <w:tcPr>
            <w:tcW w:w="1644" w:type="dxa"/>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132.5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1810"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消化池类型</w:t>
            </w:r>
          </w:p>
        </w:tc>
        <w:tc>
          <w:tcPr>
            <w:tcW w:w="153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圆柱形</w:t>
            </w:r>
          </w:p>
        </w:tc>
        <w:tc>
          <w:tcPr>
            <w:tcW w:w="1617"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卵形</w:t>
            </w:r>
          </w:p>
        </w:tc>
        <w:tc>
          <w:tcPr>
            <w:tcW w:w="187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圆柱形</w:t>
            </w:r>
          </w:p>
        </w:tc>
        <w:tc>
          <w:tcPr>
            <w:tcW w:w="1644" w:type="dxa"/>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卵形</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1810"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单池有效容积</w:t>
            </w:r>
          </w:p>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（m</w:t>
            </w:r>
            <w:r>
              <w:rPr>
                <w:rFonts w:eastAsiaTheme="minorEastAsia"/>
                <w:color w:val="000000" w:themeColor="text1"/>
                <w:kern w:val="0"/>
                <w:sz w:val="28"/>
                <w:szCs w:val="28"/>
                <w:vertAlign w:val="superscript"/>
              </w:rPr>
              <w:t>3</w:t>
            </w:r>
            <w:r>
              <w:rPr>
                <w:rFonts w:eastAsiaTheme="minorEastAsia"/>
                <w:color w:val="000000" w:themeColor="text1"/>
                <w:kern w:val="0"/>
                <w:sz w:val="28"/>
                <w:szCs w:val="28"/>
              </w:rPr>
              <w:t>）</w:t>
            </w:r>
          </w:p>
        </w:tc>
        <w:tc>
          <w:tcPr>
            <w:tcW w:w="153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12700</w:t>
            </w:r>
          </w:p>
        </w:tc>
        <w:tc>
          <w:tcPr>
            <w:tcW w:w="1617"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12400</w:t>
            </w:r>
          </w:p>
        </w:tc>
        <w:tc>
          <w:tcPr>
            <w:tcW w:w="187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10000</w:t>
            </w:r>
          </w:p>
        </w:tc>
        <w:tc>
          <w:tcPr>
            <w:tcW w:w="1644" w:type="dxa"/>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12300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1810"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消化池数量（座）</w:t>
            </w:r>
          </w:p>
        </w:tc>
        <w:tc>
          <w:tcPr>
            <w:tcW w:w="153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2</w:t>
            </w:r>
          </w:p>
        </w:tc>
        <w:tc>
          <w:tcPr>
            <w:tcW w:w="1617"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8</w:t>
            </w:r>
          </w:p>
        </w:tc>
        <w:tc>
          <w:tcPr>
            <w:tcW w:w="187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4</w:t>
            </w:r>
          </w:p>
        </w:tc>
        <w:tc>
          <w:tcPr>
            <w:tcW w:w="1644" w:type="dxa"/>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1810"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一级消化SRT（d）</w:t>
            </w:r>
          </w:p>
        </w:tc>
        <w:tc>
          <w:tcPr>
            <w:tcW w:w="153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20</w:t>
            </w:r>
          </w:p>
        </w:tc>
        <w:tc>
          <w:tcPr>
            <w:tcW w:w="1617"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24.3</w:t>
            </w:r>
          </w:p>
        </w:tc>
        <w:tc>
          <w:tcPr>
            <w:tcW w:w="187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18</w:t>
            </w:r>
          </w:p>
        </w:tc>
        <w:tc>
          <w:tcPr>
            <w:tcW w:w="1644" w:type="dxa"/>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1810"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二级消化SRT（d）</w:t>
            </w:r>
          </w:p>
        </w:tc>
        <w:tc>
          <w:tcPr>
            <w:tcW w:w="153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w:t>
            </w:r>
          </w:p>
        </w:tc>
        <w:tc>
          <w:tcPr>
            <w:tcW w:w="1617"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w:t>
            </w:r>
          </w:p>
        </w:tc>
        <w:tc>
          <w:tcPr>
            <w:tcW w:w="187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6</w:t>
            </w:r>
          </w:p>
        </w:tc>
        <w:tc>
          <w:tcPr>
            <w:tcW w:w="1644" w:type="dxa"/>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1810"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进泥含固率（%）</w:t>
            </w:r>
          </w:p>
        </w:tc>
        <w:tc>
          <w:tcPr>
            <w:tcW w:w="153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3.8-4</w:t>
            </w:r>
          </w:p>
        </w:tc>
        <w:tc>
          <w:tcPr>
            <w:tcW w:w="1617"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5</w:t>
            </w:r>
          </w:p>
        </w:tc>
        <w:tc>
          <w:tcPr>
            <w:tcW w:w="187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5</w:t>
            </w:r>
          </w:p>
        </w:tc>
        <w:tc>
          <w:tcPr>
            <w:tcW w:w="1644" w:type="dxa"/>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3.2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1810"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消化温度（</w:t>
            </w:r>
            <w:r>
              <w:rPr>
                <w:rFonts w:eastAsia="宋体"/>
                <w:color w:val="000000" w:themeColor="text1"/>
                <w:sz w:val="28"/>
                <w:szCs w:val="28"/>
              </w:rPr>
              <w:t>°C</w:t>
            </w:r>
            <w:r>
              <w:rPr>
                <w:rFonts w:eastAsiaTheme="minorEastAsia"/>
                <w:color w:val="000000" w:themeColor="text1"/>
                <w:kern w:val="0"/>
                <w:sz w:val="28"/>
                <w:szCs w:val="28"/>
              </w:rPr>
              <w:t>）</w:t>
            </w:r>
          </w:p>
        </w:tc>
        <w:tc>
          <w:tcPr>
            <w:tcW w:w="153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35</w:t>
            </w:r>
          </w:p>
        </w:tc>
        <w:tc>
          <w:tcPr>
            <w:tcW w:w="1617"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35</w:t>
            </w:r>
          </w:p>
        </w:tc>
        <w:tc>
          <w:tcPr>
            <w:tcW w:w="187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35</w:t>
            </w:r>
          </w:p>
        </w:tc>
        <w:tc>
          <w:tcPr>
            <w:tcW w:w="1644" w:type="dxa"/>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1810"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污泥气日产量</w:t>
            </w:r>
          </w:p>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（万m</w:t>
            </w:r>
            <w:r>
              <w:rPr>
                <w:rFonts w:eastAsiaTheme="minorEastAsia"/>
                <w:color w:val="000000" w:themeColor="text1"/>
                <w:kern w:val="0"/>
                <w:sz w:val="28"/>
                <w:szCs w:val="28"/>
                <w:vertAlign w:val="superscript"/>
              </w:rPr>
              <w:t>3</w:t>
            </w:r>
            <w:r>
              <w:rPr>
                <w:rFonts w:eastAsiaTheme="minorEastAsia"/>
                <w:color w:val="000000" w:themeColor="text1"/>
                <w:kern w:val="0"/>
                <w:sz w:val="28"/>
                <w:szCs w:val="28"/>
              </w:rPr>
              <w:t>）</w:t>
            </w:r>
          </w:p>
        </w:tc>
        <w:tc>
          <w:tcPr>
            <w:tcW w:w="153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1.44</w:t>
            </w:r>
          </w:p>
        </w:tc>
        <w:tc>
          <w:tcPr>
            <w:tcW w:w="1617"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4.45</w:t>
            </w:r>
          </w:p>
        </w:tc>
        <w:tc>
          <w:tcPr>
            <w:tcW w:w="187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2</w:t>
            </w:r>
          </w:p>
        </w:tc>
        <w:tc>
          <w:tcPr>
            <w:tcW w:w="1644" w:type="dxa"/>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1810"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容积污泥气产率</w:t>
            </w:r>
          </w:p>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（m</w:t>
            </w:r>
            <w:r>
              <w:rPr>
                <w:rFonts w:eastAsiaTheme="minorEastAsia"/>
                <w:color w:val="000000" w:themeColor="text1"/>
                <w:kern w:val="0"/>
                <w:sz w:val="28"/>
                <w:szCs w:val="28"/>
                <w:vertAlign w:val="superscript"/>
              </w:rPr>
              <w:t>3</w:t>
            </w:r>
            <w:r>
              <w:rPr>
                <w:rFonts w:eastAsiaTheme="minorEastAsia"/>
                <w:color w:val="000000" w:themeColor="text1"/>
                <w:kern w:val="0"/>
                <w:sz w:val="28"/>
                <w:szCs w:val="28"/>
              </w:rPr>
              <w:t>/m</w:t>
            </w:r>
            <w:r>
              <w:rPr>
                <w:rFonts w:eastAsiaTheme="minorEastAsia"/>
                <w:color w:val="000000" w:themeColor="text1"/>
                <w:kern w:val="0"/>
                <w:sz w:val="28"/>
                <w:szCs w:val="28"/>
                <w:vertAlign w:val="superscript"/>
              </w:rPr>
              <w:t>3</w:t>
            </w:r>
            <w:r>
              <w:rPr>
                <w:rFonts w:eastAsiaTheme="minorEastAsia"/>
                <w:color w:val="000000" w:themeColor="text1"/>
                <w:kern w:val="0"/>
                <w:sz w:val="28"/>
                <w:szCs w:val="28"/>
              </w:rPr>
              <w:t>）</w:t>
            </w:r>
          </w:p>
        </w:tc>
        <w:tc>
          <w:tcPr>
            <w:tcW w:w="153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0.59</w:t>
            </w:r>
          </w:p>
        </w:tc>
        <w:tc>
          <w:tcPr>
            <w:tcW w:w="1617"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0.45</w:t>
            </w:r>
          </w:p>
        </w:tc>
        <w:tc>
          <w:tcPr>
            <w:tcW w:w="187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0.5</w:t>
            </w:r>
          </w:p>
        </w:tc>
        <w:tc>
          <w:tcPr>
            <w:tcW w:w="1644" w:type="dxa"/>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0.49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1810"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搅拌强度（W/m</w:t>
            </w:r>
            <w:r>
              <w:rPr>
                <w:rFonts w:eastAsiaTheme="minorEastAsia"/>
                <w:color w:val="000000" w:themeColor="text1"/>
                <w:kern w:val="0"/>
                <w:sz w:val="28"/>
                <w:szCs w:val="28"/>
                <w:vertAlign w:val="superscript"/>
              </w:rPr>
              <w:t>3</w:t>
            </w:r>
            <w:r>
              <w:rPr>
                <w:rFonts w:eastAsiaTheme="minorEastAsia"/>
                <w:color w:val="000000" w:themeColor="text1"/>
                <w:kern w:val="0"/>
                <w:sz w:val="28"/>
                <w:szCs w:val="28"/>
              </w:rPr>
              <w:t>）</w:t>
            </w:r>
          </w:p>
        </w:tc>
        <w:tc>
          <w:tcPr>
            <w:tcW w:w="153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0.9</w:t>
            </w:r>
          </w:p>
        </w:tc>
        <w:tc>
          <w:tcPr>
            <w:tcW w:w="1617"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4.7</w:t>
            </w:r>
          </w:p>
        </w:tc>
        <w:tc>
          <w:tcPr>
            <w:tcW w:w="1871" w:type="dxa"/>
            <w:tcMar>
              <w:top w:w="0" w:type="dxa"/>
              <w:left w:w="108" w:type="dxa"/>
              <w:bottom w:w="0" w:type="dxa"/>
              <w:right w:w="108" w:type="dxa"/>
            </w:tcMar>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w:t>
            </w:r>
          </w:p>
        </w:tc>
        <w:tc>
          <w:tcPr>
            <w:tcW w:w="1644" w:type="dxa"/>
            <w:vAlign w:val="center"/>
          </w:tcPr>
          <w:p>
            <w:pPr>
              <w:widowControl/>
              <w:wordWrap w:val="0"/>
              <w:jc w:val="center"/>
              <w:rPr>
                <w:rFonts w:eastAsiaTheme="minorEastAsia"/>
                <w:color w:val="000000" w:themeColor="text1"/>
                <w:kern w:val="0"/>
                <w:sz w:val="28"/>
                <w:szCs w:val="28"/>
              </w:rPr>
            </w:pPr>
            <w:r>
              <w:rPr>
                <w:rFonts w:eastAsiaTheme="minorEastAsia"/>
                <w:color w:val="000000" w:themeColor="text1"/>
                <w:kern w:val="0"/>
                <w:sz w:val="28"/>
                <w:szCs w:val="28"/>
              </w:rPr>
              <w:t>3</w:t>
            </w:r>
          </w:p>
        </w:tc>
      </w:tr>
    </w:tbl>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高含固</w:t>
      </w:r>
      <w:r>
        <w:rPr>
          <w:rFonts w:hint="eastAsia" w:ascii="Times New Roman" w:hAnsi="Times New Roman" w:eastAsiaTheme="minorEastAsia"/>
          <w:color w:val="000000" w:themeColor="text1"/>
          <w:sz w:val="28"/>
          <w:szCs w:val="28"/>
        </w:rPr>
        <w:t>浓度</w:t>
      </w:r>
      <w:r>
        <w:rPr>
          <w:rFonts w:ascii="Times New Roman" w:hAnsi="Times New Roman" w:eastAsiaTheme="minorEastAsia"/>
          <w:color w:val="000000" w:themeColor="text1"/>
          <w:sz w:val="28"/>
          <w:szCs w:val="28"/>
        </w:rPr>
        <w:t>厌氧消化池的设计，宜符合下列规定：</w:t>
      </w:r>
    </w:p>
    <w:p>
      <w:pPr>
        <w:pStyle w:val="30"/>
        <w:wordWrap w:val="0"/>
        <w:spacing w:line="360" w:lineRule="auto"/>
        <w:ind w:firstLine="427" w:firstLineChars="15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消化池温度</w:t>
      </w:r>
      <w:r>
        <w:rPr>
          <w:rFonts w:hint="eastAsia" w:ascii="Times New Roman" w:hAnsi="Times New Roman" w:eastAsiaTheme="minorEastAsia"/>
          <w:color w:val="000000" w:themeColor="text1"/>
          <w:sz w:val="28"/>
          <w:szCs w:val="28"/>
        </w:rPr>
        <w:t>宜为</w:t>
      </w:r>
      <w:r>
        <w:rPr>
          <w:rFonts w:ascii="Times New Roman" w:hAnsi="Times New Roman" w:eastAsiaTheme="minorEastAsia"/>
          <w:color w:val="000000" w:themeColor="text1"/>
          <w:sz w:val="28"/>
          <w:szCs w:val="28"/>
        </w:rPr>
        <w:t>33°C~38°C；</w:t>
      </w:r>
    </w:p>
    <w:p>
      <w:pPr>
        <w:pStyle w:val="30"/>
        <w:wordWrap w:val="0"/>
        <w:spacing w:line="360" w:lineRule="auto"/>
        <w:ind w:firstLine="427" w:firstLineChars="15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 xml:space="preserve"> 污泥含水率</w:t>
      </w:r>
      <w:r>
        <w:rPr>
          <w:rFonts w:hint="eastAsia" w:ascii="Times New Roman" w:hAnsi="Times New Roman" w:eastAsiaTheme="minorEastAsia"/>
          <w:color w:val="000000" w:themeColor="text1"/>
          <w:sz w:val="28"/>
          <w:szCs w:val="28"/>
        </w:rPr>
        <w:t>宜为</w:t>
      </w:r>
      <w:r>
        <w:rPr>
          <w:rFonts w:ascii="Times New Roman" w:hAnsi="Times New Roman" w:eastAsiaTheme="minorEastAsia"/>
          <w:color w:val="000000" w:themeColor="text1"/>
          <w:sz w:val="28"/>
          <w:szCs w:val="28"/>
        </w:rPr>
        <w:t>90%~92%；</w:t>
      </w:r>
    </w:p>
    <w:p>
      <w:pPr>
        <w:pStyle w:val="30"/>
        <w:wordWrap w:val="0"/>
        <w:spacing w:line="360" w:lineRule="auto"/>
        <w:ind w:firstLine="427" w:firstLineChars="15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3</w:t>
      </w:r>
      <w:r>
        <w:rPr>
          <w:rFonts w:ascii="Times New Roman" w:hAnsi="Times New Roman" w:eastAsiaTheme="minorEastAsia"/>
          <w:color w:val="000000" w:themeColor="text1"/>
          <w:sz w:val="28"/>
          <w:szCs w:val="28"/>
        </w:rPr>
        <w:t xml:space="preserve"> 消化时间宜为20d~30d；</w:t>
      </w:r>
    </w:p>
    <w:p>
      <w:pPr>
        <w:pStyle w:val="30"/>
        <w:wordWrap w:val="0"/>
        <w:spacing w:line="360" w:lineRule="auto"/>
        <w:ind w:firstLine="427" w:firstLineChars="15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4</w:t>
      </w:r>
      <w:r>
        <w:rPr>
          <w:rFonts w:ascii="Times New Roman" w:hAnsi="Times New Roman" w:eastAsiaTheme="minorEastAsia"/>
          <w:color w:val="000000" w:themeColor="text1"/>
          <w:sz w:val="28"/>
          <w:szCs w:val="28"/>
        </w:rPr>
        <w:t>挥发性固体容积负荷取值</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为1.6kgVSS/(m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·d)~3.5kgVSS/(m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【条文说明】相比于传统厌氧消化，高含固</w:t>
      </w:r>
      <w:r>
        <w:rPr>
          <w:rFonts w:hint="eastAsia" w:eastAsiaTheme="minorEastAsia"/>
          <w:color w:val="000000" w:themeColor="text1"/>
          <w:sz w:val="28"/>
          <w:szCs w:val="28"/>
        </w:rPr>
        <w:t>浓度</w:t>
      </w:r>
      <w:r>
        <w:rPr>
          <w:rFonts w:eastAsiaTheme="minorEastAsia"/>
          <w:color w:val="000000" w:themeColor="text1"/>
          <w:sz w:val="28"/>
          <w:szCs w:val="28"/>
        </w:rPr>
        <w:t>厌氧消化显著的特点是进料含固率较高，一般在8%~10%，高含固</w:t>
      </w:r>
      <w:r>
        <w:rPr>
          <w:rFonts w:hint="eastAsia" w:eastAsiaTheme="minorEastAsia"/>
          <w:color w:val="000000" w:themeColor="text1"/>
          <w:sz w:val="28"/>
          <w:szCs w:val="28"/>
        </w:rPr>
        <w:t>浓度</w:t>
      </w:r>
      <w:r>
        <w:rPr>
          <w:rFonts w:eastAsiaTheme="minorEastAsia"/>
          <w:color w:val="000000" w:themeColor="text1"/>
          <w:sz w:val="28"/>
          <w:szCs w:val="28"/>
        </w:rPr>
        <w:t>厌氧消化主要的优势就是所需反应器容积减小、能量需求降低等。</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我国已相继建成了郑州马头岗、大连夏家河、湖南长沙、浙江宁海县城北和湖南襄阳等几个污泥厌氧消化处理设施，为我国高含固</w:t>
      </w:r>
      <w:r>
        <w:rPr>
          <w:rFonts w:hint="eastAsia" w:eastAsiaTheme="minorEastAsia"/>
          <w:color w:val="000000" w:themeColor="text1"/>
          <w:sz w:val="28"/>
          <w:szCs w:val="28"/>
        </w:rPr>
        <w:t>浓度</w:t>
      </w:r>
      <w:r>
        <w:rPr>
          <w:rFonts w:eastAsiaTheme="minorEastAsia"/>
          <w:color w:val="000000" w:themeColor="text1"/>
          <w:sz w:val="28"/>
          <w:szCs w:val="28"/>
        </w:rPr>
        <w:t>厌氧消化的应用提供了实践基础。</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表3</w:t>
      </w:r>
      <w:r>
        <w:rPr>
          <w:rFonts w:hint="eastAsia" w:eastAsiaTheme="minorEastAsia"/>
          <w:b/>
          <w:color w:val="000000" w:themeColor="text1"/>
          <w:sz w:val="28"/>
          <w:szCs w:val="28"/>
        </w:rPr>
        <w:t>2</w:t>
      </w:r>
      <w:r>
        <w:rPr>
          <w:rFonts w:eastAsiaTheme="minorEastAsia"/>
          <w:b/>
          <w:color w:val="000000" w:themeColor="text1"/>
          <w:sz w:val="28"/>
          <w:szCs w:val="28"/>
        </w:rPr>
        <w:t>我国部分</w:t>
      </w:r>
      <w:r>
        <w:rPr>
          <w:rFonts w:hint="eastAsia" w:eastAsiaTheme="minorEastAsia"/>
          <w:b/>
          <w:color w:val="000000" w:themeColor="text1"/>
          <w:sz w:val="28"/>
          <w:szCs w:val="28"/>
        </w:rPr>
        <w:t>高含固</w:t>
      </w:r>
      <w:r>
        <w:rPr>
          <w:rFonts w:eastAsiaTheme="minorEastAsia"/>
          <w:b/>
          <w:color w:val="000000" w:themeColor="text1"/>
          <w:sz w:val="28"/>
          <w:szCs w:val="28"/>
        </w:rPr>
        <w:t>厌氧消化池主要设计参数</w:t>
      </w:r>
    </w:p>
    <w:tbl>
      <w:tblPr>
        <w:tblStyle w:val="25"/>
        <w:tblW w:w="8430" w:type="dxa"/>
        <w:jc w:val="center"/>
        <w:tblInd w:w="-2631" w:type="dxa"/>
        <w:tblLayout w:type="fixed"/>
        <w:tblCellMar>
          <w:top w:w="0" w:type="dxa"/>
          <w:left w:w="0" w:type="dxa"/>
          <w:bottom w:w="0" w:type="dxa"/>
          <w:right w:w="0" w:type="dxa"/>
        </w:tblCellMar>
      </w:tblPr>
      <w:tblGrid>
        <w:gridCol w:w="3036"/>
        <w:gridCol w:w="2551"/>
        <w:gridCol w:w="2843"/>
      </w:tblGrid>
      <w:tr>
        <w:tblPrEx>
          <w:tblLayout w:type="fixed"/>
          <w:tblCellMar>
            <w:top w:w="0" w:type="dxa"/>
            <w:left w:w="0" w:type="dxa"/>
            <w:bottom w:w="0" w:type="dxa"/>
            <w:right w:w="0" w:type="dxa"/>
          </w:tblCellMar>
        </w:tblPrEx>
        <w:trPr>
          <w:trHeight w:val="454" w:hRule="atLeast"/>
          <w:jc w:val="center"/>
        </w:trPr>
        <w:tc>
          <w:tcPr>
            <w:tcW w:w="303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参数</w:t>
            </w:r>
          </w:p>
        </w:tc>
        <w:tc>
          <w:tcPr>
            <w:tcW w:w="2551" w:type="dxa"/>
            <w:tcBorders>
              <w:top w:val="single" w:color="auto" w:sz="8" w:space="0"/>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hint="eastAsia" w:eastAsia="宋体"/>
                <w:color w:val="000000" w:themeColor="text1"/>
                <w:kern w:val="0"/>
                <w:sz w:val="24"/>
              </w:rPr>
              <w:t>大连夏家河</w:t>
            </w:r>
          </w:p>
        </w:tc>
        <w:tc>
          <w:tcPr>
            <w:tcW w:w="2843" w:type="dxa"/>
            <w:tcBorders>
              <w:top w:val="single" w:color="auto" w:sz="8" w:space="0"/>
              <w:left w:val="nil"/>
              <w:bottom w:val="single" w:color="auto" w:sz="8" w:space="0"/>
              <w:right w:val="single" w:color="auto" w:sz="8" w:space="0"/>
            </w:tcBorders>
          </w:tcPr>
          <w:p>
            <w:pPr>
              <w:widowControl/>
              <w:jc w:val="center"/>
              <w:rPr>
                <w:rFonts w:eastAsia="宋体"/>
                <w:color w:val="000000" w:themeColor="text1"/>
                <w:kern w:val="0"/>
                <w:sz w:val="24"/>
              </w:rPr>
            </w:pPr>
            <w:r>
              <w:rPr>
                <w:rFonts w:hint="eastAsia" w:eastAsia="宋体"/>
                <w:color w:val="000000" w:themeColor="text1"/>
                <w:kern w:val="0"/>
                <w:sz w:val="24"/>
              </w:rPr>
              <w:t>郑州马头岗</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处理量（</w:t>
            </w:r>
            <w:r>
              <w:rPr>
                <w:rFonts w:eastAsia="宋体"/>
                <w:color w:val="000000" w:themeColor="text1"/>
                <w:kern w:val="0"/>
                <w:sz w:val="24"/>
              </w:rPr>
              <w:t>tDS/d</w:t>
            </w:r>
            <w:r>
              <w:rPr>
                <w:rFonts w:hint="eastAsia" w:eastAsia="宋体"/>
                <w:color w:val="000000" w:themeColor="text1"/>
                <w:kern w:val="0"/>
                <w:sz w:val="24"/>
              </w:rPr>
              <w:t>）</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eastAsia="宋体"/>
                <w:color w:val="000000" w:themeColor="text1"/>
                <w:kern w:val="0"/>
                <w:sz w:val="24"/>
              </w:rPr>
              <w:t>120</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eastAsia="宋体"/>
                <w:color w:val="000000" w:themeColor="text1"/>
                <w:kern w:val="0"/>
                <w:sz w:val="24"/>
              </w:rPr>
              <w:t>160</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浓缩方式</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hint="eastAsia" w:eastAsia="宋体"/>
                <w:color w:val="000000" w:themeColor="text1"/>
                <w:kern w:val="0"/>
                <w:sz w:val="24"/>
              </w:rPr>
              <w:t>脱水污泥稀释至含</w:t>
            </w:r>
            <w:r>
              <w:rPr>
                <w:rFonts w:ascii="宋体" w:hAnsi="宋体" w:eastAsia="宋体" w:cs="宋体"/>
                <w:color w:val="000000" w:themeColor="text1"/>
                <w:kern w:val="0"/>
                <w:sz w:val="24"/>
              </w:rPr>
              <w:t>固</w:t>
            </w:r>
            <w:r>
              <w:rPr>
                <w:rFonts w:hint="eastAsia" w:eastAsia="宋体"/>
                <w:color w:val="000000" w:themeColor="text1"/>
                <w:kern w:val="0"/>
                <w:sz w:val="24"/>
              </w:rPr>
              <w:t>率</w:t>
            </w:r>
            <w:r>
              <w:rPr>
                <w:rFonts w:eastAsia="宋体"/>
                <w:color w:val="000000" w:themeColor="text1"/>
                <w:kern w:val="0"/>
                <w:sz w:val="24"/>
              </w:rPr>
              <w:t>10%</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hint="eastAsia" w:eastAsia="宋体"/>
                <w:color w:val="000000" w:themeColor="text1"/>
                <w:kern w:val="0"/>
                <w:sz w:val="24"/>
              </w:rPr>
              <w:t>剩余污泥</w:t>
            </w:r>
            <w:r>
              <w:rPr>
                <w:rFonts w:eastAsia="宋体"/>
                <w:color w:val="000000" w:themeColor="text1"/>
                <w:kern w:val="0"/>
                <w:sz w:val="24"/>
              </w:rPr>
              <w:t>+</w:t>
            </w:r>
            <w:r>
              <w:rPr>
                <w:rFonts w:hint="eastAsia" w:eastAsia="宋体"/>
                <w:color w:val="000000" w:themeColor="text1"/>
                <w:kern w:val="0"/>
                <w:sz w:val="24"/>
              </w:rPr>
              <w:t>化学污泥先重力浓缩至</w:t>
            </w:r>
            <w:r>
              <w:rPr>
                <w:rFonts w:eastAsia="宋体"/>
                <w:color w:val="000000" w:themeColor="text1"/>
                <w:kern w:val="0"/>
                <w:sz w:val="24"/>
              </w:rPr>
              <w:t>98%</w:t>
            </w:r>
            <w:r>
              <w:rPr>
                <w:rFonts w:hint="eastAsia" w:eastAsia="宋体"/>
                <w:color w:val="000000" w:themeColor="text1"/>
                <w:kern w:val="0"/>
                <w:sz w:val="24"/>
              </w:rPr>
              <w:t>后与初沉污泥混合共同机械浓缩至</w:t>
            </w:r>
            <w:r>
              <w:rPr>
                <w:rFonts w:eastAsia="宋体"/>
                <w:color w:val="000000" w:themeColor="text1"/>
                <w:kern w:val="0"/>
                <w:sz w:val="24"/>
              </w:rPr>
              <w:t>90%</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消化池类型</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hint="eastAsia" w:eastAsia="宋体"/>
                <w:color w:val="000000" w:themeColor="text1"/>
                <w:kern w:val="0"/>
                <w:sz w:val="24"/>
              </w:rPr>
              <w:t>消化罐（</w:t>
            </w:r>
            <w:r>
              <w:rPr>
                <w:rFonts w:eastAsia="宋体"/>
                <w:color w:val="000000" w:themeColor="text1"/>
                <w:kern w:val="0"/>
                <w:sz w:val="24"/>
              </w:rPr>
              <w:t>Lipp</w:t>
            </w:r>
            <w:r>
              <w:rPr>
                <w:rFonts w:hint="eastAsia" w:eastAsia="宋体"/>
                <w:color w:val="000000" w:themeColor="text1"/>
                <w:kern w:val="0"/>
                <w:sz w:val="24"/>
              </w:rPr>
              <w:t>罐）</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hint="eastAsia" w:eastAsia="宋体"/>
                <w:color w:val="000000" w:themeColor="text1"/>
                <w:kern w:val="0"/>
                <w:sz w:val="24"/>
              </w:rPr>
              <w:t>消化罐（</w:t>
            </w:r>
            <w:r>
              <w:rPr>
                <w:rFonts w:eastAsia="宋体"/>
                <w:color w:val="000000" w:themeColor="text1"/>
                <w:kern w:val="0"/>
                <w:sz w:val="24"/>
              </w:rPr>
              <w:t>Lipp</w:t>
            </w:r>
            <w:r>
              <w:rPr>
                <w:rFonts w:hint="eastAsia" w:eastAsia="宋体"/>
                <w:color w:val="000000" w:themeColor="text1"/>
                <w:kern w:val="0"/>
                <w:sz w:val="24"/>
              </w:rPr>
              <w:t>罐）</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单池有效容积</w:t>
            </w:r>
          </w:p>
          <w:p>
            <w:pPr>
              <w:widowControl/>
              <w:jc w:val="center"/>
              <w:rPr>
                <w:rFonts w:eastAsia="宋体"/>
                <w:color w:val="000000" w:themeColor="text1"/>
                <w:kern w:val="0"/>
                <w:sz w:val="24"/>
              </w:rPr>
            </w:pPr>
            <w:r>
              <w:rPr>
                <w:rFonts w:hint="eastAsia" w:eastAsia="宋体"/>
                <w:color w:val="000000" w:themeColor="text1"/>
                <w:kern w:val="0"/>
                <w:sz w:val="24"/>
              </w:rPr>
              <w:t>（</w:t>
            </w:r>
            <w:r>
              <w:rPr>
                <w:rFonts w:eastAsia="宋体"/>
                <w:color w:val="000000" w:themeColor="text1"/>
                <w:kern w:val="0"/>
                <w:sz w:val="24"/>
              </w:rPr>
              <w:t>m</w:t>
            </w:r>
            <w:r>
              <w:rPr>
                <w:rFonts w:eastAsia="宋体"/>
                <w:color w:val="000000" w:themeColor="text1"/>
                <w:kern w:val="0"/>
                <w:sz w:val="24"/>
                <w:vertAlign w:val="superscript"/>
              </w:rPr>
              <w:t>3</w:t>
            </w:r>
            <w:r>
              <w:rPr>
                <w:rFonts w:hint="eastAsia" w:eastAsia="宋体"/>
                <w:color w:val="000000" w:themeColor="text1"/>
                <w:kern w:val="0"/>
                <w:sz w:val="24"/>
              </w:rPr>
              <w:t>）</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eastAsia="宋体"/>
                <w:color w:val="000000" w:themeColor="text1"/>
                <w:kern w:val="0"/>
                <w:sz w:val="24"/>
              </w:rPr>
              <w:t>2230</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eastAsia="宋体"/>
                <w:color w:val="000000" w:themeColor="text1"/>
                <w:kern w:val="0"/>
                <w:sz w:val="24"/>
              </w:rPr>
              <w:t>2200</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消化池数量（座）</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eastAsia="宋体"/>
                <w:color w:val="000000" w:themeColor="text1"/>
                <w:kern w:val="0"/>
                <w:sz w:val="24"/>
              </w:rPr>
              <w:t>12</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eastAsia="宋体"/>
                <w:color w:val="000000" w:themeColor="text1"/>
                <w:kern w:val="0"/>
                <w:sz w:val="24"/>
              </w:rPr>
              <w:t>16</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一级消化</w:t>
            </w:r>
            <w:r>
              <w:rPr>
                <w:rFonts w:eastAsia="宋体"/>
                <w:color w:val="000000" w:themeColor="text1"/>
                <w:kern w:val="0"/>
                <w:sz w:val="24"/>
              </w:rPr>
              <w:t>SRT</w:t>
            </w:r>
            <w:r>
              <w:rPr>
                <w:rFonts w:hint="eastAsia" w:eastAsia="宋体"/>
                <w:color w:val="000000" w:themeColor="text1"/>
                <w:kern w:val="0"/>
                <w:sz w:val="24"/>
              </w:rPr>
              <w:t>（</w:t>
            </w:r>
            <w:r>
              <w:rPr>
                <w:rFonts w:eastAsia="宋体"/>
                <w:color w:val="000000" w:themeColor="text1"/>
                <w:kern w:val="0"/>
                <w:sz w:val="24"/>
              </w:rPr>
              <w:t>d</w:t>
            </w:r>
            <w:r>
              <w:rPr>
                <w:rFonts w:hint="eastAsia" w:eastAsia="宋体"/>
                <w:color w:val="000000" w:themeColor="text1"/>
                <w:kern w:val="0"/>
                <w:sz w:val="24"/>
              </w:rPr>
              <w:t>）</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eastAsia="宋体"/>
                <w:color w:val="000000" w:themeColor="text1"/>
                <w:kern w:val="0"/>
                <w:sz w:val="24"/>
              </w:rPr>
              <w:t>22</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eastAsia="宋体"/>
                <w:color w:val="000000" w:themeColor="text1"/>
                <w:kern w:val="0"/>
                <w:sz w:val="24"/>
              </w:rPr>
              <w:t>22</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二级消化</w:t>
            </w:r>
            <w:r>
              <w:rPr>
                <w:rFonts w:eastAsia="宋体"/>
                <w:color w:val="000000" w:themeColor="text1"/>
                <w:kern w:val="0"/>
                <w:sz w:val="24"/>
              </w:rPr>
              <w:t>SRT</w:t>
            </w:r>
            <w:r>
              <w:rPr>
                <w:rFonts w:hint="eastAsia" w:eastAsia="宋体"/>
                <w:color w:val="000000" w:themeColor="text1"/>
                <w:kern w:val="0"/>
                <w:sz w:val="24"/>
              </w:rPr>
              <w:t>（</w:t>
            </w:r>
            <w:r>
              <w:rPr>
                <w:rFonts w:eastAsia="宋体"/>
                <w:color w:val="000000" w:themeColor="text1"/>
                <w:kern w:val="0"/>
                <w:sz w:val="24"/>
              </w:rPr>
              <w:t>d</w:t>
            </w:r>
            <w:r>
              <w:rPr>
                <w:rFonts w:hint="eastAsia" w:eastAsia="宋体"/>
                <w:color w:val="000000" w:themeColor="text1"/>
                <w:kern w:val="0"/>
                <w:sz w:val="24"/>
              </w:rPr>
              <w:t>）</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hint="eastAsia" w:eastAsia="宋体"/>
                <w:color w:val="000000" w:themeColor="text1"/>
                <w:kern w:val="0"/>
                <w:sz w:val="24"/>
              </w:rPr>
              <w:t>——</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hint="eastAsia" w:eastAsia="宋体"/>
                <w:color w:val="000000" w:themeColor="text1"/>
                <w:kern w:val="0"/>
                <w:sz w:val="24"/>
              </w:rPr>
              <w:t>——</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进泥含固率（</w:t>
            </w:r>
            <w:r>
              <w:rPr>
                <w:rFonts w:eastAsia="宋体"/>
                <w:color w:val="000000" w:themeColor="text1"/>
                <w:kern w:val="0"/>
                <w:sz w:val="24"/>
              </w:rPr>
              <w:t>%</w:t>
            </w:r>
            <w:r>
              <w:rPr>
                <w:rFonts w:hint="eastAsia" w:eastAsia="宋体"/>
                <w:color w:val="000000" w:themeColor="text1"/>
                <w:kern w:val="0"/>
                <w:sz w:val="24"/>
              </w:rPr>
              <w:t>）</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eastAsia="宋体"/>
                <w:color w:val="000000" w:themeColor="text1"/>
                <w:kern w:val="0"/>
                <w:sz w:val="24"/>
              </w:rPr>
              <w:t>10%</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eastAsia="宋体"/>
                <w:color w:val="000000" w:themeColor="text1"/>
                <w:kern w:val="0"/>
                <w:sz w:val="24"/>
              </w:rPr>
              <w:t>10%</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投配率（</w:t>
            </w:r>
            <w:r>
              <w:rPr>
                <w:rFonts w:eastAsia="宋体"/>
                <w:color w:val="000000" w:themeColor="text1"/>
                <w:kern w:val="0"/>
                <w:sz w:val="24"/>
              </w:rPr>
              <w:t>%</w:t>
            </w:r>
            <w:r>
              <w:rPr>
                <w:rFonts w:hint="eastAsia" w:eastAsia="宋体"/>
                <w:color w:val="000000" w:themeColor="text1"/>
                <w:kern w:val="0"/>
                <w:sz w:val="24"/>
              </w:rPr>
              <w:t>）</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eastAsia="宋体"/>
                <w:color w:val="000000" w:themeColor="text1"/>
                <w:kern w:val="0"/>
                <w:sz w:val="24"/>
              </w:rPr>
              <w:t>4.5</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eastAsia="宋体"/>
                <w:color w:val="000000" w:themeColor="text1"/>
                <w:kern w:val="0"/>
                <w:sz w:val="24"/>
              </w:rPr>
              <w:t>4.5</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消化温度（</w:t>
            </w:r>
            <w:r>
              <w:rPr>
                <w:rFonts w:hint="eastAsia" w:ascii="宋体" w:hAnsi="宋体" w:eastAsia="宋体" w:cs="宋体"/>
                <w:color w:val="000000" w:themeColor="text1"/>
                <w:kern w:val="0"/>
                <w:sz w:val="24"/>
              </w:rPr>
              <w:t>℃</w:t>
            </w:r>
            <w:r>
              <w:rPr>
                <w:rFonts w:hint="eastAsia" w:eastAsia="宋体"/>
                <w:color w:val="000000" w:themeColor="text1"/>
                <w:kern w:val="0"/>
                <w:sz w:val="24"/>
              </w:rPr>
              <w:t>）</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eastAsia="宋体"/>
                <w:color w:val="000000" w:themeColor="text1"/>
                <w:kern w:val="0"/>
                <w:sz w:val="24"/>
              </w:rPr>
              <w:t>35</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eastAsia="宋体"/>
                <w:color w:val="000000" w:themeColor="text1"/>
                <w:kern w:val="0"/>
                <w:sz w:val="24"/>
              </w:rPr>
              <w:t>35-37</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挥发性固体容积负荷</w:t>
            </w:r>
            <w:r>
              <w:rPr>
                <w:rFonts w:eastAsia="宋体"/>
                <w:color w:val="000000" w:themeColor="text1"/>
                <w:kern w:val="0"/>
                <w:sz w:val="24"/>
              </w:rPr>
              <w:t>[kgVSS/(m</w:t>
            </w:r>
            <w:r>
              <w:rPr>
                <w:rFonts w:eastAsia="宋体"/>
                <w:color w:val="000000" w:themeColor="text1"/>
                <w:kern w:val="0"/>
                <w:sz w:val="24"/>
                <w:vertAlign w:val="superscript"/>
              </w:rPr>
              <w:t>3</w:t>
            </w:r>
            <w:r>
              <w:rPr>
                <w:rFonts w:eastAsia="宋体"/>
                <w:color w:val="000000" w:themeColor="text1"/>
                <w:kern w:val="0"/>
                <w:sz w:val="24"/>
              </w:rPr>
              <w:t>·d)]</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eastAsia="宋体"/>
                <w:color w:val="000000" w:themeColor="text1"/>
                <w:kern w:val="0"/>
                <w:sz w:val="24"/>
              </w:rPr>
              <w:t>2.47</w:t>
            </w:r>
            <w:r>
              <w:rPr>
                <w:rFonts w:hint="eastAsia" w:eastAsia="宋体"/>
                <w:color w:val="000000" w:themeColor="text1"/>
                <w:kern w:val="0"/>
                <w:sz w:val="24"/>
              </w:rPr>
              <w:t>（</w:t>
            </w:r>
            <w:r>
              <w:rPr>
                <w:rFonts w:eastAsia="宋体"/>
                <w:color w:val="000000" w:themeColor="text1"/>
                <w:kern w:val="0"/>
                <w:sz w:val="24"/>
              </w:rPr>
              <w:t>VS/TS</w:t>
            </w:r>
            <w:r>
              <w:rPr>
                <w:rFonts w:hint="eastAsia" w:eastAsia="宋体"/>
                <w:color w:val="000000" w:themeColor="text1"/>
                <w:kern w:val="0"/>
                <w:sz w:val="24"/>
              </w:rPr>
              <w:t>按照</w:t>
            </w:r>
            <w:r>
              <w:rPr>
                <w:rFonts w:eastAsia="宋体"/>
                <w:color w:val="000000" w:themeColor="text1"/>
                <w:kern w:val="0"/>
                <w:sz w:val="24"/>
              </w:rPr>
              <w:t>0.55</w:t>
            </w:r>
            <w:r>
              <w:rPr>
                <w:rFonts w:hint="eastAsia" w:eastAsia="宋体"/>
                <w:color w:val="000000" w:themeColor="text1"/>
                <w:kern w:val="0"/>
                <w:sz w:val="24"/>
              </w:rPr>
              <w:t>计算）</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eastAsia="宋体"/>
                <w:color w:val="000000" w:themeColor="text1"/>
                <w:kern w:val="0"/>
                <w:sz w:val="24"/>
              </w:rPr>
              <w:t>2.47</w:t>
            </w:r>
          </w:p>
          <w:p>
            <w:pPr>
              <w:widowControl/>
              <w:jc w:val="center"/>
              <w:rPr>
                <w:rFonts w:eastAsia="宋体"/>
                <w:color w:val="000000" w:themeColor="text1"/>
                <w:kern w:val="0"/>
                <w:sz w:val="24"/>
              </w:rPr>
            </w:pPr>
            <w:r>
              <w:rPr>
                <w:rFonts w:hint="eastAsia" w:eastAsia="宋体"/>
                <w:color w:val="000000" w:themeColor="text1"/>
                <w:kern w:val="0"/>
                <w:sz w:val="24"/>
              </w:rPr>
              <w:t>（</w:t>
            </w:r>
            <w:r>
              <w:rPr>
                <w:rFonts w:eastAsia="宋体"/>
                <w:color w:val="000000" w:themeColor="text1"/>
                <w:kern w:val="0"/>
                <w:sz w:val="24"/>
              </w:rPr>
              <w:t>VS/TS</w:t>
            </w:r>
            <w:r>
              <w:rPr>
                <w:rFonts w:hint="eastAsia" w:eastAsia="宋体"/>
                <w:color w:val="000000" w:themeColor="text1"/>
                <w:kern w:val="0"/>
                <w:sz w:val="24"/>
              </w:rPr>
              <w:t>按照</w:t>
            </w:r>
            <w:r>
              <w:rPr>
                <w:rFonts w:eastAsia="宋体"/>
                <w:color w:val="000000" w:themeColor="text1"/>
                <w:kern w:val="0"/>
                <w:sz w:val="24"/>
              </w:rPr>
              <w:t>0.55</w:t>
            </w:r>
            <w:r>
              <w:rPr>
                <w:rFonts w:hint="eastAsia" w:eastAsia="宋体"/>
                <w:color w:val="000000" w:themeColor="text1"/>
                <w:kern w:val="0"/>
                <w:sz w:val="24"/>
              </w:rPr>
              <w:t>计算）</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污泥气日产量</w:t>
            </w:r>
          </w:p>
          <w:p>
            <w:pPr>
              <w:widowControl/>
              <w:jc w:val="center"/>
              <w:rPr>
                <w:rFonts w:eastAsia="宋体"/>
                <w:color w:val="000000" w:themeColor="text1"/>
                <w:kern w:val="0"/>
                <w:sz w:val="24"/>
              </w:rPr>
            </w:pPr>
            <w:r>
              <w:rPr>
                <w:rFonts w:hint="eastAsia" w:eastAsia="宋体"/>
                <w:color w:val="000000" w:themeColor="text1"/>
                <w:kern w:val="0"/>
                <w:sz w:val="24"/>
              </w:rPr>
              <w:t>（万</w:t>
            </w:r>
            <w:r>
              <w:rPr>
                <w:rFonts w:eastAsia="宋体"/>
                <w:color w:val="000000" w:themeColor="text1"/>
                <w:kern w:val="0"/>
                <w:sz w:val="24"/>
              </w:rPr>
              <w:t>m</w:t>
            </w:r>
            <w:r>
              <w:rPr>
                <w:rFonts w:eastAsia="宋体"/>
                <w:color w:val="000000" w:themeColor="text1"/>
                <w:kern w:val="0"/>
                <w:sz w:val="24"/>
                <w:vertAlign w:val="superscript"/>
              </w:rPr>
              <w:t>3</w:t>
            </w:r>
            <w:r>
              <w:rPr>
                <w:rFonts w:hint="eastAsia" w:eastAsia="宋体"/>
                <w:color w:val="000000" w:themeColor="text1"/>
                <w:kern w:val="0"/>
                <w:sz w:val="24"/>
              </w:rPr>
              <w:t>）</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eastAsia="宋体"/>
                <w:color w:val="000000" w:themeColor="text1"/>
                <w:kern w:val="0"/>
                <w:sz w:val="24"/>
              </w:rPr>
              <w:t>2.76</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eastAsia="宋体"/>
                <w:color w:val="000000" w:themeColor="text1"/>
                <w:kern w:val="0"/>
                <w:sz w:val="24"/>
              </w:rPr>
              <w:t>3</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容积污泥气产率</w:t>
            </w:r>
          </w:p>
          <w:p>
            <w:pPr>
              <w:widowControl/>
              <w:jc w:val="center"/>
              <w:rPr>
                <w:rFonts w:eastAsia="宋体"/>
                <w:color w:val="000000" w:themeColor="text1"/>
                <w:kern w:val="0"/>
                <w:sz w:val="24"/>
              </w:rPr>
            </w:pPr>
            <w:r>
              <w:rPr>
                <w:rFonts w:hint="eastAsia" w:eastAsia="宋体"/>
                <w:color w:val="000000" w:themeColor="text1"/>
                <w:kern w:val="0"/>
                <w:sz w:val="24"/>
              </w:rPr>
              <w:t>（</w:t>
            </w:r>
            <w:r>
              <w:rPr>
                <w:rFonts w:eastAsia="宋体"/>
                <w:color w:val="000000" w:themeColor="text1"/>
                <w:kern w:val="0"/>
                <w:sz w:val="24"/>
              </w:rPr>
              <w:t>m</w:t>
            </w:r>
            <w:r>
              <w:rPr>
                <w:rFonts w:eastAsia="宋体"/>
                <w:color w:val="000000" w:themeColor="text1"/>
                <w:kern w:val="0"/>
                <w:sz w:val="24"/>
                <w:vertAlign w:val="superscript"/>
              </w:rPr>
              <w:t>3</w:t>
            </w:r>
            <w:r>
              <w:rPr>
                <w:rFonts w:eastAsia="宋体"/>
                <w:color w:val="000000" w:themeColor="text1"/>
                <w:kern w:val="0"/>
                <w:sz w:val="24"/>
              </w:rPr>
              <w:t>/m</w:t>
            </w:r>
            <w:r>
              <w:rPr>
                <w:rFonts w:eastAsia="宋体"/>
                <w:color w:val="000000" w:themeColor="text1"/>
                <w:kern w:val="0"/>
                <w:sz w:val="24"/>
                <w:vertAlign w:val="superscript"/>
              </w:rPr>
              <w:t>3</w:t>
            </w:r>
            <w:r>
              <w:rPr>
                <w:rFonts w:hint="eastAsia" w:eastAsia="宋体"/>
                <w:color w:val="000000" w:themeColor="text1"/>
                <w:kern w:val="0"/>
                <w:sz w:val="24"/>
              </w:rPr>
              <w:t>）</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eastAsia="宋体"/>
                <w:color w:val="000000" w:themeColor="text1"/>
                <w:kern w:val="0"/>
                <w:sz w:val="24"/>
              </w:rPr>
              <w:t>1.03</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eastAsia="宋体"/>
                <w:color w:val="000000" w:themeColor="text1"/>
                <w:kern w:val="0"/>
                <w:sz w:val="24"/>
              </w:rPr>
              <w:t>0.84</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搅拌方式</w:t>
            </w:r>
          </w:p>
        </w:tc>
        <w:tc>
          <w:tcPr>
            <w:tcW w:w="2551" w:type="dxa"/>
            <w:tcBorders>
              <w:top w:val="nil"/>
              <w:left w:val="nil"/>
              <w:bottom w:val="single" w:color="auto" w:sz="8" w:space="0"/>
              <w:right w:val="single" w:color="auto" w:sz="8" w:space="0"/>
            </w:tcBorders>
            <w:vAlign w:val="center"/>
          </w:tcPr>
          <w:p>
            <w:pPr>
              <w:widowControl/>
              <w:jc w:val="center"/>
              <w:rPr>
                <w:color w:val="000000" w:themeColor="text1"/>
                <w:kern w:val="0"/>
                <w:sz w:val="28"/>
                <w:szCs w:val="28"/>
              </w:rPr>
            </w:pPr>
            <w:r>
              <w:rPr>
                <w:rFonts w:hint="eastAsia" w:eastAsia="宋体"/>
                <w:color w:val="000000" w:themeColor="text1"/>
                <w:kern w:val="0"/>
                <w:sz w:val="24"/>
              </w:rPr>
              <w:t>机械搅拌</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hint="eastAsia" w:eastAsia="宋体"/>
                <w:color w:val="000000" w:themeColor="text1"/>
                <w:kern w:val="0"/>
                <w:sz w:val="24"/>
              </w:rPr>
              <w:t>搅拌器</w:t>
            </w:r>
            <w:r>
              <w:rPr>
                <w:rFonts w:eastAsia="宋体"/>
                <w:color w:val="000000" w:themeColor="text1"/>
                <w:kern w:val="0"/>
                <w:sz w:val="24"/>
              </w:rPr>
              <w:t>+</w:t>
            </w:r>
            <w:r>
              <w:rPr>
                <w:rFonts w:hint="eastAsia" w:eastAsia="宋体"/>
                <w:color w:val="000000" w:themeColor="text1"/>
                <w:kern w:val="0"/>
                <w:sz w:val="24"/>
              </w:rPr>
              <w:t>循环泵</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机械搅拌强度（</w:t>
            </w:r>
            <w:r>
              <w:rPr>
                <w:rFonts w:eastAsia="宋体"/>
                <w:color w:val="000000" w:themeColor="text1"/>
                <w:kern w:val="0"/>
                <w:sz w:val="24"/>
              </w:rPr>
              <w:t>W/m</w:t>
            </w:r>
            <w:r>
              <w:rPr>
                <w:rFonts w:eastAsia="宋体"/>
                <w:color w:val="000000" w:themeColor="text1"/>
                <w:kern w:val="0"/>
                <w:sz w:val="24"/>
                <w:vertAlign w:val="superscript"/>
              </w:rPr>
              <w:t>3</w:t>
            </w:r>
            <w:r>
              <w:rPr>
                <w:rFonts w:hint="eastAsia" w:eastAsia="宋体"/>
                <w:color w:val="000000" w:themeColor="text1"/>
                <w:kern w:val="0"/>
                <w:sz w:val="24"/>
              </w:rPr>
              <w:t>）</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color w:val="000000" w:themeColor="text1"/>
                <w:kern w:val="0"/>
                <w:sz w:val="28"/>
                <w:szCs w:val="28"/>
              </w:rPr>
              <w:t>19.7</w:t>
            </w:r>
          </w:p>
        </w:tc>
        <w:tc>
          <w:tcPr>
            <w:tcW w:w="2843" w:type="dxa"/>
            <w:tcBorders>
              <w:top w:val="nil"/>
              <w:left w:val="nil"/>
              <w:bottom w:val="single" w:color="auto" w:sz="8" w:space="0"/>
              <w:right w:val="single" w:color="auto" w:sz="8" w:space="0"/>
            </w:tcBorders>
          </w:tcPr>
          <w:p>
            <w:pPr>
              <w:widowControl/>
              <w:jc w:val="center"/>
              <w:rPr>
                <w:color w:val="000000" w:themeColor="text1"/>
                <w:kern w:val="0"/>
                <w:sz w:val="28"/>
                <w:szCs w:val="28"/>
              </w:rPr>
            </w:pPr>
            <w:r>
              <w:rPr>
                <w:color w:val="000000" w:themeColor="text1"/>
                <w:kern w:val="0"/>
                <w:sz w:val="28"/>
                <w:szCs w:val="28"/>
              </w:rPr>
              <w:t>20+8.4</w:t>
            </w:r>
          </w:p>
        </w:tc>
      </w:tr>
      <w:tr>
        <w:tblPrEx>
          <w:tblLayout w:type="fixed"/>
          <w:tblCellMar>
            <w:top w:w="0" w:type="dxa"/>
            <w:left w:w="0" w:type="dxa"/>
            <w:bottom w:w="0" w:type="dxa"/>
            <w:right w:w="0" w:type="dxa"/>
          </w:tblCellMar>
        </w:tblPrEx>
        <w:trPr>
          <w:trHeight w:val="454" w:hRule="atLeast"/>
          <w:jc w:val="center"/>
        </w:trPr>
        <w:tc>
          <w:tcPr>
            <w:tcW w:w="30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eastAsia="宋体"/>
                <w:color w:val="000000" w:themeColor="text1"/>
                <w:kern w:val="0"/>
                <w:sz w:val="24"/>
              </w:rPr>
            </w:pPr>
            <w:r>
              <w:rPr>
                <w:rFonts w:hint="eastAsia" w:eastAsia="宋体"/>
                <w:color w:val="000000" w:themeColor="text1"/>
                <w:kern w:val="0"/>
                <w:sz w:val="24"/>
              </w:rPr>
              <w:t>脱水污泥含水率（</w:t>
            </w:r>
            <w:r>
              <w:rPr>
                <w:rFonts w:eastAsia="宋体"/>
                <w:color w:val="000000" w:themeColor="text1"/>
                <w:kern w:val="0"/>
                <w:sz w:val="24"/>
              </w:rPr>
              <w:t>%</w:t>
            </w:r>
            <w:r>
              <w:rPr>
                <w:rFonts w:hint="eastAsia" w:eastAsia="宋体"/>
                <w:color w:val="000000" w:themeColor="text1"/>
                <w:kern w:val="0"/>
                <w:sz w:val="24"/>
              </w:rPr>
              <w:t>）</w:t>
            </w:r>
          </w:p>
        </w:tc>
        <w:tc>
          <w:tcPr>
            <w:tcW w:w="2551" w:type="dxa"/>
            <w:tcBorders>
              <w:top w:val="nil"/>
              <w:left w:val="nil"/>
              <w:bottom w:val="single" w:color="auto" w:sz="8" w:space="0"/>
              <w:right w:val="single" w:color="auto" w:sz="8" w:space="0"/>
            </w:tcBorders>
            <w:vAlign w:val="center"/>
          </w:tcPr>
          <w:p>
            <w:pPr>
              <w:widowControl/>
              <w:jc w:val="center"/>
              <w:rPr>
                <w:rFonts w:eastAsia="宋体"/>
                <w:color w:val="000000" w:themeColor="text1"/>
                <w:kern w:val="0"/>
                <w:sz w:val="24"/>
              </w:rPr>
            </w:pPr>
            <w:r>
              <w:rPr>
                <w:rFonts w:eastAsia="宋体"/>
                <w:color w:val="000000" w:themeColor="text1"/>
                <w:kern w:val="0"/>
                <w:sz w:val="24"/>
              </w:rPr>
              <w:t>70%~75%</w:t>
            </w:r>
          </w:p>
        </w:tc>
        <w:tc>
          <w:tcPr>
            <w:tcW w:w="2843" w:type="dxa"/>
            <w:tcBorders>
              <w:top w:val="nil"/>
              <w:left w:val="nil"/>
              <w:bottom w:val="single" w:color="auto" w:sz="8" w:space="0"/>
              <w:right w:val="single" w:color="auto" w:sz="8" w:space="0"/>
            </w:tcBorders>
          </w:tcPr>
          <w:p>
            <w:pPr>
              <w:widowControl/>
              <w:jc w:val="center"/>
              <w:rPr>
                <w:rFonts w:eastAsia="宋体"/>
                <w:color w:val="000000" w:themeColor="text1"/>
                <w:kern w:val="0"/>
                <w:sz w:val="24"/>
              </w:rPr>
            </w:pPr>
            <w:r>
              <w:rPr>
                <w:rFonts w:eastAsia="宋体"/>
                <w:color w:val="000000" w:themeColor="text1"/>
                <w:kern w:val="0"/>
                <w:sz w:val="24"/>
              </w:rPr>
              <w:t>80%</w:t>
            </w:r>
          </w:p>
        </w:tc>
      </w:tr>
    </w:tbl>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以热水解（水热）作为消化预处理时，宜符合下列规定：</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 xml:space="preserve"> 热水解反应罐反应时间</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为20min~30min；</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 xml:space="preserve"> 厌氧消化池温度</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为37°C ~42°C；</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 xml:space="preserve">3 </w:t>
      </w:r>
      <w:r>
        <w:rPr>
          <w:rFonts w:ascii="Times New Roman" w:hAnsi="Times New Roman" w:eastAsiaTheme="minorEastAsia"/>
          <w:color w:val="000000" w:themeColor="text1"/>
          <w:sz w:val="28"/>
          <w:szCs w:val="28"/>
        </w:rPr>
        <w:t>污泥含水率</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为88%~92%；</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4</w:t>
      </w:r>
      <w:r>
        <w:rPr>
          <w:rFonts w:ascii="Times New Roman" w:hAnsi="Times New Roman" w:eastAsiaTheme="minorEastAsia"/>
          <w:color w:val="000000" w:themeColor="text1"/>
          <w:sz w:val="28"/>
          <w:szCs w:val="28"/>
        </w:rPr>
        <w:t>消化时间</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为15d~20d；</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5</w:t>
      </w:r>
      <w:r>
        <w:rPr>
          <w:rFonts w:ascii="Times New Roman" w:hAnsi="Times New Roman" w:eastAsiaTheme="minorEastAsia"/>
          <w:color w:val="000000" w:themeColor="text1"/>
          <w:sz w:val="28"/>
          <w:szCs w:val="28"/>
        </w:rPr>
        <w:t xml:space="preserve"> 挥发性固体容积负荷</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为2.8kgVSS/(m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·d)~5kgVSS/(m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w:t>
      </w:r>
      <w:r>
        <w:rPr>
          <w:rFonts w:hint="eastAsia" w:ascii="Times New Roman" w:hAnsi="Times New Roman" w:eastAsiaTheme="minorEastAsia"/>
          <w:color w:val="000000" w:themeColor="text1"/>
          <w:sz w:val="28"/>
          <w:szCs w:val="28"/>
        </w:rPr>
        <w:t>。</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【条文说明】高温热水解技术通过高温高压和泄压闪蒸过程，能够溶解颗粒污泥，水解胞外聚合物</w:t>
      </w:r>
      <w:r>
        <w:rPr>
          <w:rFonts w:hint="eastAsia" w:eastAsiaTheme="minorEastAsia"/>
          <w:color w:val="000000" w:themeColor="text1"/>
          <w:sz w:val="28"/>
          <w:szCs w:val="28"/>
        </w:rPr>
        <w:t>，</w:t>
      </w:r>
      <w:r>
        <w:rPr>
          <w:rFonts w:eastAsiaTheme="minorEastAsia"/>
          <w:color w:val="000000" w:themeColor="text1"/>
          <w:sz w:val="28"/>
          <w:szCs w:val="28"/>
        </w:rPr>
        <w:t>使细胞破壁，提高污泥流动性和可生化性，从而提高水解反应效果，在加快消化反应进程的同时</w:t>
      </w:r>
      <w:r>
        <w:rPr>
          <w:rFonts w:hint="eastAsia" w:eastAsiaTheme="minorEastAsia"/>
          <w:color w:val="000000" w:themeColor="text1"/>
          <w:sz w:val="28"/>
          <w:szCs w:val="28"/>
        </w:rPr>
        <w:t>，</w:t>
      </w:r>
      <w:r>
        <w:rPr>
          <w:rFonts w:eastAsiaTheme="minorEastAsia"/>
          <w:color w:val="000000" w:themeColor="text1"/>
          <w:sz w:val="28"/>
          <w:szCs w:val="28"/>
        </w:rPr>
        <w:t>提高污泥的降解程度和污泥气产量。</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与传统厌氧消化工艺相比，高温热水解技术的优势主要表现为：1）提高消化速率，减少污泥消化时间，污泥浓度可提高约10%以上，减少消化池容积；2）提高可溶性COD含量和污泥气产率；3）污泥流动性增强，提高搅拌效率。</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厌氧消化池污泥温度应保持稳定，宜保持在设计温度±2°C。</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【条文说明】和原标准相比，主要做了以下调整：</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（1）将原污泥加热调整为温度保持。</w:t>
      </w:r>
    </w:p>
    <w:p>
      <w:pPr>
        <w:wordWrap w:val="0"/>
        <w:spacing w:line="360" w:lineRule="auto"/>
        <w:ind w:firstLine="565" w:firstLineChars="202"/>
        <w:rPr>
          <w:rFonts w:eastAsiaTheme="minorEastAsia"/>
          <w:color w:val="000000" w:themeColor="text1"/>
          <w:sz w:val="28"/>
          <w:szCs w:val="28"/>
        </w:rPr>
      </w:pPr>
      <w:r>
        <w:rPr>
          <w:rFonts w:eastAsiaTheme="minorEastAsia"/>
          <w:color w:val="000000" w:themeColor="text1"/>
          <w:sz w:val="28"/>
          <w:szCs w:val="28"/>
        </w:rPr>
        <w:t>（2） 明确中温消化池的温度变化幅度为±2°C，这也是对污泥温度保持系统能力的要求。</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厌氧消化池污泥的加热，可采用池外热交换或蒸汽直接加热，并应符合下列规定：</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厌氧消化池总耗热量应按全年最冷月平均日气温通过热工计算确定，包括原污泥加热量、厌氧消化池散热量（包括地上和地下部分）、投配和循环管道散热量等；</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加热设备应考虑10%~20%的富余能力；</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3</w:t>
      </w:r>
      <w:r>
        <w:rPr>
          <w:rFonts w:ascii="Times New Roman" w:hAnsi="Times New Roman" w:eastAsiaTheme="minorEastAsia"/>
          <w:color w:val="000000" w:themeColor="text1"/>
          <w:sz w:val="28"/>
          <w:szCs w:val="28"/>
        </w:rPr>
        <w:t xml:space="preserve"> 厌氧消化池及污泥投配和循环管道应进行保温。</w:t>
      </w:r>
    </w:p>
    <w:p>
      <w:pPr>
        <w:wordWrap w:val="0"/>
        <w:rPr>
          <w:rFonts w:eastAsiaTheme="minorEastAsia"/>
          <w:color w:val="000000" w:themeColor="text1"/>
          <w:sz w:val="28"/>
          <w:szCs w:val="28"/>
        </w:rPr>
      </w:pPr>
      <w:r>
        <w:rPr>
          <w:rFonts w:eastAsiaTheme="minorEastAsia"/>
          <w:color w:val="000000" w:themeColor="text1"/>
          <w:sz w:val="28"/>
          <w:szCs w:val="28"/>
        </w:rPr>
        <w:t>【条文说明】随着技术的进步，近年来新设计的污泥厌氧消化池，大多采用污泥池外热交换方式加热，有的项目仍沿用了蒸汽直接加热方式。</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厌氧消化池内壁应采取防腐措施。</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【条文说明】厌氧消化污泥和污泥气对混凝土或钢结构存在较大的腐蚀，为延长使用年限，池内壁应进行防腐处理。</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厌氧消化的污泥搅拌宜采用池内机械搅拌或池外循环搅拌，也可采用污泥气搅拌等。每日将全池污泥完全搅拌（循环）的次数不宜少于3次。间歇搅拌时，每次搅拌的时间不宜大于循环周期的一半。</w:t>
      </w:r>
    </w:p>
    <w:p>
      <w:pPr>
        <w:wordWrap w:val="0"/>
        <w:rPr>
          <w:rFonts w:eastAsiaTheme="minorEastAsia"/>
          <w:color w:val="000000" w:themeColor="text1"/>
          <w:sz w:val="28"/>
          <w:szCs w:val="28"/>
        </w:rPr>
      </w:pPr>
      <w:r>
        <w:rPr>
          <w:rFonts w:eastAsiaTheme="minorEastAsia"/>
          <w:color w:val="000000" w:themeColor="text1"/>
          <w:sz w:val="28"/>
          <w:szCs w:val="28"/>
        </w:rPr>
        <w:t>【条文说明】间歇搅拌时，规定每次搅拌的时间不宜大于循环周期的一半（按每日3次考虑，相当于每次搅拌的时间4h以下），主要是考虑设备配置和操作的合理性。如果规定时间太短，设备投资增加太多；如果规定时间太长，接近循环周期时，间歇搅拌就失去了意义。</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厌氧消化池和污泥气贮罐应密封，并</w:t>
      </w:r>
      <w:r>
        <w:rPr>
          <w:rFonts w:hint="eastAsia" w:ascii="Times New Roman" w:hAnsi="Times New Roman" w:eastAsiaTheme="minorEastAsia"/>
          <w:color w:val="000000" w:themeColor="text1"/>
          <w:sz w:val="28"/>
          <w:szCs w:val="28"/>
        </w:rPr>
        <w:t>应</w:t>
      </w:r>
      <w:r>
        <w:rPr>
          <w:rFonts w:ascii="Times New Roman" w:hAnsi="Times New Roman" w:eastAsiaTheme="minorEastAsia"/>
          <w:color w:val="000000" w:themeColor="text1"/>
          <w:sz w:val="28"/>
          <w:szCs w:val="28"/>
        </w:rPr>
        <w:t>能承受污泥气的工作压力，其气密性试验压力不应小于污泥气工作压力的1.5倍。厌氧消化池和污泥气贮罐应有防止池（罐）内产生超压和负压的措施。</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污泥厌氧消化系统在运行时，厌氧消化池和污泥气贮罐是用管道连通的，所以厌氧消化池的工作内压一般与污泥气贮罐的工作压力相同。《给水排水构筑物工程施工及验收规范》GB50141规定，在气密性试验压力为池体工作压力的1.5倍时，24h的气压降不超过试验压力的20%，则应判定气密性试验合格。故本标准规定气密性试验压力不应小于污泥气工作压力的1.5倍。</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为防止超压或负压造成的破坏，厌氧消化池和污泥气贮罐设计时应采取相应的措施（如设超压或负压检测、报警与释放装置，放空、排泥和排水阀应采用双阀等），规定防止超压或负压的操作程序。</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厌氧消化池溢流和表面排渣管出口不得放在室内，并必须有水封装置。厌氧消化池的出气管上，必须设回火防止器。</w:t>
      </w:r>
    </w:p>
    <w:p>
      <w:pPr>
        <w:widowControl/>
        <w:wordWrap w:val="0"/>
        <w:rPr>
          <w:rFonts w:eastAsiaTheme="minorEastAsia"/>
          <w:color w:val="000000" w:themeColor="text1"/>
          <w:sz w:val="28"/>
          <w:szCs w:val="28"/>
        </w:rPr>
      </w:pPr>
      <w:r>
        <w:rPr>
          <w:rFonts w:eastAsiaTheme="minorEastAsia"/>
          <w:color w:val="000000" w:themeColor="text1"/>
          <w:sz w:val="28"/>
          <w:szCs w:val="28"/>
        </w:rPr>
        <w:t>【条文说明】厌氧消化池溢流或表面排渣管排渣时，均有可能发生污泥气外泄，放在室内（指经常有人活动或值守的房间或设备间内，不包括户外专用于排渣、溢流的井室）可能发生爆炸，危及人身安全。水封的作用是减少污泥气泄露，并避免空气进入厌氧消化池影响消化条件。</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为防止污泥气管道着火而引起厌氧消化池爆炸，规定厌氧消化池的出气管上应设回火防止器。</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用于污泥投配、循环、加热、切换控制的设备和阀门设施宜集中布置，室内应设通风设施。厌氧消化系统的电气集中控制室不应与存在污泥气泄漏可能的设施合建。</w:t>
      </w:r>
    </w:p>
    <w:p>
      <w:pPr>
        <w:wordWrap w:val="0"/>
        <w:rPr>
          <w:rFonts w:eastAsiaTheme="minorEastAsia"/>
          <w:color w:val="000000" w:themeColor="text1"/>
          <w:sz w:val="28"/>
          <w:szCs w:val="28"/>
        </w:rPr>
      </w:pPr>
      <w:r>
        <w:rPr>
          <w:rFonts w:eastAsiaTheme="minorEastAsia"/>
          <w:color w:val="000000" w:themeColor="text1"/>
          <w:sz w:val="28"/>
          <w:szCs w:val="28"/>
        </w:rPr>
        <w:t>【条文说明】为便于管理和减少通风装置的数量，相关设备宜集中布置，室内应设通风设施。</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电气设备引发火灾或爆炸的危险性较大，如全部采用防爆型则投资较高，因此规定电气集中控制室不应与存在污泥气泄漏可能的设施合建。</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sz w:val="28"/>
          <w:szCs w:val="28"/>
        </w:rPr>
        <w:t>污泥气贮罐、污泥气压缩机房、污泥气阀门控制间、污泥气管道层等可能泄漏污泥气的场所，电机、仪表和照明等电器设备均应符合防爆要求，室内应设通风设施和污泥气泄漏报警装置。</w:t>
      </w:r>
    </w:p>
    <w:p>
      <w:pPr>
        <w:widowControl/>
        <w:wordWrap w:val="0"/>
        <w:rPr>
          <w:rFonts w:eastAsiaTheme="minorEastAsia"/>
          <w:color w:val="000000" w:themeColor="text1"/>
          <w:sz w:val="28"/>
          <w:szCs w:val="28"/>
        </w:rPr>
      </w:pPr>
      <w:r>
        <w:rPr>
          <w:rFonts w:eastAsiaTheme="minorEastAsia"/>
          <w:color w:val="000000" w:themeColor="text1"/>
          <w:sz w:val="28"/>
          <w:szCs w:val="28"/>
        </w:rPr>
        <w:t>【条文说明】贮存或使用污泥气的贮罐、压缩机房、阀门控制间、管道层等场所，均存在污泥气泄露的可能，规定这些场所的电机、仪表和照明等电器设备均应符合防爆要求。若处于室内时，应设通风设施和污泥气泄露报警装置。</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污泥气贮罐的容积宜根据产气量和用气量计算确定。缺乏相关资料时，可按6h~10h的平均产气量设计。污泥气贮罐内、外壁应采取防腐措施。</w:t>
      </w:r>
    </w:p>
    <w:p>
      <w:pPr>
        <w:wordWrap w:val="0"/>
        <w:rPr>
          <w:rFonts w:eastAsiaTheme="minorEastAsia"/>
          <w:color w:val="000000" w:themeColor="text1"/>
          <w:sz w:val="28"/>
          <w:szCs w:val="28"/>
        </w:rPr>
      </w:pPr>
      <w:r>
        <w:rPr>
          <w:rFonts w:eastAsiaTheme="minorEastAsia"/>
          <w:color w:val="000000" w:themeColor="text1"/>
          <w:sz w:val="28"/>
          <w:szCs w:val="28"/>
        </w:rPr>
        <w:t>【条文说明】污泥气贮罐的容积原则上应根据产气量和用气情况经计算确定。实际设计可按6h～10h的平均产气量采用。</w:t>
      </w:r>
    </w:p>
    <w:p>
      <w:pPr>
        <w:wordWrap w:val="0"/>
        <w:ind w:firstLine="570"/>
        <w:rPr>
          <w:rFonts w:eastAsiaTheme="minorEastAsia"/>
          <w:color w:val="000000" w:themeColor="text1"/>
          <w:sz w:val="28"/>
          <w:szCs w:val="28"/>
        </w:rPr>
      </w:pPr>
      <w:r>
        <w:rPr>
          <w:rFonts w:eastAsiaTheme="minorEastAsia"/>
          <w:color w:val="000000" w:themeColor="text1"/>
          <w:sz w:val="28"/>
          <w:szCs w:val="28"/>
        </w:rPr>
        <w:t>污泥气对钢或混凝土结构存在较大的腐蚀，为延长使用年限，贮罐的内外壁均应当进行防腐处理。</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污泥气不得擅自向大气排放。污泥气贮罐超压时应采用污泥气燃烧器燃烧消耗，燃烧器应采用内燃式。污泥气贮罐的出气管上，必须设回火防止器。</w:t>
      </w:r>
    </w:p>
    <w:p>
      <w:pPr>
        <w:widowControl/>
        <w:wordWrap w:val="0"/>
        <w:rPr>
          <w:rFonts w:eastAsiaTheme="minorEastAsia"/>
          <w:color w:val="000000" w:themeColor="text1"/>
          <w:sz w:val="28"/>
          <w:szCs w:val="28"/>
        </w:rPr>
      </w:pPr>
      <w:r>
        <w:rPr>
          <w:rFonts w:eastAsiaTheme="minorEastAsia"/>
          <w:color w:val="000000" w:themeColor="text1"/>
          <w:sz w:val="28"/>
          <w:szCs w:val="28"/>
        </w:rPr>
        <w:t>【条文说明】污泥气中的甲烷是一种温室气体，根据联合国政府间气候变化专门委员会（IPCC）2006年出版的《国家温室气体调查指南》，其温室效应是CO</w:t>
      </w:r>
      <w:r>
        <w:rPr>
          <w:rFonts w:eastAsiaTheme="minorEastAsia"/>
          <w:color w:val="000000" w:themeColor="text1"/>
          <w:sz w:val="28"/>
          <w:szCs w:val="28"/>
          <w:vertAlign w:val="subscript"/>
        </w:rPr>
        <w:t>2</w:t>
      </w:r>
      <w:r>
        <w:rPr>
          <w:rFonts w:eastAsiaTheme="minorEastAsia"/>
          <w:color w:val="000000" w:themeColor="text1"/>
          <w:sz w:val="28"/>
          <w:szCs w:val="28"/>
        </w:rPr>
        <w:t>的21倍，为防止大气污染和火灾，污泥气不得</w:t>
      </w:r>
      <w:r>
        <w:rPr>
          <w:rFonts w:eastAsia="宋体"/>
          <w:color w:val="000000" w:themeColor="text1"/>
          <w:sz w:val="28"/>
          <w:szCs w:val="28"/>
        </w:rPr>
        <w:t>擅自</w:t>
      </w:r>
      <w:r>
        <w:rPr>
          <w:rFonts w:eastAsiaTheme="minorEastAsia"/>
          <w:color w:val="000000" w:themeColor="text1"/>
          <w:sz w:val="28"/>
          <w:szCs w:val="28"/>
        </w:rPr>
        <w:t>向大气排放。多余的污泥气必须燃烧消耗。由于外燃式燃烧器明火外露，在遇大风时易形成火苗或火星飞落，可能导致火灾，故规定燃烧器应采用内燃式。</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为防止用气设备回火或输气管道着火而引起污泥气贮罐爆炸，规定污泥气贮罐的出气管上应设回火防止器。</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污泥气净化应进行去湿、过滤和脱硫等处理。污泥气纯化应进行除湿、去除二氧化碳、氨和氮氧化物等处理。</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污泥气净化处理中，去湿和过滤处理指采用过滤器和沉淀物捕集器来去除沼气中的水分和沉淀物。应根据沼气含硫量和用气设备的要求，设沼气脱硫装置，脱硫装置应设在沼气进入沼气柜之前，脱硫作用是降低沼气H</w:t>
      </w:r>
      <w:r>
        <w:rPr>
          <w:rFonts w:ascii="Times New Roman" w:hAnsi="Times New Roman" w:eastAsiaTheme="minorEastAsia"/>
          <w:color w:val="000000" w:themeColor="text1"/>
          <w:sz w:val="28"/>
          <w:szCs w:val="28"/>
          <w:vertAlign w:val="subscript"/>
        </w:rPr>
        <w:t>2</w:t>
      </w:r>
      <w:r>
        <w:rPr>
          <w:rFonts w:ascii="Times New Roman" w:hAnsi="Times New Roman" w:eastAsiaTheme="minorEastAsia"/>
          <w:color w:val="000000" w:themeColor="text1"/>
          <w:sz w:val="28"/>
          <w:szCs w:val="28"/>
        </w:rPr>
        <w:t>S含量，减少沼气对后续管道和设备的腐蚀，延长设备的使用寿命，同时减小沼气燃烧产生的烟气对大气的污染。</w:t>
      </w:r>
    </w:p>
    <w:p>
      <w:pPr>
        <w:widowControl/>
        <w:spacing w:line="360" w:lineRule="auto"/>
        <w:rPr>
          <w:rFonts w:eastAsiaTheme="minorEastAsia"/>
          <w:b/>
          <w:sz w:val="28"/>
          <w:szCs w:val="28"/>
        </w:rPr>
      </w:pPr>
      <w:r>
        <w:rPr>
          <w:rFonts w:eastAsiaTheme="minorEastAsia"/>
          <w:color w:val="000000" w:themeColor="text1"/>
          <w:sz w:val="28"/>
          <w:szCs w:val="28"/>
        </w:rPr>
        <w:t>污泥气纯化过程为经过初步去湿、过滤和脱硫后的气体，在特定反应条件下，全部或部分除去二氧化碳、氨、氮氧化物和硅氧烷等多种杂质，可使气体中甲烷含量达到90%以上。</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污泥气应综合利用，可用于锅炉、发电或驱动鼓风机等。</w:t>
      </w:r>
    </w:p>
    <w:p>
      <w:pPr>
        <w:wordWrap w:val="0"/>
        <w:rPr>
          <w:rFonts w:eastAsiaTheme="minorEastAsia"/>
          <w:color w:val="000000" w:themeColor="text1"/>
          <w:sz w:val="28"/>
          <w:szCs w:val="28"/>
        </w:rPr>
      </w:pPr>
      <w:r>
        <w:rPr>
          <w:rFonts w:eastAsiaTheme="minorEastAsia"/>
          <w:color w:val="000000" w:themeColor="text1"/>
          <w:sz w:val="28"/>
          <w:szCs w:val="28"/>
        </w:rPr>
        <w:t>【条文说明】污泥气约含60%的甲烷，其热值一般可达到21000kJ/m</w:t>
      </w:r>
      <w:r>
        <w:rPr>
          <w:rFonts w:eastAsiaTheme="minorEastAsia"/>
          <w:color w:val="000000" w:themeColor="text1"/>
          <w:sz w:val="28"/>
          <w:szCs w:val="28"/>
          <w:vertAlign w:val="superscript"/>
        </w:rPr>
        <w:t>3</w:t>
      </w:r>
      <w:r>
        <w:rPr>
          <w:rFonts w:eastAsiaTheme="minorEastAsia"/>
          <w:color w:val="000000" w:themeColor="text1"/>
          <w:sz w:val="28"/>
          <w:szCs w:val="28"/>
        </w:rPr>
        <w:t>~25000kJ/m</w:t>
      </w:r>
      <w:r>
        <w:rPr>
          <w:rFonts w:eastAsiaTheme="minorEastAsia"/>
          <w:color w:val="000000" w:themeColor="text1"/>
          <w:sz w:val="28"/>
          <w:szCs w:val="28"/>
          <w:vertAlign w:val="superscript"/>
        </w:rPr>
        <w:t>3</w:t>
      </w:r>
      <w:r>
        <w:rPr>
          <w:rFonts w:eastAsiaTheme="minorEastAsia"/>
          <w:color w:val="000000" w:themeColor="text1"/>
          <w:sz w:val="28"/>
          <w:szCs w:val="28"/>
        </w:rPr>
        <w:t>，是一种可利用的生物质能，污泥气可用于污泥气锅炉的燃料、消化池加温、发电和驱动鼓风机等，若加以利用，能节约污水厂的能耗。在世界能源紧缺的今天，综合利用污泥气显得越发重要。</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bookmarkStart w:id="88" w:name="_Toc74992766"/>
      <w:r>
        <w:rPr>
          <w:rFonts w:ascii="Times New Roman" w:hAnsi="Times New Roman" w:eastAsiaTheme="minorEastAsia"/>
          <w:color w:val="000000" w:themeColor="text1"/>
          <w:sz w:val="28"/>
          <w:szCs w:val="28"/>
        </w:rPr>
        <w:t>污泥气系统的设计应符合现行国家标准《大中型沼气工程技术规范》GB/T 51063的规定。</w:t>
      </w:r>
    </w:p>
    <w:p>
      <w:pPr>
        <w:widowControl/>
        <w:wordWrap w:val="0"/>
        <w:jc w:val="center"/>
        <w:rPr>
          <w:rFonts w:eastAsiaTheme="minorEastAsia"/>
          <w:color w:val="000000" w:themeColor="text1"/>
          <w:sz w:val="28"/>
          <w:szCs w:val="28"/>
        </w:rPr>
      </w:pPr>
      <w:r>
        <w:rPr>
          <w:rFonts w:eastAsiaTheme="minorEastAsia"/>
          <w:color w:val="000000" w:themeColor="text1"/>
          <w:sz w:val="28"/>
          <w:szCs w:val="28"/>
        </w:rPr>
        <w:t>III  污泥好氧消化</w:t>
      </w:r>
      <w:bookmarkEnd w:id="88"/>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好氧消化池的总有效容积可按</w:t>
      </w:r>
      <w:r>
        <w:rPr>
          <w:rFonts w:hint="eastAsia" w:ascii="Times New Roman" w:hAnsi="Times New Roman" w:eastAsiaTheme="minorEastAsia"/>
          <w:color w:val="000000" w:themeColor="text1"/>
          <w:sz w:val="28"/>
          <w:szCs w:val="28"/>
        </w:rPr>
        <w:t>本标准</w:t>
      </w:r>
      <w:r>
        <w:rPr>
          <w:rFonts w:ascii="Times New Roman" w:hAnsi="Times New Roman" w:eastAsiaTheme="minorEastAsia"/>
          <w:color w:val="000000" w:themeColor="text1"/>
          <w:sz w:val="28"/>
          <w:szCs w:val="28"/>
        </w:rPr>
        <w:t>式</w:t>
      </w:r>
      <w:commentRangeStart w:id="9"/>
      <w:r>
        <w:rPr>
          <w:rFonts w:ascii="Times New Roman" w:hAnsi="Times New Roman" w:eastAsiaTheme="minorEastAsia"/>
          <w:color w:val="000000" w:themeColor="text1"/>
          <w:sz w:val="28"/>
          <w:szCs w:val="28"/>
        </w:rPr>
        <w:t>（8.</w:t>
      </w:r>
      <w:r>
        <w:rPr>
          <w:rFonts w:hint="eastAsia" w:ascii="Times New Roman" w:hAnsi="Times New Roman" w:eastAsiaTheme="minorEastAsia"/>
          <w:color w:val="000000" w:themeColor="text1"/>
          <w:sz w:val="28"/>
          <w:szCs w:val="28"/>
        </w:rPr>
        <w:t>3</w:t>
      </w:r>
      <w:r>
        <w:rPr>
          <w:rFonts w:ascii="Times New Roman" w:hAnsi="Times New Roman" w:eastAsiaTheme="minorEastAsia"/>
          <w:color w:val="000000" w:themeColor="text1"/>
          <w:sz w:val="28"/>
          <w:szCs w:val="28"/>
        </w:rPr>
        <w:t>.6-1）或（8.</w:t>
      </w:r>
      <w:r>
        <w:rPr>
          <w:rFonts w:hint="eastAsia" w:ascii="Times New Roman" w:hAnsi="Times New Roman" w:eastAsiaTheme="minorEastAsia"/>
          <w:color w:val="000000" w:themeColor="text1"/>
          <w:sz w:val="28"/>
          <w:szCs w:val="28"/>
        </w:rPr>
        <w:t>3</w:t>
      </w:r>
      <w:r>
        <w:rPr>
          <w:rFonts w:ascii="Times New Roman" w:hAnsi="Times New Roman" w:eastAsiaTheme="minorEastAsia"/>
          <w:color w:val="000000" w:themeColor="text1"/>
          <w:sz w:val="28"/>
          <w:szCs w:val="28"/>
        </w:rPr>
        <w:t>.6-2）</w:t>
      </w:r>
      <w:commentRangeEnd w:id="9"/>
      <w:r>
        <w:rPr>
          <w:rStyle w:val="24"/>
          <w:rFonts w:ascii="Times New Roman" w:hAnsi="Times New Roman"/>
        </w:rPr>
        <w:commentReference w:id="9"/>
      </w:r>
      <w:r>
        <w:rPr>
          <w:rFonts w:ascii="Times New Roman" w:hAnsi="Times New Roman" w:eastAsiaTheme="minorEastAsia"/>
          <w:color w:val="000000" w:themeColor="text1"/>
          <w:sz w:val="28"/>
          <w:szCs w:val="28"/>
        </w:rPr>
        <w:t>计算。设计参数宜根据试验资料确定。无试验资料时，好氧消化时间宜为10d～20d，挥发性固体容积负荷一般重力浓缩后的原污泥宜为0.7kgVSS/(m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·d)~2.8 kgVSS/(m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·d)，机械浓缩后的高浓度原污泥，不宜大于4.2 kgVSS/(m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·d)。</w:t>
      </w:r>
    </w:p>
    <w:p>
      <w:pPr>
        <w:wordWrap w:val="0"/>
        <w:rPr>
          <w:rFonts w:eastAsiaTheme="minorEastAsia"/>
          <w:color w:val="000000" w:themeColor="text1"/>
          <w:sz w:val="28"/>
          <w:szCs w:val="28"/>
        </w:rPr>
      </w:pPr>
      <w:r>
        <w:rPr>
          <w:rFonts w:eastAsiaTheme="minorEastAsia"/>
          <w:color w:val="000000" w:themeColor="text1"/>
          <w:sz w:val="28"/>
          <w:szCs w:val="28"/>
        </w:rPr>
        <w:t>【条文说明】好氧消化池的设计经验相对较缺乏，故规定好氧消化池的总有效容积，宜根据试验资料和技术经济比较确定。</w:t>
      </w:r>
    </w:p>
    <w:p>
      <w:pPr>
        <w:wordWrap w:val="0"/>
        <w:rPr>
          <w:rFonts w:eastAsiaTheme="minorEastAsia"/>
          <w:color w:val="000000" w:themeColor="text1"/>
          <w:sz w:val="28"/>
          <w:szCs w:val="28"/>
        </w:rPr>
      </w:pPr>
      <w:r>
        <w:rPr>
          <w:rFonts w:eastAsiaTheme="minorEastAsia"/>
          <w:color w:val="000000" w:themeColor="text1"/>
          <w:sz w:val="28"/>
          <w:szCs w:val="28"/>
        </w:rPr>
        <w:t xml:space="preserve">    据国内外文献资料介绍，污泥好氧消化时间，对剩余污泥为10d～15d，对混合污泥为15d～20d(个别资料推荐15d～25d)；污泥好氧消化的挥发性固体容积负荷一般为0.38kgVSS/(m</w:t>
      </w:r>
      <w:r>
        <w:rPr>
          <w:rFonts w:eastAsiaTheme="minorEastAsia"/>
          <w:color w:val="000000" w:themeColor="text1"/>
          <w:sz w:val="28"/>
          <w:szCs w:val="28"/>
          <w:vertAlign w:val="superscript"/>
        </w:rPr>
        <w:t>3</w:t>
      </w:r>
      <w:r>
        <w:rPr>
          <w:rFonts w:eastAsiaTheme="minorEastAsia"/>
          <w:color w:val="000000" w:themeColor="text1"/>
          <w:sz w:val="28"/>
          <w:szCs w:val="28"/>
        </w:rPr>
        <w:t>·d)～2.24kgVSS/(m</w:t>
      </w:r>
      <w:r>
        <w:rPr>
          <w:rFonts w:eastAsiaTheme="minorEastAsia"/>
          <w:color w:val="000000" w:themeColor="text1"/>
          <w:sz w:val="28"/>
          <w:szCs w:val="28"/>
          <w:vertAlign w:val="superscript"/>
        </w:rPr>
        <w:t>3</w:t>
      </w:r>
      <w:r>
        <w:rPr>
          <w:rFonts w:eastAsiaTheme="minorEastAsia"/>
          <w:color w:val="000000" w:themeColor="text1"/>
          <w:sz w:val="28"/>
          <w:szCs w:val="28"/>
        </w:rPr>
        <w:t>·d)。</w:t>
      </w:r>
    </w:p>
    <w:p>
      <w:pPr>
        <w:wordWrap w:val="0"/>
        <w:rPr>
          <w:rFonts w:eastAsiaTheme="minorEastAsia"/>
          <w:color w:val="000000" w:themeColor="text1"/>
          <w:sz w:val="28"/>
          <w:szCs w:val="28"/>
        </w:rPr>
      </w:pPr>
      <w:r>
        <w:rPr>
          <w:rFonts w:eastAsiaTheme="minorEastAsia"/>
          <w:color w:val="000000" w:themeColor="text1"/>
          <w:sz w:val="28"/>
          <w:szCs w:val="28"/>
        </w:rPr>
        <w:t xml:space="preserve">    根据测算，在l0d～20d的消化时间内，当处理一般重力浓缩后的原污泥（含水率在96%～98%之间）时，相应的挥发性固体容积负荷为0.7kgVSS/(m</w:t>
      </w:r>
      <w:r>
        <w:rPr>
          <w:rFonts w:eastAsiaTheme="minorEastAsia"/>
          <w:color w:val="000000" w:themeColor="text1"/>
          <w:sz w:val="28"/>
          <w:szCs w:val="28"/>
          <w:vertAlign w:val="superscript"/>
        </w:rPr>
        <w:t>3</w:t>
      </w:r>
      <w:r>
        <w:rPr>
          <w:rFonts w:eastAsiaTheme="minorEastAsia"/>
          <w:color w:val="000000" w:themeColor="text1"/>
          <w:sz w:val="28"/>
          <w:szCs w:val="28"/>
        </w:rPr>
        <w:t>·d)～2.8kgVSS/(m</w:t>
      </w:r>
      <w:r>
        <w:rPr>
          <w:rFonts w:eastAsiaTheme="minorEastAsia"/>
          <w:color w:val="000000" w:themeColor="text1"/>
          <w:sz w:val="28"/>
          <w:szCs w:val="28"/>
          <w:vertAlign w:val="superscript"/>
        </w:rPr>
        <w:t>3</w:t>
      </w:r>
      <w:r>
        <w:rPr>
          <w:rFonts w:eastAsiaTheme="minorEastAsia"/>
          <w:color w:val="000000" w:themeColor="text1"/>
          <w:sz w:val="28"/>
          <w:szCs w:val="28"/>
        </w:rPr>
        <w:t>·d)；当处理经机械浓缩后的原污泥（含水率在94%～96%之间）时，相应的挥发性固体容积负荷为1.4kgVSS/(m</w:t>
      </w:r>
      <w:r>
        <w:rPr>
          <w:rFonts w:eastAsiaTheme="minorEastAsia"/>
          <w:color w:val="000000" w:themeColor="text1"/>
          <w:sz w:val="28"/>
          <w:szCs w:val="28"/>
          <w:vertAlign w:val="superscript"/>
        </w:rPr>
        <w:t>3</w:t>
      </w:r>
      <w:r>
        <w:rPr>
          <w:rFonts w:eastAsiaTheme="minorEastAsia"/>
          <w:color w:val="000000" w:themeColor="text1"/>
          <w:sz w:val="28"/>
          <w:szCs w:val="28"/>
        </w:rPr>
        <w:t>·d)～4.2kgVSS/(m</w:t>
      </w:r>
      <w:r>
        <w:rPr>
          <w:rFonts w:eastAsiaTheme="minorEastAsia"/>
          <w:color w:val="000000" w:themeColor="text1"/>
          <w:sz w:val="28"/>
          <w:szCs w:val="28"/>
          <w:vertAlign w:val="superscript"/>
        </w:rPr>
        <w:t>3</w:t>
      </w:r>
      <w:r>
        <w:rPr>
          <w:rFonts w:eastAsiaTheme="minorEastAsia"/>
          <w:color w:val="000000" w:themeColor="text1"/>
          <w:sz w:val="28"/>
          <w:szCs w:val="28"/>
        </w:rPr>
        <w:t>·d)。</w:t>
      </w:r>
    </w:p>
    <w:p>
      <w:pPr>
        <w:wordWrap w:val="0"/>
        <w:rPr>
          <w:rFonts w:eastAsiaTheme="minorEastAsia"/>
          <w:color w:val="000000" w:themeColor="text1"/>
          <w:sz w:val="28"/>
          <w:szCs w:val="28"/>
        </w:rPr>
      </w:pPr>
      <w:r>
        <w:rPr>
          <w:rFonts w:eastAsiaTheme="minorEastAsia"/>
          <w:color w:val="000000" w:themeColor="text1"/>
          <w:sz w:val="28"/>
          <w:szCs w:val="28"/>
        </w:rPr>
        <w:t xml:space="preserve">    因此本标准推荐，好氧消化时间宜采用10d～20d。一般重力浓缩后的原污泥，挥发性固体容积负荷宜采用0.7kgVSS/(m</w:t>
      </w:r>
      <w:r>
        <w:rPr>
          <w:rFonts w:eastAsiaTheme="minorEastAsia"/>
          <w:color w:val="000000" w:themeColor="text1"/>
          <w:sz w:val="28"/>
          <w:szCs w:val="28"/>
          <w:vertAlign w:val="superscript"/>
        </w:rPr>
        <w:t>3</w:t>
      </w:r>
      <w:r>
        <w:rPr>
          <w:rFonts w:eastAsiaTheme="minorEastAsia"/>
          <w:color w:val="000000" w:themeColor="text1"/>
          <w:sz w:val="28"/>
          <w:szCs w:val="28"/>
        </w:rPr>
        <w:t>·d)～2.8kgVSS/(m</w:t>
      </w:r>
      <w:r>
        <w:rPr>
          <w:rFonts w:eastAsiaTheme="minorEastAsia"/>
          <w:color w:val="000000" w:themeColor="text1"/>
          <w:sz w:val="28"/>
          <w:szCs w:val="28"/>
          <w:vertAlign w:val="superscript"/>
        </w:rPr>
        <w:t>3</w:t>
      </w:r>
      <w:r>
        <w:rPr>
          <w:rFonts w:eastAsiaTheme="minorEastAsia"/>
          <w:color w:val="000000" w:themeColor="text1"/>
          <w:sz w:val="28"/>
          <w:szCs w:val="28"/>
        </w:rPr>
        <w:t>·d)；机械浓缩后的高浓度原污泥，挥发性固体容积负荷不宜大于4.2kgVSS/(m</w:t>
      </w:r>
      <w:r>
        <w:rPr>
          <w:rFonts w:eastAsiaTheme="minorEastAsia"/>
          <w:color w:val="000000" w:themeColor="text1"/>
          <w:sz w:val="28"/>
          <w:szCs w:val="28"/>
          <w:vertAlign w:val="superscript"/>
        </w:rPr>
        <w:t>3</w:t>
      </w:r>
      <w:r>
        <w:rPr>
          <w:rFonts w:eastAsiaTheme="minorEastAsia"/>
          <w:color w:val="000000" w:themeColor="text1"/>
          <w:sz w:val="28"/>
          <w:szCs w:val="28"/>
        </w:rPr>
        <w:t>·d)。污泥好氧消化池挥发性固体容积负荷测算见表3</w:t>
      </w:r>
      <w:r>
        <w:rPr>
          <w:rFonts w:hint="eastAsia" w:eastAsiaTheme="minorEastAsia"/>
          <w:color w:val="000000" w:themeColor="text1"/>
          <w:sz w:val="28"/>
          <w:szCs w:val="28"/>
        </w:rPr>
        <w:t>3</w:t>
      </w:r>
      <w:r>
        <w:rPr>
          <w:rFonts w:eastAsiaTheme="minorEastAsia"/>
          <w:color w:val="000000" w:themeColor="text1"/>
          <w:sz w:val="28"/>
          <w:szCs w:val="28"/>
        </w:rPr>
        <w:t>。</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表3</w:t>
      </w:r>
      <w:r>
        <w:rPr>
          <w:rFonts w:hint="eastAsia" w:eastAsiaTheme="minorEastAsia"/>
          <w:b/>
          <w:color w:val="000000" w:themeColor="text1"/>
          <w:sz w:val="28"/>
          <w:szCs w:val="28"/>
        </w:rPr>
        <w:t>3</w:t>
      </w:r>
      <w:r>
        <w:rPr>
          <w:rFonts w:eastAsiaTheme="minorEastAsia"/>
          <w:b/>
          <w:color w:val="000000" w:themeColor="text1"/>
          <w:sz w:val="28"/>
          <w:szCs w:val="28"/>
        </w:rPr>
        <w:t xml:space="preserve"> 污泥好氧消化池挥发性固体容积负荷测算</w:t>
      </w:r>
    </w:p>
    <w:tbl>
      <w:tblPr>
        <w:tblStyle w:val="25"/>
        <w:tblW w:w="8975" w:type="dxa"/>
        <w:tblInd w:w="-4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41"/>
        <w:gridCol w:w="688"/>
        <w:gridCol w:w="688"/>
        <w:gridCol w:w="687"/>
        <w:gridCol w:w="688"/>
        <w:gridCol w:w="688"/>
        <w:gridCol w:w="688"/>
        <w:gridCol w:w="687"/>
        <w:gridCol w:w="574"/>
        <w:gridCol w:w="672"/>
        <w:gridCol w:w="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68" w:hRule="atLeast"/>
        </w:trPr>
        <w:tc>
          <w:tcPr>
            <w:tcW w:w="2341" w:type="dxa"/>
            <w:tcBorders>
              <w:tl2br w:val="single" w:color="auto" w:sz="4" w:space="0"/>
            </w:tcBorders>
            <w:vAlign w:val="center"/>
          </w:tcPr>
          <w:p>
            <w:pPr>
              <w:wordWrap w:val="0"/>
              <w:spacing w:line="360" w:lineRule="auto"/>
              <w:ind w:firstLine="420"/>
              <w:jc w:val="center"/>
              <w:rPr>
                <w:rFonts w:eastAsiaTheme="minorEastAsia"/>
                <w:color w:val="000000" w:themeColor="text1"/>
                <w:sz w:val="28"/>
                <w:szCs w:val="28"/>
              </w:rPr>
            </w:pPr>
            <w:r>
              <w:rPr>
                <w:rFonts w:eastAsiaTheme="minorEastAsia"/>
                <w:color w:val="000000" w:themeColor="text1"/>
                <w:sz w:val="28"/>
                <w:szCs w:val="28"/>
              </w:rPr>
              <w:t>方案序号</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参数名称</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一</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二</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三</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四</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五</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六</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七</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八</w:t>
            </w:r>
          </w:p>
        </w:tc>
        <w:tc>
          <w:tcPr>
            <w:tcW w:w="6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九</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4" w:hRule="atLeast"/>
        </w:trPr>
        <w:tc>
          <w:tcPr>
            <w:tcW w:w="23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原污泥干固体量(kgSS/d)</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c>
          <w:tcPr>
            <w:tcW w:w="6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23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污泥消化时间(d)</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w:t>
            </w:r>
          </w:p>
        </w:tc>
        <w:tc>
          <w:tcPr>
            <w:tcW w:w="6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 w:hRule="atLeast"/>
        </w:trPr>
        <w:tc>
          <w:tcPr>
            <w:tcW w:w="23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原污泥含水率(%)</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98</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97</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96</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95</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94</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98</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97</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96</w:t>
            </w:r>
          </w:p>
        </w:tc>
        <w:tc>
          <w:tcPr>
            <w:tcW w:w="6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95</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0" w:hRule="atLeast"/>
        </w:trPr>
        <w:tc>
          <w:tcPr>
            <w:tcW w:w="23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原污泥体积(m</w:t>
            </w:r>
            <w:r>
              <w:rPr>
                <w:rFonts w:eastAsiaTheme="minorEastAsia"/>
                <w:color w:val="000000" w:themeColor="text1"/>
                <w:sz w:val="28"/>
                <w:szCs w:val="28"/>
                <w:vertAlign w:val="superscript"/>
              </w:rPr>
              <w:t>3</w:t>
            </w:r>
            <w:r>
              <w:rPr>
                <w:rFonts w:eastAsiaTheme="minorEastAsia"/>
                <w:color w:val="000000" w:themeColor="text1"/>
                <w:sz w:val="28"/>
                <w:szCs w:val="28"/>
              </w:rPr>
              <w:t>/d)</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3.3</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1.7</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5.0</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3.3</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w:t>
            </w:r>
          </w:p>
        </w:tc>
        <w:tc>
          <w:tcPr>
            <w:tcW w:w="6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90" w:hRule="atLeast"/>
        </w:trPr>
        <w:tc>
          <w:tcPr>
            <w:tcW w:w="23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挥发性干固体比例(%)</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7" w:hRule="atLeast"/>
        </w:trPr>
        <w:tc>
          <w:tcPr>
            <w:tcW w:w="23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挥发性干固体重量(kgVSS/d)</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6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6" w:hRule="atLeast"/>
        </w:trPr>
        <w:tc>
          <w:tcPr>
            <w:tcW w:w="23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消化池总有效容积(m</w:t>
            </w:r>
            <w:r>
              <w:rPr>
                <w:rFonts w:eastAsiaTheme="minorEastAsia"/>
                <w:color w:val="000000" w:themeColor="text1"/>
                <w:sz w:val="28"/>
                <w:szCs w:val="28"/>
                <w:vertAlign w:val="superscript"/>
              </w:rPr>
              <w:t>3</w:t>
            </w:r>
            <w:r>
              <w:rPr>
                <w:rFonts w:eastAsiaTheme="minorEastAsia"/>
                <w:color w:val="000000" w:themeColor="text1"/>
                <w:sz w:val="28"/>
                <w:szCs w:val="28"/>
              </w:rPr>
              <w:t>)</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67</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33</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50</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33</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25</w:t>
            </w:r>
          </w:p>
        </w:tc>
        <w:tc>
          <w:tcPr>
            <w:tcW w:w="6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20</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8" w:hRule="atLeast"/>
        </w:trPr>
        <w:tc>
          <w:tcPr>
            <w:tcW w:w="234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挥发性固体容积负荷[kgVSS/(m</w:t>
            </w:r>
            <w:r>
              <w:rPr>
                <w:rFonts w:eastAsiaTheme="minorEastAsia"/>
                <w:color w:val="000000" w:themeColor="text1"/>
                <w:sz w:val="28"/>
                <w:szCs w:val="28"/>
                <w:vertAlign w:val="superscript"/>
              </w:rPr>
              <w:t>3</w:t>
            </w:r>
            <w:r>
              <w:rPr>
                <w:rFonts w:eastAsiaTheme="minorEastAsia"/>
                <w:color w:val="000000" w:themeColor="text1"/>
                <w:sz w:val="28"/>
                <w:szCs w:val="28"/>
              </w:rPr>
              <w:t>·d)]</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0.7</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1.05</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1.40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1.75</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2.10</w:t>
            </w:r>
          </w:p>
        </w:tc>
        <w:tc>
          <w:tcPr>
            <w:tcW w:w="68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1.4</w:t>
            </w:r>
          </w:p>
        </w:tc>
        <w:tc>
          <w:tcPr>
            <w:tcW w:w="687"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2.10</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2.80</w:t>
            </w:r>
          </w:p>
        </w:tc>
        <w:tc>
          <w:tcPr>
            <w:tcW w:w="67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3.50</w:t>
            </w:r>
          </w:p>
        </w:tc>
        <w:tc>
          <w:tcPr>
            <w:tcW w:w="574"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4.20</w:t>
            </w:r>
          </w:p>
        </w:tc>
      </w:tr>
    </w:tbl>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当气温低于15ºC时，好氧消化池宜采取保温、加热措施或适当延长消化时间。</w:t>
      </w:r>
    </w:p>
    <w:p>
      <w:pPr>
        <w:wordWrap w:val="0"/>
        <w:rPr>
          <w:rFonts w:eastAsiaTheme="minorEastAsia"/>
          <w:color w:val="000000" w:themeColor="text1"/>
          <w:sz w:val="28"/>
          <w:szCs w:val="28"/>
        </w:rPr>
      </w:pPr>
      <w:r>
        <w:rPr>
          <w:rFonts w:eastAsiaTheme="minorEastAsia"/>
          <w:color w:val="000000" w:themeColor="text1"/>
          <w:sz w:val="28"/>
          <w:szCs w:val="28"/>
        </w:rPr>
        <w:t>【条文说明】好氧消化过程为放热反应，池内污泥温度高于投入的原污泥温度，当气温在15ºC时，泥温一般为20ºC左右。</w:t>
      </w:r>
    </w:p>
    <w:p>
      <w:pPr>
        <w:wordWrap w:val="0"/>
        <w:rPr>
          <w:rFonts w:eastAsiaTheme="minorEastAsia"/>
          <w:color w:val="000000" w:themeColor="text1"/>
          <w:sz w:val="28"/>
          <w:szCs w:val="28"/>
        </w:rPr>
      </w:pPr>
      <w:r>
        <w:rPr>
          <w:rFonts w:eastAsiaTheme="minorEastAsia"/>
          <w:color w:val="000000" w:themeColor="text1"/>
          <w:sz w:val="28"/>
          <w:szCs w:val="28"/>
        </w:rPr>
        <w:t xml:space="preserve">    根据好氧消化时间和温度的关系，当气温20ºC时，剩余污泥的消化时间需要约16d～18d；当气温低于15ºC时，剩余污泥的消化时间需要20d以上；混合污泥则需要更长的消化时间。</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因此规定当气温低于15ºC时，宜采取保温、加热措施或适当延长消化时间。</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好氧消化池中溶解氧浓度，不应低于2mg/L。</w:t>
      </w:r>
    </w:p>
    <w:p>
      <w:pPr>
        <w:wordWrap w:val="0"/>
        <w:rPr>
          <w:rFonts w:eastAsiaTheme="minorEastAsia"/>
          <w:color w:val="000000" w:themeColor="text1"/>
          <w:sz w:val="28"/>
          <w:szCs w:val="28"/>
        </w:rPr>
      </w:pPr>
      <w:r>
        <w:rPr>
          <w:rFonts w:eastAsiaTheme="minorEastAsia"/>
          <w:color w:val="000000" w:themeColor="text1"/>
          <w:sz w:val="28"/>
          <w:szCs w:val="28"/>
        </w:rPr>
        <w:t>【条文说明】好氧消化池中溶解氧的浓度，是一个十分重要的运行控制参数。</w:t>
      </w:r>
    </w:p>
    <w:p>
      <w:pPr>
        <w:wordWrap w:val="0"/>
        <w:rPr>
          <w:rFonts w:eastAsiaTheme="minorEastAsia"/>
          <w:color w:val="000000" w:themeColor="text1"/>
          <w:sz w:val="28"/>
          <w:szCs w:val="28"/>
        </w:rPr>
      </w:pPr>
      <w:r>
        <w:rPr>
          <w:rFonts w:eastAsiaTheme="minorEastAsia"/>
          <w:color w:val="000000" w:themeColor="text1"/>
          <w:sz w:val="28"/>
          <w:szCs w:val="28"/>
        </w:rPr>
        <w:t xml:space="preserve">    溶解氧浓度2mg/L是维持活性污泥中细菌内源呼吸反应的最低需求，也是通常衡量活性污泥处于好氧／缺氧状态的界限参数。好氧消化应保持污泥始终处于好氧状态下，即应保持好氧消化池中溶解氧浓度不小于2mg/L。</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溶解氧浓度，可采用在线仪表测定，并通过控制曝气量进行调节。</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好氧消化池采用鼓风曝气时，宜采用中气泡空气扩散装置，鼓风曝气应同时满足细胞自身氧化和搅拌混合的需气量，宜根据试验资料或类似运行经验确定。无试验资料时，可按下列参数确定：剩余污泥的总需气量</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为0.02m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空气/（m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池容·min）~0.04m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空气/（m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池容·min）；初沉污泥或混合污泥的总需气量</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为0.04m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空气/（m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池容·min）~0.06m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空气/（m</w:t>
      </w:r>
      <w:r>
        <w:rPr>
          <w:rFonts w:ascii="Times New Roman" w:hAnsi="Times New Roman" w:eastAsiaTheme="minorEastAsia"/>
          <w:color w:val="000000" w:themeColor="text1"/>
          <w:sz w:val="28"/>
          <w:szCs w:val="28"/>
          <w:vertAlign w:val="superscript"/>
        </w:rPr>
        <w:t>3</w:t>
      </w:r>
      <w:r>
        <w:rPr>
          <w:rFonts w:ascii="Times New Roman" w:hAnsi="Times New Roman" w:eastAsiaTheme="minorEastAsia"/>
          <w:color w:val="000000" w:themeColor="text1"/>
          <w:sz w:val="28"/>
          <w:szCs w:val="28"/>
        </w:rPr>
        <w:t>池容·min）。</w:t>
      </w:r>
    </w:p>
    <w:p>
      <w:pPr>
        <w:wordWrap w:val="0"/>
        <w:rPr>
          <w:rFonts w:eastAsiaTheme="minorEastAsia"/>
          <w:color w:val="000000" w:themeColor="text1"/>
          <w:sz w:val="28"/>
          <w:szCs w:val="28"/>
        </w:rPr>
      </w:pPr>
      <w:r>
        <w:rPr>
          <w:rFonts w:eastAsiaTheme="minorEastAsia"/>
          <w:color w:val="000000" w:themeColor="text1"/>
          <w:sz w:val="28"/>
          <w:szCs w:val="28"/>
        </w:rPr>
        <w:t>【条文说明】好氧消化池采用鼓风曝气时，应同时满足细胞自身氧化需气量和搅拌混合需气量。宜根据试验资料或类似工程经验确定。</w:t>
      </w:r>
    </w:p>
    <w:p>
      <w:pPr>
        <w:wordWrap w:val="0"/>
        <w:rPr>
          <w:rFonts w:eastAsiaTheme="minorEastAsia"/>
          <w:color w:val="000000" w:themeColor="text1"/>
          <w:sz w:val="28"/>
          <w:szCs w:val="28"/>
        </w:rPr>
      </w:pPr>
      <w:r>
        <w:rPr>
          <w:rFonts w:eastAsiaTheme="minorEastAsia"/>
          <w:color w:val="000000" w:themeColor="text1"/>
          <w:sz w:val="28"/>
          <w:szCs w:val="28"/>
        </w:rPr>
        <w:t xml:space="preserve">    根据工程经验和文献记载，一般情况下，剩余污泥的细胞自身氧化需气量为0.015m</w:t>
      </w:r>
      <w:r>
        <w:rPr>
          <w:rFonts w:eastAsiaTheme="minorEastAsia"/>
          <w:color w:val="000000" w:themeColor="text1"/>
          <w:sz w:val="28"/>
          <w:szCs w:val="28"/>
          <w:vertAlign w:val="superscript"/>
        </w:rPr>
        <w:t>3</w:t>
      </w:r>
      <w:r>
        <w:rPr>
          <w:rFonts w:eastAsiaTheme="minorEastAsia"/>
          <w:color w:val="000000" w:themeColor="text1"/>
          <w:sz w:val="28"/>
          <w:szCs w:val="28"/>
        </w:rPr>
        <w:t>空气/(m</w:t>
      </w:r>
      <w:r>
        <w:rPr>
          <w:rFonts w:eastAsiaTheme="minorEastAsia"/>
          <w:color w:val="000000" w:themeColor="text1"/>
          <w:sz w:val="28"/>
          <w:szCs w:val="28"/>
          <w:vertAlign w:val="superscript"/>
        </w:rPr>
        <w:t>3</w:t>
      </w:r>
      <w:r>
        <w:rPr>
          <w:rFonts w:eastAsiaTheme="minorEastAsia"/>
          <w:color w:val="000000" w:themeColor="text1"/>
          <w:sz w:val="28"/>
          <w:szCs w:val="28"/>
        </w:rPr>
        <w:t>池容·min)～0.02m</w:t>
      </w:r>
      <w:r>
        <w:rPr>
          <w:rFonts w:eastAsiaTheme="minorEastAsia"/>
          <w:color w:val="000000" w:themeColor="text1"/>
          <w:sz w:val="28"/>
          <w:szCs w:val="28"/>
          <w:vertAlign w:val="superscript"/>
        </w:rPr>
        <w:t>3</w:t>
      </w:r>
      <w:r>
        <w:rPr>
          <w:rFonts w:eastAsiaTheme="minorEastAsia"/>
          <w:color w:val="000000" w:themeColor="text1"/>
          <w:sz w:val="28"/>
          <w:szCs w:val="28"/>
        </w:rPr>
        <w:t>空气／(m</w:t>
      </w:r>
      <w:r>
        <w:rPr>
          <w:rFonts w:eastAsiaTheme="minorEastAsia"/>
          <w:color w:val="000000" w:themeColor="text1"/>
          <w:sz w:val="28"/>
          <w:szCs w:val="28"/>
          <w:vertAlign w:val="superscript"/>
        </w:rPr>
        <w:t>3</w:t>
      </w:r>
      <w:r>
        <w:rPr>
          <w:rFonts w:eastAsiaTheme="minorEastAsia"/>
          <w:color w:val="000000" w:themeColor="text1"/>
          <w:sz w:val="28"/>
          <w:szCs w:val="28"/>
        </w:rPr>
        <w:t>池容·min)，搅拌混合需气量为0.02m</w:t>
      </w:r>
      <w:r>
        <w:rPr>
          <w:rFonts w:eastAsiaTheme="minorEastAsia"/>
          <w:color w:val="000000" w:themeColor="text1"/>
          <w:sz w:val="28"/>
          <w:szCs w:val="28"/>
          <w:vertAlign w:val="superscript"/>
        </w:rPr>
        <w:t>3</w:t>
      </w:r>
      <w:r>
        <w:rPr>
          <w:rFonts w:eastAsiaTheme="minorEastAsia"/>
          <w:color w:val="000000" w:themeColor="text1"/>
          <w:sz w:val="28"/>
          <w:szCs w:val="28"/>
        </w:rPr>
        <w:t>空气/(m</w:t>
      </w:r>
      <w:r>
        <w:rPr>
          <w:rFonts w:eastAsiaTheme="minorEastAsia"/>
          <w:color w:val="000000" w:themeColor="text1"/>
          <w:sz w:val="28"/>
          <w:szCs w:val="28"/>
          <w:vertAlign w:val="superscript"/>
        </w:rPr>
        <w:t>3</w:t>
      </w:r>
      <w:r>
        <w:rPr>
          <w:rFonts w:eastAsiaTheme="minorEastAsia"/>
          <w:color w:val="000000" w:themeColor="text1"/>
          <w:sz w:val="28"/>
          <w:szCs w:val="28"/>
        </w:rPr>
        <w:t>池容·min)～0.04m</w:t>
      </w:r>
      <w:r>
        <w:rPr>
          <w:rFonts w:eastAsiaTheme="minorEastAsia"/>
          <w:color w:val="000000" w:themeColor="text1"/>
          <w:sz w:val="28"/>
          <w:szCs w:val="28"/>
          <w:vertAlign w:val="superscript"/>
        </w:rPr>
        <w:t>3</w:t>
      </w:r>
      <w:r>
        <w:rPr>
          <w:rFonts w:eastAsiaTheme="minorEastAsia"/>
          <w:color w:val="000000" w:themeColor="text1"/>
          <w:sz w:val="28"/>
          <w:szCs w:val="28"/>
        </w:rPr>
        <w:t>空气/(m</w:t>
      </w:r>
      <w:r>
        <w:rPr>
          <w:rFonts w:eastAsiaTheme="minorEastAsia"/>
          <w:color w:val="000000" w:themeColor="text1"/>
          <w:sz w:val="28"/>
          <w:szCs w:val="28"/>
          <w:vertAlign w:val="superscript"/>
        </w:rPr>
        <w:t>3</w:t>
      </w:r>
      <w:r>
        <w:rPr>
          <w:rFonts w:eastAsiaTheme="minorEastAsia"/>
          <w:color w:val="000000" w:themeColor="text1"/>
          <w:sz w:val="28"/>
          <w:szCs w:val="28"/>
        </w:rPr>
        <w:t>池容·min)；初沉污泥或混合污泥的细胞自身氧化需气量为0.025m</w:t>
      </w:r>
      <w:r>
        <w:rPr>
          <w:rFonts w:eastAsiaTheme="minorEastAsia"/>
          <w:color w:val="000000" w:themeColor="text1"/>
          <w:sz w:val="28"/>
          <w:szCs w:val="28"/>
          <w:vertAlign w:val="superscript"/>
        </w:rPr>
        <w:t>3</w:t>
      </w:r>
      <w:r>
        <w:rPr>
          <w:rFonts w:eastAsiaTheme="minorEastAsia"/>
          <w:color w:val="000000" w:themeColor="text1"/>
          <w:sz w:val="28"/>
          <w:szCs w:val="28"/>
        </w:rPr>
        <w:t>空气/(m</w:t>
      </w:r>
      <w:r>
        <w:rPr>
          <w:rFonts w:eastAsiaTheme="minorEastAsia"/>
          <w:color w:val="000000" w:themeColor="text1"/>
          <w:sz w:val="28"/>
          <w:szCs w:val="28"/>
          <w:vertAlign w:val="superscript"/>
        </w:rPr>
        <w:t>3</w:t>
      </w:r>
      <w:r>
        <w:rPr>
          <w:rFonts w:eastAsiaTheme="minorEastAsia"/>
          <w:color w:val="000000" w:themeColor="text1"/>
          <w:sz w:val="28"/>
          <w:szCs w:val="28"/>
        </w:rPr>
        <w:t>池容·min)～0.03m</w:t>
      </w:r>
      <w:r>
        <w:rPr>
          <w:rFonts w:eastAsiaTheme="minorEastAsia"/>
          <w:color w:val="000000" w:themeColor="text1"/>
          <w:sz w:val="28"/>
          <w:szCs w:val="28"/>
          <w:vertAlign w:val="superscript"/>
        </w:rPr>
        <w:t>3</w:t>
      </w:r>
      <w:r>
        <w:rPr>
          <w:rFonts w:eastAsiaTheme="minorEastAsia"/>
          <w:color w:val="000000" w:themeColor="text1"/>
          <w:sz w:val="28"/>
          <w:szCs w:val="28"/>
        </w:rPr>
        <w:t>空气/(m</w:t>
      </w:r>
      <w:r>
        <w:rPr>
          <w:rFonts w:eastAsiaTheme="minorEastAsia"/>
          <w:color w:val="000000" w:themeColor="text1"/>
          <w:sz w:val="28"/>
          <w:szCs w:val="28"/>
          <w:vertAlign w:val="superscript"/>
        </w:rPr>
        <w:t>3</w:t>
      </w:r>
      <w:r>
        <w:rPr>
          <w:rFonts w:eastAsiaTheme="minorEastAsia"/>
          <w:color w:val="000000" w:themeColor="text1"/>
          <w:sz w:val="28"/>
          <w:szCs w:val="28"/>
        </w:rPr>
        <w:t>池容·min)，搅拌混合需气量为0.04m</w:t>
      </w:r>
      <w:r>
        <w:rPr>
          <w:rFonts w:eastAsiaTheme="minorEastAsia"/>
          <w:color w:val="000000" w:themeColor="text1"/>
          <w:sz w:val="28"/>
          <w:szCs w:val="28"/>
          <w:vertAlign w:val="superscript"/>
        </w:rPr>
        <w:t>3</w:t>
      </w:r>
      <w:r>
        <w:rPr>
          <w:rFonts w:eastAsiaTheme="minorEastAsia"/>
          <w:color w:val="000000" w:themeColor="text1"/>
          <w:sz w:val="28"/>
          <w:szCs w:val="28"/>
        </w:rPr>
        <w:t>空气／(m</w:t>
      </w:r>
      <w:r>
        <w:rPr>
          <w:rFonts w:eastAsiaTheme="minorEastAsia"/>
          <w:color w:val="000000" w:themeColor="text1"/>
          <w:sz w:val="28"/>
          <w:szCs w:val="28"/>
          <w:vertAlign w:val="superscript"/>
        </w:rPr>
        <w:t>3</w:t>
      </w:r>
      <w:r>
        <w:rPr>
          <w:rFonts w:eastAsiaTheme="minorEastAsia"/>
          <w:color w:val="000000" w:themeColor="text1"/>
          <w:sz w:val="28"/>
          <w:szCs w:val="28"/>
        </w:rPr>
        <w:t>池容·min)～0.06m</w:t>
      </w:r>
      <w:r>
        <w:rPr>
          <w:rFonts w:eastAsiaTheme="minorEastAsia"/>
          <w:color w:val="000000" w:themeColor="text1"/>
          <w:sz w:val="28"/>
          <w:szCs w:val="28"/>
          <w:vertAlign w:val="superscript"/>
        </w:rPr>
        <w:t>3</w:t>
      </w:r>
      <w:r>
        <w:rPr>
          <w:rFonts w:eastAsiaTheme="minorEastAsia"/>
          <w:color w:val="000000" w:themeColor="text1"/>
          <w:sz w:val="28"/>
          <w:szCs w:val="28"/>
        </w:rPr>
        <w:t>空气／(m</w:t>
      </w:r>
      <w:r>
        <w:rPr>
          <w:rFonts w:eastAsiaTheme="minorEastAsia"/>
          <w:color w:val="000000" w:themeColor="text1"/>
          <w:sz w:val="28"/>
          <w:szCs w:val="28"/>
          <w:vertAlign w:val="superscript"/>
        </w:rPr>
        <w:t>3</w:t>
      </w:r>
      <w:r>
        <w:rPr>
          <w:rFonts w:eastAsiaTheme="minorEastAsia"/>
          <w:color w:val="000000" w:themeColor="text1"/>
          <w:sz w:val="28"/>
          <w:szCs w:val="28"/>
        </w:rPr>
        <w:t>池容·min)。</w:t>
      </w:r>
    </w:p>
    <w:p>
      <w:pPr>
        <w:wordWrap w:val="0"/>
        <w:rPr>
          <w:rFonts w:eastAsiaTheme="minorEastAsia"/>
          <w:color w:val="000000" w:themeColor="text1"/>
          <w:sz w:val="28"/>
          <w:szCs w:val="28"/>
        </w:rPr>
      </w:pPr>
      <w:r>
        <w:rPr>
          <w:rFonts w:eastAsiaTheme="minorEastAsia"/>
          <w:color w:val="000000" w:themeColor="text1"/>
          <w:sz w:val="28"/>
          <w:szCs w:val="28"/>
        </w:rPr>
        <w:t xml:space="preserve">    可见污泥好氧消化采用鼓风曝气时，搅拌混合需气量大于细胞自身氧化需气量，因此以混合搅拌需气量作为好氧消化池供气量设计控制参数。</w:t>
      </w:r>
    </w:p>
    <w:p>
      <w:pPr>
        <w:widowControl/>
        <w:wordWrap w:val="0"/>
        <w:ind w:firstLine="565" w:firstLineChars="202"/>
        <w:rPr>
          <w:rFonts w:eastAsiaTheme="minorEastAsia"/>
          <w:color w:val="000000" w:themeColor="text1"/>
          <w:sz w:val="28"/>
          <w:szCs w:val="28"/>
        </w:rPr>
      </w:pPr>
      <w:r>
        <w:rPr>
          <w:rFonts w:eastAsiaTheme="minorEastAsia"/>
          <w:color w:val="000000" w:themeColor="text1"/>
          <w:sz w:val="28"/>
          <w:szCs w:val="28"/>
        </w:rPr>
        <w:t>采用鼓风曝气时，空气扩散装置不必追求很高的氧转移率。微孔曝气器的空气洁净度要求高、易堵塞、气压损失较大、造价较高、维护管理工作量较大、混合搅拌作用较弱，因此好氧消化池宜采用中气泡空气扩散装置，如穿孔管、中气泡曝气盘等。</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当好氧消化池采用鼓风曝气时，其有效深度应根据鼓风机的输出风压、管路及曝气器的阻力损失确定，一般宜为5.0m～6.0m。好氧消化池的超高，不宜小于1.0m。</w:t>
      </w:r>
    </w:p>
    <w:p>
      <w:pPr>
        <w:wordWrap w:val="0"/>
        <w:rPr>
          <w:rFonts w:eastAsiaTheme="minorEastAsia"/>
          <w:color w:val="000000" w:themeColor="text1"/>
          <w:sz w:val="28"/>
          <w:szCs w:val="28"/>
        </w:rPr>
      </w:pPr>
      <w:r>
        <w:rPr>
          <w:rFonts w:eastAsiaTheme="minorEastAsia"/>
          <w:color w:val="000000" w:themeColor="text1"/>
          <w:sz w:val="28"/>
          <w:szCs w:val="28"/>
        </w:rPr>
        <w:t>【条文说明】当采用鼓风曝气时，应根据鼓风机的输出风压、管路和曝气器的阻力损失来确定好氧消化池的有效深度，一般鼓风机的出口风压为55kPa～65kPa，有效深度宜采用5.0m～6.0m。</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采用鼓风曝气时，易形成较高的泡沫层，所以好氧消化池的超高不宜小于1.0m。</w:t>
      </w:r>
    </w:p>
    <w:p>
      <w:pPr>
        <w:pStyle w:val="30"/>
        <w:numPr>
          <w:ilvl w:val="0"/>
          <w:numId w:val="52"/>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间歇运行的好氧消化池，应设有排出上清液的装置；连续运行的好氧消化池，宜设有排出上清液的装置。</w:t>
      </w:r>
      <w:bookmarkStart w:id="89" w:name="_Toc102292568"/>
    </w:p>
    <w:p>
      <w:pPr>
        <w:wordWrap w:val="0"/>
        <w:rPr>
          <w:rFonts w:eastAsiaTheme="minorEastAsia"/>
          <w:color w:val="000000" w:themeColor="text1"/>
          <w:sz w:val="28"/>
          <w:szCs w:val="28"/>
        </w:rPr>
      </w:pPr>
      <w:r>
        <w:rPr>
          <w:rFonts w:eastAsiaTheme="minorEastAsia"/>
          <w:color w:val="000000" w:themeColor="text1"/>
          <w:sz w:val="28"/>
          <w:szCs w:val="28"/>
        </w:rPr>
        <w:t>【条文说明】间歇运行的好氧消化池，一般其后不设泥水分离装置。在停止曝气期间利用静置沉淀实现泥水分离，因此消化池本身应设有排出上清液的措施，如各种可调或浮动堰式的排水装置。</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连续运行的好氧消化池，一般其后设有泥水分离装置。正常运行时，消化池本身不具泥水分离功能，可不使用上清液排出装置。但考虑检修等其他因素，宜设排出上清液的措施，如各种分层放水装置。</w:t>
      </w:r>
    </w:p>
    <w:p>
      <w:pPr>
        <w:pStyle w:val="3"/>
        <w:numPr>
          <w:ilvl w:val="0"/>
          <w:numId w:val="49"/>
        </w:numPr>
        <w:wordWrap w:val="0"/>
        <w:spacing w:before="312" w:beforeLines="100" w:after="312" w:afterLines="100" w:line="415" w:lineRule="auto"/>
        <w:ind w:left="420"/>
        <w:jc w:val="center"/>
        <w:rPr>
          <w:rFonts w:ascii="Times New Roman" w:hAnsi="Times New Roman" w:eastAsiaTheme="minorEastAsia"/>
          <w:b w:val="0"/>
          <w:color w:val="000000" w:themeColor="text1"/>
          <w:sz w:val="28"/>
          <w:szCs w:val="28"/>
        </w:rPr>
      </w:pPr>
      <w:r>
        <w:rPr>
          <w:rFonts w:ascii="Times New Roman" w:hAnsi="Times New Roman" w:eastAsiaTheme="minorEastAsia"/>
          <w:color w:val="000000" w:themeColor="text1"/>
          <w:sz w:val="28"/>
          <w:szCs w:val="28"/>
        </w:rPr>
        <w:t xml:space="preserve"> </w:t>
      </w:r>
      <w:bookmarkStart w:id="90" w:name="_Toc515281073"/>
      <w:r>
        <w:rPr>
          <w:rFonts w:ascii="Times New Roman" w:hAnsi="Times New Roman" w:eastAsiaTheme="minorEastAsia"/>
          <w:b w:val="0"/>
          <w:color w:val="000000" w:themeColor="text1"/>
          <w:sz w:val="28"/>
          <w:szCs w:val="28"/>
        </w:rPr>
        <w:t>污泥好氧发酵</w:t>
      </w:r>
      <w:bookmarkEnd w:id="90"/>
    </w:p>
    <w:p>
      <w:pPr>
        <w:pStyle w:val="31"/>
        <w:wordWrap w:val="0"/>
        <w:ind w:left="420" w:firstLine="0" w:firstLineChars="0"/>
        <w:jc w:val="center"/>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I 一般规定</w:t>
      </w:r>
    </w:p>
    <w:p>
      <w:pPr>
        <w:pStyle w:val="30"/>
        <w:numPr>
          <w:ilvl w:val="0"/>
          <w:numId w:val="5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采用好氧发酵的污泥，应符合下列规定：</w:t>
      </w:r>
    </w:p>
    <w:p>
      <w:pPr>
        <w:pStyle w:val="30"/>
        <w:wordWrap w:val="0"/>
        <w:spacing w:line="360" w:lineRule="auto"/>
        <w:ind w:firstLine="427" w:firstLineChars="15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 xml:space="preserve"> 含水率不宜高于80%；</w:t>
      </w:r>
    </w:p>
    <w:p>
      <w:pPr>
        <w:pStyle w:val="30"/>
        <w:wordWrap w:val="0"/>
        <w:spacing w:line="360" w:lineRule="auto"/>
        <w:ind w:firstLine="427" w:firstLineChars="15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 xml:space="preserve"> 有机物含量不宜低于40%；</w:t>
      </w:r>
    </w:p>
    <w:p>
      <w:pPr>
        <w:pStyle w:val="30"/>
        <w:wordWrap w:val="0"/>
        <w:spacing w:line="360" w:lineRule="auto"/>
        <w:ind w:firstLine="427" w:firstLineChars="15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3</w:t>
      </w:r>
      <w:r>
        <w:rPr>
          <w:rFonts w:ascii="Times New Roman" w:hAnsi="Times New Roman" w:eastAsiaTheme="minorEastAsia"/>
          <w:color w:val="000000" w:themeColor="text1"/>
          <w:sz w:val="28"/>
          <w:szCs w:val="28"/>
        </w:rPr>
        <w:t>有害物质含量应符合现行国家标准《城镇污水处理厂污泥泥质》GB 24188的规定。</w:t>
      </w:r>
    </w:p>
    <w:p>
      <w:pPr>
        <w:pStyle w:val="30"/>
        <w:numPr>
          <w:ilvl w:val="0"/>
          <w:numId w:val="5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污泥好氧发酵系统应包括混料、发酵、供氧、除臭等设施。</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【条文说明】污泥好氧发酵系统应包括混料、发酵、供氧、除臭等设施，基本工艺流程如图8所示。</w:t>
      </w:r>
    </w:p>
    <w:p>
      <w:pPr>
        <w:pStyle w:val="30"/>
        <w:widowControl/>
        <w:spacing w:before="150" w:after="150"/>
        <w:ind w:left="340" w:right="150" w:firstLine="0" w:firstLineChars="0"/>
        <w:rPr>
          <w:rFonts w:ascii="Times New Roman" w:hAnsi="Times New Roman"/>
          <w:kern w:val="0"/>
          <w:sz w:val="28"/>
          <w:szCs w:val="28"/>
        </w:rPr>
      </w:pPr>
      <w:r>
        <w:rPr>
          <w:rFonts w:ascii="Times New Roman" w:hAnsi="Times New Roman"/>
          <w:sz w:val="28"/>
          <w:szCs w:val="28"/>
        </w:rPr>
        <w:pict>
          <v:group id="画布 66" o:spid="_x0000_s1068" o:spt="203" style="height:204.9pt;width:439.2pt;" coordsize="55778,26022" editas="canvas">
            <o:lock v:ext="edit"/>
            <v:shape id="画布 66" o:spid="_x0000_s1069" o:spt="75" type="#_x0000_t75" style="position:absolute;left:0;top:0;height:26022;width:55778;" filled="f" o:preferrelative="t" stroked="f" coordsize="21600,21600">
              <v:path/>
              <v:fill on="f" focussize="0,0"/>
              <v:stroke on="f" joinstyle="miter"/>
              <v:imagedata o:title=""/>
              <o:lock v:ext="edit" aspectratio="t"/>
            </v:shape>
            <v:rect id="Rectangle 9" o:spid="_x0000_s1070" o:spt="1" style="position:absolute;left:37912;top:13716;height:2880;width:1070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path/>
              <v:fill focussize="0,0"/>
              <v:stroke/>
              <v:imagedata o:title=""/>
              <o:lock v:ext="edit"/>
              <v:textbox>
                <w:txbxContent>
                  <w:p>
                    <w:pPr>
                      <w:spacing w:line="240" w:lineRule="auto"/>
                      <w:jc w:val="center"/>
                      <w:rPr>
                        <w:sz w:val="22"/>
                      </w:rPr>
                    </w:pPr>
                    <w:r>
                      <w:rPr>
                        <w:rFonts w:hint="eastAsia"/>
                        <w:sz w:val="22"/>
                      </w:rPr>
                      <w:t>发酵产物储存</w:t>
                    </w:r>
                  </w:p>
                </w:txbxContent>
              </v:textbox>
            </v:rect>
            <v:rect id="Rectangle 4" o:spid="_x0000_s1071" o:spt="1" style="position:absolute;left:571;top:13701;height:2889;width:683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path/>
              <v:fill focussize="0,0"/>
              <v:stroke/>
              <v:imagedata o:title=""/>
              <o:lock v:ext="edit"/>
              <v:textbox>
                <w:txbxContent>
                  <w:p>
                    <w:pPr>
                      <w:spacing w:line="240" w:lineRule="auto"/>
                      <w:jc w:val="center"/>
                      <w:rPr>
                        <w:sz w:val="22"/>
                      </w:rPr>
                    </w:pPr>
                    <w:r>
                      <w:rPr>
                        <w:rFonts w:hint="eastAsia"/>
                        <w:sz w:val="22"/>
                      </w:rPr>
                      <w:t>污泥</w:t>
                    </w:r>
                  </w:p>
                </w:txbxContent>
              </v:textbox>
            </v:rect>
            <v:rect id="Rectangle 5" o:spid="_x0000_s1072" o:spt="1" style="position:absolute;left:571;top:20229;height:2889;width:683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path/>
              <v:fill focussize="0,0"/>
              <v:stroke/>
              <v:imagedata o:title=""/>
              <o:lock v:ext="edit"/>
              <v:textbox>
                <w:txbxContent>
                  <w:p>
                    <w:pPr>
                      <w:spacing w:line="240" w:lineRule="auto"/>
                      <w:jc w:val="center"/>
                      <w:rPr>
                        <w:sz w:val="22"/>
                      </w:rPr>
                    </w:pPr>
                    <w:r>
                      <w:rPr>
                        <w:rFonts w:hint="eastAsia"/>
                        <w:sz w:val="22"/>
                      </w:rPr>
                      <w:t>返混料</w:t>
                    </w:r>
                  </w:p>
                </w:txbxContent>
              </v:textbox>
            </v:rect>
            <v:rect id="Rectangle 6" o:spid="_x0000_s1073" o:spt="1" style="position:absolute;left:571;top:6957;height:2889;width:683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path/>
              <v:fill focussize="0,0"/>
              <v:stroke/>
              <v:imagedata o:title=""/>
              <o:lock v:ext="edit"/>
              <v:textbox>
                <w:txbxContent>
                  <w:p>
                    <w:pPr>
                      <w:spacing w:line="240" w:lineRule="auto"/>
                      <w:jc w:val="center"/>
                      <w:rPr>
                        <w:sz w:val="22"/>
                      </w:rPr>
                    </w:pPr>
                    <w:r>
                      <w:rPr>
                        <w:rFonts w:hint="eastAsia"/>
                        <w:sz w:val="22"/>
                      </w:rPr>
                      <w:t>辅料</w:t>
                    </w:r>
                  </w:p>
                </w:txbxContent>
              </v:textbox>
            </v:rect>
            <v:rect id="Rectangle 7" o:spid="_x0000_s1074" o:spt="1" style="position:absolute;left:10951;top:13682;height:2890;width:549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path/>
              <v:fill focussize="0,0"/>
              <v:stroke/>
              <v:imagedata o:title=""/>
              <o:lock v:ext="edit"/>
              <v:textbox>
                <w:txbxContent>
                  <w:p>
                    <w:pPr>
                      <w:spacing w:line="240" w:lineRule="auto"/>
                      <w:jc w:val="center"/>
                      <w:rPr>
                        <w:sz w:val="22"/>
                      </w:rPr>
                    </w:pPr>
                    <w:r>
                      <w:rPr>
                        <w:rFonts w:hint="eastAsia"/>
                        <w:sz w:val="22"/>
                      </w:rPr>
                      <w:t>混料系统</w:t>
                    </w:r>
                  </w:p>
                </w:txbxContent>
              </v:textbox>
            </v:rect>
            <v:rect id="Rectangle 8" o:spid="_x0000_s1075" o:spt="1" style="position:absolute;left:18222;top:12814;height:4680;width:1797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path/>
              <v:fill focussize="0,0"/>
              <v:stroke/>
              <v:imagedata o:title=""/>
              <o:lock v:ext="edit"/>
              <v:textbox>
                <w:txbxContent>
                  <w:p>
                    <w:pPr>
                      <w:spacing w:line="240" w:lineRule="auto"/>
                      <w:jc w:val="center"/>
                      <w:rPr>
                        <w:sz w:val="22"/>
                      </w:rPr>
                    </w:pPr>
                  </w:p>
                </w:txbxContent>
              </v:textbox>
            </v:rect>
            <v:rect id="Rectangle 10" o:spid="_x0000_s1076" o:spt="1" style="position:absolute;left:23084;top:6557;height:2889;width:828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path/>
              <v:fill focussize="0,0"/>
              <v:stroke/>
              <v:imagedata o:title=""/>
              <o:lock v:ext="edit"/>
              <v:textbox>
                <w:txbxContent>
                  <w:p>
                    <w:pPr>
                      <w:spacing w:line="240" w:lineRule="auto"/>
                      <w:jc w:val="center"/>
                      <w:rPr>
                        <w:sz w:val="22"/>
                      </w:rPr>
                    </w:pPr>
                    <w:r>
                      <w:rPr>
                        <w:rFonts w:hint="eastAsia"/>
                        <w:sz w:val="22"/>
                      </w:rPr>
                      <w:t>除臭系统</w:t>
                    </w:r>
                  </w:p>
                </w:txbxContent>
              </v:textbox>
            </v:rect>
            <v:rect id="Rectangle 11" o:spid="_x0000_s1077" o:spt="1" style="position:absolute;left:21852;top:360;height:2895;width:11157;"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v:path/>
              <v:fill focussize="0,0"/>
              <v:stroke on="f"/>
              <v:imagedata o:title=""/>
              <o:lock v:ext="edit"/>
              <v:textbox>
                <w:txbxContent>
                  <w:p>
                    <w:pPr>
                      <w:spacing w:line="240" w:lineRule="auto"/>
                      <w:jc w:val="center"/>
                      <w:rPr>
                        <w:sz w:val="22"/>
                      </w:rPr>
                    </w:pPr>
                    <w:r>
                      <w:rPr>
                        <w:rFonts w:hint="eastAsia"/>
                        <w:sz w:val="22"/>
                      </w:rPr>
                      <w:t>废气达标排放</w:t>
                    </w:r>
                  </w:p>
                </w:txbxContent>
              </v:textbox>
            </v:rect>
            <v:rect id="Rectangle 12" o:spid="_x0000_s1078" o:spt="1" style="position:absolute;left:22986;top:20893;height:2889;width:828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path/>
              <v:fill focussize="0,0"/>
              <v:stroke/>
              <v:imagedata o:title=""/>
              <o:lock v:ext="edit"/>
              <v:textbox>
                <w:txbxContent>
                  <w:p>
                    <w:pPr>
                      <w:spacing w:line="240" w:lineRule="auto"/>
                      <w:jc w:val="center"/>
                      <w:rPr>
                        <w:sz w:val="22"/>
                      </w:rPr>
                    </w:pPr>
                    <w:r>
                      <w:rPr>
                        <w:rFonts w:hint="eastAsia"/>
                        <w:sz w:val="22"/>
                      </w:rPr>
                      <w:t>供氧系统</w:t>
                    </w:r>
                  </w:p>
                </w:txbxContent>
              </v:textbox>
            </v:rect>
            <v:shape id="AutoShape 16" o:spid="_x0000_s1079" o:spt="32" type="#_x0000_t32" style="position:absolute;left:7410;top:15127;flip:y;height:18;width:3541;"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path arrowok="t"/>
              <v:fill on="f" focussize="0,0"/>
              <v:stroke endarrow="block"/>
              <v:imagedata o:title=""/>
              <o:lock v:ext="edit"/>
            </v:shape>
            <v:shape id="AutoShape 17" o:spid="_x0000_s1080" o:spt="34" type="#_x0000_t34" style="position:absolute;left:7410;top:8402;height:6725;width:3541;"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BtcMAAADbAAAADwAAAGRycy9kb3ducmV2LnhtbESPQWsCMRSE70L/Q3gFL6JZK4qsRpGi&#10;IPQg2uL5uXnNLt28bJN03f57Iwgeh5n5hlmuO1uLlnyoHCsYjzIQxIXTFRsFX5+74RxEiMgaa8ek&#10;4J8CrFcvvSXm2l35SO0pGpEgHHJUUMbY5FKGoiSLYeQa4uR9O28xJumN1B6vCW5r+ZZlM2mx4rRQ&#10;YkPvJRU/pz+rwAyo/S0ufsO7s45Hc7jMtvWHUv3XbrMAEamLz/CjvdcKphO4f0k/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jwbXDAAAA2wAAAA8AAAAAAAAAAAAA&#10;AAAAoQIAAGRycy9kb3ducmV2LnhtbFBLBQYAAAAABAAEAPkAAACRAwAAAAA=&#10;">
              <v:path arrowok="t"/>
              <v:fill on="f" focussize="0,0"/>
              <v:stroke endarrow="block"/>
              <v:imagedata o:title=""/>
              <o:lock v:ext="edit"/>
            </v:shape>
            <v:shape id="AutoShape 18" o:spid="_x0000_s1081" o:spt="34" type="#_x0000_t34" style="position:absolute;left:7410;top:15127;flip:y;height:6546;width:3541;"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FvsQAAADbAAAADwAAAGRycy9kb3ducmV2LnhtbESPQYvCMBSE74L/ITzBi6ypoot0jSLL&#10;KnpRdNXzo3nbVpuX0kSt/nojCHscZuYbZjytTSGuVLncsoJeNwJBnFidc6pg/zv/GIFwHlljYZkU&#10;3MnBdNJsjDHW9sZbuu58KgKEXYwKMu/LWEqXZGTQdW1JHLw/Wxn0QVap1BXeAtwUsh9Fn9JgzmEh&#10;w5K+M0rOu4tRsKVDTz42xbGz+NGnZLTaR+vlWal2q559gfBU+//wu73UCoYDeH0JP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98W+xAAAANsAAAAPAAAAAAAAAAAA&#10;AAAAAKECAABkcnMvZG93bnJldi54bWxQSwUGAAAAAAQABAD5AAAAkgMAAAAA&#10;">
              <v:path arrowok="t"/>
              <v:fill on="f" focussize="0,0"/>
              <v:stroke endarrow="block"/>
              <v:imagedata o:title=""/>
              <o:lock v:ext="edit"/>
            </v:shape>
            <v:shape id="AutoShape 19" o:spid="_x0000_s1082" o:spt="32" type="#_x0000_t32" style="position:absolute;left:16446;top:15127;height:27;width:177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path arrowok="t"/>
              <v:fill on="f" focussize="0,0"/>
              <v:stroke endarrow="block"/>
              <v:imagedata o:title=""/>
              <o:lock v:ext="edit"/>
            </v:shape>
            <v:shape id="AutoShape 21" o:spid="_x0000_s1083" o:spt="32" type="#_x0000_t32" style="position:absolute;left:27208;top:9446;flip:y;height:3368;width:1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path arrowok="t"/>
              <v:fill on="f" focussize="0,0"/>
              <v:stroke endarrow="block"/>
              <v:imagedata o:title=""/>
              <o:lock v:ext="edit"/>
            </v:shape>
            <v:shape id="AutoShape 22" o:spid="_x0000_s1084" o:spt="32" type="#_x0000_t32" style="position:absolute;left:27218;top:3255;flip:x y;height:3302;width: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oiJcQAAADbAAAADwAAAGRycy9kb3ducmV2LnhtbESPT2vCQBTE74V+h+UJvdWNIWqNrlJa&#10;CkV68c+hx0f2uQlm34bsq6bfvisIPQ4z8xtmtRl8qy7Uxyawgck4A0VcBduwM3A8fDy/gIqCbLEN&#10;TAZ+KcJm/fiwwtKGK+/oshenEoRjiQZqka7UOlY1eYzj0BEn7xR6j5Jk77Tt8ZrgvtV5ls20x4bT&#10;Qo0dvdVUnfc/3sD30X8t8uLdu8IdZCe0bfJiZszTaHhdghIa5D98b39aA9M53L6kH6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iIlxAAAANsAAAAPAAAAAAAAAAAA&#10;AAAAAKECAABkcnMvZG93bnJldi54bWxQSwUGAAAAAAQABAD5AAAAkgMAAAAA&#10;">
              <v:path arrowok="t"/>
              <v:fill on="f" focussize="0,0"/>
              <v:stroke endarrow="block"/>
              <v:imagedata o:title=""/>
              <o:lock v:ext="edit"/>
            </v:shape>
            <v:shape id="AutoShape 23" o:spid="_x0000_s1085" o:spt="32" type="#_x0000_t32" style="position:absolute;left:36195;top:15154;height:2;width:1717;"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path arrowok="t"/>
              <v:fill on="f" focussize="0,0"/>
              <v:stroke endarrow="block"/>
              <v:imagedata o:title=""/>
              <o:lock v:ext="edit"/>
            </v:shape>
            <v:shape id="AutoShape 24" o:spid="_x0000_s1086" o:spt="35" type="#_x0000_t35" style="position:absolute;left:3990;top:15263;flip:y;height:7855;width:33078;rotation:11796480f;" o:connectortype="elbow"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zwhMMAAADbAAAADwAAAGRycy9kb3ducmV2LnhtbESP3WoCMRSE7wu+QzgF72q2hYpujbIK&#10;Qi+U+tMHOGxOk+1uTpZNuq5vbwqCl8PMfMMsVoNrRE9dqDwreJ1kIIhLrys2Cr7P25cZiBCRNTae&#10;ScGVAqyWo6cF5tpf+Ej9KRqRIBxyVGBjbHMpQ2nJYZj4ljh5P75zGJPsjNQdXhLcNfIty6bSYcVp&#10;wWJLG0tlffpzCva9qdfTX0OWv+rNVW8LuzsUSo2fh+IDRKQhPsL39qdW8D6H/y/p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M8ITDAAAA2wAAAA8AAAAAAAAAAAAA&#10;AAAAoQIAAGRycy9kb3ducmV2LnhtbFBLBQYAAAAABAAEAPkAAACRAwAAAAA=&#10;" adj="9,27886">
              <v:path arrowok="t"/>
              <v:fill on="f" focussize="0,0"/>
              <v:stroke endarrow="block"/>
              <v:imagedata o:title=""/>
              <o:lock v:ext="edit"/>
            </v:shape>
            <v:rect id="Rectangle 7" o:spid="_x0000_s1087" o:spt="1" style="position:absolute;left:18572;top:13686;height:2889;width:784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path/>
              <v:fill focussize="0,0"/>
              <v:stroke/>
              <v:imagedata o:title=""/>
              <o:lock v:ext="edit"/>
              <v:textbox>
                <w:txbxContent>
                  <w:p>
                    <w:pPr>
                      <w:spacing w:line="240" w:lineRule="auto"/>
                      <w:jc w:val="center"/>
                      <w:rPr>
                        <w:sz w:val="22"/>
                      </w:rPr>
                    </w:pPr>
                    <w:r>
                      <w:rPr>
                        <w:rFonts w:hint="eastAsia"/>
                        <w:sz w:val="22"/>
                      </w:rPr>
                      <w:t>一次发酵</w:t>
                    </w:r>
                  </w:p>
                </w:txbxContent>
              </v:textbox>
            </v:rect>
            <v:rect id="Rectangle 7" o:spid="_x0000_s1088" o:spt="1" style="position:absolute;left:28033;top:13686;height:2889;width:7844;"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path/>
              <v:fill focussize="0,0"/>
              <v:stroke/>
              <v:imagedata o:title=""/>
              <o:lock v:ext="edit"/>
              <v:textbox>
                <w:txbxContent>
                  <w:p>
                    <w:pPr>
                      <w:spacing w:line="240" w:lineRule="auto"/>
                      <w:jc w:val="center"/>
                      <w:rPr>
                        <w:sz w:val="22"/>
                      </w:rPr>
                    </w:pPr>
                    <w:r>
                      <w:rPr>
                        <w:rFonts w:hint="eastAsia"/>
                        <w:sz w:val="22"/>
                      </w:rPr>
                      <w:t>二次发酵</w:t>
                    </w:r>
                  </w:p>
                </w:txbxContent>
              </v:textbox>
            </v:rect>
            <v:shape id="AutoShape 23" o:spid="_x0000_s1089" o:spt="32" type="#_x0000_t32" style="position:absolute;left:26289;top:15120;flip:y;height:34;width:1717;"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path arrowok="t"/>
              <v:fill on="f" focussize="0,0"/>
              <v:stroke endarrow="block"/>
              <v:imagedata o:title=""/>
              <o:lock v:ext="edit"/>
            </v:shape>
            <v:shape id="AutoShape 21" o:spid="_x0000_s1090" o:spt="32" type="#_x0000_t32" style="position:absolute;left:27103;top:17638;flip:y;height:3368;width:16;"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path arrowok="t"/>
              <v:fill on="f" focussize="0,0"/>
              <v:stroke endarrow="block"/>
              <v:imagedata o:title=""/>
              <o:lock v:ext="edit"/>
            </v:shape>
            <v:rect id="Rectangle 15" o:spid="_x0000_s1091" o:spt="1" style="position:absolute;left:50101;top:13893;height:2947;width:4763;"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v:path/>
              <v:fill focussize="0,0"/>
              <v:stroke on="f"/>
              <v:imagedata o:title=""/>
              <o:lock v:ext="edit"/>
              <v:textbox>
                <w:txbxContent>
                  <w:p>
                    <w:pPr>
                      <w:spacing w:line="240" w:lineRule="auto"/>
                      <w:jc w:val="center"/>
                      <w:rPr>
                        <w:sz w:val="22"/>
                      </w:rPr>
                    </w:pPr>
                    <w:r>
                      <w:rPr>
                        <w:rFonts w:hint="eastAsia"/>
                        <w:sz w:val="22"/>
                      </w:rPr>
                      <w:t>外运</w:t>
                    </w:r>
                  </w:p>
                </w:txbxContent>
              </v:textbox>
            </v:rect>
            <v:shape id="AutoShape 25" o:spid="_x0000_s1092" o:spt="32" type="#_x0000_t32" style="position:absolute;left:48640;top:15349;height:0;width:1974;"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path arrowok="t"/>
              <v:fill on="f" focussize="0,0"/>
              <v:stroke endarrow="block"/>
              <v:imagedata o:title=""/>
              <o:lock v:ext="edit"/>
            </v:shape>
            <w10:wrap type="none"/>
            <w10:anchorlock/>
          </v:group>
        </w:pic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图8污泥好氧发酵工艺流程</w:t>
      </w:r>
    </w:p>
    <w:p>
      <w:pPr>
        <w:pStyle w:val="30"/>
        <w:numPr>
          <w:ilvl w:val="0"/>
          <w:numId w:val="5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污泥好氧发酵工艺可根据物料发酵分段、翻堆方式、供氧方式和反应器类型进行分类，工艺分类及其类型宜符合表8.4.3的规定。</w:t>
      </w:r>
    </w:p>
    <w:p>
      <w:pPr>
        <w:spacing w:line="360" w:lineRule="auto"/>
        <w:jc w:val="center"/>
        <w:rPr>
          <w:rFonts w:eastAsia="宋体"/>
          <w:b/>
          <w:sz w:val="28"/>
          <w:szCs w:val="28"/>
        </w:rPr>
      </w:pPr>
      <w:r>
        <w:rPr>
          <w:rFonts w:eastAsia="宋体"/>
          <w:b/>
          <w:sz w:val="28"/>
          <w:szCs w:val="28"/>
        </w:rPr>
        <w:t>表8.</w:t>
      </w:r>
      <w:r>
        <w:rPr>
          <w:rFonts w:hint="eastAsia" w:eastAsia="宋体"/>
          <w:b/>
          <w:sz w:val="28"/>
          <w:szCs w:val="28"/>
        </w:rPr>
        <w:t>4</w:t>
      </w:r>
      <w:r>
        <w:rPr>
          <w:rFonts w:eastAsia="宋体"/>
          <w:b/>
          <w:sz w:val="28"/>
          <w:szCs w:val="28"/>
        </w:rPr>
        <w:t>.3 污泥好氧发酵工艺分类及其类型</w:t>
      </w:r>
    </w:p>
    <w:tbl>
      <w:tblPr>
        <w:tblStyle w:val="26"/>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9"/>
        <w:gridCol w:w="6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9" w:type="dxa"/>
          </w:tcPr>
          <w:p>
            <w:pPr>
              <w:spacing w:line="360" w:lineRule="auto"/>
              <w:jc w:val="center"/>
              <w:rPr>
                <w:rFonts w:eastAsia="宋体"/>
                <w:sz w:val="28"/>
                <w:szCs w:val="28"/>
              </w:rPr>
            </w:pPr>
            <w:r>
              <w:rPr>
                <w:rFonts w:eastAsia="宋体"/>
                <w:sz w:val="28"/>
                <w:szCs w:val="28"/>
              </w:rPr>
              <w:t>分类方式</w:t>
            </w:r>
          </w:p>
        </w:tc>
        <w:tc>
          <w:tcPr>
            <w:tcW w:w="6169" w:type="dxa"/>
          </w:tcPr>
          <w:p>
            <w:pPr>
              <w:spacing w:line="360" w:lineRule="auto"/>
              <w:jc w:val="center"/>
              <w:rPr>
                <w:rFonts w:eastAsia="宋体"/>
                <w:sz w:val="28"/>
                <w:szCs w:val="28"/>
              </w:rPr>
            </w:pPr>
            <w:r>
              <w:rPr>
                <w:rFonts w:eastAsia="宋体"/>
                <w:sz w:val="28"/>
                <w:szCs w:val="28"/>
              </w:rPr>
              <w:t>工艺类型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9" w:type="dxa"/>
          </w:tcPr>
          <w:p>
            <w:pPr>
              <w:spacing w:line="360" w:lineRule="auto"/>
              <w:jc w:val="center"/>
              <w:rPr>
                <w:rFonts w:eastAsia="宋体"/>
                <w:sz w:val="28"/>
                <w:szCs w:val="28"/>
              </w:rPr>
            </w:pPr>
            <w:r>
              <w:rPr>
                <w:rFonts w:eastAsia="宋体"/>
                <w:sz w:val="28"/>
                <w:szCs w:val="28"/>
              </w:rPr>
              <w:t>发酵分段</w:t>
            </w:r>
          </w:p>
        </w:tc>
        <w:tc>
          <w:tcPr>
            <w:tcW w:w="6169" w:type="dxa"/>
          </w:tcPr>
          <w:p>
            <w:pPr>
              <w:spacing w:line="360" w:lineRule="auto"/>
              <w:jc w:val="center"/>
              <w:rPr>
                <w:rFonts w:eastAsia="宋体"/>
                <w:sz w:val="28"/>
                <w:szCs w:val="28"/>
              </w:rPr>
            </w:pPr>
            <w:r>
              <w:rPr>
                <w:rFonts w:eastAsia="宋体"/>
                <w:sz w:val="28"/>
                <w:szCs w:val="28"/>
              </w:rPr>
              <w:t>一次发酵；二次发酵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9" w:type="dxa"/>
          </w:tcPr>
          <w:p>
            <w:pPr>
              <w:spacing w:line="360" w:lineRule="auto"/>
              <w:jc w:val="center"/>
              <w:rPr>
                <w:rFonts w:eastAsia="宋体"/>
                <w:sz w:val="28"/>
                <w:szCs w:val="28"/>
              </w:rPr>
            </w:pPr>
            <w:r>
              <w:rPr>
                <w:rFonts w:eastAsia="宋体"/>
                <w:sz w:val="28"/>
                <w:szCs w:val="28"/>
              </w:rPr>
              <w:t>翻堆方式</w:t>
            </w:r>
          </w:p>
        </w:tc>
        <w:tc>
          <w:tcPr>
            <w:tcW w:w="6169" w:type="dxa"/>
          </w:tcPr>
          <w:p>
            <w:pPr>
              <w:spacing w:line="360" w:lineRule="auto"/>
              <w:jc w:val="center"/>
              <w:rPr>
                <w:rFonts w:eastAsia="宋体"/>
                <w:sz w:val="28"/>
                <w:szCs w:val="28"/>
              </w:rPr>
            </w:pPr>
            <w:r>
              <w:rPr>
                <w:rFonts w:eastAsia="宋体"/>
                <w:sz w:val="28"/>
                <w:szCs w:val="28"/>
              </w:rPr>
              <w:t>静态；间歇动态（半动态）；动态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359" w:type="dxa"/>
          </w:tcPr>
          <w:p>
            <w:pPr>
              <w:spacing w:line="360" w:lineRule="auto"/>
              <w:jc w:val="center"/>
              <w:rPr>
                <w:rFonts w:eastAsia="宋体"/>
                <w:sz w:val="28"/>
                <w:szCs w:val="28"/>
              </w:rPr>
            </w:pPr>
            <w:r>
              <w:rPr>
                <w:rFonts w:eastAsia="宋体"/>
                <w:sz w:val="28"/>
                <w:szCs w:val="28"/>
              </w:rPr>
              <w:t>供氧方式</w:t>
            </w:r>
          </w:p>
        </w:tc>
        <w:tc>
          <w:tcPr>
            <w:tcW w:w="6169" w:type="dxa"/>
          </w:tcPr>
          <w:p>
            <w:pPr>
              <w:spacing w:line="360" w:lineRule="auto"/>
              <w:jc w:val="center"/>
              <w:rPr>
                <w:rFonts w:eastAsia="宋体"/>
                <w:sz w:val="28"/>
                <w:szCs w:val="28"/>
              </w:rPr>
            </w:pPr>
            <w:r>
              <w:rPr>
                <w:rFonts w:eastAsia="宋体"/>
                <w:sz w:val="28"/>
                <w:szCs w:val="28"/>
              </w:rPr>
              <w:t>自然通风；强制通风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9" w:type="dxa"/>
          </w:tcPr>
          <w:p>
            <w:pPr>
              <w:spacing w:line="360" w:lineRule="auto"/>
              <w:jc w:val="center"/>
              <w:rPr>
                <w:rFonts w:eastAsia="宋体"/>
                <w:sz w:val="28"/>
                <w:szCs w:val="28"/>
              </w:rPr>
            </w:pPr>
            <w:r>
              <w:rPr>
                <w:rFonts w:eastAsia="宋体"/>
                <w:sz w:val="28"/>
                <w:szCs w:val="28"/>
              </w:rPr>
              <w:t>反应器类型</w:t>
            </w:r>
          </w:p>
        </w:tc>
        <w:tc>
          <w:tcPr>
            <w:tcW w:w="6169" w:type="dxa"/>
          </w:tcPr>
          <w:p>
            <w:pPr>
              <w:spacing w:line="360" w:lineRule="auto"/>
              <w:jc w:val="center"/>
              <w:rPr>
                <w:rFonts w:eastAsia="宋体"/>
                <w:sz w:val="28"/>
                <w:szCs w:val="28"/>
              </w:rPr>
            </w:pPr>
            <w:r>
              <w:rPr>
                <w:rFonts w:eastAsia="宋体"/>
                <w:sz w:val="28"/>
                <w:szCs w:val="28"/>
              </w:rPr>
              <w:t>条垛式；槽式（仓式）；回转筒式、卧式</w:t>
            </w:r>
          </w:p>
        </w:tc>
      </w:tr>
    </w:tbl>
    <w:p>
      <w:pPr>
        <w:pStyle w:val="31"/>
        <w:ind w:firstLine="0" w:firstLineChars="0"/>
        <w:jc w:val="left"/>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【条文说明】主要根据物料发酵分段、翻堆方式、通风方式和反应器类型进行分类。一次发酵和二次发酵所采用的工艺类型要根据实际的稳定化和无害化要求进行选择。</w:t>
      </w:r>
    </w:p>
    <w:p>
      <w:pPr>
        <w:pStyle w:val="31"/>
        <w:wordWrap w:val="0"/>
        <w:ind w:firstLine="560"/>
        <w:jc w:val="left"/>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静态、间歇动态、动态好氧发酵是根据发酵反应器内物料的翻堆方式作出的分类。完全不翻堆为静态，间歇性的翻堆为间歇动态，持续性的翻堆为动态。</w:t>
      </w:r>
    </w:p>
    <w:p>
      <w:pPr>
        <w:pStyle w:val="31"/>
        <w:wordWrap w:val="0"/>
        <w:ind w:firstLine="560"/>
        <w:jc w:val="left"/>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槽式反应器又称仓式反应器。</w:t>
      </w:r>
    </w:p>
    <w:p>
      <w:pPr>
        <w:pStyle w:val="31"/>
        <w:wordWrap w:val="0"/>
        <w:ind w:firstLine="560"/>
        <w:jc w:val="left"/>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回转筒式反应器又称滚筒式反应器或达诺筒（DANO）式反应器。</w:t>
      </w:r>
    </w:p>
    <w:p>
      <w:pPr>
        <w:pStyle w:val="30"/>
        <w:numPr>
          <w:ilvl w:val="0"/>
          <w:numId w:val="5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污泥接收区、混料区、发酵处理区、发酵产物储存区的地面及周边车行道应进行防渗处理。</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【条文说明】为防止污泥好氧发酵中产生的污泥水对土壤、地下水等产生污染，必须设置防渗层做好防渗措施。</w:t>
      </w:r>
    </w:p>
    <w:p>
      <w:pPr>
        <w:pStyle w:val="30"/>
        <w:numPr>
          <w:ilvl w:val="0"/>
          <w:numId w:val="5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北方寒冷地区的污泥好氧发酵工程，应采取措施保证好氧发酵车间环境温度不低于5</w:t>
      </w:r>
      <w:r>
        <w:rPr>
          <w:rFonts w:ascii="Times New Roman" w:hAnsi="Times New Roman" w:eastAsia="宋体"/>
          <w:color w:val="000000" w:themeColor="text1"/>
          <w:sz w:val="28"/>
          <w:szCs w:val="28"/>
        </w:rPr>
        <w:t>°C</w:t>
      </w:r>
      <w:r>
        <w:rPr>
          <w:rFonts w:ascii="Times New Roman" w:hAnsi="Times New Roman" w:eastAsiaTheme="minorEastAsia"/>
          <w:color w:val="000000" w:themeColor="text1"/>
          <w:sz w:val="28"/>
          <w:szCs w:val="28"/>
        </w:rPr>
        <w:t>，并应采取措施防止冷凝水回滴至发酵堆体。</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【条文说明】当环境温度较低时，不利于污泥好氧发酵堆体升温和高温期的持续，因此应采取措施保证污泥好氧发酵车间环境温度不低于5</w:t>
      </w:r>
      <w:r>
        <w:rPr>
          <w:rFonts w:eastAsia="宋体"/>
          <w:color w:val="000000" w:themeColor="text1"/>
          <w:sz w:val="28"/>
          <w:szCs w:val="28"/>
        </w:rPr>
        <w:t>°C</w:t>
      </w:r>
      <w:r>
        <w:rPr>
          <w:rFonts w:eastAsiaTheme="minorEastAsia"/>
          <w:color w:val="000000" w:themeColor="text1"/>
          <w:sz w:val="28"/>
          <w:szCs w:val="28"/>
        </w:rPr>
        <w:t>，并应通过设气体导流系统、冷凝器、冷凝水收集管路等措施，预防和解决冷凝水回滴问题。</w:t>
      </w:r>
    </w:p>
    <w:p>
      <w:pPr>
        <w:pStyle w:val="30"/>
        <w:wordWrap w:val="0"/>
        <w:spacing w:line="360" w:lineRule="auto"/>
        <w:ind w:firstLine="0" w:firstLineChars="0"/>
        <w:jc w:val="center"/>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II 混料系统</w:t>
      </w:r>
    </w:p>
    <w:p>
      <w:pPr>
        <w:pStyle w:val="30"/>
        <w:numPr>
          <w:ilvl w:val="0"/>
          <w:numId w:val="53"/>
        </w:numPr>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污泥、辅料和返混料的配比应根据三者的含水率、有机物含量、碳氮比等经计算确定，冬季可适当提高辅料投加比例。</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w:t>
      </w:r>
      <w:r>
        <w:rPr>
          <w:rFonts w:eastAsiaTheme="minorEastAsia"/>
          <w:sz w:val="28"/>
          <w:szCs w:val="28"/>
        </w:rPr>
        <w:t>污泥好氧发酵可添加辅料和返混料以调节物料的含水率、孔隙率和营养物质比例，</w:t>
      </w:r>
      <w:r>
        <w:rPr>
          <w:rFonts w:eastAsiaTheme="minorEastAsia"/>
          <w:color w:val="000000" w:themeColor="text1"/>
          <w:sz w:val="28"/>
          <w:szCs w:val="28"/>
        </w:rPr>
        <w:t>污泥、返混料和辅料的质量配比应根据三者的含水率、有机物含量、碳氮比等计算确定，无参数时可按照污泥、辅料、返混料的质量比为100：（10~20）：（50~60）进行配比。冬季宜适当提高辅料投加比例，提高物料的孔隙率，以利于发酵堆体升温。</w:t>
      </w:r>
    </w:p>
    <w:p>
      <w:pPr>
        <w:pStyle w:val="30"/>
        <w:numPr>
          <w:ilvl w:val="0"/>
          <w:numId w:val="53"/>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进入发酵系统的混合物料，应符合下列规定：</w:t>
      </w:r>
    </w:p>
    <w:p>
      <w:pPr>
        <w:pStyle w:val="30"/>
        <w:numPr>
          <w:ilvl w:val="0"/>
          <w:numId w:val="54"/>
        </w:numPr>
        <w:wordWrap w:val="0"/>
        <w:spacing w:line="360" w:lineRule="auto"/>
        <w:ind w:left="0"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含水率应为55%~65 %，有机物含量不应低于40%，碳氮比应为20~30，pH值应为6~9；</w:t>
      </w:r>
    </w:p>
    <w:p>
      <w:pPr>
        <w:pStyle w:val="30"/>
        <w:numPr>
          <w:ilvl w:val="0"/>
          <w:numId w:val="54"/>
        </w:numPr>
        <w:wordWrap w:val="0"/>
        <w:spacing w:line="360" w:lineRule="auto"/>
        <w:ind w:left="0"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应结构松散、颗粒均匀、无大团块，颗粒直径不应大于2cm。</w:t>
      </w:r>
    </w:p>
    <w:p>
      <w:pPr>
        <w:pStyle w:val="30"/>
        <w:numPr>
          <w:ilvl w:val="0"/>
          <w:numId w:val="53"/>
        </w:numPr>
        <w:ind w:left="142" w:hanging="142"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给料设备应能按比例配备进入混料设备的污泥、辅料和返混料。当采用料斗方式给料时应有防止物料起拱堵塞的措施。</w:t>
      </w:r>
    </w:p>
    <w:p>
      <w:pPr>
        <w:pStyle w:val="30"/>
        <w:numPr>
          <w:ilvl w:val="0"/>
          <w:numId w:val="5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混料设备的额定处理能力可按每天8h~16h工作时间计算，设备选择时应根据物料容重进行处理能力校核。</w:t>
      </w:r>
    </w:p>
    <w:p>
      <w:pPr>
        <w:rPr>
          <w:rFonts w:eastAsiaTheme="minorEastAsia"/>
          <w:color w:val="000000" w:themeColor="text1"/>
          <w:sz w:val="28"/>
          <w:szCs w:val="28"/>
        </w:rPr>
      </w:pPr>
      <w:r>
        <w:rPr>
          <w:rFonts w:eastAsiaTheme="minorEastAsia"/>
          <w:color w:val="000000" w:themeColor="text1"/>
          <w:sz w:val="28"/>
          <w:szCs w:val="28"/>
        </w:rPr>
        <w:t>【条文说明】混料生产线的额定处理能力可按每天8h~16h工作时间计算，便于合理安排工作班次，并保证必要的维护时间，同时还预留有通过延长生产线工作时间临时提高日处理能力的空间。</w:t>
      </w:r>
    </w:p>
    <w:p>
      <w:pPr>
        <w:pStyle w:val="30"/>
        <w:numPr>
          <w:ilvl w:val="0"/>
          <w:numId w:val="53"/>
        </w:numPr>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辅料储存量应根据辅料来源并结合实际情况确定，并应满足消防相关要求。</w:t>
      </w:r>
    </w:p>
    <w:p>
      <w:pPr>
        <w:rPr>
          <w:rFonts w:eastAsiaTheme="minorEastAsia"/>
          <w:color w:val="000000" w:themeColor="text1"/>
          <w:sz w:val="28"/>
          <w:szCs w:val="28"/>
        </w:rPr>
      </w:pPr>
      <w:r>
        <w:rPr>
          <w:rFonts w:eastAsiaTheme="minorEastAsia"/>
          <w:color w:val="000000" w:themeColor="text1"/>
          <w:sz w:val="28"/>
          <w:szCs w:val="28"/>
        </w:rPr>
        <w:t>【条文说明】污泥好氧发酵工程通常采用碎秸秆、木屑、锯末、花生壳粉、蘑菇土、园林修剪物等作为辅料，辅料储存量应根据辅料来源并结合实际情况确定，储存量不宜过多，以5 d~7 d投加量为宜。辅料的存储应充分考虑防火要求，且应配备灭火器等消防器材。</w:t>
      </w:r>
    </w:p>
    <w:p>
      <w:pPr>
        <w:pStyle w:val="30"/>
        <w:wordWrap w:val="0"/>
        <w:spacing w:line="360" w:lineRule="auto"/>
        <w:ind w:firstLine="0" w:firstLineChars="0"/>
        <w:jc w:val="center"/>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III 发酵系统</w:t>
      </w:r>
    </w:p>
    <w:p>
      <w:pPr>
        <w:pStyle w:val="30"/>
        <w:numPr>
          <w:ilvl w:val="0"/>
          <w:numId w:val="53"/>
        </w:numPr>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一次发酵仓的数量和容积应根据进料量和发酵时间确定，堆体高度的确定应综合考虑供氧方式、物料含水率、有机物含量等因素，并应符合下列规定：</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当采用自然通风供氧时，堆体高度宜为1.2m~1.5m；</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当采用机械强制通风供氧时，堆体高度不宜超过2.0m。</w:t>
      </w:r>
    </w:p>
    <w:p>
      <w:pPr>
        <w:pStyle w:val="30"/>
        <w:numPr>
          <w:ilvl w:val="0"/>
          <w:numId w:val="53"/>
        </w:numPr>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一次发酵阶段堆体氧气浓度不应低于5%（按体积计），温度达到55</w:t>
      </w:r>
      <w:r>
        <w:rPr>
          <w:rFonts w:ascii="Times New Roman" w:hAnsi="Times New Roman" w:eastAsia="宋体"/>
          <w:color w:val="000000" w:themeColor="text1"/>
          <w:sz w:val="28"/>
          <w:szCs w:val="28"/>
        </w:rPr>
        <w:t>°C</w:t>
      </w:r>
      <w:r>
        <w:rPr>
          <w:rFonts w:ascii="Times New Roman" w:hAnsi="Times New Roman" w:eastAsiaTheme="minorEastAsia"/>
          <w:color w:val="000000" w:themeColor="text1"/>
          <w:sz w:val="28"/>
          <w:szCs w:val="28"/>
        </w:rPr>
        <w:t>~65</w:t>
      </w:r>
      <w:r>
        <w:rPr>
          <w:rFonts w:ascii="Times New Roman" w:hAnsi="Times New Roman" w:eastAsia="宋体"/>
          <w:color w:val="000000" w:themeColor="text1"/>
          <w:sz w:val="28"/>
          <w:szCs w:val="28"/>
        </w:rPr>
        <w:t>°C</w:t>
      </w:r>
      <w:r>
        <w:rPr>
          <w:rFonts w:ascii="Times New Roman" w:hAnsi="Times New Roman" w:eastAsiaTheme="minorEastAsia"/>
          <w:color w:val="000000" w:themeColor="text1"/>
          <w:sz w:val="28"/>
          <w:szCs w:val="28"/>
        </w:rPr>
        <w:t>持续时间应大于3 d，总发酵时间不应少于7 d。</w:t>
      </w:r>
    </w:p>
    <w:p>
      <w:pPr>
        <w:pStyle w:val="30"/>
        <w:numPr>
          <w:ilvl w:val="0"/>
          <w:numId w:val="53"/>
        </w:numPr>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二次发酵宜采用静态或间歇动态发酵，堆体供氧方式应根据场地条件、经济成本等因素确定。</w:t>
      </w:r>
    </w:p>
    <w:p>
      <w:pPr>
        <w:rPr>
          <w:rFonts w:eastAsiaTheme="minorEastAsia"/>
          <w:color w:val="000000" w:themeColor="text1"/>
          <w:sz w:val="28"/>
          <w:szCs w:val="28"/>
        </w:rPr>
      </w:pPr>
      <w:r>
        <w:rPr>
          <w:rFonts w:eastAsiaTheme="minorEastAsia"/>
          <w:color w:val="000000" w:themeColor="text1"/>
          <w:sz w:val="28"/>
          <w:szCs w:val="28"/>
        </w:rPr>
        <w:t>【条文说明】二次发酵是物料的熟化过程，生物降解过程平缓，对环境条件的要求不高，二次发酵工艺和设施可适当简化，以节省处理成本。</w:t>
      </w:r>
    </w:p>
    <w:p>
      <w:pPr>
        <w:pStyle w:val="30"/>
        <w:numPr>
          <w:ilvl w:val="0"/>
          <w:numId w:val="53"/>
        </w:numPr>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二次发酵阶段堆体氧气浓度不宜低于3 %，堆体温度不宜高于45</w:t>
      </w:r>
      <w:r>
        <w:rPr>
          <w:rFonts w:ascii="Times New Roman" w:hAnsi="Times New Roman" w:eastAsia="宋体"/>
          <w:color w:val="000000" w:themeColor="text1"/>
          <w:sz w:val="28"/>
          <w:szCs w:val="28"/>
        </w:rPr>
        <w:t>°C</w:t>
      </w:r>
      <w:r>
        <w:rPr>
          <w:rFonts w:ascii="Times New Roman" w:hAnsi="Times New Roman" w:eastAsiaTheme="minorEastAsia"/>
          <w:color w:val="000000" w:themeColor="text1"/>
          <w:sz w:val="28"/>
          <w:szCs w:val="28"/>
        </w:rPr>
        <w:t>，发酵时间宜为30 d~50 d。</w:t>
      </w:r>
    </w:p>
    <w:p>
      <w:pPr>
        <w:pStyle w:val="30"/>
        <w:numPr>
          <w:ilvl w:val="0"/>
          <w:numId w:val="53"/>
        </w:numPr>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翻堆机选型应根据翻堆物料量、翻堆频次、堆体宽度、堆体高度等因素确定。</w:t>
      </w:r>
    </w:p>
    <w:p>
      <w:pPr>
        <w:pStyle w:val="30"/>
        <w:numPr>
          <w:ilvl w:val="0"/>
          <w:numId w:val="53"/>
        </w:numPr>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发酵系统中与物料、水汽直接接触的设备、仪表和金属构件应采取防腐蚀措施。</w:t>
      </w:r>
    </w:p>
    <w:p>
      <w:pPr>
        <w:rPr>
          <w:rFonts w:eastAsiaTheme="minorEastAsia"/>
          <w:color w:val="000000" w:themeColor="text1"/>
          <w:sz w:val="28"/>
          <w:szCs w:val="28"/>
        </w:rPr>
      </w:pPr>
      <w:r>
        <w:rPr>
          <w:rFonts w:eastAsiaTheme="minorEastAsia"/>
          <w:color w:val="000000" w:themeColor="text1"/>
          <w:sz w:val="28"/>
          <w:szCs w:val="28"/>
        </w:rPr>
        <w:t>【条文说明】污泥发酵过程中会产生大量水汽，并且可能会由于局部厌氧而产生NH</w:t>
      </w:r>
      <w:r>
        <w:rPr>
          <w:rFonts w:eastAsiaTheme="minorEastAsia"/>
          <w:color w:val="000000" w:themeColor="text1"/>
          <w:sz w:val="28"/>
          <w:szCs w:val="28"/>
          <w:vertAlign w:val="subscript"/>
        </w:rPr>
        <w:t>3</w:t>
      </w:r>
      <w:r>
        <w:rPr>
          <w:rFonts w:eastAsiaTheme="minorEastAsia"/>
          <w:color w:val="000000" w:themeColor="text1"/>
          <w:sz w:val="28"/>
          <w:szCs w:val="28"/>
        </w:rPr>
        <w:t>、H</w:t>
      </w:r>
      <w:r>
        <w:rPr>
          <w:rFonts w:eastAsiaTheme="minorEastAsia"/>
          <w:color w:val="000000" w:themeColor="text1"/>
          <w:sz w:val="28"/>
          <w:szCs w:val="28"/>
          <w:vertAlign w:val="subscript"/>
        </w:rPr>
        <w:t>2</w:t>
      </w:r>
      <w:r>
        <w:rPr>
          <w:rFonts w:eastAsiaTheme="minorEastAsia"/>
          <w:color w:val="000000" w:themeColor="text1"/>
          <w:sz w:val="28"/>
          <w:szCs w:val="28"/>
        </w:rPr>
        <w:t>S等腐蚀性气体，因此与物料、水汽直接接触的设备、仪表和金属构件应采取防腐措施。</w:t>
      </w:r>
    </w:p>
    <w:p>
      <w:pPr>
        <w:pStyle w:val="31"/>
        <w:wordWrap w:val="0"/>
        <w:spacing w:line="360" w:lineRule="auto"/>
        <w:ind w:left="420" w:firstLine="0" w:firstLineChars="0"/>
        <w:jc w:val="center"/>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IV 供氧系统</w:t>
      </w:r>
    </w:p>
    <w:p>
      <w:pPr>
        <w:pStyle w:val="30"/>
        <w:numPr>
          <w:ilvl w:val="0"/>
          <w:numId w:val="53"/>
        </w:numPr>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污泥好氧发酵的供氧可采用自然通风、强制通风和翻堆等方式。</w:t>
      </w:r>
    </w:p>
    <w:p>
      <w:pPr>
        <w:spacing w:line="360" w:lineRule="auto"/>
        <w:rPr>
          <w:rFonts w:eastAsia="宋体"/>
          <w:sz w:val="28"/>
          <w:szCs w:val="28"/>
        </w:rPr>
      </w:pPr>
      <w:r>
        <w:rPr>
          <w:rFonts w:eastAsiaTheme="minorEastAsia"/>
          <w:sz w:val="28"/>
          <w:szCs w:val="28"/>
        </w:rPr>
        <w:t>【条文说明】</w:t>
      </w:r>
      <w:r>
        <w:rPr>
          <w:rFonts w:eastAsia="宋体"/>
          <w:sz w:val="28"/>
          <w:szCs w:val="28"/>
        </w:rPr>
        <w:t>污泥好氧发酵供氧方式有自然通风、强制通风和翻堆等。</w:t>
      </w:r>
    </w:p>
    <w:p>
      <w:pPr>
        <w:pStyle w:val="30"/>
        <w:spacing w:line="360" w:lineRule="auto"/>
        <w:ind w:firstLine="560"/>
        <w:rPr>
          <w:rFonts w:ascii="Times New Roman" w:hAnsi="Times New Roman" w:eastAsia="宋体"/>
          <w:sz w:val="28"/>
          <w:szCs w:val="28"/>
        </w:rPr>
      </w:pPr>
      <w:r>
        <w:rPr>
          <w:rFonts w:ascii="Times New Roman" w:hAnsi="Times New Roman" w:eastAsia="宋体"/>
          <w:sz w:val="28"/>
          <w:szCs w:val="28"/>
        </w:rPr>
        <w:t>自然通风能耗低，操作简单。供氧靠空气由堆体表面向堆体内扩散，但供氧速度慢，供气量小，供气不均匀，易造成堆体内部缺氧或无氧，发生厌氧发酵；另外堆体内部产生的热量难以达到堆体表面，表层温度较低，无害化程度较低，发酵周期较长，表层易滋生蚊蝇类。需氧量较低时（如二次发酵）可采用。</w:t>
      </w:r>
    </w:p>
    <w:p>
      <w:pPr>
        <w:pStyle w:val="30"/>
        <w:spacing w:line="360" w:lineRule="auto"/>
        <w:ind w:firstLine="560"/>
        <w:rPr>
          <w:rFonts w:ascii="Times New Roman" w:hAnsi="Times New Roman" w:eastAsia="宋体"/>
          <w:sz w:val="28"/>
          <w:szCs w:val="28"/>
        </w:rPr>
      </w:pPr>
      <w:r>
        <w:rPr>
          <w:rFonts w:ascii="Times New Roman" w:hAnsi="Times New Roman" w:eastAsia="宋体"/>
          <w:sz w:val="28"/>
          <w:szCs w:val="28"/>
        </w:rPr>
        <w:t>强制通风风量可准确控制，分为正压送风和负压抽风两种方式。正压送风空气由堆体底部进入，由堆体表面散出，表层升温速度快，无害化程度高，发酵产品腐熟度高，但发酵仓尾气不易收集。负压抽风堆体表层温度低，无害化程度差，表层易滋生蝇类；堆体抽出气体易冷凝成腐蚀性液体，对抽风机侵蚀较严重。</w:t>
      </w:r>
    </w:p>
    <w:p>
      <w:pPr>
        <w:pStyle w:val="30"/>
        <w:spacing w:line="360" w:lineRule="auto"/>
        <w:ind w:firstLine="560"/>
        <w:rPr>
          <w:rFonts w:ascii="Times New Roman" w:hAnsi="Times New Roman" w:eastAsia="宋体"/>
          <w:sz w:val="28"/>
          <w:szCs w:val="28"/>
        </w:rPr>
      </w:pPr>
      <w:r>
        <w:rPr>
          <w:rFonts w:ascii="Times New Roman" w:hAnsi="Times New Roman" w:eastAsia="宋体"/>
          <w:sz w:val="28"/>
          <w:szCs w:val="28"/>
        </w:rPr>
        <w:t>翻堆有利于供氧与物料破碎，但翻堆能耗高，次数过多增加热量散发，堆体温度达不到无害化要求。次数过少，不能保证完全好氧发酵，一次发酵的翻堆供氧宜与强制供氧联合使用，二次发酵可采用翻堆供氧。</w:t>
      </w:r>
    </w:p>
    <w:p>
      <w:pPr>
        <w:pStyle w:val="30"/>
        <w:adjustRightInd/>
        <w:spacing w:line="360" w:lineRule="auto"/>
        <w:ind w:firstLine="560"/>
        <w:textAlignment w:val="auto"/>
        <w:rPr>
          <w:rFonts w:ascii="Times New Roman" w:hAnsi="Times New Roman" w:eastAsia="宋体"/>
          <w:sz w:val="28"/>
          <w:szCs w:val="28"/>
        </w:rPr>
      </w:pPr>
      <w:r>
        <w:rPr>
          <w:rFonts w:ascii="Times New Roman" w:hAnsi="Times New Roman" w:eastAsia="宋体"/>
          <w:sz w:val="28"/>
          <w:szCs w:val="28"/>
        </w:rPr>
        <w:t>强制通风加翻堆，通风量易控制，有利于供氧、颗粒破碎和水份的蒸发及堆体发酵均匀，但投资、运行费用较高，能耗大。</w:t>
      </w:r>
    </w:p>
    <w:p>
      <w:pPr>
        <w:pStyle w:val="30"/>
        <w:numPr>
          <w:ilvl w:val="0"/>
          <w:numId w:val="53"/>
        </w:numPr>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强制通风的风量和风压，宜符合下列规定：</w:t>
      </w:r>
    </w:p>
    <w:p>
      <w:pPr>
        <w:spacing w:line="360" w:lineRule="auto"/>
        <w:ind w:left="1" w:firstLine="425"/>
        <w:rPr>
          <w:rFonts w:eastAsia="宋体"/>
          <w:sz w:val="28"/>
          <w:szCs w:val="28"/>
        </w:rPr>
      </w:pPr>
      <w:r>
        <w:rPr>
          <w:rFonts w:eastAsia="宋体"/>
          <w:b/>
          <w:sz w:val="28"/>
          <w:szCs w:val="28"/>
        </w:rPr>
        <w:t>1</w:t>
      </w:r>
      <w:r>
        <w:rPr>
          <w:rFonts w:eastAsia="宋体"/>
          <w:sz w:val="28"/>
          <w:szCs w:val="28"/>
        </w:rPr>
        <w:t xml:space="preserve"> 风量，宜按下式计算：</w:t>
      </w:r>
    </w:p>
    <w:p>
      <w:pPr>
        <w:spacing w:line="360" w:lineRule="auto"/>
        <w:ind w:firstLine="560" w:firstLineChars="200"/>
        <w:jc w:val="center"/>
        <w:rPr>
          <w:rFonts w:eastAsia="宋体"/>
          <w:sz w:val="28"/>
          <w:szCs w:val="28"/>
        </w:rPr>
      </w:pPr>
      <w:r>
        <w:rPr>
          <w:rFonts w:eastAsia="宋体"/>
          <w:sz w:val="28"/>
          <w:szCs w:val="28"/>
        </w:rPr>
        <w:t xml:space="preserve">                </w:t>
      </w:r>
      <w:r>
        <w:rPr>
          <w:rFonts w:eastAsia="宋体"/>
          <w:i/>
          <w:sz w:val="28"/>
          <w:szCs w:val="28"/>
        </w:rPr>
        <w:t>Q</w:t>
      </w:r>
      <w:r>
        <w:rPr>
          <w:rFonts w:eastAsia="宋体"/>
          <w:sz w:val="28"/>
          <w:szCs w:val="28"/>
        </w:rPr>
        <w:t>=</w:t>
      </w:r>
      <w:r>
        <w:rPr>
          <w:rFonts w:eastAsia="宋体"/>
          <w:i/>
          <w:sz w:val="28"/>
          <w:szCs w:val="28"/>
        </w:rPr>
        <w:t>R</w:t>
      </w:r>
      <w:r>
        <w:rPr>
          <w:rFonts w:eastAsia="宋体"/>
          <w:sz w:val="28"/>
          <w:szCs w:val="28"/>
        </w:rPr>
        <w:t>×</w:t>
      </w:r>
      <w:r>
        <w:rPr>
          <w:rFonts w:eastAsia="宋体"/>
          <w:i/>
          <w:sz w:val="28"/>
          <w:szCs w:val="28"/>
        </w:rPr>
        <w:t>V</w:t>
      </w:r>
      <w:r>
        <w:rPr>
          <w:rFonts w:eastAsia="宋体"/>
          <w:sz w:val="28"/>
          <w:szCs w:val="28"/>
        </w:rPr>
        <w:t xml:space="preserve">                （8.</w:t>
      </w:r>
      <w:r>
        <w:rPr>
          <w:rFonts w:hint="eastAsia" w:eastAsia="宋体"/>
          <w:sz w:val="28"/>
          <w:szCs w:val="28"/>
        </w:rPr>
        <w:t>4</w:t>
      </w:r>
      <w:r>
        <w:rPr>
          <w:rFonts w:eastAsia="宋体"/>
          <w:sz w:val="28"/>
          <w:szCs w:val="28"/>
        </w:rPr>
        <w:t>.1</w:t>
      </w:r>
      <w:r>
        <w:rPr>
          <w:rFonts w:hint="eastAsia" w:eastAsia="宋体"/>
          <w:sz w:val="28"/>
          <w:szCs w:val="28"/>
        </w:rPr>
        <w:t>8</w:t>
      </w:r>
      <w:r>
        <w:rPr>
          <w:rFonts w:eastAsia="宋体"/>
          <w:sz w:val="28"/>
          <w:szCs w:val="28"/>
        </w:rPr>
        <w:t>-1）</w:t>
      </w:r>
    </w:p>
    <w:p>
      <w:pPr>
        <w:spacing w:line="360" w:lineRule="auto"/>
        <w:jc w:val="left"/>
        <w:rPr>
          <w:rFonts w:eastAsia="宋体"/>
          <w:sz w:val="28"/>
          <w:szCs w:val="28"/>
        </w:rPr>
      </w:pPr>
      <w:r>
        <w:rPr>
          <w:rFonts w:eastAsia="宋体"/>
          <w:sz w:val="28"/>
          <w:szCs w:val="28"/>
        </w:rPr>
        <w:t>式中：</w:t>
      </w:r>
      <w:r>
        <w:rPr>
          <w:rFonts w:eastAsia="宋体"/>
          <w:i/>
          <w:sz w:val="28"/>
          <w:szCs w:val="28"/>
        </w:rPr>
        <w:t>Q</w:t>
      </w:r>
      <w:r>
        <w:rPr>
          <w:rFonts w:eastAsiaTheme="minorEastAsia"/>
          <w:color w:val="000000" w:themeColor="text1"/>
          <w:sz w:val="28"/>
          <w:szCs w:val="28"/>
        </w:rPr>
        <w:t>——</w:t>
      </w:r>
      <w:r>
        <w:rPr>
          <w:rFonts w:eastAsia="宋体"/>
          <w:sz w:val="28"/>
          <w:szCs w:val="28"/>
        </w:rPr>
        <w:t>强制通风量（m³/min）；</w:t>
      </w:r>
    </w:p>
    <w:p>
      <w:pPr>
        <w:spacing w:line="360" w:lineRule="auto"/>
        <w:ind w:left="1540" w:leftChars="400" w:hanging="700" w:hangingChars="250"/>
        <w:jc w:val="left"/>
        <w:rPr>
          <w:rFonts w:eastAsia="宋体"/>
          <w:sz w:val="28"/>
          <w:szCs w:val="28"/>
        </w:rPr>
      </w:pPr>
      <w:r>
        <w:rPr>
          <w:rFonts w:eastAsia="宋体"/>
          <w:i/>
          <w:sz w:val="28"/>
          <w:szCs w:val="28"/>
        </w:rPr>
        <w:t>R</w:t>
      </w:r>
      <w:r>
        <w:rPr>
          <w:rFonts w:eastAsiaTheme="minorEastAsia"/>
          <w:color w:val="000000" w:themeColor="text1"/>
          <w:sz w:val="28"/>
          <w:szCs w:val="28"/>
        </w:rPr>
        <w:t>——</w:t>
      </w:r>
      <w:r>
        <w:rPr>
          <w:rFonts w:eastAsia="宋体"/>
          <w:sz w:val="28"/>
          <w:szCs w:val="28"/>
        </w:rPr>
        <w:t>单位时间内每立方米物料通风量（m</w:t>
      </w:r>
      <w:r>
        <w:rPr>
          <w:rFonts w:eastAsia="宋体"/>
          <w:sz w:val="28"/>
          <w:szCs w:val="28"/>
          <w:vertAlign w:val="superscript"/>
        </w:rPr>
        <w:t>3</w:t>
      </w:r>
      <w:r>
        <w:rPr>
          <w:rFonts w:eastAsia="宋体"/>
          <w:sz w:val="28"/>
          <w:szCs w:val="28"/>
        </w:rPr>
        <w:t xml:space="preserve"> /（min·m</w:t>
      </w:r>
      <w:r>
        <w:rPr>
          <w:rFonts w:eastAsia="宋体"/>
          <w:sz w:val="28"/>
          <w:szCs w:val="28"/>
          <w:vertAlign w:val="superscript"/>
        </w:rPr>
        <w:t>3</w:t>
      </w:r>
      <w:r>
        <w:rPr>
          <w:rFonts w:eastAsia="宋体"/>
          <w:sz w:val="28"/>
          <w:szCs w:val="28"/>
        </w:rPr>
        <w:t>），宜取0.05~0.20；</w:t>
      </w:r>
    </w:p>
    <w:p>
      <w:pPr>
        <w:spacing w:line="360" w:lineRule="auto"/>
        <w:ind w:firstLine="840" w:firstLineChars="300"/>
        <w:jc w:val="left"/>
        <w:rPr>
          <w:rFonts w:eastAsia="宋体"/>
          <w:sz w:val="28"/>
          <w:szCs w:val="28"/>
        </w:rPr>
      </w:pPr>
      <w:r>
        <w:rPr>
          <w:rFonts w:eastAsia="宋体"/>
          <w:i/>
          <w:sz w:val="28"/>
          <w:szCs w:val="28"/>
        </w:rPr>
        <w:t>V</w:t>
      </w:r>
      <w:r>
        <w:rPr>
          <w:rFonts w:eastAsiaTheme="minorEastAsia"/>
          <w:color w:val="000000" w:themeColor="text1"/>
          <w:sz w:val="28"/>
          <w:szCs w:val="28"/>
        </w:rPr>
        <w:t>——</w:t>
      </w:r>
      <w:r>
        <w:rPr>
          <w:rFonts w:eastAsia="宋体"/>
          <w:sz w:val="28"/>
          <w:szCs w:val="28"/>
        </w:rPr>
        <w:t>污泥好氧发酵容积（m³）。</w:t>
      </w:r>
    </w:p>
    <w:p>
      <w:pPr>
        <w:pStyle w:val="30"/>
        <w:spacing w:line="360" w:lineRule="auto"/>
        <w:ind w:firstLine="427" w:firstLineChars="152"/>
        <w:rPr>
          <w:rFonts w:ascii="Times New Roman" w:hAnsi="Times New Roman" w:eastAsia="宋体"/>
          <w:sz w:val="28"/>
          <w:szCs w:val="28"/>
        </w:rPr>
      </w:pPr>
      <w:r>
        <w:rPr>
          <w:rFonts w:ascii="Times New Roman" w:hAnsi="Times New Roman" w:eastAsia="宋体"/>
          <w:b/>
          <w:sz w:val="28"/>
          <w:szCs w:val="28"/>
        </w:rPr>
        <w:t>2</w:t>
      </w:r>
      <w:r>
        <w:rPr>
          <w:rFonts w:ascii="Times New Roman" w:hAnsi="Times New Roman" w:eastAsia="宋体"/>
          <w:sz w:val="28"/>
          <w:szCs w:val="28"/>
        </w:rPr>
        <w:t xml:space="preserve"> 风压，宜按下式计算：</w:t>
      </w:r>
    </w:p>
    <w:p>
      <w:pPr>
        <w:spacing w:line="360" w:lineRule="auto"/>
        <w:ind w:firstLine="560" w:firstLineChars="200"/>
        <w:jc w:val="center"/>
        <w:rPr>
          <w:rFonts w:eastAsia="宋体"/>
          <w:sz w:val="28"/>
          <w:szCs w:val="28"/>
        </w:rPr>
      </w:pPr>
      <w:r>
        <w:rPr>
          <w:rFonts w:eastAsia="宋体"/>
          <w:sz w:val="28"/>
          <w:szCs w:val="28"/>
        </w:rPr>
        <w:t xml:space="preserve">             </w:t>
      </w:r>
      <w:r>
        <w:rPr>
          <w:rFonts w:eastAsia="宋体"/>
          <w:i/>
          <w:sz w:val="28"/>
          <w:szCs w:val="28"/>
        </w:rPr>
        <w:t>P</w:t>
      </w:r>
      <w:r>
        <w:rPr>
          <w:rFonts w:eastAsia="宋体"/>
          <w:sz w:val="28"/>
          <w:szCs w:val="28"/>
        </w:rPr>
        <w:t>=（</w:t>
      </w:r>
      <w:r>
        <w:rPr>
          <w:rFonts w:eastAsia="宋体"/>
          <w:i/>
          <w:sz w:val="28"/>
          <w:szCs w:val="28"/>
        </w:rPr>
        <w:t>P</w:t>
      </w:r>
      <w:r>
        <w:rPr>
          <w:rFonts w:eastAsia="宋体"/>
          <w:sz w:val="28"/>
          <w:szCs w:val="28"/>
          <w:vertAlign w:val="subscript"/>
        </w:rPr>
        <w:t>1</w:t>
      </w:r>
      <w:r>
        <w:rPr>
          <w:rFonts w:eastAsia="宋体"/>
          <w:sz w:val="28"/>
          <w:szCs w:val="28"/>
        </w:rPr>
        <w:t>+</w:t>
      </w:r>
      <w:r>
        <w:rPr>
          <w:rFonts w:eastAsia="宋体"/>
          <w:i/>
          <w:sz w:val="28"/>
          <w:szCs w:val="28"/>
        </w:rPr>
        <w:t>P</w:t>
      </w:r>
      <w:r>
        <w:rPr>
          <w:rFonts w:eastAsia="宋体"/>
          <w:sz w:val="28"/>
          <w:szCs w:val="28"/>
          <w:vertAlign w:val="subscript"/>
        </w:rPr>
        <w:t>2</w:t>
      </w:r>
      <w:r>
        <w:rPr>
          <w:rFonts w:eastAsia="宋体"/>
          <w:sz w:val="28"/>
          <w:szCs w:val="28"/>
        </w:rPr>
        <w:t>+</w:t>
      </w:r>
      <w:r>
        <w:rPr>
          <w:rFonts w:eastAsia="宋体"/>
          <w:i/>
          <w:sz w:val="28"/>
          <w:szCs w:val="28"/>
        </w:rPr>
        <w:t>P</w:t>
      </w:r>
      <w:r>
        <w:rPr>
          <w:rFonts w:eastAsia="宋体"/>
          <w:sz w:val="28"/>
          <w:szCs w:val="28"/>
          <w:vertAlign w:val="subscript"/>
        </w:rPr>
        <w:t>3</w:t>
      </w:r>
      <w:r>
        <w:rPr>
          <w:rFonts w:eastAsia="宋体"/>
          <w:sz w:val="28"/>
          <w:szCs w:val="28"/>
        </w:rPr>
        <w:t>）×</w:t>
      </w:r>
      <w:r>
        <w:rPr>
          <w:rFonts w:eastAsia="宋体"/>
          <w:i/>
          <w:sz w:val="28"/>
          <w:szCs w:val="28"/>
        </w:rPr>
        <w:t>λ</w:t>
      </w:r>
      <w:r>
        <w:rPr>
          <w:rFonts w:eastAsia="宋体"/>
          <w:sz w:val="28"/>
          <w:szCs w:val="28"/>
        </w:rPr>
        <w:t xml:space="preserve">           （8.</w:t>
      </w:r>
      <w:r>
        <w:rPr>
          <w:rFonts w:hint="eastAsia" w:eastAsia="宋体"/>
          <w:sz w:val="28"/>
          <w:szCs w:val="28"/>
        </w:rPr>
        <w:t>4</w:t>
      </w:r>
      <w:r>
        <w:rPr>
          <w:rFonts w:eastAsia="宋体"/>
          <w:sz w:val="28"/>
          <w:szCs w:val="28"/>
        </w:rPr>
        <w:t>.1</w:t>
      </w:r>
      <w:r>
        <w:rPr>
          <w:rFonts w:hint="eastAsia" w:eastAsia="宋体"/>
          <w:sz w:val="28"/>
          <w:szCs w:val="28"/>
        </w:rPr>
        <w:t>8</w:t>
      </w:r>
      <w:r>
        <w:rPr>
          <w:rFonts w:eastAsia="宋体"/>
          <w:sz w:val="28"/>
          <w:szCs w:val="28"/>
        </w:rPr>
        <w:t>-2）</w:t>
      </w:r>
    </w:p>
    <w:p>
      <w:pPr>
        <w:spacing w:line="360" w:lineRule="auto"/>
        <w:jc w:val="left"/>
        <w:rPr>
          <w:rFonts w:eastAsia="宋体"/>
          <w:sz w:val="28"/>
          <w:szCs w:val="28"/>
        </w:rPr>
      </w:pPr>
      <w:r>
        <w:rPr>
          <w:rFonts w:eastAsia="宋体"/>
          <w:sz w:val="28"/>
          <w:szCs w:val="28"/>
        </w:rPr>
        <w:t>式中：</w:t>
      </w:r>
      <w:r>
        <w:rPr>
          <w:rFonts w:eastAsia="宋体"/>
          <w:i/>
          <w:sz w:val="28"/>
          <w:szCs w:val="28"/>
        </w:rPr>
        <w:t>P</w:t>
      </w:r>
      <w:r>
        <w:rPr>
          <w:rFonts w:eastAsiaTheme="minorEastAsia"/>
          <w:color w:val="000000" w:themeColor="text1"/>
          <w:sz w:val="28"/>
          <w:szCs w:val="28"/>
        </w:rPr>
        <w:t>——</w:t>
      </w:r>
      <w:r>
        <w:rPr>
          <w:rFonts w:eastAsia="宋体"/>
          <w:sz w:val="28"/>
          <w:szCs w:val="28"/>
        </w:rPr>
        <w:t>鼓风风压（kPa）；</w:t>
      </w:r>
    </w:p>
    <w:p>
      <w:pPr>
        <w:spacing w:line="360" w:lineRule="auto"/>
        <w:ind w:firstLine="840" w:firstLineChars="300"/>
        <w:jc w:val="left"/>
        <w:rPr>
          <w:rFonts w:eastAsia="宋体"/>
          <w:sz w:val="28"/>
          <w:szCs w:val="28"/>
        </w:rPr>
      </w:pPr>
      <w:r>
        <w:rPr>
          <w:rFonts w:eastAsia="宋体"/>
          <w:i/>
          <w:sz w:val="28"/>
          <w:szCs w:val="28"/>
        </w:rPr>
        <w:t>P</w:t>
      </w:r>
      <w:r>
        <w:rPr>
          <w:rFonts w:eastAsia="宋体"/>
          <w:sz w:val="28"/>
          <w:szCs w:val="28"/>
          <w:vertAlign w:val="subscript"/>
        </w:rPr>
        <w:t>1</w:t>
      </w:r>
      <w:r>
        <w:rPr>
          <w:rFonts w:eastAsiaTheme="minorEastAsia"/>
          <w:color w:val="000000" w:themeColor="text1"/>
          <w:sz w:val="28"/>
          <w:szCs w:val="28"/>
        </w:rPr>
        <w:t>——</w:t>
      </w:r>
      <w:r>
        <w:rPr>
          <w:rFonts w:eastAsia="宋体"/>
          <w:sz w:val="28"/>
          <w:szCs w:val="28"/>
        </w:rPr>
        <w:t>鼓风机出口阀门压力损失（kPa）；</w:t>
      </w:r>
    </w:p>
    <w:p>
      <w:pPr>
        <w:spacing w:line="360" w:lineRule="auto"/>
        <w:ind w:firstLine="840" w:firstLineChars="300"/>
        <w:jc w:val="left"/>
        <w:rPr>
          <w:rFonts w:eastAsia="宋体"/>
          <w:sz w:val="28"/>
          <w:szCs w:val="28"/>
        </w:rPr>
      </w:pPr>
      <w:r>
        <w:rPr>
          <w:rFonts w:eastAsia="宋体"/>
          <w:i/>
          <w:sz w:val="28"/>
          <w:szCs w:val="28"/>
        </w:rPr>
        <w:t>P</w:t>
      </w:r>
      <w:r>
        <w:rPr>
          <w:rFonts w:eastAsia="宋体"/>
          <w:sz w:val="28"/>
          <w:szCs w:val="28"/>
          <w:vertAlign w:val="subscript"/>
        </w:rPr>
        <w:t>2</w:t>
      </w:r>
      <w:r>
        <w:rPr>
          <w:rFonts w:eastAsiaTheme="minorEastAsia"/>
          <w:color w:val="000000" w:themeColor="text1"/>
          <w:sz w:val="28"/>
          <w:szCs w:val="28"/>
        </w:rPr>
        <w:t>——</w:t>
      </w:r>
      <w:r>
        <w:rPr>
          <w:rFonts w:eastAsia="宋体"/>
          <w:sz w:val="28"/>
          <w:szCs w:val="28"/>
        </w:rPr>
        <w:t>管道及气室压力损失（kPa）；</w:t>
      </w:r>
    </w:p>
    <w:p>
      <w:pPr>
        <w:spacing w:line="360" w:lineRule="auto"/>
        <w:ind w:left="1820" w:leftChars="400" w:hanging="980" w:hangingChars="350"/>
        <w:jc w:val="left"/>
        <w:rPr>
          <w:rFonts w:eastAsia="宋体"/>
          <w:sz w:val="28"/>
          <w:szCs w:val="28"/>
        </w:rPr>
      </w:pPr>
      <w:r>
        <w:rPr>
          <w:rFonts w:eastAsia="宋体"/>
          <w:i/>
          <w:sz w:val="28"/>
          <w:szCs w:val="28"/>
        </w:rPr>
        <w:t>P</w:t>
      </w:r>
      <w:r>
        <w:rPr>
          <w:rFonts w:eastAsia="宋体"/>
          <w:sz w:val="28"/>
          <w:szCs w:val="28"/>
          <w:vertAlign w:val="subscript"/>
        </w:rPr>
        <w:t>3</w:t>
      </w:r>
      <w:r>
        <w:rPr>
          <w:rFonts w:eastAsiaTheme="minorEastAsia"/>
          <w:color w:val="000000" w:themeColor="text1"/>
          <w:sz w:val="28"/>
          <w:szCs w:val="28"/>
        </w:rPr>
        <w:t>——</w:t>
      </w:r>
      <w:r>
        <w:rPr>
          <w:rFonts w:eastAsia="宋体"/>
          <w:sz w:val="28"/>
          <w:szCs w:val="28"/>
        </w:rPr>
        <w:t>气流穿透物料层的压力损失（kPa），取值不宜低于3 kPa/m堆体高度；</w:t>
      </w:r>
    </w:p>
    <w:p>
      <w:pPr>
        <w:spacing w:line="360" w:lineRule="auto"/>
        <w:ind w:firstLine="778" w:firstLineChars="278"/>
        <w:rPr>
          <w:rFonts w:eastAsia="宋体"/>
          <w:sz w:val="28"/>
          <w:szCs w:val="28"/>
        </w:rPr>
      </w:pPr>
      <w:r>
        <w:rPr>
          <w:rFonts w:eastAsia="宋体"/>
          <w:i/>
          <w:sz w:val="28"/>
          <w:szCs w:val="28"/>
        </w:rPr>
        <w:t>λ</w:t>
      </w:r>
      <w:r>
        <w:rPr>
          <w:rFonts w:eastAsiaTheme="minorEastAsia"/>
          <w:color w:val="000000" w:themeColor="text1"/>
          <w:sz w:val="28"/>
          <w:szCs w:val="28"/>
        </w:rPr>
        <w:t>——</w:t>
      </w:r>
      <w:r>
        <w:rPr>
          <w:rFonts w:eastAsia="宋体"/>
          <w:sz w:val="28"/>
          <w:szCs w:val="28"/>
        </w:rPr>
        <w:t>供氧系统风压余量系数，宜取1.05~1.10。</w:t>
      </w:r>
    </w:p>
    <w:p>
      <w:pPr>
        <w:pStyle w:val="30"/>
        <w:numPr>
          <w:ilvl w:val="0"/>
          <w:numId w:val="53"/>
        </w:numPr>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鼓风机或抽风机与堆体之间的空气通道可采用管道或气室的形式，应尽量减少管道或气室的弯曲、变径和分叉。</w:t>
      </w:r>
    </w:p>
    <w:p>
      <w:pPr>
        <w:spacing w:line="360" w:lineRule="auto"/>
        <w:rPr>
          <w:rFonts w:eastAsia="宋体"/>
          <w:sz w:val="28"/>
          <w:szCs w:val="28"/>
        </w:rPr>
      </w:pPr>
      <w:r>
        <w:rPr>
          <w:rFonts w:eastAsiaTheme="minorEastAsia"/>
          <w:sz w:val="28"/>
          <w:szCs w:val="28"/>
        </w:rPr>
        <w:t>【条文说明】</w:t>
      </w:r>
      <w:r>
        <w:rPr>
          <w:rFonts w:eastAsia="宋体"/>
          <w:sz w:val="28"/>
          <w:szCs w:val="28"/>
        </w:rPr>
        <w:t>减少管道或气室的弯曲、变径和分叉的目的是减少压力损失。</w:t>
      </w:r>
    </w:p>
    <w:p>
      <w:pPr>
        <w:pStyle w:val="3"/>
        <w:numPr>
          <w:ilvl w:val="0"/>
          <w:numId w:val="49"/>
        </w:numPr>
        <w:wordWrap w:val="0"/>
        <w:spacing w:before="312" w:beforeLines="100" w:after="312" w:afterLines="100" w:line="415" w:lineRule="auto"/>
        <w:ind w:left="420"/>
        <w:jc w:val="center"/>
        <w:rPr>
          <w:rFonts w:ascii="Times New Roman" w:hAnsi="Times New Roman" w:eastAsiaTheme="minorEastAsia"/>
          <w:b w:val="0"/>
          <w:color w:val="000000" w:themeColor="text1"/>
          <w:sz w:val="28"/>
          <w:szCs w:val="28"/>
        </w:rPr>
      </w:pPr>
      <w:r>
        <w:rPr>
          <w:rFonts w:ascii="Times New Roman" w:hAnsi="Times New Roman" w:eastAsiaTheme="minorEastAsia"/>
          <w:color w:val="000000" w:themeColor="text1"/>
          <w:sz w:val="28"/>
          <w:szCs w:val="28"/>
        </w:rPr>
        <w:t xml:space="preserve"> </w:t>
      </w:r>
      <w:bookmarkStart w:id="91" w:name="_Toc515281074"/>
      <w:r>
        <w:rPr>
          <w:rFonts w:ascii="Times New Roman" w:hAnsi="Times New Roman" w:eastAsiaTheme="minorEastAsia"/>
          <w:b w:val="0"/>
          <w:color w:val="000000" w:themeColor="text1"/>
          <w:sz w:val="28"/>
          <w:szCs w:val="28"/>
        </w:rPr>
        <w:t>污泥机械脱水</w:t>
      </w:r>
      <w:bookmarkEnd w:id="89"/>
      <w:bookmarkEnd w:id="91"/>
    </w:p>
    <w:p>
      <w:pPr>
        <w:widowControl/>
        <w:wordWrap w:val="0"/>
        <w:jc w:val="center"/>
        <w:rPr>
          <w:rFonts w:eastAsiaTheme="minorEastAsia"/>
          <w:color w:val="000000" w:themeColor="text1"/>
          <w:sz w:val="28"/>
          <w:szCs w:val="28"/>
        </w:rPr>
      </w:pPr>
      <w:r>
        <w:rPr>
          <w:rFonts w:eastAsiaTheme="minorEastAsia"/>
          <w:color w:val="000000" w:themeColor="text1"/>
          <w:sz w:val="28"/>
          <w:szCs w:val="28"/>
        </w:rPr>
        <w:t>I  一 般 规 定</w:t>
      </w:r>
    </w:p>
    <w:p>
      <w:pPr>
        <w:pStyle w:val="30"/>
        <w:numPr>
          <w:ilvl w:val="0"/>
          <w:numId w:val="5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污泥机械脱水的设计，应符合下列规定：</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污泥脱水机械的类型，应按污泥的脱水性质和脱水要求，经技术经济比较后选用；</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机械脱水间的布置，应按本标准第6章泵站中的有关规定执行，并应考虑泥饼运输设施和通道；</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脱水后的污泥应卸入污泥外运设备，或设污泥堆场及污泥料仓贮存，污泥输送至外运设备时应避免污泥洒落地面，污泥堆场及污泥料仓的容量应根据污泥出路和运输条件等确定；</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污泥机械脱水间应设通风设施。每小时换气次数</w:t>
      </w:r>
      <w:r>
        <w:rPr>
          <w:rFonts w:hint="eastAsia" w:eastAsiaTheme="minorEastAsia"/>
          <w:color w:val="000000" w:themeColor="text1"/>
          <w:sz w:val="28"/>
          <w:szCs w:val="28"/>
        </w:rPr>
        <w:t>可</w:t>
      </w:r>
      <w:r>
        <w:rPr>
          <w:rFonts w:eastAsiaTheme="minorEastAsia"/>
          <w:color w:val="000000" w:themeColor="text1"/>
          <w:sz w:val="28"/>
          <w:szCs w:val="28"/>
        </w:rPr>
        <w:t>为8次/h~12次/h。</w:t>
      </w:r>
    </w:p>
    <w:p>
      <w:pPr>
        <w:widowControl/>
        <w:wordWrap w:val="0"/>
        <w:rPr>
          <w:rFonts w:eastAsiaTheme="minorEastAsia"/>
          <w:color w:val="000000" w:themeColor="text1"/>
          <w:sz w:val="28"/>
          <w:szCs w:val="28"/>
        </w:rPr>
      </w:pPr>
      <w:r>
        <w:rPr>
          <w:rFonts w:eastAsiaTheme="minorEastAsia"/>
          <w:color w:val="000000" w:themeColor="text1"/>
          <w:sz w:val="28"/>
          <w:szCs w:val="28"/>
        </w:rPr>
        <w:t>【条文说明】</w:t>
      </w:r>
    </w:p>
    <w:p>
      <w:pPr>
        <w:wordWrap w:val="0"/>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污泥脱水机械，国内较成熟的有压滤机和离心脱水机等，应根据污泥的脱水性质和脱水要求，以及当前产品供应情况经技术经济比较后选用。污泥脱水性质的指标有比阻、黏滞度、粒度等。脱水要求，指对泥饼含水率的要求。</w:t>
      </w:r>
    </w:p>
    <w:p>
      <w:pPr>
        <w:wordWrap w:val="0"/>
        <w:ind w:firstLine="551" w:firstLineChars="196"/>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根据脱水间机组与泵房机组的布置相似的特点，脱水间的布置可按本标准第6章泵站的有关规定执行。有关规定指机组的布置与通道宽度、起重设备和机房高度等。除此以外，还应考虑污泥运输的设施和通道。</w:t>
      </w:r>
    </w:p>
    <w:p>
      <w:pPr>
        <w:wordWrap w:val="0"/>
        <w:ind w:firstLine="548" w:firstLineChars="196"/>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3</w:t>
      </w:r>
      <w:r>
        <w:rPr>
          <w:rFonts w:eastAsiaTheme="minorEastAsia"/>
          <w:color w:val="000000" w:themeColor="text1"/>
          <w:sz w:val="28"/>
          <w:szCs w:val="28"/>
        </w:rPr>
        <w:t>国内污水厂一般设有污泥堆场或污泥料仓，也有用车立即运走的，由于目前国内污泥的处置途径多样，贮存时间等亦无规律性，故堆放容量仅作原则规定。</w:t>
      </w:r>
    </w:p>
    <w:p>
      <w:pPr>
        <w:wordWrap w:val="0"/>
        <w:ind w:firstLine="548" w:firstLineChars="196"/>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4</w:t>
      </w:r>
      <w:r>
        <w:rPr>
          <w:rFonts w:eastAsiaTheme="minorEastAsia"/>
          <w:color w:val="000000" w:themeColor="text1"/>
          <w:sz w:val="28"/>
          <w:szCs w:val="28"/>
        </w:rPr>
        <w:t>为改善工作环境，脱水间应有通风设施。每小时换气次数的制定参照《民用建筑供暖通风与空气调节设计规范》GB50736中的相关规定。</w:t>
      </w:r>
    </w:p>
    <w:p>
      <w:pPr>
        <w:pStyle w:val="30"/>
        <w:numPr>
          <w:ilvl w:val="0"/>
          <w:numId w:val="5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污泥在脱水前，应加药调理，并应符合下列规定：</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药剂种类应根据污泥的性质和出路等选用，投加量宜根据试验资料或类似运行经验确定；</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污泥加药后，应立即混合反应，并进入脱水机。</w:t>
      </w:r>
    </w:p>
    <w:p>
      <w:pPr>
        <w:wordWrap w:val="0"/>
        <w:rPr>
          <w:rFonts w:eastAsiaTheme="minorEastAsia"/>
          <w:color w:val="000000" w:themeColor="text1"/>
          <w:sz w:val="28"/>
          <w:szCs w:val="28"/>
        </w:rPr>
      </w:pPr>
      <w:r>
        <w:rPr>
          <w:rFonts w:eastAsiaTheme="minorEastAsia"/>
          <w:color w:val="000000" w:themeColor="text1"/>
          <w:sz w:val="28"/>
          <w:szCs w:val="28"/>
        </w:rPr>
        <w:t>【条文说明】 为了改善污泥的脱水性质，污泥脱水前应加药调理。</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b/>
          <w:color w:val="000000" w:themeColor="text1"/>
          <w:sz w:val="28"/>
          <w:szCs w:val="28"/>
        </w:rPr>
        <w:t>1</w:t>
      </w:r>
      <w:r>
        <w:rPr>
          <w:rFonts w:eastAsiaTheme="minorEastAsia"/>
          <w:color w:val="000000" w:themeColor="text1"/>
          <w:sz w:val="28"/>
          <w:szCs w:val="28"/>
        </w:rPr>
        <w:t xml:space="preserve"> 无机混凝剂不宜单独用于脱水机脱水前的污泥调理，原因是形成的絮体细小，压榨脱水时污泥颗粒漏网严重，固体回收率很低。用有机高分子混凝剂（如阳离子聚丙烯酰胺）形成的絮体粗大，适用于污水厂污泥机械脱水。阳离子型聚丙烯酰胺适用于带负电荷、胶体粒径小于0.1μm的污水污泥。其混凝原理一般认为是电荷中和与吸附架桥双重作用的结果。阳离子型聚丙烯酰胺还能与带负电的溶解物进行反应，生成不溶性盐。经它调理脱水后的污泥水均为无色透明，泥水分离效果良好。</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污泥加药以后，应立即混合反应，并进入脱水机，以利于污泥的凝聚。</w:t>
      </w:r>
    </w:p>
    <w:p>
      <w:pPr>
        <w:widowControl/>
        <w:wordWrap w:val="0"/>
        <w:jc w:val="center"/>
        <w:rPr>
          <w:rFonts w:eastAsiaTheme="minorEastAsia"/>
          <w:color w:val="000000" w:themeColor="text1"/>
          <w:sz w:val="28"/>
          <w:szCs w:val="28"/>
        </w:rPr>
      </w:pPr>
      <w:r>
        <w:rPr>
          <w:rFonts w:hint="eastAsia" w:ascii="宋体" w:hAnsi="宋体" w:eastAsia="宋体" w:cs="宋体"/>
          <w:color w:val="000000" w:themeColor="text1"/>
          <w:sz w:val="28"/>
          <w:szCs w:val="28"/>
        </w:rPr>
        <w:t>Ⅱ</w:t>
      </w:r>
      <w:r>
        <w:rPr>
          <w:rFonts w:eastAsiaTheme="minorEastAsia"/>
          <w:color w:val="000000" w:themeColor="text1"/>
          <w:sz w:val="28"/>
          <w:szCs w:val="28"/>
        </w:rPr>
        <w:t xml:space="preserve"> 压滤机</w:t>
      </w:r>
    </w:p>
    <w:p>
      <w:pPr>
        <w:pStyle w:val="30"/>
        <w:numPr>
          <w:ilvl w:val="0"/>
          <w:numId w:val="5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压滤机宜采用带式压滤机、板框压滤机、厢式压滤机或微孔挤压脱水机，其泥饼产率和泥饼含水率，应根据试验资料或类似运行经验确定。</w:t>
      </w:r>
      <w:r>
        <w:rPr>
          <w:rStyle w:val="24"/>
          <w:rFonts w:ascii="Times New Roman" w:hAnsi="Times New Roman"/>
        </w:rPr>
        <w:commentReference w:id="10"/>
      </w:r>
    </w:p>
    <w:p>
      <w:pPr>
        <w:wordWrap w:val="0"/>
        <w:rPr>
          <w:rFonts w:eastAsiaTheme="minorEastAsia"/>
          <w:color w:val="000000" w:themeColor="text1"/>
          <w:sz w:val="28"/>
          <w:szCs w:val="28"/>
        </w:rPr>
      </w:pPr>
      <w:r>
        <w:rPr>
          <w:rFonts w:eastAsiaTheme="minorEastAsia"/>
          <w:color w:val="000000" w:themeColor="text1"/>
          <w:sz w:val="28"/>
          <w:szCs w:val="28"/>
        </w:rPr>
        <w:t>【条文说明】目前，国内用于污水污泥脱水的压滤机有带式压滤机、板框压滤机、厢式压滤机和微孔挤压脱水机。</w:t>
      </w:r>
    </w:p>
    <w:p>
      <w:pPr>
        <w:wordWrap w:val="0"/>
        <w:ind w:firstLine="700" w:firstLineChars="250"/>
        <w:rPr>
          <w:rFonts w:eastAsiaTheme="minorEastAsia"/>
          <w:color w:val="000000" w:themeColor="text1"/>
          <w:sz w:val="28"/>
          <w:szCs w:val="28"/>
        </w:rPr>
      </w:pPr>
      <w:r>
        <w:rPr>
          <w:rFonts w:eastAsiaTheme="minorEastAsia"/>
          <w:color w:val="000000" w:themeColor="text1"/>
          <w:sz w:val="28"/>
          <w:szCs w:val="28"/>
        </w:rPr>
        <w:t>由于各种污泥的脱水性质不同，泥饼的产率和含水率变化较大，所以应根据试验资料或参照相似污泥的数据确定。本条所列出的含水率，是根据国内调查资料和参照国外规范而制定的。</w:t>
      </w:r>
    </w:p>
    <w:p>
      <w:pPr>
        <w:widowControl/>
        <w:wordWrap w:val="0"/>
        <w:ind w:firstLine="565" w:firstLineChars="202"/>
        <w:rPr>
          <w:rFonts w:eastAsiaTheme="minorEastAsia"/>
          <w:color w:val="000000" w:themeColor="text1"/>
          <w:sz w:val="28"/>
          <w:szCs w:val="28"/>
        </w:rPr>
      </w:pPr>
      <w:r>
        <w:rPr>
          <w:rFonts w:eastAsiaTheme="minorEastAsia"/>
          <w:color w:val="000000" w:themeColor="text1"/>
          <w:sz w:val="28"/>
          <w:szCs w:val="28"/>
        </w:rPr>
        <w:t>日本指南从脱水泥饼的处理及泥饼焚烧经济性考虑，规定泥饼含水率宜为75%；天津某污水厂消化污泥经压滤机脱水后，泥饼含水率为70%～80%，平均为75%；上海某污水厂混合污泥经压滤机脱水后，泥饼含水率为73.4%～75.9%；厦门某污水厂混合污泥经</w:t>
      </w:r>
      <w:r>
        <w:rPr>
          <w:rFonts w:hint="eastAsia" w:eastAsiaTheme="minorEastAsia"/>
          <w:color w:val="000000" w:themeColor="text1"/>
          <w:sz w:val="28"/>
          <w:szCs w:val="28"/>
        </w:rPr>
        <w:t>石灰等药剂</w:t>
      </w:r>
      <w:r>
        <w:rPr>
          <w:rFonts w:eastAsiaTheme="minorEastAsia"/>
          <w:color w:val="000000" w:themeColor="text1"/>
          <w:sz w:val="28"/>
          <w:szCs w:val="28"/>
        </w:rPr>
        <w:t>调理后，通过压滤机脱水，泥饼含水率为55%～60%。</w:t>
      </w:r>
    </w:p>
    <w:p>
      <w:pPr>
        <w:pStyle w:val="30"/>
        <w:numPr>
          <w:ilvl w:val="0"/>
          <w:numId w:val="5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bCs/>
          <w:color w:val="000000" w:themeColor="text1"/>
          <w:sz w:val="28"/>
          <w:szCs w:val="28"/>
        </w:rPr>
        <w:t>带式</w:t>
      </w:r>
      <w:r>
        <w:rPr>
          <w:rFonts w:ascii="Times New Roman" w:hAnsi="Times New Roman" w:eastAsiaTheme="minorEastAsia"/>
          <w:color w:val="000000" w:themeColor="text1"/>
          <w:sz w:val="28"/>
          <w:szCs w:val="28"/>
        </w:rPr>
        <w:t>压滤机的设计，应符合下列规定：</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污泥脱水负荷应根据试验资料或类似运行经验确定，污水污泥可按本标准表8.5.4的规定取值；</w:t>
      </w:r>
    </w:p>
    <w:p>
      <w:pPr>
        <w:widowControl/>
        <w:wordWrap w:val="0"/>
        <w:spacing w:line="360" w:lineRule="auto"/>
        <w:jc w:val="center"/>
        <w:rPr>
          <w:rFonts w:eastAsiaTheme="minorEastAsia"/>
          <w:b/>
          <w:bCs/>
          <w:color w:val="000000" w:themeColor="text1"/>
          <w:sz w:val="28"/>
          <w:szCs w:val="28"/>
        </w:rPr>
      </w:pPr>
      <w:r>
        <w:rPr>
          <w:rFonts w:eastAsiaTheme="minorEastAsia"/>
          <w:b/>
          <w:bCs/>
          <w:color w:val="000000" w:themeColor="text1"/>
          <w:sz w:val="28"/>
          <w:szCs w:val="28"/>
        </w:rPr>
        <w:t>表8.</w:t>
      </w:r>
      <w:r>
        <w:rPr>
          <w:rFonts w:hint="eastAsia" w:eastAsiaTheme="minorEastAsia"/>
          <w:b/>
          <w:bCs/>
          <w:color w:val="000000" w:themeColor="text1"/>
          <w:sz w:val="28"/>
          <w:szCs w:val="28"/>
        </w:rPr>
        <w:t>5</w:t>
      </w:r>
      <w:r>
        <w:rPr>
          <w:rFonts w:eastAsiaTheme="minorEastAsia"/>
          <w:b/>
          <w:bCs/>
          <w:color w:val="000000" w:themeColor="text1"/>
          <w:sz w:val="28"/>
          <w:szCs w:val="28"/>
        </w:rPr>
        <w:t xml:space="preserve">.4  </w:t>
      </w:r>
      <w:r>
        <w:rPr>
          <w:rFonts w:hint="eastAsia" w:eastAsiaTheme="minorEastAsia"/>
          <w:b/>
          <w:bCs/>
          <w:color w:val="000000" w:themeColor="text1"/>
          <w:sz w:val="28"/>
          <w:szCs w:val="28"/>
        </w:rPr>
        <w:t>污水</w:t>
      </w:r>
      <w:r>
        <w:rPr>
          <w:rFonts w:eastAsiaTheme="minorEastAsia"/>
          <w:b/>
          <w:bCs/>
          <w:color w:val="000000" w:themeColor="text1"/>
          <w:sz w:val="28"/>
          <w:szCs w:val="28"/>
        </w:rPr>
        <w:t>污泥脱水负荷</w:t>
      </w:r>
    </w:p>
    <w:tbl>
      <w:tblPr>
        <w:tblStyle w:val="25"/>
        <w:tblW w:w="7987"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033"/>
        <w:gridCol w:w="1418"/>
        <w:gridCol w:w="1597"/>
        <w:gridCol w:w="1331"/>
        <w:gridCol w:w="160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3" w:type="dxa"/>
            <w:vAlign w:val="center"/>
          </w:tcPr>
          <w:p>
            <w:pPr>
              <w:widowControl/>
              <w:wordWrap w:val="0"/>
              <w:spacing w:line="360" w:lineRule="auto"/>
              <w:rPr>
                <w:rFonts w:eastAsiaTheme="minorEastAsia"/>
                <w:color w:val="000000" w:themeColor="text1"/>
                <w:sz w:val="28"/>
                <w:szCs w:val="28"/>
              </w:rPr>
            </w:pPr>
            <w:r>
              <w:rPr>
                <w:rFonts w:eastAsiaTheme="minorEastAsia"/>
                <w:color w:val="000000" w:themeColor="text1"/>
                <w:sz w:val="28"/>
                <w:szCs w:val="28"/>
              </w:rPr>
              <w:t>污泥类别</w:t>
            </w:r>
          </w:p>
        </w:tc>
        <w:tc>
          <w:tcPr>
            <w:tcW w:w="1418" w:type="dxa"/>
            <w:vAlign w:val="center"/>
          </w:tcPr>
          <w:p>
            <w:pPr>
              <w:widowControl/>
              <w:wordWrap w:val="0"/>
              <w:spacing w:line="360" w:lineRule="auto"/>
              <w:rPr>
                <w:rFonts w:eastAsiaTheme="minorEastAsia"/>
                <w:color w:val="000000" w:themeColor="text1"/>
                <w:sz w:val="28"/>
                <w:szCs w:val="28"/>
              </w:rPr>
            </w:pPr>
            <w:r>
              <w:rPr>
                <w:rFonts w:eastAsiaTheme="minorEastAsia"/>
                <w:color w:val="000000" w:themeColor="text1"/>
                <w:sz w:val="28"/>
                <w:szCs w:val="28"/>
              </w:rPr>
              <w:t>初沉原污泥</w:t>
            </w:r>
          </w:p>
        </w:tc>
        <w:tc>
          <w:tcPr>
            <w:tcW w:w="1597" w:type="dxa"/>
            <w:vAlign w:val="center"/>
          </w:tcPr>
          <w:p>
            <w:pPr>
              <w:widowControl/>
              <w:wordWrap w:val="0"/>
              <w:spacing w:line="360" w:lineRule="auto"/>
              <w:rPr>
                <w:rFonts w:eastAsiaTheme="minorEastAsia"/>
                <w:color w:val="000000" w:themeColor="text1"/>
                <w:sz w:val="28"/>
                <w:szCs w:val="28"/>
              </w:rPr>
            </w:pPr>
            <w:r>
              <w:rPr>
                <w:rFonts w:eastAsiaTheme="minorEastAsia"/>
                <w:color w:val="000000" w:themeColor="text1"/>
                <w:sz w:val="28"/>
                <w:szCs w:val="28"/>
              </w:rPr>
              <w:t>初沉消化污泥</w:t>
            </w:r>
          </w:p>
        </w:tc>
        <w:tc>
          <w:tcPr>
            <w:tcW w:w="1331" w:type="dxa"/>
            <w:vAlign w:val="center"/>
          </w:tcPr>
          <w:p>
            <w:pPr>
              <w:widowControl/>
              <w:wordWrap w:val="0"/>
              <w:spacing w:line="360" w:lineRule="auto"/>
              <w:rPr>
                <w:rFonts w:eastAsiaTheme="minorEastAsia"/>
                <w:color w:val="000000" w:themeColor="text1"/>
                <w:sz w:val="28"/>
                <w:szCs w:val="28"/>
              </w:rPr>
            </w:pPr>
            <w:r>
              <w:rPr>
                <w:rFonts w:eastAsiaTheme="minorEastAsia"/>
                <w:color w:val="000000" w:themeColor="text1"/>
                <w:sz w:val="28"/>
                <w:szCs w:val="28"/>
              </w:rPr>
              <w:t>混合原污泥</w:t>
            </w:r>
          </w:p>
        </w:tc>
        <w:tc>
          <w:tcPr>
            <w:tcW w:w="1608" w:type="dxa"/>
            <w:vAlign w:val="center"/>
          </w:tcPr>
          <w:p>
            <w:pPr>
              <w:widowControl/>
              <w:wordWrap w:val="0"/>
              <w:spacing w:line="360" w:lineRule="auto"/>
              <w:rPr>
                <w:rFonts w:eastAsiaTheme="minorEastAsia"/>
                <w:color w:val="000000" w:themeColor="text1"/>
                <w:sz w:val="28"/>
                <w:szCs w:val="28"/>
              </w:rPr>
            </w:pPr>
            <w:r>
              <w:rPr>
                <w:rFonts w:eastAsiaTheme="minorEastAsia"/>
                <w:color w:val="000000" w:themeColor="text1"/>
                <w:sz w:val="28"/>
                <w:szCs w:val="28"/>
              </w:rPr>
              <w:t>混合消化污泥</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3" w:type="dxa"/>
            <w:vAlign w:val="center"/>
          </w:tcPr>
          <w:p>
            <w:pPr>
              <w:widowControl/>
              <w:wordWrap w:val="0"/>
              <w:spacing w:line="360" w:lineRule="auto"/>
              <w:rPr>
                <w:rFonts w:eastAsiaTheme="minorEastAsia"/>
                <w:color w:val="000000" w:themeColor="text1"/>
                <w:sz w:val="28"/>
                <w:szCs w:val="28"/>
              </w:rPr>
            </w:pPr>
            <w:r>
              <w:rPr>
                <w:rFonts w:eastAsiaTheme="minorEastAsia"/>
                <w:color w:val="000000" w:themeColor="text1"/>
                <w:sz w:val="28"/>
                <w:szCs w:val="28"/>
              </w:rPr>
              <w:t>污泥脱水负荷</w:t>
            </w:r>
          </w:p>
          <w:p>
            <w:pPr>
              <w:widowControl/>
              <w:wordWrap w:val="0"/>
              <w:spacing w:line="360" w:lineRule="auto"/>
              <w:rPr>
                <w:rFonts w:eastAsiaTheme="minorEastAsia"/>
                <w:color w:val="000000" w:themeColor="text1"/>
                <w:sz w:val="28"/>
                <w:szCs w:val="28"/>
              </w:rPr>
            </w:pPr>
            <w:r>
              <w:rPr>
                <w:rFonts w:eastAsiaTheme="minorEastAsia"/>
                <w:color w:val="000000" w:themeColor="text1"/>
                <w:sz w:val="28"/>
                <w:szCs w:val="28"/>
              </w:rPr>
              <w:t>kg/（m·h）</w:t>
            </w:r>
          </w:p>
        </w:tc>
        <w:tc>
          <w:tcPr>
            <w:tcW w:w="1418" w:type="dxa"/>
            <w:vAlign w:val="center"/>
          </w:tcPr>
          <w:p>
            <w:pPr>
              <w:widowControl/>
              <w:wordWrap w:val="0"/>
              <w:spacing w:line="360" w:lineRule="auto"/>
              <w:rPr>
                <w:rFonts w:eastAsiaTheme="minorEastAsia"/>
                <w:color w:val="000000" w:themeColor="text1"/>
                <w:sz w:val="28"/>
                <w:szCs w:val="28"/>
              </w:rPr>
            </w:pPr>
            <w:r>
              <w:rPr>
                <w:rFonts w:eastAsiaTheme="minorEastAsia"/>
                <w:color w:val="000000" w:themeColor="text1"/>
                <w:sz w:val="28"/>
                <w:szCs w:val="28"/>
              </w:rPr>
              <w:t>250</w:t>
            </w:r>
          </w:p>
        </w:tc>
        <w:tc>
          <w:tcPr>
            <w:tcW w:w="1597" w:type="dxa"/>
            <w:vAlign w:val="center"/>
          </w:tcPr>
          <w:p>
            <w:pPr>
              <w:widowControl/>
              <w:wordWrap w:val="0"/>
              <w:spacing w:line="360" w:lineRule="auto"/>
              <w:rPr>
                <w:rFonts w:eastAsiaTheme="minorEastAsia"/>
                <w:color w:val="000000" w:themeColor="text1"/>
                <w:sz w:val="28"/>
                <w:szCs w:val="28"/>
              </w:rPr>
            </w:pPr>
            <w:r>
              <w:rPr>
                <w:rFonts w:eastAsiaTheme="minorEastAsia"/>
                <w:color w:val="000000" w:themeColor="text1"/>
                <w:sz w:val="28"/>
                <w:szCs w:val="28"/>
              </w:rPr>
              <w:t>300</w:t>
            </w:r>
          </w:p>
        </w:tc>
        <w:tc>
          <w:tcPr>
            <w:tcW w:w="1331" w:type="dxa"/>
            <w:vAlign w:val="center"/>
          </w:tcPr>
          <w:p>
            <w:pPr>
              <w:widowControl/>
              <w:wordWrap w:val="0"/>
              <w:spacing w:line="360" w:lineRule="auto"/>
              <w:rPr>
                <w:rFonts w:eastAsiaTheme="minorEastAsia"/>
                <w:color w:val="000000" w:themeColor="text1"/>
                <w:sz w:val="28"/>
                <w:szCs w:val="28"/>
              </w:rPr>
            </w:pPr>
            <w:r>
              <w:rPr>
                <w:rFonts w:eastAsiaTheme="minorEastAsia"/>
                <w:color w:val="000000" w:themeColor="text1"/>
                <w:sz w:val="28"/>
                <w:szCs w:val="28"/>
              </w:rPr>
              <w:t>150</w:t>
            </w:r>
          </w:p>
        </w:tc>
        <w:tc>
          <w:tcPr>
            <w:tcW w:w="1608" w:type="dxa"/>
            <w:vAlign w:val="center"/>
          </w:tcPr>
          <w:p>
            <w:pPr>
              <w:widowControl/>
              <w:wordWrap w:val="0"/>
              <w:spacing w:line="360" w:lineRule="auto"/>
              <w:rPr>
                <w:rFonts w:eastAsiaTheme="minorEastAsia"/>
                <w:color w:val="000000" w:themeColor="text1"/>
                <w:sz w:val="28"/>
                <w:szCs w:val="28"/>
              </w:rPr>
            </w:pPr>
            <w:r>
              <w:rPr>
                <w:rFonts w:eastAsiaTheme="minorEastAsia"/>
                <w:color w:val="000000" w:themeColor="text1"/>
                <w:sz w:val="28"/>
                <w:szCs w:val="28"/>
              </w:rPr>
              <w:t>200</w:t>
            </w:r>
          </w:p>
        </w:tc>
      </w:tr>
    </w:tbl>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应按带式压滤机的要求配置空气压缩机，并至少应有1台备用；</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应配置冲洗泵，其压力宜采用0.4MP~0.6MPa，其流量可按5.5 m</w:t>
      </w:r>
      <w:r>
        <w:rPr>
          <w:rFonts w:eastAsiaTheme="minorEastAsia"/>
          <w:color w:val="000000" w:themeColor="text1"/>
          <w:sz w:val="28"/>
          <w:szCs w:val="28"/>
          <w:vertAlign w:val="superscript"/>
        </w:rPr>
        <w:t>3</w:t>
      </w:r>
      <w:r>
        <w:rPr>
          <w:rFonts w:eastAsiaTheme="minorEastAsia"/>
          <w:color w:val="000000" w:themeColor="text1"/>
          <w:sz w:val="28"/>
          <w:szCs w:val="28"/>
        </w:rPr>
        <w:t>/m带宽·h~11m</w:t>
      </w:r>
      <w:r>
        <w:rPr>
          <w:rFonts w:eastAsiaTheme="minorEastAsia"/>
          <w:color w:val="000000" w:themeColor="text1"/>
          <w:sz w:val="28"/>
          <w:szCs w:val="28"/>
          <w:vertAlign w:val="superscript"/>
        </w:rPr>
        <w:t>3</w:t>
      </w:r>
      <w:r>
        <w:rPr>
          <w:rFonts w:eastAsiaTheme="minorEastAsia"/>
          <w:color w:val="000000" w:themeColor="text1"/>
          <w:sz w:val="28"/>
          <w:szCs w:val="28"/>
        </w:rPr>
        <w:t>/（m带宽）·h计算，至少应有一台备用。</w:t>
      </w:r>
    </w:p>
    <w:p>
      <w:pPr>
        <w:wordWrap w:val="0"/>
        <w:rPr>
          <w:rFonts w:eastAsiaTheme="minorEastAsia"/>
          <w:color w:val="000000" w:themeColor="text1"/>
          <w:sz w:val="28"/>
          <w:szCs w:val="28"/>
        </w:rPr>
      </w:pPr>
      <w:r>
        <w:rPr>
          <w:rFonts w:eastAsiaTheme="minorEastAsia"/>
          <w:color w:val="000000" w:themeColor="text1"/>
          <w:sz w:val="28"/>
          <w:szCs w:val="28"/>
        </w:rPr>
        <w:t>【条文说明】</w:t>
      </w:r>
    </w:p>
    <w:p>
      <w:pPr>
        <w:wordWrap w:val="0"/>
        <w:ind w:firstLine="703" w:firstLineChars="25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本标准使用污泥脱水负荷，其含义为每米带宽每小时能处理污泥于物质的公斤数。该负荷因污泥类别、含水率、滤带速度、张力以及混凝剂品种、用量不同而异；应根据试验资料或类似运行经验确定，也可按表8.</w:t>
      </w:r>
      <w:r>
        <w:rPr>
          <w:rFonts w:hint="eastAsia" w:eastAsiaTheme="minorEastAsia"/>
          <w:color w:val="000000" w:themeColor="text1"/>
          <w:sz w:val="28"/>
          <w:szCs w:val="28"/>
        </w:rPr>
        <w:t>5</w:t>
      </w:r>
      <w:r>
        <w:rPr>
          <w:rFonts w:eastAsiaTheme="minorEastAsia"/>
          <w:color w:val="000000" w:themeColor="text1"/>
          <w:sz w:val="28"/>
          <w:szCs w:val="28"/>
        </w:rPr>
        <w:t>.4取值。表中混合原污泥为初沉污泥与二沉污泥的混合污泥，混合消化污泥为初沉污泥与二沉污泥混合消化后的污泥。</w:t>
      </w:r>
    </w:p>
    <w:p>
      <w:pPr>
        <w:wordWrap w:val="0"/>
        <w:ind w:firstLine="700" w:firstLineChars="250"/>
        <w:rPr>
          <w:rFonts w:eastAsiaTheme="minorEastAsia"/>
          <w:color w:val="000000" w:themeColor="text1"/>
          <w:sz w:val="28"/>
          <w:szCs w:val="28"/>
        </w:rPr>
      </w:pPr>
      <w:r>
        <w:rPr>
          <w:rFonts w:eastAsiaTheme="minorEastAsia"/>
          <w:color w:val="000000" w:themeColor="text1"/>
          <w:sz w:val="28"/>
          <w:szCs w:val="28"/>
        </w:rPr>
        <w:t>日本指南建议对浓缩污泥及消化污泥的污泥脱水负荷采用90kg/（m·h）～150kg/（m·h）；杭州某污水厂用2m带宽的压滤机对初沉消化污泥脱水，污泥脱水负荷为300kg/（m·h）～500kg/（m·h）；上海某污水厂用1m带宽的压滤机对混合原污泥脱水，污泥脱水负荷为150kg/（m·h）～224kg/（m·h）；天津某污水厂用3m带宽的压滤机对混合消化污泥脱水，污泥脱水负荷为207kg/（m·h）～247kg/（m·h）。</w:t>
      </w:r>
    </w:p>
    <w:p>
      <w:pPr>
        <w:wordWrap w:val="0"/>
        <w:ind w:firstLine="703" w:firstLineChars="25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压滤机滤布的张紧和调正由压缩空气与其控制系统实现，在空气压力低于某一值时，压滤机将停止工作。应按压滤机的要求，配置空气压缩机。为在检查和故障维修时脱水机间能正常运行，至少应有1台备用机。</w:t>
      </w:r>
    </w:p>
    <w:p>
      <w:pPr>
        <w:wordWrap w:val="0"/>
        <w:ind w:firstLine="703" w:firstLineChars="25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上海某污水厂采用压力为0.4MPa～0.6MPa的冲洗水冲洗带式压滤机滤布，运行结果表明，压力稍高，结果稍好。</w:t>
      </w:r>
    </w:p>
    <w:p>
      <w:pPr>
        <w:wordWrap w:val="0"/>
        <w:ind w:firstLine="700" w:firstLineChars="250"/>
        <w:rPr>
          <w:rFonts w:eastAsiaTheme="minorEastAsia"/>
          <w:color w:val="000000" w:themeColor="text1"/>
          <w:sz w:val="28"/>
          <w:szCs w:val="28"/>
        </w:rPr>
      </w:pPr>
      <w:r>
        <w:rPr>
          <w:rFonts w:eastAsiaTheme="minorEastAsia"/>
          <w:color w:val="000000" w:themeColor="text1"/>
          <w:sz w:val="28"/>
          <w:szCs w:val="28"/>
        </w:rPr>
        <w:t>天津某污水厂推荐滤布冲洗水压为0.5MPa～0.6MPa。</w:t>
      </w:r>
    </w:p>
    <w:p>
      <w:pPr>
        <w:wordWrap w:val="0"/>
        <w:ind w:firstLine="700" w:firstLineChars="250"/>
        <w:rPr>
          <w:rFonts w:eastAsiaTheme="minorEastAsia"/>
          <w:color w:val="000000" w:themeColor="text1"/>
          <w:sz w:val="28"/>
          <w:szCs w:val="28"/>
        </w:rPr>
      </w:pPr>
      <w:r>
        <w:rPr>
          <w:rFonts w:eastAsiaTheme="minorEastAsia"/>
          <w:color w:val="000000" w:themeColor="text1"/>
          <w:sz w:val="28"/>
          <w:szCs w:val="28"/>
        </w:rPr>
        <w:t>上海某污水厂用带宽为1m的带式压滤机进行混合污泥脱水，每米带宽每小时需7m</w:t>
      </w:r>
      <w:r>
        <w:rPr>
          <w:rFonts w:eastAsiaTheme="minorEastAsia"/>
          <w:color w:val="000000" w:themeColor="text1"/>
          <w:sz w:val="28"/>
          <w:szCs w:val="28"/>
          <w:vertAlign w:val="superscript"/>
        </w:rPr>
        <w:t>3</w:t>
      </w:r>
      <w:r>
        <w:rPr>
          <w:rFonts w:eastAsiaTheme="minorEastAsia"/>
          <w:color w:val="000000" w:themeColor="text1"/>
          <w:sz w:val="28"/>
          <w:szCs w:val="28"/>
        </w:rPr>
        <w:t>～11m</w:t>
      </w:r>
      <w:r>
        <w:rPr>
          <w:rFonts w:eastAsiaTheme="minorEastAsia"/>
          <w:color w:val="000000" w:themeColor="text1"/>
          <w:sz w:val="28"/>
          <w:szCs w:val="28"/>
          <w:vertAlign w:val="superscript"/>
        </w:rPr>
        <w:t>3</w:t>
      </w:r>
      <w:r>
        <w:rPr>
          <w:rFonts w:eastAsiaTheme="minorEastAsia"/>
          <w:color w:val="000000" w:themeColor="text1"/>
          <w:sz w:val="28"/>
          <w:szCs w:val="28"/>
        </w:rPr>
        <w:t>冲洗水。天津某污水厂用带宽3m的带式压滤机对混合消化污泥脱水，每米带宽每小时需5.5m</w:t>
      </w:r>
      <w:r>
        <w:rPr>
          <w:rFonts w:eastAsiaTheme="minorEastAsia"/>
          <w:color w:val="000000" w:themeColor="text1"/>
          <w:sz w:val="28"/>
          <w:szCs w:val="28"/>
          <w:vertAlign w:val="superscript"/>
        </w:rPr>
        <w:t>3</w:t>
      </w:r>
      <w:r>
        <w:rPr>
          <w:rFonts w:eastAsiaTheme="minorEastAsia"/>
          <w:color w:val="000000" w:themeColor="text1"/>
          <w:sz w:val="28"/>
          <w:szCs w:val="28"/>
        </w:rPr>
        <w:t>～7.5m</w:t>
      </w:r>
      <w:r>
        <w:rPr>
          <w:rFonts w:eastAsiaTheme="minorEastAsia"/>
          <w:color w:val="000000" w:themeColor="text1"/>
          <w:sz w:val="28"/>
          <w:szCs w:val="28"/>
          <w:vertAlign w:val="superscript"/>
        </w:rPr>
        <w:t>3</w:t>
      </w:r>
      <w:r>
        <w:rPr>
          <w:rFonts w:eastAsiaTheme="minorEastAsia"/>
          <w:color w:val="000000" w:themeColor="text1"/>
          <w:sz w:val="28"/>
          <w:szCs w:val="28"/>
        </w:rPr>
        <w:t>冲洗水。为降低成本，可用再生水作冲洗水；天津某污水厂用再生水冲洗，取得较好效果。</w:t>
      </w:r>
    </w:p>
    <w:p>
      <w:pPr>
        <w:widowControl/>
        <w:wordWrap w:val="0"/>
        <w:ind w:firstLine="565" w:firstLineChars="202"/>
        <w:rPr>
          <w:rFonts w:eastAsiaTheme="minorEastAsia"/>
          <w:b/>
          <w:bCs/>
          <w:color w:val="000000" w:themeColor="text1"/>
          <w:sz w:val="28"/>
          <w:szCs w:val="28"/>
        </w:rPr>
      </w:pPr>
      <w:r>
        <w:rPr>
          <w:rFonts w:eastAsiaTheme="minorEastAsia"/>
          <w:color w:val="000000" w:themeColor="text1"/>
          <w:sz w:val="28"/>
          <w:szCs w:val="28"/>
        </w:rPr>
        <w:t>为在检查和维修故障时脱水间能正常运行，至少应有1台备用泵。</w:t>
      </w:r>
    </w:p>
    <w:p>
      <w:pPr>
        <w:pStyle w:val="30"/>
        <w:numPr>
          <w:ilvl w:val="0"/>
          <w:numId w:val="5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板框压滤机和厢式压滤机的设计，应符合下列规定：</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过滤压力不</w:t>
      </w:r>
      <w:r>
        <w:rPr>
          <w:rFonts w:hint="eastAsia" w:eastAsiaTheme="minorEastAsia"/>
          <w:color w:val="000000" w:themeColor="text1"/>
          <w:sz w:val="28"/>
          <w:szCs w:val="28"/>
        </w:rPr>
        <w:t>应</w:t>
      </w:r>
      <w:r>
        <w:rPr>
          <w:rFonts w:eastAsiaTheme="minorEastAsia"/>
          <w:color w:val="000000" w:themeColor="text1"/>
          <w:sz w:val="28"/>
          <w:szCs w:val="28"/>
        </w:rPr>
        <w:t>小于400 kPa；</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过滤周期不</w:t>
      </w:r>
      <w:r>
        <w:rPr>
          <w:rFonts w:hint="eastAsia" w:eastAsiaTheme="minorEastAsia"/>
          <w:color w:val="000000" w:themeColor="text1"/>
          <w:sz w:val="28"/>
          <w:szCs w:val="28"/>
        </w:rPr>
        <w:t>应</w:t>
      </w:r>
      <w:r>
        <w:rPr>
          <w:rFonts w:eastAsiaTheme="minorEastAsia"/>
          <w:color w:val="000000" w:themeColor="text1"/>
          <w:sz w:val="28"/>
          <w:szCs w:val="28"/>
        </w:rPr>
        <w:t>大于4h；</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每台压滤机可设污泥压入泵一台，宜选用柱塞泵；</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4</w:t>
      </w:r>
      <w:r>
        <w:rPr>
          <w:rFonts w:eastAsiaTheme="minorEastAsia"/>
          <w:color w:val="000000" w:themeColor="text1"/>
          <w:sz w:val="28"/>
          <w:szCs w:val="28"/>
        </w:rPr>
        <w:t xml:space="preserve"> 压缩空气量为每立方米滤室不</w:t>
      </w:r>
      <w:r>
        <w:rPr>
          <w:rFonts w:hint="eastAsia" w:eastAsiaTheme="minorEastAsia"/>
          <w:color w:val="000000" w:themeColor="text1"/>
          <w:sz w:val="28"/>
          <w:szCs w:val="28"/>
        </w:rPr>
        <w:t>应</w:t>
      </w:r>
      <w:r>
        <w:rPr>
          <w:rFonts w:eastAsiaTheme="minorEastAsia"/>
          <w:color w:val="000000" w:themeColor="text1"/>
          <w:sz w:val="28"/>
          <w:szCs w:val="28"/>
        </w:rPr>
        <w:t>小于2m</w:t>
      </w:r>
      <w:r>
        <w:rPr>
          <w:rFonts w:eastAsiaTheme="minorEastAsia"/>
          <w:color w:val="000000" w:themeColor="text1"/>
          <w:sz w:val="28"/>
          <w:szCs w:val="28"/>
          <w:vertAlign w:val="superscript"/>
        </w:rPr>
        <w:t>3</w:t>
      </w:r>
      <w:r>
        <w:rPr>
          <w:rFonts w:eastAsiaTheme="minorEastAsia"/>
          <w:color w:val="000000" w:themeColor="text1"/>
          <w:sz w:val="28"/>
          <w:szCs w:val="28"/>
        </w:rPr>
        <w:t>/min（按标准工况计）。</w:t>
      </w:r>
    </w:p>
    <w:p>
      <w:pPr>
        <w:wordWrap w:val="0"/>
        <w:rPr>
          <w:rFonts w:eastAsiaTheme="minorEastAsia"/>
          <w:color w:val="000000" w:themeColor="text1"/>
          <w:sz w:val="28"/>
          <w:szCs w:val="28"/>
        </w:rPr>
      </w:pPr>
      <w:r>
        <w:rPr>
          <w:rFonts w:eastAsiaTheme="minorEastAsia"/>
          <w:color w:val="000000" w:themeColor="text1"/>
          <w:sz w:val="28"/>
          <w:szCs w:val="28"/>
        </w:rPr>
        <w:t>【条文说明】</w:t>
      </w:r>
    </w:p>
    <w:p>
      <w:pPr>
        <w:wordWrap w:val="0"/>
        <w:ind w:firstLine="703" w:firstLineChars="25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过滤压力太小，则污泥在滤室内难以形成滤饼。日本指南规定过滤压力为400kPa～500kPa，国内板框压滤机和厢式压滤机过滤压力一般不小于400kPa，采用隔膜滤板的厢式压滤机过滤压力通常更高。</w:t>
      </w:r>
    </w:p>
    <w:p>
      <w:pPr>
        <w:wordWrap w:val="0"/>
        <w:ind w:firstLine="703" w:firstLineChars="25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过滤周期，吉林某厂污水站的厢式压滤机为3h～4.5h；辽阳某厂污水站的厢式压滤机为3.5h；北京某厂污水站的自动板框压滤机为3h～4h。据此，本条规定为不大于4h。</w:t>
      </w:r>
    </w:p>
    <w:p>
      <w:pPr>
        <w:wordWrap w:val="0"/>
        <w:ind w:firstLine="703" w:firstLineChars="25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污泥压入泵，国内使用离心泵、往复泵或柱塞泵。北京某厂污水站采用柱塞泵，使用效果较好。日本指南规定可用无堵塞构造的离心泵、往复泵或柱塞泵。</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我国现有配置的压缩空气量，每立方米滤室一般为1.4m</w:t>
      </w:r>
      <w:r>
        <w:rPr>
          <w:rFonts w:eastAsiaTheme="minorEastAsia"/>
          <w:color w:val="000000" w:themeColor="text1"/>
          <w:sz w:val="28"/>
          <w:szCs w:val="28"/>
          <w:vertAlign w:val="superscript"/>
        </w:rPr>
        <w:t>3</w:t>
      </w:r>
      <w:r>
        <w:rPr>
          <w:rFonts w:eastAsiaTheme="minorEastAsia"/>
          <w:color w:val="000000" w:themeColor="text1"/>
          <w:sz w:val="28"/>
          <w:szCs w:val="28"/>
        </w:rPr>
        <w:t>/min～3.0m</w:t>
      </w:r>
      <w:r>
        <w:rPr>
          <w:rFonts w:eastAsiaTheme="minorEastAsia"/>
          <w:color w:val="000000" w:themeColor="text1"/>
          <w:sz w:val="28"/>
          <w:szCs w:val="28"/>
          <w:vertAlign w:val="superscript"/>
        </w:rPr>
        <w:t>3</w:t>
      </w:r>
      <w:r>
        <w:rPr>
          <w:rFonts w:eastAsiaTheme="minorEastAsia"/>
          <w:color w:val="000000" w:themeColor="text1"/>
          <w:sz w:val="28"/>
          <w:szCs w:val="28"/>
        </w:rPr>
        <w:t>/min。日本指南为每立方米滤室2m</w:t>
      </w:r>
      <w:r>
        <w:rPr>
          <w:rFonts w:eastAsiaTheme="minorEastAsia"/>
          <w:color w:val="000000" w:themeColor="text1"/>
          <w:sz w:val="28"/>
          <w:szCs w:val="28"/>
          <w:vertAlign w:val="superscript"/>
        </w:rPr>
        <w:t>3</w:t>
      </w:r>
      <w:r>
        <w:rPr>
          <w:rFonts w:eastAsiaTheme="minorEastAsia"/>
          <w:color w:val="000000" w:themeColor="text1"/>
          <w:sz w:val="28"/>
          <w:szCs w:val="28"/>
        </w:rPr>
        <w:t>/min(按标准工况计)。</w:t>
      </w:r>
    </w:p>
    <w:p>
      <w:pPr>
        <w:pStyle w:val="30"/>
        <w:numPr>
          <w:ilvl w:val="0"/>
          <w:numId w:val="5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深度脱水压滤机的设计，应符合下列规定：</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 xml:space="preserve">1 </w:t>
      </w:r>
      <w:r>
        <w:rPr>
          <w:rFonts w:eastAsiaTheme="minorEastAsia"/>
          <w:color w:val="000000" w:themeColor="text1"/>
          <w:sz w:val="28"/>
          <w:szCs w:val="28"/>
        </w:rPr>
        <w:t>进料压力宜为0.6MPa~1.6MPa；</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 xml:space="preserve">2 </w:t>
      </w:r>
      <w:r>
        <w:rPr>
          <w:rFonts w:eastAsiaTheme="minorEastAsia"/>
          <w:color w:val="000000" w:themeColor="text1"/>
          <w:sz w:val="28"/>
          <w:szCs w:val="28"/>
        </w:rPr>
        <w:t>压榨压力宜为2.0MPa~3.0MPa</w:t>
      </w:r>
      <w:r>
        <w:rPr>
          <w:rFonts w:eastAsiaTheme="minorEastAsia"/>
          <w:b/>
          <w:color w:val="000000" w:themeColor="text1"/>
          <w:sz w:val="28"/>
          <w:szCs w:val="28"/>
        </w:rPr>
        <w:t>，</w:t>
      </w:r>
      <w:r>
        <w:rPr>
          <w:rFonts w:eastAsiaTheme="minorEastAsia"/>
          <w:color w:val="000000" w:themeColor="text1"/>
          <w:sz w:val="28"/>
          <w:szCs w:val="28"/>
        </w:rPr>
        <w:t>压榨泵至隔膜腔室之间的连接管路配件及控制阀，其承压能力应满足相关安全标准和使用要求；</w:t>
      </w:r>
    </w:p>
    <w:p>
      <w:pPr>
        <w:widowControl/>
        <w:wordWrap w:val="0"/>
        <w:ind w:firstLine="565" w:firstLineChars="201"/>
        <w:rPr>
          <w:rFonts w:eastAsia="宋体"/>
          <w:color w:val="000000"/>
          <w:sz w:val="28"/>
          <w:szCs w:val="28"/>
        </w:rPr>
      </w:pPr>
      <w:r>
        <w:rPr>
          <w:rFonts w:eastAsia="宋体"/>
          <w:b/>
          <w:color w:val="000000"/>
          <w:sz w:val="28"/>
          <w:szCs w:val="28"/>
        </w:rPr>
        <w:t xml:space="preserve">3 </w:t>
      </w:r>
      <w:r>
        <w:rPr>
          <w:rFonts w:eastAsia="宋体"/>
          <w:color w:val="000000"/>
          <w:sz w:val="28"/>
          <w:szCs w:val="28"/>
        </w:rPr>
        <w:t>压缩空气系统应包括空压机、储气罐、过滤器、干燥器和配套仪表阀门等部件，控制用压缩空气、压榨用压缩空气和工艺用压缩空气三部分不应相互干扰。</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w:t>
      </w:r>
    </w:p>
    <w:p>
      <w:pPr>
        <w:wordWrap w:val="0"/>
        <w:spacing w:line="360" w:lineRule="auto"/>
        <w:ind w:firstLine="565" w:firstLineChars="201"/>
        <w:rPr>
          <w:rFonts w:eastAsia="宋体"/>
          <w:color w:val="000000"/>
          <w:sz w:val="28"/>
          <w:szCs w:val="28"/>
        </w:rPr>
      </w:pPr>
      <w:r>
        <w:rPr>
          <w:rFonts w:eastAsiaTheme="minorEastAsia"/>
          <w:b/>
          <w:color w:val="000000" w:themeColor="text1"/>
          <w:sz w:val="28"/>
          <w:szCs w:val="28"/>
        </w:rPr>
        <w:t xml:space="preserve">1 </w:t>
      </w:r>
      <w:r>
        <w:rPr>
          <w:rFonts w:eastAsia="宋体"/>
          <w:color w:val="000000"/>
          <w:sz w:val="28"/>
          <w:szCs w:val="28"/>
        </w:rPr>
        <w:t>污泥通过进料泵进入隔膜压滤机滤室，当滤室内压力达到预设进料压力时，通过变频器调整进料泵转速，将压力稳定在预设值。进料泵预设进料压力的大小影响进入滤室的污泥量，当进料压力小于</w:t>
      </w:r>
      <w:r>
        <w:rPr>
          <w:color w:val="000000"/>
          <w:sz w:val="28"/>
          <w:szCs w:val="28"/>
        </w:rPr>
        <w:t>0.6MPa</w:t>
      </w:r>
      <w:r>
        <w:rPr>
          <w:rFonts w:eastAsia="宋体"/>
          <w:color w:val="000000"/>
          <w:sz w:val="28"/>
          <w:szCs w:val="28"/>
        </w:rPr>
        <w:t>时，污泥在滤室内难以形成滤饼。目前，污泥隔膜压滤常用的进料压力一般为</w:t>
      </w:r>
      <w:r>
        <w:rPr>
          <w:color w:val="000000"/>
          <w:sz w:val="28"/>
          <w:szCs w:val="28"/>
        </w:rPr>
        <w:t>1.0MPa</w:t>
      </w:r>
      <w:r>
        <w:rPr>
          <w:rFonts w:eastAsia="宋体"/>
          <w:color w:val="000000"/>
          <w:sz w:val="28"/>
          <w:szCs w:val="28"/>
        </w:rPr>
        <w:t>以上。</w:t>
      </w:r>
    </w:p>
    <w:p>
      <w:pPr>
        <w:wordWrap w:val="0"/>
        <w:spacing w:line="360" w:lineRule="auto"/>
        <w:ind w:firstLine="565" w:firstLineChars="201"/>
        <w:rPr>
          <w:rFonts w:eastAsiaTheme="minorEastAsia"/>
          <w:b/>
          <w:color w:val="000000" w:themeColor="text1"/>
          <w:sz w:val="28"/>
          <w:szCs w:val="28"/>
        </w:rPr>
      </w:pPr>
      <w:r>
        <w:rPr>
          <w:rFonts w:eastAsiaTheme="minorEastAsia"/>
          <w:b/>
          <w:color w:val="000000" w:themeColor="text1"/>
          <w:sz w:val="28"/>
          <w:szCs w:val="28"/>
        </w:rPr>
        <w:t xml:space="preserve">2 </w:t>
      </w:r>
      <w:r>
        <w:rPr>
          <w:rFonts w:eastAsia="宋体"/>
          <w:color w:val="000000"/>
          <w:sz w:val="28"/>
          <w:szCs w:val="28"/>
        </w:rPr>
        <w:t>进料完成后，压榨泵启动，向隔膜滤板腔室内通入外部介质（水或者压缩空气），使隔膜滤板膜片鼓起进而对滤室内的污泥进行压榨。当隔膜滤板腔室内的压力达到预设压榨压力时，通过变频器调整压榨泵转速，将压力稳定在预设值，压力的大小影响脱水效率和泥饼的含水率，一般宜为</w:t>
      </w:r>
      <w:r>
        <w:rPr>
          <w:color w:val="000000"/>
          <w:sz w:val="28"/>
          <w:szCs w:val="28"/>
        </w:rPr>
        <w:t>2.0MPa~3.0MPa</w:t>
      </w:r>
      <w:r>
        <w:rPr>
          <w:rFonts w:eastAsia="宋体"/>
          <w:color w:val="000000"/>
          <w:sz w:val="28"/>
          <w:szCs w:val="28"/>
        </w:rPr>
        <w:t>。</w:t>
      </w:r>
    </w:p>
    <w:p>
      <w:pPr>
        <w:wordWrap w:val="0"/>
        <w:spacing w:line="360" w:lineRule="auto"/>
        <w:ind w:firstLine="565" w:firstLineChars="201"/>
        <w:rPr>
          <w:rFonts w:eastAsiaTheme="minorEastAsia"/>
          <w:color w:val="000000" w:themeColor="text1"/>
          <w:sz w:val="28"/>
          <w:szCs w:val="28"/>
        </w:rPr>
      </w:pPr>
      <w:r>
        <w:rPr>
          <w:rFonts w:eastAsiaTheme="minorEastAsia"/>
          <w:b/>
          <w:color w:val="000000" w:themeColor="text1"/>
          <w:sz w:val="28"/>
          <w:szCs w:val="28"/>
        </w:rPr>
        <w:t xml:space="preserve">3 </w:t>
      </w:r>
      <w:r>
        <w:rPr>
          <w:rFonts w:eastAsiaTheme="minorEastAsia"/>
          <w:color w:val="000000" w:themeColor="text1"/>
          <w:sz w:val="28"/>
          <w:szCs w:val="28"/>
        </w:rPr>
        <w:t>根据功能不同，压缩空气分为下列 3 种类型：</w:t>
      </w:r>
    </w:p>
    <w:p>
      <w:pPr>
        <w:wordWrap w:val="0"/>
        <w:spacing w:line="360" w:lineRule="auto"/>
        <w:ind w:firstLine="562" w:firstLineChars="201"/>
        <w:rPr>
          <w:rFonts w:eastAsiaTheme="minorEastAsia"/>
          <w:color w:val="000000" w:themeColor="text1"/>
          <w:sz w:val="28"/>
          <w:szCs w:val="28"/>
        </w:rPr>
      </w:pPr>
      <w:r>
        <w:rPr>
          <w:rFonts w:eastAsiaTheme="minorEastAsia"/>
          <w:color w:val="000000" w:themeColor="text1"/>
          <w:sz w:val="28"/>
          <w:szCs w:val="28"/>
        </w:rPr>
        <w:t>a 控制用压缩空气：为相关的仪表和阀门供气；</w:t>
      </w:r>
    </w:p>
    <w:p>
      <w:pPr>
        <w:wordWrap w:val="0"/>
        <w:spacing w:line="360" w:lineRule="auto"/>
        <w:ind w:firstLine="562" w:firstLineChars="201"/>
        <w:rPr>
          <w:rFonts w:eastAsiaTheme="minorEastAsia"/>
          <w:color w:val="000000" w:themeColor="text1"/>
          <w:sz w:val="28"/>
          <w:szCs w:val="28"/>
        </w:rPr>
      </w:pPr>
      <w:r>
        <w:rPr>
          <w:rFonts w:eastAsiaTheme="minorEastAsia"/>
          <w:color w:val="000000" w:themeColor="text1"/>
          <w:sz w:val="28"/>
          <w:szCs w:val="28"/>
        </w:rPr>
        <w:t>b 压榨用压缩空气：为挤压隔膜提供压榨压力；</w:t>
      </w:r>
    </w:p>
    <w:p>
      <w:pPr>
        <w:wordWrap w:val="0"/>
        <w:spacing w:line="360" w:lineRule="auto"/>
        <w:ind w:firstLine="562" w:firstLineChars="201"/>
        <w:rPr>
          <w:rFonts w:eastAsiaTheme="minorEastAsia"/>
          <w:color w:val="000000" w:themeColor="text1"/>
          <w:sz w:val="28"/>
          <w:szCs w:val="28"/>
        </w:rPr>
      </w:pPr>
      <w:r>
        <w:rPr>
          <w:rFonts w:eastAsiaTheme="minorEastAsia"/>
          <w:color w:val="000000" w:themeColor="text1"/>
          <w:sz w:val="28"/>
          <w:szCs w:val="28"/>
        </w:rPr>
        <w:t>c 工艺用压缩空气：通入压滤机的中心管道内，将粘附在滤布上的污泥反吹回储泥池。</w:t>
      </w:r>
    </w:p>
    <w:p>
      <w:pPr>
        <w:widowControl/>
        <w:wordWrap w:val="0"/>
        <w:ind w:firstLine="562" w:firstLineChars="201"/>
        <w:rPr>
          <w:rFonts w:eastAsiaTheme="minorEastAsia"/>
          <w:color w:val="000000" w:themeColor="text1"/>
          <w:sz w:val="28"/>
          <w:szCs w:val="28"/>
        </w:rPr>
      </w:pPr>
      <w:r>
        <w:rPr>
          <w:rFonts w:eastAsiaTheme="minorEastAsia"/>
          <w:color w:val="000000" w:themeColor="text1"/>
          <w:sz w:val="28"/>
          <w:szCs w:val="28"/>
        </w:rPr>
        <w:t>控制用压缩空气和压榨用压缩空气对空气的粉尘含量和湿度要求较高，应设置过滤器和干燥器；工艺用压缩空气对空气质量的要求相对较低。三种压缩空气应在气压站分开，工作时不应相互干扰，以免导致设备失控。</w:t>
      </w:r>
    </w:p>
    <w:p>
      <w:pPr>
        <w:widowControl/>
        <w:wordWrap w:val="0"/>
        <w:jc w:val="center"/>
        <w:rPr>
          <w:rFonts w:eastAsiaTheme="minorEastAsia"/>
          <w:color w:val="000000" w:themeColor="text1"/>
          <w:sz w:val="28"/>
          <w:szCs w:val="28"/>
        </w:rPr>
      </w:pPr>
      <w:r>
        <w:rPr>
          <w:rFonts w:hint="eastAsia" w:ascii="宋体" w:hAnsi="宋体" w:eastAsia="宋体" w:cs="宋体"/>
          <w:color w:val="000000" w:themeColor="text1"/>
          <w:sz w:val="28"/>
          <w:szCs w:val="28"/>
        </w:rPr>
        <w:t>Ⅲ</w:t>
      </w:r>
      <w:r>
        <w:rPr>
          <w:rFonts w:eastAsiaTheme="minorEastAsia"/>
          <w:color w:val="000000" w:themeColor="text1"/>
          <w:sz w:val="28"/>
          <w:szCs w:val="28"/>
        </w:rPr>
        <w:t xml:space="preserve">  离心机</w:t>
      </w:r>
    </w:p>
    <w:p>
      <w:pPr>
        <w:pStyle w:val="30"/>
        <w:numPr>
          <w:ilvl w:val="0"/>
          <w:numId w:val="5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采用卧螺离心脱水机脱水时，其分离因数宜小于3000g（g为重力加速度）。</w:t>
      </w:r>
    </w:p>
    <w:p>
      <w:pPr>
        <w:wordWrap w:val="0"/>
        <w:rPr>
          <w:rFonts w:eastAsiaTheme="minorEastAsia"/>
          <w:color w:val="000000" w:themeColor="text1"/>
          <w:sz w:val="28"/>
          <w:szCs w:val="28"/>
        </w:rPr>
      </w:pPr>
      <w:r>
        <w:rPr>
          <w:rFonts w:eastAsiaTheme="minorEastAsia"/>
          <w:color w:val="000000" w:themeColor="text1"/>
          <w:sz w:val="28"/>
          <w:szCs w:val="28"/>
        </w:rPr>
        <w:t>【条文说明】目前国内用于污水污泥脱水的离心机多为卧螺离心机。离心脱水是以离心力强化脱水效率，虽然分离因数大脱水效果好，但并不成比例，达到临界值后分离因数再大脱水效果也无多大提高，而动力消耗增加，运行费用大幅度提高，机械磨损、噪声也随之增大。而且随着转速的增加，对污泥絮体的剪切力也增大，大的絮体易被剪碎而破坏，影响污泥的回收率。</w:t>
      </w:r>
    </w:p>
    <w:p>
      <w:pPr>
        <w:wordWrap w:val="0"/>
        <w:rPr>
          <w:rFonts w:eastAsiaTheme="minorEastAsia"/>
          <w:color w:val="000000" w:themeColor="text1"/>
          <w:sz w:val="28"/>
          <w:szCs w:val="28"/>
        </w:rPr>
      </w:pPr>
      <w:r>
        <w:rPr>
          <w:rFonts w:eastAsiaTheme="minorEastAsia"/>
          <w:color w:val="000000" w:themeColor="text1"/>
          <w:sz w:val="28"/>
          <w:szCs w:val="28"/>
        </w:rPr>
        <w:t xml:space="preserve">    国内污水厂卧螺离心机进行污泥脱水采用的分离因数如下：</w:t>
      </w:r>
    </w:p>
    <w:p>
      <w:pPr>
        <w:wordWrap w:val="0"/>
        <w:rPr>
          <w:rFonts w:eastAsiaTheme="minorEastAsia"/>
          <w:color w:val="000000" w:themeColor="text1"/>
          <w:sz w:val="28"/>
          <w:szCs w:val="28"/>
        </w:rPr>
      </w:pPr>
      <w:r>
        <w:rPr>
          <w:rFonts w:eastAsiaTheme="minorEastAsia"/>
          <w:color w:val="000000" w:themeColor="text1"/>
          <w:sz w:val="28"/>
          <w:szCs w:val="28"/>
        </w:rPr>
        <w:t xml:space="preserve">    深圳滨河污水厂为2115g；洛阳涧西污水厂为2115g；云南个旧污水厂为1450g；武汉汤逊湖污水厂为2950g；辽宁葫芦岛市污水厂为2950g；上海白龙港污水厂（一级强化处理）为3200g；香港昂船洲污水厂（一级强化处理）为3200g。</w:t>
      </w:r>
    </w:p>
    <w:p>
      <w:pPr>
        <w:wordWrap w:val="0"/>
        <w:rPr>
          <w:rFonts w:eastAsiaTheme="minorEastAsia"/>
          <w:color w:val="000000" w:themeColor="text1"/>
          <w:sz w:val="28"/>
          <w:szCs w:val="28"/>
        </w:rPr>
      </w:pPr>
      <w:r>
        <w:rPr>
          <w:rFonts w:eastAsiaTheme="minorEastAsia"/>
          <w:color w:val="000000" w:themeColor="text1"/>
          <w:sz w:val="28"/>
          <w:szCs w:val="28"/>
        </w:rPr>
        <w:t xml:space="preserve">    由于随污泥性质、离心机大小的不同，其分离因数的取值也有一定的差别。为此，本条规定污水污泥的卧螺离心机脱水的分离因数宜小于3000g。对于初沉和一级强化处理等有机质含量相对较低的污泥，可适当提高其分离因数。</w:t>
      </w:r>
    </w:p>
    <w:p>
      <w:pPr>
        <w:pStyle w:val="30"/>
        <w:numPr>
          <w:ilvl w:val="0"/>
          <w:numId w:val="5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离心脱水机前应设污泥切割机，切割后的污泥粒径不宜大于8mm。</w:t>
      </w:r>
      <w:bookmarkStart w:id="92" w:name="_Toc102292569"/>
    </w:p>
    <w:p>
      <w:pPr>
        <w:wordWrap w:val="0"/>
        <w:rPr>
          <w:rFonts w:eastAsiaTheme="minorEastAsia"/>
          <w:color w:val="000000" w:themeColor="text1"/>
          <w:sz w:val="28"/>
          <w:szCs w:val="28"/>
        </w:rPr>
      </w:pPr>
      <w:r>
        <w:rPr>
          <w:rFonts w:eastAsiaTheme="minorEastAsia"/>
          <w:color w:val="000000" w:themeColor="text1"/>
          <w:sz w:val="28"/>
          <w:szCs w:val="28"/>
        </w:rPr>
        <w:t>【条文说明】为避免污泥中的长纤维缠绕离心机螺旋以及纤维裹挟污泥成较大的球状体后堵塞离心机排泥孔，一般认为当纤维长度小于8mm时已不具备裹挟污泥成为大的球状体的条件。为此，本条规定离心脱水机前应设污泥切割机，切割后的污泥粒径不宜大于8mm。</w:t>
      </w:r>
    </w:p>
    <w:p>
      <w:pPr>
        <w:pStyle w:val="30"/>
        <w:numPr>
          <w:ilvl w:val="0"/>
          <w:numId w:val="5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离心脱水机房应采取降噪措施，离心脱水机房内外的噪声应符合现行国家标准《工业企业噪声控制设计规范》GB/T50087的规定。</w:t>
      </w:r>
    </w:p>
    <w:p>
      <w:pPr>
        <w:wordWrap w:val="0"/>
        <w:rPr>
          <w:rFonts w:eastAsiaTheme="minorEastAsia"/>
          <w:color w:val="000000" w:themeColor="text1"/>
          <w:sz w:val="28"/>
          <w:szCs w:val="28"/>
        </w:rPr>
      </w:pPr>
      <w:r>
        <w:rPr>
          <w:rFonts w:eastAsiaTheme="minorEastAsia"/>
          <w:color w:val="000000" w:themeColor="text1"/>
          <w:sz w:val="28"/>
          <w:szCs w:val="28"/>
        </w:rPr>
        <w:t>【条文说明】《工业企业噪声控制设计规范》GB/T50087规定了生产车间及作业场所的噪声限制值和厂内声源辐射至厂界的噪声A声级的限制值，故规定离心脱水机房噪声应符合该标准。</w:t>
      </w:r>
    </w:p>
    <w:p>
      <w:pPr>
        <w:pStyle w:val="3"/>
        <w:numPr>
          <w:ilvl w:val="0"/>
          <w:numId w:val="49"/>
        </w:numPr>
        <w:wordWrap w:val="0"/>
        <w:spacing w:before="312" w:beforeLines="100" w:after="312" w:afterLines="100" w:line="415" w:lineRule="auto"/>
        <w:ind w:left="420"/>
        <w:jc w:val="center"/>
        <w:rPr>
          <w:rFonts w:ascii="Times New Roman" w:hAnsi="Times New Roman" w:eastAsiaTheme="minorEastAsia"/>
          <w:color w:val="000000" w:themeColor="text1"/>
          <w:sz w:val="28"/>
          <w:szCs w:val="28"/>
        </w:rPr>
      </w:pPr>
      <w:bookmarkStart w:id="93" w:name="_Toc515281075"/>
      <w:r>
        <w:rPr>
          <w:rFonts w:ascii="Times New Roman" w:hAnsi="Times New Roman" w:eastAsiaTheme="minorEastAsia"/>
          <w:b w:val="0"/>
          <w:color w:val="000000" w:themeColor="text1"/>
          <w:sz w:val="28"/>
          <w:szCs w:val="28"/>
        </w:rPr>
        <w:t>污泥石灰稳定</w:t>
      </w:r>
      <w:bookmarkEnd w:id="93"/>
    </w:p>
    <w:p>
      <w:pPr>
        <w:pStyle w:val="30"/>
        <w:numPr>
          <w:ilvl w:val="0"/>
          <w:numId w:val="56"/>
        </w:numPr>
        <w:wordWrap w:val="0"/>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sz w:val="28"/>
          <w:szCs w:val="28"/>
        </w:rPr>
        <w:t>石灰稳定工艺由脱水污泥给料单元、石灰计量投加单元、混合反应单元、污泥出料输送单元、气体净化单元等组成。</w:t>
      </w:r>
      <w:r>
        <w:rPr>
          <w:rFonts w:ascii="Times New Roman" w:hAnsi="Times New Roman" w:eastAsia="宋体"/>
          <w:sz w:val="28"/>
          <w:szCs w:val="28"/>
        </w:rPr>
        <w:t>进入石灰稳定系统的污泥含水率宜为60%~80%，且不应含有粒径大于50mm的杂质。</w:t>
      </w:r>
    </w:p>
    <w:p>
      <w:pPr>
        <w:pStyle w:val="30"/>
        <w:numPr>
          <w:ilvl w:val="0"/>
          <w:numId w:val="56"/>
        </w:numPr>
        <w:wordWrap w:val="0"/>
        <w:spacing w:line="360" w:lineRule="auto"/>
        <w:ind w:left="0" w:firstLine="0" w:firstLineChars="0"/>
        <w:rPr>
          <w:rFonts w:ascii="Times New Roman" w:hAnsi="Times New Roman" w:eastAsia="宋体"/>
          <w:sz w:val="28"/>
          <w:szCs w:val="28"/>
        </w:rPr>
      </w:pPr>
      <w:r>
        <w:rPr>
          <w:rFonts w:ascii="Times New Roman" w:hAnsi="Times New Roman" w:eastAsia="宋体"/>
          <w:sz w:val="28"/>
          <w:szCs w:val="28"/>
        </w:rPr>
        <w:t>石灰稳定工艺的设计</w:t>
      </w:r>
      <w:r>
        <w:rPr>
          <w:rFonts w:hint="eastAsia" w:ascii="Times New Roman" w:hAnsi="Times New Roman" w:eastAsia="宋体"/>
          <w:sz w:val="28"/>
          <w:szCs w:val="28"/>
        </w:rPr>
        <w:t>，</w:t>
      </w:r>
      <w:r>
        <w:rPr>
          <w:rFonts w:ascii="Times New Roman" w:hAnsi="Times New Roman" w:eastAsia="宋体"/>
          <w:sz w:val="28"/>
          <w:szCs w:val="28"/>
        </w:rPr>
        <w:t>应符合下列规定：</w:t>
      </w:r>
    </w:p>
    <w:p>
      <w:pPr>
        <w:pStyle w:val="30"/>
        <w:numPr>
          <w:ilvl w:val="2"/>
          <w:numId w:val="34"/>
        </w:numPr>
        <w:wordWrap w:val="0"/>
        <w:spacing w:line="360" w:lineRule="auto"/>
        <w:ind w:firstLineChars="0"/>
        <w:rPr>
          <w:rFonts w:ascii="Times New Roman" w:hAnsi="Times New Roman" w:eastAsia="宋体"/>
          <w:sz w:val="28"/>
          <w:szCs w:val="28"/>
        </w:rPr>
      </w:pPr>
      <w:r>
        <w:rPr>
          <w:rFonts w:ascii="Times New Roman" w:hAnsi="Times New Roman" w:eastAsiaTheme="minorEastAsia"/>
          <w:bCs/>
          <w:color w:val="000000" w:themeColor="text1"/>
          <w:sz w:val="28"/>
          <w:szCs w:val="28"/>
        </w:rPr>
        <w:t>石灰</w:t>
      </w:r>
      <w:r>
        <w:rPr>
          <w:rFonts w:ascii="Times New Roman" w:hAnsi="Times New Roman" w:eastAsia="宋体"/>
          <w:sz w:val="28"/>
          <w:szCs w:val="28"/>
        </w:rPr>
        <w:t>稳定设施应密闭，配套除尘、除臭设施设备；</w:t>
      </w:r>
    </w:p>
    <w:p>
      <w:pPr>
        <w:pStyle w:val="30"/>
        <w:numPr>
          <w:ilvl w:val="2"/>
          <w:numId w:val="34"/>
        </w:numPr>
        <w:wordWrap w:val="0"/>
        <w:spacing w:line="360" w:lineRule="auto"/>
        <w:ind w:firstLineChars="0"/>
        <w:rPr>
          <w:rFonts w:ascii="Times New Roman" w:hAnsi="Times New Roman" w:eastAsia="宋体"/>
          <w:sz w:val="28"/>
          <w:szCs w:val="28"/>
        </w:rPr>
      </w:pPr>
      <w:r>
        <w:rPr>
          <w:rFonts w:ascii="Times New Roman" w:hAnsi="Times New Roman" w:eastAsia="宋体"/>
          <w:sz w:val="28"/>
          <w:szCs w:val="28"/>
        </w:rPr>
        <w:t>石灰储料筒仓顶端应设有粉尘收集过滤装置及物位测量装置，且</w:t>
      </w:r>
      <w:r>
        <w:rPr>
          <w:rFonts w:hint="eastAsia" w:ascii="Times New Roman" w:hAnsi="Times New Roman" w:eastAsia="宋体"/>
          <w:sz w:val="28"/>
          <w:szCs w:val="28"/>
        </w:rPr>
        <w:t>应</w:t>
      </w:r>
      <w:r>
        <w:rPr>
          <w:rFonts w:ascii="Times New Roman" w:hAnsi="Times New Roman" w:eastAsia="宋体"/>
          <w:sz w:val="28"/>
          <w:szCs w:val="28"/>
        </w:rPr>
        <w:t>安装过压保护；</w:t>
      </w:r>
    </w:p>
    <w:p>
      <w:pPr>
        <w:pStyle w:val="30"/>
        <w:numPr>
          <w:ilvl w:val="2"/>
          <w:numId w:val="34"/>
        </w:numPr>
        <w:wordWrap w:val="0"/>
        <w:spacing w:line="360" w:lineRule="auto"/>
        <w:ind w:firstLineChars="0"/>
        <w:rPr>
          <w:rFonts w:ascii="Times New Roman" w:hAnsi="Times New Roman" w:eastAsia="宋体"/>
          <w:sz w:val="28"/>
          <w:szCs w:val="28"/>
        </w:rPr>
      </w:pPr>
      <w:r>
        <w:rPr>
          <w:rFonts w:ascii="Times New Roman" w:hAnsi="Times New Roman" w:eastAsia="宋体"/>
          <w:sz w:val="28"/>
          <w:szCs w:val="28"/>
        </w:rPr>
        <w:t>石灰混合装置应设在收集泥饼的传送装置末端；</w:t>
      </w:r>
    </w:p>
    <w:p>
      <w:pPr>
        <w:pStyle w:val="30"/>
        <w:numPr>
          <w:ilvl w:val="2"/>
          <w:numId w:val="34"/>
        </w:numPr>
        <w:wordWrap w:val="0"/>
        <w:spacing w:line="360" w:lineRule="auto"/>
        <w:ind w:firstLineChars="0"/>
        <w:rPr>
          <w:rFonts w:ascii="Times New Roman" w:hAnsi="Times New Roman" w:eastAsia="宋体"/>
          <w:sz w:val="28"/>
          <w:szCs w:val="28"/>
        </w:rPr>
      </w:pPr>
      <w:r>
        <w:rPr>
          <w:rFonts w:ascii="Times New Roman" w:hAnsi="Times New Roman" w:eastAsia="宋体"/>
          <w:sz w:val="28"/>
          <w:szCs w:val="28"/>
        </w:rPr>
        <w:t>石灰进料装置应位于储料筒仓的锥斗部分，宜采用定容螺旋式进料装置。</w:t>
      </w:r>
    </w:p>
    <w:p>
      <w:pPr>
        <w:pStyle w:val="3"/>
        <w:numPr>
          <w:ilvl w:val="0"/>
          <w:numId w:val="49"/>
        </w:numPr>
        <w:wordWrap w:val="0"/>
        <w:spacing w:before="312" w:beforeLines="100" w:after="312" w:afterLines="100" w:line="415" w:lineRule="auto"/>
        <w:ind w:left="420"/>
        <w:jc w:val="center"/>
        <w:rPr>
          <w:rFonts w:ascii="Times New Roman" w:hAnsi="Times New Roman" w:eastAsiaTheme="minorEastAsia"/>
          <w:b w:val="0"/>
          <w:color w:val="000000" w:themeColor="text1"/>
          <w:sz w:val="28"/>
          <w:szCs w:val="28"/>
        </w:rPr>
      </w:pPr>
      <w:bookmarkStart w:id="94" w:name="_Toc515281076"/>
      <w:r>
        <w:rPr>
          <w:rFonts w:ascii="Times New Roman" w:hAnsi="Times New Roman" w:eastAsiaTheme="minorEastAsia"/>
          <w:b w:val="0"/>
          <w:color w:val="000000" w:themeColor="text1"/>
          <w:sz w:val="28"/>
          <w:szCs w:val="28"/>
        </w:rPr>
        <w:t>污泥干化</w:t>
      </w:r>
      <w:bookmarkEnd w:id="94"/>
    </w:p>
    <w:p>
      <w:pPr>
        <w:pStyle w:val="30"/>
        <w:numPr>
          <w:ilvl w:val="0"/>
          <w:numId w:val="5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污泥干化宜采用热干化</w:t>
      </w:r>
      <w:r>
        <w:rPr>
          <w:rFonts w:hint="eastAsia" w:ascii="Times New Roman" w:hAnsi="Times New Roman" w:eastAsiaTheme="minorEastAsia"/>
          <w:color w:val="000000" w:themeColor="text1"/>
          <w:sz w:val="28"/>
          <w:szCs w:val="28"/>
        </w:rPr>
        <w:t>，</w:t>
      </w:r>
      <w:r>
        <w:rPr>
          <w:rFonts w:ascii="Times New Roman" w:hAnsi="Times New Roman" w:eastAsiaTheme="minorEastAsia"/>
          <w:color w:val="000000" w:themeColor="text1"/>
          <w:sz w:val="28"/>
          <w:szCs w:val="28"/>
        </w:rPr>
        <w:t>在特定的地区，污泥干化可采用干化场。</w:t>
      </w:r>
    </w:p>
    <w:p>
      <w:pPr>
        <w:wordWrap w:val="0"/>
        <w:rPr>
          <w:rFonts w:eastAsiaTheme="minorEastAsia"/>
          <w:color w:val="000000" w:themeColor="text1"/>
          <w:sz w:val="28"/>
          <w:szCs w:val="28"/>
        </w:rPr>
      </w:pPr>
      <w:r>
        <w:rPr>
          <w:rFonts w:eastAsiaTheme="minorEastAsia"/>
          <w:color w:val="000000" w:themeColor="text1"/>
          <w:sz w:val="28"/>
          <w:szCs w:val="28"/>
        </w:rPr>
        <w:t>【条文说明】根据国内外多年的污泥处理和处置实践，污泥在很多情况下都需要进行干化处理。</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污泥干化采用最多的是热干化</w:t>
      </w:r>
      <w:r>
        <w:rPr>
          <w:rFonts w:hint="eastAsia" w:eastAsiaTheme="minorEastAsia"/>
          <w:color w:val="000000" w:themeColor="text1"/>
          <w:sz w:val="28"/>
          <w:szCs w:val="28"/>
        </w:rPr>
        <w:t>，</w:t>
      </w:r>
      <w:r>
        <w:rPr>
          <w:rFonts w:eastAsiaTheme="minorEastAsia"/>
          <w:color w:val="000000" w:themeColor="text1"/>
          <w:sz w:val="28"/>
          <w:szCs w:val="28"/>
        </w:rPr>
        <w:t>全国已有众多热干化工程案例。</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污泥自然干化，可以节约能源，降低运行成本，但要求降雨量少、蒸发量大、可使用的土地多、环境要求相对宽松等</w:t>
      </w:r>
      <w:r>
        <w:rPr>
          <w:rFonts w:hint="eastAsia" w:eastAsiaTheme="minorEastAsia"/>
          <w:color w:val="000000" w:themeColor="text1"/>
          <w:sz w:val="28"/>
          <w:szCs w:val="28"/>
        </w:rPr>
        <w:t>特定</w:t>
      </w:r>
      <w:r>
        <w:rPr>
          <w:rFonts w:eastAsiaTheme="minorEastAsia"/>
          <w:color w:val="000000" w:themeColor="text1"/>
          <w:sz w:val="28"/>
          <w:szCs w:val="28"/>
        </w:rPr>
        <w:t>条件，故受到一定限制。</w:t>
      </w:r>
    </w:p>
    <w:p>
      <w:pPr>
        <w:pStyle w:val="30"/>
        <w:numPr>
          <w:ilvl w:val="0"/>
          <w:numId w:val="5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w:t>
      </w:r>
      <w:r>
        <w:rPr>
          <w:rFonts w:hint="eastAsia" w:ascii="Times New Roman" w:hAnsi="Times New Roman" w:eastAsiaTheme="minorEastAsia"/>
          <w:color w:val="000000" w:themeColor="text1"/>
          <w:sz w:val="28"/>
          <w:szCs w:val="28"/>
        </w:rPr>
        <w:t>热干化</w:t>
      </w:r>
      <w:r>
        <w:rPr>
          <w:rFonts w:ascii="Times New Roman" w:hAnsi="Times New Roman" w:eastAsiaTheme="minorEastAsia"/>
          <w:color w:val="000000" w:themeColor="text1"/>
          <w:sz w:val="28"/>
          <w:szCs w:val="28"/>
        </w:rPr>
        <w:t>的设计，</w:t>
      </w:r>
      <w:r>
        <w:rPr>
          <w:rFonts w:hint="eastAsia" w:ascii="Times New Roman" w:hAnsi="Times New Roman" w:eastAsiaTheme="minorEastAsia"/>
          <w:color w:val="000000" w:themeColor="text1"/>
          <w:sz w:val="28"/>
          <w:szCs w:val="28"/>
        </w:rPr>
        <w:t>应</w:t>
      </w:r>
      <w:r>
        <w:rPr>
          <w:rFonts w:ascii="Times New Roman" w:hAnsi="Times New Roman" w:eastAsiaTheme="minorEastAsia"/>
          <w:color w:val="000000" w:themeColor="text1"/>
          <w:sz w:val="28"/>
          <w:szCs w:val="28"/>
        </w:rPr>
        <w:t>符合下列规定：</w:t>
      </w:r>
    </w:p>
    <w:p>
      <w:pPr>
        <w:pStyle w:val="30"/>
        <w:wordWrap w:val="0"/>
        <w:spacing w:line="360" w:lineRule="auto"/>
        <w:ind w:firstLine="427" w:firstLineChars="15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 xml:space="preserve"> 应充分考虑热源及进泥性质波动等因素；</w:t>
      </w:r>
    </w:p>
    <w:p>
      <w:pPr>
        <w:wordWrap w:val="0"/>
        <w:spacing w:line="360" w:lineRule="auto"/>
        <w:ind w:firstLine="427" w:firstLineChars="152"/>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热干化出泥应避开污泥的</w:t>
      </w:r>
      <w:r>
        <w:rPr>
          <w:rFonts w:hint="eastAsia" w:eastAsiaTheme="minorEastAsia"/>
          <w:color w:val="000000" w:themeColor="text1"/>
          <w:sz w:val="28"/>
          <w:szCs w:val="28"/>
        </w:rPr>
        <w:t>黏</w:t>
      </w:r>
      <w:r>
        <w:rPr>
          <w:rFonts w:eastAsiaTheme="minorEastAsia"/>
          <w:color w:val="000000" w:themeColor="text1"/>
          <w:sz w:val="28"/>
          <w:szCs w:val="28"/>
        </w:rPr>
        <w:t>滞区；</w:t>
      </w:r>
    </w:p>
    <w:p>
      <w:pPr>
        <w:pStyle w:val="30"/>
        <w:numPr>
          <w:ilvl w:val="0"/>
          <w:numId w:val="54"/>
        </w:numPr>
        <w:wordWrap w:val="0"/>
        <w:ind w:left="0" w:firstLine="426"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热干化系统内的氧含量要求小于3%时，必须采用纯度较高的惰性气体。</w:t>
      </w:r>
    </w:p>
    <w:p>
      <w:pPr>
        <w:wordWrap w:val="0"/>
        <w:rPr>
          <w:rFonts w:eastAsiaTheme="minorEastAsia"/>
          <w:color w:val="000000" w:themeColor="text1"/>
          <w:sz w:val="28"/>
          <w:szCs w:val="28"/>
        </w:rPr>
      </w:pPr>
      <w:r>
        <w:rPr>
          <w:rFonts w:eastAsiaTheme="minorEastAsia"/>
          <w:color w:val="000000" w:themeColor="text1"/>
          <w:sz w:val="28"/>
          <w:szCs w:val="28"/>
        </w:rPr>
        <w:t>【条文说明】</w:t>
      </w:r>
      <w:r>
        <w:rPr>
          <w:rFonts w:hint="eastAsia" w:eastAsiaTheme="minorEastAsia"/>
          <w:color w:val="000000" w:themeColor="text1"/>
          <w:sz w:val="28"/>
          <w:szCs w:val="28"/>
        </w:rPr>
        <w:t>当</w:t>
      </w:r>
      <w:r>
        <w:rPr>
          <w:rFonts w:eastAsiaTheme="minorEastAsia"/>
          <w:color w:val="000000" w:themeColor="text1"/>
          <w:sz w:val="28"/>
          <w:szCs w:val="28"/>
        </w:rPr>
        <w:t>干化机采用的热源为外供热源</w:t>
      </w:r>
      <w:r>
        <w:rPr>
          <w:rFonts w:hint="eastAsia" w:eastAsiaTheme="minorEastAsia"/>
          <w:color w:val="000000" w:themeColor="text1"/>
          <w:sz w:val="28"/>
          <w:szCs w:val="28"/>
        </w:rPr>
        <w:t>时</w:t>
      </w:r>
      <w:r>
        <w:rPr>
          <w:rFonts w:eastAsiaTheme="minorEastAsia"/>
          <w:color w:val="000000" w:themeColor="text1"/>
          <w:sz w:val="28"/>
          <w:szCs w:val="28"/>
        </w:rPr>
        <w:t>，热源特性可能存在一定程度的波动</w:t>
      </w:r>
      <w:r>
        <w:rPr>
          <w:rFonts w:hint="eastAsia" w:eastAsiaTheme="minorEastAsia"/>
          <w:color w:val="000000" w:themeColor="text1"/>
          <w:sz w:val="28"/>
          <w:szCs w:val="28"/>
        </w:rPr>
        <w:t>，</w:t>
      </w:r>
      <w:r>
        <w:rPr>
          <w:rFonts w:eastAsiaTheme="minorEastAsia"/>
          <w:color w:val="000000" w:themeColor="text1"/>
          <w:sz w:val="28"/>
          <w:szCs w:val="28"/>
        </w:rPr>
        <w:t>城镇污水厂的进泥</w:t>
      </w:r>
      <w:r>
        <w:rPr>
          <w:rFonts w:hint="eastAsia" w:eastAsiaTheme="minorEastAsia"/>
          <w:color w:val="000000" w:themeColor="text1"/>
          <w:sz w:val="28"/>
          <w:szCs w:val="28"/>
        </w:rPr>
        <w:t>量和</w:t>
      </w:r>
      <w:r>
        <w:rPr>
          <w:rFonts w:eastAsiaTheme="minorEastAsia"/>
          <w:color w:val="000000" w:themeColor="text1"/>
          <w:sz w:val="28"/>
          <w:szCs w:val="28"/>
        </w:rPr>
        <w:t>特性也会发生波动，需要干化设备对这些不稳定因素具有一定的耐受性。</w:t>
      </w:r>
    </w:p>
    <w:p>
      <w:pPr>
        <w:pStyle w:val="30"/>
        <w:numPr>
          <w:ilvl w:val="0"/>
          <w:numId w:val="5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污泥热干化设备的选型，应根据热干化的实际需要确定。污泥热干化可采用直接干化、间接干化，</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采用间接干化。</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【条文说明】热干化设备种类很多，应根据热干化的实际需要和经验确定。污泥间接干化的温度一般低于120</w:t>
      </w:r>
      <w:r>
        <w:rPr>
          <w:rFonts w:hint="eastAsia" w:ascii="宋体" w:hAnsi="宋体" w:eastAsia="宋体" w:cs="宋体"/>
          <w:color w:val="000000" w:themeColor="text1"/>
          <w:sz w:val="28"/>
          <w:szCs w:val="28"/>
        </w:rPr>
        <w:t>℃</w:t>
      </w:r>
      <w:r>
        <w:rPr>
          <w:rFonts w:ascii="Times New Roman" w:hAnsi="Times New Roman" w:eastAsiaTheme="minorEastAsia"/>
          <w:color w:val="000000" w:themeColor="text1"/>
          <w:sz w:val="28"/>
          <w:szCs w:val="28"/>
        </w:rPr>
        <w:t>，污泥中的有机物不易于分解，且废气处理量小。目前，国内外污泥热干化主要采用间接干化常用的污泥间接干化设备有流化床式干化、圆盘式干化、桨叶式干化和薄层干化等。。</w:t>
      </w:r>
    </w:p>
    <w:p>
      <w:pPr>
        <w:pStyle w:val="30"/>
        <w:numPr>
          <w:ilvl w:val="0"/>
          <w:numId w:val="57"/>
        </w:numPr>
        <w:wordWrap w:val="0"/>
        <w:spacing w:line="360" w:lineRule="auto"/>
        <w:ind w:left="0" w:firstLine="0" w:firstLineChars="0"/>
        <w:rPr>
          <w:rFonts w:ascii="Times New Roman" w:hAnsi="Times New Roman" w:eastAsiaTheme="minorEastAsia"/>
          <w:color w:val="000000" w:themeColor="text1"/>
          <w:sz w:val="28"/>
          <w:szCs w:val="28"/>
        </w:rPr>
      </w:pPr>
      <w:r>
        <w:rPr>
          <w:rFonts w:hint="eastAsia" w:ascii="Times New Roman" w:hAnsi="Times New Roman" w:eastAsiaTheme="minorEastAsia"/>
          <w:color w:val="000000" w:themeColor="text1"/>
          <w:sz w:val="28"/>
          <w:szCs w:val="28"/>
        </w:rPr>
        <w:t>污泥干化设施的设计年运行时间不宜小于8000h。</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hint="eastAsia" w:ascii="Times New Roman" w:hAnsi="Times New Roman" w:eastAsiaTheme="minorEastAsia"/>
          <w:color w:val="000000" w:themeColor="text1"/>
          <w:sz w:val="28"/>
          <w:szCs w:val="28"/>
        </w:rPr>
        <w:t>【条文说明】在一般情况下，污泥干化设施每年都要进行检维修。根据污泥干化设施的具体类型、规模、配套设备的种类及其质量状况、检维修力量等多种因素，污泥干化设施的年检维修时间长短不一，但一般至少需要2~5周。</w:t>
      </w:r>
    </w:p>
    <w:p>
      <w:pPr>
        <w:pStyle w:val="30"/>
        <w:numPr>
          <w:ilvl w:val="0"/>
          <w:numId w:val="5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流化床式干化的设计，应符合下列规定：</w:t>
      </w:r>
    </w:p>
    <w:p>
      <w:pPr>
        <w:pStyle w:val="30"/>
        <w:wordWrap w:val="0"/>
        <w:spacing w:line="360" w:lineRule="auto"/>
        <w:ind w:firstLine="425" w:firstLineChars="15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1</w:t>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床内氧含量应小于5%；</w:t>
      </w:r>
    </w:p>
    <w:p>
      <w:pPr>
        <w:pStyle w:val="30"/>
        <w:wordWrap w:val="0"/>
        <w:spacing w:line="360" w:lineRule="auto"/>
        <w:ind w:firstLine="425" w:firstLineChars="15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2 加热介质温度宜控制在180</w:t>
      </w:r>
      <w:r>
        <w:rPr>
          <w:rFonts w:hint="eastAsia" w:ascii="宋体" w:hAnsi="宋体" w:eastAsia="宋体" w:cs="宋体"/>
          <w:color w:val="000000" w:themeColor="text1"/>
          <w:sz w:val="28"/>
          <w:szCs w:val="28"/>
        </w:rPr>
        <w:t>℃</w:t>
      </w:r>
      <w:r>
        <w:rPr>
          <w:rFonts w:ascii="Times New Roman" w:hAnsi="Times New Roman" w:eastAsiaTheme="minorEastAsia"/>
          <w:color w:val="000000" w:themeColor="text1"/>
          <w:sz w:val="28"/>
          <w:szCs w:val="28"/>
        </w:rPr>
        <w:t>~250°C；</w:t>
      </w:r>
    </w:p>
    <w:p>
      <w:pPr>
        <w:pStyle w:val="30"/>
        <w:wordWrap w:val="0"/>
        <w:spacing w:line="360" w:lineRule="auto"/>
        <w:ind w:firstLine="425" w:firstLineChars="15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3</w:t>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床内干化气体温度应为（85±3）°C。</w:t>
      </w:r>
    </w:p>
    <w:p>
      <w:pPr>
        <w:pStyle w:val="30"/>
        <w:numPr>
          <w:ilvl w:val="0"/>
          <w:numId w:val="57"/>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圆盘式、桨叶式、薄层式干化的设计，应符合下列规定：</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1</w:t>
      </w: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热交换介质为饱和蒸汽时，压力应在0.2 MPa ~1.3 MPa（表压）；</w:t>
      </w:r>
    </w:p>
    <w:p>
      <w:pPr>
        <w:pStyle w:val="30"/>
        <w:wordWrap w:val="0"/>
        <w:spacing w:line="360" w:lineRule="auto"/>
        <w:ind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2 应根据污泥性质、进出泥含水率等因素确定氧含量要求。</w:t>
      </w:r>
    </w:p>
    <w:p>
      <w:pPr>
        <w:pStyle w:val="30"/>
        <w:numPr>
          <w:ilvl w:val="0"/>
          <w:numId w:val="5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污泥热干化蒸发单位水量所需的热能，应小于3300kJ/kgH</w:t>
      </w:r>
      <w:r>
        <w:rPr>
          <w:rFonts w:ascii="Times New Roman" w:hAnsi="Times New Roman" w:eastAsiaTheme="minorEastAsia"/>
          <w:color w:val="000000" w:themeColor="text1"/>
          <w:sz w:val="28"/>
          <w:szCs w:val="28"/>
          <w:vertAlign w:val="subscript"/>
        </w:rPr>
        <w:t>2</w:t>
      </w:r>
      <w:r>
        <w:rPr>
          <w:rFonts w:ascii="Times New Roman" w:hAnsi="Times New Roman" w:eastAsiaTheme="minorEastAsia"/>
          <w:color w:val="000000" w:themeColor="text1"/>
          <w:sz w:val="28"/>
          <w:szCs w:val="28"/>
        </w:rPr>
        <w:t>O。</w:t>
      </w:r>
    </w:p>
    <w:p>
      <w:pPr>
        <w:widowControl/>
        <w:wordWrap w:val="0"/>
        <w:rPr>
          <w:rFonts w:eastAsiaTheme="minorEastAsia"/>
          <w:color w:val="000000" w:themeColor="text1"/>
          <w:sz w:val="28"/>
          <w:szCs w:val="28"/>
        </w:rPr>
      </w:pPr>
      <w:r>
        <w:rPr>
          <w:rFonts w:eastAsiaTheme="minorEastAsia"/>
          <w:color w:val="000000" w:themeColor="text1"/>
          <w:sz w:val="28"/>
          <w:szCs w:val="28"/>
        </w:rPr>
        <w:t>【条文说明】污泥热干化蒸发单位水量所需的热能与下列因素有关：进口处物料温度、进口处加热介质的温度、出口处产物的温度、出口处加热介质的温度、干燥器生产能力及干燥器的设计等。干化系统的单位耗热量一般为2600~3300kJ/kgH</w:t>
      </w:r>
      <w:r>
        <w:rPr>
          <w:rFonts w:eastAsiaTheme="minorEastAsia"/>
          <w:color w:val="000000" w:themeColor="text1"/>
          <w:sz w:val="28"/>
          <w:szCs w:val="28"/>
          <w:vertAlign w:val="subscript"/>
        </w:rPr>
        <w:t>2</w:t>
      </w:r>
      <w:r>
        <w:rPr>
          <w:rFonts w:eastAsiaTheme="minorEastAsia"/>
          <w:color w:val="000000" w:themeColor="text1"/>
          <w:sz w:val="28"/>
          <w:szCs w:val="28"/>
        </w:rPr>
        <w:t>O。</w:t>
      </w:r>
    </w:p>
    <w:p>
      <w:pPr>
        <w:pStyle w:val="30"/>
        <w:numPr>
          <w:ilvl w:val="0"/>
          <w:numId w:val="5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污泥干化设备应设有安全保护措施。</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【条文说明】污泥干化设备应设有安全保护措施，如污泥干化系统的气体回路中的氧含量若在高位运行，将会使系统的安全性下降，因此必须采取相应的安全保护措施，如设置惰性气体保护等。</w:t>
      </w:r>
    </w:p>
    <w:p>
      <w:pPr>
        <w:pStyle w:val="30"/>
        <w:numPr>
          <w:ilvl w:val="0"/>
          <w:numId w:val="5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当污泥干化热交换介质为导热油时，导热油的闪点温度必须大于运行温度。</w:t>
      </w:r>
    </w:p>
    <w:p>
      <w:pPr>
        <w:widowControl/>
        <w:wordWrap w:val="0"/>
        <w:rPr>
          <w:rFonts w:eastAsiaTheme="minorEastAsia"/>
          <w:color w:val="000000" w:themeColor="text1"/>
          <w:sz w:val="28"/>
          <w:szCs w:val="28"/>
        </w:rPr>
      </w:pPr>
      <w:r>
        <w:rPr>
          <w:rFonts w:eastAsiaTheme="minorEastAsia"/>
          <w:color w:val="000000" w:themeColor="text1"/>
          <w:sz w:val="28"/>
          <w:szCs w:val="28"/>
        </w:rPr>
        <w:t>【条文说明】导热油的闪点温度必须高于运行温度，才能保证污泥干燥过程的安全。</w:t>
      </w:r>
    </w:p>
    <w:p>
      <w:pPr>
        <w:pStyle w:val="30"/>
        <w:numPr>
          <w:ilvl w:val="0"/>
          <w:numId w:val="57"/>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热干化系统必须设置尾气净化处理设施，并应达标排放。</w:t>
      </w:r>
    </w:p>
    <w:p>
      <w:pPr>
        <w:pStyle w:val="30"/>
        <w:numPr>
          <w:ilvl w:val="0"/>
          <w:numId w:val="5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干化装置必须全封闭，污泥干化机内部和污泥干化间</w:t>
      </w:r>
      <w:r>
        <w:rPr>
          <w:rFonts w:hint="eastAsia" w:ascii="Times New Roman" w:hAnsi="Times New Roman" w:eastAsiaTheme="minorEastAsia"/>
          <w:color w:val="000000" w:themeColor="text1"/>
          <w:sz w:val="28"/>
          <w:szCs w:val="28"/>
        </w:rPr>
        <w:t>应</w:t>
      </w:r>
      <w:r>
        <w:rPr>
          <w:rFonts w:ascii="Times New Roman" w:hAnsi="Times New Roman" w:eastAsiaTheme="minorEastAsia"/>
          <w:color w:val="000000" w:themeColor="text1"/>
          <w:sz w:val="28"/>
          <w:szCs w:val="28"/>
        </w:rPr>
        <w:t>保持微负压，干化后污泥应密封贮存。</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【条文说明】本条根据建设部及国家发改委《城镇污水处理厂污泥处理处置技术指南（试行）》的有关规定制定</w:t>
      </w:r>
      <w:r>
        <w:rPr>
          <w:rFonts w:hint="eastAsia" w:ascii="Times New Roman" w:hAnsi="Times New Roman" w:eastAsiaTheme="minorEastAsia"/>
          <w:color w:val="000000" w:themeColor="text1"/>
          <w:sz w:val="28"/>
          <w:szCs w:val="28"/>
        </w:rPr>
        <w:t>，目的是</w:t>
      </w:r>
      <w:r>
        <w:rPr>
          <w:rFonts w:ascii="Times New Roman" w:hAnsi="Times New Roman" w:eastAsiaTheme="minorEastAsia"/>
          <w:color w:val="000000" w:themeColor="text1"/>
          <w:sz w:val="28"/>
          <w:szCs w:val="28"/>
        </w:rPr>
        <w:t>为防止</w:t>
      </w:r>
      <w:r>
        <w:rPr>
          <w:rFonts w:hint="eastAsia" w:ascii="Times New Roman" w:hAnsi="Times New Roman" w:eastAsiaTheme="minorEastAsia"/>
          <w:color w:val="000000" w:themeColor="text1"/>
          <w:sz w:val="28"/>
          <w:szCs w:val="28"/>
        </w:rPr>
        <w:t>污泥干化过程中</w:t>
      </w:r>
      <w:r>
        <w:rPr>
          <w:rFonts w:ascii="Times New Roman" w:hAnsi="Times New Roman" w:eastAsiaTheme="minorEastAsia"/>
          <w:color w:val="000000" w:themeColor="text1"/>
          <w:sz w:val="28"/>
          <w:szCs w:val="28"/>
        </w:rPr>
        <w:t>臭气挥发。</w:t>
      </w:r>
    </w:p>
    <w:p>
      <w:pPr>
        <w:pStyle w:val="30"/>
        <w:numPr>
          <w:ilvl w:val="0"/>
          <w:numId w:val="5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污泥热干化工艺应与余热利用相结合，可考虑利用污泥厌氧消化过程中产生的污泥气热能、垃圾和污泥焚烧余热、发电厂余热或其他余热作为污泥干化处理的热源；不宜采用优质一次能源作为主要干化热源。</w:t>
      </w:r>
    </w:p>
    <w:p>
      <w:pPr>
        <w:pStyle w:val="30"/>
        <w:wordWrap w:val="0"/>
        <w:spacing w:line="360" w:lineRule="auto"/>
        <w:ind w:left="1"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本条根据《城镇污水处理厂污泥处理处置及污染防治技术政策》（建城[2009]23号）的有关规定制定。为了尽量减少能源消耗，建设低碳社会，污泥热干化的热量应充分利用污泥自身的热量或其他设施的余热，不宜采用优质一次能源作为主要干化热源。</w:t>
      </w:r>
    </w:p>
    <w:p>
      <w:pPr>
        <w:pStyle w:val="30"/>
        <w:numPr>
          <w:ilvl w:val="0"/>
          <w:numId w:val="57"/>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干化尾气载气冷凝处理后冷凝水中的热量宜进行回收利用。</w:t>
      </w:r>
    </w:p>
    <w:p>
      <w:pPr>
        <w:widowControl/>
        <w:wordWrap w:val="0"/>
        <w:rPr>
          <w:rFonts w:eastAsiaTheme="minorEastAsia"/>
          <w:color w:val="000000" w:themeColor="text1"/>
          <w:sz w:val="28"/>
          <w:szCs w:val="28"/>
        </w:rPr>
      </w:pPr>
      <w:r>
        <w:rPr>
          <w:rFonts w:eastAsiaTheme="minorEastAsia"/>
          <w:color w:val="000000" w:themeColor="text1"/>
          <w:sz w:val="28"/>
          <w:szCs w:val="28"/>
        </w:rPr>
        <w:t>【条文说明】本条根据德国标准《Drying of Sewage Sludge》ATV-DVWK-M379E的相关规定制定。为充分利用干化尾气载气冷凝处理后冷凝水中的热量，宜对其进行回收利用。</w:t>
      </w:r>
    </w:p>
    <w:p>
      <w:pPr>
        <w:pStyle w:val="30"/>
        <w:numPr>
          <w:ilvl w:val="0"/>
          <w:numId w:val="5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污泥干化场的设计，宜符合下列规定：</w:t>
      </w:r>
    </w:p>
    <w:p>
      <w:pPr>
        <w:pStyle w:val="30"/>
        <w:numPr>
          <w:ilvl w:val="0"/>
          <w:numId w:val="58"/>
        </w:numPr>
        <w:wordWrap w:val="0"/>
        <w:spacing w:line="360" w:lineRule="auto"/>
        <w:ind w:left="0"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 污泥固体负荷，宜根据污泥性质、年平均气温、降雨量和蒸发量等因素，参照相似地区经验确定。</w:t>
      </w:r>
    </w:p>
    <w:p>
      <w:pPr>
        <w:pStyle w:val="30"/>
        <w:numPr>
          <w:ilvl w:val="0"/>
          <w:numId w:val="58"/>
        </w:numPr>
        <w:wordWrap w:val="0"/>
        <w:spacing w:line="360" w:lineRule="auto"/>
        <w:ind w:left="0"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 污泥干化场分块数一般不宜少于3块；围堤高度宜为0.5m~1.0m，顶宽</w:t>
      </w:r>
      <w:r>
        <w:rPr>
          <w:rFonts w:hint="eastAsia" w:ascii="Times New Roman" w:hAnsi="Times New Roman" w:eastAsiaTheme="minorEastAsia"/>
          <w:color w:val="000000" w:themeColor="text1"/>
          <w:sz w:val="28"/>
          <w:szCs w:val="28"/>
        </w:rPr>
        <w:t>宜为</w:t>
      </w:r>
      <w:r>
        <w:rPr>
          <w:rFonts w:ascii="Times New Roman" w:hAnsi="Times New Roman" w:eastAsiaTheme="minorEastAsia"/>
          <w:color w:val="000000" w:themeColor="text1"/>
          <w:sz w:val="28"/>
          <w:szCs w:val="28"/>
        </w:rPr>
        <w:t>0.5m~0.7 m。</w:t>
      </w:r>
    </w:p>
    <w:p>
      <w:pPr>
        <w:pStyle w:val="30"/>
        <w:numPr>
          <w:ilvl w:val="0"/>
          <w:numId w:val="58"/>
        </w:numPr>
        <w:wordWrap w:val="0"/>
        <w:spacing w:line="360" w:lineRule="auto"/>
        <w:ind w:left="0"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 污泥干化场宜设人工排水层。除特殊情况外，人工排水层下应设不透水层，不透水层应坡向排水设施，坡度宜为0.01~0.02。</w:t>
      </w:r>
    </w:p>
    <w:p>
      <w:pPr>
        <w:pStyle w:val="30"/>
        <w:numPr>
          <w:ilvl w:val="0"/>
          <w:numId w:val="58"/>
        </w:numPr>
        <w:wordWrap w:val="0"/>
        <w:spacing w:line="360" w:lineRule="auto"/>
        <w:ind w:left="0" w:firstLine="56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 xml:space="preserve"> 宜设排除上层污泥水的设施。</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【条文说明】污泥干化场的污泥主要靠渗滤、撇除上层污泥水和蒸发达到干化。</w:t>
      </w:r>
    </w:p>
    <w:p>
      <w:pPr>
        <w:wordWrap w:val="0"/>
        <w:ind w:firstLine="427" w:firstLineChars="152"/>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渗滤和撇除上层污泥水主要受污泥的含水率、黏滞度等性质的影响，而蒸发则主要视当地自然气候条件，如平均气温、降雨量和蒸发量等因素而定。由于各地污泥性质和自然条件不同，所以，建议固体负荷量宜充分考虑当地污泥性质和自然条件，参照相似地区的经验确定。在北方地区，应考虑结冰期间干化场贮存污泥的能力。</w:t>
      </w:r>
    </w:p>
    <w:p>
      <w:pPr>
        <w:wordWrap w:val="0"/>
        <w:ind w:firstLine="427" w:firstLineChars="152"/>
        <w:rPr>
          <w:rFonts w:eastAsiaTheme="minorEastAsia"/>
          <w:color w:val="000000" w:themeColor="text1"/>
          <w:sz w:val="28"/>
          <w:szCs w:val="28"/>
        </w:rPr>
      </w:pPr>
      <w:r>
        <w:rPr>
          <w:rFonts w:eastAsiaTheme="minorEastAsia"/>
          <w:b/>
          <w:color w:val="000000" w:themeColor="text1"/>
          <w:sz w:val="28"/>
          <w:szCs w:val="28"/>
        </w:rPr>
        <w:t xml:space="preserve">2 </w:t>
      </w:r>
      <w:r>
        <w:rPr>
          <w:rFonts w:eastAsiaTheme="minorEastAsia"/>
          <w:color w:val="000000" w:themeColor="text1"/>
          <w:sz w:val="28"/>
          <w:szCs w:val="28"/>
        </w:rPr>
        <w:t>干化场划分块数不宜少于3块，是考虑进泥、干化和出泥能够轮换进行，从而提高干化场的使用效率。围堤高度是考虑贮泥量和超高的需要，顶宽是考虑人行的需要。</w:t>
      </w:r>
    </w:p>
    <w:p>
      <w:pPr>
        <w:wordWrap w:val="0"/>
        <w:ind w:firstLine="427" w:firstLineChars="152"/>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对脱水性能好的污泥而言，设置人工排水层有利于污泥水的渗滤，从而加速污泥干化。为了防止污泥水人渗土壤深层和地下水，造成二次污染，故规定在干化场的排水层下面应设置不透水层。</w:t>
      </w:r>
    </w:p>
    <w:p>
      <w:pPr>
        <w:wordWrap w:val="0"/>
        <w:ind w:firstLine="427" w:firstLineChars="152"/>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污泥在干化场干化是一个污泥沉降浓缩、析出污泥水的过程，及时将这部分污泥水排除，有利于提高干化场的效率。</w:t>
      </w:r>
    </w:p>
    <w:p>
      <w:pPr>
        <w:pStyle w:val="30"/>
        <w:numPr>
          <w:ilvl w:val="0"/>
          <w:numId w:val="57"/>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污泥干化场及其附近，应设长期监测地下水质量的设施。</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【条文说明】污泥干化场可能污染地下水，故规定应设相应的长期环境监测设施。</w:t>
      </w:r>
    </w:p>
    <w:p>
      <w:pPr>
        <w:pStyle w:val="30"/>
        <w:numPr>
          <w:ilvl w:val="0"/>
          <w:numId w:val="5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污泥的热干化宜和焚烧集中进行。</w:t>
      </w:r>
    </w:p>
    <w:p>
      <w:pPr>
        <w:pStyle w:val="30"/>
        <w:wordWrap w:val="0"/>
        <w:spacing w:line="360" w:lineRule="auto"/>
        <w:ind w:left="1"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【条文说明】污泥热干化和焚烧集中进行，更经济节能、更利于保证质量、更便于管理。</w:t>
      </w:r>
    </w:p>
    <w:p>
      <w:pPr>
        <w:pStyle w:val="3"/>
        <w:numPr>
          <w:ilvl w:val="0"/>
          <w:numId w:val="49"/>
        </w:numPr>
        <w:wordWrap w:val="0"/>
        <w:spacing w:before="312" w:beforeLines="100" w:after="312" w:afterLines="100" w:line="415" w:lineRule="auto"/>
        <w:ind w:left="420"/>
        <w:jc w:val="center"/>
        <w:rPr>
          <w:rFonts w:ascii="Times New Roman" w:hAnsi="Times New Roman" w:eastAsiaTheme="minorEastAsia"/>
          <w:b w:val="0"/>
          <w:color w:val="000000" w:themeColor="text1"/>
          <w:sz w:val="28"/>
          <w:szCs w:val="28"/>
        </w:rPr>
      </w:pPr>
      <w:bookmarkStart w:id="95" w:name="_Toc515281077"/>
      <w:r>
        <w:rPr>
          <w:rFonts w:ascii="Times New Roman" w:hAnsi="Times New Roman" w:eastAsiaTheme="minorEastAsia"/>
          <w:b w:val="0"/>
          <w:color w:val="000000" w:themeColor="text1"/>
          <w:sz w:val="28"/>
          <w:szCs w:val="28"/>
        </w:rPr>
        <w:t>污泥焚烧</w:t>
      </w:r>
      <w:bookmarkEnd w:id="95"/>
    </w:p>
    <w:p>
      <w:pPr>
        <w:pStyle w:val="30"/>
        <w:numPr>
          <w:ilvl w:val="0"/>
          <w:numId w:val="5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bCs/>
          <w:color w:val="000000" w:themeColor="text1"/>
          <w:sz w:val="28"/>
          <w:szCs w:val="28"/>
        </w:rPr>
        <w:t>污泥</w:t>
      </w:r>
      <w:r>
        <w:rPr>
          <w:rFonts w:ascii="Times New Roman" w:hAnsi="Times New Roman" w:eastAsiaTheme="minorEastAsia"/>
          <w:color w:val="000000" w:themeColor="text1"/>
          <w:sz w:val="28"/>
          <w:szCs w:val="28"/>
        </w:rPr>
        <w:t>焚烧系统的设计，应对污泥进行特性分析。</w:t>
      </w:r>
    </w:p>
    <w:p>
      <w:pPr>
        <w:widowControl/>
        <w:wordWrap w:val="0"/>
        <w:rPr>
          <w:rFonts w:eastAsiaTheme="minorEastAsia"/>
          <w:color w:val="000000" w:themeColor="text1"/>
          <w:sz w:val="28"/>
          <w:szCs w:val="28"/>
        </w:rPr>
      </w:pPr>
      <w:r>
        <w:rPr>
          <w:rFonts w:eastAsiaTheme="minorEastAsia"/>
          <w:color w:val="000000" w:themeColor="text1"/>
          <w:sz w:val="28"/>
          <w:szCs w:val="28"/>
        </w:rPr>
        <w:t>【条文说明】污泥焚烧工程中，污泥热值及其元素成分等污泥特性分析数据是极其重要的设计参数，如果缺少此类数据，会造成实际运行与设计工况产生偏离，甚至导致污泥焚烧设施无法达到设计处理量。</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特性分析的内容应包括物化性质、工业分析和元素分析。其中物化性质包括含水率、含砂率、黏度等；工业分析包括水、固定碳、灰分、挥发分、高位发热量、低位发热值等；元素分析包括全硫（S）、碳（C）、氢（H）、氧（O）、氮（N）、氯（Cl）、氟（F）等。</w:t>
      </w:r>
    </w:p>
    <w:p>
      <w:pPr>
        <w:pStyle w:val="30"/>
        <w:numPr>
          <w:ilvl w:val="0"/>
          <w:numId w:val="5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污泥焚烧宜采用流化床工艺。</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【条文说明】循环流化床的流化风速较高，运行能耗较高。国内城镇污水厂污泥的单独焚烧目前基本上采用鼓泡流化床。</w:t>
      </w:r>
    </w:p>
    <w:p>
      <w:pPr>
        <w:pStyle w:val="30"/>
        <w:numPr>
          <w:ilvl w:val="0"/>
          <w:numId w:val="5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污泥焚烧区域空间应满足污泥焚烧产生烟气在850°C以上高温区域停留时间不</w:t>
      </w:r>
      <w:r>
        <w:rPr>
          <w:rFonts w:hint="eastAsia" w:ascii="Times New Roman" w:hAnsi="Times New Roman" w:eastAsiaTheme="minorEastAsia"/>
          <w:color w:val="000000" w:themeColor="text1"/>
          <w:sz w:val="28"/>
          <w:szCs w:val="28"/>
        </w:rPr>
        <w:t>应</w:t>
      </w:r>
      <w:r>
        <w:rPr>
          <w:rFonts w:ascii="Times New Roman" w:hAnsi="Times New Roman" w:eastAsiaTheme="minorEastAsia"/>
          <w:color w:val="000000" w:themeColor="text1"/>
          <w:sz w:val="28"/>
          <w:szCs w:val="28"/>
        </w:rPr>
        <w:t>小于2s。</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本条根据现行国家标准《生活垃圾焚烧污染控制标准》GB18485的有关规定制定。国内外研究结果表明，较为理想的完全燃烧温度是在850°C~1000°C。若燃烧室烟气温度过高，烟气中颗粒物被软化或融化而黏结在受热面上，不但降低传热效果，而且易形成受热面腐蚀，也会对炉墙产生破坏性影响。若烟气温度过低，挥发分燃烧不彻底，恶臭不能有效分解烟气中一氧化碳含量可能增加，而且热灼减率也可能达不到规定要求。另外有机挥发分的完全燃烧还需要足够的时间，因此本条还规定了烟气的滞留时间</w:t>
      </w:r>
    </w:p>
    <w:p>
      <w:pPr>
        <w:pStyle w:val="30"/>
        <w:numPr>
          <w:ilvl w:val="0"/>
          <w:numId w:val="5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污泥焚烧设施的设计年运行时间不应小于7200h。</w:t>
      </w:r>
    </w:p>
    <w:p>
      <w:pPr>
        <w:pStyle w:val="30"/>
        <w:wordWrap w:val="0"/>
        <w:spacing w:line="360" w:lineRule="auto"/>
        <w:ind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【条文说明】本条根据国内外污泥焚烧线的运行经验制定。因焚烧装置每年需要进行维护、保养，还需要定期维修。</w:t>
      </w:r>
    </w:p>
    <w:p>
      <w:pPr>
        <w:pStyle w:val="30"/>
        <w:numPr>
          <w:ilvl w:val="0"/>
          <w:numId w:val="5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污泥焚烧必须设置烟气净化处理设施，且烟气处理后的排放值应符合现行相关国家标准的规定。烟气净化系统必须设置袋式除尘器。</w:t>
      </w:r>
    </w:p>
    <w:p>
      <w:pPr>
        <w:widowControl/>
        <w:wordWrap w:val="0"/>
        <w:rPr>
          <w:rFonts w:eastAsiaTheme="minorEastAsia"/>
          <w:color w:val="000000" w:themeColor="text1"/>
          <w:sz w:val="28"/>
          <w:szCs w:val="28"/>
        </w:rPr>
      </w:pPr>
      <w:r>
        <w:rPr>
          <w:rFonts w:eastAsiaTheme="minorEastAsia"/>
          <w:color w:val="000000" w:themeColor="text1"/>
          <w:sz w:val="28"/>
          <w:szCs w:val="28"/>
        </w:rPr>
        <w:t>【条文说明】污泥焚烧产生的烟气中含有烟尘、臭气成分、酸性成分和氮氧化物，直接排放会对环境造成严重的污染，必须进行处理达标排放，烟气净化可采用旋风除尘、静电除尘、袋式除尘、脱硫和脱硝等控制技术。</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烟气中的颗粒物控制，常用的净化设备有旋风除尘器、静电除尘器和袋式除尘器等。由于飞灰粒径很小（d&lt;10μm的颗粒物含量较高），必须采用高效除尘器才能有效控制颗粒物的排放。袋式除尘器可捕集粒径大于0.1μm的粒子。烟气中汞等重金属的气溶胶等极易吸附在亚微米粒子上，这样，在捕集亚微米粒子的同时，可将重金属气溶胶等一同除去。由于袋式除尘器在净化污泥焚烧烟气方面有其独特的优越性，因此本标准明确规定，污泥焚烧的除尘设备必须采用袋式除尘器。</w:t>
      </w:r>
    </w:p>
    <w:p>
      <w:pPr>
        <w:pStyle w:val="30"/>
        <w:numPr>
          <w:ilvl w:val="0"/>
          <w:numId w:val="5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污泥焚烧的炉渣和除尘设备收集的飞灰应分别收集、贮存、运输。符合要求的炉渣应进行综合利用；飞灰经鉴别后</w:t>
      </w:r>
      <w:r>
        <w:rPr>
          <w:rFonts w:hint="eastAsia" w:ascii="Times New Roman" w:hAnsi="Times New Roman" w:eastAsiaTheme="minorEastAsia"/>
          <w:color w:val="000000" w:themeColor="text1"/>
          <w:sz w:val="28"/>
          <w:szCs w:val="28"/>
        </w:rPr>
        <w:t>应</w:t>
      </w:r>
      <w:r>
        <w:rPr>
          <w:rFonts w:ascii="Times New Roman" w:hAnsi="Times New Roman" w:eastAsiaTheme="minorEastAsia"/>
          <w:color w:val="000000" w:themeColor="text1"/>
          <w:sz w:val="28"/>
          <w:szCs w:val="28"/>
        </w:rPr>
        <w:t>妥善处置。</w:t>
      </w:r>
    </w:p>
    <w:p>
      <w:pPr>
        <w:widowControl/>
        <w:wordWrap w:val="0"/>
        <w:rPr>
          <w:rFonts w:eastAsiaTheme="minorEastAsia"/>
          <w:color w:val="000000" w:themeColor="text1"/>
          <w:sz w:val="28"/>
          <w:szCs w:val="28"/>
        </w:rPr>
      </w:pPr>
      <w:r>
        <w:rPr>
          <w:rFonts w:eastAsiaTheme="minorEastAsia"/>
          <w:color w:val="000000" w:themeColor="text1"/>
          <w:sz w:val="28"/>
          <w:szCs w:val="28"/>
        </w:rPr>
        <w:t>【条文说明】相对垃圾焚烧而言，污泥的性质较为单一，从目前国内已运行的市政污水厂污泥焚烧工程来看，产生的炉渣和飞灰基本上均不属于危险废物，</w:t>
      </w:r>
      <w:r>
        <w:rPr>
          <w:rFonts w:hint="eastAsia" w:eastAsiaTheme="minorEastAsia"/>
          <w:color w:val="000000" w:themeColor="text1"/>
          <w:sz w:val="28"/>
          <w:szCs w:val="28"/>
        </w:rPr>
        <w:t>袋式</w:t>
      </w:r>
      <w:r>
        <w:rPr>
          <w:rFonts w:eastAsiaTheme="minorEastAsia"/>
          <w:color w:val="000000" w:themeColor="text1"/>
          <w:sz w:val="28"/>
          <w:szCs w:val="28"/>
        </w:rPr>
        <w:t>除尘器产生的飞灰需经鉴别确定。</w:t>
      </w:r>
    </w:p>
    <w:p>
      <w:pPr>
        <w:pStyle w:val="30"/>
        <w:numPr>
          <w:ilvl w:val="0"/>
          <w:numId w:val="59"/>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采用垃圾焚烧设施协同焚烧污水厂污泥时，在焚烧前应将污泥干燥至热值与生活垃圾相当，并</w:t>
      </w:r>
      <w:r>
        <w:rPr>
          <w:rFonts w:hint="eastAsia" w:ascii="Times New Roman" w:hAnsi="Times New Roman" w:eastAsiaTheme="minorEastAsia"/>
          <w:color w:val="000000" w:themeColor="text1"/>
          <w:sz w:val="28"/>
          <w:szCs w:val="28"/>
        </w:rPr>
        <w:t>应</w:t>
      </w:r>
      <w:r>
        <w:rPr>
          <w:rFonts w:ascii="Times New Roman" w:hAnsi="Times New Roman" w:eastAsiaTheme="minorEastAsia"/>
          <w:color w:val="000000" w:themeColor="text1"/>
          <w:sz w:val="28"/>
          <w:szCs w:val="28"/>
        </w:rPr>
        <w:t>控制掺烧比。</w:t>
      </w:r>
    </w:p>
    <w:p>
      <w:pPr>
        <w:widowControl/>
        <w:wordWrap w:val="0"/>
        <w:rPr>
          <w:rFonts w:eastAsiaTheme="minorEastAsia"/>
          <w:color w:val="000000" w:themeColor="text1"/>
          <w:sz w:val="28"/>
          <w:szCs w:val="28"/>
        </w:rPr>
      </w:pPr>
      <w:r>
        <w:rPr>
          <w:rFonts w:eastAsiaTheme="minorEastAsia"/>
          <w:color w:val="000000" w:themeColor="text1"/>
          <w:sz w:val="28"/>
          <w:szCs w:val="28"/>
        </w:rPr>
        <w:t>【条文说明】根据理论研究和运行经验，垃圾焚烧设施协同处置污泥必须在保证原焚烧炉焚烧性能和污染物排放控制等原则的要求下进行。由于污泥与垃圾性质存在较大的差异，污泥的掺烧容易对已有焚烧炉的运行造成影响。当垃圾焚烧炉采用炉排炉时，污泥掺烧比一般控制在5%以下。</w:t>
      </w:r>
    </w:p>
    <w:p>
      <w:pPr>
        <w:pStyle w:val="3"/>
        <w:numPr>
          <w:ilvl w:val="0"/>
          <w:numId w:val="49"/>
        </w:numPr>
        <w:wordWrap w:val="0"/>
        <w:spacing w:before="312" w:beforeLines="100" w:after="312" w:afterLines="100" w:line="415" w:lineRule="auto"/>
        <w:ind w:left="420"/>
        <w:jc w:val="center"/>
        <w:rPr>
          <w:rFonts w:ascii="Times New Roman" w:hAnsi="Times New Roman" w:eastAsiaTheme="minorEastAsia"/>
          <w:b w:val="0"/>
          <w:color w:val="000000" w:themeColor="text1"/>
          <w:sz w:val="28"/>
          <w:szCs w:val="28"/>
        </w:rPr>
      </w:pPr>
      <w:bookmarkStart w:id="96" w:name="_Toc515281078"/>
      <w:r>
        <w:rPr>
          <w:rFonts w:ascii="Times New Roman" w:hAnsi="Times New Roman" w:eastAsiaTheme="minorEastAsia"/>
          <w:b w:val="0"/>
          <w:color w:val="000000" w:themeColor="text1"/>
          <w:sz w:val="28"/>
          <w:szCs w:val="28"/>
        </w:rPr>
        <w:t>污泥处置和综合利用</w:t>
      </w:r>
      <w:bookmarkEnd w:id="96"/>
    </w:p>
    <w:p>
      <w:pPr>
        <w:pStyle w:val="30"/>
        <w:numPr>
          <w:ilvl w:val="0"/>
          <w:numId w:val="60"/>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污泥的最终处置，应考虑综合利用。</w:t>
      </w:r>
    </w:p>
    <w:p>
      <w:pPr>
        <w:wordWrap w:val="0"/>
        <w:rPr>
          <w:rFonts w:eastAsiaTheme="minorEastAsia"/>
          <w:color w:val="000000" w:themeColor="text1"/>
          <w:sz w:val="28"/>
          <w:szCs w:val="28"/>
        </w:rPr>
      </w:pPr>
      <w:r>
        <w:rPr>
          <w:rFonts w:eastAsiaTheme="minorEastAsia"/>
          <w:color w:val="000000" w:themeColor="text1"/>
          <w:sz w:val="28"/>
          <w:szCs w:val="28"/>
        </w:rPr>
        <w:t>【条文说明】污泥的处置，一般包括土地利用</w:t>
      </w:r>
      <w:r>
        <w:rPr>
          <w:rFonts w:hint="eastAsia" w:eastAsiaTheme="minorEastAsia"/>
          <w:color w:val="000000" w:themeColor="text1"/>
          <w:sz w:val="28"/>
          <w:szCs w:val="28"/>
        </w:rPr>
        <w:t>、</w:t>
      </w:r>
      <w:r>
        <w:rPr>
          <w:rFonts w:eastAsiaTheme="minorEastAsia"/>
          <w:color w:val="000000" w:themeColor="text1"/>
          <w:sz w:val="28"/>
          <w:szCs w:val="28"/>
        </w:rPr>
        <w:t>建筑材料利用</w:t>
      </w:r>
      <w:r>
        <w:rPr>
          <w:rFonts w:hint="eastAsia" w:eastAsiaTheme="minorEastAsia"/>
          <w:color w:val="000000" w:themeColor="text1"/>
          <w:sz w:val="28"/>
          <w:szCs w:val="28"/>
        </w:rPr>
        <w:t>和填埋</w:t>
      </w:r>
      <w:r>
        <w:rPr>
          <w:rFonts w:eastAsiaTheme="minorEastAsia"/>
          <w:color w:val="000000" w:themeColor="text1"/>
          <w:sz w:val="28"/>
          <w:szCs w:val="28"/>
        </w:rPr>
        <w:t>等。</w:t>
      </w:r>
    </w:p>
    <w:p>
      <w:pPr>
        <w:pStyle w:val="30"/>
        <w:numPr>
          <w:ilvl w:val="0"/>
          <w:numId w:val="6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的处置和综合利用，应因地制宜。污泥的土地利用，应严格控制污泥中和土壤中积累的重金属和其他有毒物质含量。园林绿化利用和农用必须符合现行的有关标准的规定。禁止处理处置不达标的污泥进入耕地。</w:t>
      </w:r>
    </w:p>
    <w:p>
      <w:pPr>
        <w:wordWrap w:val="0"/>
        <w:rPr>
          <w:rFonts w:eastAsiaTheme="minorEastAsia"/>
          <w:color w:val="000000" w:themeColor="text1"/>
          <w:sz w:val="28"/>
          <w:szCs w:val="28"/>
        </w:rPr>
      </w:pPr>
      <w:r>
        <w:rPr>
          <w:rFonts w:eastAsiaTheme="minorEastAsia"/>
          <w:color w:val="000000" w:themeColor="text1"/>
          <w:sz w:val="28"/>
          <w:szCs w:val="28"/>
        </w:rPr>
        <w:t xml:space="preserve">【条文说明】由于污泥中含有丰富的有机质，可以改良土壤。污泥土地利用维持了有机质的良性大循环。 </w:t>
      </w:r>
    </w:p>
    <w:p>
      <w:pPr>
        <w:wordWrap w:val="0"/>
        <w:rPr>
          <w:rFonts w:eastAsiaTheme="minorEastAsia"/>
          <w:color w:val="000000" w:themeColor="text1"/>
          <w:sz w:val="28"/>
          <w:szCs w:val="28"/>
        </w:rPr>
      </w:pPr>
      <w:r>
        <w:rPr>
          <w:rFonts w:eastAsiaTheme="minorEastAsia"/>
          <w:color w:val="000000" w:themeColor="text1"/>
          <w:sz w:val="28"/>
          <w:szCs w:val="28"/>
        </w:rPr>
        <w:t xml:space="preserve">    污泥用于园林绿化时，泥质应满足《城镇污水处理厂污泥处置 园林绿化用泥质》</w:t>
      </w:r>
      <w:r>
        <w:rPr>
          <w:color w:val="000000" w:themeColor="text1"/>
          <w:sz w:val="28"/>
          <w:szCs w:val="28"/>
        </w:rPr>
        <w:t>GB/T23486</w:t>
      </w:r>
      <w:r>
        <w:rPr>
          <w:rFonts w:eastAsiaTheme="minorEastAsia"/>
          <w:color w:val="000000" w:themeColor="text1"/>
          <w:sz w:val="28"/>
          <w:szCs w:val="28"/>
        </w:rPr>
        <w:t>和有关标准规定；污泥用于盐碱地、沙化地和废弃矿场等土地改良时，泥质应符合《城镇污水处理厂污泥处置 土地改良用泥质》</w:t>
      </w:r>
      <w:r>
        <w:rPr>
          <w:color w:val="000000" w:themeColor="text1"/>
          <w:sz w:val="28"/>
          <w:szCs w:val="28"/>
        </w:rPr>
        <w:t>GB/T24600</w:t>
      </w:r>
      <w:r>
        <w:rPr>
          <w:rFonts w:eastAsiaTheme="minorEastAsia"/>
          <w:color w:val="000000" w:themeColor="text1"/>
          <w:sz w:val="28"/>
          <w:szCs w:val="28"/>
        </w:rPr>
        <w:t>的规定；污泥农用时，应达到《农用污泥中污染物控制标准》GB4284等国家和地方现行的有关农用标准和规定。</w:t>
      </w:r>
      <w:r>
        <w:rPr>
          <w:rFonts w:eastAsiaTheme="minorEastAsia"/>
          <w:bCs/>
          <w:color w:val="000000" w:themeColor="text1"/>
          <w:sz w:val="28"/>
          <w:szCs w:val="28"/>
        </w:rPr>
        <w:t>根据《水污染防治行动计划》（国发〔2015〕17号）的要求，本条补充规定“禁止</w:t>
      </w:r>
      <w:r>
        <w:rPr>
          <w:rFonts w:eastAsiaTheme="minorEastAsia"/>
          <w:color w:val="000000" w:themeColor="text1"/>
          <w:sz w:val="28"/>
          <w:szCs w:val="28"/>
        </w:rPr>
        <w:t>处理处置不达标的污泥进入耕地</w:t>
      </w:r>
      <w:r>
        <w:rPr>
          <w:rFonts w:eastAsiaTheme="minorEastAsia"/>
          <w:bCs/>
          <w:color w:val="000000" w:themeColor="text1"/>
          <w:sz w:val="28"/>
          <w:szCs w:val="28"/>
        </w:rPr>
        <w:t>”。</w:t>
      </w:r>
    </w:p>
    <w:p>
      <w:pPr>
        <w:pStyle w:val="30"/>
        <w:numPr>
          <w:ilvl w:val="0"/>
          <w:numId w:val="60"/>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用于建材利用的污泥应根据实际产品要求、工艺情况及污泥掺入量，对污泥中的碱、硫、氯、磷等少量组分及重金属含量设置最高限值。</w:t>
      </w:r>
    </w:p>
    <w:p>
      <w:pPr>
        <w:widowControl/>
        <w:wordWrap w:val="0"/>
        <w:rPr>
          <w:rFonts w:eastAsiaTheme="minorEastAsia"/>
          <w:color w:val="000000" w:themeColor="text1"/>
          <w:sz w:val="28"/>
          <w:szCs w:val="28"/>
        </w:rPr>
      </w:pPr>
      <w:r>
        <w:rPr>
          <w:rFonts w:eastAsiaTheme="minorEastAsia"/>
          <w:color w:val="000000" w:themeColor="text1"/>
          <w:sz w:val="28"/>
          <w:szCs w:val="28"/>
        </w:rPr>
        <w:t>【条文说明】污泥中的碱（钾和钠的合称）、硫、氯、磷及重金属对建材生产及产物性能有不利的影响，应限定其带入量。</w:t>
      </w:r>
    </w:p>
    <w:p>
      <w:pPr>
        <w:pStyle w:val="30"/>
        <w:numPr>
          <w:ilvl w:val="0"/>
          <w:numId w:val="60"/>
        </w:numPr>
        <w:wordWrap w:val="0"/>
        <w:spacing w:line="360" w:lineRule="auto"/>
        <w:ind w:left="0" w:firstLine="0" w:firstLineChars="0"/>
        <w:rPr>
          <w:rFonts w:ascii="Times New Roman" w:hAnsi="Times New Roman" w:eastAsiaTheme="minorEastAsia"/>
          <w:bCs/>
          <w:color w:val="000000" w:themeColor="text1"/>
          <w:sz w:val="28"/>
          <w:szCs w:val="28"/>
        </w:rPr>
      </w:pPr>
      <w:r>
        <w:rPr>
          <w:rFonts w:ascii="Times New Roman" w:hAnsi="Times New Roman" w:eastAsiaTheme="minorEastAsia"/>
          <w:bCs/>
          <w:color w:val="000000" w:themeColor="text1"/>
          <w:sz w:val="28"/>
          <w:szCs w:val="28"/>
        </w:rPr>
        <w:t>污泥与生活垃圾混合填埋，污泥必须进行稳定化、无害化处理，并</w:t>
      </w:r>
      <w:r>
        <w:rPr>
          <w:rFonts w:hint="eastAsia" w:ascii="Times New Roman" w:hAnsi="Times New Roman" w:eastAsiaTheme="minorEastAsia"/>
          <w:bCs/>
          <w:color w:val="000000" w:themeColor="text1"/>
          <w:sz w:val="28"/>
          <w:szCs w:val="28"/>
        </w:rPr>
        <w:t>应</w:t>
      </w:r>
      <w:r>
        <w:rPr>
          <w:rFonts w:ascii="Times New Roman" w:hAnsi="Times New Roman" w:eastAsiaTheme="minorEastAsia"/>
          <w:bCs/>
          <w:color w:val="000000" w:themeColor="text1"/>
          <w:sz w:val="28"/>
          <w:szCs w:val="28"/>
        </w:rPr>
        <w:t>满足垃圾填埋场填埋土力学要求。</w:t>
      </w:r>
    </w:p>
    <w:p>
      <w:pPr>
        <w:widowControl/>
        <w:wordWrap w:val="0"/>
        <w:rPr>
          <w:rFonts w:eastAsiaTheme="minorEastAsia"/>
          <w:bCs/>
          <w:color w:val="000000" w:themeColor="text1"/>
          <w:sz w:val="28"/>
          <w:szCs w:val="28"/>
        </w:rPr>
      </w:pPr>
      <w:r>
        <w:rPr>
          <w:rFonts w:eastAsiaTheme="minorEastAsia"/>
          <w:bCs/>
          <w:color w:val="000000" w:themeColor="text1"/>
          <w:sz w:val="28"/>
          <w:szCs w:val="28"/>
        </w:rPr>
        <w:t>【条文说明】污水厂污泥进入生活垃圾填埋场混合填埋处置时，应经预处理改善污泥的高含水率、高黏度、易流变、高持水性和低渗透性系数的特性，改性后的泥质应符合现行国家标准《城镇污水处理厂污泥处置混合填埋用泥质》GB/T23485、《生活垃圾卫生填埋处理技术规范》GB50869的规定。</w:t>
      </w:r>
    </w:p>
    <w:p>
      <w:pPr>
        <w:pStyle w:val="3"/>
        <w:numPr>
          <w:ilvl w:val="0"/>
          <w:numId w:val="49"/>
        </w:numPr>
        <w:wordWrap w:val="0"/>
        <w:spacing w:before="312" w:beforeLines="100" w:after="312" w:afterLines="100" w:line="415" w:lineRule="auto"/>
        <w:ind w:left="420"/>
        <w:jc w:val="center"/>
        <w:rPr>
          <w:rFonts w:ascii="Times New Roman" w:hAnsi="Times New Roman" w:eastAsiaTheme="minorEastAsia"/>
          <w:b w:val="0"/>
          <w:color w:val="000000" w:themeColor="text1"/>
          <w:sz w:val="28"/>
          <w:szCs w:val="28"/>
        </w:rPr>
      </w:pPr>
      <w:bookmarkStart w:id="97" w:name="_Toc515281079"/>
      <w:r>
        <w:rPr>
          <w:rFonts w:ascii="Times New Roman" w:hAnsi="Times New Roman" w:eastAsiaTheme="minorEastAsia"/>
          <w:b w:val="0"/>
          <w:color w:val="000000" w:themeColor="text1"/>
          <w:sz w:val="28"/>
          <w:szCs w:val="28"/>
        </w:rPr>
        <w:t>污泥输送</w:t>
      </w:r>
      <w:bookmarkEnd w:id="92"/>
      <w:r>
        <w:rPr>
          <w:rFonts w:ascii="Times New Roman" w:hAnsi="Times New Roman" w:eastAsiaTheme="minorEastAsia"/>
          <w:b w:val="0"/>
          <w:color w:val="000000" w:themeColor="text1"/>
          <w:sz w:val="28"/>
          <w:szCs w:val="28"/>
        </w:rPr>
        <w:t>和贮存</w:t>
      </w:r>
      <w:bookmarkEnd w:id="97"/>
    </w:p>
    <w:p>
      <w:pPr>
        <w:pStyle w:val="30"/>
        <w:numPr>
          <w:ilvl w:val="0"/>
          <w:numId w:val="61"/>
        </w:numPr>
        <w:wordWrap w:val="0"/>
        <w:spacing w:line="360" w:lineRule="auto"/>
        <w:ind w:left="0" w:firstLine="0" w:firstLineChars="0"/>
        <w:rPr>
          <w:rFonts w:ascii="Times New Roman" w:hAnsi="Times New Roman" w:eastAsiaTheme="minorEastAsia"/>
          <w:bCs/>
          <w:color w:val="000000" w:themeColor="text1"/>
          <w:sz w:val="28"/>
          <w:szCs w:val="28"/>
        </w:rPr>
      </w:pPr>
      <w:r>
        <w:rPr>
          <w:rFonts w:ascii="Times New Roman" w:hAnsi="Times New Roman" w:eastAsiaTheme="minorEastAsia"/>
          <w:bCs/>
          <w:color w:val="000000" w:themeColor="text1"/>
          <w:sz w:val="28"/>
          <w:szCs w:val="28"/>
        </w:rPr>
        <w:t>污泥输送方式应根据污泥特性选择，应能满足耐用、防尘、防臭气外溢的要求，并应根据输送位置、距离、输送量、输送污泥含水率等合理选择输送设备。</w:t>
      </w:r>
    </w:p>
    <w:p>
      <w:pPr>
        <w:pStyle w:val="30"/>
        <w:numPr>
          <w:ilvl w:val="0"/>
          <w:numId w:val="6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脱水污泥的输送</w:t>
      </w:r>
      <w:r>
        <w:rPr>
          <w:rFonts w:hint="eastAsia" w:ascii="Times New Roman" w:hAnsi="Times New Roman" w:eastAsiaTheme="minorEastAsia"/>
          <w:color w:val="000000" w:themeColor="text1"/>
          <w:sz w:val="28"/>
          <w:szCs w:val="28"/>
        </w:rPr>
        <w:t>宜</w:t>
      </w:r>
      <w:r>
        <w:rPr>
          <w:rFonts w:ascii="Times New Roman" w:hAnsi="Times New Roman" w:eastAsiaTheme="minorEastAsia"/>
          <w:color w:val="000000" w:themeColor="text1"/>
          <w:sz w:val="28"/>
          <w:szCs w:val="28"/>
        </w:rPr>
        <w:t>采用螺旋输送机、管道输送和皮带输送机三种型式。干化污泥输送宜采用螺旋输送机、刮板输送机、斗式提升机和皮带输送机等形式。</w:t>
      </w:r>
    </w:p>
    <w:p>
      <w:pPr>
        <w:pStyle w:val="30"/>
        <w:numPr>
          <w:ilvl w:val="0"/>
          <w:numId w:val="6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螺旋输送机输送脱水污泥，其倾角宜小于30°，且宜采用无轴螺旋输送机。对于黏稠度高的脱水污泥，宜采用双螺旋输送机。</w:t>
      </w:r>
    </w:p>
    <w:p>
      <w:pPr>
        <w:wordWrap w:val="0"/>
        <w:rPr>
          <w:rFonts w:eastAsiaTheme="minorEastAsia"/>
          <w:color w:val="000000" w:themeColor="text1"/>
          <w:sz w:val="28"/>
          <w:szCs w:val="28"/>
        </w:rPr>
      </w:pPr>
      <w:r>
        <w:rPr>
          <w:rFonts w:eastAsiaTheme="minorEastAsia"/>
          <w:color w:val="000000" w:themeColor="text1"/>
          <w:sz w:val="28"/>
          <w:szCs w:val="28"/>
        </w:rPr>
        <w:t>【条文说明】如果螺旋输送机倾角过大，会导致脱水污泥下滑而影响污泥脱水间的正常工作。如果采用有轴螺旋输送机，由于轴和螺旋叶片之间形成了相对于无轴螺旋输送机而言较为密闭的空间，在输送污泥过程中对污泥的挤压与搅动更为剧烈，易于使污泥中的表面吸附水、间歇水和毛细结合水外溢，增加污泥的流动性，在污泥的运输过程中容易造成污泥的滴漏，污染沿途环境。双螺旋输送机比较适用于黏性污泥的输送。</w:t>
      </w:r>
    </w:p>
    <w:p>
      <w:pPr>
        <w:pStyle w:val="30"/>
        <w:numPr>
          <w:ilvl w:val="0"/>
          <w:numId w:val="61"/>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管道输送脱水污泥，弯头的转弯半径不应小于5倍管径。</w:t>
      </w:r>
    </w:p>
    <w:p>
      <w:pPr>
        <w:wordWrap w:val="0"/>
        <w:rPr>
          <w:rFonts w:eastAsiaTheme="minorEastAsia"/>
          <w:color w:val="000000" w:themeColor="text1"/>
          <w:sz w:val="28"/>
          <w:szCs w:val="28"/>
        </w:rPr>
      </w:pPr>
      <w:r>
        <w:rPr>
          <w:rFonts w:eastAsiaTheme="minorEastAsia"/>
          <w:color w:val="000000" w:themeColor="text1"/>
          <w:sz w:val="28"/>
          <w:szCs w:val="28"/>
        </w:rPr>
        <w:t>【条文说明】由于脱水污泥管道输送的局部阻力系数大，为降低污泥输送泵的扬程，避免污泥在管道中发生堵死现象，同时考虑到污水厂污泥的管道输送距离较短，而脱水机房场地有限，不利于管道进行大幅度转角布置。</w:t>
      </w:r>
    </w:p>
    <w:p>
      <w:pPr>
        <w:pStyle w:val="30"/>
        <w:numPr>
          <w:ilvl w:val="0"/>
          <w:numId w:val="6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采用管道输送脱水污泥时，应选择适用于输送大颗粒、高黏稠度的污泥输送泵，污泥泵应具有较强的抗腐蚀性和耐磨性。</w:t>
      </w:r>
    </w:p>
    <w:p>
      <w:pPr>
        <w:pStyle w:val="30"/>
        <w:numPr>
          <w:ilvl w:val="0"/>
          <w:numId w:val="61"/>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皮带输送机输送污泥，其倾角应小于20°。</w:t>
      </w:r>
    </w:p>
    <w:p>
      <w:pPr>
        <w:wordWrap w:val="0"/>
        <w:rPr>
          <w:rFonts w:eastAsiaTheme="minorEastAsia"/>
          <w:color w:val="000000" w:themeColor="text1"/>
          <w:sz w:val="28"/>
          <w:szCs w:val="28"/>
        </w:rPr>
      </w:pPr>
      <w:r>
        <w:rPr>
          <w:rFonts w:eastAsiaTheme="minorEastAsia"/>
          <w:color w:val="000000" w:themeColor="text1"/>
          <w:sz w:val="28"/>
          <w:szCs w:val="28"/>
        </w:rPr>
        <w:t>【条文说明】皮带运输机倾角超过20°，泥饼会在皮带上发生滑动。</w:t>
      </w:r>
    </w:p>
    <w:p>
      <w:pPr>
        <w:pStyle w:val="30"/>
        <w:widowControl/>
        <w:numPr>
          <w:ilvl w:val="0"/>
          <w:numId w:val="61"/>
        </w:numPr>
        <w:wordWrap w:val="0"/>
        <w:spacing w:line="360" w:lineRule="auto"/>
        <w:ind w:left="0" w:firstLine="0" w:firstLineChars="0"/>
        <w:rPr>
          <w:rFonts w:ascii="Times New Roman" w:hAnsi="Times New Roman" w:eastAsiaTheme="minorEastAsia"/>
          <w:color w:val="000000" w:themeColor="text1"/>
          <w:sz w:val="28"/>
          <w:szCs w:val="28"/>
        </w:rPr>
      </w:pPr>
      <w:bookmarkStart w:id="98" w:name="_Toc74992772"/>
      <w:bookmarkStart w:id="99" w:name="_Toc102292570"/>
      <w:r>
        <w:rPr>
          <w:rFonts w:ascii="Times New Roman" w:hAnsi="Times New Roman" w:eastAsiaTheme="minorEastAsia"/>
          <w:color w:val="000000" w:themeColor="text1"/>
          <w:sz w:val="28"/>
          <w:szCs w:val="28"/>
        </w:rPr>
        <w:t>干化污泥输送应密闭，干化污泥的输送设施应处于负压状态，防止气体外泄污染环境。干化污泥输送设备应具有耐磨、耐腐蚀、检修方便的特点。</w:t>
      </w:r>
    </w:p>
    <w:p>
      <w:pPr>
        <w:pStyle w:val="30"/>
        <w:widowControl/>
        <w:numPr>
          <w:ilvl w:val="0"/>
          <w:numId w:val="61"/>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污水厂应妥善设污泥贮存设施，便于污泥处理、外运处置，避免污泥造成环境污染。</w:t>
      </w:r>
    </w:p>
    <w:p>
      <w:pPr>
        <w:pStyle w:val="30"/>
        <w:widowControl/>
        <w:numPr>
          <w:ilvl w:val="0"/>
          <w:numId w:val="61"/>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污泥料仓的设计，应符合下列规定：</w:t>
      </w:r>
    </w:p>
    <w:p>
      <w:pPr>
        <w:wordWrap w:val="0"/>
        <w:ind w:left="2" w:firstLine="568" w:firstLineChars="202"/>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脱水污泥料仓的容积宜能贮存2</w:t>
      </w:r>
      <w:r>
        <w:rPr>
          <w:rFonts w:hint="eastAsia" w:eastAsiaTheme="minorEastAsia"/>
          <w:color w:val="000000" w:themeColor="text1"/>
          <w:sz w:val="28"/>
          <w:szCs w:val="28"/>
        </w:rPr>
        <w:t>d</w:t>
      </w:r>
      <w:r>
        <w:rPr>
          <w:rFonts w:eastAsiaTheme="minorEastAsia"/>
          <w:color w:val="000000" w:themeColor="text1"/>
          <w:sz w:val="28"/>
          <w:szCs w:val="28"/>
        </w:rPr>
        <w:t>~5</w:t>
      </w:r>
      <w:r>
        <w:rPr>
          <w:rFonts w:hint="eastAsia" w:eastAsiaTheme="minorEastAsia"/>
          <w:color w:val="000000" w:themeColor="text1"/>
          <w:sz w:val="28"/>
          <w:szCs w:val="28"/>
        </w:rPr>
        <w:t>d</w:t>
      </w:r>
      <w:r>
        <w:rPr>
          <w:rFonts w:eastAsiaTheme="minorEastAsia"/>
          <w:color w:val="000000" w:themeColor="text1"/>
          <w:sz w:val="28"/>
          <w:szCs w:val="28"/>
        </w:rPr>
        <w:t>的污泥量，并应满足污泥外运及工艺运行的要求；</w:t>
      </w:r>
    </w:p>
    <w:p>
      <w:pPr>
        <w:wordWrap w:val="0"/>
        <w:ind w:firstLine="568" w:firstLineChars="202"/>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干化污泥料仓的容积应根据污泥含水率、黏度等因素综合确定；</w:t>
      </w:r>
    </w:p>
    <w:p>
      <w:pPr>
        <w:wordWrap w:val="0"/>
        <w:ind w:firstLine="568" w:firstLineChars="202"/>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污泥料仓应设有防止污泥架桥装置；</w:t>
      </w:r>
    </w:p>
    <w:p>
      <w:pPr>
        <w:wordWrap w:val="0"/>
        <w:ind w:firstLine="568" w:firstLineChars="202"/>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污泥料仓应具有密闭性、耐腐蚀、防渗漏等性能；</w:t>
      </w:r>
    </w:p>
    <w:p>
      <w:pPr>
        <w:wordWrap w:val="0"/>
        <w:ind w:firstLine="568" w:firstLineChars="202"/>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污泥料仓内应处于微负压状态，以防止有害气体逸出；</w:t>
      </w:r>
    </w:p>
    <w:p>
      <w:pPr>
        <w:wordWrap w:val="0"/>
        <w:ind w:firstLine="568" w:firstLineChars="202"/>
        <w:rPr>
          <w:rFonts w:eastAsiaTheme="minorEastAsia"/>
          <w:color w:val="000000" w:themeColor="text1"/>
          <w:sz w:val="28"/>
          <w:szCs w:val="28"/>
        </w:rPr>
      </w:pPr>
      <w:r>
        <w:rPr>
          <w:rFonts w:eastAsiaTheme="minorEastAsia"/>
          <w:b/>
          <w:color w:val="000000" w:themeColor="text1"/>
          <w:sz w:val="28"/>
          <w:szCs w:val="28"/>
        </w:rPr>
        <w:t>6</w:t>
      </w:r>
      <w:r>
        <w:rPr>
          <w:rFonts w:eastAsiaTheme="minorEastAsia"/>
          <w:color w:val="000000" w:themeColor="text1"/>
          <w:sz w:val="28"/>
          <w:szCs w:val="28"/>
        </w:rPr>
        <w:t>应设有臭气收集设施，并采取除臭设施；</w:t>
      </w:r>
    </w:p>
    <w:p>
      <w:pPr>
        <w:wordWrap w:val="0"/>
        <w:ind w:firstLine="568" w:firstLineChars="202"/>
        <w:rPr>
          <w:rFonts w:eastAsiaTheme="minorEastAsia"/>
          <w:color w:val="000000" w:themeColor="text1"/>
          <w:sz w:val="28"/>
          <w:szCs w:val="28"/>
        </w:rPr>
      </w:pPr>
      <w:r>
        <w:rPr>
          <w:rFonts w:eastAsiaTheme="minorEastAsia"/>
          <w:b/>
          <w:color w:val="000000" w:themeColor="text1"/>
          <w:sz w:val="28"/>
          <w:szCs w:val="28"/>
        </w:rPr>
        <w:t>7</w:t>
      </w:r>
      <w:r>
        <w:rPr>
          <w:rFonts w:eastAsiaTheme="minorEastAsia"/>
          <w:color w:val="000000" w:themeColor="text1"/>
          <w:sz w:val="28"/>
          <w:szCs w:val="28"/>
        </w:rPr>
        <w:t>干化污泥料仓应设有温度检测和气体（CO）检测装置，并</w:t>
      </w:r>
      <w:r>
        <w:rPr>
          <w:rFonts w:hint="eastAsia" w:eastAsiaTheme="minorEastAsia"/>
          <w:color w:val="000000" w:themeColor="text1"/>
          <w:sz w:val="28"/>
          <w:szCs w:val="28"/>
        </w:rPr>
        <w:t>应</w:t>
      </w:r>
      <w:r>
        <w:rPr>
          <w:rFonts w:eastAsiaTheme="minorEastAsia"/>
          <w:color w:val="000000" w:themeColor="text1"/>
          <w:sz w:val="28"/>
          <w:szCs w:val="28"/>
        </w:rPr>
        <w:t>设有温度过高和气体浓度过高的应急措施；</w:t>
      </w:r>
    </w:p>
    <w:p>
      <w:pPr>
        <w:pStyle w:val="30"/>
        <w:widowControl/>
        <w:wordWrap w:val="0"/>
        <w:spacing w:line="360" w:lineRule="auto"/>
        <w:ind w:firstLine="565" w:firstLineChars="201"/>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8</w:t>
      </w:r>
      <w:r>
        <w:rPr>
          <w:rFonts w:ascii="Times New Roman" w:hAnsi="Times New Roman" w:eastAsiaTheme="minorEastAsia"/>
          <w:color w:val="000000" w:themeColor="text1"/>
          <w:sz w:val="28"/>
          <w:szCs w:val="28"/>
        </w:rPr>
        <w:t>干化污泥料仓温度应在50</w:t>
      </w:r>
      <w:r>
        <w:rPr>
          <w:rFonts w:hint="eastAsia" w:ascii="宋体" w:hAnsi="宋体" w:eastAsia="宋体" w:cs="宋体"/>
          <w:color w:val="000000" w:themeColor="text1"/>
          <w:sz w:val="28"/>
          <w:szCs w:val="28"/>
        </w:rPr>
        <w:t>℃</w:t>
      </w:r>
      <w:r>
        <w:rPr>
          <w:rFonts w:ascii="Times New Roman" w:hAnsi="Times New Roman" w:eastAsiaTheme="minorEastAsia"/>
          <w:color w:val="000000" w:themeColor="text1"/>
          <w:sz w:val="28"/>
          <w:szCs w:val="28"/>
        </w:rPr>
        <w:t>以下，并考虑干化污泥量、污泥特性等因素的影响。</w:t>
      </w:r>
    </w:p>
    <w:bookmarkEnd w:id="98"/>
    <w:bookmarkEnd w:id="99"/>
    <w:p>
      <w:pPr>
        <w:widowControl/>
        <w:wordWrap w:val="0"/>
        <w:rPr>
          <w:rFonts w:eastAsiaTheme="minorEastAsia"/>
          <w:color w:val="000000" w:themeColor="text1"/>
          <w:sz w:val="28"/>
          <w:szCs w:val="28"/>
        </w:rPr>
      </w:pPr>
    </w:p>
    <w:p>
      <w:pPr>
        <w:widowControl/>
        <w:wordWrap w:val="0"/>
        <w:ind w:firstLine="565" w:firstLineChars="202"/>
        <w:rPr>
          <w:rFonts w:eastAsiaTheme="minorEastAsia"/>
          <w:bCs/>
          <w:color w:val="000000" w:themeColor="text1"/>
          <w:sz w:val="28"/>
          <w:szCs w:val="28"/>
        </w:rPr>
      </w:pPr>
      <w:r>
        <w:rPr>
          <w:rFonts w:eastAsiaTheme="minorEastAsia"/>
          <w:bCs/>
          <w:color w:val="000000" w:themeColor="text1"/>
          <w:sz w:val="28"/>
          <w:szCs w:val="28"/>
        </w:rPr>
        <w:br w:type="page"/>
      </w:r>
      <w:bookmarkStart w:id="100" w:name="_Toc102292572"/>
    </w:p>
    <w:bookmarkEnd w:id="100"/>
    <w:p>
      <w:pPr>
        <w:pStyle w:val="2"/>
        <w:wordWrap w:val="0"/>
        <w:spacing w:before="312" w:after="312"/>
        <w:rPr>
          <w:sz w:val="28"/>
          <w:szCs w:val="28"/>
        </w:rPr>
      </w:pPr>
      <w:bookmarkStart w:id="101" w:name="_Toc515281080"/>
      <w:bookmarkStart w:id="102" w:name="_Toc102292573"/>
      <w:bookmarkStart w:id="103" w:name="_Toc74992775"/>
      <w:r>
        <w:rPr>
          <w:sz w:val="28"/>
          <w:szCs w:val="28"/>
        </w:rPr>
        <w:t>9 智慧控制</w:t>
      </w:r>
      <w:bookmarkEnd w:id="101"/>
    </w:p>
    <w:p>
      <w:pPr>
        <w:pStyle w:val="3"/>
        <w:numPr>
          <w:ilvl w:val="0"/>
          <w:numId w:val="62"/>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color w:val="000000" w:themeColor="text1"/>
          <w:sz w:val="28"/>
          <w:szCs w:val="28"/>
        </w:rPr>
        <w:t xml:space="preserve"> </w:t>
      </w:r>
      <w:bookmarkStart w:id="104" w:name="_Toc515281081"/>
      <w:r>
        <w:rPr>
          <w:rFonts w:ascii="Times New Roman" w:hAnsi="Times New Roman" w:eastAsiaTheme="minorEastAsia"/>
          <w:b w:val="0"/>
          <w:color w:val="000000" w:themeColor="text1"/>
          <w:sz w:val="28"/>
          <w:szCs w:val="28"/>
        </w:rPr>
        <w:t>一般规定</w:t>
      </w:r>
      <w:bookmarkEnd w:id="102"/>
      <w:bookmarkEnd w:id="103"/>
      <w:bookmarkEnd w:id="104"/>
    </w:p>
    <w:p>
      <w:pPr>
        <w:pStyle w:val="30"/>
        <w:numPr>
          <w:ilvl w:val="0"/>
          <w:numId w:val="6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排水工程应进行智慧控制设计，设检测仪表、自动化系统、智能化系统和信息化系统。</w:t>
      </w:r>
    </w:p>
    <w:p>
      <w:pPr>
        <w:wordWrap w:val="0"/>
        <w:rPr>
          <w:rFonts w:eastAsiaTheme="minorEastAsia"/>
          <w:color w:val="000000" w:themeColor="text1"/>
          <w:sz w:val="28"/>
          <w:szCs w:val="28"/>
        </w:rPr>
      </w:pPr>
      <w:r>
        <w:rPr>
          <w:rFonts w:eastAsiaTheme="minorEastAsia"/>
          <w:bCs/>
          <w:color w:val="000000" w:themeColor="text1"/>
          <w:sz w:val="28"/>
          <w:szCs w:val="28"/>
        </w:rPr>
        <w:t>【条文说明】</w:t>
      </w:r>
      <w:r>
        <w:rPr>
          <w:rFonts w:eastAsiaTheme="minorEastAsia"/>
          <w:color w:val="000000" w:themeColor="text1"/>
          <w:sz w:val="28"/>
          <w:szCs w:val="28"/>
        </w:rPr>
        <w:t>随着社会进步及科技发展，排水工程不仅仅要满足生产控制，还需要进行管理决策，因此排水工程进行智慧控制设计是十分必要的。</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检测仪表是排水工程的“眼睛”、自动化系统是排水工程控制手段，检测仪表及自动化系统是生产控制的基础。</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智能化系统是检测仪表及自动化系统重要的补充，拓展了排水工程观察、控制手段的广度。</w:t>
      </w:r>
    </w:p>
    <w:p>
      <w:pPr>
        <w:wordWrap w:val="0"/>
        <w:rPr>
          <w:rFonts w:eastAsiaTheme="minorEastAsia"/>
          <w:color w:val="000000" w:themeColor="text1"/>
          <w:sz w:val="28"/>
          <w:szCs w:val="28"/>
        </w:rPr>
      </w:pPr>
      <w:r>
        <w:rPr>
          <w:rFonts w:eastAsiaTheme="minorEastAsia"/>
          <w:color w:val="000000" w:themeColor="text1"/>
          <w:sz w:val="28"/>
          <w:szCs w:val="28"/>
        </w:rPr>
        <w:t xml:space="preserve">  信息化系统是对检测仪表及自动化系统、智能化系统的生产信息进行挖掘，同时纳入了经营管理决策的内容，增加了排水工程生产管理的深度。</w:t>
      </w:r>
    </w:p>
    <w:p>
      <w:pPr>
        <w:pStyle w:val="30"/>
        <w:numPr>
          <w:ilvl w:val="0"/>
          <w:numId w:val="6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排水工程智慧控制设计应根据工程规模、工艺流程、运行管理、安全保障和环保监督要求确定。</w:t>
      </w:r>
    </w:p>
    <w:p>
      <w:pPr>
        <w:wordWrap w:val="0"/>
        <w:rPr>
          <w:rFonts w:eastAsiaTheme="minorEastAsia"/>
          <w:color w:val="000000" w:themeColor="text1"/>
          <w:sz w:val="28"/>
          <w:szCs w:val="28"/>
        </w:rPr>
      </w:pPr>
      <w:r>
        <w:rPr>
          <w:rFonts w:eastAsiaTheme="minorEastAsia"/>
          <w:bCs/>
          <w:color w:val="000000" w:themeColor="text1"/>
          <w:sz w:val="28"/>
          <w:szCs w:val="28"/>
        </w:rPr>
        <w:t>【条文说明】</w:t>
      </w:r>
      <w:r>
        <w:rPr>
          <w:rFonts w:eastAsiaTheme="minorEastAsia"/>
          <w:color w:val="000000" w:themeColor="text1"/>
          <w:sz w:val="28"/>
          <w:szCs w:val="28"/>
        </w:rPr>
        <w:t>排水工程智慧控制内容应根据原水水质、采用的工艺、处理后的水质，并结合当地生产运行管理、人员安全保障措施、环保部门对污水厂水、气监管的要求和投资情况确定。智慧控制设计的的配置标准可视建设规模、污水处理级别、经济条件等因素合理确定。</w:t>
      </w:r>
    </w:p>
    <w:p>
      <w:pPr>
        <w:pStyle w:val="30"/>
        <w:numPr>
          <w:ilvl w:val="0"/>
          <w:numId w:val="6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智慧控制设计应保证排水系统的安全可靠、便于运行、改善劳动条件，提高科学管理和信息化水平。</w:t>
      </w:r>
    </w:p>
    <w:p>
      <w:pPr>
        <w:wordWrap w:val="0"/>
        <w:rPr>
          <w:rFonts w:eastAsiaTheme="minorEastAsia"/>
          <w:color w:val="000000" w:themeColor="text1"/>
          <w:sz w:val="28"/>
          <w:szCs w:val="28"/>
        </w:rPr>
      </w:pPr>
      <w:r>
        <w:rPr>
          <w:rFonts w:eastAsiaTheme="minorEastAsia"/>
          <w:bCs/>
          <w:color w:val="000000" w:themeColor="text1"/>
          <w:sz w:val="28"/>
          <w:szCs w:val="28"/>
        </w:rPr>
        <w:t>【条文说明】</w:t>
      </w:r>
      <w:r>
        <w:rPr>
          <w:rFonts w:eastAsiaTheme="minorEastAsia"/>
          <w:color w:val="000000" w:themeColor="text1"/>
          <w:sz w:val="28"/>
          <w:szCs w:val="28"/>
        </w:rPr>
        <w:t>智慧控制的使用应有利于排水工程技术和生产管理水平的提高；智慧控制设计应以保证出厂水质、节能、经济、实用、保障安全运行、科学管理为原则；智慧控制应通过互联网、物联网、无线局域网等信息网络，聚合排水工程各类信息，为政府、企业、公众提供信息化服务；智慧控制方案的确定，应通过调查研究，经过技术经济比较后确定。</w:t>
      </w:r>
    </w:p>
    <w:p>
      <w:pPr>
        <w:pStyle w:val="30"/>
        <w:numPr>
          <w:ilvl w:val="0"/>
          <w:numId w:val="63"/>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智慧控制设计宜兼顾现有、新建和规划要求。</w:t>
      </w:r>
      <w:bookmarkStart w:id="105" w:name="_Toc74992776"/>
      <w:bookmarkStart w:id="106" w:name="_Toc102292574"/>
    </w:p>
    <w:p>
      <w:pPr>
        <w:wordWrap w:val="0"/>
        <w:rPr>
          <w:rFonts w:eastAsiaTheme="minorEastAsia"/>
          <w:color w:val="000000" w:themeColor="text1"/>
          <w:sz w:val="28"/>
          <w:szCs w:val="28"/>
        </w:rPr>
      </w:pPr>
      <w:r>
        <w:rPr>
          <w:rFonts w:eastAsiaTheme="minorEastAsia"/>
          <w:bCs/>
          <w:color w:val="000000" w:themeColor="text1"/>
          <w:sz w:val="28"/>
          <w:szCs w:val="28"/>
        </w:rPr>
        <w:t>【条文说明】</w:t>
      </w:r>
      <w:r>
        <w:rPr>
          <w:rFonts w:eastAsiaTheme="minorEastAsia"/>
          <w:color w:val="000000" w:themeColor="text1"/>
          <w:sz w:val="28"/>
          <w:szCs w:val="28"/>
        </w:rPr>
        <w:t>根据工程所包含的内容及要求选择智慧控制设计内容，设计内容要兼顾现有和今后发展。</w:t>
      </w:r>
    </w:p>
    <w:p>
      <w:pPr>
        <w:pStyle w:val="3"/>
        <w:numPr>
          <w:ilvl w:val="0"/>
          <w:numId w:val="62"/>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color w:val="000000" w:themeColor="text1"/>
          <w:sz w:val="28"/>
          <w:szCs w:val="28"/>
        </w:rPr>
        <w:t xml:space="preserve"> </w:t>
      </w:r>
      <w:bookmarkStart w:id="107" w:name="_Toc515281082"/>
      <w:r>
        <w:rPr>
          <w:rFonts w:ascii="Times New Roman" w:hAnsi="Times New Roman" w:eastAsiaTheme="minorEastAsia"/>
          <w:b w:val="0"/>
          <w:color w:val="000000" w:themeColor="text1"/>
          <w:sz w:val="28"/>
          <w:szCs w:val="28"/>
        </w:rPr>
        <w:t>检 测</w:t>
      </w:r>
      <w:bookmarkEnd w:id="105"/>
      <w:bookmarkEnd w:id="106"/>
      <w:bookmarkEnd w:id="107"/>
    </w:p>
    <w:p>
      <w:pPr>
        <w:pStyle w:val="30"/>
        <w:numPr>
          <w:ilvl w:val="0"/>
          <w:numId w:val="6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污水厂进、出水应按国家现行排放标准和环境保护部门的要求，设相关项目的检测仪表。</w:t>
      </w:r>
    </w:p>
    <w:p>
      <w:pPr>
        <w:wordWrap w:val="0"/>
        <w:rPr>
          <w:rFonts w:eastAsiaTheme="minorEastAsia"/>
          <w:color w:val="000000" w:themeColor="text1"/>
          <w:sz w:val="28"/>
          <w:szCs w:val="28"/>
        </w:rPr>
      </w:pPr>
      <w:r>
        <w:rPr>
          <w:rFonts w:eastAsiaTheme="minorEastAsia"/>
          <w:bCs/>
          <w:color w:val="000000" w:themeColor="text1"/>
          <w:sz w:val="28"/>
          <w:szCs w:val="28"/>
        </w:rPr>
        <w:t>【条文说明】</w:t>
      </w:r>
      <w:r>
        <w:rPr>
          <w:rFonts w:eastAsiaTheme="minorEastAsia"/>
          <w:color w:val="000000" w:themeColor="text1"/>
          <w:sz w:val="28"/>
          <w:szCs w:val="28"/>
        </w:rPr>
        <w:t>污水厂进水应检测流量、温度、pH值、COD和 氨氮(NH</w:t>
      </w:r>
      <w:r>
        <w:rPr>
          <w:rFonts w:eastAsiaTheme="minorEastAsia"/>
          <w:color w:val="000000" w:themeColor="text1"/>
          <w:sz w:val="28"/>
          <w:szCs w:val="28"/>
          <w:vertAlign w:val="subscript"/>
        </w:rPr>
        <w:t>4</w:t>
      </w:r>
      <w:r>
        <w:rPr>
          <w:rFonts w:eastAsiaTheme="minorEastAsia"/>
          <w:color w:val="000000" w:themeColor="text1"/>
          <w:sz w:val="28"/>
          <w:szCs w:val="28"/>
        </w:rPr>
        <w:t>-N)及其他相关水质参数。</w:t>
      </w:r>
    </w:p>
    <w:p>
      <w:pPr>
        <w:widowControl/>
        <w:wordWrap w:val="0"/>
        <w:rPr>
          <w:rFonts w:eastAsiaTheme="minorEastAsia"/>
          <w:color w:val="000000" w:themeColor="text1"/>
          <w:sz w:val="28"/>
          <w:szCs w:val="28"/>
        </w:rPr>
      </w:pPr>
      <w:r>
        <w:rPr>
          <w:rFonts w:eastAsiaTheme="minorEastAsia"/>
          <w:color w:val="000000" w:themeColor="text1"/>
          <w:sz w:val="28"/>
          <w:szCs w:val="28"/>
        </w:rPr>
        <w:t xml:space="preserve">    污水厂出水应检测流量、pH值、COD、氨氮(NH</w:t>
      </w:r>
      <w:r>
        <w:rPr>
          <w:rFonts w:eastAsiaTheme="minorEastAsia"/>
          <w:color w:val="000000" w:themeColor="text1"/>
          <w:sz w:val="28"/>
          <w:szCs w:val="28"/>
          <w:vertAlign w:val="subscript"/>
        </w:rPr>
        <w:t>4</w:t>
      </w:r>
      <w:r>
        <w:rPr>
          <w:rFonts w:eastAsiaTheme="minorEastAsia"/>
          <w:color w:val="000000" w:themeColor="text1"/>
          <w:sz w:val="28"/>
          <w:szCs w:val="28"/>
        </w:rPr>
        <w:t>-N)、总磷、总氮及其他相关水质参数。</w:t>
      </w:r>
    </w:p>
    <w:p>
      <w:pPr>
        <w:widowControl/>
        <w:wordWrap w:val="0"/>
        <w:ind w:firstLine="565" w:firstLineChars="202"/>
        <w:rPr>
          <w:rFonts w:eastAsiaTheme="minorEastAsia"/>
          <w:color w:val="000000" w:themeColor="text1"/>
          <w:sz w:val="28"/>
          <w:szCs w:val="28"/>
        </w:rPr>
      </w:pPr>
      <w:r>
        <w:rPr>
          <w:rFonts w:eastAsiaTheme="minorEastAsia"/>
          <w:color w:val="000000" w:themeColor="text1"/>
          <w:sz w:val="28"/>
          <w:szCs w:val="28"/>
        </w:rPr>
        <w:t>应根据当地环保部门的要求对污水厂进出水检测仪表配置进行适当调整。</w:t>
      </w:r>
    </w:p>
    <w:p>
      <w:pPr>
        <w:pStyle w:val="30"/>
        <w:numPr>
          <w:ilvl w:val="0"/>
          <w:numId w:val="6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下列各处应设相关监测仪表和报警装置：</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排水泵站：硫化氢（H</w:t>
      </w:r>
      <w:r>
        <w:rPr>
          <w:rFonts w:eastAsiaTheme="minorEastAsia"/>
          <w:color w:val="000000" w:themeColor="text1"/>
          <w:sz w:val="28"/>
          <w:szCs w:val="28"/>
          <w:vertAlign w:val="subscript"/>
        </w:rPr>
        <w:t>2</w:t>
      </w:r>
      <w:r>
        <w:rPr>
          <w:rFonts w:eastAsiaTheme="minorEastAsia"/>
          <w:color w:val="000000" w:themeColor="text1"/>
          <w:sz w:val="28"/>
          <w:szCs w:val="28"/>
        </w:rPr>
        <w:t>S）浓度；</w:t>
      </w:r>
    </w:p>
    <w:p>
      <w:pPr>
        <w:widowControl/>
        <w:wordWrap w:val="0"/>
        <w:ind w:firstLine="562" w:firstLineChars="20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 xml:space="preserve"> 消化池：污泥气（含CH</w:t>
      </w:r>
      <w:r>
        <w:rPr>
          <w:rFonts w:eastAsiaTheme="minorEastAsia"/>
          <w:color w:val="000000" w:themeColor="text1"/>
          <w:sz w:val="28"/>
          <w:szCs w:val="28"/>
          <w:vertAlign w:val="subscript"/>
        </w:rPr>
        <w:t>4</w:t>
      </w:r>
      <w:r>
        <w:rPr>
          <w:rFonts w:eastAsiaTheme="minorEastAsia"/>
          <w:color w:val="000000" w:themeColor="text1"/>
          <w:sz w:val="28"/>
          <w:szCs w:val="28"/>
        </w:rPr>
        <w:t>）浓度；</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 xml:space="preserve">3 </w:t>
      </w:r>
      <w:r>
        <w:rPr>
          <w:rFonts w:eastAsiaTheme="minorEastAsia"/>
          <w:color w:val="000000" w:themeColor="text1"/>
          <w:sz w:val="28"/>
          <w:szCs w:val="28"/>
        </w:rPr>
        <w:t>加氯间：氯气（Cl</w:t>
      </w:r>
      <w:r>
        <w:rPr>
          <w:rFonts w:eastAsiaTheme="minorEastAsia"/>
          <w:color w:val="000000" w:themeColor="text1"/>
          <w:sz w:val="28"/>
          <w:szCs w:val="28"/>
          <w:vertAlign w:val="subscript"/>
        </w:rPr>
        <w:t>2</w:t>
      </w:r>
      <w:r>
        <w:rPr>
          <w:rFonts w:eastAsiaTheme="minorEastAsia"/>
          <w:color w:val="000000" w:themeColor="text1"/>
          <w:sz w:val="28"/>
          <w:szCs w:val="28"/>
        </w:rPr>
        <w:t>）浓度；</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 xml:space="preserve">4 </w:t>
      </w:r>
      <w:r>
        <w:rPr>
          <w:rFonts w:eastAsiaTheme="minorEastAsia"/>
          <w:color w:val="000000" w:themeColor="text1"/>
          <w:sz w:val="28"/>
          <w:szCs w:val="28"/>
        </w:rPr>
        <w:t>地下式排水工程：硫化氢 （H</w:t>
      </w:r>
      <w:r>
        <w:rPr>
          <w:rFonts w:eastAsiaTheme="minorEastAsia"/>
          <w:color w:val="000000" w:themeColor="text1"/>
          <w:sz w:val="28"/>
          <w:szCs w:val="28"/>
          <w:vertAlign w:val="subscript"/>
        </w:rPr>
        <w:t>2</w:t>
      </w:r>
      <w:r>
        <w:rPr>
          <w:rFonts w:eastAsiaTheme="minorEastAsia"/>
          <w:color w:val="000000" w:themeColor="text1"/>
          <w:sz w:val="28"/>
          <w:szCs w:val="28"/>
        </w:rPr>
        <w:t>S）、污泥气（含CH</w:t>
      </w:r>
      <w:r>
        <w:rPr>
          <w:rFonts w:eastAsiaTheme="minorEastAsia"/>
          <w:color w:val="000000" w:themeColor="text1"/>
          <w:sz w:val="28"/>
          <w:szCs w:val="28"/>
          <w:vertAlign w:val="subscript"/>
        </w:rPr>
        <w:t>4</w:t>
      </w:r>
      <w:r>
        <w:rPr>
          <w:rFonts w:eastAsiaTheme="minorEastAsia"/>
          <w:color w:val="000000" w:themeColor="text1"/>
          <w:sz w:val="28"/>
          <w:szCs w:val="28"/>
        </w:rPr>
        <w:t>）浓度；</w:t>
      </w:r>
    </w:p>
    <w:p>
      <w:pPr>
        <w:widowControl/>
        <w:wordWrap w:val="0"/>
        <w:ind w:firstLine="562" w:firstLineChars="200"/>
        <w:rPr>
          <w:rFonts w:eastAsiaTheme="minorEastAsia"/>
          <w:color w:val="000000" w:themeColor="text1"/>
          <w:sz w:val="28"/>
          <w:szCs w:val="28"/>
        </w:rPr>
      </w:pPr>
      <w:r>
        <w:rPr>
          <w:rFonts w:eastAsiaTheme="minorEastAsia"/>
          <w:b/>
          <w:color w:val="000000" w:themeColor="text1"/>
          <w:sz w:val="28"/>
          <w:szCs w:val="28"/>
        </w:rPr>
        <w:t xml:space="preserve">5 </w:t>
      </w:r>
      <w:r>
        <w:rPr>
          <w:rFonts w:eastAsiaTheme="minorEastAsia"/>
          <w:color w:val="000000" w:themeColor="text1"/>
          <w:sz w:val="28"/>
          <w:szCs w:val="28"/>
        </w:rPr>
        <w:t>其他易产生有毒有害气体的密闭房间或空间：硫化氢（H</w:t>
      </w:r>
      <w:r>
        <w:rPr>
          <w:rFonts w:eastAsiaTheme="minorEastAsia"/>
          <w:color w:val="000000" w:themeColor="text1"/>
          <w:sz w:val="28"/>
          <w:szCs w:val="28"/>
          <w:vertAlign w:val="subscript"/>
        </w:rPr>
        <w:t>2</w:t>
      </w:r>
      <w:r>
        <w:rPr>
          <w:rFonts w:eastAsiaTheme="minorEastAsia"/>
          <w:color w:val="000000" w:themeColor="text1"/>
          <w:sz w:val="28"/>
          <w:szCs w:val="28"/>
        </w:rPr>
        <w:t>S）浓度。</w:t>
      </w:r>
    </w:p>
    <w:p>
      <w:pPr>
        <w:wordWrap w:val="0"/>
        <w:rPr>
          <w:rFonts w:eastAsiaTheme="minorEastAsia"/>
          <w:color w:val="000000" w:themeColor="text1"/>
          <w:sz w:val="28"/>
          <w:szCs w:val="28"/>
        </w:rPr>
      </w:pPr>
      <w:r>
        <w:rPr>
          <w:rFonts w:eastAsiaTheme="minorEastAsia"/>
          <w:bCs/>
          <w:color w:val="000000" w:themeColor="text1"/>
          <w:sz w:val="28"/>
          <w:szCs w:val="28"/>
        </w:rPr>
        <w:t>【条文说明】</w:t>
      </w:r>
      <w:r>
        <w:rPr>
          <w:rFonts w:eastAsiaTheme="minorEastAsia"/>
          <w:color w:val="000000" w:themeColor="text1"/>
          <w:sz w:val="28"/>
          <w:szCs w:val="28"/>
        </w:rPr>
        <w:t>排水泵站内必须配置H</w:t>
      </w:r>
      <w:r>
        <w:rPr>
          <w:rFonts w:eastAsiaTheme="minorEastAsia"/>
          <w:color w:val="000000" w:themeColor="text1"/>
          <w:sz w:val="28"/>
          <w:szCs w:val="28"/>
          <w:vertAlign w:val="subscript"/>
        </w:rPr>
        <w:t>2</w:t>
      </w:r>
      <w:r>
        <w:rPr>
          <w:rFonts w:eastAsiaTheme="minorEastAsia"/>
          <w:color w:val="000000" w:themeColor="text1"/>
          <w:sz w:val="28"/>
          <w:szCs w:val="28"/>
        </w:rPr>
        <w:t>S监测仪，供监测可能产生的有害气体，并采取防患措施。在人员进出且硫化氢易聚集的密闭场所应设在线式H</w:t>
      </w:r>
      <w:r>
        <w:rPr>
          <w:rFonts w:eastAsiaTheme="minorEastAsia"/>
          <w:color w:val="000000" w:themeColor="text1"/>
          <w:sz w:val="28"/>
          <w:szCs w:val="28"/>
          <w:vertAlign w:val="subscript"/>
        </w:rPr>
        <w:t>2</w:t>
      </w:r>
      <w:r>
        <w:rPr>
          <w:rFonts w:eastAsiaTheme="minorEastAsia"/>
          <w:color w:val="000000" w:themeColor="text1"/>
          <w:sz w:val="28"/>
          <w:szCs w:val="28"/>
        </w:rPr>
        <w:t>S气体检测仪；泵站的格栅井下部、水泵间底部等易积聚H</w:t>
      </w:r>
      <w:r>
        <w:rPr>
          <w:rFonts w:eastAsiaTheme="minorEastAsia"/>
          <w:color w:val="000000" w:themeColor="text1"/>
          <w:sz w:val="28"/>
          <w:szCs w:val="28"/>
          <w:vertAlign w:val="subscript"/>
        </w:rPr>
        <w:t>2</w:t>
      </w:r>
      <w:r>
        <w:rPr>
          <w:rFonts w:eastAsiaTheme="minorEastAsia"/>
          <w:color w:val="000000" w:themeColor="text1"/>
          <w:sz w:val="28"/>
          <w:szCs w:val="28"/>
        </w:rPr>
        <w:t>S但安装维护不方便、无人员活动的的地方，可采用便携式H</w:t>
      </w:r>
      <w:r>
        <w:rPr>
          <w:rFonts w:eastAsiaTheme="minorEastAsia"/>
          <w:color w:val="000000" w:themeColor="text1"/>
          <w:sz w:val="28"/>
          <w:szCs w:val="28"/>
          <w:vertAlign w:val="subscript"/>
        </w:rPr>
        <w:t>2</w:t>
      </w:r>
      <w:r>
        <w:rPr>
          <w:rFonts w:eastAsiaTheme="minorEastAsia"/>
          <w:color w:val="000000" w:themeColor="text1"/>
          <w:sz w:val="28"/>
          <w:szCs w:val="28"/>
        </w:rPr>
        <w:t>S监测仪监测，也可安装在线式H</w:t>
      </w:r>
      <w:r>
        <w:rPr>
          <w:rFonts w:eastAsiaTheme="minorEastAsia"/>
          <w:color w:val="000000" w:themeColor="text1"/>
          <w:sz w:val="28"/>
          <w:szCs w:val="28"/>
          <w:vertAlign w:val="subscript"/>
        </w:rPr>
        <w:t>2</w:t>
      </w:r>
      <w:r>
        <w:rPr>
          <w:rFonts w:eastAsiaTheme="minorEastAsia"/>
          <w:color w:val="000000" w:themeColor="text1"/>
          <w:sz w:val="28"/>
          <w:szCs w:val="28"/>
        </w:rPr>
        <w:t>S监测仪及报警装置。</w:t>
      </w:r>
    </w:p>
    <w:p>
      <w:pPr>
        <w:wordWrap w:val="0"/>
        <w:ind w:firstLine="560" w:firstLineChars="200"/>
        <w:rPr>
          <w:rFonts w:eastAsiaTheme="minorEastAsia"/>
          <w:color w:val="000000" w:themeColor="text1"/>
          <w:sz w:val="28"/>
          <w:szCs w:val="28"/>
        </w:rPr>
      </w:pPr>
      <w:r>
        <w:rPr>
          <w:rFonts w:eastAsiaTheme="minorEastAsia"/>
          <w:color w:val="000000" w:themeColor="text1"/>
          <w:sz w:val="28"/>
          <w:szCs w:val="28"/>
        </w:rPr>
        <w:t>消化池控制室必须设污泥气泄漏浓度监测及报警装置，并采取相应防患措施。</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加氯间必须设氯气泄漏浓度监测及报警装置，并采取相应防患措施。</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地下式泵房、地下式污水厂必须设H</w:t>
      </w:r>
      <w:r>
        <w:rPr>
          <w:rFonts w:eastAsiaTheme="minorEastAsia"/>
          <w:color w:val="000000" w:themeColor="text1"/>
          <w:sz w:val="28"/>
          <w:szCs w:val="28"/>
          <w:vertAlign w:val="subscript"/>
        </w:rPr>
        <w:t>2</w:t>
      </w:r>
      <w:r>
        <w:rPr>
          <w:rFonts w:eastAsiaTheme="minorEastAsia"/>
          <w:color w:val="000000" w:themeColor="text1"/>
          <w:sz w:val="28"/>
          <w:szCs w:val="28"/>
        </w:rPr>
        <w:t>S、CH</w:t>
      </w:r>
      <w:r>
        <w:rPr>
          <w:rFonts w:eastAsiaTheme="minorEastAsia"/>
          <w:color w:val="000000" w:themeColor="text1"/>
          <w:sz w:val="28"/>
          <w:szCs w:val="28"/>
          <w:vertAlign w:val="subscript"/>
        </w:rPr>
        <w:t>4</w:t>
      </w:r>
      <w:r>
        <w:rPr>
          <w:rFonts w:eastAsiaTheme="minorEastAsia"/>
          <w:color w:val="000000" w:themeColor="text1"/>
          <w:sz w:val="28"/>
          <w:szCs w:val="28"/>
        </w:rPr>
        <w:t>监测仪，其出入口必须设H</w:t>
      </w:r>
      <w:r>
        <w:rPr>
          <w:rFonts w:eastAsiaTheme="minorEastAsia"/>
          <w:color w:val="000000" w:themeColor="text1"/>
          <w:sz w:val="28"/>
          <w:szCs w:val="28"/>
          <w:vertAlign w:val="subscript"/>
        </w:rPr>
        <w:t>2</w:t>
      </w:r>
      <w:r>
        <w:rPr>
          <w:rFonts w:eastAsiaTheme="minorEastAsia"/>
          <w:color w:val="000000" w:themeColor="text1"/>
          <w:sz w:val="28"/>
          <w:szCs w:val="28"/>
        </w:rPr>
        <w:t>S、CH</w:t>
      </w:r>
      <w:r>
        <w:rPr>
          <w:rFonts w:eastAsiaTheme="minorEastAsia"/>
          <w:color w:val="000000" w:themeColor="text1"/>
          <w:sz w:val="28"/>
          <w:szCs w:val="28"/>
          <w:vertAlign w:val="subscript"/>
        </w:rPr>
        <w:t>4</w:t>
      </w:r>
      <w:r>
        <w:rPr>
          <w:rFonts w:eastAsiaTheme="minorEastAsia"/>
          <w:color w:val="000000" w:themeColor="text1"/>
          <w:sz w:val="28"/>
          <w:szCs w:val="28"/>
        </w:rPr>
        <w:t>报警显示装置，并与通风设施联动。</w:t>
      </w:r>
    </w:p>
    <w:p>
      <w:pPr>
        <w:widowControl/>
        <w:wordWrap w:val="0"/>
        <w:ind w:firstLine="560" w:firstLineChars="200"/>
        <w:rPr>
          <w:rFonts w:eastAsiaTheme="minorEastAsia"/>
          <w:color w:val="000000" w:themeColor="text1"/>
          <w:sz w:val="28"/>
          <w:szCs w:val="28"/>
        </w:rPr>
      </w:pPr>
      <w:r>
        <w:rPr>
          <w:rFonts w:eastAsiaTheme="minorEastAsia"/>
          <w:color w:val="000000" w:themeColor="text1"/>
          <w:sz w:val="28"/>
          <w:szCs w:val="28"/>
        </w:rPr>
        <w:t>其他易产生有毒有害气体的密闭房间或空间包括：粗细格栅间（房间内）、进水泵房、初沉污泥泵房、污泥处理处置车间（浓缩机房、脱水机房、干化机房）等。</w:t>
      </w:r>
    </w:p>
    <w:p>
      <w:pPr>
        <w:pStyle w:val="30"/>
        <w:numPr>
          <w:ilvl w:val="0"/>
          <w:numId w:val="6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排水泵站和污水厂各处理单元应设生产控制、运行管理所需的检测仪表。</w:t>
      </w:r>
    </w:p>
    <w:p>
      <w:pPr>
        <w:wordWrap w:val="0"/>
        <w:rPr>
          <w:rFonts w:eastAsiaTheme="minorEastAsia"/>
          <w:color w:val="000000" w:themeColor="text1"/>
          <w:sz w:val="28"/>
          <w:szCs w:val="28"/>
        </w:rPr>
      </w:pPr>
      <w:r>
        <w:rPr>
          <w:rFonts w:eastAsiaTheme="minorEastAsia"/>
          <w:bCs/>
          <w:color w:val="000000" w:themeColor="text1"/>
          <w:sz w:val="28"/>
          <w:szCs w:val="28"/>
        </w:rPr>
        <w:t>【条文说明】</w:t>
      </w:r>
      <w:r>
        <w:rPr>
          <w:rFonts w:eastAsiaTheme="minorEastAsia"/>
          <w:color w:val="000000" w:themeColor="text1"/>
          <w:sz w:val="28"/>
          <w:szCs w:val="28"/>
        </w:rPr>
        <w:t>排水泵站：排水泵站应检测集水池或水泵吸水池水位、水量及水泵电机工作相关的参数，并纳入该泵站控制系统。为便于管理，大型雨水泵站和合流污水泵站（流量不小于15m</w:t>
      </w:r>
      <w:r>
        <w:rPr>
          <w:rFonts w:eastAsiaTheme="minorEastAsia"/>
          <w:color w:val="000000" w:themeColor="text1"/>
          <w:sz w:val="28"/>
          <w:szCs w:val="28"/>
          <w:vertAlign w:val="superscript"/>
        </w:rPr>
        <w:t>3</w:t>
      </w:r>
      <w:r>
        <w:rPr>
          <w:rFonts w:eastAsiaTheme="minorEastAsia"/>
          <w:color w:val="000000" w:themeColor="text1"/>
          <w:sz w:val="28"/>
          <w:szCs w:val="28"/>
        </w:rPr>
        <w:t>/s），宜设雨量计，其设条件应符合国家相关的规定，并纳入该泵站自控系统。</w:t>
      </w:r>
    </w:p>
    <w:p>
      <w:pPr>
        <w:widowControl/>
        <w:wordWrap w:val="0"/>
        <w:ind w:firstLine="570"/>
        <w:rPr>
          <w:rFonts w:eastAsiaTheme="minorEastAsia"/>
          <w:color w:val="000000" w:themeColor="text1"/>
          <w:sz w:val="28"/>
          <w:szCs w:val="28"/>
        </w:rPr>
      </w:pPr>
      <w:r>
        <w:rPr>
          <w:rFonts w:eastAsiaTheme="minorEastAsia"/>
          <w:color w:val="000000" w:themeColor="text1"/>
          <w:sz w:val="28"/>
          <w:szCs w:val="28"/>
        </w:rPr>
        <w:t>污水厂：污水处理一般包括一级处理、二级处理、深度处理和再生利用等几种常用污水处理工艺的检测项目可按表36设。</w:t>
      </w:r>
    </w:p>
    <w:p>
      <w:pPr>
        <w:wordWrap w:val="0"/>
        <w:spacing w:line="360" w:lineRule="auto"/>
        <w:jc w:val="center"/>
        <w:rPr>
          <w:rFonts w:eastAsiaTheme="minorEastAsia"/>
          <w:b/>
          <w:color w:val="000000" w:themeColor="text1"/>
          <w:sz w:val="28"/>
          <w:szCs w:val="28"/>
        </w:rPr>
      </w:pPr>
      <w:r>
        <w:rPr>
          <w:rFonts w:eastAsiaTheme="minorEastAsia"/>
          <w:b/>
          <w:color w:val="000000" w:themeColor="text1"/>
          <w:sz w:val="28"/>
          <w:szCs w:val="28"/>
        </w:rPr>
        <w:t>表36 常用污水处理工艺检测项目</w:t>
      </w:r>
    </w:p>
    <w:tbl>
      <w:tblPr>
        <w:tblStyle w:val="25"/>
        <w:tblW w:w="84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276"/>
        <w:gridCol w:w="1418"/>
        <w:gridCol w:w="2821"/>
        <w:gridCol w:w="1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8" w:hRule="atLeast"/>
        </w:trPr>
        <w:tc>
          <w:tcPr>
            <w:tcW w:w="124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处理级别</w:t>
            </w:r>
          </w:p>
        </w:tc>
        <w:tc>
          <w:tcPr>
            <w:tcW w:w="2694"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处理方法</w:t>
            </w:r>
          </w:p>
        </w:tc>
        <w:tc>
          <w:tcPr>
            <w:tcW w:w="2821"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检测项目</w:t>
            </w:r>
          </w:p>
        </w:tc>
        <w:tc>
          <w:tcPr>
            <w:tcW w:w="1690"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8" w:hRule="atLeast"/>
        </w:trPr>
        <w:tc>
          <w:tcPr>
            <w:tcW w:w="124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一级处理</w:t>
            </w:r>
          </w:p>
        </w:tc>
        <w:tc>
          <w:tcPr>
            <w:tcW w:w="2694" w:type="dxa"/>
            <w:gridSpan w:val="2"/>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沉淀法</w:t>
            </w:r>
          </w:p>
        </w:tc>
        <w:tc>
          <w:tcPr>
            <w:tcW w:w="2821"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粗、细格栅前后水位（差）；</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初次沉淀池污泥界面或污泥浓度及排泥量；</w:t>
            </w:r>
          </w:p>
        </w:tc>
        <w:tc>
          <w:tcPr>
            <w:tcW w:w="1690"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为改善格栅间的操作条件，一般均采用格栅前后水位差来自动控制格栅的运行。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8" w:hRule="atLeast"/>
        </w:trPr>
        <w:tc>
          <w:tcPr>
            <w:tcW w:w="1242"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二级处理</w:t>
            </w:r>
          </w:p>
        </w:tc>
        <w:tc>
          <w:tcPr>
            <w:tcW w:w="1276"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活性污泥法</w:t>
            </w: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传统活性污泥法</w:t>
            </w:r>
          </w:p>
        </w:tc>
        <w:tc>
          <w:tcPr>
            <w:tcW w:w="2821"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生物反应池：活性污泥浓度(MLSS)、溶解氧(DO)、氨氮(NH</w:t>
            </w:r>
            <w:r>
              <w:rPr>
                <w:rFonts w:eastAsiaTheme="minorEastAsia"/>
                <w:color w:val="000000" w:themeColor="text1"/>
                <w:sz w:val="28"/>
                <w:szCs w:val="28"/>
                <w:vertAlign w:val="subscript"/>
              </w:rPr>
              <w:t>4</w:t>
            </w:r>
            <w:r>
              <w:rPr>
                <w:rFonts w:eastAsiaTheme="minorEastAsia"/>
                <w:color w:val="000000" w:themeColor="text1"/>
                <w:sz w:val="28"/>
                <w:szCs w:val="28"/>
              </w:rPr>
              <w:t>-N)、硝氮(NO</w:t>
            </w:r>
            <w:r>
              <w:rPr>
                <w:rFonts w:eastAsiaTheme="minorEastAsia"/>
                <w:color w:val="000000" w:themeColor="text1"/>
                <w:sz w:val="28"/>
                <w:szCs w:val="28"/>
                <w:vertAlign w:val="subscript"/>
              </w:rPr>
              <w:t>3</w:t>
            </w:r>
            <w:r>
              <w:rPr>
                <w:rFonts w:eastAsiaTheme="minorEastAsia"/>
                <w:color w:val="000000" w:themeColor="text1"/>
                <w:sz w:val="28"/>
                <w:szCs w:val="28"/>
              </w:rPr>
              <w:t>)、供气量、污泥回流量、剩余污泥量；</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二次沉淀池：泥水界面；</w:t>
            </w:r>
          </w:p>
        </w:tc>
        <w:tc>
          <w:tcPr>
            <w:tcW w:w="1690" w:type="dxa"/>
            <w:vMerge w:val="restart"/>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只对各个工艺提出检测内容，而不作具体数量及位置的要求，便于设计的灵活应用。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1" w:hRule="atLeast"/>
        </w:trPr>
        <w:tc>
          <w:tcPr>
            <w:tcW w:w="1242" w:type="dxa"/>
            <w:vMerge w:val="continue"/>
            <w:vAlign w:val="center"/>
          </w:tcPr>
          <w:p>
            <w:pPr>
              <w:wordWrap w:val="0"/>
              <w:spacing w:line="360" w:lineRule="auto"/>
              <w:jc w:val="center"/>
              <w:rPr>
                <w:rFonts w:eastAsiaTheme="minorEastAsia"/>
                <w:color w:val="000000" w:themeColor="text1"/>
                <w:sz w:val="28"/>
                <w:szCs w:val="28"/>
              </w:rPr>
            </w:pPr>
          </w:p>
        </w:tc>
        <w:tc>
          <w:tcPr>
            <w:tcW w:w="1276" w:type="dxa"/>
            <w:vMerge w:val="continue"/>
            <w:vAlign w:val="center"/>
          </w:tcPr>
          <w:p>
            <w:pPr>
              <w:wordWrap w:val="0"/>
              <w:spacing w:line="360" w:lineRule="auto"/>
              <w:jc w:val="center"/>
              <w:rPr>
                <w:rFonts w:eastAsiaTheme="minorEastAsia"/>
                <w:color w:val="000000" w:themeColor="text1"/>
                <w:sz w:val="28"/>
                <w:szCs w:val="28"/>
              </w:rPr>
            </w:pP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厌氧／缺氧／好氧法（生物脱氮、除磷）</w:t>
            </w:r>
          </w:p>
        </w:tc>
        <w:tc>
          <w:tcPr>
            <w:tcW w:w="2821"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生物反应池：活性污泥浓度(MLSS)、溶解氧(DO)、氨氮(NH</w:t>
            </w:r>
            <w:r>
              <w:rPr>
                <w:rFonts w:eastAsiaTheme="minorEastAsia"/>
                <w:color w:val="000000" w:themeColor="text1"/>
                <w:sz w:val="28"/>
                <w:szCs w:val="28"/>
                <w:vertAlign w:val="subscript"/>
              </w:rPr>
              <w:t>4</w:t>
            </w:r>
            <w:r>
              <w:rPr>
                <w:rFonts w:eastAsiaTheme="minorEastAsia"/>
                <w:color w:val="000000" w:themeColor="text1"/>
                <w:sz w:val="28"/>
                <w:szCs w:val="28"/>
              </w:rPr>
              <w:t>-N)、硝氮(NO</w:t>
            </w:r>
            <w:r>
              <w:rPr>
                <w:rFonts w:eastAsiaTheme="minorEastAsia"/>
                <w:color w:val="000000" w:themeColor="text1"/>
                <w:sz w:val="28"/>
                <w:szCs w:val="28"/>
                <w:vertAlign w:val="subscript"/>
              </w:rPr>
              <w:t>3</w:t>
            </w:r>
            <w:r>
              <w:rPr>
                <w:rFonts w:eastAsiaTheme="minorEastAsia"/>
                <w:color w:val="000000" w:themeColor="text1"/>
                <w:sz w:val="28"/>
                <w:szCs w:val="28"/>
              </w:rPr>
              <w:t>)、供气量、氧化还原电位(ORP)、混合液回流量、污泥回流量、剩余污泥量；</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二次沉淀池：泥水界面；</w:t>
            </w:r>
          </w:p>
        </w:tc>
        <w:tc>
          <w:tcPr>
            <w:tcW w:w="1690" w:type="dxa"/>
            <w:vMerge w:val="continue"/>
            <w:vAlign w:val="center"/>
          </w:tcPr>
          <w:p>
            <w:pPr>
              <w:wordWrap w:val="0"/>
              <w:spacing w:line="360" w:lineRule="auto"/>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1" w:hRule="atLeast"/>
        </w:trPr>
        <w:tc>
          <w:tcPr>
            <w:tcW w:w="1242" w:type="dxa"/>
            <w:vMerge w:val="continue"/>
            <w:vAlign w:val="center"/>
          </w:tcPr>
          <w:p>
            <w:pPr>
              <w:wordWrap w:val="0"/>
              <w:spacing w:line="360" w:lineRule="auto"/>
              <w:jc w:val="center"/>
              <w:rPr>
                <w:rFonts w:eastAsiaTheme="minorEastAsia"/>
                <w:color w:val="000000" w:themeColor="text1"/>
                <w:sz w:val="28"/>
                <w:szCs w:val="28"/>
              </w:rPr>
            </w:pPr>
          </w:p>
        </w:tc>
        <w:tc>
          <w:tcPr>
            <w:tcW w:w="1276" w:type="dxa"/>
            <w:vMerge w:val="continue"/>
            <w:vAlign w:val="center"/>
          </w:tcPr>
          <w:p>
            <w:pPr>
              <w:wordWrap w:val="0"/>
              <w:spacing w:line="360" w:lineRule="auto"/>
              <w:jc w:val="center"/>
              <w:rPr>
                <w:rFonts w:eastAsiaTheme="minorEastAsia"/>
                <w:color w:val="000000" w:themeColor="text1"/>
                <w:sz w:val="28"/>
                <w:szCs w:val="28"/>
              </w:rPr>
            </w:pP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氧化沟法</w:t>
            </w:r>
          </w:p>
        </w:tc>
        <w:tc>
          <w:tcPr>
            <w:tcW w:w="2821"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氧化沟：活性污泥浓度(MLSS)、溶解氧(DO)、氧化还原电位(ORP)、污泥回流量、剩余污泥量；</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二次沉淀池：泥水界面；</w:t>
            </w:r>
          </w:p>
        </w:tc>
        <w:tc>
          <w:tcPr>
            <w:tcW w:w="1690" w:type="dxa"/>
            <w:vMerge w:val="continue"/>
            <w:vAlign w:val="center"/>
          </w:tcPr>
          <w:p>
            <w:pPr>
              <w:wordWrap w:val="0"/>
              <w:spacing w:line="360" w:lineRule="auto"/>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858" w:hRule="atLeast"/>
        </w:trPr>
        <w:tc>
          <w:tcPr>
            <w:tcW w:w="1242" w:type="dxa"/>
            <w:vMerge w:val="continue"/>
            <w:vAlign w:val="center"/>
          </w:tcPr>
          <w:p>
            <w:pPr>
              <w:wordWrap w:val="0"/>
              <w:spacing w:line="360" w:lineRule="auto"/>
              <w:jc w:val="center"/>
              <w:rPr>
                <w:rFonts w:eastAsiaTheme="minorEastAsia"/>
                <w:color w:val="000000" w:themeColor="text1"/>
                <w:sz w:val="28"/>
                <w:szCs w:val="28"/>
              </w:rPr>
            </w:pPr>
          </w:p>
        </w:tc>
        <w:tc>
          <w:tcPr>
            <w:tcW w:w="1276" w:type="dxa"/>
            <w:vMerge w:val="continue"/>
            <w:vAlign w:val="center"/>
          </w:tcPr>
          <w:p>
            <w:pPr>
              <w:wordWrap w:val="0"/>
              <w:spacing w:line="360" w:lineRule="auto"/>
              <w:jc w:val="center"/>
              <w:rPr>
                <w:rFonts w:eastAsiaTheme="minorEastAsia"/>
                <w:color w:val="000000" w:themeColor="text1"/>
                <w:sz w:val="28"/>
                <w:szCs w:val="28"/>
              </w:rPr>
            </w:pP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序批式活性污泥法(SBR)</w:t>
            </w:r>
          </w:p>
        </w:tc>
        <w:tc>
          <w:tcPr>
            <w:tcW w:w="2821"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液位、活性污泥浓度(MLSS)、溶解氧(DO)、氧化还原电位(ORP)、污泥排放量；</w:t>
            </w:r>
          </w:p>
        </w:tc>
        <w:tc>
          <w:tcPr>
            <w:tcW w:w="1690" w:type="dxa"/>
            <w:vMerge w:val="continue"/>
            <w:vAlign w:val="center"/>
          </w:tcPr>
          <w:p>
            <w:pPr>
              <w:wordWrap w:val="0"/>
              <w:spacing w:line="360" w:lineRule="auto"/>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8" w:hRule="atLeast"/>
        </w:trPr>
        <w:tc>
          <w:tcPr>
            <w:tcW w:w="1242" w:type="dxa"/>
            <w:vMerge w:val="continue"/>
            <w:vAlign w:val="center"/>
          </w:tcPr>
          <w:p>
            <w:pPr>
              <w:wordWrap w:val="0"/>
              <w:spacing w:line="360" w:lineRule="auto"/>
              <w:jc w:val="center"/>
              <w:rPr>
                <w:rFonts w:eastAsiaTheme="minorEastAsia"/>
                <w:color w:val="000000" w:themeColor="text1"/>
                <w:sz w:val="28"/>
                <w:szCs w:val="28"/>
              </w:rPr>
            </w:pPr>
          </w:p>
        </w:tc>
        <w:tc>
          <w:tcPr>
            <w:tcW w:w="1276"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生物膜法</w:t>
            </w: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曝气生物滤池</w:t>
            </w:r>
          </w:p>
        </w:tc>
        <w:tc>
          <w:tcPr>
            <w:tcW w:w="2821"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单格溶解氧、过滤水头损失；</w:t>
            </w:r>
          </w:p>
        </w:tc>
        <w:tc>
          <w:tcPr>
            <w:tcW w:w="1690" w:type="dxa"/>
            <w:vMerge w:val="continue"/>
            <w:vAlign w:val="center"/>
          </w:tcPr>
          <w:p>
            <w:pPr>
              <w:wordWrap w:val="0"/>
              <w:spacing w:line="360" w:lineRule="auto"/>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1" w:hRule="atLeast"/>
        </w:trPr>
        <w:tc>
          <w:tcPr>
            <w:tcW w:w="1242" w:type="dxa"/>
            <w:vMerge w:val="continue"/>
            <w:vAlign w:val="center"/>
          </w:tcPr>
          <w:p>
            <w:pPr>
              <w:wordWrap w:val="0"/>
              <w:spacing w:line="360" w:lineRule="auto"/>
              <w:jc w:val="center"/>
              <w:rPr>
                <w:rFonts w:eastAsiaTheme="minorEastAsia"/>
                <w:color w:val="000000" w:themeColor="text1"/>
                <w:sz w:val="28"/>
                <w:szCs w:val="28"/>
              </w:rPr>
            </w:pPr>
          </w:p>
        </w:tc>
        <w:tc>
          <w:tcPr>
            <w:tcW w:w="1276" w:type="dxa"/>
            <w:vMerge w:val="continue"/>
            <w:vAlign w:val="center"/>
          </w:tcPr>
          <w:p>
            <w:pPr>
              <w:wordWrap w:val="0"/>
              <w:spacing w:line="360" w:lineRule="auto"/>
              <w:jc w:val="center"/>
              <w:rPr>
                <w:rFonts w:eastAsiaTheme="minorEastAsia"/>
                <w:color w:val="000000" w:themeColor="text1"/>
                <w:sz w:val="28"/>
                <w:szCs w:val="28"/>
              </w:rPr>
            </w:pP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生物接触氧化池、生物转盘、生物滤池</w:t>
            </w:r>
          </w:p>
        </w:tc>
        <w:tc>
          <w:tcPr>
            <w:tcW w:w="2821"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溶解氧(DO)；</w:t>
            </w:r>
          </w:p>
        </w:tc>
        <w:tc>
          <w:tcPr>
            <w:tcW w:w="1690"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只提出了一个常规参数溶解氧的检测，实际工程设计中可根据具体要求配置。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1" w:hRule="atLeast"/>
        </w:trPr>
        <w:tc>
          <w:tcPr>
            <w:tcW w:w="1242" w:type="dxa"/>
            <w:vMerge w:val="restart"/>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深度处理和再生利用</w:t>
            </w:r>
          </w:p>
        </w:tc>
        <w:tc>
          <w:tcPr>
            <w:tcW w:w="1276" w:type="dxa"/>
            <w:vMerge w:val="restart"/>
            <w:vAlign w:val="center"/>
          </w:tcPr>
          <w:p>
            <w:pPr>
              <w:wordWrap w:val="0"/>
              <w:spacing w:line="360" w:lineRule="auto"/>
              <w:jc w:val="center"/>
              <w:rPr>
                <w:rFonts w:eastAsiaTheme="minorEastAsia"/>
                <w:color w:val="000000" w:themeColor="text1"/>
                <w:sz w:val="28"/>
                <w:szCs w:val="28"/>
              </w:rPr>
            </w:pP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高效沉淀池</w:t>
            </w:r>
          </w:p>
        </w:tc>
        <w:tc>
          <w:tcPr>
            <w:tcW w:w="2821"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泥水界面、污泥回流量、剩余污泥量、污泥浓度；</w:t>
            </w:r>
          </w:p>
        </w:tc>
        <w:tc>
          <w:tcPr>
            <w:tcW w:w="1690" w:type="dxa"/>
            <w:vMerge w:val="restart"/>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只提出了典型工艺的检测，实际工程设计中可根据具体要求配置。</w:t>
            </w:r>
          </w:p>
          <w:p>
            <w:pPr>
              <w:rPr>
                <w:rFonts w:eastAsiaTheme="minorEastAsia"/>
                <w:sz w:val="28"/>
                <w:szCs w:val="28"/>
              </w:rPr>
            </w:pPr>
          </w:p>
          <w:p>
            <w:pPr>
              <w:rPr>
                <w:rFonts w:eastAsiaTheme="minorEastAsia"/>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1" w:hRule="atLeast"/>
        </w:trPr>
        <w:tc>
          <w:tcPr>
            <w:tcW w:w="1242" w:type="dxa"/>
            <w:vMerge w:val="continue"/>
            <w:vAlign w:val="center"/>
          </w:tcPr>
          <w:p>
            <w:pPr>
              <w:wordWrap w:val="0"/>
              <w:spacing w:line="360" w:lineRule="auto"/>
              <w:jc w:val="center"/>
              <w:rPr>
                <w:rFonts w:eastAsiaTheme="minorEastAsia"/>
                <w:color w:val="000000" w:themeColor="text1"/>
                <w:sz w:val="28"/>
                <w:szCs w:val="28"/>
              </w:rPr>
            </w:pPr>
          </w:p>
        </w:tc>
        <w:tc>
          <w:tcPr>
            <w:tcW w:w="1276" w:type="dxa"/>
            <w:vMerge w:val="continue"/>
            <w:vAlign w:val="center"/>
          </w:tcPr>
          <w:p>
            <w:pPr>
              <w:wordWrap w:val="0"/>
              <w:spacing w:line="360" w:lineRule="auto"/>
              <w:jc w:val="center"/>
              <w:rPr>
                <w:rFonts w:eastAsiaTheme="minorEastAsia"/>
                <w:color w:val="000000" w:themeColor="text1"/>
                <w:sz w:val="28"/>
                <w:szCs w:val="28"/>
              </w:rPr>
            </w:pP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滤池</w:t>
            </w:r>
          </w:p>
        </w:tc>
        <w:tc>
          <w:tcPr>
            <w:tcW w:w="2821"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液位、过滤水头损失、进出水浊度；</w:t>
            </w:r>
          </w:p>
        </w:tc>
        <w:tc>
          <w:tcPr>
            <w:tcW w:w="1690" w:type="dxa"/>
            <w:vMerge w:val="continue"/>
            <w:vAlign w:val="center"/>
          </w:tcPr>
          <w:p>
            <w:pPr>
              <w:wordWrap w:val="0"/>
              <w:spacing w:line="360" w:lineRule="auto"/>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1" w:hRule="atLeast"/>
        </w:trPr>
        <w:tc>
          <w:tcPr>
            <w:tcW w:w="1242" w:type="dxa"/>
            <w:vMerge w:val="continue"/>
            <w:vAlign w:val="center"/>
          </w:tcPr>
          <w:p>
            <w:pPr>
              <w:wordWrap w:val="0"/>
              <w:spacing w:line="360" w:lineRule="auto"/>
              <w:jc w:val="center"/>
              <w:rPr>
                <w:rFonts w:eastAsiaTheme="minorEastAsia"/>
                <w:color w:val="000000" w:themeColor="text1"/>
                <w:sz w:val="28"/>
                <w:szCs w:val="28"/>
              </w:rPr>
            </w:pPr>
          </w:p>
        </w:tc>
        <w:tc>
          <w:tcPr>
            <w:tcW w:w="1276" w:type="dxa"/>
            <w:vMerge w:val="continue"/>
            <w:vAlign w:val="center"/>
          </w:tcPr>
          <w:p>
            <w:pPr>
              <w:wordWrap w:val="0"/>
              <w:spacing w:line="360" w:lineRule="auto"/>
              <w:jc w:val="center"/>
              <w:rPr>
                <w:rFonts w:eastAsiaTheme="minorEastAsia"/>
                <w:color w:val="000000" w:themeColor="text1"/>
                <w:sz w:val="28"/>
                <w:szCs w:val="28"/>
              </w:rPr>
            </w:pP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再生水泵房</w:t>
            </w:r>
          </w:p>
        </w:tc>
        <w:tc>
          <w:tcPr>
            <w:tcW w:w="2821"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液位、流量、出水压力、pH值、余氯（视消毒形式）、悬浮固体量(SS)、浊度及其他相关水质参数；</w:t>
            </w:r>
          </w:p>
        </w:tc>
        <w:tc>
          <w:tcPr>
            <w:tcW w:w="1690" w:type="dxa"/>
            <w:vMerge w:val="continue"/>
            <w:vAlign w:val="center"/>
          </w:tcPr>
          <w:p>
            <w:pPr>
              <w:wordWrap w:val="0"/>
              <w:spacing w:line="360" w:lineRule="auto"/>
              <w:rPr>
                <w:rFonts w:eastAsiaTheme="minorEastAsia"/>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901" w:hRule="atLeast"/>
        </w:trPr>
        <w:tc>
          <w:tcPr>
            <w:tcW w:w="1242"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消毒</w:t>
            </w:r>
          </w:p>
        </w:tc>
        <w:tc>
          <w:tcPr>
            <w:tcW w:w="1276" w:type="dxa"/>
            <w:vAlign w:val="center"/>
          </w:tcPr>
          <w:p>
            <w:pPr>
              <w:wordWrap w:val="0"/>
              <w:spacing w:line="360" w:lineRule="auto"/>
              <w:jc w:val="center"/>
              <w:rPr>
                <w:rFonts w:eastAsiaTheme="minorEastAsia"/>
                <w:color w:val="000000" w:themeColor="text1"/>
                <w:sz w:val="28"/>
                <w:szCs w:val="28"/>
              </w:rPr>
            </w:pPr>
          </w:p>
        </w:tc>
        <w:tc>
          <w:tcPr>
            <w:tcW w:w="1418" w:type="dxa"/>
            <w:vAlign w:val="center"/>
          </w:tcPr>
          <w:p>
            <w:pPr>
              <w:wordWrap w:val="0"/>
              <w:spacing w:line="360" w:lineRule="auto"/>
              <w:jc w:val="center"/>
              <w:rPr>
                <w:rFonts w:eastAsiaTheme="minorEastAsia"/>
                <w:color w:val="000000" w:themeColor="text1"/>
                <w:sz w:val="28"/>
                <w:szCs w:val="28"/>
              </w:rPr>
            </w:pPr>
            <w:r>
              <w:rPr>
                <w:rFonts w:eastAsiaTheme="minorEastAsia"/>
                <w:color w:val="000000" w:themeColor="text1"/>
                <w:sz w:val="28"/>
                <w:szCs w:val="28"/>
              </w:rPr>
              <w:t>紫外线消毒、加氯消毒、臭氧消毒</w:t>
            </w:r>
          </w:p>
        </w:tc>
        <w:tc>
          <w:tcPr>
            <w:tcW w:w="2821"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液位或流量；</w:t>
            </w:r>
          </w:p>
        </w:tc>
        <w:tc>
          <w:tcPr>
            <w:tcW w:w="1690" w:type="dxa"/>
            <w:vAlign w:val="center"/>
          </w:tcPr>
          <w:p>
            <w:pPr>
              <w:wordWrap w:val="0"/>
              <w:spacing w:line="360" w:lineRule="auto"/>
              <w:rPr>
                <w:rFonts w:eastAsiaTheme="minorEastAsia"/>
                <w:color w:val="000000" w:themeColor="text1"/>
                <w:sz w:val="28"/>
                <w:szCs w:val="28"/>
              </w:rPr>
            </w:pPr>
            <w:r>
              <w:rPr>
                <w:rFonts w:eastAsiaTheme="minorEastAsia"/>
                <w:color w:val="000000" w:themeColor="text1"/>
                <w:sz w:val="28"/>
                <w:szCs w:val="28"/>
              </w:rPr>
              <w:t>只提出了常规参数，应视所采用的消毒方法确定安全生产运行及控制操作所需要的检测项目。</w:t>
            </w:r>
          </w:p>
        </w:tc>
      </w:tr>
    </w:tbl>
    <w:p>
      <w:pPr>
        <w:wordWrap w:val="0"/>
        <w:rPr>
          <w:rFonts w:eastAsiaTheme="minorEastAsia"/>
          <w:color w:val="000000" w:themeColor="text1"/>
          <w:sz w:val="28"/>
          <w:szCs w:val="28"/>
        </w:rPr>
      </w:pPr>
      <w:r>
        <w:rPr>
          <w:rFonts w:eastAsiaTheme="minorEastAsia"/>
          <w:color w:val="000000" w:themeColor="text1"/>
          <w:sz w:val="28"/>
          <w:szCs w:val="28"/>
        </w:rPr>
        <w:t xml:space="preserve">    污泥处理一般包括浓缩、消化、好氧发酵、脱水干化和焚烧等，可按表37确定检测项目。</w:t>
      </w:r>
    </w:p>
    <w:p>
      <w:pPr>
        <w:wordWrap w:val="0"/>
        <w:jc w:val="center"/>
        <w:rPr>
          <w:rFonts w:eastAsiaTheme="minorEastAsia"/>
          <w:b/>
          <w:color w:val="000000" w:themeColor="text1"/>
          <w:sz w:val="28"/>
          <w:szCs w:val="28"/>
        </w:rPr>
      </w:pPr>
      <w:r>
        <w:rPr>
          <w:rFonts w:eastAsiaTheme="minorEastAsia"/>
          <w:b/>
          <w:color w:val="000000" w:themeColor="text1"/>
          <w:sz w:val="28"/>
          <w:szCs w:val="28"/>
        </w:rPr>
        <w:t>表37 常用污泥处理工艺检测项目</w:t>
      </w:r>
    </w:p>
    <w:tbl>
      <w:tblPr>
        <w:tblStyle w:val="25"/>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57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1" w:hRule="atLeast"/>
        </w:trPr>
        <w:tc>
          <w:tcPr>
            <w:tcW w:w="284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污泥处理方法</w:t>
            </w:r>
          </w:p>
        </w:tc>
        <w:tc>
          <w:tcPr>
            <w:tcW w:w="577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检测项目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4" w:hRule="atLeast"/>
        </w:trPr>
        <w:tc>
          <w:tcPr>
            <w:tcW w:w="284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重力浓缩池</w:t>
            </w:r>
          </w:p>
        </w:tc>
        <w:tc>
          <w:tcPr>
            <w:tcW w:w="5773" w:type="dxa"/>
            <w:vAlign w:val="center"/>
          </w:tcPr>
          <w:p>
            <w:pPr>
              <w:rPr>
                <w:rFonts w:eastAsiaTheme="minorEastAsia"/>
                <w:color w:val="000000" w:themeColor="text1"/>
                <w:sz w:val="28"/>
                <w:szCs w:val="28"/>
              </w:rPr>
            </w:pPr>
            <w:r>
              <w:rPr>
                <w:rFonts w:eastAsiaTheme="minorEastAsia"/>
                <w:color w:val="000000" w:themeColor="text1"/>
                <w:sz w:val="28"/>
                <w:szCs w:val="28"/>
              </w:rPr>
              <w:t>进出泥含水率、上清液悬浮固体浓度、上清液总磷； 处理量、浓缩池泥位；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4" w:hRule="atLeast"/>
        </w:trPr>
        <w:tc>
          <w:tcPr>
            <w:tcW w:w="2840" w:type="dxa"/>
          </w:tcPr>
          <w:p>
            <w:pPr>
              <w:wordWrap w:val="0"/>
              <w:jc w:val="center"/>
              <w:rPr>
                <w:rFonts w:eastAsiaTheme="minorEastAsia"/>
                <w:color w:val="000000" w:themeColor="text1"/>
                <w:sz w:val="28"/>
                <w:szCs w:val="28"/>
              </w:rPr>
            </w:pPr>
            <w:r>
              <w:rPr>
                <w:rFonts w:eastAsiaTheme="minorEastAsia"/>
                <w:color w:val="000000" w:themeColor="text1"/>
                <w:sz w:val="28"/>
                <w:szCs w:val="28"/>
              </w:rPr>
              <w:t>机械浓缩</w:t>
            </w:r>
          </w:p>
        </w:tc>
        <w:tc>
          <w:tcPr>
            <w:tcW w:w="5773" w:type="dxa"/>
            <w:vAlign w:val="center"/>
          </w:tcPr>
          <w:p>
            <w:pPr>
              <w:rPr>
                <w:rFonts w:eastAsiaTheme="minorEastAsia"/>
                <w:color w:val="000000" w:themeColor="text1"/>
                <w:sz w:val="28"/>
                <w:szCs w:val="28"/>
              </w:rPr>
            </w:pPr>
            <w:r>
              <w:rPr>
                <w:rFonts w:eastAsiaTheme="minorEastAsia"/>
                <w:color w:val="000000" w:themeColor="text1"/>
                <w:sz w:val="28"/>
                <w:szCs w:val="28"/>
              </w:rPr>
              <w:t>进出泥含水率、滤液悬浮固体浓度； 处理量、药剂消耗量；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4" w:hRule="atLeast"/>
        </w:trPr>
        <w:tc>
          <w:tcPr>
            <w:tcW w:w="2840" w:type="dxa"/>
          </w:tcPr>
          <w:p>
            <w:pPr>
              <w:wordWrap w:val="0"/>
              <w:jc w:val="center"/>
              <w:rPr>
                <w:rFonts w:eastAsiaTheme="minorEastAsia"/>
                <w:color w:val="000000" w:themeColor="text1"/>
                <w:sz w:val="28"/>
                <w:szCs w:val="28"/>
              </w:rPr>
            </w:pPr>
            <w:r>
              <w:rPr>
                <w:rFonts w:eastAsiaTheme="minorEastAsia"/>
                <w:color w:val="000000" w:themeColor="text1"/>
                <w:sz w:val="28"/>
                <w:szCs w:val="28"/>
              </w:rPr>
              <w:t>脱水</w:t>
            </w:r>
          </w:p>
        </w:tc>
        <w:tc>
          <w:tcPr>
            <w:tcW w:w="5773" w:type="dxa"/>
            <w:vAlign w:val="center"/>
          </w:tcPr>
          <w:p>
            <w:pPr>
              <w:rPr>
                <w:rFonts w:eastAsiaTheme="minorEastAsia"/>
                <w:color w:val="000000" w:themeColor="text1"/>
                <w:sz w:val="28"/>
                <w:szCs w:val="28"/>
              </w:rPr>
            </w:pPr>
            <w:r>
              <w:rPr>
                <w:rFonts w:eastAsiaTheme="minorEastAsia"/>
                <w:color w:val="000000" w:themeColor="text1"/>
                <w:sz w:val="28"/>
                <w:szCs w:val="28"/>
              </w:rPr>
              <w:t>进出泥含水率、滤液悬浮固体浓度； 处理量、药剂消耗量；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4" w:hRule="atLeast"/>
        </w:trPr>
        <w:tc>
          <w:tcPr>
            <w:tcW w:w="284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热水解</w:t>
            </w:r>
          </w:p>
        </w:tc>
        <w:tc>
          <w:tcPr>
            <w:tcW w:w="5773" w:type="dxa"/>
          </w:tcPr>
          <w:p>
            <w:pPr>
              <w:rPr>
                <w:rFonts w:eastAsiaTheme="minorEastAsia"/>
                <w:color w:val="000000" w:themeColor="text1"/>
                <w:sz w:val="28"/>
                <w:szCs w:val="28"/>
              </w:rPr>
            </w:pPr>
            <w:r>
              <w:rPr>
                <w:rFonts w:eastAsiaTheme="minorEastAsia"/>
                <w:color w:val="000000" w:themeColor="text1"/>
                <w:sz w:val="28"/>
                <w:szCs w:val="28"/>
              </w:rPr>
              <w:t>进出泥含水率、出泥pH值；处理量、蒸汽消耗量；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684" w:hRule="atLeast"/>
        </w:trPr>
        <w:tc>
          <w:tcPr>
            <w:tcW w:w="284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厌氧消化</w:t>
            </w:r>
          </w:p>
        </w:tc>
        <w:tc>
          <w:tcPr>
            <w:tcW w:w="5773" w:type="dxa"/>
          </w:tcPr>
          <w:p>
            <w:pPr>
              <w:rPr>
                <w:rFonts w:eastAsiaTheme="minorEastAsia"/>
                <w:color w:val="000000" w:themeColor="text1"/>
                <w:sz w:val="28"/>
                <w:szCs w:val="28"/>
              </w:rPr>
            </w:pPr>
            <w:r>
              <w:rPr>
                <w:rFonts w:eastAsiaTheme="minorEastAsia"/>
                <w:color w:val="000000" w:themeColor="text1"/>
                <w:sz w:val="28"/>
                <w:szCs w:val="28"/>
              </w:rPr>
              <w:t>消化池进出泥含水率、有机物含量、总碱度、氨氮；沼气的压力、流量；污泥处理量、消化池温度、压力、pH值；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4" w:hRule="atLeast"/>
        </w:trPr>
        <w:tc>
          <w:tcPr>
            <w:tcW w:w="284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好氧发酵</w:t>
            </w:r>
          </w:p>
        </w:tc>
        <w:tc>
          <w:tcPr>
            <w:tcW w:w="5773" w:type="dxa"/>
          </w:tcPr>
          <w:p>
            <w:pPr>
              <w:rPr>
                <w:rFonts w:eastAsiaTheme="minorEastAsia"/>
                <w:color w:val="000000" w:themeColor="text1"/>
                <w:sz w:val="28"/>
                <w:szCs w:val="28"/>
              </w:rPr>
            </w:pPr>
            <w:r>
              <w:rPr>
                <w:rFonts w:eastAsiaTheme="minorEastAsia"/>
                <w:color w:val="000000" w:themeColor="text1"/>
                <w:sz w:val="28"/>
                <w:szCs w:val="28"/>
              </w:rPr>
              <w:t>发酵前后污泥含水率、pH值；处理量、调理剂添加量、污泥返混量、发酵温度、鼓风气量、氧含量；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4" w:hRule="atLeast"/>
        </w:trPr>
        <w:tc>
          <w:tcPr>
            <w:tcW w:w="284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热干化</w:t>
            </w:r>
          </w:p>
        </w:tc>
        <w:tc>
          <w:tcPr>
            <w:tcW w:w="5773" w:type="dxa"/>
          </w:tcPr>
          <w:p>
            <w:pPr>
              <w:rPr>
                <w:rFonts w:eastAsiaTheme="minorEastAsia"/>
                <w:color w:val="000000" w:themeColor="text1"/>
                <w:sz w:val="28"/>
                <w:szCs w:val="28"/>
              </w:rPr>
            </w:pPr>
            <w:r>
              <w:rPr>
                <w:rFonts w:eastAsiaTheme="minorEastAsia"/>
                <w:color w:val="000000" w:themeColor="text1"/>
                <w:sz w:val="28"/>
                <w:szCs w:val="28"/>
              </w:rPr>
              <w:t>干化前后含水率；处理量、能源消耗量、氧含量、温度；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4" w:hRule="atLeast"/>
        </w:trPr>
        <w:tc>
          <w:tcPr>
            <w:tcW w:w="2840"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焚烧</w:t>
            </w:r>
          </w:p>
        </w:tc>
        <w:tc>
          <w:tcPr>
            <w:tcW w:w="5773" w:type="dxa"/>
          </w:tcPr>
          <w:p>
            <w:pPr>
              <w:rPr>
                <w:rFonts w:eastAsiaTheme="minorEastAsia"/>
                <w:color w:val="000000" w:themeColor="text1"/>
                <w:sz w:val="28"/>
                <w:szCs w:val="28"/>
              </w:rPr>
            </w:pPr>
            <w:r>
              <w:rPr>
                <w:rFonts w:eastAsiaTheme="minorEastAsia"/>
                <w:color w:val="000000" w:themeColor="text1"/>
                <w:sz w:val="28"/>
                <w:szCs w:val="28"/>
              </w:rPr>
              <w:t>进泥含水率、有机物含量、进泥低位热值；处理量、能源消耗量、燃烧温度；排放烟气监测；</w:t>
            </w:r>
          </w:p>
        </w:tc>
      </w:tr>
    </w:tbl>
    <w:p>
      <w:pPr>
        <w:pStyle w:val="30"/>
        <w:numPr>
          <w:ilvl w:val="0"/>
          <w:numId w:val="64"/>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排水管网关键节点宜设液位、流速、流量监测装置，并根据需要增加水质监测装置。</w:t>
      </w:r>
    </w:p>
    <w:p>
      <w:pPr>
        <w:wordWrap w:val="0"/>
        <w:rPr>
          <w:rFonts w:eastAsiaTheme="minorEastAsia"/>
          <w:color w:val="000000" w:themeColor="text1"/>
          <w:sz w:val="28"/>
          <w:szCs w:val="28"/>
        </w:rPr>
      </w:pPr>
      <w:r>
        <w:rPr>
          <w:rFonts w:eastAsiaTheme="minorEastAsia"/>
          <w:color w:val="000000" w:themeColor="text1"/>
          <w:sz w:val="28"/>
          <w:szCs w:val="28"/>
        </w:rPr>
        <w:t>【条文说明】排水管网关键节点指排水泵站、主要污水和雨水排放口、管网中流量可能发生剧烈变化的位置等。水质监测参数一般为pH值、COD，可根据运行需要增加NH</w:t>
      </w:r>
      <w:r>
        <w:rPr>
          <w:rFonts w:eastAsiaTheme="minorEastAsia"/>
          <w:color w:val="000000" w:themeColor="text1"/>
          <w:sz w:val="28"/>
          <w:szCs w:val="28"/>
          <w:vertAlign w:val="subscript"/>
        </w:rPr>
        <w:t>3</w:t>
      </w:r>
      <w:r>
        <w:rPr>
          <w:rFonts w:eastAsiaTheme="minorEastAsia"/>
          <w:color w:val="000000" w:themeColor="text1"/>
          <w:sz w:val="28"/>
          <w:szCs w:val="28"/>
        </w:rPr>
        <w:t>-N、TP、SS等参数。</w:t>
      </w:r>
    </w:p>
    <w:p>
      <w:pPr>
        <w:wordWrap w:val="0"/>
        <w:ind w:firstLine="560" w:firstLineChars="200"/>
        <w:rPr>
          <w:rFonts w:eastAsiaTheme="minorEastAsia"/>
          <w:color w:val="000000" w:themeColor="text1"/>
          <w:sz w:val="28"/>
          <w:szCs w:val="28"/>
        </w:rPr>
      </w:pPr>
    </w:p>
    <w:p>
      <w:pPr>
        <w:pStyle w:val="3"/>
        <w:numPr>
          <w:ilvl w:val="0"/>
          <w:numId w:val="62"/>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r>
        <w:rPr>
          <w:rFonts w:ascii="Times New Roman" w:hAnsi="Times New Roman" w:eastAsiaTheme="minorEastAsia"/>
          <w:color w:val="000000" w:themeColor="text1"/>
          <w:sz w:val="28"/>
          <w:szCs w:val="28"/>
        </w:rPr>
        <w:t xml:space="preserve"> </w:t>
      </w:r>
      <w:bookmarkStart w:id="108" w:name="_Toc515281083"/>
      <w:r>
        <w:rPr>
          <w:rFonts w:ascii="Times New Roman" w:hAnsi="Times New Roman" w:eastAsiaTheme="minorEastAsia"/>
          <w:color w:val="000000" w:themeColor="text1"/>
          <w:sz w:val="28"/>
          <w:szCs w:val="28"/>
        </w:rPr>
        <w:t>自动化</w:t>
      </w:r>
      <w:bookmarkEnd w:id="108"/>
    </w:p>
    <w:p>
      <w:pPr>
        <w:pStyle w:val="30"/>
        <w:numPr>
          <w:ilvl w:val="0"/>
          <w:numId w:val="6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自动化控制系统应能监视和控制全部工艺流程以及设备的运行，具有信息收集、处理、控制、管理和安全保护功能。</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【条文说明】此条是对系统功能的总体要求。</w:t>
      </w:r>
    </w:p>
    <w:p>
      <w:pPr>
        <w:pStyle w:val="30"/>
        <w:numPr>
          <w:ilvl w:val="0"/>
          <w:numId w:val="6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排水泵站和排水管网宜采用</w:t>
      </w:r>
      <w:r>
        <w:rPr>
          <w:rFonts w:hint="eastAsia" w:ascii="Times New Roman" w:hAnsi="Times New Roman" w:eastAsiaTheme="minorEastAsia"/>
          <w:color w:val="000000" w:themeColor="text1"/>
          <w:sz w:val="28"/>
          <w:szCs w:val="28"/>
        </w:rPr>
        <w:t>“</w:t>
      </w:r>
      <w:r>
        <w:rPr>
          <w:rFonts w:ascii="Times New Roman" w:hAnsi="Times New Roman" w:eastAsiaTheme="minorEastAsia"/>
          <w:color w:val="000000" w:themeColor="text1"/>
          <w:sz w:val="28"/>
          <w:szCs w:val="28"/>
        </w:rPr>
        <w:t>少人（无人）值守，远程监控</w:t>
      </w:r>
      <w:r>
        <w:rPr>
          <w:rFonts w:hint="eastAsia" w:ascii="Times New Roman" w:hAnsi="Times New Roman" w:eastAsiaTheme="minorEastAsia"/>
          <w:color w:val="000000" w:themeColor="text1"/>
          <w:sz w:val="28"/>
          <w:szCs w:val="28"/>
        </w:rPr>
        <w:t>”</w:t>
      </w:r>
      <w:r>
        <w:rPr>
          <w:rFonts w:ascii="Times New Roman" w:hAnsi="Times New Roman" w:eastAsiaTheme="minorEastAsia"/>
          <w:color w:val="000000" w:themeColor="text1"/>
          <w:sz w:val="28"/>
          <w:szCs w:val="28"/>
        </w:rPr>
        <w:t>的控制模式，建立自动化控制系统，设区域监控中心进行远程的运行监视、控制和管理。</w:t>
      </w:r>
    </w:p>
    <w:p>
      <w:pPr>
        <w:wordWrap w:val="0"/>
        <w:rPr>
          <w:rFonts w:eastAsiaTheme="minorEastAsia"/>
          <w:color w:val="000000" w:themeColor="text1"/>
          <w:sz w:val="28"/>
          <w:szCs w:val="28"/>
        </w:rPr>
      </w:pPr>
      <w:r>
        <w:rPr>
          <w:rFonts w:eastAsiaTheme="minorEastAsia"/>
          <w:color w:val="000000" w:themeColor="text1"/>
          <w:sz w:val="28"/>
          <w:szCs w:val="28"/>
        </w:rPr>
        <w:t>【条文说明】排水泵站控制模式应根据各地区的经济发展程度、人力成本情况、运行管理要求进行经济技术比较，有条件的地区建议按照</w:t>
      </w:r>
      <w:r>
        <w:rPr>
          <w:rFonts w:hint="eastAsia" w:eastAsiaTheme="minorEastAsia"/>
          <w:color w:val="000000" w:themeColor="text1"/>
          <w:sz w:val="28"/>
          <w:szCs w:val="28"/>
        </w:rPr>
        <w:t>“</w:t>
      </w:r>
      <w:r>
        <w:rPr>
          <w:rFonts w:eastAsiaTheme="minorEastAsia"/>
          <w:color w:val="000000" w:themeColor="text1"/>
          <w:sz w:val="28"/>
          <w:szCs w:val="28"/>
        </w:rPr>
        <w:t>无人值守</w:t>
      </w:r>
      <w:r>
        <w:rPr>
          <w:rFonts w:hint="eastAsia" w:eastAsiaTheme="minorEastAsia"/>
          <w:color w:val="000000" w:themeColor="text1"/>
          <w:sz w:val="28"/>
          <w:szCs w:val="28"/>
        </w:rPr>
        <w:t>”</w:t>
      </w:r>
      <w:r>
        <w:rPr>
          <w:rFonts w:eastAsiaTheme="minorEastAsia"/>
          <w:color w:val="000000" w:themeColor="text1"/>
          <w:sz w:val="28"/>
          <w:szCs w:val="28"/>
        </w:rPr>
        <w:t>全自动控制的方式考虑，所有工艺设备均可实现泵站就地无人自动化控制；实现</w:t>
      </w:r>
      <w:r>
        <w:rPr>
          <w:rFonts w:hint="eastAsia" w:eastAsiaTheme="minorEastAsia"/>
          <w:color w:val="000000" w:themeColor="text1"/>
          <w:sz w:val="28"/>
          <w:szCs w:val="28"/>
        </w:rPr>
        <w:t>“</w:t>
      </w:r>
      <w:r>
        <w:rPr>
          <w:rFonts w:eastAsiaTheme="minorEastAsia"/>
          <w:color w:val="000000" w:themeColor="text1"/>
          <w:sz w:val="28"/>
          <w:szCs w:val="28"/>
        </w:rPr>
        <w:t>远程监控</w:t>
      </w:r>
      <w:r>
        <w:rPr>
          <w:rFonts w:hint="eastAsia" w:eastAsiaTheme="minorEastAsia"/>
          <w:color w:val="000000" w:themeColor="text1"/>
          <w:sz w:val="28"/>
          <w:szCs w:val="28"/>
        </w:rPr>
        <w:t>”</w:t>
      </w:r>
      <w:r>
        <w:rPr>
          <w:rFonts w:eastAsiaTheme="minorEastAsia"/>
          <w:color w:val="000000" w:themeColor="text1"/>
          <w:sz w:val="28"/>
          <w:szCs w:val="28"/>
        </w:rPr>
        <w:t>的目的，在区域监控中心远程监控，达到正常运行时现场少人（无人）值守，管理人员定时巡检。</w:t>
      </w:r>
    </w:p>
    <w:p>
      <w:pPr>
        <w:pStyle w:val="30"/>
        <w:wordWrap w:val="0"/>
        <w:spacing w:line="360" w:lineRule="auto"/>
        <w:ind w:firstLine="565" w:firstLineChars="202"/>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排水泵站的运行管理应在保证运行安全的条件下实现自动化控制。为便于生产调度管理，实现遥测、遥讯和遥控等功能。</w:t>
      </w:r>
    </w:p>
    <w:p>
      <w:pPr>
        <w:pStyle w:val="30"/>
        <w:wordWrap w:val="0"/>
        <w:spacing w:line="360" w:lineRule="auto"/>
        <w:ind w:firstLine="597" w:firstLineChars="202"/>
        <w:rPr>
          <w:rFonts w:ascii="Times New Roman" w:hAnsi="Times New Roman" w:eastAsiaTheme="minorEastAsia"/>
          <w:color w:val="000000" w:themeColor="text1"/>
          <w:sz w:val="28"/>
          <w:szCs w:val="28"/>
        </w:rPr>
      </w:pPr>
      <w:r>
        <w:rPr>
          <w:rFonts w:ascii="Times New Roman" w:hAnsi="Times New Roman" w:eastAsiaTheme="minorEastAsia"/>
          <w:spacing w:val="8"/>
          <w:sz w:val="28"/>
          <w:szCs w:val="28"/>
        </w:rPr>
        <w:t>排水管网关键节点的自动化控制系统宜根据当地经济条件和工程需要建立。</w:t>
      </w:r>
    </w:p>
    <w:p>
      <w:pPr>
        <w:pStyle w:val="30"/>
        <w:numPr>
          <w:ilvl w:val="0"/>
          <w:numId w:val="65"/>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污水厂应采用</w:t>
      </w:r>
      <w:r>
        <w:rPr>
          <w:rFonts w:hint="eastAsia" w:eastAsiaTheme="minorEastAsia"/>
          <w:color w:val="000000" w:themeColor="text1"/>
          <w:sz w:val="28"/>
          <w:szCs w:val="28"/>
        </w:rPr>
        <w:t>“</w:t>
      </w:r>
      <w:r>
        <w:rPr>
          <w:rFonts w:ascii="Times New Roman" w:hAnsi="Times New Roman" w:eastAsiaTheme="minorEastAsia"/>
          <w:color w:val="000000" w:themeColor="text1"/>
          <w:sz w:val="28"/>
          <w:szCs w:val="28"/>
        </w:rPr>
        <w:t>集中管理、分散控制</w:t>
      </w:r>
      <w:r>
        <w:rPr>
          <w:rFonts w:hint="eastAsia" w:eastAsiaTheme="minorEastAsia"/>
          <w:color w:val="000000" w:themeColor="text1"/>
          <w:sz w:val="28"/>
          <w:szCs w:val="28"/>
        </w:rPr>
        <w:t>”</w:t>
      </w:r>
      <w:r>
        <w:rPr>
          <w:rFonts w:ascii="Times New Roman" w:hAnsi="Times New Roman" w:eastAsiaTheme="minorEastAsia"/>
          <w:color w:val="000000" w:themeColor="text1"/>
          <w:sz w:val="28"/>
          <w:szCs w:val="28"/>
        </w:rPr>
        <w:t>的控制模式设立自动化控制系统，应设中央控制室进行集中运行监视、控制和管理。</w:t>
      </w:r>
    </w:p>
    <w:p>
      <w:pPr>
        <w:wordWrap w:val="0"/>
        <w:rPr>
          <w:rFonts w:eastAsiaTheme="minorEastAsia"/>
          <w:color w:val="000000" w:themeColor="text1"/>
          <w:sz w:val="28"/>
          <w:szCs w:val="28"/>
        </w:rPr>
      </w:pPr>
      <w:r>
        <w:rPr>
          <w:rFonts w:eastAsiaTheme="minorEastAsia"/>
          <w:color w:val="000000" w:themeColor="text1"/>
          <w:sz w:val="28"/>
          <w:szCs w:val="28"/>
        </w:rPr>
        <w:t>【条文说明】污水厂生产管理与控制的自动化宜为：自动化控制系统应能够监视主要设备的运行工况与工艺参数，提供实时数据传输、图形显示、控制设定调节、趋势显示、超限报警及制作报表等功能，对主要生产过程实现自动控制。</w:t>
      </w:r>
    </w:p>
    <w:p>
      <w:pPr>
        <w:pStyle w:val="30"/>
        <w:numPr>
          <w:ilvl w:val="0"/>
          <w:numId w:val="65"/>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自动化控制系统的设计，应符合下列规定：</w:t>
      </w:r>
    </w:p>
    <w:p>
      <w:pPr>
        <w:widowControl/>
        <w:wordWrap w:val="0"/>
        <w:ind w:firstLine="562" w:firstLineChars="200"/>
        <w:jc w:val="left"/>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 xml:space="preserve"> 系统宜采用信息层、控制层和设备层三层结构形式；</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设备应设基本、就地、远控三</w:t>
      </w:r>
      <w:r>
        <w:rPr>
          <w:rFonts w:hint="eastAsia" w:eastAsiaTheme="minorEastAsia"/>
          <w:color w:val="000000" w:themeColor="text1"/>
          <w:sz w:val="28"/>
          <w:szCs w:val="28"/>
        </w:rPr>
        <w:t>种</w:t>
      </w:r>
      <w:r>
        <w:rPr>
          <w:rFonts w:eastAsiaTheme="minorEastAsia"/>
          <w:color w:val="000000" w:themeColor="text1"/>
          <w:sz w:val="28"/>
          <w:szCs w:val="28"/>
        </w:rPr>
        <w:t>控制方式；</w:t>
      </w:r>
    </w:p>
    <w:p>
      <w:pPr>
        <w:widowControl/>
        <w:wordWrap w:val="0"/>
        <w:ind w:firstLine="562" w:firstLineChars="200"/>
        <w:jc w:val="left"/>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 xml:space="preserve"> 应根据工程具体情况，经技术经济比较后选择网络结构和通信速率；</w:t>
      </w:r>
    </w:p>
    <w:p>
      <w:pPr>
        <w:widowControl/>
        <w:wordWrap w:val="0"/>
        <w:ind w:firstLine="562" w:firstLineChars="200"/>
        <w:jc w:val="left"/>
        <w:rPr>
          <w:rFonts w:eastAsiaTheme="minorEastAsia"/>
          <w:color w:val="000000" w:themeColor="text1"/>
          <w:sz w:val="28"/>
          <w:szCs w:val="28"/>
        </w:rPr>
      </w:pPr>
      <w:r>
        <w:rPr>
          <w:rFonts w:eastAsiaTheme="minorEastAsia"/>
          <w:b/>
          <w:bCs/>
          <w:color w:val="000000" w:themeColor="text1"/>
          <w:sz w:val="28"/>
          <w:szCs w:val="28"/>
        </w:rPr>
        <w:t>4</w:t>
      </w:r>
      <w:r>
        <w:rPr>
          <w:rFonts w:eastAsiaTheme="minorEastAsia"/>
          <w:color w:val="000000" w:themeColor="text1"/>
          <w:sz w:val="28"/>
          <w:szCs w:val="28"/>
        </w:rPr>
        <w:t xml:space="preserve"> 对操作系统和开发工具要从运行稳定、易于开发、操作界面方便等多方面综合考虑；</w:t>
      </w:r>
    </w:p>
    <w:p>
      <w:pPr>
        <w:widowControl/>
        <w:wordWrap w:val="0"/>
        <w:ind w:firstLine="562" w:firstLineChars="200"/>
        <w:jc w:val="left"/>
        <w:rPr>
          <w:rFonts w:eastAsiaTheme="minorEastAsia"/>
          <w:color w:val="000000" w:themeColor="text1"/>
          <w:sz w:val="28"/>
          <w:szCs w:val="28"/>
        </w:rPr>
      </w:pPr>
      <w:r>
        <w:rPr>
          <w:rFonts w:eastAsiaTheme="minorEastAsia"/>
          <w:b/>
          <w:bCs/>
          <w:color w:val="000000" w:themeColor="text1"/>
          <w:sz w:val="28"/>
          <w:szCs w:val="28"/>
        </w:rPr>
        <w:t>5</w:t>
      </w:r>
      <w:r>
        <w:rPr>
          <w:rFonts w:eastAsiaTheme="minorEastAsia"/>
          <w:color w:val="000000" w:themeColor="text1"/>
          <w:sz w:val="28"/>
          <w:szCs w:val="28"/>
        </w:rPr>
        <w:t>电源应做到安全可靠，留有扩展裕量，</w:t>
      </w:r>
      <w:r>
        <w:rPr>
          <w:rFonts w:hint="eastAsia" w:eastAsiaTheme="minorEastAsia"/>
          <w:color w:val="000000" w:themeColor="text1"/>
          <w:sz w:val="28"/>
          <w:szCs w:val="28"/>
        </w:rPr>
        <w:t>采用</w:t>
      </w:r>
      <w:r>
        <w:rPr>
          <w:rFonts w:eastAsiaTheme="minorEastAsia"/>
          <w:color w:val="000000" w:themeColor="text1"/>
          <w:sz w:val="28"/>
          <w:szCs w:val="28"/>
        </w:rPr>
        <w:t>在线式UPS作为后备电源，并</w:t>
      </w:r>
      <w:r>
        <w:rPr>
          <w:rFonts w:hint="eastAsia" w:eastAsiaTheme="minorEastAsia"/>
          <w:color w:val="000000" w:themeColor="text1"/>
          <w:sz w:val="28"/>
          <w:szCs w:val="28"/>
        </w:rPr>
        <w:t>应</w:t>
      </w:r>
      <w:r>
        <w:rPr>
          <w:rFonts w:eastAsiaTheme="minorEastAsia"/>
          <w:color w:val="000000" w:themeColor="text1"/>
          <w:sz w:val="28"/>
          <w:szCs w:val="28"/>
        </w:rPr>
        <w:t>采取过电压保护等措施。</w:t>
      </w:r>
    </w:p>
    <w:p>
      <w:pPr>
        <w:pStyle w:val="3"/>
        <w:numPr>
          <w:ilvl w:val="0"/>
          <w:numId w:val="62"/>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109" w:name="_Toc515281084"/>
      <w:r>
        <w:rPr>
          <w:rFonts w:ascii="Times New Roman" w:hAnsi="Times New Roman" w:eastAsiaTheme="minorEastAsia"/>
          <w:color w:val="000000" w:themeColor="text1"/>
          <w:sz w:val="28"/>
          <w:szCs w:val="28"/>
        </w:rPr>
        <w:t>智能化</w:t>
      </w:r>
      <w:bookmarkEnd w:id="109"/>
    </w:p>
    <w:p>
      <w:pPr>
        <w:pStyle w:val="30"/>
        <w:numPr>
          <w:ilvl w:val="0"/>
          <w:numId w:val="6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排水工程智能化系统应根据工程规模、运营保护和管理要求等确定。</w:t>
      </w:r>
    </w:p>
    <w:p>
      <w:pPr>
        <w:pStyle w:val="30"/>
        <w:numPr>
          <w:ilvl w:val="0"/>
          <w:numId w:val="6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智能化系统宜分为安全防范系统、智能化应用系统、智能化集成平台。</w:t>
      </w:r>
    </w:p>
    <w:p>
      <w:pPr>
        <w:pStyle w:val="30"/>
        <w:numPr>
          <w:ilvl w:val="0"/>
          <w:numId w:val="66"/>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排水工程应设安全防范系统，并应符合下列规定：</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 xml:space="preserve"> 应设视频监控系统，包含安防视频监控和生产管理视频监控；</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厂区周界、主要出入口应设入侵报警系统；</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重要区域宜设门禁系统；</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w:t>
      </w:r>
      <w:r>
        <w:rPr>
          <w:rFonts w:hint="eastAsia" w:eastAsiaTheme="minorEastAsia"/>
          <w:color w:val="000000" w:themeColor="text1"/>
          <w:sz w:val="28"/>
          <w:szCs w:val="28"/>
        </w:rPr>
        <w:t>可</w:t>
      </w:r>
      <w:r>
        <w:rPr>
          <w:rFonts w:eastAsiaTheme="minorEastAsia"/>
          <w:color w:val="000000" w:themeColor="text1"/>
          <w:sz w:val="28"/>
          <w:szCs w:val="28"/>
        </w:rPr>
        <w:t>根据运行管理需求设电子巡更系统和人员定位系统；</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 xml:space="preserve"> 地下式排水工程应设火灾报警系统，并</w:t>
      </w:r>
      <w:r>
        <w:rPr>
          <w:rFonts w:hint="eastAsia" w:eastAsiaTheme="minorEastAsia"/>
          <w:color w:val="000000" w:themeColor="text1"/>
          <w:sz w:val="28"/>
          <w:szCs w:val="28"/>
        </w:rPr>
        <w:t>应</w:t>
      </w:r>
      <w:r>
        <w:rPr>
          <w:rFonts w:eastAsiaTheme="minorEastAsia"/>
          <w:color w:val="000000" w:themeColor="text1"/>
          <w:sz w:val="28"/>
          <w:szCs w:val="28"/>
        </w:rPr>
        <w:t>根据消防控制设施要求设计消防联动控制。</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视频监控系统应采用数字式网络技术，视频图像信息应记录并保存30d以上。安防视频监视点应设在厂区周界、大门、主要通道处；生产管理视频监视点应设在主要工艺设施、主要工艺处理厂房、变配电间、控制室、值班间等区域，监视主要工艺、电气控制设施状况。</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2</w:t>
      </w:r>
      <w:r>
        <w:rPr>
          <w:rFonts w:eastAsiaTheme="minorEastAsia"/>
          <w:color w:val="000000" w:themeColor="text1"/>
          <w:sz w:val="28"/>
          <w:szCs w:val="28"/>
        </w:rPr>
        <w:t xml:space="preserve"> 入侵报警系统应采用电子围栏形式，大门采用红外对射形式。</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 xml:space="preserve"> 门禁装置主要设在封闭式（含地下式）工艺处理厂房、变配电间、控制室、值班室等人员进出门处，保障泵站运行安全，设备进出门可不设门禁装置。</w:t>
      </w:r>
    </w:p>
    <w:p>
      <w:pPr>
        <w:widowControl/>
        <w:wordWrap w:val="0"/>
        <w:ind w:firstLine="562" w:firstLineChars="200"/>
        <w:jc w:val="left"/>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 xml:space="preserve"> 大型污水厂、地下式污水厂、地下式泵站宜设在线式电子巡更系统、人员定位系统。</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5</w:t>
      </w:r>
      <w:r>
        <w:rPr>
          <w:rFonts w:eastAsiaTheme="minorEastAsia"/>
          <w:color w:val="000000" w:themeColor="text1"/>
          <w:sz w:val="28"/>
          <w:szCs w:val="28"/>
        </w:rPr>
        <w:t>.</w:t>
      </w:r>
      <w:r>
        <w:rPr>
          <w:rFonts w:eastAsiaTheme="minorEastAsia"/>
          <w:color w:val="000000" w:themeColor="text1"/>
          <w:sz w:val="28"/>
          <w:szCs w:val="28"/>
        </w:rPr>
        <w:tab/>
      </w:r>
      <w:r>
        <w:rPr>
          <w:rFonts w:eastAsiaTheme="minorEastAsia"/>
          <w:color w:val="000000" w:themeColor="text1"/>
          <w:sz w:val="28"/>
          <w:szCs w:val="28"/>
        </w:rPr>
        <w:t>地下式排水工程应设火灾报警系统，有水消防系统时，应设计消防联动控制。</w:t>
      </w:r>
    </w:p>
    <w:p>
      <w:pPr>
        <w:pStyle w:val="30"/>
        <w:numPr>
          <w:ilvl w:val="0"/>
          <w:numId w:val="66"/>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ab/>
      </w:r>
      <w:r>
        <w:rPr>
          <w:rFonts w:ascii="Times New Roman" w:hAnsi="Times New Roman" w:eastAsiaTheme="minorEastAsia"/>
          <w:color w:val="000000" w:themeColor="text1"/>
          <w:sz w:val="28"/>
          <w:szCs w:val="28"/>
        </w:rPr>
        <w:t>排水工程应设智能化应用系统，并应符合下列规定：</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1</w:t>
      </w:r>
      <w:r>
        <w:rPr>
          <w:rFonts w:ascii="Times New Roman" w:hAnsi="Times New Roman" w:eastAsiaTheme="minorEastAsia"/>
          <w:color w:val="000000" w:themeColor="text1"/>
          <w:sz w:val="28"/>
          <w:szCs w:val="28"/>
        </w:rPr>
        <w:t>鼓风曝气环节应设智能曝气控制系统；</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加药工艺环节应设智能加药控制系统；</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3</w:t>
      </w:r>
      <w:r>
        <w:rPr>
          <w:rFonts w:eastAsiaTheme="minorEastAsia"/>
          <w:color w:val="000000" w:themeColor="text1"/>
          <w:sz w:val="28"/>
          <w:szCs w:val="28"/>
        </w:rPr>
        <w:t>地下式排水工程应设智能照明系统；</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4</w:t>
      </w:r>
      <w:r>
        <w:rPr>
          <w:rFonts w:eastAsiaTheme="minorEastAsia"/>
          <w:color w:val="000000" w:themeColor="text1"/>
          <w:sz w:val="28"/>
          <w:szCs w:val="28"/>
        </w:rPr>
        <w:t>可根据运行管理需求设巡检机器人</w:t>
      </w:r>
      <w:r>
        <w:rPr>
          <w:rFonts w:eastAsia="宋体"/>
          <w:color w:val="000000" w:themeColor="text1"/>
          <w:sz w:val="28"/>
          <w:szCs w:val="28"/>
        </w:rPr>
        <w:t>等智能设备</w:t>
      </w:r>
      <w:r>
        <w:rPr>
          <w:rFonts w:eastAsiaTheme="minorEastAsia"/>
          <w:color w:val="000000" w:themeColor="text1"/>
          <w:sz w:val="28"/>
          <w:szCs w:val="28"/>
        </w:rPr>
        <w:t>。</w:t>
      </w:r>
    </w:p>
    <w:p>
      <w:pPr>
        <w:wordWrap w:val="0"/>
        <w:spacing w:line="360" w:lineRule="auto"/>
        <w:rPr>
          <w:rFonts w:eastAsiaTheme="minorEastAsia"/>
          <w:color w:val="000000" w:themeColor="text1"/>
          <w:sz w:val="28"/>
          <w:szCs w:val="28"/>
        </w:rPr>
      </w:pPr>
      <w:r>
        <w:rPr>
          <w:rFonts w:eastAsiaTheme="minorEastAsia"/>
          <w:color w:val="000000" w:themeColor="text1"/>
          <w:sz w:val="28"/>
          <w:szCs w:val="28"/>
        </w:rPr>
        <w:t>【条文说明】</w:t>
      </w:r>
    </w:p>
    <w:p>
      <w:pPr>
        <w:wordWrap w:val="0"/>
        <w:spacing w:line="360" w:lineRule="auto"/>
        <w:ind w:firstLine="562" w:firstLineChars="200"/>
        <w:rPr>
          <w:rFonts w:eastAsiaTheme="minorEastAsia"/>
          <w:color w:val="000000" w:themeColor="text1"/>
          <w:sz w:val="28"/>
          <w:szCs w:val="28"/>
        </w:rPr>
      </w:pPr>
      <w:r>
        <w:rPr>
          <w:rFonts w:eastAsiaTheme="minorEastAsia"/>
          <w:b/>
          <w:color w:val="000000" w:themeColor="text1"/>
          <w:sz w:val="28"/>
          <w:szCs w:val="28"/>
        </w:rPr>
        <w:t>1</w:t>
      </w:r>
      <w:r>
        <w:rPr>
          <w:rFonts w:eastAsiaTheme="minorEastAsia"/>
          <w:color w:val="000000" w:themeColor="text1"/>
          <w:sz w:val="28"/>
          <w:szCs w:val="28"/>
        </w:rPr>
        <w:t>污水厂生物曝气池应采用智能化曝气控制，根据曝气池的实时运行参数和水质状况在线计算溶解氧的实际需求，按需分配各曝气控制区域的供气量，达到溶解氧控制稳定、生物池各反应段高效稳定运行，同时控制鼓风机运行，实现节能降耗的目的。</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2</w:t>
      </w:r>
      <w:r>
        <w:rPr>
          <w:rFonts w:ascii="Times New Roman" w:hAnsi="Times New Roman" w:eastAsiaTheme="minorEastAsia"/>
          <w:color w:val="000000" w:themeColor="text1"/>
          <w:sz w:val="28"/>
          <w:szCs w:val="28"/>
        </w:rPr>
        <w:t>加药混凝沉淀等工艺环节应采用基于水质与水量监测的智能化控制系统，降低药剂消耗。</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3</w:t>
      </w:r>
      <w:r>
        <w:rPr>
          <w:rFonts w:ascii="Times New Roman" w:hAnsi="Times New Roman" w:eastAsiaTheme="minorEastAsia"/>
          <w:color w:val="000000" w:themeColor="text1"/>
          <w:sz w:val="28"/>
          <w:szCs w:val="28"/>
        </w:rPr>
        <w:t>地下式污水厂、地下式泵站照明系统宜采用智能化控制系统，平时可维持在设备监控最低照度水平，当人员进入地下厂房进行巡检、维修等，可恢复正常照明，降低照明电耗。</w:t>
      </w:r>
    </w:p>
    <w:p>
      <w:pPr>
        <w:pStyle w:val="30"/>
        <w:wordWrap w:val="0"/>
        <w:spacing w:line="360" w:lineRule="auto"/>
        <w:ind w:firstLine="562"/>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4</w:t>
      </w:r>
      <w:r>
        <w:rPr>
          <w:rFonts w:ascii="Times New Roman" w:hAnsi="Times New Roman" w:eastAsiaTheme="minorEastAsia"/>
          <w:color w:val="000000" w:themeColor="text1"/>
          <w:sz w:val="28"/>
          <w:szCs w:val="28"/>
        </w:rPr>
        <w:t>地下式污水厂生物反应池、采用加盖形式的地面生物反应池可根据需要采用智能巡检机器人系统，机器人设在生物反应池盖板下方，用于巡视污水厂生物反应池曝气状况，智能判断曝气强弱及曝气设备使用状况，减少人员劳动强度，保障人身安全，为曝气设备的维护提供依据。</w:t>
      </w:r>
    </w:p>
    <w:p>
      <w:pPr>
        <w:pStyle w:val="30"/>
        <w:numPr>
          <w:ilvl w:val="0"/>
          <w:numId w:val="66"/>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排水工程应设智能化集成平台，对智能化各组成系统进行集成，并具有信息采集、数据通信、综合分析处理、可视化展现等功能。</w:t>
      </w:r>
    </w:p>
    <w:p>
      <w:pPr>
        <w:pStyle w:val="3"/>
        <w:numPr>
          <w:ilvl w:val="0"/>
          <w:numId w:val="62"/>
        </w:numPr>
        <w:wordWrap w:val="0"/>
        <w:spacing w:before="312" w:beforeLines="100" w:after="312" w:afterLines="100" w:line="415" w:lineRule="auto"/>
        <w:jc w:val="center"/>
        <w:rPr>
          <w:rFonts w:ascii="Times New Roman" w:hAnsi="Times New Roman" w:eastAsiaTheme="minorEastAsia"/>
          <w:b w:val="0"/>
          <w:color w:val="000000" w:themeColor="text1"/>
          <w:sz w:val="28"/>
          <w:szCs w:val="28"/>
        </w:rPr>
      </w:pPr>
      <w:bookmarkStart w:id="110" w:name="_Toc515281085"/>
      <w:r>
        <w:rPr>
          <w:rFonts w:ascii="Times New Roman" w:hAnsi="Times New Roman" w:eastAsiaTheme="minorEastAsia"/>
          <w:b w:val="0"/>
          <w:color w:val="000000" w:themeColor="text1"/>
          <w:sz w:val="28"/>
          <w:szCs w:val="28"/>
        </w:rPr>
        <w:t>信息化</w:t>
      </w:r>
      <w:bookmarkEnd w:id="110"/>
    </w:p>
    <w:p>
      <w:pPr>
        <w:pStyle w:val="30"/>
        <w:numPr>
          <w:ilvl w:val="0"/>
          <w:numId w:val="67"/>
        </w:numPr>
        <w:wordWrap w:val="0"/>
        <w:spacing w:line="360" w:lineRule="auto"/>
        <w:ind w:left="0" w:firstLine="0" w:firstLineChars="0"/>
        <w:rPr>
          <w:rFonts w:ascii="Times New Roman" w:hAnsi="Times New Roman" w:eastAsiaTheme="minorEastAsia"/>
          <w:color w:val="000000" w:themeColor="text1"/>
          <w:sz w:val="28"/>
          <w:szCs w:val="28"/>
        </w:rPr>
      </w:pPr>
      <w:bookmarkStart w:id="111" w:name="_Toc91661256"/>
      <w:bookmarkStart w:id="112" w:name="_Toc102292577"/>
      <w:r>
        <w:rPr>
          <w:rFonts w:ascii="Times New Roman" w:hAnsi="Times New Roman" w:eastAsiaTheme="minorEastAsia"/>
          <w:color w:val="000000" w:themeColor="text1"/>
          <w:sz w:val="28"/>
          <w:szCs w:val="28"/>
        </w:rPr>
        <w:t>排水工程信息化系统应与管理机制和管理体系相匹配，并应建成从生产到经营管理及决策的完整系统。</w:t>
      </w:r>
    </w:p>
    <w:p>
      <w:pPr>
        <w:pStyle w:val="30"/>
        <w:numPr>
          <w:ilvl w:val="0"/>
          <w:numId w:val="6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排水系统应设排水信息中心，建立信息综合管理平台，实现大数据管理、互联网应用、地理信息查询、决策咨询、设备监控、应急预警、信息发布等功能，并应具有对接智慧城市的技术条件。</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【条文说明】排水信息中心是公司或集团公司级的信息化集成平台。应能对城镇区域内排水管渠、排水泵站、污水厂进行生产信息管理、经营管理决策。</w:t>
      </w:r>
    </w:p>
    <w:p>
      <w:pPr>
        <w:widowControl/>
        <w:wordWrap w:val="0"/>
        <w:ind w:firstLine="565" w:firstLineChars="202"/>
        <w:jc w:val="left"/>
        <w:rPr>
          <w:rFonts w:eastAsiaTheme="minorEastAsia"/>
          <w:color w:val="000000" w:themeColor="text1"/>
          <w:sz w:val="28"/>
          <w:szCs w:val="28"/>
        </w:rPr>
      </w:pPr>
      <w:r>
        <w:rPr>
          <w:rFonts w:eastAsiaTheme="minorEastAsia"/>
          <w:color w:val="000000" w:themeColor="text1"/>
          <w:sz w:val="28"/>
          <w:szCs w:val="28"/>
        </w:rPr>
        <w:t>智慧排水是智慧城市的一个子系统，因此城镇排水系统信息综合管理平台应能兼容智慧城市信息构架体系，应能无缝接入智慧城市信息平台。</w:t>
      </w:r>
    </w:p>
    <w:p>
      <w:pPr>
        <w:pStyle w:val="30"/>
        <w:numPr>
          <w:ilvl w:val="0"/>
          <w:numId w:val="67"/>
        </w:numPr>
        <w:wordWrap w:val="0"/>
        <w:spacing w:line="360" w:lineRule="auto"/>
        <w:ind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污水厂应根据运行管理需求设企业生产管理信息平台。</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企业生产管理信息平台是厂级的信息化集成平台。它将生产监控与运行决策管理有机地结合起来，在企业管理层和现场自动化控制层之间起到了承上启下的作用，实现指导生产运行调度、统计报表、管理设备、成本分析、计划管理、企业体系管理、提升厂级生产管理效率和运营水平信息化管理目标。</w:t>
      </w:r>
    </w:p>
    <w:p>
      <w:pPr>
        <w:pStyle w:val="30"/>
        <w:numPr>
          <w:ilvl w:val="0"/>
          <w:numId w:val="6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排水工程应进行信息化基础设施建设，包括信息网络系统、无线通信网络系统和物联网通信系统等。地下式排水工程还可设移动通信室内信号覆盖系统和无线对讲系统等。</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【条文说明】排水工程进行信息化基础设施建设，是为了部署厂级、公司级管理信息平台打下扎实基础，最终实现排水工程管理的全面信息化，从而达到提高排水工程管理水平和效率的目的。</w:t>
      </w:r>
    </w:p>
    <w:p>
      <w:pPr>
        <w:pStyle w:val="30"/>
        <w:numPr>
          <w:ilvl w:val="0"/>
          <w:numId w:val="6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排水工程宜采用移动互联网技术设移动终端应用系统。</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污水厂、泵站区域控制中心等排水工程宜设移动终端应用系统（APP软件），可设访问权限，授权移动终端进行排水工程地理信息查询、基础信息查询、实时数据监测查询、历史运行信息查询、实时告警信息查询、实时数据巡查查询、在线填报、填报审核、日报统计、日报查询、安全认证等移动办公的功能。</w:t>
      </w:r>
    </w:p>
    <w:p>
      <w:pPr>
        <w:pStyle w:val="30"/>
        <w:numPr>
          <w:ilvl w:val="0"/>
          <w:numId w:val="67"/>
        </w:numPr>
        <w:wordWrap w:val="0"/>
        <w:spacing w:line="360" w:lineRule="auto"/>
        <w:ind w:left="0" w:firstLine="0" w:firstLineChars="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排水工程应采取工业控制网络信息安全防护措施。</w:t>
      </w:r>
    </w:p>
    <w:p>
      <w:pPr>
        <w:widowControl/>
        <w:wordWrap w:val="0"/>
        <w:jc w:val="left"/>
        <w:rPr>
          <w:rFonts w:eastAsiaTheme="minorEastAsia"/>
          <w:color w:val="000000" w:themeColor="text1"/>
          <w:sz w:val="28"/>
          <w:szCs w:val="28"/>
        </w:rPr>
      </w:pPr>
      <w:r>
        <w:rPr>
          <w:rFonts w:eastAsiaTheme="minorEastAsia"/>
          <w:color w:val="000000" w:themeColor="text1"/>
          <w:sz w:val="28"/>
          <w:szCs w:val="28"/>
        </w:rPr>
        <w:t>【条文说明】近年来工业领域信息安全事件频发，因此信息化系统应考虑适当的软硬件防护措施。信息系统安全防护要求可参照现行国家标准《信息安全技术 信息系统安全等级保护基本要求》GB/T 22239。</w:t>
      </w:r>
    </w:p>
    <w:p>
      <w:pPr>
        <w:widowControl/>
        <w:wordWrap w:val="0"/>
        <w:jc w:val="left"/>
        <w:rPr>
          <w:rFonts w:eastAsiaTheme="minorEastAsia"/>
          <w:b/>
          <w:color w:val="000000" w:themeColor="text1"/>
          <w:spacing w:val="8"/>
          <w:kern w:val="0"/>
          <w:sz w:val="28"/>
          <w:szCs w:val="28"/>
        </w:rPr>
      </w:pPr>
      <w:r>
        <w:rPr>
          <w:rFonts w:eastAsiaTheme="minorEastAsia"/>
          <w:color w:val="000000" w:themeColor="text1"/>
          <w:sz w:val="28"/>
          <w:szCs w:val="28"/>
        </w:rPr>
        <w:br w:type="page"/>
      </w:r>
    </w:p>
    <w:p>
      <w:pPr>
        <w:pStyle w:val="2"/>
        <w:wordWrap w:val="0"/>
        <w:spacing w:before="312" w:after="312"/>
        <w:rPr>
          <w:sz w:val="28"/>
          <w:szCs w:val="28"/>
        </w:rPr>
      </w:pPr>
      <w:bookmarkStart w:id="113" w:name="_Toc515281086"/>
      <w:r>
        <w:rPr>
          <w:sz w:val="28"/>
          <w:szCs w:val="28"/>
        </w:rPr>
        <w:t>附录A 暴雨强度公式的编制方法</w:t>
      </w:r>
      <w:bookmarkEnd w:id="111"/>
      <w:bookmarkEnd w:id="112"/>
      <w:bookmarkEnd w:id="113"/>
    </w:p>
    <w:p>
      <w:pPr>
        <w:wordWrap w:val="0"/>
        <w:jc w:val="center"/>
        <w:rPr>
          <w:rFonts w:eastAsiaTheme="minorEastAsia"/>
          <w:color w:val="000000" w:themeColor="text1"/>
          <w:spacing w:val="8"/>
          <w:kern w:val="0"/>
          <w:sz w:val="28"/>
          <w:szCs w:val="28"/>
        </w:rPr>
      </w:pPr>
      <w:r>
        <w:rPr>
          <w:rFonts w:eastAsiaTheme="minorEastAsia"/>
          <w:color w:val="000000" w:themeColor="text1"/>
          <w:spacing w:val="8"/>
          <w:kern w:val="0"/>
          <w:sz w:val="28"/>
          <w:szCs w:val="28"/>
        </w:rPr>
        <w:fldChar w:fldCharType="begin"/>
      </w:r>
      <w:r>
        <w:rPr>
          <w:rFonts w:eastAsiaTheme="minorEastAsia"/>
          <w:color w:val="000000" w:themeColor="text1"/>
          <w:spacing w:val="8"/>
          <w:kern w:val="0"/>
          <w:sz w:val="28"/>
          <w:szCs w:val="28"/>
        </w:rPr>
        <w:instrText xml:space="preserve"> = 1 \* ROMAN </w:instrText>
      </w:r>
      <w:r>
        <w:rPr>
          <w:rFonts w:eastAsiaTheme="minorEastAsia"/>
          <w:color w:val="000000" w:themeColor="text1"/>
          <w:spacing w:val="8"/>
          <w:kern w:val="0"/>
          <w:sz w:val="28"/>
          <w:szCs w:val="28"/>
        </w:rPr>
        <w:fldChar w:fldCharType="separate"/>
      </w:r>
      <w:r>
        <w:rPr>
          <w:rFonts w:eastAsiaTheme="minorEastAsia"/>
          <w:color w:val="000000" w:themeColor="text1"/>
          <w:spacing w:val="8"/>
          <w:kern w:val="0"/>
          <w:sz w:val="28"/>
          <w:szCs w:val="28"/>
        </w:rPr>
        <w:t>I</w:t>
      </w:r>
      <w:r>
        <w:rPr>
          <w:rFonts w:eastAsiaTheme="minorEastAsia"/>
          <w:color w:val="000000" w:themeColor="text1"/>
          <w:spacing w:val="8"/>
          <w:kern w:val="0"/>
          <w:sz w:val="28"/>
          <w:szCs w:val="28"/>
        </w:rPr>
        <w:fldChar w:fldCharType="end"/>
      </w:r>
      <w:r>
        <w:rPr>
          <w:rFonts w:eastAsiaTheme="minorEastAsia"/>
          <w:color w:val="000000" w:themeColor="text1"/>
          <w:spacing w:val="8"/>
          <w:kern w:val="0"/>
          <w:sz w:val="28"/>
          <w:szCs w:val="28"/>
        </w:rPr>
        <w:t xml:space="preserve"> 年最大值法取样</w:t>
      </w:r>
    </w:p>
    <w:p>
      <w:pPr>
        <w:pStyle w:val="11"/>
        <w:wordWrap w:val="0"/>
        <w:spacing w:line="276" w:lineRule="auto"/>
        <w:ind w:firstLine="0"/>
        <w:rPr>
          <w:rFonts w:eastAsiaTheme="minorEastAsia"/>
          <w:b/>
          <w:color w:val="000000" w:themeColor="text1"/>
          <w:szCs w:val="28"/>
        </w:rPr>
      </w:pPr>
      <w:r>
        <w:rPr>
          <w:rFonts w:eastAsiaTheme="minorEastAsia"/>
          <w:b/>
          <w:bCs/>
          <w:color w:val="000000" w:themeColor="text1"/>
          <w:szCs w:val="28"/>
        </w:rPr>
        <w:t>A.0.1</w:t>
      </w:r>
      <w:r>
        <w:rPr>
          <w:rFonts w:eastAsiaTheme="minorEastAsia"/>
          <w:bCs/>
          <w:color w:val="000000" w:themeColor="text1"/>
          <w:szCs w:val="28"/>
        </w:rPr>
        <w:t xml:space="preserve"> 本方法适用于具有20年以上自记雨量记录的地区,有条件的地区可用30年以上的雨量系列，暴雨样本选样方法可采用最大值法。若在时段内任一时段超过历史最大值，宜进行复核修正。</w:t>
      </w:r>
    </w:p>
    <w:p>
      <w:pPr>
        <w:pStyle w:val="11"/>
        <w:wordWrap w:val="0"/>
        <w:spacing w:line="276" w:lineRule="auto"/>
        <w:ind w:firstLine="0"/>
        <w:rPr>
          <w:rFonts w:eastAsiaTheme="minorEastAsia"/>
          <w:color w:val="000000" w:themeColor="text1"/>
          <w:szCs w:val="28"/>
        </w:rPr>
      </w:pPr>
      <w:r>
        <w:rPr>
          <w:rFonts w:eastAsiaTheme="minorEastAsia"/>
          <w:b/>
          <w:color w:val="000000" w:themeColor="text1"/>
          <w:szCs w:val="28"/>
        </w:rPr>
        <w:t>A.0.</w:t>
      </w:r>
      <w:r>
        <w:rPr>
          <w:rFonts w:hint="eastAsia" w:eastAsiaTheme="minorEastAsia"/>
          <w:b/>
          <w:color w:val="000000" w:themeColor="text1"/>
          <w:szCs w:val="28"/>
        </w:rPr>
        <w:t>2</w:t>
      </w:r>
      <w:r>
        <w:rPr>
          <w:rFonts w:eastAsiaTheme="minorEastAsia"/>
          <w:color w:val="000000" w:themeColor="text1"/>
          <w:szCs w:val="28"/>
        </w:rPr>
        <w:t>计算降雨历时采用5min、10min、15min、20min、30min、45min、60min、90min、120min、150min、180min共十一个历时。计算降雨重现期宜按2年、3年、5年、10年、20年、30年、50年、100年统计。</w:t>
      </w:r>
    </w:p>
    <w:p>
      <w:pPr>
        <w:wordWrap w:val="0"/>
        <w:rPr>
          <w:rFonts w:eastAsiaTheme="minorEastAsia"/>
          <w:color w:val="000000" w:themeColor="text1"/>
          <w:sz w:val="28"/>
          <w:szCs w:val="28"/>
        </w:rPr>
      </w:pPr>
      <w:r>
        <w:rPr>
          <w:rFonts w:eastAsiaTheme="minorEastAsia"/>
          <w:b/>
          <w:bCs/>
          <w:color w:val="000000" w:themeColor="text1"/>
          <w:sz w:val="28"/>
          <w:szCs w:val="28"/>
        </w:rPr>
        <w:t>A.0.</w:t>
      </w:r>
      <w:r>
        <w:rPr>
          <w:rFonts w:hint="eastAsia" w:eastAsiaTheme="minorEastAsia"/>
          <w:b/>
          <w:bCs/>
          <w:color w:val="000000" w:themeColor="text1"/>
          <w:sz w:val="28"/>
          <w:szCs w:val="28"/>
        </w:rPr>
        <w:t>3</w:t>
      </w:r>
      <w:r>
        <w:rPr>
          <w:rFonts w:eastAsiaTheme="minorEastAsia"/>
          <w:color w:val="000000" w:themeColor="text1"/>
          <w:sz w:val="28"/>
          <w:szCs w:val="28"/>
        </w:rPr>
        <w:t xml:space="preserve"> 选取的各历时降雨资料，应采用经验频率曲线或理论频率曲线加以调整，一般采用理论频率曲线，包括皮尔逊III型分布曲线、耿贝尔分布曲线和指数分布曲线。根据确定的频率曲线，得出重现期、降雨强度和降雨历时三者的关系，即</w:t>
      </w:r>
      <w:r>
        <w:rPr>
          <w:rFonts w:eastAsiaTheme="minorEastAsia"/>
          <w:i/>
          <w:color w:val="000000" w:themeColor="text1"/>
          <w:sz w:val="28"/>
          <w:szCs w:val="28"/>
        </w:rPr>
        <w:t>P、i、t</w:t>
      </w:r>
      <w:r>
        <w:rPr>
          <w:rFonts w:eastAsiaTheme="minorEastAsia"/>
          <w:color w:val="000000" w:themeColor="text1"/>
          <w:sz w:val="28"/>
          <w:szCs w:val="28"/>
        </w:rPr>
        <w:t>关系值。</w:t>
      </w:r>
    </w:p>
    <w:p>
      <w:pPr>
        <w:wordWrap w:val="0"/>
        <w:rPr>
          <w:rFonts w:eastAsiaTheme="minorEastAsia"/>
          <w:color w:val="000000" w:themeColor="text1"/>
          <w:sz w:val="28"/>
          <w:szCs w:val="28"/>
        </w:rPr>
      </w:pPr>
      <w:r>
        <w:rPr>
          <w:rFonts w:eastAsiaTheme="minorEastAsia"/>
          <w:b/>
          <w:bCs/>
          <w:color w:val="000000" w:themeColor="text1"/>
          <w:sz w:val="28"/>
          <w:szCs w:val="28"/>
        </w:rPr>
        <w:t>A.0.</w:t>
      </w:r>
      <w:r>
        <w:rPr>
          <w:rFonts w:hint="eastAsia" w:eastAsiaTheme="minorEastAsia"/>
          <w:b/>
          <w:bCs/>
          <w:color w:val="000000" w:themeColor="text1"/>
          <w:sz w:val="28"/>
          <w:szCs w:val="28"/>
        </w:rPr>
        <w:t>4</w:t>
      </w:r>
      <w:r>
        <w:rPr>
          <w:rFonts w:eastAsiaTheme="minorEastAsia"/>
          <w:color w:val="000000" w:themeColor="text1"/>
          <w:sz w:val="28"/>
          <w:szCs w:val="28"/>
        </w:rPr>
        <w:t xml:space="preserve"> 根据</w:t>
      </w:r>
      <w:r>
        <w:rPr>
          <w:rFonts w:eastAsiaTheme="minorEastAsia"/>
          <w:i/>
          <w:color w:val="000000" w:themeColor="text1"/>
          <w:sz w:val="28"/>
          <w:szCs w:val="28"/>
        </w:rPr>
        <w:t>p、i、t</w:t>
      </w:r>
      <w:r>
        <w:rPr>
          <w:rFonts w:eastAsiaTheme="minorEastAsia"/>
          <w:color w:val="000000" w:themeColor="text1"/>
          <w:sz w:val="28"/>
          <w:szCs w:val="28"/>
        </w:rPr>
        <w:t>关系值求得</w:t>
      </w:r>
      <w:r>
        <w:rPr>
          <w:rFonts w:eastAsiaTheme="minorEastAsia"/>
          <w:i/>
          <w:color w:val="000000" w:themeColor="text1"/>
          <w:sz w:val="28"/>
          <w:szCs w:val="28"/>
        </w:rPr>
        <w:t>A</w:t>
      </w:r>
      <w:r>
        <w:rPr>
          <w:rFonts w:eastAsiaTheme="minorEastAsia"/>
          <w:color w:val="000000" w:themeColor="text1"/>
          <w:sz w:val="28"/>
          <w:szCs w:val="28"/>
          <w:vertAlign w:val="subscript"/>
        </w:rPr>
        <w:t>1</w:t>
      </w:r>
      <w:r>
        <w:rPr>
          <w:rFonts w:eastAsiaTheme="minorEastAsia"/>
          <w:color w:val="000000" w:themeColor="text1"/>
          <w:sz w:val="28"/>
          <w:szCs w:val="28"/>
        </w:rPr>
        <w:t>、</w:t>
      </w:r>
      <w:r>
        <w:rPr>
          <w:rFonts w:eastAsiaTheme="minorEastAsia"/>
          <w:i/>
          <w:color w:val="000000" w:themeColor="text1"/>
          <w:sz w:val="28"/>
          <w:szCs w:val="28"/>
        </w:rPr>
        <w:t>b、C、n</w:t>
      </w:r>
      <w:r>
        <w:rPr>
          <w:rFonts w:eastAsiaTheme="minorEastAsia"/>
          <w:color w:val="000000" w:themeColor="text1"/>
          <w:sz w:val="28"/>
          <w:szCs w:val="28"/>
        </w:rPr>
        <w:t>各个参数。可采用图解法、解析法、图解与计算结合法等方法进行。为提高暴雨强度公式的精度，一般采用高斯-牛顿法。将求得的各个参数代入</w:t>
      </w:r>
    </w:p>
    <w:p>
      <w:pPr>
        <w:wordWrap w:val="0"/>
        <w:rPr>
          <w:rFonts w:eastAsiaTheme="minorEastAsia"/>
          <w:color w:val="000000" w:themeColor="text1"/>
          <w:sz w:val="28"/>
          <w:szCs w:val="28"/>
        </w:rPr>
      </w:pPr>
      <w:r>
        <w:rPr>
          <w:rFonts w:eastAsiaTheme="minorEastAsia"/>
          <w:color w:val="000000" w:themeColor="text1"/>
          <w:sz w:val="28"/>
          <w:szCs w:val="28"/>
        </w:rPr>
        <w:object>
          <v:shape id="_x0000_i1061" o:spt="75" type="#_x0000_t75" style="height:35.55pt;width:101.9pt;" o:ole="t" fillcolor="#000005 [-4142]" filled="f" o:preferrelative="t" stroked="f" coordsize="21600,21600">
            <v:path/>
            <v:fill on="f" focussize="0,0"/>
            <v:stroke on="f" joinstyle="miter"/>
            <v:imagedata r:id="rId94" o:title=""/>
            <o:lock v:ext="edit" aspectratio="t"/>
            <w10:wrap type="none"/>
            <w10:anchorlock/>
          </v:shape>
          <o:OLEObject Type="Embed" ProgID="Equation.3" ShapeID="_x0000_i1061" DrawAspect="Content" ObjectID="_1468075761" r:id="rId93">
            <o:LockedField>false</o:LockedField>
          </o:OLEObject>
        </w:object>
      </w:r>
      <w:r>
        <w:rPr>
          <w:rFonts w:eastAsiaTheme="minorEastAsia"/>
          <w:color w:val="000000" w:themeColor="text1"/>
          <w:sz w:val="28"/>
          <w:szCs w:val="28"/>
        </w:rPr>
        <w:t>，即得当地的暴雨强度公式。</w:t>
      </w:r>
    </w:p>
    <w:p>
      <w:pPr>
        <w:wordWrap w:val="0"/>
        <w:rPr>
          <w:rFonts w:eastAsiaTheme="minorEastAsia"/>
          <w:bCs/>
          <w:color w:val="000000" w:themeColor="text1"/>
          <w:sz w:val="28"/>
          <w:szCs w:val="28"/>
        </w:rPr>
      </w:pPr>
      <w:r>
        <w:rPr>
          <w:rFonts w:eastAsiaTheme="minorEastAsia"/>
          <w:b/>
          <w:bCs/>
          <w:color w:val="000000" w:themeColor="text1"/>
          <w:sz w:val="28"/>
          <w:szCs w:val="28"/>
        </w:rPr>
        <w:t>A.0.</w:t>
      </w:r>
      <w:r>
        <w:rPr>
          <w:rFonts w:hint="eastAsia" w:eastAsiaTheme="minorEastAsia"/>
          <w:b/>
          <w:bCs/>
          <w:color w:val="000000" w:themeColor="text1"/>
          <w:sz w:val="28"/>
          <w:szCs w:val="28"/>
        </w:rPr>
        <w:t>5</w:t>
      </w:r>
      <w:r>
        <w:rPr>
          <w:rFonts w:eastAsiaTheme="minorEastAsia"/>
          <w:color w:val="000000" w:themeColor="text1"/>
          <w:sz w:val="28"/>
          <w:szCs w:val="28"/>
        </w:rPr>
        <w:t xml:space="preserve"> 计算抽样误差和暴雨公式均方差。宜按绝对均方差计算，也可辅以相对均方差计算。计算重现期在2～20年时，在一般强度的地方，平均绝对方差不宜大于0.05mm/min。在较大强度的地方，平均相对方差不宜大于5%。</w:t>
      </w:r>
      <w:r>
        <w:rPr>
          <w:rFonts w:eastAsiaTheme="minorEastAsia"/>
          <w:bCs/>
          <w:color w:val="000000" w:themeColor="text1"/>
          <w:sz w:val="28"/>
          <w:szCs w:val="28"/>
        </w:rPr>
        <w:br w:type="page"/>
      </w:r>
    </w:p>
    <w:p>
      <w:pPr>
        <w:wordWrap w:val="0"/>
        <w:jc w:val="center"/>
        <w:rPr>
          <w:rFonts w:eastAsiaTheme="minorEastAsia"/>
          <w:color w:val="000000" w:themeColor="text1"/>
          <w:spacing w:val="8"/>
          <w:kern w:val="0"/>
          <w:sz w:val="28"/>
          <w:szCs w:val="28"/>
        </w:rPr>
      </w:pPr>
      <w:r>
        <w:rPr>
          <w:rFonts w:eastAsiaTheme="minorEastAsia"/>
          <w:color w:val="000000" w:themeColor="text1"/>
          <w:spacing w:val="8"/>
          <w:kern w:val="0"/>
          <w:sz w:val="28"/>
          <w:szCs w:val="28"/>
        </w:rPr>
        <w:fldChar w:fldCharType="begin"/>
      </w:r>
      <w:r>
        <w:rPr>
          <w:rFonts w:eastAsiaTheme="minorEastAsia"/>
          <w:color w:val="000000" w:themeColor="text1"/>
          <w:spacing w:val="8"/>
          <w:kern w:val="0"/>
          <w:sz w:val="28"/>
          <w:szCs w:val="28"/>
        </w:rPr>
        <w:instrText xml:space="preserve"> = 2 \* ROMAN </w:instrText>
      </w:r>
      <w:r>
        <w:rPr>
          <w:rFonts w:eastAsiaTheme="minorEastAsia"/>
          <w:color w:val="000000" w:themeColor="text1"/>
          <w:spacing w:val="8"/>
          <w:kern w:val="0"/>
          <w:sz w:val="28"/>
          <w:szCs w:val="28"/>
        </w:rPr>
        <w:fldChar w:fldCharType="separate"/>
      </w:r>
      <w:r>
        <w:rPr>
          <w:rFonts w:eastAsiaTheme="minorEastAsia"/>
          <w:color w:val="000000" w:themeColor="text1"/>
          <w:spacing w:val="8"/>
          <w:kern w:val="0"/>
          <w:sz w:val="28"/>
          <w:szCs w:val="28"/>
        </w:rPr>
        <w:t>II</w:t>
      </w:r>
      <w:r>
        <w:rPr>
          <w:rFonts w:eastAsiaTheme="minorEastAsia"/>
          <w:color w:val="000000" w:themeColor="text1"/>
          <w:spacing w:val="8"/>
          <w:kern w:val="0"/>
          <w:sz w:val="28"/>
          <w:szCs w:val="28"/>
        </w:rPr>
        <w:fldChar w:fldCharType="end"/>
      </w:r>
      <w:r>
        <w:rPr>
          <w:rFonts w:eastAsiaTheme="minorEastAsia"/>
          <w:color w:val="000000" w:themeColor="text1"/>
          <w:spacing w:val="8"/>
          <w:kern w:val="0"/>
          <w:sz w:val="28"/>
          <w:szCs w:val="28"/>
        </w:rPr>
        <w:t xml:space="preserve"> 年多个样法取样</w:t>
      </w:r>
    </w:p>
    <w:p>
      <w:pPr>
        <w:widowControl/>
        <w:wordWrap w:val="0"/>
        <w:jc w:val="left"/>
        <w:rPr>
          <w:rFonts w:eastAsiaTheme="minorEastAsia"/>
          <w:bCs/>
          <w:color w:val="000000" w:themeColor="text1"/>
          <w:sz w:val="28"/>
          <w:szCs w:val="28"/>
        </w:rPr>
      </w:pPr>
      <w:r>
        <w:rPr>
          <w:rFonts w:eastAsiaTheme="minorEastAsia"/>
          <w:b/>
          <w:bCs/>
          <w:color w:val="000000" w:themeColor="text1"/>
          <w:sz w:val="28"/>
          <w:szCs w:val="28"/>
        </w:rPr>
        <w:t>A.0.6</w:t>
      </w:r>
      <w:r>
        <w:rPr>
          <w:rFonts w:eastAsiaTheme="minorEastAsia"/>
          <w:bCs/>
          <w:color w:val="000000" w:themeColor="text1"/>
          <w:sz w:val="28"/>
          <w:szCs w:val="28"/>
        </w:rPr>
        <w:t xml:space="preserve"> 本方法适用于具有10年以上自动雨量记录的地区。</w:t>
      </w:r>
    </w:p>
    <w:p>
      <w:pPr>
        <w:widowControl/>
        <w:wordWrap w:val="0"/>
        <w:jc w:val="left"/>
        <w:rPr>
          <w:rFonts w:eastAsiaTheme="minorEastAsia"/>
          <w:bCs/>
          <w:color w:val="000000" w:themeColor="text1"/>
          <w:sz w:val="28"/>
          <w:szCs w:val="28"/>
        </w:rPr>
      </w:pPr>
      <w:r>
        <w:rPr>
          <w:rFonts w:eastAsiaTheme="minorEastAsia"/>
          <w:b/>
          <w:bCs/>
          <w:color w:val="000000" w:themeColor="text1"/>
          <w:sz w:val="28"/>
          <w:szCs w:val="28"/>
        </w:rPr>
        <w:t>A.0.7</w:t>
      </w:r>
      <w:r>
        <w:rPr>
          <w:rFonts w:eastAsiaTheme="minorEastAsia"/>
          <w:bCs/>
          <w:color w:val="000000" w:themeColor="text1"/>
          <w:sz w:val="28"/>
          <w:szCs w:val="28"/>
        </w:rPr>
        <w:t xml:space="preserve"> 计算降雨历时采用5min、10min、15min、20min、30min、45min、60min、90min、120min共九个历时。计算降雨重现期宜按0.25年、0.33年、0.5年、1年、2年、3年、5年、10年统计。资料条件较好时（资料年数≥20年、子样点的排列比较规律），也可统计高于10年的重现期。</w:t>
      </w:r>
    </w:p>
    <w:p>
      <w:pPr>
        <w:widowControl/>
        <w:wordWrap w:val="0"/>
        <w:jc w:val="left"/>
        <w:rPr>
          <w:rFonts w:eastAsiaTheme="minorEastAsia"/>
          <w:bCs/>
          <w:color w:val="000000" w:themeColor="text1"/>
          <w:sz w:val="28"/>
          <w:szCs w:val="28"/>
        </w:rPr>
      </w:pPr>
      <w:r>
        <w:rPr>
          <w:rFonts w:eastAsiaTheme="minorEastAsia"/>
          <w:b/>
          <w:bCs/>
          <w:color w:val="000000" w:themeColor="text1"/>
          <w:sz w:val="28"/>
          <w:szCs w:val="28"/>
        </w:rPr>
        <w:t>A.0.8</w:t>
      </w:r>
      <w:r>
        <w:rPr>
          <w:rFonts w:eastAsiaTheme="minorEastAsia"/>
          <w:bCs/>
          <w:color w:val="000000" w:themeColor="text1"/>
          <w:sz w:val="28"/>
          <w:szCs w:val="28"/>
        </w:rPr>
        <w:t xml:space="preserve"> 取样方法宜采用年多个样法，每年每个历时选择6～8个最大值，然后不论年次，将每个历时子样按大小次序排列，再从中选择资料年数的3～4倍的最大值，作为统计的基础资料。</w:t>
      </w:r>
    </w:p>
    <w:p>
      <w:pPr>
        <w:widowControl/>
        <w:wordWrap w:val="0"/>
        <w:jc w:val="left"/>
        <w:rPr>
          <w:rFonts w:eastAsiaTheme="minorEastAsia"/>
          <w:bCs/>
          <w:color w:val="000000" w:themeColor="text1"/>
          <w:sz w:val="28"/>
          <w:szCs w:val="28"/>
        </w:rPr>
      </w:pPr>
      <w:r>
        <w:rPr>
          <w:rFonts w:eastAsiaTheme="minorEastAsia"/>
          <w:b/>
          <w:bCs/>
          <w:color w:val="000000" w:themeColor="text1"/>
          <w:sz w:val="28"/>
          <w:szCs w:val="28"/>
        </w:rPr>
        <w:t>A.0.9</w:t>
      </w:r>
      <w:r>
        <w:rPr>
          <w:rFonts w:eastAsiaTheme="minorEastAsia"/>
          <w:bCs/>
          <w:color w:val="000000" w:themeColor="text1"/>
          <w:sz w:val="28"/>
          <w:szCs w:val="28"/>
        </w:rPr>
        <w:t xml:space="preserve"> 选取的各历时降雨资料，一般应用频率曲线加以调整。当精度要求不太高时，可采用经验频率曲线；当精度要求较高时，可采用皮尔逊III型分布曲线或指数分布曲线等理论频率曲线。根据确定的频率曲线，得出重现期、降雨强度和降雨历时三者的关系，即P、i、t关系值。</w:t>
      </w:r>
    </w:p>
    <w:p>
      <w:pPr>
        <w:widowControl/>
        <w:wordWrap w:val="0"/>
        <w:jc w:val="left"/>
        <w:rPr>
          <w:rFonts w:eastAsiaTheme="minorEastAsia"/>
          <w:bCs/>
          <w:color w:val="000000" w:themeColor="text1"/>
          <w:sz w:val="28"/>
          <w:szCs w:val="28"/>
        </w:rPr>
      </w:pPr>
      <w:r>
        <w:rPr>
          <w:rFonts w:eastAsiaTheme="minorEastAsia"/>
          <w:b/>
          <w:bCs/>
          <w:color w:val="000000" w:themeColor="text1"/>
          <w:sz w:val="28"/>
          <w:szCs w:val="28"/>
        </w:rPr>
        <w:t>A.0.10</w:t>
      </w:r>
      <w:r>
        <w:rPr>
          <w:rFonts w:eastAsiaTheme="minorEastAsia"/>
          <w:bCs/>
          <w:color w:val="000000" w:themeColor="text1"/>
          <w:sz w:val="28"/>
          <w:szCs w:val="28"/>
        </w:rPr>
        <w:t xml:space="preserve"> 根据P、i、t关系值求得b、n、A1、C各个参数，可用解析法、图解与计算结合法或图解法等方法进行。将求得的各参数</w:t>
      </w:r>
    </w:p>
    <w:p>
      <w:pPr>
        <w:widowControl/>
        <w:wordWrap w:val="0"/>
        <w:jc w:val="left"/>
        <w:rPr>
          <w:rFonts w:eastAsiaTheme="minorEastAsia"/>
          <w:bCs/>
          <w:color w:val="000000" w:themeColor="text1"/>
          <w:sz w:val="28"/>
          <w:szCs w:val="28"/>
        </w:rPr>
      </w:pPr>
      <w:r>
        <w:rPr>
          <w:rFonts w:eastAsiaTheme="minorEastAsia"/>
          <w:bCs/>
          <w:color w:val="000000" w:themeColor="text1"/>
          <w:sz w:val="28"/>
          <w:szCs w:val="28"/>
        </w:rPr>
        <w:t>代入</w:t>
      </w:r>
      <w:r>
        <w:rPr>
          <w:rFonts w:eastAsiaTheme="minorEastAsia"/>
          <w:bCs/>
          <w:color w:val="000000" w:themeColor="text1"/>
          <w:sz w:val="28"/>
          <w:szCs w:val="28"/>
        </w:rPr>
        <w:object>
          <v:shape id="_x0000_i1062" o:spt="75" type="#_x0000_t75" style="height:35.55pt;width:101.9pt;" o:ole="t" fillcolor="#000005 [-4142]" filled="f" o:preferrelative="t" stroked="f" coordsize="21600,21600">
            <v:path/>
            <v:fill on="f" focussize="0,0"/>
            <v:stroke on="f" joinstyle="miter"/>
            <v:imagedata r:id="rId94" o:title=""/>
            <o:lock v:ext="edit" aspectratio="t"/>
            <w10:wrap type="none"/>
            <w10:anchorlock/>
          </v:shape>
          <o:OLEObject Type="Embed" ProgID="Equation.3" ShapeID="_x0000_i1062" DrawAspect="Content" ObjectID="_1468075762" r:id="rId95">
            <o:LockedField>false</o:LockedField>
          </o:OLEObject>
        </w:object>
      </w:r>
      <w:r>
        <w:rPr>
          <w:rFonts w:eastAsiaTheme="minorEastAsia"/>
          <w:bCs/>
          <w:color w:val="000000" w:themeColor="text1"/>
          <w:sz w:val="28"/>
          <w:szCs w:val="28"/>
        </w:rPr>
        <w:t>，即得当地的暴雨强度公式。</w:t>
      </w:r>
    </w:p>
    <w:p>
      <w:pPr>
        <w:widowControl/>
        <w:wordWrap w:val="0"/>
        <w:jc w:val="left"/>
        <w:rPr>
          <w:rFonts w:eastAsiaTheme="minorEastAsia"/>
          <w:bCs/>
          <w:color w:val="000000" w:themeColor="text1"/>
          <w:sz w:val="28"/>
          <w:szCs w:val="28"/>
        </w:rPr>
      </w:pPr>
      <w:r>
        <w:rPr>
          <w:rFonts w:eastAsiaTheme="minorEastAsia"/>
          <w:b/>
          <w:bCs/>
          <w:color w:val="000000" w:themeColor="text1"/>
          <w:sz w:val="28"/>
          <w:szCs w:val="28"/>
        </w:rPr>
        <w:t>A.0.11</w:t>
      </w:r>
      <w:r>
        <w:rPr>
          <w:rFonts w:eastAsiaTheme="minorEastAsia"/>
          <w:bCs/>
          <w:color w:val="000000" w:themeColor="text1"/>
          <w:sz w:val="28"/>
          <w:szCs w:val="28"/>
        </w:rPr>
        <w:t xml:space="preserve"> 计算抽样误差和暴雨公式均方差。一般按绝对均方差计算，也可辅以相对均方差计算。计算重现期在0.25～10年时，在一般强度的地方，平均绝对方差不宜大于0.05mm/min。在较大强度的地方，平均相对方差不宜大于5%。</w:t>
      </w:r>
    </w:p>
    <w:p>
      <w:pPr>
        <w:widowControl/>
        <w:adjustRightInd/>
        <w:spacing w:line="240" w:lineRule="auto"/>
        <w:jc w:val="left"/>
        <w:textAlignment w:val="auto"/>
        <w:rPr>
          <w:rFonts w:eastAsiaTheme="minorEastAsia"/>
          <w:bCs/>
          <w:color w:val="000000" w:themeColor="text1"/>
          <w:sz w:val="28"/>
          <w:szCs w:val="28"/>
        </w:rPr>
      </w:pPr>
      <w:r>
        <w:rPr>
          <w:rFonts w:eastAsiaTheme="minorEastAsia"/>
          <w:bCs/>
          <w:color w:val="000000" w:themeColor="text1"/>
          <w:sz w:val="28"/>
          <w:szCs w:val="28"/>
        </w:rPr>
        <w:br w:type="page"/>
      </w:r>
    </w:p>
    <w:p>
      <w:pPr>
        <w:pStyle w:val="2"/>
        <w:wordWrap w:val="0"/>
        <w:spacing w:before="312" w:after="312"/>
        <w:rPr>
          <w:sz w:val="28"/>
          <w:szCs w:val="28"/>
        </w:rPr>
      </w:pPr>
      <w:bookmarkStart w:id="114" w:name="_Toc515281087"/>
      <w:bookmarkStart w:id="115" w:name="_Toc102292578"/>
      <w:r>
        <w:rPr>
          <w:sz w:val="28"/>
          <w:szCs w:val="28"/>
        </w:rPr>
        <w:t>附录B 排水管道和其他地下管线（构筑物）的最小净距</w:t>
      </w:r>
      <w:bookmarkEnd w:id="114"/>
      <w:bookmarkEnd w:id="115"/>
    </w:p>
    <w:p>
      <w:pPr>
        <w:wordWrap w:val="0"/>
        <w:jc w:val="center"/>
        <w:rPr>
          <w:rFonts w:eastAsiaTheme="minorEastAsia"/>
          <w:b/>
          <w:color w:val="000000" w:themeColor="text1"/>
          <w:sz w:val="28"/>
          <w:szCs w:val="28"/>
        </w:rPr>
      </w:pPr>
      <w:r>
        <w:rPr>
          <w:rFonts w:eastAsiaTheme="minorEastAsia"/>
          <w:b/>
          <w:color w:val="000000" w:themeColor="text1"/>
          <w:sz w:val="28"/>
          <w:szCs w:val="28"/>
        </w:rPr>
        <w:t>表B 排水管道和其他地下管线（构筑物）的最小净距</w:t>
      </w:r>
    </w:p>
    <w:tbl>
      <w:tblPr>
        <w:tblStyle w:val="25"/>
        <w:tblW w:w="76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80"/>
        <w:gridCol w:w="116"/>
        <w:gridCol w:w="151"/>
        <w:gridCol w:w="2043"/>
        <w:gridCol w:w="1532"/>
        <w:gridCol w:w="14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bookmarkStart w:id="116" w:name="_Toc91661258"/>
            <w:r>
              <w:rPr>
                <w:rFonts w:eastAsiaTheme="minorEastAsia"/>
                <w:color w:val="000000" w:themeColor="text1"/>
                <w:sz w:val="28"/>
                <w:szCs w:val="28"/>
              </w:rPr>
              <w:t>名    称</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水平净距（m）</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垂直净距（m）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建 筑 物</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见注3</w:t>
            </w:r>
          </w:p>
        </w:tc>
        <w:tc>
          <w:tcPr>
            <w:tcW w:w="1438" w:type="dxa"/>
            <w:tcBorders>
              <w:bottom w:val="single" w:color="auto" w:sz="4" w:space="0"/>
            </w:tcBorders>
            <w:vAlign w:val="center"/>
          </w:tcPr>
          <w:p>
            <w:pPr>
              <w:wordWrap w:val="0"/>
              <w:jc w:val="center"/>
              <w:rPr>
                <w:rFonts w:eastAsiaTheme="minorEastAsia"/>
                <w:color w:val="000000" w:themeColor="text1"/>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406" w:type="dxa"/>
            <w:gridSpan w:val="2"/>
            <w:vMerge w:val="restart"/>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给水管</w:t>
            </w:r>
          </w:p>
        </w:tc>
        <w:tc>
          <w:tcPr>
            <w:tcW w:w="2310" w:type="dxa"/>
            <w:gridSpan w:val="3"/>
            <w:vAlign w:val="center"/>
          </w:tcPr>
          <w:p>
            <w:pPr>
              <w:wordWrap w:val="0"/>
              <w:jc w:val="center"/>
              <w:rPr>
                <w:rFonts w:eastAsiaTheme="minorEastAsia"/>
                <w:color w:val="000000" w:themeColor="text1"/>
                <w:sz w:val="28"/>
                <w:szCs w:val="28"/>
              </w:rPr>
            </w:pPr>
            <w:r>
              <w:rPr>
                <w:rFonts w:eastAsiaTheme="minorEastAsia"/>
                <w:i/>
                <w:color w:val="000000" w:themeColor="text1"/>
                <w:sz w:val="28"/>
                <w:szCs w:val="28"/>
              </w:rPr>
              <w:t>d</w:t>
            </w:r>
            <w:r>
              <w:rPr>
                <w:rFonts w:eastAsiaTheme="minorEastAsia"/>
                <w:color w:val="000000" w:themeColor="text1"/>
                <w:sz w:val="28"/>
                <w:szCs w:val="28"/>
              </w:rPr>
              <w:t>≤200mm</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w:t>
            </w:r>
          </w:p>
        </w:tc>
        <w:tc>
          <w:tcPr>
            <w:tcW w:w="1438" w:type="dxa"/>
            <w:vMerge w:val="restart"/>
            <w:tcBorders>
              <w:top w:val="single" w:color="auto" w:sz="4" w:space="0"/>
            </w:tcBorders>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406" w:type="dxa"/>
            <w:gridSpan w:val="2"/>
            <w:vMerge w:val="continue"/>
            <w:vAlign w:val="center"/>
          </w:tcPr>
          <w:p>
            <w:pPr>
              <w:wordWrap w:val="0"/>
              <w:jc w:val="center"/>
              <w:rPr>
                <w:rFonts w:eastAsiaTheme="minorEastAsia"/>
                <w:color w:val="000000" w:themeColor="text1"/>
                <w:sz w:val="28"/>
                <w:szCs w:val="28"/>
              </w:rPr>
            </w:pPr>
          </w:p>
        </w:tc>
        <w:tc>
          <w:tcPr>
            <w:tcW w:w="2310" w:type="dxa"/>
            <w:gridSpan w:val="3"/>
            <w:vAlign w:val="center"/>
          </w:tcPr>
          <w:p>
            <w:pPr>
              <w:wordWrap w:val="0"/>
              <w:jc w:val="center"/>
              <w:rPr>
                <w:rFonts w:eastAsiaTheme="minorEastAsia"/>
                <w:color w:val="000000" w:themeColor="text1"/>
                <w:sz w:val="28"/>
                <w:szCs w:val="28"/>
              </w:rPr>
            </w:pPr>
            <w:r>
              <w:rPr>
                <w:rFonts w:eastAsiaTheme="minorEastAsia"/>
                <w:i/>
                <w:color w:val="000000" w:themeColor="text1"/>
                <w:sz w:val="28"/>
                <w:szCs w:val="28"/>
              </w:rPr>
              <w:t>d</w:t>
            </w:r>
            <w:r>
              <w:rPr>
                <w:rFonts w:eastAsiaTheme="minorEastAsia"/>
                <w:color w:val="000000" w:themeColor="text1"/>
                <w:sz w:val="28"/>
                <w:szCs w:val="28"/>
              </w:rPr>
              <w:t>&gt;200mm</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1.5</w:t>
            </w:r>
          </w:p>
        </w:tc>
        <w:tc>
          <w:tcPr>
            <w:tcW w:w="1438" w:type="dxa"/>
            <w:vMerge w:val="continue"/>
            <w:vAlign w:val="center"/>
          </w:tcPr>
          <w:p>
            <w:pPr>
              <w:wordWrap w:val="0"/>
              <w:jc w:val="center"/>
              <w:rPr>
                <w:rFonts w:eastAsiaTheme="minorEastAsia"/>
                <w:color w:val="000000" w:themeColor="text1"/>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排水管</w:t>
            </w:r>
          </w:p>
        </w:tc>
        <w:tc>
          <w:tcPr>
            <w:tcW w:w="1532" w:type="dxa"/>
            <w:vAlign w:val="center"/>
          </w:tcPr>
          <w:p>
            <w:pPr>
              <w:wordWrap w:val="0"/>
              <w:jc w:val="center"/>
              <w:rPr>
                <w:rFonts w:eastAsiaTheme="minorEastAsia"/>
                <w:color w:val="000000" w:themeColor="text1"/>
                <w:sz w:val="28"/>
                <w:szCs w:val="28"/>
              </w:rPr>
            </w:pP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再生水管</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0.5</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126" w:type="dxa"/>
            <w:vMerge w:val="restart"/>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燃气管</w:t>
            </w:r>
          </w:p>
        </w:tc>
        <w:tc>
          <w:tcPr>
            <w:tcW w:w="547" w:type="dxa"/>
            <w:gridSpan w:val="3"/>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低压</w:t>
            </w:r>
          </w:p>
        </w:tc>
        <w:tc>
          <w:tcPr>
            <w:tcW w:w="2043" w:type="dxa"/>
            <w:vAlign w:val="center"/>
          </w:tcPr>
          <w:p>
            <w:pPr>
              <w:wordWrap w:val="0"/>
              <w:jc w:val="center"/>
              <w:rPr>
                <w:rFonts w:eastAsiaTheme="minorEastAsia"/>
                <w:color w:val="000000" w:themeColor="text1"/>
                <w:sz w:val="28"/>
                <w:szCs w:val="28"/>
              </w:rPr>
            </w:pPr>
            <w:r>
              <w:rPr>
                <w:rFonts w:eastAsiaTheme="minorEastAsia"/>
                <w:i/>
                <w:color w:val="000000" w:themeColor="text1"/>
                <w:sz w:val="28"/>
                <w:szCs w:val="28"/>
              </w:rPr>
              <w:t>P</w:t>
            </w:r>
            <w:r>
              <w:rPr>
                <w:rFonts w:eastAsiaTheme="minorEastAsia"/>
                <w:color w:val="000000" w:themeColor="text1"/>
                <w:sz w:val="28"/>
                <w:szCs w:val="28"/>
              </w:rPr>
              <w:t>≤0.05 MPa</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126" w:type="dxa"/>
            <w:vMerge w:val="continue"/>
            <w:vAlign w:val="center"/>
          </w:tcPr>
          <w:p>
            <w:pPr>
              <w:wordWrap w:val="0"/>
              <w:jc w:val="center"/>
              <w:rPr>
                <w:rFonts w:eastAsiaTheme="minorEastAsia"/>
                <w:color w:val="000000" w:themeColor="text1"/>
                <w:sz w:val="28"/>
                <w:szCs w:val="28"/>
              </w:rPr>
            </w:pPr>
          </w:p>
        </w:tc>
        <w:tc>
          <w:tcPr>
            <w:tcW w:w="547" w:type="dxa"/>
            <w:gridSpan w:val="3"/>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中压</w:t>
            </w:r>
          </w:p>
        </w:tc>
        <w:tc>
          <w:tcPr>
            <w:tcW w:w="204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0.05MPa＜</w:t>
            </w:r>
            <w:r>
              <w:rPr>
                <w:rFonts w:eastAsiaTheme="minorEastAsia"/>
                <w:i/>
                <w:color w:val="000000" w:themeColor="text1"/>
                <w:sz w:val="28"/>
                <w:szCs w:val="28"/>
              </w:rPr>
              <w:t>P</w:t>
            </w:r>
            <w:r>
              <w:rPr>
                <w:rFonts w:eastAsiaTheme="minorEastAsia"/>
                <w:color w:val="000000" w:themeColor="text1"/>
                <w:sz w:val="28"/>
                <w:szCs w:val="28"/>
              </w:rPr>
              <w:t>≤0.4 MPa</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1.2</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126" w:type="dxa"/>
            <w:vMerge w:val="continue"/>
            <w:vAlign w:val="center"/>
          </w:tcPr>
          <w:p>
            <w:pPr>
              <w:wordWrap w:val="0"/>
              <w:jc w:val="center"/>
              <w:rPr>
                <w:rFonts w:eastAsiaTheme="minorEastAsia"/>
                <w:color w:val="000000" w:themeColor="text1"/>
                <w:sz w:val="28"/>
                <w:szCs w:val="28"/>
              </w:rPr>
            </w:pPr>
          </w:p>
        </w:tc>
        <w:tc>
          <w:tcPr>
            <w:tcW w:w="547" w:type="dxa"/>
            <w:gridSpan w:val="3"/>
            <w:vMerge w:val="restart"/>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高压</w:t>
            </w:r>
          </w:p>
        </w:tc>
        <w:tc>
          <w:tcPr>
            <w:tcW w:w="204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0.4MPa＜</w:t>
            </w:r>
            <w:r>
              <w:rPr>
                <w:rFonts w:eastAsiaTheme="minorEastAsia"/>
                <w:i/>
                <w:color w:val="000000" w:themeColor="text1"/>
                <w:sz w:val="28"/>
                <w:szCs w:val="28"/>
              </w:rPr>
              <w:t xml:space="preserve">P </w:t>
            </w:r>
            <w:r>
              <w:rPr>
                <w:rFonts w:eastAsiaTheme="minorEastAsia"/>
                <w:color w:val="000000" w:themeColor="text1"/>
                <w:sz w:val="28"/>
                <w:szCs w:val="28"/>
              </w:rPr>
              <w:t>≤0.8 MPa</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1.5</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126" w:type="dxa"/>
            <w:vMerge w:val="continue"/>
            <w:vAlign w:val="center"/>
          </w:tcPr>
          <w:p>
            <w:pPr>
              <w:wordWrap w:val="0"/>
              <w:jc w:val="center"/>
              <w:rPr>
                <w:rFonts w:eastAsiaTheme="minorEastAsia"/>
                <w:color w:val="000000" w:themeColor="text1"/>
                <w:sz w:val="28"/>
                <w:szCs w:val="28"/>
              </w:rPr>
            </w:pPr>
          </w:p>
        </w:tc>
        <w:tc>
          <w:tcPr>
            <w:tcW w:w="547" w:type="dxa"/>
            <w:gridSpan w:val="3"/>
            <w:vMerge w:val="continue"/>
            <w:vAlign w:val="center"/>
          </w:tcPr>
          <w:p>
            <w:pPr>
              <w:wordWrap w:val="0"/>
              <w:jc w:val="center"/>
              <w:rPr>
                <w:rFonts w:eastAsiaTheme="minorEastAsia"/>
                <w:color w:val="000000" w:themeColor="text1"/>
                <w:sz w:val="28"/>
                <w:szCs w:val="28"/>
              </w:rPr>
            </w:pPr>
          </w:p>
        </w:tc>
        <w:tc>
          <w:tcPr>
            <w:tcW w:w="2043"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0.8MPa＜</w:t>
            </w:r>
            <w:r>
              <w:rPr>
                <w:rFonts w:eastAsiaTheme="minorEastAsia"/>
                <w:i/>
                <w:color w:val="000000" w:themeColor="text1"/>
                <w:sz w:val="28"/>
                <w:szCs w:val="28"/>
              </w:rPr>
              <w:t xml:space="preserve">P </w:t>
            </w:r>
            <w:r>
              <w:rPr>
                <w:rFonts w:eastAsiaTheme="minorEastAsia"/>
                <w:color w:val="000000" w:themeColor="text1"/>
                <w:sz w:val="28"/>
                <w:szCs w:val="28"/>
              </w:rPr>
              <w:t>≤1.6 MPa</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2.0</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热力管线</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1.5</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电力管线</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0.5</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Merge w:val="restart"/>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电信管线</w:t>
            </w:r>
          </w:p>
        </w:tc>
        <w:tc>
          <w:tcPr>
            <w:tcW w:w="1532" w:type="dxa"/>
            <w:vMerge w:val="restart"/>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直埋0.5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Merge w:val="continue"/>
            <w:vAlign w:val="center"/>
          </w:tcPr>
          <w:p>
            <w:pPr>
              <w:wordWrap w:val="0"/>
              <w:jc w:val="center"/>
              <w:rPr>
                <w:rFonts w:eastAsiaTheme="minorEastAsia"/>
                <w:color w:val="000000" w:themeColor="text1"/>
                <w:sz w:val="28"/>
                <w:szCs w:val="28"/>
              </w:rPr>
            </w:pPr>
          </w:p>
        </w:tc>
        <w:tc>
          <w:tcPr>
            <w:tcW w:w="1532" w:type="dxa"/>
            <w:vMerge w:val="continue"/>
            <w:vAlign w:val="center"/>
          </w:tcPr>
          <w:p>
            <w:pPr>
              <w:wordWrap w:val="0"/>
              <w:jc w:val="center"/>
              <w:rPr>
                <w:rFonts w:eastAsiaTheme="minorEastAsia"/>
                <w:color w:val="000000" w:themeColor="text1"/>
                <w:sz w:val="28"/>
                <w:szCs w:val="28"/>
              </w:rPr>
            </w:pP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管块0.15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乔木</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1.5</w:t>
            </w:r>
          </w:p>
        </w:tc>
        <w:tc>
          <w:tcPr>
            <w:tcW w:w="1438" w:type="dxa"/>
            <w:vAlign w:val="center"/>
          </w:tcPr>
          <w:p>
            <w:pPr>
              <w:wordWrap w:val="0"/>
              <w:jc w:val="center"/>
              <w:rPr>
                <w:rFonts w:eastAsiaTheme="minorEastAsia"/>
                <w:color w:val="000000" w:themeColor="text1"/>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522" w:type="dxa"/>
            <w:gridSpan w:val="3"/>
            <w:vMerge w:val="restart"/>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地上柱杆</w:t>
            </w:r>
          </w:p>
        </w:tc>
        <w:tc>
          <w:tcPr>
            <w:tcW w:w="2194" w:type="dxa"/>
            <w:gridSpan w:val="2"/>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通讯照明及＜10kV</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0.5</w:t>
            </w:r>
          </w:p>
        </w:tc>
        <w:tc>
          <w:tcPr>
            <w:tcW w:w="1438" w:type="dxa"/>
            <w:vAlign w:val="center"/>
          </w:tcPr>
          <w:p>
            <w:pPr>
              <w:wordWrap w:val="0"/>
              <w:jc w:val="center"/>
              <w:rPr>
                <w:rFonts w:eastAsiaTheme="minorEastAsia"/>
                <w:color w:val="000000" w:themeColor="text1"/>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522" w:type="dxa"/>
            <w:gridSpan w:val="3"/>
            <w:vMerge w:val="continue"/>
            <w:vAlign w:val="center"/>
          </w:tcPr>
          <w:p>
            <w:pPr>
              <w:wordWrap w:val="0"/>
              <w:jc w:val="center"/>
              <w:rPr>
                <w:rFonts w:eastAsiaTheme="minorEastAsia"/>
                <w:color w:val="000000" w:themeColor="text1"/>
                <w:sz w:val="28"/>
                <w:szCs w:val="28"/>
              </w:rPr>
            </w:pPr>
          </w:p>
        </w:tc>
        <w:tc>
          <w:tcPr>
            <w:tcW w:w="2194" w:type="dxa"/>
            <w:gridSpan w:val="2"/>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高压铁塔基础边</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1.5</w:t>
            </w:r>
          </w:p>
        </w:tc>
        <w:tc>
          <w:tcPr>
            <w:tcW w:w="1438" w:type="dxa"/>
            <w:vAlign w:val="center"/>
          </w:tcPr>
          <w:p>
            <w:pPr>
              <w:wordWrap w:val="0"/>
              <w:jc w:val="center"/>
              <w:rPr>
                <w:rFonts w:eastAsiaTheme="minorEastAsia"/>
                <w:color w:val="000000" w:themeColor="text1"/>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道路侧石边缘</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1.5</w:t>
            </w:r>
          </w:p>
        </w:tc>
        <w:tc>
          <w:tcPr>
            <w:tcW w:w="1438" w:type="dxa"/>
            <w:vAlign w:val="center"/>
          </w:tcPr>
          <w:p>
            <w:pPr>
              <w:wordWrap w:val="0"/>
              <w:jc w:val="center"/>
              <w:rPr>
                <w:rFonts w:eastAsiaTheme="minorEastAsia"/>
                <w:color w:val="000000" w:themeColor="text1"/>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铁路钢轨（或坡脚）</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5.0</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轨底1.2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电车（轨底）</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2.0</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架空管架基础</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2.0</w:t>
            </w:r>
          </w:p>
        </w:tc>
        <w:tc>
          <w:tcPr>
            <w:tcW w:w="1438" w:type="dxa"/>
            <w:vAlign w:val="center"/>
          </w:tcPr>
          <w:p>
            <w:pPr>
              <w:wordWrap w:val="0"/>
              <w:jc w:val="center"/>
              <w:rPr>
                <w:rFonts w:eastAsiaTheme="minorEastAsia"/>
                <w:color w:val="000000" w:themeColor="text1"/>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油管</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1.5</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压缩空气管</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1.5</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氧气管</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1.5</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乙炔管</w:t>
            </w:r>
          </w:p>
        </w:tc>
        <w:tc>
          <w:tcPr>
            <w:tcW w:w="1532"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1.5</w:t>
            </w: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电车电缆</w:t>
            </w:r>
          </w:p>
        </w:tc>
        <w:tc>
          <w:tcPr>
            <w:tcW w:w="1532" w:type="dxa"/>
            <w:vAlign w:val="center"/>
          </w:tcPr>
          <w:p>
            <w:pPr>
              <w:wordWrap w:val="0"/>
              <w:jc w:val="center"/>
              <w:rPr>
                <w:rFonts w:eastAsiaTheme="minorEastAsia"/>
                <w:color w:val="000000" w:themeColor="text1"/>
                <w:sz w:val="28"/>
                <w:szCs w:val="28"/>
              </w:rPr>
            </w:pP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明渠渠底</w:t>
            </w:r>
          </w:p>
        </w:tc>
        <w:tc>
          <w:tcPr>
            <w:tcW w:w="1532" w:type="dxa"/>
            <w:vAlign w:val="center"/>
          </w:tcPr>
          <w:p>
            <w:pPr>
              <w:wordWrap w:val="0"/>
              <w:jc w:val="center"/>
              <w:rPr>
                <w:rFonts w:eastAsiaTheme="minorEastAsia"/>
                <w:color w:val="000000" w:themeColor="text1"/>
                <w:sz w:val="28"/>
                <w:szCs w:val="28"/>
              </w:rPr>
            </w:pP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716" w:type="dxa"/>
            <w:gridSpan w:val="5"/>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涵洞基础底</w:t>
            </w:r>
          </w:p>
        </w:tc>
        <w:tc>
          <w:tcPr>
            <w:tcW w:w="1532" w:type="dxa"/>
            <w:vAlign w:val="center"/>
          </w:tcPr>
          <w:p>
            <w:pPr>
              <w:wordWrap w:val="0"/>
              <w:jc w:val="center"/>
              <w:rPr>
                <w:rFonts w:eastAsiaTheme="minorEastAsia"/>
                <w:color w:val="000000" w:themeColor="text1"/>
                <w:sz w:val="28"/>
                <w:szCs w:val="28"/>
              </w:rPr>
            </w:pPr>
          </w:p>
        </w:tc>
        <w:tc>
          <w:tcPr>
            <w:tcW w:w="1438" w:type="dxa"/>
            <w:vAlign w:val="center"/>
          </w:tcPr>
          <w:p>
            <w:pPr>
              <w:wordWrap w:val="0"/>
              <w:jc w:val="center"/>
              <w:rPr>
                <w:rFonts w:eastAsiaTheme="minorEastAsia"/>
                <w:color w:val="000000" w:themeColor="text1"/>
                <w:sz w:val="28"/>
                <w:szCs w:val="28"/>
              </w:rPr>
            </w:pPr>
            <w:r>
              <w:rPr>
                <w:rFonts w:eastAsiaTheme="minorEastAsia"/>
                <w:color w:val="000000" w:themeColor="text1"/>
                <w:sz w:val="28"/>
                <w:szCs w:val="28"/>
              </w:rPr>
              <w:t>0.15</w:t>
            </w:r>
          </w:p>
        </w:tc>
      </w:tr>
    </w:tbl>
    <w:p>
      <w:pPr>
        <w:wordWrap w:val="0"/>
        <w:ind w:firstLine="378" w:firstLineChars="135"/>
        <w:rPr>
          <w:rFonts w:eastAsiaTheme="minorEastAsia"/>
          <w:color w:val="000000" w:themeColor="text1"/>
          <w:sz w:val="28"/>
          <w:szCs w:val="28"/>
        </w:rPr>
      </w:pPr>
      <w:r>
        <w:rPr>
          <w:rFonts w:eastAsiaTheme="minorEastAsia"/>
          <w:color w:val="000000" w:themeColor="text1"/>
          <w:sz w:val="28"/>
          <w:szCs w:val="28"/>
        </w:rPr>
        <w:t>注：1 表列数字除注明者外，水平净距均指外壁净距，垂直净距系指下面管道的外顶与上面管道基础底间净距。</w:t>
      </w:r>
    </w:p>
    <w:p>
      <w:pPr>
        <w:wordWrap w:val="0"/>
        <w:ind w:firstLine="378" w:firstLineChars="135"/>
        <w:rPr>
          <w:rFonts w:eastAsiaTheme="minorEastAsia"/>
          <w:color w:val="000000" w:themeColor="text1"/>
          <w:sz w:val="28"/>
          <w:szCs w:val="28"/>
        </w:rPr>
      </w:pPr>
      <w:r>
        <w:rPr>
          <w:rFonts w:eastAsiaTheme="minorEastAsia"/>
          <w:color w:val="000000" w:themeColor="text1"/>
          <w:sz w:val="28"/>
          <w:szCs w:val="28"/>
        </w:rPr>
        <w:t>2 采取充分措施（如结构措施）后，表列数字可减小。</w:t>
      </w:r>
    </w:p>
    <w:p>
      <w:pPr>
        <w:wordWrap w:val="0"/>
        <w:ind w:firstLine="378" w:firstLineChars="135"/>
        <w:rPr>
          <w:rFonts w:eastAsiaTheme="minorEastAsia"/>
          <w:color w:val="000000" w:themeColor="text1"/>
          <w:sz w:val="28"/>
          <w:szCs w:val="28"/>
        </w:rPr>
      </w:pPr>
      <w:r>
        <w:rPr>
          <w:rFonts w:eastAsiaTheme="minorEastAsia"/>
          <w:color w:val="000000" w:themeColor="text1"/>
          <w:sz w:val="28"/>
          <w:szCs w:val="28"/>
        </w:rPr>
        <w:t>3 与建筑物水平净距，管道埋深浅于建筑物基础时，不宜小于2.5m，管道埋深深于建筑物基础时，按计算确定，但不应小于3.0m。</w:t>
      </w:r>
      <w:bookmarkStart w:id="117" w:name="_Toc102292579"/>
      <w:r>
        <w:rPr>
          <w:rFonts w:eastAsiaTheme="minorEastAsia"/>
          <w:bCs/>
          <w:color w:val="000000" w:themeColor="text1"/>
          <w:sz w:val="28"/>
          <w:szCs w:val="28"/>
        </w:rPr>
        <w:br w:type="page"/>
      </w:r>
    </w:p>
    <w:p>
      <w:pPr>
        <w:pStyle w:val="2"/>
        <w:wordWrap w:val="0"/>
        <w:spacing w:before="312" w:after="312"/>
        <w:rPr>
          <w:sz w:val="28"/>
          <w:szCs w:val="28"/>
        </w:rPr>
      </w:pPr>
      <w:bookmarkStart w:id="118" w:name="_Toc515281088"/>
      <w:r>
        <w:rPr>
          <w:sz w:val="28"/>
          <w:szCs w:val="28"/>
        </w:rPr>
        <w:t>本标准用词说明</w:t>
      </w:r>
      <w:bookmarkEnd w:id="116"/>
      <w:bookmarkEnd w:id="117"/>
      <w:bookmarkEnd w:id="118"/>
    </w:p>
    <w:p>
      <w:pPr>
        <w:wordWrap w:val="0"/>
        <w:rPr>
          <w:rFonts w:eastAsiaTheme="minorEastAsia"/>
          <w:color w:val="000000" w:themeColor="text1"/>
          <w:sz w:val="28"/>
          <w:szCs w:val="28"/>
        </w:rPr>
      </w:pPr>
      <w:bookmarkStart w:id="119" w:name="_Toc91661259"/>
      <w:r>
        <w:rPr>
          <w:rFonts w:eastAsiaTheme="minorEastAsia"/>
          <w:b/>
          <w:bCs/>
          <w:color w:val="000000" w:themeColor="text1"/>
          <w:sz w:val="28"/>
          <w:szCs w:val="28"/>
        </w:rPr>
        <w:t>1</w:t>
      </w:r>
      <w:r>
        <w:rPr>
          <w:rFonts w:eastAsiaTheme="minorEastAsia"/>
          <w:color w:val="000000" w:themeColor="text1"/>
          <w:sz w:val="28"/>
          <w:szCs w:val="28"/>
        </w:rPr>
        <w:t xml:space="preserve"> 为便于在执行本标准条文时区别对待，对要求严格程度不同的用词说明如下：</w:t>
      </w:r>
    </w:p>
    <w:p>
      <w:pPr>
        <w:wordWrap w:val="0"/>
        <w:rPr>
          <w:rFonts w:eastAsiaTheme="minorEastAsia"/>
          <w:color w:val="000000" w:themeColor="text1"/>
          <w:sz w:val="28"/>
          <w:szCs w:val="28"/>
        </w:rPr>
      </w:pPr>
      <w:r>
        <w:rPr>
          <w:rFonts w:eastAsiaTheme="minorEastAsia"/>
          <w:b/>
          <w:bCs/>
          <w:color w:val="000000" w:themeColor="text1"/>
          <w:sz w:val="28"/>
          <w:szCs w:val="28"/>
        </w:rPr>
        <w:t>1）</w:t>
      </w:r>
      <w:r>
        <w:rPr>
          <w:rFonts w:eastAsiaTheme="minorEastAsia"/>
          <w:color w:val="000000" w:themeColor="text1"/>
          <w:sz w:val="28"/>
          <w:szCs w:val="28"/>
        </w:rPr>
        <w:t>表示很严格，非这样做不可的用词；</w:t>
      </w:r>
    </w:p>
    <w:p>
      <w:pPr>
        <w:wordWrap w:val="0"/>
        <w:rPr>
          <w:rFonts w:eastAsiaTheme="minorEastAsia"/>
          <w:color w:val="000000" w:themeColor="text1"/>
          <w:sz w:val="28"/>
          <w:szCs w:val="28"/>
        </w:rPr>
      </w:pPr>
      <w:r>
        <w:rPr>
          <w:rFonts w:eastAsiaTheme="minorEastAsia"/>
          <w:color w:val="000000" w:themeColor="text1"/>
          <w:sz w:val="28"/>
          <w:szCs w:val="28"/>
        </w:rPr>
        <w:t>正面词采用“必须”，反面词采用“严禁”。</w:t>
      </w:r>
    </w:p>
    <w:p>
      <w:pPr>
        <w:wordWrap w:val="0"/>
        <w:rPr>
          <w:rFonts w:eastAsiaTheme="minorEastAsia"/>
          <w:color w:val="000000" w:themeColor="text1"/>
          <w:sz w:val="28"/>
          <w:szCs w:val="28"/>
        </w:rPr>
      </w:pPr>
      <w:r>
        <w:rPr>
          <w:rFonts w:eastAsiaTheme="minorEastAsia"/>
          <w:b/>
          <w:bCs/>
          <w:color w:val="000000" w:themeColor="text1"/>
          <w:sz w:val="28"/>
          <w:szCs w:val="28"/>
        </w:rPr>
        <w:t>2）</w:t>
      </w:r>
      <w:r>
        <w:rPr>
          <w:rFonts w:eastAsiaTheme="minorEastAsia"/>
          <w:color w:val="000000" w:themeColor="text1"/>
          <w:sz w:val="28"/>
          <w:szCs w:val="28"/>
        </w:rPr>
        <w:t>表示严格，在正常情况下均应这样做的用词：</w:t>
      </w:r>
    </w:p>
    <w:p>
      <w:pPr>
        <w:wordWrap w:val="0"/>
        <w:rPr>
          <w:rFonts w:eastAsiaTheme="minorEastAsia"/>
          <w:color w:val="000000" w:themeColor="text1"/>
          <w:sz w:val="28"/>
          <w:szCs w:val="28"/>
        </w:rPr>
      </w:pPr>
      <w:r>
        <w:rPr>
          <w:rFonts w:eastAsiaTheme="minorEastAsia"/>
          <w:color w:val="000000" w:themeColor="text1"/>
          <w:sz w:val="28"/>
          <w:szCs w:val="28"/>
        </w:rPr>
        <w:t>正面词采用“应”，反面词采用“不应”或“不得”。</w:t>
      </w:r>
    </w:p>
    <w:p>
      <w:pPr>
        <w:wordWrap w:val="0"/>
        <w:rPr>
          <w:rFonts w:eastAsiaTheme="minorEastAsia"/>
          <w:color w:val="000000" w:themeColor="text1"/>
          <w:sz w:val="28"/>
          <w:szCs w:val="28"/>
        </w:rPr>
      </w:pPr>
      <w:r>
        <w:rPr>
          <w:rFonts w:eastAsiaTheme="minorEastAsia"/>
          <w:b/>
          <w:bCs/>
          <w:color w:val="000000" w:themeColor="text1"/>
          <w:sz w:val="28"/>
          <w:szCs w:val="28"/>
        </w:rPr>
        <w:t>3）</w:t>
      </w:r>
      <w:r>
        <w:rPr>
          <w:rFonts w:eastAsiaTheme="minorEastAsia"/>
          <w:color w:val="000000" w:themeColor="text1"/>
          <w:sz w:val="28"/>
          <w:szCs w:val="28"/>
        </w:rPr>
        <w:t>表示允许稍有选择，在条件许可时首先应这样做的用词：</w:t>
      </w:r>
    </w:p>
    <w:p>
      <w:pPr>
        <w:wordWrap w:val="0"/>
        <w:rPr>
          <w:rFonts w:eastAsiaTheme="minorEastAsia"/>
          <w:color w:val="000000" w:themeColor="text1"/>
          <w:sz w:val="28"/>
          <w:szCs w:val="28"/>
        </w:rPr>
      </w:pPr>
      <w:r>
        <w:rPr>
          <w:rFonts w:eastAsiaTheme="minorEastAsia"/>
          <w:color w:val="000000" w:themeColor="text1"/>
          <w:sz w:val="28"/>
          <w:szCs w:val="28"/>
        </w:rPr>
        <w:t>正面词采用“宜”，反面词采用“不宜”；</w:t>
      </w:r>
    </w:p>
    <w:p>
      <w:pPr>
        <w:wordWrap w:val="0"/>
        <w:rPr>
          <w:rFonts w:eastAsiaTheme="minorEastAsia"/>
          <w:color w:val="000000" w:themeColor="text1"/>
          <w:sz w:val="28"/>
          <w:szCs w:val="28"/>
        </w:rPr>
      </w:pPr>
      <w:r>
        <w:rPr>
          <w:rFonts w:eastAsiaTheme="minorEastAsia"/>
          <w:color w:val="000000" w:themeColor="text1"/>
          <w:sz w:val="28"/>
          <w:szCs w:val="28"/>
        </w:rPr>
        <w:t>表示有选择，在一定条件下可以这样做的用词，采用“可”。</w:t>
      </w:r>
    </w:p>
    <w:p>
      <w:pPr>
        <w:wordWrap w:val="0"/>
        <w:rPr>
          <w:rFonts w:eastAsiaTheme="minorEastAsia"/>
          <w:color w:val="000000" w:themeColor="text1"/>
          <w:sz w:val="28"/>
          <w:szCs w:val="28"/>
        </w:rPr>
      </w:pPr>
      <w:r>
        <w:rPr>
          <w:rFonts w:eastAsiaTheme="minorEastAsia"/>
          <w:b/>
          <w:bCs/>
          <w:color w:val="000000" w:themeColor="text1"/>
          <w:sz w:val="28"/>
          <w:szCs w:val="28"/>
        </w:rPr>
        <w:t xml:space="preserve">2 </w:t>
      </w:r>
      <w:r>
        <w:rPr>
          <w:rFonts w:eastAsiaTheme="minorEastAsia"/>
          <w:color w:val="000000" w:themeColor="text1"/>
          <w:sz w:val="28"/>
          <w:szCs w:val="28"/>
        </w:rPr>
        <w:t>本标准中指明按其他有关标准、规范执行的写法为“应符合……的规定”或“应按……执行”。</w:t>
      </w:r>
      <w:bookmarkEnd w:id="119"/>
    </w:p>
    <w:sectPr>
      <w:pgSz w:w="11906" w:h="16838"/>
      <w:pgMar w:top="1440" w:right="1797" w:bottom="1440" w:left="1797"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1" w:author="李春鞠" w:date="2018-06-22T16:36:00Z" w:initials="">
    <w:p w14:paraId="4AB62D84">
      <w:pPr>
        <w:pStyle w:val="7"/>
      </w:pPr>
      <w:r>
        <w:rPr>
          <w:rFonts w:hint="eastAsia" w:asciiTheme="minorEastAsia" w:hAnsiTheme="minorEastAsia" w:eastAsiaTheme="minorEastAsia"/>
        </w:rPr>
        <w:t>条文中有工业区，所以这里补充解释工业区纳管的依据。已修改条文</w:t>
      </w:r>
    </w:p>
  </w:comment>
  <w:comment w:id="0" w:author="Microsoft" w:date="2018-06-22T16:36:00Z" w:initials="">
    <w:p w14:paraId="6DD94F5F">
      <w:pPr>
        <w:pStyle w:val="7"/>
      </w:pPr>
      <w:r>
        <w:rPr>
          <w:rFonts w:hint="eastAsia" w:asciiTheme="minorEastAsia" w:hAnsiTheme="minorEastAsia" w:eastAsiaTheme="minorEastAsia"/>
        </w:rPr>
        <w:t>此部分的条文解释放在此处？</w:t>
      </w:r>
    </w:p>
  </w:comment>
  <w:comment w:id="2" w:author="Microsoft" w:date="2018-06-22T16:36:00Z" w:initials="">
    <w:p w14:paraId="1C0C097C">
      <w:pPr>
        <w:pStyle w:val="7"/>
        <w:rPr>
          <w:rFonts w:eastAsiaTheme="minorEastAsia"/>
        </w:rPr>
      </w:pPr>
      <w:r>
        <w:t>原有的都需要改造的意思</w:t>
      </w:r>
      <w:r>
        <w:rPr>
          <w:rFonts w:hint="eastAsia" w:asciiTheme="minorEastAsia" w:hAnsiTheme="minorEastAsia" w:eastAsiaTheme="minorEastAsia"/>
        </w:rPr>
        <w:t>？</w:t>
      </w:r>
      <w:r>
        <w:t>若不是</w:t>
      </w:r>
      <w:r>
        <w:rPr>
          <w:rFonts w:hint="eastAsia" w:asciiTheme="minorEastAsia" w:hAnsiTheme="minorEastAsia" w:eastAsiaTheme="minorEastAsia"/>
        </w:rPr>
        <w:t>，</w:t>
      </w:r>
      <w:r>
        <w:t>建议斟酌语句</w:t>
      </w:r>
      <w:r>
        <w:rPr>
          <w:rFonts w:hint="eastAsia" w:asciiTheme="minorEastAsia" w:hAnsiTheme="minorEastAsia" w:eastAsiaTheme="minorEastAsia"/>
        </w:rPr>
        <w:t>，意思应该是</w:t>
      </w:r>
      <w:r>
        <w:t>若进行改造的应</w:t>
      </w:r>
      <w:r>
        <w:rPr>
          <w:rFonts w:hint="eastAsia" w:asciiTheme="minorEastAsia" w:hAnsiTheme="minorEastAsia" w:eastAsiaTheme="minorEastAsia"/>
        </w:rPr>
        <w:t>。。。。</w:t>
      </w:r>
    </w:p>
  </w:comment>
  <w:comment w:id="3" w:author="李春鞠" w:date="2018-06-22T16:36:00Z" w:initials="">
    <w:p w14:paraId="3DEE13E4">
      <w:pPr>
        <w:pStyle w:val="7"/>
      </w:pPr>
      <w:r>
        <w:rPr>
          <w:rFonts w:hint="eastAsia" w:asciiTheme="minorEastAsia" w:hAnsiTheme="minorEastAsia" w:eastAsiaTheme="minorEastAsia"/>
        </w:rPr>
        <w:t>修改过程中条文编号遗失了，这是个单独的条文，因此恢复删除的条文说明</w:t>
      </w:r>
    </w:p>
  </w:comment>
  <w:comment w:id="4" w:author="李春鞠" w:date="2018-06-22T16:36:00Z" w:initials="">
    <w:p w14:paraId="062D6A8C">
      <w:pPr>
        <w:pStyle w:val="7"/>
      </w:pPr>
      <w:r>
        <w:rPr>
          <w:rFonts w:hint="eastAsia" w:asciiTheme="minorEastAsia" w:hAnsiTheme="minorEastAsia" w:eastAsiaTheme="minorEastAsia"/>
        </w:rPr>
        <w:t xml:space="preserve">已改编号 </w:t>
      </w:r>
    </w:p>
  </w:comment>
  <w:comment w:id="5" w:author="李春鞠" w:date="2018-06-22T16:36:00Z" w:initials="">
    <w:p w14:paraId="0A9729CD">
      <w:pPr>
        <w:pStyle w:val="7"/>
      </w:pPr>
      <w:r>
        <w:rPr>
          <w:rFonts w:hint="eastAsia" w:asciiTheme="minorEastAsia" w:hAnsiTheme="minorEastAsia" w:eastAsiaTheme="minorEastAsia"/>
        </w:rPr>
        <w:t xml:space="preserve">前面版本错删了，此次补上 </w:t>
      </w:r>
    </w:p>
  </w:comment>
  <w:comment w:id="6" w:author="Microsoft" w:date="2018-06-22T16:36:00Z" w:initials="">
    <w:p w14:paraId="6ACA37AA">
      <w:pPr>
        <w:pStyle w:val="7"/>
      </w:pPr>
      <w:r>
        <w:rPr>
          <w:rFonts w:hint="eastAsia" w:asciiTheme="minorEastAsia" w:hAnsiTheme="minorEastAsia" w:eastAsiaTheme="minorEastAsia"/>
        </w:rPr>
        <w:t>不得不超过？请核实如是建议改为必须，如不是取消“不”</w:t>
      </w:r>
    </w:p>
  </w:comment>
  <w:comment w:id="7" w:author="李春鞠" w:date="2018-06-22T16:36:00Z" w:initials="">
    <w:p w14:paraId="193D6850">
      <w:pPr>
        <w:pStyle w:val="7"/>
      </w:pPr>
      <w:r>
        <w:rPr>
          <w:rFonts w:hint="eastAsia" w:asciiTheme="minorEastAsia" w:hAnsiTheme="minorEastAsia" w:eastAsiaTheme="minorEastAsia"/>
        </w:rPr>
        <w:t>应为“不得超过”</w:t>
      </w:r>
    </w:p>
  </w:comment>
  <w:comment w:id="8" w:author="李春鞠" w:date="2018-06-22T16:36:00Z" w:initials="">
    <w:p w14:paraId="41B97F69">
      <w:pPr>
        <w:pStyle w:val="7"/>
      </w:pPr>
      <w:r>
        <w:rPr>
          <w:rFonts w:hint="eastAsia" w:asciiTheme="minorEastAsia" w:hAnsiTheme="minorEastAsia" w:eastAsiaTheme="minorEastAsia"/>
        </w:rPr>
        <w:t xml:space="preserve">前一版修订时（赵明4.22返回），赵明增加了这半句， 现在读起来是重复的，可否删除？ </w:t>
      </w:r>
    </w:p>
  </w:comment>
  <w:comment w:id="9" w:author="Microsoft" w:date="2018-06-22T16:36:00Z" w:initials="">
    <w:p w14:paraId="607E3D3E">
      <w:pPr>
        <w:pStyle w:val="7"/>
      </w:pPr>
      <w:r>
        <w:rPr>
          <w:rFonts w:hint="eastAsia" w:asciiTheme="minorEastAsia" w:hAnsiTheme="minorEastAsia" w:eastAsiaTheme="minorEastAsia"/>
        </w:rPr>
        <w:t>无此公式。</w:t>
      </w:r>
    </w:p>
  </w:comment>
  <w:comment w:id="10" w:author="李春鞠" w:date="2018-06-22T17:06:00Z" w:initials="">
    <w:p w14:paraId="77A65DC0">
      <w:pPr>
        <w:pStyle w:val="7"/>
      </w:pPr>
      <w:r>
        <w:rPr>
          <w:rFonts w:hint="eastAsia" w:asciiTheme="minorEastAsia" w:hAnsiTheme="minorEastAsia" w:eastAsiaTheme="minorEastAsia"/>
        </w:rPr>
        <w:t>任工确认删除此句。</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AB62D84" w15:done="0"/>
  <w15:commentEx w15:paraId="6DD94F5F" w15:done="0"/>
  <w15:commentEx w15:paraId="1C0C097C" w15:done="0"/>
  <w15:commentEx w15:paraId="3DEE13E4" w15:done="0"/>
  <w15:commentEx w15:paraId="062D6A8C" w15:done="0"/>
  <w15:commentEx w15:paraId="0A9729CD" w15:done="0"/>
  <w15:commentEx w15:paraId="6ACA37AA" w15:done="0"/>
  <w15:commentEx w15:paraId="193D6850" w15:done="0"/>
  <w15:commentEx w15:paraId="41B97F69" w15:done="0"/>
  <w15:commentEx w15:paraId="607E3D3E" w15:done="0"/>
  <w15:commentEx w15:paraId="77A65DC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A00002EF" w:usb1="4000004B" w:usb2="00000000" w:usb3="00000000" w:csb0="2000009F" w:csb1="00000000"/>
  </w:font>
  <w:font w:name="Verdana">
    <w:panose1 w:val="020B0604030504040204"/>
    <w:charset w:val="00"/>
    <w:family w:val="swiss"/>
    <w:pitch w:val="default"/>
    <w:sig w:usb0="00000287" w:usb1="00000000" w:usb2="00000000" w:usb3="00000000" w:csb0="2000019F" w:csb1="00000000"/>
  </w:font>
  <w:font w:name="Constantia">
    <w:panose1 w:val="02030602050306030303"/>
    <w:charset w:val="00"/>
    <w:family w:val="roman"/>
    <w:pitch w:val="default"/>
    <w:sig w:usb0="A00002EF" w:usb1="4000204B" w:usb2="00000000" w:usb3="00000000" w:csb0="2000009F" w:csb1="00000000"/>
  </w:font>
  <w:font w:name="MingLiU">
    <w:panose1 w:val="02020309000000000000"/>
    <w:charset w:val="88"/>
    <w:family w:val="modern"/>
    <w:pitch w:val="default"/>
    <w:sig w:usb0="00000003" w:usb1="082E0000" w:usb2="00000016" w:usb3="00000000" w:csb0="00100001" w:csb1="00000000"/>
  </w:font>
  <w:font w:name="Cambria Math">
    <w:panose1 w:val="02040503050406030204"/>
    <w:charset w:val="00"/>
    <w:family w:val="roman"/>
    <w:pitch w:val="default"/>
    <w:sig w:usb0="A00002EF" w:usb1="420020EB" w:usb2="00000000" w:usb3="00000000" w:csb0="2000009F" w:csb1="00000000"/>
  </w:font>
  <w:font w:name="MS Gothic">
    <w:panose1 w:val="020B0609070205080204"/>
    <w:charset w:val="80"/>
    <w:family w:val="modern"/>
    <w:pitch w:val="default"/>
    <w:sig w:usb0="A00002BF" w:usb1="68C7FCFB" w:usb2="00000010" w:usb3="00000000" w:csb0="4002009F" w:csb1="DFD70000"/>
  </w:font>
  <w:font w:name="微软雅黑">
    <w:panose1 w:val="020B0503020204020204"/>
    <w:charset w:val="86"/>
    <w:family w:val="auto"/>
    <w:pitch w:val="default"/>
    <w:sig w:usb0="80000287" w:usb1="2A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2"/>
      </w:rPr>
    </w:pPr>
    <w:r>
      <w:rPr>
        <w:rStyle w:val="22"/>
      </w:rPr>
      <w:fldChar w:fldCharType="begin"/>
    </w:r>
    <w:r>
      <w:rPr>
        <w:rStyle w:val="22"/>
      </w:rPr>
      <w:instrText xml:space="preserve">PAGE  </w:instrText>
    </w:r>
    <w:r>
      <w:rPr>
        <w:rStyle w:val="22"/>
      </w:rPr>
      <w:fldChar w:fldCharType="end"/>
    </w:r>
  </w:p>
  <w:p>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PAGE   \* MERGEFORMAT</w:instrText>
    </w:r>
    <w:r>
      <w:fldChar w:fldCharType="separate"/>
    </w:r>
    <w:r>
      <w:rPr>
        <w:lang w:val="zh-CN"/>
      </w:rPr>
      <w:t>2</w:t>
    </w:r>
    <w:r>
      <w:rPr>
        <w:lang w:val="zh-CN"/>
      </w:rPr>
      <w:fldChar w:fldCharType="end"/>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6D5A"/>
    <w:multiLevelType w:val="multilevel"/>
    <w:tmpl w:val="01496D5A"/>
    <w:lvl w:ilvl="0" w:tentative="0">
      <w:start w:val="1"/>
      <w:numFmt w:val="decimal"/>
      <w:lvlText w:val="8.4.%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211053D"/>
    <w:multiLevelType w:val="multilevel"/>
    <w:tmpl w:val="0211053D"/>
    <w:lvl w:ilvl="0" w:tentative="0">
      <w:start w:val="1"/>
      <w:numFmt w:val="decimal"/>
      <w:lvlText w:val="8.3.%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2B50DDD"/>
    <w:multiLevelType w:val="multilevel"/>
    <w:tmpl w:val="02B50DDD"/>
    <w:lvl w:ilvl="0" w:tentative="0">
      <w:start w:val="1"/>
      <w:numFmt w:val="decimal"/>
      <w:lvlText w:val="7.13.%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6AE79D9"/>
    <w:multiLevelType w:val="multilevel"/>
    <w:tmpl w:val="06AE79D9"/>
    <w:lvl w:ilvl="0" w:tentative="0">
      <w:start w:val="1"/>
      <w:numFmt w:val="decimal"/>
      <w:lvlText w:val="8.6.%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7D946C8"/>
    <w:multiLevelType w:val="multilevel"/>
    <w:tmpl w:val="07D946C8"/>
    <w:lvl w:ilvl="0" w:tentative="0">
      <w:start w:val="1"/>
      <w:numFmt w:val="decimal"/>
      <w:lvlText w:val="5.4.%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9983DC9"/>
    <w:multiLevelType w:val="multilevel"/>
    <w:tmpl w:val="09983DC9"/>
    <w:lvl w:ilvl="0" w:tentative="0">
      <w:start w:val="1"/>
      <w:numFmt w:val="decimal"/>
      <w:lvlText w:val="5.10.%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A4A7C8A"/>
    <w:multiLevelType w:val="multilevel"/>
    <w:tmpl w:val="0A4A7C8A"/>
    <w:lvl w:ilvl="0" w:tentative="0">
      <w:start w:val="1"/>
      <w:numFmt w:val="decimal"/>
      <w:lvlText w:val="8.%1"/>
      <w:lvlJc w:val="left"/>
      <w:pPr>
        <w:ind w:left="3398"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23E1B55"/>
    <w:multiLevelType w:val="multilevel"/>
    <w:tmpl w:val="123E1B55"/>
    <w:lvl w:ilvl="0" w:tentative="0">
      <w:start w:val="1"/>
      <w:numFmt w:val="decimal"/>
      <w:lvlText w:val="7.11.%1"/>
      <w:lvlJc w:val="left"/>
      <w:pPr>
        <w:ind w:left="766"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29100CD"/>
    <w:multiLevelType w:val="multilevel"/>
    <w:tmpl w:val="129100CD"/>
    <w:lvl w:ilvl="0" w:tentative="0">
      <w:start w:val="1"/>
      <w:numFmt w:val="decimal"/>
      <w:lvlText w:val="8.10.%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43277B9"/>
    <w:multiLevelType w:val="multilevel"/>
    <w:tmpl w:val="143277B9"/>
    <w:lvl w:ilvl="0" w:tentative="0">
      <w:start w:val="1"/>
      <w:numFmt w:val="decimal"/>
      <w:lvlText w:val="4.1.%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8D72D70"/>
    <w:multiLevelType w:val="multilevel"/>
    <w:tmpl w:val="18D72D70"/>
    <w:lvl w:ilvl="0" w:tentative="0">
      <w:start w:val="1"/>
      <w:numFmt w:val="decimal"/>
      <w:lvlText w:val="2.1.%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AB84B77"/>
    <w:multiLevelType w:val="multilevel"/>
    <w:tmpl w:val="1AB84B77"/>
    <w:lvl w:ilvl="0" w:tentative="0">
      <w:start w:val="1"/>
      <w:numFmt w:val="decimal"/>
      <w:lvlText w:val="5.7.%1"/>
      <w:lvlJc w:val="left"/>
      <w:pPr>
        <w:ind w:left="1475"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E4E502D"/>
    <w:multiLevelType w:val="multilevel"/>
    <w:tmpl w:val="1E4E502D"/>
    <w:lvl w:ilvl="0" w:tentative="0">
      <w:start w:val="1"/>
      <w:numFmt w:val="decimal"/>
      <w:lvlText w:val="5.11.%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1480554"/>
    <w:multiLevelType w:val="multilevel"/>
    <w:tmpl w:val="21480554"/>
    <w:lvl w:ilvl="0" w:tentative="0">
      <w:start w:val="1"/>
      <w:numFmt w:val="decimal"/>
      <w:lvlText w:val="7.5.%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43F4A1B"/>
    <w:multiLevelType w:val="multilevel"/>
    <w:tmpl w:val="243F4A1B"/>
    <w:lvl w:ilvl="0" w:tentative="0">
      <w:start w:val="1"/>
      <w:numFmt w:val="decimal"/>
      <w:lvlText w:val="6.4.%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52E0056"/>
    <w:multiLevelType w:val="multilevel"/>
    <w:tmpl w:val="252E0056"/>
    <w:lvl w:ilvl="0" w:tentative="0">
      <w:start w:val="1"/>
      <w:numFmt w:val="decimal"/>
      <w:lvlText w:val="8.5.%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5793D7C"/>
    <w:multiLevelType w:val="multilevel"/>
    <w:tmpl w:val="25793D7C"/>
    <w:lvl w:ilvl="0" w:tentative="0">
      <w:start w:val="1"/>
      <w:numFmt w:val="decimal"/>
      <w:lvlText w:val="8.1.%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B3D6B2E"/>
    <w:multiLevelType w:val="multilevel"/>
    <w:tmpl w:val="2B3D6B2E"/>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FA61FC3"/>
    <w:multiLevelType w:val="multilevel"/>
    <w:tmpl w:val="2FA61FC3"/>
    <w:lvl w:ilvl="0" w:tentative="0">
      <w:start w:val="1"/>
      <w:numFmt w:val="decimal"/>
      <w:lvlText w:val="5.12.%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1B82B88"/>
    <w:multiLevelType w:val="multilevel"/>
    <w:tmpl w:val="31B82B88"/>
    <w:lvl w:ilvl="0" w:tentative="0">
      <w:start w:val="1"/>
      <w:numFmt w:val="decimal"/>
      <w:lvlText w:val="9.3.%1"/>
      <w:lvlJc w:val="left"/>
      <w:pPr>
        <w:ind w:left="340" w:hanging="340"/>
      </w:pPr>
      <w:rPr>
        <w:rFonts w:hint="default" w:ascii="Times New Roman" w:hAnsi="Times New Roman" w:cs="Times New Roman"/>
        <w:b/>
        <w:sz w:val="28"/>
        <w:szCs w:val="28"/>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2D604BA"/>
    <w:multiLevelType w:val="multilevel"/>
    <w:tmpl w:val="32D604BA"/>
    <w:lvl w:ilvl="0" w:tentative="0">
      <w:start w:val="1"/>
      <w:numFmt w:val="decimal"/>
      <w:lvlText w:val="7.14.%1"/>
      <w:lvlJc w:val="left"/>
      <w:pPr>
        <w:ind w:left="340" w:hanging="340"/>
      </w:pPr>
      <w:rPr>
        <w:rFonts w:hint="default" w:ascii="Times New Roman" w:hAnsi="Times New Roman" w:cs="Times New Roman"/>
        <w:b/>
        <w:sz w:val="28"/>
        <w:szCs w:val="28"/>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3BF512E"/>
    <w:multiLevelType w:val="multilevel"/>
    <w:tmpl w:val="33BF512E"/>
    <w:lvl w:ilvl="0" w:tentative="0">
      <w:start w:val="1"/>
      <w:numFmt w:val="decimal"/>
      <w:lvlText w:val="3.4.%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7474F75"/>
    <w:multiLevelType w:val="multilevel"/>
    <w:tmpl w:val="37474F75"/>
    <w:lvl w:ilvl="0" w:tentative="0">
      <w:start w:val="1"/>
      <w:numFmt w:val="decimal"/>
      <w:lvlText w:val="5.15.%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37D93D86"/>
    <w:multiLevelType w:val="multilevel"/>
    <w:tmpl w:val="37D93D86"/>
    <w:lvl w:ilvl="0" w:tentative="0">
      <w:start w:val="1"/>
      <w:numFmt w:val="decimal"/>
      <w:lvlText w:val="7.3.%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B794434"/>
    <w:multiLevelType w:val="multilevel"/>
    <w:tmpl w:val="3B794434"/>
    <w:lvl w:ilvl="0" w:tentative="0">
      <w:start w:val="1"/>
      <w:numFmt w:val="decimal"/>
      <w:lvlText w:val="8.2.%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3BB1276D"/>
    <w:multiLevelType w:val="multilevel"/>
    <w:tmpl w:val="3BB1276D"/>
    <w:lvl w:ilvl="0" w:tentative="0">
      <w:start w:val="1"/>
      <w:numFmt w:val="decimal"/>
      <w:lvlText w:val="%1"/>
      <w:lvlJc w:val="left"/>
      <w:pPr>
        <w:ind w:left="120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C443869"/>
    <w:multiLevelType w:val="multilevel"/>
    <w:tmpl w:val="3C443869"/>
    <w:lvl w:ilvl="0" w:tentative="0">
      <w:start w:val="1"/>
      <w:numFmt w:val="decimal"/>
      <w:lvlText w:val="7.%1"/>
      <w:lvlJc w:val="left"/>
      <w:pPr>
        <w:ind w:left="420" w:hanging="420"/>
      </w:pPr>
      <w:rPr>
        <w:rFonts w:hint="eastAsia"/>
        <w:b/>
      </w:rPr>
    </w:lvl>
    <w:lvl w:ilvl="1" w:tentative="0">
      <w:start w:val="4"/>
      <w:numFmt w:val="decimal"/>
      <w:lvlText w:val="（%2）"/>
      <w:lvlJc w:val="left"/>
      <w:pPr>
        <w:ind w:left="1140" w:hanging="720"/>
      </w:pPr>
      <w:rPr>
        <w:rFonts w:hint="default"/>
      </w:rPr>
    </w:lvl>
    <w:lvl w:ilvl="2" w:tentative="0">
      <w:start w:val="1"/>
      <w:numFmt w:val="decimal"/>
      <w:lvlText w:val="%3"/>
      <w:lvlJc w:val="left"/>
      <w:pPr>
        <w:ind w:left="1200" w:hanging="360"/>
      </w:pPr>
      <w:rPr>
        <w:rFonts w:hint="default" w:ascii="Times New Roman" w:hAnsi="Times New Roman" w:cs="Times New Roman"/>
        <w:b/>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4350102D"/>
    <w:multiLevelType w:val="multilevel"/>
    <w:tmpl w:val="4350102D"/>
    <w:lvl w:ilvl="0" w:tentative="0">
      <w:start w:val="1"/>
      <w:numFmt w:val="decimal"/>
      <w:lvlText w:val="7.4.%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45353D14"/>
    <w:multiLevelType w:val="multilevel"/>
    <w:tmpl w:val="45353D14"/>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45CE3462"/>
    <w:multiLevelType w:val="multilevel"/>
    <w:tmpl w:val="45CE3462"/>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493C378A"/>
    <w:multiLevelType w:val="multilevel"/>
    <w:tmpl w:val="493C378A"/>
    <w:lvl w:ilvl="0" w:tentative="0">
      <w:start w:val="1"/>
      <w:numFmt w:val="decimal"/>
      <w:lvlText w:val="2.2.%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4BC8792D"/>
    <w:multiLevelType w:val="multilevel"/>
    <w:tmpl w:val="4BC8792D"/>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4E7F158E"/>
    <w:multiLevelType w:val="multilevel"/>
    <w:tmpl w:val="4E7F158E"/>
    <w:lvl w:ilvl="0" w:tentative="0">
      <w:start w:val="1"/>
      <w:numFmt w:val="decimal"/>
      <w:lvlText w:val="8.9.%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4F08313C"/>
    <w:multiLevelType w:val="multilevel"/>
    <w:tmpl w:val="4F08313C"/>
    <w:lvl w:ilvl="0" w:tentative="0">
      <w:start w:val="1"/>
      <w:numFmt w:val="decimal"/>
      <w:lvlText w:val="%1"/>
      <w:lvlJc w:val="left"/>
      <w:pPr>
        <w:ind w:left="630" w:hanging="420"/>
      </w:pPr>
      <w:rPr>
        <w:rFonts w:hint="default"/>
        <w:b/>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4">
    <w:nsid w:val="51770B86"/>
    <w:multiLevelType w:val="multilevel"/>
    <w:tmpl w:val="51770B86"/>
    <w:lvl w:ilvl="0" w:tentative="0">
      <w:start w:val="1"/>
      <w:numFmt w:val="decimal"/>
      <w:lvlText w:val="5.3.%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51777CC4"/>
    <w:multiLevelType w:val="multilevel"/>
    <w:tmpl w:val="51777CC4"/>
    <w:lvl w:ilvl="0" w:tentative="0">
      <w:start w:val="1"/>
      <w:numFmt w:val="decimal"/>
      <w:lvlText w:val="6.3.%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52647DC7"/>
    <w:multiLevelType w:val="multilevel"/>
    <w:tmpl w:val="52647DC7"/>
    <w:lvl w:ilvl="0" w:tentative="0">
      <w:start w:val="1"/>
      <w:numFmt w:val="decimal"/>
      <w:lvlText w:val="7.9.%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5BC4396F"/>
    <w:multiLevelType w:val="multilevel"/>
    <w:tmpl w:val="5BC4396F"/>
    <w:lvl w:ilvl="0" w:tentative="0">
      <w:start w:val="1"/>
      <w:numFmt w:val="decimal"/>
      <w:lvlText w:val="1.0.%1"/>
      <w:lvlJc w:val="left"/>
      <w:pPr>
        <w:ind w:left="420" w:hanging="42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5CAE3A33"/>
    <w:multiLevelType w:val="multilevel"/>
    <w:tmpl w:val="5CAE3A33"/>
    <w:lvl w:ilvl="0" w:tentative="0">
      <w:start w:val="1"/>
      <w:numFmt w:val="decimal"/>
      <w:lvlText w:val="6.1.%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5CCB1597"/>
    <w:multiLevelType w:val="multilevel"/>
    <w:tmpl w:val="5CCB1597"/>
    <w:lvl w:ilvl="0" w:tentative="0">
      <w:start w:val="1"/>
      <w:numFmt w:val="decimal"/>
      <w:lvlText w:val="3.1.%1"/>
      <w:lvlJc w:val="left"/>
      <w:pPr>
        <w:ind w:left="420" w:hanging="42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5D0856D3"/>
    <w:multiLevelType w:val="multilevel"/>
    <w:tmpl w:val="5D0856D3"/>
    <w:lvl w:ilvl="0" w:tentative="0">
      <w:start w:val="1"/>
      <w:numFmt w:val="decimal"/>
      <w:lvlText w:val="8.8.%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5DCD4628"/>
    <w:multiLevelType w:val="multilevel"/>
    <w:tmpl w:val="5DCD4628"/>
    <w:lvl w:ilvl="0" w:tentative="0">
      <w:start w:val="1"/>
      <w:numFmt w:val="decimal"/>
      <w:lvlText w:val="7.12.%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5E7A2BBF"/>
    <w:multiLevelType w:val="multilevel"/>
    <w:tmpl w:val="5E7A2BBF"/>
    <w:lvl w:ilvl="0" w:tentative="0">
      <w:start w:val="1"/>
      <w:numFmt w:val="decimal"/>
      <w:lvlText w:val="7.2.%1"/>
      <w:lvlJc w:val="left"/>
      <w:pPr>
        <w:ind w:left="624" w:hanging="340"/>
      </w:pPr>
      <w:rPr>
        <w:rFonts w:hint="default" w:ascii="Times New Roman" w:hAnsi="Times New Roman" w:cs="Times New Roman"/>
        <w:b/>
        <w:u w:val="none"/>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43">
    <w:nsid w:val="5F3F31B6"/>
    <w:multiLevelType w:val="multilevel"/>
    <w:tmpl w:val="5F3F31B6"/>
    <w:lvl w:ilvl="0" w:tentative="0">
      <w:start w:val="1"/>
      <w:numFmt w:val="decimal"/>
      <w:lvlText w:val="5.6.%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6033451A"/>
    <w:multiLevelType w:val="multilevel"/>
    <w:tmpl w:val="6033451A"/>
    <w:lvl w:ilvl="0" w:tentative="0">
      <w:start w:val="1"/>
      <w:numFmt w:val="decimal"/>
      <w:lvlText w:val="4.2.%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6180496A"/>
    <w:multiLevelType w:val="multilevel"/>
    <w:tmpl w:val="6180496A"/>
    <w:lvl w:ilvl="0" w:tentative="0">
      <w:start w:val="1"/>
      <w:numFmt w:val="decimal"/>
      <w:lvlText w:val="5.13.%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619737DF"/>
    <w:multiLevelType w:val="multilevel"/>
    <w:tmpl w:val="619737DF"/>
    <w:lvl w:ilvl="0" w:tentative="0">
      <w:start w:val="1"/>
      <w:numFmt w:val="decimal"/>
      <w:lvlText w:val="9.1.%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630219A1"/>
    <w:multiLevelType w:val="multilevel"/>
    <w:tmpl w:val="630219A1"/>
    <w:lvl w:ilvl="0" w:tentative="0">
      <w:start w:val="1"/>
      <w:numFmt w:val="decimal"/>
      <w:lvlText w:val="5.1.%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63341063"/>
    <w:multiLevelType w:val="multilevel"/>
    <w:tmpl w:val="63341063"/>
    <w:lvl w:ilvl="0" w:tentative="0">
      <w:start w:val="1"/>
      <w:numFmt w:val="decimal"/>
      <w:lvlText w:val="7.6.%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64AE45D1"/>
    <w:multiLevelType w:val="multilevel"/>
    <w:tmpl w:val="64AE45D1"/>
    <w:lvl w:ilvl="0" w:tentative="0">
      <w:start w:val="1"/>
      <w:numFmt w:val="decimal"/>
      <w:lvlText w:val="7.7.%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65C20C90"/>
    <w:multiLevelType w:val="multilevel"/>
    <w:tmpl w:val="65C20C90"/>
    <w:lvl w:ilvl="0" w:tentative="0">
      <w:start w:val="1"/>
      <w:numFmt w:val="decimal"/>
      <w:lvlText w:val="5.9.%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65E4384F"/>
    <w:multiLevelType w:val="multilevel"/>
    <w:tmpl w:val="65E4384F"/>
    <w:lvl w:ilvl="0" w:tentative="0">
      <w:start w:val="1"/>
      <w:numFmt w:val="decimal"/>
      <w:lvlText w:val="3.3.%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66B03A81"/>
    <w:multiLevelType w:val="multilevel"/>
    <w:tmpl w:val="66B03A81"/>
    <w:lvl w:ilvl="0" w:tentative="0">
      <w:start w:val="1"/>
      <w:numFmt w:val="decimal"/>
      <w:lvlText w:val="9.5.%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66C439A9"/>
    <w:multiLevelType w:val="multilevel"/>
    <w:tmpl w:val="66C439A9"/>
    <w:lvl w:ilvl="0" w:tentative="0">
      <w:start w:val="1"/>
      <w:numFmt w:val="decimal"/>
      <w:lvlText w:val="5.14.%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6A76744C"/>
    <w:multiLevelType w:val="multilevel"/>
    <w:tmpl w:val="6A76744C"/>
    <w:lvl w:ilvl="0" w:tentative="0">
      <w:start w:val="1"/>
      <w:numFmt w:val="decimal"/>
      <w:lvlText w:val="6.2.%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6BC11A57"/>
    <w:multiLevelType w:val="multilevel"/>
    <w:tmpl w:val="6BC11A57"/>
    <w:lvl w:ilvl="0" w:tentative="0">
      <w:start w:val="1"/>
      <w:numFmt w:val="decimal"/>
      <w:lvlText w:val="9.4.%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6F9E5884"/>
    <w:multiLevelType w:val="multilevel"/>
    <w:tmpl w:val="6F9E5884"/>
    <w:lvl w:ilvl="0" w:tentative="0">
      <w:start w:val="1"/>
      <w:numFmt w:val="decimal"/>
      <w:lvlText w:val="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700830C6"/>
    <w:multiLevelType w:val="multilevel"/>
    <w:tmpl w:val="700830C6"/>
    <w:lvl w:ilvl="0" w:tentative="0">
      <w:start w:val="1"/>
      <w:numFmt w:val="decimal"/>
      <w:lvlText w:val="5.5.%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736B2D4F"/>
    <w:multiLevelType w:val="multilevel"/>
    <w:tmpl w:val="736B2D4F"/>
    <w:lvl w:ilvl="0" w:tentative="0">
      <w:start w:val="1"/>
      <w:numFmt w:val="decimal"/>
      <w:lvlText w:val="3.2.%1"/>
      <w:lvlJc w:val="left"/>
      <w:pPr>
        <w:ind w:left="420" w:hanging="420"/>
      </w:pPr>
      <w:rPr>
        <w:rFonts w:hint="default" w:ascii="Times New Roman" w:hAnsi="Times New Roman" w:cs="Times New Roman"/>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737E780D"/>
    <w:multiLevelType w:val="multilevel"/>
    <w:tmpl w:val="737E780D"/>
    <w:lvl w:ilvl="0" w:tentative="0">
      <w:start w:val="1"/>
      <w:numFmt w:val="decimal"/>
      <w:lvlText w:val="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73F41BA4"/>
    <w:multiLevelType w:val="multilevel"/>
    <w:tmpl w:val="73F41BA4"/>
    <w:lvl w:ilvl="0" w:tentative="0">
      <w:start w:val="1"/>
      <w:numFmt w:val="decimal"/>
      <w:lvlText w:val="7.8.%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74BC1283"/>
    <w:multiLevelType w:val="multilevel"/>
    <w:tmpl w:val="74BC1283"/>
    <w:lvl w:ilvl="0" w:tentative="0">
      <w:start w:val="1"/>
      <w:numFmt w:val="decimal"/>
      <w:lvlText w:val="9.2.%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758656D8"/>
    <w:multiLevelType w:val="multilevel"/>
    <w:tmpl w:val="758656D8"/>
    <w:lvl w:ilvl="0" w:tentative="0">
      <w:start w:val="1"/>
      <w:numFmt w:val="decimal"/>
      <w:lvlText w:val="8.7.%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77C46BC7"/>
    <w:multiLevelType w:val="multilevel"/>
    <w:tmpl w:val="77C46BC7"/>
    <w:lvl w:ilvl="0" w:tentative="0">
      <w:start w:val="1"/>
      <w:numFmt w:val="decimal"/>
      <w:lvlText w:val="5.8.%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7847004E"/>
    <w:multiLevelType w:val="multilevel"/>
    <w:tmpl w:val="7847004E"/>
    <w:lvl w:ilvl="0" w:tentative="0">
      <w:start w:val="1"/>
      <w:numFmt w:val="decimal"/>
      <w:lvlText w:val="7.10.%1"/>
      <w:lvlJc w:val="left"/>
      <w:pPr>
        <w:ind w:left="340" w:hanging="340"/>
      </w:pPr>
      <w:rPr>
        <w:rFonts w:hint="default" w:ascii="Times New Roman" w:hAnsi="Times New Roman" w:cs="Times New Roman"/>
        <w:b/>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78FC35EE"/>
    <w:multiLevelType w:val="multilevel"/>
    <w:tmpl w:val="78FC35EE"/>
    <w:lvl w:ilvl="0" w:tentative="0">
      <w:start w:val="1"/>
      <w:numFmt w:val="decimal"/>
      <w:lvlText w:val="5.2.%1"/>
      <w:lvlJc w:val="left"/>
      <w:pPr>
        <w:ind w:left="340" w:hanging="34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7DB024A5"/>
    <w:multiLevelType w:val="multilevel"/>
    <w:tmpl w:val="7DB024A5"/>
    <w:lvl w:ilvl="0" w:tentative="0">
      <w:start w:val="1"/>
      <w:numFmt w:val="decimal"/>
      <w:lvlText w:val="7.1.%1"/>
      <w:lvlJc w:val="left"/>
      <w:pPr>
        <w:ind w:left="624" w:hanging="340"/>
      </w:pPr>
      <w:rPr>
        <w:rFonts w:hint="default" w:ascii="Times New Roman" w:hAnsi="Times New Roman" w:cs="Times New Roman"/>
        <w:b/>
        <w:u w:val="none"/>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num w:numId="1">
    <w:abstractNumId w:val="37"/>
  </w:num>
  <w:num w:numId="2">
    <w:abstractNumId w:val="28"/>
  </w:num>
  <w:num w:numId="3">
    <w:abstractNumId w:val="10"/>
  </w:num>
  <w:num w:numId="4">
    <w:abstractNumId w:val="30"/>
  </w:num>
  <w:num w:numId="5">
    <w:abstractNumId w:val="29"/>
  </w:num>
  <w:num w:numId="6">
    <w:abstractNumId w:val="39"/>
  </w:num>
  <w:num w:numId="7">
    <w:abstractNumId w:val="58"/>
  </w:num>
  <w:num w:numId="8">
    <w:abstractNumId w:val="51"/>
  </w:num>
  <w:num w:numId="9">
    <w:abstractNumId w:val="21"/>
  </w:num>
  <w:num w:numId="10">
    <w:abstractNumId w:val="31"/>
  </w:num>
  <w:num w:numId="11">
    <w:abstractNumId w:val="9"/>
  </w:num>
  <w:num w:numId="12">
    <w:abstractNumId w:val="44"/>
  </w:num>
  <w:num w:numId="13">
    <w:abstractNumId w:val="17"/>
  </w:num>
  <w:num w:numId="14">
    <w:abstractNumId w:val="47"/>
  </w:num>
  <w:num w:numId="15">
    <w:abstractNumId w:val="65"/>
  </w:num>
  <w:num w:numId="16">
    <w:abstractNumId w:val="34"/>
  </w:num>
  <w:num w:numId="17">
    <w:abstractNumId w:val="4"/>
  </w:num>
  <w:num w:numId="18">
    <w:abstractNumId w:val="57"/>
  </w:num>
  <w:num w:numId="19">
    <w:abstractNumId w:val="43"/>
  </w:num>
  <w:num w:numId="20">
    <w:abstractNumId w:val="11"/>
  </w:num>
  <w:num w:numId="21">
    <w:abstractNumId w:val="63"/>
  </w:num>
  <w:num w:numId="22">
    <w:abstractNumId w:val="50"/>
  </w:num>
  <w:num w:numId="23">
    <w:abstractNumId w:val="5"/>
  </w:num>
  <w:num w:numId="24">
    <w:abstractNumId w:val="12"/>
  </w:num>
  <w:num w:numId="25">
    <w:abstractNumId w:val="18"/>
  </w:num>
  <w:num w:numId="26">
    <w:abstractNumId w:val="45"/>
  </w:num>
  <w:num w:numId="27">
    <w:abstractNumId w:val="53"/>
  </w:num>
  <w:num w:numId="28">
    <w:abstractNumId w:val="22"/>
  </w:num>
  <w:num w:numId="29">
    <w:abstractNumId w:val="56"/>
  </w:num>
  <w:num w:numId="30">
    <w:abstractNumId w:val="38"/>
  </w:num>
  <w:num w:numId="31">
    <w:abstractNumId w:val="54"/>
  </w:num>
  <w:num w:numId="32">
    <w:abstractNumId w:val="35"/>
  </w:num>
  <w:num w:numId="33">
    <w:abstractNumId w:val="14"/>
  </w:num>
  <w:num w:numId="34">
    <w:abstractNumId w:val="26"/>
  </w:num>
  <w:num w:numId="35">
    <w:abstractNumId w:val="66"/>
  </w:num>
  <w:num w:numId="36">
    <w:abstractNumId w:val="42"/>
  </w:num>
  <w:num w:numId="37">
    <w:abstractNumId w:val="23"/>
  </w:num>
  <w:num w:numId="38">
    <w:abstractNumId w:val="27"/>
  </w:num>
  <w:num w:numId="39">
    <w:abstractNumId w:val="13"/>
  </w:num>
  <w:num w:numId="40">
    <w:abstractNumId w:val="48"/>
  </w:num>
  <w:num w:numId="41">
    <w:abstractNumId w:val="49"/>
  </w:num>
  <w:num w:numId="42">
    <w:abstractNumId w:val="60"/>
  </w:num>
  <w:num w:numId="43">
    <w:abstractNumId w:val="36"/>
  </w:num>
  <w:num w:numId="44">
    <w:abstractNumId w:val="64"/>
  </w:num>
  <w:num w:numId="45">
    <w:abstractNumId w:val="7"/>
  </w:num>
  <w:num w:numId="46">
    <w:abstractNumId w:val="41"/>
  </w:num>
  <w:num w:numId="47">
    <w:abstractNumId w:val="2"/>
  </w:num>
  <w:num w:numId="48">
    <w:abstractNumId w:val="20"/>
  </w:num>
  <w:num w:numId="49">
    <w:abstractNumId w:val="6"/>
  </w:num>
  <w:num w:numId="50">
    <w:abstractNumId w:val="16"/>
  </w:num>
  <w:num w:numId="51">
    <w:abstractNumId w:val="24"/>
  </w:num>
  <w:num w:numId="52">
    <w:abstractNumId w:val="1"/>
  </w:num>
  <w:num w:numId="53">
    <w:abstractNumId w:val="0"/>
  </w:num>
  <w:num w:numId="54">
    <w:abstractNumId w:val="33"/>
  </w:num>
  <w:num w:numId="55">
    <w:abstractNumId w:val="15"/>
  </w:num>
  <w:num w:numId="56">
    <w:abstractNumId w:val="3"/>
  </w:num>
  <w:num w:numId="57">
    <w:abstractNumId w:val="62"/>
  </w:num>
  <w:num w:numId="58">
    <w:abstractNumId w:val="25"/>
  </w:num>
  <w:num w:numId="59">
    <w:abstractNumId w:val="40"/>
  </w:num>
  <w:num w:numId="60">
    <w:abstractNumId w:val="32"/>
  </w:num>
  <w:num w:numId="61">
    <w:abstractNumId w:val="8"/>
  </w:num>
  <w:num w:numId="62">
    <w:abstractNumId w:val="59"/>
  </w:num>
  <w:num w:numId="63">
    <w:abstractNumId w:val="46"/>
  </w:num>
  <w:num w:numId="64">
    <w:abstractNumId w:val="61"/>
  </w:num>
  <w:num w:numId="65">
    <w:abstractNumId w:val="19"/>
  </w:num>
  <w:num w:numId="66">
    <w:abstractNumId w:val="55"/>
  </w:num>
  <w:num w:numId="67">
    <w:abstractNumId w:val="5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春鞠">
    <w15:presenceInfo w15:providerId="None" w15:userId="李春鞠"/>
  </w15:person>
  <w15:person w15:author="Microsoft">
    <w15:presenceInfo w15:providerId="None" w15:userId="Microsof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21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36F53"/>
    <w:rsid w:val="00000217"/>
    <w:rsid w:val="000009B2"/>
    <w:rsid w:val="000010E2"/>
    <w:rsid w:val="00001413"/>
    <w:rsid w:val="0000169F"/>
    <w:rsid w:val="0000203D"/>
    <w:rsid w:val="0000222D"/>
    <w:rsid w:val="000025F2"/>
    <w:rsid w:val="0000263F"/>
    <w:rsid w:val="0000292E"/>
    <w:rsid w:val="00002C99"/>
    <w:rsid w:val="0000356C"/>
    <w:rsid w:val="00003BD0"/>
    <w:rsid w:val="00003EFF"/>
    <w:rsid w:val="00004587"/>
    <w:rsid w:val="00004942"/>
    <w:rsid w:val="00004AF7"/>
    <w:rsid w:val="00004B00"/>
    <w:rsid w:val="000058AB"/>
    <w:rsid w:val="00005D38"/>
    <w:rsid w:val="000073AA"/>
    <w:rsid w:val="00007832"/>
    <w:rsid w:val="00007B8C"/>
    <w:rsid w:val="00007C29"/>
    <w:rsid w:val="00007E39"/>
    <w:rsid w:val="000110C4"/>
    <w:rsid w:val="0001110D"/>
    <w:rsid w:val="00011FAC"/>
    <w:rsid w:val="00012424"/>
    <w:rsid w:val="000133A2"/>
    <w:rsid w:val="000135C8"/>
    <w:rsid w:val="000139ED"/>
    <w:rsid w:val="00013F5E"/>
    <w:rsid w:val="00014334"/>
    <w:rsid w:val="000147BB"/>
    <w:rsid w:val="00015855"/>
    <w:rsid w:val="00016A75"/>
    <w:rsid w:val="00016F47"/>
    <w:rsid w:val="000173CE"/>
    <w:rsid w:val="000175F2"/>
    <w:rsid w:val="000221B2"/>
    <w:rsid w:val="000229FD"/>
    <w:rsid w:val="00022F1B"/>
    <w:rsid w:val="00024845"/>
    <w:rsid w:val="00025349"/>
    <w:rsid w:val="00025699"/>
    <w:rsid w:val="00025993"/>
    <w:rsid w:val="00025C44"/>
    <w:rsid w:val="00025FD5"/>
    <w:rsid w:val="000262D2"/>
    <w:rsid w:val="00026BE6"/>
    <w:rsid w:val="00026C2C"/>
    <w:rsid w:val="00027B8E"/>
    <w:rsid w:val="00030183"/>
    <w:rsid w:val="000310CD"/>
    <w:rsid w:val="0003138E"/>
    <w:rsid w:val="00032373"/>
    <w:rsid w:val="000329B3"/>
    <w:rsid w:val="0003335A"/>
    <w:rsid w:val="000339D1"/>
    <w:rsid w:val="00033A05"/>
    <w:rsid w:val="000347B5"/>
    <w:rsid w:val="000369C8"/>
    <w:rsid w:val="000370D0"/>
    <w:rsid w:val="000374E4"/>
    <w:rsid w:val="0003781B"/>
    <w:rsid w:val="00037A77"/>
    <w:rsid w:val="00040474"/>
    <w:rsid w:val="00040892"/>
    <w:rsid w:val="00040A1C"/>
    <w:rsid w:val="00040C99"/>
    <w:rsid w:val="00040DAA"/>
    <w:rsid w:val="000415C3"/>
    <w:rsid w:val="0004184B"/>
    <w:rsid w:val="00042D72"/>
    <w:rsid w:val="000430F9"/>
    <w:rsid w:val="00043134"/>
    <w:rsid w:val="0004372B"/>
    <w:rsid w:val="00043786"/>
    <w:rsid w:val="00044049"/>
    <w:rsid w:val="0004764C"/>
    <w:rsid w:val="0004765F"/>
    <w:rsid w:val="000478E8"/>
    <w:rsid w:val="00050AC5"/>
    <w:rsid w:val="00050FE5"/>
    <w:rsid w:val="0005111E"/>
    <w:rsid w:val="00051526"/>
    <w:rsid w:val="00051E85"/>
    <w:rsid w:val="00052D7A"/>
    <w:rsid w:val="0005351D"/>
    <w:rsid w:val="000538A0"/>
    <w:rsid w:val="00054BBC"/>
    <w:rsid w:val="00055FC7"/>
    <w:rsid w:val="000560AF"/>
    <w:rsid w:val="00056671"/>
    <w:rsid w:val="00056DCF"/>
    <w:rsid w:val="00057012"/>
    <w:rsid w:val="00057257"/>
    <w:rsid w:val="000606B7"/>
    <w:rsid w:val="00060724"/>
    <w:rsid w:val="0006141D"/>
    <w:rsid w:val="00061631"/>
    <w:rsid w:val="000628AD"/>
    <w:rsid w:val="00063195"/>
    <w:rsid w:val="00063A27"/>
    <w:rsid w:val="00064A5D"/>
    <w:rsid w:val="00064F52"/>
    <w:rsid w:val="0006503C"/>
    <w:rsid w:val="000654B8"/>
    <w:rsid w:val="000656ED"/>
    <w:rsid w:val="00065E0F"/>
    <w:rsid w:val="000660C9"/>
    <w:rsid w:val="00070120"/>
    <w:rsid w:val="00070595"/>
    <w:rsid w:val="00070C4D"/>
    <w:rsid w:val="0007139E"/>
    <w:rsid w:val="0007148C"/>
    <w:rsid w:val="000721A7"/>
    <w:rsid w:val="00072DAB"/>
    <w:rsid w:val="000735A6"/>
    <w:rsid w:val="00073D00"/>
    <w:rsid w:val="00074168"/>
    <w:rsid w:val="00074E54"/>
    <w:rsid w:val="00074EB1"/>
    <w:rsid w:val="00076568"/>
    <w:rsid w:val="000767FB"/>
    <w:rsid w:val="0007712E"/>
    <w:rsid w:val="000776D7"/>
    <w:rsid w:val="00080639"/>
    <w:rsid w:val="00080963"/>
    <w:rsid w:val="00080CE9"/>
    <w:rsid w:val="00081949"/>
    <w:rsid w:val="00081BF4"/>
    <w:rsid w:val="00081E2C"/>
    <w:rsid w:val="0008259D"/>
    <w:rsid w:val="000825CE"/>
    <w:rsid w:val="0008303C"/>
    <w:rsid w:val="000835F4"/>
    <w:rsid w:val="000842B3"/>
    <w:rsid w:val="00084646"/>
    <w:rsid w:val="00085259"/>
    <w:rsid w:val="000856EB"/>
    <w:rsid w:val="000858B0"/>
    <w:rsid w:val="0008605B"/>
    <w:rsid w:val="000863FB"/>
    <w:rsid w:val="00086466"/>
    <w:rsid w:val="000868B0"/>
    <w:rsid w:val="00086B95"/>
    <w:rsid w:val="000872AA"/>
    <w:rsid w:val="00087346"/>
    <w:rsid w:val="000876D1"/>
    <w:rsid w:val="00087FF8"/>
    <w:rsid w:val="00090702"/>
    <w:rsid w:val="0009104D"/>
    <w:rsid w:val="00091053"/>
    <w:rsid w:val="00091B9E"/>
    <w:rsid w:val="000927F7"/>
    <w:rsid w:val="00092A22"/>
    <w:rsid w:val="0009317F"/>
    <w:rsid w:val="000933EF"/>
    <w:rsid w:val="00093586"/>
    <w:rsid w:val="0009550D"/>
    <w:rsid w:val="00095EBC"/>
    <w:rsid w:val="000964D7"/>
    <w:rsid w:val="000971CA"/>
    <w:rsid w:val="000979EF"/>
    <w:rsid w:val="000A0758"/>
    <w:rsid w:val="000A0BC5"/>
    <w:rsid w:val="000A189F"/>
    <w:rsid w:val="000A1B5E"/>
    <w:rsid w:val="000A30BF"/>
    <w:rsid w:val="000A34F0"/>
    <w:rsid w:val="000A3565"/>
    <w:rsid w:val="000A3E95"/>
    <w:rsid w:val="000A45FC"/>
    <w:rsid w:val="000A49A9"/>
    <w:rsid w:val="000A4E27"/>
    <w:rsid w:val="000A785B"/>
    <w:rsid w:val="000A7FB5"/>
    <w:rsid w:val="000B08F9"/>
    <w:rsid w:val="000B0FF4"/>
    <w:rsid w:val="000B2EED"/>
    <w:rsid w:val="000B2FDD"/>
    <w:rsid w:val="000B3388"/>
    <w:rsid w:val="000B4BE8"/>
    <w:rsid w:val="000B4D1F"/>
    <w:rsid w:val="000B50CC"/>
    <w:rsid w:val="000B526F"/>
    <w:rsid w:val="000B537A"/>
    <w:rsid w:val="000B554E"/>
    <w:rsid w:val="000B63FF"/>
    <w:rsid w:val="000B644F"/>
    <w:rsid w:val="000B67B4"/>
    <w:rsid w:val="000B6A55"/>
    <w:rsid w:val="000B7491"/>
    <w:rsid w:val="000C0A6C"/>
    <w:rsid w:val="000C0CDD"/>
    <w:rsid w:val="000C145A"/>
    <w:rsid w:val="000C1848"/>
    <w:rsid w:val="000C1E8A"/>
    <w:rsid w:val="000C1F60"/>
    <w:rsid w:val="000C21E3"/>
    <w:rsid w:val="000C3856"/>
    <w:rsid w:val="000C39D6"/>
    <w:rsid w:val="000C43E9"/>
    <w:rsid w:val="000C4621"/>
    <w:rsid w:val="000C4951"/>
    <w:rsid w:val="000C5BD5"/>
    <w:rsid w:val="000C5CF2"/>
    <w:rsid w:val="000C5F46"/>
    <w:rsid w:val="000C6181"/>
    <w:rsid w:val="000C677D"/>
    <w:rsid w:val="000C7C2C"/>
    <w:rsid w:val="000D0840"/>
    <w:rsid w:val="000D0996"/>
    <w:rsid w:val="000D0BDA"/>
    <w:rsid w:val="000D0F2D"/>
    <w:rsid w:val="000D1D29"/>
    <w:rsid w:val="000D328D"/>
    <w:rsid w:val="000D3F90"/>
    <w:rsid w:val="000D43C5"/>
    <w:rsid w:val="000D4490"/>
    <w:rsid w:val="000D4592"/>
    <w:rsid w:val="000D5016"/>
    <w:rsid w:val="000D53F0"/>
    <w:rsid w:val="000D5743"/>
    <w:rsid w:val="000D5BBF"/>
    <w:rsid w:val="000D6092"/>
    <w:rsid w:val="000D64A8"/>
    <w:rsid w:val="000D736F"/>
    <w:rsid w:val="000E0F51"/>
    <w:rsid w:val="000E1435"/>
    <w:rsid w:val="000E25E7"/>
    <w:rsid w:val="000E262F"/>
    <w:rsid w:val="000E2FA6"/>
    <w:rsid w:val="000E3925"/>
    <w:rsid w:val="000E42A0"/>
    <w:rsid w:val="000E5031"/>
    <w:rsid w:val="000E58F6"/>
    <w:rsid w:val="000E5ED9"/>
    <w:rsid w:val="000E6A1D"/>
    <w:rsid w:val="000E6A95"/>
    <w:rsid w:val="000F025A"/>
    <w:rsid w:val="000F0D84"/>
    <w:rsid w:val="000F0FEB"/>
    <w:rsid w:val="000F1236"/>
    <w:rsid w:val="000F265D"/>
    <w:rsid w:val="000F26D4"/>
    <w:rsid w:val="000F2708"/>
    <w:rsid w:val="000F2E97"/>
    <w:rsid w:val="000F2F38"/>
    <w:rsid w:val="000F3241"/>
    <w:rsid w:val="000F39B3"/>
    <w:rsid w:val="000F4E29"/>
    <w:rsid w:val="000F4E5E"/>
    <w:rsid w:val="000F51E6"/>
    <w:rsid w:val="000F54DD"/>
    <w:rsid w:val="000F626E"/>
    <w:rsid w:val="000F770D"/>
    <w:rsid w:val="000F7927"/>
    <w:rsid w:val="00100FA1"/>
    <w:rsid w:val="00101B13"/>
    <w:rsid w:val="0010336F"/>
    <w:rsid w:val="0010341B"/>
    <w:rsid w:val="001039E0"/>
    <w:rsid w:val="00103BED"/>
    <w:rsid w:val="00103F13"/>
    <w:rsid w:val="00104327"/>
    <w:rsid w:val="001049A9"/>
    <w:rsid w:val="001049BF"/>
    <w:rsid w:val="00104CD5"/>
    <w:rsid w:val="001072A9"/>
    <w:rsid w:val="00110017"/>
    <w:rsid w:val="00110EB6"/>
    <w:rsid w:val="0011207C"/>
    <w:rsid w:val="00113B1D"/>
    <w:rsid w:val="00113C30"/>
    <w:rsid w:val="00113F32"/>
    <w:rsid w:val="001140A7"/>
    <w:rsid w:val="001144AE"/>
    <w:rsid w:val="00114996"/>
    <w:rsid w:val="00114F24"/>
    <w:rsid w:val="0011662E"/>
    <w:rsid w:val="00116E24"/>
    <w:rsid w:val="00117029"/>
    <w:rsid w:val="0011758B"/>
    <w:rsid w:val="00117635"/>
    <w:rsid w:val="00117684"/>
    <w:rsid w:val="00117ADA"/>
    <w:rsid w:val="00120134"/>
    <w:rsid w:val="001207A8"/>
    <w:rsid w:val="001207E7"/>
    <w:rsid w:val="00120DE9"/>
    <w:rsid w:val="00121E6E"/>
    <w:rsid w:val="00122CFF"/>
    <w:rsid w:val="00123916"/>
    <w:rsid w:val="00124233"/>
    <w:rsid w:val="0012433F"/>
    <w:rsid w:val="0012452B"/>
    <w:rsid w:val="00124618"/>
    <w:rsid w:val="001269C6"/>
    <w:rsid w:val="00126AC0"/>
    <w:rsid w:val="00127236"/>
    <w:rsid w:val="001277C0"/>
    <w:rsid w:val="00127C47"/>
    <w:rsid w:val="00127DEC"/>
    <w:rsid w:val="0013053B"/>
    <w:rsid w:val="001306B9"/>
    <w:rsid w:val="00130AD2"/>
    <w:rsid w:val="001315FC"/>
    <w:rsid w:val="001319AF"/>
    <w:rsid w:val="00131A0F"/>
    <w:rsid w:val="0013283F"/>
    <w:rsid w:val="00132BBF"/>
    <w:rsid w:val="001341DA"/>
    <w:rsid w:val="00134243"/>
    <w:rsid w:val="001346CA"/>
    <w:rsid w:val="00134F42"/>
    <w:rsid w:val="0013704F"/>
    <w:rsid w:val="00137345"/>
    <w:rsid w:val="001378E7"/>
    <w:rsid w:val="00137963"/>
    <w:rsid w:val="001402B1"/>
    <w:rsid w:val="0014075C"/>
    <w:rsid w:val="00140D66"/>
    <w:rsid w:val="00141354"/>
    <w:rsid w:val="001428A6"/>
    <w:rsid w:val="00142CB5"/>
    <w:rsid w:val="00142DF6"/>
    <w:rsid w:val="00144062"/>
    <w:rsid w:val="00144065"/>
    <w:rsid w:val="00145376"/>
    <w:rsid w:val="0014550D"/>
    <w:rsid w:val="001455D0"/>
    <w:rsid w:val="00145A2B"/>
    <w:rsid w:val="0014672A"/>
    <w:rsid w:val="00146C58"/>
    <w:rsid w:val="00146F30"/>
    <w:rsid w:val="00147A64"/>
    <w:rsid w:val="00147D03"/>
    <w:rsid w:val="0015000C"/>
    <w:rsid w:val="00150EA9"/>
    <w:rsid w:val="0015196C"/>
    <w:rsid w:val="00151E34"/>
    <w:rsid w:val="00152622"/>
    <w:rsid w:val="001529B7"/>
    <w:rsid w:val="00152AB9"/>
    <w:rsid w:val="001532E5"/>
    <w:rsid w:val="0015392D"/>
    <w:rsid w:val="001540B9"/>
    <w:rsid w:val="001547C4"/>
    <w:rsid w:val="001555BB"/>
    <w:rsid w:val="00155929"/>
    <w:rsid w:val="00155E99"/>
    <w:rsid w:val="00156927"/>
    <w:rsid w:val="00156E66"/>
    <w:rsid w:val="001577D4"/>
    <w:rsid w:val="001579DD"/>
    <w:rsid w:val="00160015"/>
    <w:rsid w:val="001604D3"/>
    <w:rsid w:val="00161049"/>
    <w:rsid w:val="00162FD8"/>
    <w:rsid w:val="001635BB"/>
    <w:rsid w:val="00163D0D"/>
    <w:rsid w:val="00163EF2"/>
    <w:rsid w:val="0016494F"/>
    <w:rsid w:val="00165184"/>
    <w:rsid w:val="00165198"/>
    <w:rsid w:val="0016557E"/>
    <w:rsid w:val="00166053"/>
    <w:rsid w:val="00166466"/>
    <w:rsid w:val="00167F88"/>
    <w:rsid w:val="00170662"/>
    <w:rsid w:val="00170DE5"/>
    <w:rsid w:val="00170ED6"/>
    <w:rsid w:val="00171641"/>
    <w:rsid w:val="00172222"/>
    <w:rsid w:val="00172451"/>
    <w:rsid w:val="001724AB"/>
    <w:rsid w:val="00173953"/>
    <w:rsid w:val="0017395C"/>
    <w:rsid w:val="00174A71"/>
    <w:rsid w:val="00175CE4"/>
    <w:rsid w:val="00175DA7"/>
    <w:rsid w:val="0017657F"/>
    <w:rsid w:val="001766B7"/>
    <w:rsid w:val="00176E5C"/>
    <w:rsid w:val="001772D5"/>
    <w:rsid w:val="00177AB9"/>
    <w:rsid w:val="001806A5"/>
    <w:rsid w:val="00181143"/>
    <w:rsid w:val="001824A3"/>
    <w:rsid w:val="00182A8F"/>
    <w:rsid w:val="00183A95"/>
    <w:rsid w:val="00183CF9"/>
    <w:rsid w:val="00185C70"/>
    <w:rsid w:val="001860DD"/>
    <w:rsid w:val="00186C44"/>
    <w:rsid w:val="00186EFC"/>
    <w:rsid w:val="00187EF3"/>
    <w:rsid w:val="001905CC"/>
    <w:rsid w:val="00191BCC"/>
    <w:rsid w:val="00192341"/>
    <w:rsid w:val="0019254E"/>
    <w:rsid w:val="001925D0"/>
    <w:rsid w:val="00192A80"/>
    <w:rsid w:val="0019316E"/>
    <w:rsid w:val="00194FB5"/>
    <w:rsid w:val="001953B1"/>
    <w:rsid w:val="0019548C"/>
    <w:rsid w:val="00195535"/>
    <w:rsid w:val="00195732"/>
    <w:rsid w:val="0019631D"/>
    <w:rsid w:val="0019657E"/>
    <w:rsid w:val="00196746"/>
    <w:rsid w:val="00196CA8"/>
    <w:rsid w:val="00197350"/>
    <w:rsid w:val="001A079C"/>
    <w:rsid w:val="001A0B85"/>
    <w:rsid w:val="001A0BC9"/>
    <w:rsid w:val="001A15E8"/>
    <w:rsid w:val="001A181D"/>
    <w:rsid w:val="001A28A9"/>
    <w:rsid w:val="001A3246"/>
    <w:rsid w:val="001A3505"/>
    <w:rsid w:val="001A3989"/>
    <w:rsid w:val="001A3C60"/>
    <w:rsid w:val="001A4CD0"/>
    <w:rsid w:val="001A4EE7"/>
    <w:rsid w:val="001A5765"/>
    <w:rsid w:val="001A6225"/>
    <w:rsid w:val="001A7517"/>
    <w:rsid w:val="001B0183"/>
    <w:rsid w:val="001B03EC"/>
    <w:rsid w:val="001B07CD"/>
    <w:rsid w:val="001B0E6D"/>
    <w:rsid w:val="001B2C31"/>
    <w:rsid w:val="001B3041"/>
    <w:rsid w:val="001B3859"/>
    <w:rsid w:val="001B3DEE"/>
    <w:rsid w:val="001B4212"/>
    <w:rsid w:val="001B42DE"/>
    <w:rsid w:val="001B5BB1"/>
    <w:rsid w:val="001B659A"/>
    <w:rsid w:val="001B67B2"/>
    <w:rsid w:val="001B789F"/>
    <w:rsid w:val="001C00B4"/>
    <w:rsid w:val="001C02A6"/>
    <w:rsid w:val="001C0D11"/>
    <w:rsid w:val="001C0ED4"/>
    <w:rsid w:val="001C0FD9"/>
    <w:rsid w:val="001C1C2F"/>
    <w:rsid w:val="001C1CFD"/>
    <w:rsid w:val="001C2215"/>
    <w:rsid w:val="001C3BE1"/>
    <w:rsid w:val="001C4C3A"/>
    <w:rsid w:val="001C5738"/>
    <w:rsid w:val="001C5AE6"/>
    <w:rsid w:val="001C5D7E"/>
    <w:rsid w:val="001C5E35"/>
    <w:rsid w:val="001C6260"/>
    <w:rsid w:val="001C733E"/>
    <w:rsid w:val="001C79FC"/>
    <w:rsid w:val="001D0201"/>
    <w:rsid w:val="001D1459"/>
    <w:rsid w:val="001D14BD"/>
    <w:rsid w:val="001D1AF0"/>
    <w:rsid w:val="001D3CA2"/>
    <w:rsid w:val="001D3E7C"/>
    <w:rsid w:val="001D53D5"/>
    <w:rsid w:val="001D66E4"/>
    <w:rsid w:val="001D6B40"/>
    <w:rsid w:val="001D7B97"/>
    <w:rsid w:val="001E013F"/>
    <w:rsid w:val="001E01C8"/>
    <w:rsid w:val="001E0BE2"/>
    <w:rsid w:val="001E19C2"/>
    <w:rsid w:val="001E1D03"/>
    <w:rsid w:val="001E22D4"/>
    <w:rsid w:val="001E2453"/>
    <w:rsid w:val="001E2FD2"/>
    <w:rsid w:val="001E36C1"/>
    <w:rsid w:val="001E3859"/>
    <w:rsid w:val="001E4240"/>
    <w:rsid w:val="001E47F8"/>
    <w:rsid w:val="001E4B64"/>
    <w:rsid w:val="001E4EB5"/>
    <w:rsid w:val="001E5477"/>
    <w:rsid w:val="001E584F"/>
    <w:rsid w:val="001E5BBF"/>
    <w:rsid w:val="001E6E36"/>
    <w:rsid w:val="001E72E9"/>
    <w:rsid w:val="001E7E73"/>
    <w:rsid w:val="001F0B07"/>
    <w:rsid w:val="001F0BE9"/>
    <w:rsid w:val="001F169E"/>
    <w:rsid w:val="001F1E1E"/>
    <w:rsid w:val="001F25E2"/>
    <w:rsid w:val="001F4B65"/>
    <w:rsid w:val="001F5B3B"/>
    <w:rsid w:val="001F5F46"/>
    <w:rsid w:val="001F5FF0"/>
    <w:rsid w:val="001F69CC"/>
    <w:rsid w:val="001F70BD"/>
    <w:rsid w:val="001F7B78"/>
    <w:rsid w:val="001F7C21"/>
    <w:rsid w:val="00200179"/>
    <w:rsid w:val="00202EA0"/>
    <w:rsid w:val="00203012"/>
    <w:rsid w:val="002030E1"/>
    <w:rsid w:val="00203547"/>
    <w:rsid w:val="00203888"/>
    <w:rsid w:val="00203B01"/>
    <w:rsid w:val="0020467B"/>
    <w:rsid w:val="002049FF"/>
    <w:rsid w:val="0020619A"/>
    <w:rsid w:val="00206A45"/>
    <w:rsid w:val="002072FE"/>
    <w:rsid w:val="00207DEA"/>
    <w:rsid w:val="00210026"/>
    <w:rsid w:val="0021039F"/>
    <w:rsid w:val="00211192"/>
    <w:rsid w:val="00211B36"/>
    <w:rsid w:val="00211E8B"/>
    <w:rsid w:val="00212426"/>
    <w:rsid w:val="00214B06"/>
    <w:rsid w:val="00215ACB"/>
    <w:rsid w:val="00216049"/>
    <w:rsid w:val="002164CB"/>
    <w:rsid w:val="00220AB4"/>
    <w:rsid w:val="00220FA5"/>
    <w:rsid w:val="00221622"/>
    <w:rsid w:val="00221ADE"/>
    <w:rsid w:val="00221EF3"/>
    <w:rsid w:val="00222711"/>
    <w:rsid w:val="00224ABD"/>
    <w:rsid w:val="00225F15"/>
    <w:rsid w:val="00231273"/>
    <w:rsid w:val="0023161A"/>
    <w:rsid w:val="00231A04"/>
    <w:rsid w:val="00232663"/>
    <w:rsid w:val="0023280B"/>
    <w:rsid w:val="00232EFA"/>
    <w:rsid w:val="00233238"/>
    <w:rsid w:val="002338E4"/>
    <w:rsid w:val="00234145"/>
    <w:rsid w:val="0023447F"/>
    <w:rsid w:val="002344FA"/>
    <w:rsid w:val="00234F16"/>
    <w:rsid w:val="00235F44"/>
    <w:rsid w:val="002365CD"/>
    <w:rsid w:val="00236729"/>
    <w:rsid w:val="00236C16"/>
    <w:rsid w:val="00236D6A"/>
    <w:rsid w:val="00236F7A"/>
    <w:rsid w:val="0023746A"/>
    <w:rsid w:val="00237B7F"/>
    <w:rsid w:val="0024035E"/>
    <w:rsid w:val="0024048D"/>
    <w:rsid w:val="00240997"/>
    <w:rsid w:val="00240C4C"/>
    <w:rsid w:val="00240CB9"/>
    <w:rsid w:val="00240EEF"/>
    <w:rsid w:val="00241010"/>
    <w:rsid w:val="00241827"/>
    <w:rsid w:val="00242C17"/>
    <w:rsid w:val="00242EFB"/>
    <w:rsid w:val="00242F49"/>
    <w:rsid w:val="002435AC"/>
    <w:rsid w:val="00243A4A"/>
    <w:rsid w:val="00243DEC"/>
    <w:rsid w:val="00244A4E"/>
    <w:rsid w:val="00244CBE"/>
    <w:rsid w:val="002451C0"/>
    <w:rsid w:val="00245211"/>
    <w:rsid w:val="002463D3"/>
    <w:rsid w:val="00246E17"/>
    <w:rsid w:val="002472CA"/>
    <w:rsid w:val="00247AA9"/>
    <w:rsid w:val="002503E2"/>
    <w:rsid w:val="00250777"/>
    <w:rsid w:val="002508EE"/>
    <w:rsid w:val="00250AA3"/>
    <w:rsid w:val="00250D95"/>
    <w:rsid w:val="0025136F"/>
    <w:rsid w:val="0025153C"/>
    <w:rsid w:val="0025180A"/>
    <w:rsid w:val="00252919"/>
    <w:rsid w:val="00253578"/>
    <w:rsid w:val="002552DE"/>
    <w:rsid w:val="00255DAA"/>
    <w:rsid w:val="002606DF"/>
    <w:rsid w:val="00260BAE"/>
    <w:rsid w:val="00260F37"/>
    <w:rsid w:val="00261EE1"/>
    <w:rsid w:val="002623B1"/>
    <w:rsid w:val="0026297A"/>
    <w:rsid w:val="00262B66"/>
    <w:rsid w:val="00262FBA"/>
    <w:rsid w:val="002637B3"/>
    <w:rsid w:val="002639FF"/>
    <w:rsid w:val="00263A40"/>
    <w:rsid w:val="00263DF7"/>
    <w:rsid w:val="002640F7"/>
    <w:rsid w:val="0026449B"/>
    <w:rsid w:val="00264553"/>
    <w:rsid w:val="00264818"/>
    <w:rsid w:val="00265BDA"/>
    <w:rsid w:val="00266743"/>
    <w:rsid w:val="00267044"/>
    <w:rsid w:val="002674D1"/>
    <w:rsid w:val="00267BD9"/>
    <w:rsid w:val="00270752"/>
    <w:rsid w:val="0027117E"/>
    <w:rsid w:val="002711E9"/>
    <w:rsid w:val="002714EB"/>
    <w:rsid w:val="002717F7"/>
    <w:rsid w:val="00271ADF"/>
    <w:rsid w:val="002720EE"/>
    <w:rsid w:val="00272514"/>
    <w:rsid w:val="00272CA1"/>
    <w:rsid w:val="0027323E"/>
    <w:rsid w:val="00273B8E"/>
    <w:rsid w:val="00273FF6"/>
    <w:rsid w:val="00274169"/>
    <w:rsid w:val="00274EF0"/>
    <w:rsid w:val="002753FA"/>
    <w:rsid w:val="00275485"/>
    <w:rsid w:val="00275F65"/>
    <w:rsid w:val="00276243"/>
    <w:rsid w:val="00280620"/>
    <w:rsid w:val="0028144F"/>
    <w:rsid w:val="00281B51"/>
    <w:rsid w:val="00281F72"/>
    <w:rsid w:val="0028239B"/>
    <w:rsid w:val="00285FCF"/>
    <w:rsid w:val="00286CD4"/>
    <w:rsid w:val="00287543"/>
    <w:rsid w:val="00287E50"/>
    <w:rsid w:val="0029164F"/>
    <w:rsid w:val="002920CC"/>
    <w:rsid w:val="00293438"/>
    <w:rsid w:val="00293609"/>
    <w:rsid w:val="0029362B"/>
    <w:rsid w:val="00293E5C"/>
    <w:rsid w:val="00293F71"/>
    <w:rsid w:val="0029476E"/>
    <w:rsid w:val="002952DF"/>
    <w:rsid w:val="002956A7"/>
    <w:rsid w:val="00296AB3"/>
    <w:rsid w:val="00297199"/>
    <w:rsid w:val="002971B9"/>
    <w:rsid w:val="00297420"/>
    <w:rsid w:val="002976BE"/>
    <w:rsid w:val="0029796A"/>
    <w:rsid w:val="00297FD5"/>
    <w:rsid w:val="002A14A9"/>
    <w:rsid w:val="002A1D88"/>
    <w:rsid w:val="002A2C85"/>
    <w:rsid w:val="002A3337"/>
    <w:rsid w:val="002A3893"/>
    <w:rsid w:val="002A5152"/>
    <w:rsid w:val="002A5EBD"/>
    <w:rsid w:val="002A623F"/>
    <w:rsid w:val="002A62AA"/>
    <w:rsid w:val="002A6455"/>
    <w:rsid w:val="002A7256"/>
    <w:rsid w:val="002A7523"/>
    <w:rsid w:val="002A765A"/>
    <w:rsid w:val="002A7D5E"/>
    <w:rsid w:val="002B0362"/>
    <w:rsid w:val="002B0DC1"/>
    <w:rsid w:val="002B0FCF"/>
    <w:rsid w:val="002B1432"/>
    <w:rsid w:val="002B14FD"/>
    <w:rsid w:val="002B2A6A"/>
    <w:rsid w:val="002B2DC8"/>
    <w:rsid w:val="002B2F3D"/>
    <w:rsid w:val="002B45B0"/>
    <w:rsid w:val="002B5070"/>
    <w:rsid w:val="002B5176"/>
    <w:rsid w:val="002B5225"/>
    <w:rsid w:val="002B6266"/>
    <w:rsid w:val="002B6577"/>
    <w:rsid w:val="002B6751"/>
    <w:rsid w:val="002B68F5"/>
    <w:rsid w:val="002B7C94"/>
    <w:rsid w:val="002C04F0"/>
    <w:rsid w:val="002C0EAD"/>
    <w:rsid w:val="002C1329"/>
    <w:rsid w:val="002C196F"/>
    <w:rsid w:val="002C47BB"/>
    <w:rsid w:val="002C4AFA"/>
    <w:rsid w:val="002C5212"/>
    <w:rsid w:val="002C5A43"/>
    <w:rsid w:val="002C5EF1"/>
    <w:rsid w:val="002C673A"/>
    <w:rsid w:val="002C68B9"/>
    <w:rsid w:val="002C6A58"/>
    <w:rsid w:val="002C6B16"/>
    <w:rsid w:val="002C75B4"/>
    <w:rsid w:val="002C7EBE"/>
    <w:rsid w:val="002D036D"/>
    <w:rsid w:val="002D05C1"/>
    <w:rsid w:val="002D0838"/>
    <w:rsid w:val="002D1C5F"/>
    <w:rsid w:val="002D20B1"/>
    <w:rsid w:val="002D29F8"/>
    <w:rsid w:val="002D3AA4"/>
    <w:rsid w:val="002D4146"/>
    <w:rsid w:val="002D51B7"/>
    <w:rsid w:val="002D5702"/>
    <w:rsid w:val="002D5935"/>
    <w:rsid w:val="002D7C76"/>
    <w:rsid w:val="002D7F65"/>
    <w:rsid w:val="002E003B"/>
    <w:rsid w:val="002E049A"/>
    <w:rsid w:val="002E1308"/>
    <w:rsid w:val="002E1476"/>
    <w:rsid w:val="002E16A3"/>
    <w:rsid w:val="002E1BC9"/>
    <w:rsid w:val="002E262D"/>
    <w:rsid w:val="002E52D2"/>
    <w:rsid w:val="002E52D3"/>
    <w:rsid w:val="002E5593"/>
    <w:rsid w:val="002E6110"/>
    <w:rsid w:val="002E7B4E"/>
    <w:rsid w:val="002E7BED"/>
    <w:rsid w:val="002F0368"/>
    <w:rsid w:val="002F0889"/>
    <w:rsid w:val="002F19D0"/>
    <w:rsid w:val="002F1F4D"/>
    <w:rsid w:val="002F27F8"/>
    <w:rsid w:val="002F2B93"/>
    <w:rsid w:val="002F2DC9"/>
    <w:rsid w:val="002F2EE6"/>
    <w:rsid w:val="002F32FF"/>
    <w:rsid w:val="002F4012"/>
    <w:rsid w:val="002F44BE"/>
    <w:rsid w:val="002F4F30"/>
    <w:rsid w:val="002F58A5"/>
    <w:rsid w:val="002F5A43"/>
    <w:rsid w:val="002F66D3"/>
    <w:rsid w:val="002F73F0"/>
    <w:rsid w:val="002F7BAB"/>
    <w:rsid w:val="0030002E"/>
    <w:rsid w:val="003004C3"/>
    <w:rsid w:val="00300F5D"/>
    <w:rsid w:val="00301117"/>
    <w:rsid w:val="00301532"/>
    <w:rsid w:val="003020FB"/>
    <w:rsid w:val="003024D4"/>
    <w:rsid w:val="00303412"/>
    <w:rsid w:val="003036F5"/>
    <w:rsid w:val="00304123"/>
    <w:rsid w:val="003049D3"/>
    <w:rsid w:val="0030507B"/>
    <w:rsid w:val="00305829"/>
    <w:rsid w:val="00305B7F"/>
    <w:rsid w:val="00305D9E"/>
    <w:rsid w:val="00306CE7"/>
    <w:rsid w:val="00306EA0"/>
    <w:rsid w:val="00306F06"/>
    <w:rsid w:val="003075BE"/>
    <w:rsid w:val="00307F26"/>
    <w:rsid w:val="003102D7"/>
    <w:rsid w:val="003107E5"/>
    <w:rsid w:val="00310CED"/>
    <w:rsid w:val="0031171A"/>
    <w:rsid w:val="00311E00"/>
    <w:rsid w:val="00311E94"/>
    <w:rsid w:val="003129E4"/>
    <w:rsid w:val="00312B2D"/>
    <w:rsid w:val="00312E10"/>
    <w:rsid w:val="0031434D"/>
    <w:rsid w:val="00314A0C"/>
    <w:rsid w:val="00314A7F"/>
    <w:rsid w:val="00314AEB"/>
    <w:rsid w:val="00314CDD"/>
    <w:rsid w:val="00314EE4"/>
    <w:rsid w:val="003154B9"/>
    <w:rsid w:val="003157F9"/>
    <w:rsid w:val="00316721"/>
    <w:rsid w:val="00316E7C"/>
    <w:rsid w:val="00317458"/>
    <w:rsid w:val="0032021F"/>
    <w:rsid w:val="003205F8"/>
    <w:rsid w:val="00321454"/>
    <w:rsid w:val="003214A9"/>
    <w:rsid w:val="003219C3"/>
    <w:rsid w:val="0032275C"/>
    <w:rsid w:val="00322AAC"/>
    <w:rsid w:val="00323054"/>
    <w:rsid w:val="00323332"/>
    <w:rsid w:val="003234B7"/>
    <w:rsid w:val="003242C1"/>
    <w:rsid w:val="00324AD8"/>
    <w:rsid w:val="003251DF"/>
    <w:rsid w:val="00325660"/>
    <w:rsid w:val="00325984"/>
    <w:rsid w:val="00325FDD"/>
    <w:rsid w:val="0032629B"/>
    <w:rsid w:val="0032684C"/>
    <w:rsid w:val="00326A83"/>
    <w:rsid w:val="003273A7"/>
    <w:rsid w:val="0033017E"/>
    <w:rsid w:val="00330314"/>
    <w:rsid w:val="00330CD2"/>
    <w:rsid w:val="00331F6A"/>
    <w:rsid w:val="003332D6"/>
    <w:rsid w:val="003333CF"/>
    <w:rsid w:val="00333B6C"/>
    <w:rsid w:val="0033484A"/>
    <w:rsid w:val="00334AFB"/>
    <w:rsid w:val="00334DF0"/>
    <w:rsid w:val="00335B26"/>
    <w:rsid w:val="00335C05"/>
    <w:rsid w:val="00335E6C"/>
    <w:rsid w:val="0033668B"/>
    <w:rsid w:val="00337399"/>
    <w:rsid w:val="00337FA1"/>
    <w:rsid w:val="00340111"/>
    <w:rsid w:val="00341ABD"/>
    <w:rsid w:val="00342598"/>
    <w:rsid w:val="0034476F"/>
    <w:rsid w:val="003452DB"/>
    <w:rsid w:val="00346268"/>
    <w:rsid w:val="0034647D"/>
    <w:rsid w:val="003464F9"/>
    <w:rsid w:val="003465EA"/>
    <w:rsid w:val="00346DEA"/>
    <w:rsid w:val="00347804"/>
    <w:rsid w:val="00350B00"/>
    <w:rsid w:val="00350FF5"/>
    <w:rsid w:val="0035139A"/>
    <w:rsid w:val="00351A18"/>
    <w:rsid w:val="00351AEE"/>
    <w:rsid w:val="00352F68"/>
    <w:rsid w:val="00352F78"/>
    <w:rsid w:val="003530B1"/>
    <w:rsid w:val="0035324E"/>
    <w:rsid w:val="00353A06"/>
    <w:rsid w:val="00353DE0"/>
    <w:rsid w:val="00354782"/>
    <w:rsid w:val="003549DC"/>
    <w:rsid w:val="00354C25"/>
    <w:rsid w:val="00354D54"/>
    <w:rsid w:val="00355DD1"/>
    <w:rsid w:val="00355F90"/>
    <w:rsid w:val="00356BC7"/>
    <w:rsid w:val="00357154"/>
    <w:rsid w:val="0035760B"/>
    <w:rsid w:val="0035777E"/>
    <w:rsid w:val="00357A1E"/>
    <w:rsid w:val="00361355"/>
    <w:rsid w:val="00361A85"/>
    <w:rsid w:val="00361BBA"/>
    <w:rsid w:val="00362AEC"/>
    <w:rsid w:val="00363373"/>
    <w:rsid w:val="003638A5"/>
    <w:rsid w:val="00363FD7"/>
    <w:rsid w:val="00364448"/>
    <w:rsid w:val="00364FFF"/>
    <w:rsid w:val="0036548F"/>
    <w:rsid w:val="00365A8D"/>
    <w:rsid w:val="00370290"/>
    <w:rsid w:val="00370303"/>
    <w:rsid w:val="003703E6"/>
    <w:rsid w:val="003703E9"/>
    <w:rsid w:val="00370748"/>
    <w:rsid w:val="00370AD0"/>
    <w:rsid w:val="00371CEF"/>
    <w:rsid w:val="00372765"/>
    <w:rsid w:val="00372864"/>
    <w:rsid w:val="00372955"/>
    <w:rsid w:val="0037296B"/>
    <w:rsid w:val="00372A4C"/>
    <w:rsid w:val="00372ED0"/>
    <w:rsid w:val="00372ED9"/>
    <w:rsid w:val="00373BF4"/>
    <w:rsid w:val="00374180"/>
    <w:rsid w:val="0037503E"/>
    <w:rsid w:val="00375065"/>
    <w:rsid w:val="00375651"/>
    <w:rsid w:val="00376FB1"/>
    <w:rsid w:val="00376FF6"/>
    <w:rsid w:val="00377379"/>
    <w:rsid w:val="00377DFB"/>
    <w:rsid w:val="0038098B"/>
    <w:rsid w:val="003812B7"/>
    <w:rsid w:val="00381B89"/>
    <w:rsid w:val="00381E47"/>
    <w:rsid w:val="00382ECD"/>
    <w:rsid w:val="00382F51"/>
    <w:rsid w:val="00383184"/>
    <w:rsid w:val="0038383E"/>
    <w:rsid w:val="00384059"/>
    <w:rsid w:val="0038410F"/>
    <w:rsid w:val="0038421A"/>
    <w:rsid w:val="00385522"/>
    <w:rsid w:val="0038583D"/>
    <w:rsid w:val="00385A45"/>
    <w:rsid w:val="003862F0"/>
    <w:rsid w:val="0038668D"/>
    <w:rsid w:val="00386C40"/>
    <w:rsid w:val="00386FEE"/>
    <w:rsid w:val="00387F78"/>
    <w:rsid w:val="003905B6"/>
    <w:rsid w:val="003908F1"/>
    <w:rsid w:val="00391544"/>
    <w:rsid w:val="00393097"/>
    <w:rsid w:val="003938AD"/>
    <w:rsid w:val="00393CB5"/>
    <w:rsid w:val="00394303"/>
    <w:rsid w:val="00394422"/>
    <w:rsid w:val="00394E33"/>
    <w:rsid w:val="00395078"/>
    <w:rsid w:val="003955A7"/>
    <w:rsid w:val="003A06D1"/>
    <w:rsid w:val="003A1E26"/>
    <w:rsid w:val="003A1FA8"/>
    <w:rsid w:val="003A2074"/>
    <w:rsid w:val="003A20A6"/>
    <w:rsid w:val="003A2741"/>
    <w:rsid w:val="003A33AB"/>
    <w:rsid w:val="003A3414"/>
    <w:rsid w:val="003A4236"/>
    <w:rsid w:val="003A4504"/>
    <w:rsid w:val="003A50C7"/>
    <w:rsid w:val="003A5787"/>
    <w:rsid w:val="003A62BE"/>
    <w:rsid w:val="003A64DE"/>
    <w:rsid w:val="003A737F"/>
    <w:rsid w:val="003A7B42"/>
    <w:rsid w:val="003B050E"/>
    <w:rsid w:val="003B0F6C"/>
    <w:rsid w:val="003B1065"/>
    <w:rsid w:val="003B1B17"/>
    <w:rsid w:val="003B33A6"/>
    <w:rsid w:val="003B35F5"/>
    <w:rsid w:val="003B3A5F"/>
    <w:rsid w:val="003B3DE7"/>
    <w:rsid w:val="003B4233"/>
    <w:rsid w:val="003B45AB"/>
    <w:rsid w:val="003B4BF8"/>
    <w:rsid w:val="003B548B"/>
    <w:rsid w:val="003B65A0"/>
    <w:rsid w:val="003B6A5A"/>
    <w:rsid w:val="003B7D79"/>
    <w:rsid w:val="003C07F2"/>
    <w:rsid w:val="003C0DF2"/>
    <w:rsid w:val="003C2423"/>
    <w:rsid w:val="003C30D1"/>
    <w:rsid w:val="003C377C"/>
    <w:rsid w:val="003C5956"/>
    <w:rsid w:val="003C5B69"/>
    <w:rsid w:val="003C6518"/>
    <w:rsid w:val="003C7CD0"/>
    <w:rsid w:val="003D059D"/>
    <w:rsid w:val="003D089C"/>
    <w:rsid w:val="003D197F"/>
    <w:rsid w:val="003D29E6"/>
    <w:rsid w:val="003D2E27"/>
    <w:rsid w:val="003D3A85"/>
    <w:rsid w:val="003D4C42"/>
    <w:rsid w:val="003D5221"/>
    <w:rsid w:val="003D59C8"/>
    <w:rsid w:val="003D6444"/>
    <w:rsid w:val="003D6D63"/>
    <w:rsid w:val="003D718E"/>
    <w:rsid w:val="003E0483"/>
    <w:rsid w:val="003E1079"/>
    <w:rsid w:val="003E1100"/>
    <w:rsid w:val="003E2332"/>
    <w:rsid w:val="003E359C"/>
    <w:rsid w:val="003E3FD8"/>
    <w:rsid w:val="003E452D"/>
    <w:rsid w:val="003E5626"/>
    <w:rsid w:val="003E6069"/>
    <w:rsid w:val="003E6505"/>
    <w:rsid w:val="003E67DD"/>
    <w:rsid w:val="003E7706"/>
    <w:rsid w:val="003F0250"/>
    <w:rsid w:val="003F1A06"/>
    <w:rsid w:val="003F2EF7"/>
    <w:rsid w:val="003F3902"/>
    <w:rsid w:val="003F47BF"/>
    <w:rsid w:val="003F4BA4"/>
    <w:rsid w:val="003F4F8A"/>
    <w:rsid w:val="003F5AF3"/>
    <w:rsid w:val="003F61EF"/>
    <w:rsid w:val="003F646B"/>
    <w:rsid w:val="003F72B2"/>
    <w:rsid w:val="003F766A"/>
    <w:rsid w:val="003F7C83"/>
    <w:rsid w:val="0040042D"/>
    <w:rsid w:val="00400743"/>
    <w:rsid w:val="00401703"/>
    <w:rsid w:val="00402557"/>
    <w:rsid w:val="00402FEF"/>
    <w:rsid w:val="00403182"/>
    <w:rsid w:val="004034EE"/>
    <w:rsid w:val="00404022"/>
    <w:rsid w:val="004042E3"/>
    <w:rsid w:val="004044D5"/>
    <w:rsid w:val="0040533F"/>
    <w:rsid w:val="00405592"/>
    <w:rsid w:val="004065D9"/>
    <w:rsid w:val="004078B6"/>
    <w:rsid w:val="0041057A"/>
    <w:rsid w:val="00410C4E"/>
    <w:rsid w:val="00410F0A"/>
    <w:rsid w:val="004119A1"/>
    <w:rsid w:val="00412255"/>
    <w:rsid w:val="00412FB0"/>
    <w:rsid w:val="00413141"/>
    <w:rsid w:val="0041314A"/>
    <w:rsid w:val="0041406B"/>
    <w:rsid w:val="00414910"/>
    <w:rsid w:val="00415045"/>
    <w:rsid w:val="00415609"/>
    <w:rsid w:val="004158EE"/>
    <w:rsid w:val="00415E9F"/>
    <w:rsid w:val="00415F8E"/>
    <w:rsid w:val="0041608E"/>
    <w:rsid w:val="00417517"/>
    <w:rsid w:val="004177AC"/>
    <w:rsid w:val="00417B43"/>
    <w:rsid w:val="00420772"/>
    <w:rsid w:val="0042159B"/>
    <w:rsid w:val="004219D8"/>
    <w:rsid w:val="004229A9"/>
    <w:rsid w:val="004231F6"/>
    <w:rsid w:val="0042323C"/>
    <w:rsid w:val="00423330"/>
    <w:rsid w:val="00423965"/>
    <w:rsid w:val="004242BA"/>
    <w:rsid w:val="00424A63"/>
    <w:rsid w:val="00425754"/>
    <w:rsid w:val="00425AD9"/>
    <w:rsid w:val="00426A2D"/>
    <w:rsid w:val="00426C5B"/>
    <w:rsid w:val="00426F82"/>
    <w:rsid w:val="0042718C"/>
    <w:rsid w:val="004273D9"/>
    <w:rsid w:val="00427AC4"/>
    <w:rsid w:val="00430269"/>
    <w:rsid w:val="004307F2"/>
    <w:rsid w:val="004309C6"/>
    <w:rsid w:val="0043102C"/>
    <w:rsid w:val="00431461"/>
    <w:rsid w:val="00431D8A"/>
    <w:rsid w:val="0043237E"/>
    <w:rsid w:val="00432AE1"/>
    <w:rsid w:val="00433305"/>
    <w:rsid w:val="00433341"/>
    <w:rsid w:val="00433356"/>
    <w:rsid w:val="00434C1F"/>
    <w:rsid w:val="00434D8D"/>
    <w:rsid w:val="00435371"/>
    <w:rsid w:val="00435B6B"/>
    <w:rsid w:val="00436957"/>
    <w:rsid w:val="00436B64"/>
    <w:rsid w:val="00441049"/>
    <w:rsid w:val="00441B76"/>
    <w:rsid w:val="00442A9B"/>
    <w:rsid w:val="00443952"/>
    <w:rsid w:val="00443E78"/>
    <w:rsid w:val="0044468B"/>
    <w:rsid w:val="00444ECC"/>
    <w:rsid w:val="00447593"/>
    <w:rsid w:val="00447A23"/>
    <w:rsid w:val="004506BE"/>
    <w:rsid w:val="004508BC"/>
    <w:rsid w:val="00450C04"/>
    <w:rsid w:val="00450C23"/>
    <w:rsid w:val="00451496"/>
    <w:rsid w:val="0045184A"/>
    <w:rsid w:val="00452395"/>
    <w:rsid w:val="00452579"/>
    <w:rsid w:val="00452801"/>
    <w:rsid w:val="00452D4A"/>
    <w:rsid w:val="00453012"/>
    <w:rsid w:val="0045322B"/>
    <w:rsid w:val="00453315"/>
    <w:rsid w:val="0045494F"/>
    <w:rsid w:val="00454EF4"/>
    <w:rsid w:val="004551D9"/>
    <w:rsid w:val="004556A4"/>
    <w:rsid w:val="00455D6A"/>
    <w:rsid w:val="00456243"/>
    <w:rsid w:val="00456E0B"/>
    <w:rsid w:val="00456F9B"/>
    <w:rsid w:val="00457A52"/>
    <w:rsid w:val="00457B69"/>
    <w:rsid w:val="004605D7"/>
    <w:rsid w:val="00461853"/>
    <w:rsid w:val="00461A2A"/>
    <w:rsid w:val="00461A3A"/>
    <w:rsid w:val="00461BE3"/>
    <w:rsid w:val="00462900"/>
    <w:rsid w:val="00464136"/>
    <w:rsid w:val="004649FF"/>
    <w:rsid w:val="004650FA"/>
    <w:rsid w:val="0046515E"/>
    <w:rsid w:val="00466F19"/>
    <w:rsid w:val="0046701A"/>
    <w:rsid w:val="004703D8"/>
    <w:rsid w:val="00470FB8"/>
    <w:rsid w:val="004711EE"/>
    <w:rsid w:val="00472E18"/>
    <w:rsid w:val="00474E2A"/>
    <w:rsid w:val="00476E5E"/>
    <w:rsid w:val="00477201"/>
    <w:rsid w:val="00477869"/>
    <w:rsid w:val="0048015E"/>
    <w:rsid w:val="004815C5"/>
    <w:rsid w:val="00481A26"/>
    <w:rsid w:val="00481DD1"/>
    <w:rsid w:val="00482F7A"/>
    <w:rsid w:val="004832AF"/>
    <w:rsid w:val="004834D4"/>
    <w:rsid w:val="0048513F"/>
    <w:rsid w:val="0048533F"/>
    <w:rsid w:val="004853E1"/>
    <w:rsid w:val="00485CE7"/>
    <w:rsid w:val="00485D30"/>
    <w:rsid w:val="00486924"/>
    <w:rsid w:val="0048698F"/>
    <w:rsid w:val="0048761A"/>
    <w:rsid w:val="00487BF5"/>
    <w:rsid w:val="00487F6A"/>
    <w:rsid w:val="00490139"/>
    <w:rsid w:val="00491626"/>
    <w:rsid w:val="00491B45"/>
    <w:rsid w:val="00491D44"/>
    <w:rsid w:val="00492EFA"/>
    <w:rsid w:val="00492FBD"/>
    <w:rsid w:val="00492FFD"/>
    <w:rsid w:val="00493064"/>
    <w:rsid w:val="004933C9"/>
    <w:rsid w:val="00493485"/>
    <w:rsid w:val="00493A21"/>
    <w:rsid w:val="00493B69"/>
    <w:rsid w:val="00493DA7"/>
    <w:rsid w:val="0049484C"/>
    <w:rsid w:val="00494D8E"/>
    <w:rsid w:val="004952D6"/>
    <w:rsid w:val="0049560C"/>
    <w:rsid w:val="00496053"/>
    <w:rsid w:val="00496672"/>
    <w:rsid w:val="00496676"/>
    <w:rsid w:val="004973D2"/>
    <w:rsid w:val="004979E9"/>
    <w:rsid w:val="004A190E"/>
    <w:rsid w:val="004A25D6"/>
    <w:rsid w:val="004A27EA"/>
    <w:rsid w:val="004A297D"/>
    <w:rsid w:val="004A45DC"/>
    <w:rsid w:val="004A690B"/>
    <w:rsid w:val="004A732E"/>
    <w:rsid w:val="004B1308"/>
    <w:rsid w:val="004B1FCD"/>
    <w:rsid w:val="004B2D18"/>
    <w:rsid w:val="004B2EC3"/>
    <w:rsid w:val="004B3238"/>
    <w:rsid w:val="004B4144"/>
    <w:rsid w:val="004B4862"/>
    <w:rsid w:val="004B52A6"/>
    <w:rsid w:val="004B55B5"/>
    <w:rsid w:val="004B648F"/>
    <w:rsid w:val="004B66AA"/>
    <w:rsid w:val="004B6C04"/>
    <w:rsid w:val="004B6E30"/>
    <w:rsid w:val="004B72A3"/>
    <w:rsid w:val="004B7587"/>
    <w:rsid w:val="004C0487"/>
    <w:rsid w:val="004C18CE"/>
    <w:rsid w:val="004C1B42"/>
    <w:rsid w:val="004C23B6"/>
    <w:rsid w:val="004C2569"/>
    <w:rsid w:val="004C2904"/>
    <w:rsid w:val="004C3000"/>
    <w:rsid w:val="004C32FB"/>
    <w:rsid w:val="004C3857"/>
    <w:rsid w:val="004C4FC7"/>
    <w:rsid w:val="004D0C64"/>
    <w:rsid w:val="004D193C"/>
    <w:rsid w:val="004D43CF"/>
    <w:rsid w:val="004D4701"/>
    <w:rsid w:val="004D58CD"/>
    <w:rsid w:val="004D6395"/>
    <w:rsid w:val="004D6D8F"/>
    <w:rsid w:val="004D76D9"/>
    <w:rsid w:val="004E1277"/>
    <w:rsid w:val="004E1B65"/>
    <w:rsid w:val="004E218D"/>
    <w:rsid w:val="004E22C3"/>
    <w:rsid w:val="004E27F0"/>
    <w:rsid w:val="004E33B8"/>
    <w:rsid w:val="004E37DB"/>
    <w:rsid w:val="004E3CCF"/>
    <w:rsid w:val="004E43D9"/>
    <w:rsid w:val="004E500C"/>
    <w:rsid w:val="004E60B8"/>
    <w:rsid w:val="004E6617"/>
    <w:rsid w:val="004E68CB"/>
    <w:rsid w:val="004E725C"/>
    <w:rsid w:val="004E78BF"/>
    <w:rsid w:val="004E7B2E"/>
    <w:rsid w:val="004F013F"/>
    <w:rsid w:val="004F034B"/>
    <w:rsid w:val="004F1AC3"/>
    <w:rsid w:val="004F21B4"/>
    <w:rsid w:val="004F3209"/>
    <w:rsid w:val="004F3273"/>
    <w:rsid w:val="004F3860"/>
    <w:rsid w:val="004F39D8"/>
    <w:rsid w:val="004F40E6"/>
    <w:rsid w:val="004F48FF"/>
    <w:rsid w:val="004F49C8"/>
    <w:rsid w:val="004F4A15"/>
    <w:rsid w:val="004F5296"/>
    <w:rsid w:val="004F5673"/>
    <w:rsid w:val="004F6881"/>
    <w:rsid w:val="004F6C42"/>
    <w:rsid w:val="004F6F00"/>
    <w:rsid w:val="00501524"/>
    <w:rsid w:val="00502A93"/>
    <w:rsid w:val="00503144"/>
    <w:rsid w:val="00503EEC"/>
    <w:rsid w:val="005049C9"/>
    <w:rsid w:val="005056E4"/>
    <w:rsid w:val="00505A77"/>
    <w:rsid w:val="00506BAA"/>
    <w:rsid w:val="00506C30"/>
    <w:rsid w:val="00506DC2"/>
    <w:rsid w:val="005101FC"/>
    <w:rsid w:val="00510385"/>
    <w:rsid w:val="005107F2"/>
    <w:rsid w:val="005122E4"/>
    <w:rsid w:val="00512F09"/>
    <w:rsid w:val="005133BD"/>
    <w:rsid w:val="005134DB"/>
    <w:rsid w:val="00513688"/>
    <w:rsid w:val="00513DDA"/>
    <w:rsid w:val="005158F9"/>
    <w:rsid w:val="00516182"/>
    <w:rsid w:val="0051672E"/>
    <w:rsid w:val="00516BE0"/>
    <w:rsid w:val="00516E6A"/>
    <w:rsid w:val="005171D3"/>
    <w:rsid w:val="00517831"/>
    <w:rsid w:val="00520055"/>
    <w:rsid w:val="00520D12"/>
    <w:rsid w:val="0052151E"/>
    <w:rsid w:val="0052168B"/>
    <w:rsid w:val="00521CB7"/>
    <w:rsid w:val="00521F3C"/>
    <w:rsid w:val="0052291A"/>
    <w:rsid w:val="0052319E"/>
    <w:rsid w:val="00524203"/>
    <w:rsid w:val="00524670"/>
    <w:rsid w:val="00524A7C"/>
    <w:rsid w:val="00525C33"/>
    <w:rsid w:val="00526ECB"/>
    <w:rsid w:val="005273F9"/>
    <w:rsid w:val="00527922"/>
    <w:rsid w:val="0052798B"/>
    <w:rsid w:val="0053024A"/>
    <w:rsid w:val="0053070F"/>
    <w:rsid w:val="00531259"/>
    <w:rsid w:val="00531360"/>
    <w:rsid w:val="005334E1"/>
    <w:rsid w:val="005335B4"/>
    <w:rsid w:val="005335F3"/>
    <w:rsid w:val="00533D24"/>
    <w:rsid w:val="00534192"/>
    <w:rsid w:val="00534A5A"/>
    <w:rsid w:val="00537A5B"/>
    <w:rsid w:val="00537C2D"/>
    <w:rsid w:val="00537FBA"/>
    <w:rsid w:val="005403A1"/>
    <w:rsid w:val="00540EB7"/>
    <w:rsid w:val="005414D3"/>
    <w:rsid w:val="00542BCF"/>
    <w:rsid w:val="00543B2C"/>
    <w:rsid w:val="00543ECB"/>
    <w:rsid w:val="0054401D"/>
    <w:rsid w:val="005450F2"/>
    <w:rsid w:val="0054551A"/>
    <w:rsid w:val="00547157"/>
    <w:rsid w:val="0054734C"/>
    <w:rsid w:val="00547DFD"/>
    <w:rsid w:val="005512BB"/>
    <w:rsid w:val="005516B4"/>
    <w:rsid w:val="00551756"/>
    <w:rsid w:val="00551906"/>
    <w:rsid w:val="00551C92"/>
    <w:rsid w:val="005529FA"/>
    <w:rsid w:val="00552D49"/>
    <w:rsid w:val="00553478"/>
    <w:rsid w:val="00553E60"/>
    <w:rsid w:val="00553F17"/>
    <w:rsid w:val="00554192"/>
    <w:rsid w:val="00554574"/>
    <w:rsid w:val="0055484D"/>
    <w:rsid w:val="0055563C"/>
    <w:rsid w:val="00556295"/>
    <w:rsid w:val="00557B14"/>
    <w:rsid w:val="0056405B"/>
    <w:rsid w:val="005658D1"/>
    <w:rsid w:val="005659DD"/>
    <w:rsid w:val="00565A15"/>
    <w:rsid w:val="0056759B"/>
    <w:rsid w:val="00567C4E"/>
    <w:rsid w:val="005704F9"/>
    <w:rsid w:val="005709BA"/>
    <w:rsid w:val="00570BDC"/>
    <w:rsid w:val="00571115"/>
    <w:rsid w:val="0057191B"/>
    <w:rsid w:val="00571F0F"/>
    <w:rsid w:val="00572035"/>
    <w:rsid w:val="00572941"/>
    <w:rsid w:val="00573257"/>
    <w:rsid w:val="005732A7"/>
    <w:rsid w:val="00573B77"/>
    <w:rsid w:val="005752C9"/>
    <w:rsid w:val="00575FBE"/>
    <w:rsid w:val="00576129"/>
    <w:rsid w:val="005770F1"/>
    <w:rsid w:val="005771B7"/>
    <w:rsid w:val="00577332"/>
    <w:rsid w:val="00577551"/>
    <w:rsid w:val="00577A02"/>
    <w:rsid w:val="00577C6D"/>
    <w:rsid w:val="00580918"/>
    <w:rsid w:val="00580AFC"/>
    <w:rsid w:val="00580E92"/>
    <w:rsid w:val="00581000"/>
    <w:rsid w:val="005817F8"/>
    <w:rsid w:val="00581AEC"/>
    <w:rsid w:val="00583BC8"/>
    <w:rsid w:val="00584163"/>
    <w:rsid w:val="005856AB"/>
    <w:rsid w:val="00585810"/>
    <w:rsid w:val="00585D81"/>
    <w:rsid w:val="00585DAC"/>
    <w:rsid w:val="00586426"/>
    <w:rsid w:val="005867FC"/>
    <w:rsid w:val="0058683D"/>
    <w:rsid w:val="005870B7"/>
    <w:rsid w:val="005872F2"/>
    <w:rsid w:val="0059082E"/>
    <w:rsid w:val="00590C3F"/>
    <w:rsid w:val="005915C6"/>
    <w:rsid w:val="00591761"/>
    <w:rsid w:val="00591C07"/>
    <w:rsid w:val="0059206C"/>
    <w:rsid w:val="00592774"/>
    <w:rsid w:val="005933DD"/>
    <w:rsid w:val="0059358F"/>
    <w:rsid w:val="00593B9D"/>
    <w:rsid w:val="00593DD8"/>
    <w:rsid w:val="005943EA"/>
    <w:rsid w:val="005944F6"/>
    <w:rsid w:val="0059473E"/>
    <w:rsid w:val="00594CB1"/>
    <w:rsid w:val="00595C9E"/>
    <w:rsid w:val="005A0560"/>
    <w:rsid w:val="005A0AAB"/>
    <w:rsid w:val="005A14F6"/>
    <w:rsid w:val="005A1BFC"/>
    <w:rsid w:val="005A2589"/>
    <w:rsid w:val="005A2C00"/>
    <w:rsid w:val="005A3244"/>
    <w:rsid w:val="005A34A2"/>
    <w:rsid w:val="005A5215"/>
    <w:rsid w:val="005A52FB"/>
    <w:rsid w:val="005A5593"/>
    <w:rsid w:val="005A56CE"/>
    <w:rsid w:val="005A5895"/>
    <w:rsid w:val="005A5A5F"/>
    <w:rsid w:val="005A623E"/>
    <w:rsid w:val="005A635A"/>
    <w:rsid w:val="005A66B9"/>
    <w:rsid w:val="005A7647"/>
    <w:rsid w:val="005A7C45"/>
    <w:rsid w:val="005B1577"/>
    <w:rsid w:val="005B173E"/>
    <w:rsid w:val="005B1F50"/>
    <w:rsid w:val="005B2D3C"/>
    <w:rsid w:val="005B37B9"/>
    <w:rsid w:val="005B44C2"/>
    <w:rsid w:val="005B4DF0"/>
    <w:rsid w:val="005B507A"/>
    <w:rsid w:val="005B55FB"/>
    <w:rsid w:val="005B5877"/>
    <w:rsid w:val="005B5BB0"/>
    <w:rsid w:val="005B5F6F"/>
    <w:rsid w:val="005B6FB7"/>
    <w:rsid w:val="005B7057"/>
    <w:rsid w:val="005B72DE"/>
    <w:rsid w:val="005B7ED7"/>
    <w:rsid w:val="005B7F46"/>
    <w:rsid w:val="005C03D5"/>
    <w:rsid w:val="005C06A3"/>
    <w:rsid w:val="005C0736"/>
    <w:rsid w:val="005C07AA"/>
    <w:rsid w:val="005C07FC"/>
    <w:rsid w:val="005C2980"/>
    <w:rsid w:val="005C3875"/>
    <w:rsid w:val="005C4406"/>
    <w:rsid w:val="005C4526"/>
    <w:rsid w:val="005C5343"/>
    <w:rsid w:val="005C5497"/>
    <w:rsid w:val="005C58B2"/>
    <w:rsid w:val="005C5BB0"/>
    <w:rsid w:val="005C5BD0"/>
    <w:rsid w:val="005C684D"/>
    <w:rsid w:val="005C6B71"/>
    <w:rsid w:val="005C6C09"/>
    <w:rsid w:val="005C7014"/>
    <w:rsid w:val="005C702E"/>
    <w:rsid w:val="005C78FA"/>
    <w:rsid w:val="005D0356"/>
    <w:rsid w:val="005D0475"/>
    <w:rsid w:val="005D0D5E"/>
    <w:rsid w:val="005D1435"/>
    <w:rsid w:val="005D2D64"/>
    <w:rsid w:val="005D2FA9"/>
    <w:rsid w:val="005D31E8"/>
    <w:rsid w:val="005D3606"/>
    <w:rsid w:val="005D36FF"/>
    <w:rsid w:val="005D3B68"/>
    <w:rsid w:val="005D3D7E"/>
    <w:rsid w:val="005D555F"/>
    <w:rsid w:val="005D57A6"/>
    <w:rsid w:val="005D5D6B"/>
    <w:rsid w:val="005D5EF6"/>
    <w:rsid w:val="005D5F14"/>
    <w:rsid w:val="005D632A"/>
    <w:rsid w:val="005D6786"/>
    <w:rsid w:val="005E07E6"/>
    <w:rsid w:val="005E09D2"/>
    <w:rsid w:val="005E0C5B"/>
    <w:rsid w:val="005E0CE5"/>
    <w:rsid w:val="005E1298"/>
    <w:rsid w:val="005E133F"/>
    <w:rsid w:val="005E15DD"/>
    <w:rsid w:val="005E16DC"/>
    <w:rsid w:val="005E1826"/>
    <w:rsid w:val="005E1A3C"/>
    <w:rsid w:val="005E29A7"/>
    <w:rsid w:val="005E2BC7"/>
    <w:rsid w:val="005E2E21"/>
    <w:rsid w:val="005E3C2A"/>
    <w:rsid w:val="005E4831"/>
    <w:rsid w:val="005E4D4C"/>
    <w:rsid w:val="005E5AA3"/>
    <w:rsid w:val="005E6AF7"/>
    <w:rsid w:val="005E738E"/>
    <w:rsid w:val="005E7F21"/>
    <w:rsid w:val="005E7FD4"/>
    <w:rsid w:val="005F031E"/>
    <w:rsid w:val="005F0437"/>
    <w:rsid w:val="005F0605"/>
    <w:rsid w:val="005F065D"/>
    <w:rsid w:val="005F07A2"/>
    <w:rsid w:val="005F0F6D"/>
    <w:rsid w:val="005F1491"/>
    <w:rsid w:val="005F19E0"/>
    <w:rsid w:val="005F34FE"/>
    <w:rsid w:val="005F3EAA"/>
    <w:rsid w:val="005F4360"/>
    <w:rsid w:val="005F4587"/>
    <w:rsid w:val="005F553A"/>
    <w:rsid w:val="005F56F9"/>
    <w:rsid w:val="005F671D"/>
    <w:rsid w:val="005F6740"/>
    <w:rsid w:val="005F7A32"/>
    <w:rsid w:val="005F7B8B"/>
    <w:rsid w:val="00600DD8"/>
    <w:rsid w:val="0060295B"/>
    <w:rsid w:val="00602E9D"/>
    <w:rsid w:val="006036D6"/>
    <w:rsid w:val="006045EE"/>
    <w:rsid w:val="00604A61"/>
    <w:rsid w:val="00604ABC"/>
    <w:rsid w:val="006058F7"/>
    <w:rsid w:val="006063AD"/>
    <w:rsid w:val="006102B3"/>
    <w:rsid w:val="00610584"/>
    <w:rsid w:val="00610CA4"/>
    <w:rsid w:val="00610D8F"/>
    <w:rsid w:val="0061119F"/>
    <w:rsid w:val="006115C7"/>
    <w:rsid w:val="00611687"/>
    <w:rsid w:val="00611A31"/>
    <w:rsid w:val="00612007"/>
    <w:rsid w:val="006131FD"/>
    <w:rsid w:val="00613446"/>
    <w:rsid w:val="006134E2"/>
    <w:rsid w:val="00614435"/>
    <w:rsid w:val="006148F5"/>
    <w:rsid w:val="006155E2"/>
    <w:rsid w:val="00615D61"/>
    <w:rsid w:val="006166EB"/>
    <w:rsid w:val="00616A58"/>
    <w:rsid w:val="006170A7"/>
    <w:rsid w:val="006174FE"/>
    <w:rsid w:val="006211FC"/>
    <w:rsid w:val="00621C3B"/>
    <w:rsid w:val="006227D0"/>
    <w:rsid w:val="00622FA3"/>
    <w:rsid w:val="0062367C"/>
    <w:rsid w:val="00623E25"/>
    <w:rsid w:val="00623E48"/>
    <w:rsid w:val="00625328"/>
    <w:rsid w:val="00625A6F"/>
    <w:rsid w:val="00625ACD"/>
    <w:rsid w:val="00625F61"/>
    <w:rsid w:val="006262A3"/>
    <w:rsid w:val="006262C2"/>
    <w:rsid w:val="00626833"/>
    <w:rsid w:val="00626E0C"/>
    <w:rsid w:val="006270CB"/>
    <w:rsid w:val="00627B4F"/>
    <w:rsid w:val="00627C38"/>
    <w:rsid w:val="00630696"/>
    <w:rsid w:val="006308BD"/>
    <w:rsid w:val="00630D5E"/>
    <w:rsid w:val="006314B7"/>
    <w:rsid w:val="00631835"/>
    <w:rsid w:val="0063228A"/>
    <w:rsid w:val="00632397"/>
    <w:rsid w:val="00633B15"/>
    <w:rsid w:val="006340CF"/>
    <w:rsid w:val="00634487"/>
    <w:rsid w:val="006348EC"/>
    <w:rsid w:val="00634A5D"/>
    <w:rsid w:val="00634AE8"/>
    <w:rsid w:val="00635301"/>
    <w:rsid w:val="00635591"/>
    <w:rsid w:val="006359AE"/>
    <w:rsid w:val="00635C72"/>
    <w:rsid w:val="0063694B"/>
    <w:rsid w:val="006369BB"/>
    <w:rsid w:val="00640878"/>
    <w:rsid w:val="00640A8F"/>
    <w:rsid w:val="00640AA1"/>
    <w:rsid w:val="00641240"/>
    <w:rsid w:val="006412B1"/>
    <w:rsid w:val="0064201D"/>
    <w:rsid w:val="0064334E"/>
    <w:rsid w:val="00643646"/>
    <w:rsid w:val="006436C6"/>
    <w:rsid w:val="00643ADC"/>
    <w:rsid w:val="00644355"/>
    <w:rsid w:val="006446D3"/>
    <w:rsid w:val="00644BAF"/>
    <w:rsid w:val="00644D97"/>
    <w:rsid w:val="0064525C"/>
    <w:rsid w:val="00645526"/>
    <w:rsid w:val="006461EB"/>
    <w:rsid w:val="00646AAD"/>
    <w:rsid w:val="00647909"/>
    <w:rsid w:val="00647AF3"/>
    <w:rsid w:val="00650F0D"/>
    <w:rsid w:val="00651187"/>
    <w:rsid w:val="00651546"/>
    <w:rsid w:val="00651AC2"/>
    <w:rsid w:val="00652BB3"/>
    <w:rsid w:val="00653046"/>
    <w:rsid w:val="0065305D"/>
    <w:rsid w:val="006531DB"/>
    <w:rsid w:val="00653698"/>
    <w:rsid w:val="006538C4"/>
    <w:rsid w:val="00653B8E"/>
    <w:rsid w:val="006542D9"/>
    <w:rsid w:val="00655A85"/>
    <w:rsid w:val="00656053"/>
    <w:rsid w:val="0065664C"/>
    <w:rsid w:val="006571AE"/>
    <w:rsid w:val="00657249"/>
    <w:rsid w:val="0065760F"/>
    <w:rsid w:val="00661002"/>
    <w:rsid w:val="0066113D"/>
    <w:rsid w:val="00661C35"/>
    <w:rsid w:val="006620EC"/>
    <w:rsid w:val="006626D6"/>
    <w:rsid w:val="006627F3"/>
    <w:rsid w:val="00662F6A"/>
    <w:rsid w:val="0066304B"/>
    <w:rsid w:val="00663607"/>
    <w:rsid w:val="00663B43"/>
    <w:rsid w:val="00663CA6"/>
    <w:rsid w:val="0066410D"/>
    <w:rsid w:val="00665780"/>
    <w:rsid w:val="00665E0C"/>
    <w:rsid w:val="0066659E"/>
    <w:rsid w:val="00666739"/>
    <w:rsid w:val="00667309"/>
    <w:rsid w:val="00667CE5"/>
    <w:rsid w:val="00670356"/>
    <w:rsid w:val="006705C0"/>
    <w:rsid w:val="00670DD9"/>
    <w:rsid w:val="00670DE7"/>
    <w:rsid w:val="00671C07"/>
    <w:rsid w:val="006729F1"/>
    <w:rsid w:val="006731BF"/>
    <w:rsid w:val="00673C74"/>
    <w:rsid w:val="00674888"/>
    <w:rsid w:val="00674C65"/>
    <w:rsid w:val="00674E28"/>
    <w:rsid w:val="00675116"/>
    <w:rsid w:val="00675698"/>
    <w:rsid w:val="00676A55"/>
    <w:rsid w:val="006771DF"/>
    <w:rsid w:val="00677C54"/>
    <w:rsid w:val="00677D5E"/>
    <w:rsid w:val="0068009A"/>
    <w:rsid w:val="00681656"/>
    <w:rsid w:val="0068196E"/>
    <w:rsid w:val="00681A95"/>
    <w:rsid w:val="0068233D"/>
    <w:rsid w:val="00682C8D"/>
    <w:rsid w:val="00682C8E"/>
    <w:rsid w:val="00682E7B"/>
    <w:rsid w:val="006838E0"/>
    <w:rsid w:val="0068408A"/>
    <w:rsid w:val="0068433F"/>
    <w:rsid w:val="00684965"/>
    <w:rsid w:val="00684C9B"/>
    <w:rsid w:val="006852EB"/>
    <w:rsid w:val="0068574A"/>
    <w:rsid w:val="00686617"/>
    <w:rsid w:val="00687F74"/>
    <w:rsid w:val="00690963"/>
    <w:rsid w:val="00690CE1"/>
    <w:rsid w:val="0069119D"/>
    <w:rsid w:val="006913BF"/>
    <w:rsid w:val="00692C84"/>
    <w:rsid w:val="00692FE0"/>
    <w:rsid w:val="00693F3A"/>
    <w:rsid w:val="006946A6"/>
    <w:rsid w:val="00694762"/>
    <w:rsid w:val="00694AA7"/>
    <w:rsid w:val="006954A3"/>
    <w:rsid w:val="006958D4"/>
    <w:rsid w:val="006A0CFB"/>
    <w:rsid w:val="006A125E"/>
    <w:rsid w:val="006A13CB"/>
    <w:rsid w:val="006A18E1"/>
    <w:rsid w:val="006A2440"/>
    <w:rsid w:val="006A34A7"/>
    <w:rsid w:val="006A4AA6"/>
    <w:rsid w:val="006A5228"/>
    <w:rsid w:val="006A569E"/>
    <w:rsid w:val="006A5911"/>
    <w:rsid w:val="006B082B"/>
    <w:rsid w:val="006B0CDC"/>
    <w:rsid w:val="006B1AF0"/>
    <w:rsid w:val="006B2422"/>
    <w:rsid w:val="006B3CA7"/>
    <w:rsid w:val="006B4660"/>
    <w:rsid w:val="006B4FC9"/>
    <w:rsid w:val="006B53EE"/>
    <w:rsid w:val="006B64AC"/>
    <w:rsid w:val="006B6614"/>
    <w:rsid w:val="006B72B7"/>
    <w:rsid w:val="006B7B28"/>
    <w:rsid w:val="006B7BA3"/>
    <w:rsid w:val="006B7C13"/>
    <w:rsid w:val="006C0725"/>
    <w:rsid w:val="006C1632"/>
    <w:rsid w:val="006C1A55"/>
    <w:rsid w:val="006C2625"/>
    <w:rsid w:val="006C2831"/>
    <w:rsid w:val="006C3038"/>
    <w:rsid w:val="006C3BCE"/>
    <w:rsid w:val="006C3E06"/>
    <w:rsid w:val="006C3E48"/>
    <w:rsid w:val="006C5539"/>
    <w:rsid w:val="006C5C5A"/>
    <w:rsid w:val="006C5DCC"/>
    <w:rsid w:val="006C613E"/>
    <w:rsid w:val="006C7072"/>
    <w:rsid w:val="006C7F45"/>
    <w:rsid w:val="006D0058"/>
    <w:rsid w:val="006D0CAA"/>
    <w:rsid w:val="006D3584"/>
    <w:rsid w:val="006D36C0"/>
    <w:rsid w:val="006D3A1F"/>
    <w:rsid w:val="006D420D"/>
    <w:rsid w:val="006D4AD1"/>
    <w:rsid w:val="006D5082"/>
    <w:rsid w:val="006D50C3"/>
    <w:rsid w:val="006D5931"/>
    <w:rsid w:val="006D5F8A"/>
    <w:rsid w:val="006D666E"/>
    <w:rsid w:val="006D7915"/>
    <w:rsid w:val="006E0D45"/>
    <w:rsid w:val="006E0F9C"/>
    <w:rsid w:val="006E15B6"/>
    <w:rsid w:val="006E277F"/>
    <w:rsid w:val="006E3B11"/>
    <w:rsid w:val="006E4B77"/>
    <w:rsid w:val="006E4EFD"/>
    <w:rsid w:val="006E5726"/>
    <w:rsid w:val="006E64C0"/>
    <w:rsid w:val="006E78F5"/>
    <w:rsid w:val="006F038E"/>
    <w:rsid w:val="006F09C1"/>
    <w:rsid w:val="006F0DB9"/>
    <w:rsid w:val="006F1725"/>
    <w:rsid w:val="006F1DD5"/>
    <w:rsid w:val="006F2539"/>
    <w:rsid w:val="006F374A"/>
    <w:rsid w:val="006F3A8C"/>
    <w:rsid w:val="006F3D5F"/>
    <w:rsid w:val="006F4328"/>
    <w:rsid w:val="006F464D"/>
    <w:rsid w:val="006F53D4"/>
    <w:rsid w:val="006F5531"/>
    <w:rsid w:val="006F5D02"/>
    <w:rsid w:val="006F6622"/>
    <w:rsid w:val="006F7B27"/>
    <w:rsid w:val="00700C56"/>
    <w:rsid w:val="00701AE6"/>
    <w:rsid w:val="00701E9E"/>
    <w:rsid w:val="007024E9"/>
    <w:rsid w:val="0070345C"/>
    <w:rsid w:val="007036F3"/>
    <w:rsid w:val="00703E93"/>
    <w:rsid w:val="00704ACE"/>
    <w:rsid w:val="00704B2B"/>
    <w:rsid w:val="0070563C"/>
    <w:rsid w:val="00705A48"/>
    <w:rsid w:val="00706D83"/>
    <w:rsid w:val="00706FB8"/>
    <w:rsid w:val="00707076"/>
    <w:rsid w:val="007077E8"/>
    <w:rsid w:val="00707A59"/>
    <w:rsid w:val="00710060"/>
    <w:rsid w:val="00711233"/>
    <w:rsid w:val="007122DA"/>
    <w:rsid w:val="00712716"/>
    <w:rsid w:val="007127D2"/>
    <w:rsid w:val="00713A18"/>
    <w:rsid w:val="00713A1A"/>
    <w:rsid w:val="00713D99"/>
    <w:rsid w:val="0071436E"/>
    <w:rsid w:val="007143BA"/>
    <w:rsid w:val="007146A3"/>
    <w:rsid w:val="00714DD7"/>
    <w:rsid w:val="00715B59"/>
    <w:rsid w:val="007161BA"/>
    <w:rsid w:val="00716E6A"/>
    <w:rsid w:val="00716ECD"/>
    <w:rsid w:val="007170E1"/>
    <w:rsid w:val="007170EA"/>
    <w:rsid w:val="0071718D"/>
    <w:rsid w:val="007175BA"/>
    <w:rsid w:val="00720B17"/>
    <w:rsid w:val="007217C2"/>
    <w:rsid w:val="00721DE7"/>
    <w:rsid w:val="00722449"/>
    <w:rsid w:val="00722681"/>
    <w:rsid w:val="0072295C"/>
    <w:rsid w:val="007237B6"/>
    <w:rsid w:val="007244AA"/>
    <w:rsid w:val="0072502D"/>
    <w:rsid w:val="0072546C"/>
    <w:rsid w:val="00725FB0"/>
    <w:rsid w:val="00726CAB"/>
    <w:rsid w:val="00727082"/>
    <w:rsid w:val="00727753"/>
    <w:rsid w:val="00727E27"/>
    <w:rsid w:val="007304C4"/>
    <w:rsid w:val="0073092D"/>
    <w:rsid w:val="00731FC8"/>
    <w:rsid w:val="00732055"/>
    <w:rsid w:val="00732C57"/>
    <w:rsid w:val="0073329E"/>
    <w:rsid w:val="0073421D"/>
    <w:rsid w:val="00734AFB"/>
    <w:rsid w:val="00736320"/>
    <w:rsid w:val="00736CA5"/>
    <w:rsid w:val="00737531"/>
    <w:rsid w:val="00741364"/>
    <w:rsid w:val="00741FBB"/>
    <w:rsid w:val="00742098"/>
    <w:rsid w:val="00742146"/>
    <w:rsid w:val="00742527"/>
    <w:rsid w:val="00742CD4"/>
    <w:rsid w:val="00742D55"/>
    <w:rsid w:val="0074339E"/>
    <w:rsid w:val="007433F2"/>
    <w:rsid w:val="0074463A"/>
    <w:rsid w:val="00744C88"/>
    <w:rsid w:val="00744F40"/>
    <w:rsid w:val="007451EF"/>
    <w:rsid w:val="00746333"/>
    <w:rsid w:val="007466FD"/>
    <w:rsid w:val="00746D13"/>
    <w:rsid w:val="0075174A"/>
    <w:rsid w:val="007538F0"/>
    <w:rsid w:val="00753905"/>
    <w:rsid w:val="00754477"/>
    <w:rsid w:val="00754D02"/>
    <w:rsid w:val="00756B2B"/>
    <w:rsid w:val="007577B7"/>
    <w:rsid w:val="007607CC"/>
    <w:rsid w:val="00761076"/>
    <w:rsid w:val="0076124F"/>
    <w:rsid w:val="0076290F"/>
    <w:rsid w:val="0076315D"/>
    <w:rsid w:val="00764D79"/>
    <w:rsid w:val="00764E74"/>
    <w:rsid w:val="007651A7"/>
    <w:rsid w:val="0076539D"/>
    <w:rsid w:val="0076542F"/>
    <w:rsid w:val="00765EF6"/>
    <w:rsid w:val="0076723F"/>
    <w:rsid w:val="00767E0D"/>
    <w:rsid w:val="00767E5F"/>
    <w:rsid w:val="007700AC"/>
    <w:rsid w:val="007739DE"/>
    <w:rsid w:val="00773A83"/>
    <w:rsid w:val="00773B4B"/>
    <w:rsid w:val="00773DDE"/>
    <w:rsid w:val="00774785"/>
    <w:rsid w:val="00774C63"/>
    <w:rsid w:val="00774CA1"/>
    <w:rsid w:val="00775F74"/>
    <w:rsid w:val="00776329"/>
    <w:rsid w:val="00777DFF"/>
    <w:rsid w:val="00780520"/>
    <w:rsid w:val="00781500"/>
    <w:rsid w:val="00781809"/>
    <w:rsid w:val="00781926"/>
    <w:rsid w:val="0078534A"/>
    <w:rsid w:val="0078643A"/>
    <w:rsid w:val="007877DD"/>
    <w:rsid w:val="0078790A"/>
    <w:rsid w:val="00790D4D"/>
    <w:rsid w:val="0079157B"/>
    <w:rsid w:val="007921C2"/>
    <w:rsid w:val="00794254"/>
    <w:rsid w:val="0079441D"/>
    <w:rsid w:val="007949B0"/>
    <w:rsid w:val="00794B45"/>
    <w:rsid w:val="00794BA2"/>
    <w:rsid w:val="00794D52"/>
    <w:rsid w:val="00795F2A"/>
    <w:rsid w:val="007A099C"/>
    <w:rsid w:val="007A1019"/>
    <w:rsid w:val="007A17E8"/>
    <w:rsid w:val="007A182E"/>
    <w:rsid w:val="007A255D"/>
    <w:rsid w:val="007A2FFB"/>
    <w:rsid w:val="007A3EA9"/>
    <w:rsid w:val="007A4856"/>
    <w:rsid w:val="007A4ACF"/>
    <w:rsid w:val="007A4C12"/>
    <w:rsid w:val="007A5856"/>
    <w:rsid w:val="007A6A1A"/>
    <w:rsid w:val="007A7354"/>
    <w:rsid w:val="007A7A63"/>
    <w:rsid w:val="007A7E4A"/>
    <w:rsid w:val="007A7EFE"/>
    <w:rsid w:val="007B007B"/>
    <w:rsid w:val="007B194C"/>
    <w:rsid w:val="007B1986"/>
    <w:rsid w:val="007B238A"/>
    <w:rsid w:val="007B25B8"/>
    <w:rsid w:val="007B3181"/>
    <w:rsid w:val="007B31F2"/>
    <w:rsid w:val="007B33AE"/>
    <w:rsid w:val="007B3FE7"/>
    <w:rsid w:val="007B42A8"/>
    <w:rsid w:val="007B4564"/>
    <w:rsid w:val="007B57D3"/>
    <w:rsid w:val="007B716D"/>
    <w:rsid w:val="007B7315"/>
    <w:rsid w:val="007C056C"/>
    <w:rsid w:val="007C0EAC"/>
    <w:rsid w:val="007C1635"/>
    <w:rsid w:val="007C223D"/>
    <w:rsid w:val="007C391E"/>
    <w:rsid w:val="007C4BE9"/>
    <w:rsid w:val="007C51C0"/>
    <w:rsid w:val="007C5513"/>
    <w:rsid w:val="007C6B38"/>
    <w:rsid w:val="007C6DB2"/>
    <w:rsid w:val="007C74F6"/>
    <w:rsid w:val="007C7634"/>
    <w:rsid w:val="007C797E"/>
    <w:rsid w:val="007C79B5"/>
    <w:rsid w:val="007C7D4F"/>
    <w:rsid w:val="007D0392"/>
    <w:rsid w:val="007D078B"/>
    <w:rsid w:val="007D0A1F"/>
    <w:rsid w:val="007D112C"/>
    <w:rsid w:val="007D122C"/>
    <w:rsid w:val="007D1A18"/>
    <w:rsid w:val="007D1E50"/>
    <w:rsid w:val="007D1E76"/>
    <w:rsid w:val="007D2373"/>
    <w:rsid w:val="007D29CA"/>
    <w:rsid w:val="007D41DC"/>
    <w:rsid w:val="007D424D"/>
    <w:rsid w:val="007D4B26"/>
    <w:rsid w:val="007D4CFA"/>
    <w:rsid w:val="007D4E66"/>
    <w:rsid w:val="007D4F75"/>
    <w:rsid w:val="007D592A"/>
    <w:rsid w:val="007D6246"/>
    <w:rsid w:val="007D66CF"/>
    <w:rsid w:val="007D6C2B"/>
    <w:rsid w:val="007D6E27"/>
    <w:rsid w:val="007D7149"/>
    <w:rsid w:val="007D7A15"/>
    <w:rsid w:val="007E02F9"/>
    <w:rsid w:val="007E08D4"/>
    <w:rsid w:val="007E104E"/>
    <w:rsid w:val="007E1C36"/>
    <w:rsid w:val="007E1F5A"/>
    <w:rsid w:val="007E2044"/>
    <w:rsid w:val="007E27A7"/>
    <w:rsid w:val="007E3284"/>
    <w:rsid w:val="007E33EE"/>
    <w:rsid w:val="007E3F4A"/>
    <w:rsid w:val="007E432D"/>
    <w:rsid w:val="007E45FF"/>
    <w:rsid w:val="007E6658"/>
    <w:rsid w:val="007E66C4"/>
    <w:rsid w:val="007E7CEE"/>
    <w:rsid w:val="007F00A3"/>
    <w:rsid w:val="007F15BA"/>
    <w:rsid w:val="007F15D0"/>
    <w:rsid w:val="007F168C"/>
    <w:rsid w:val="007F1A77"/>
    <w:rsid w:val="007F223E"/>
    <w:rsid w:val="007F2D05"/>
    <w:rsid w:val="007F3073"/>
    <w:rsid w:val="007F3226"/>
    <w:rsid w:val="007F4293"/>
    <w:rsid w:val="007F4584"/>
    <w:rsid w:val="007F4735"/>
    <w:rsid w:val="007F54A4"/>
    <w:rsid w:val="007F56B5"/>
    <w:rsid w:val="007F6276"/>
    <w:rsid w:val="007F640B"/>
    <w:rsid w:val="0080128E"/>
    <w:rsid w:val="0080165B"/>
    <w:rsid w:val="008024A3"/>
    <w:rsid w:val="008024DD"/>
    <w:rsid w:val="0080415A"/>
    <w:rsid w:val="0080424A"/>
    <w:rsid w:val="00804E50"/>
    <w:rsid w:val="00805598"/>
    <w:rsid w:val="00806956"/>
    <w:rsid w:val="008069C1"/>
    <w:rsid w:val="00807579"/>
    <w:rsid w:val="00807A7F"/>
    <w:rsid w:val="00810395"/>
    <w:rsid w:val="00811188"/>
    <w:rsid w:val="0081157B"/>
    <w:rsid w:val="00813442"/>
    <w:rsid w:val="008160B6"/>
    <w:rsid w:val="008160F1"/>
    <w:rsid w:val="0081616C"/>
    <w:rsid w:val="00816AAF"/>
    <w:rsid w:val="00816E86"/>
    <w:rsid w:val="008179B5"/>
    <w:rsid w:val="00820D09"/>
    <w:rsid w:val="00821D12"/>
    <w:rsid w:val="008223B8"/>
    <w:rsid w:val="008228E3"/>
    <w:rsid w:val="00822AE5"/>
    <w:rsid w:val="008230FD"/>
    <w:rsid w:val="00823904"/>
    <w:rsid w:val="008244C3"/>
    <w:rsid w:val="008244CD"/>
    <w:rsid w:val="00825174"/>
    <w:rsid w:val="00825C87"/>
    <w:rsid w:val="0082616A"/>
    <w:rsid w:val="00826975"/>
    <w:rsid w:val="00826C12"/>
    <w:rsid w:val="00827C8E"/>
    <w:rsid w:val="00830FC7"/>
    <w:rsid w:val="00831678"/>
    <w:rsid w:val="00832017"/>
    <w:rsid w:val="0083279C"/>
    <w:rsid w:val="00832DC2"/>
    <w:rsid w:val="00833104"/>
    <w:rsid w:val="00833240"/>
    <w:rsid w:val="00833245"/>
    <w:rsid w:val="00833A50"/>
    <w:rsid w:val="00834235"/>
    <w:rsid w:val="0083497C"/>
    <w:rsid w:val="00834B40"/>
    <w:rsid w:val="00834E8A"/>
    <w:rsid w:val="00837018"/>
    <w:rsid w:val="0084073E"/>
    <w:rsid w:val="008413B9"/>
    <w:rsid w:val="00841992"/>
    <w:rsid w:val="00841C2E"/>
    <w:rsid w:val="00842A83"/>
    <w:rsid w:val="00842BD3"/>
    <w:rsid w:val="00842CCC"/>
    <w:rsid w:val="008439A4"/>
    <w:rsid w:val="00843DE8"/>
    <w:rsid w:val="00843E9B"/>
    <w:rsid w:val="00843E9C"/>
    <w:rsid w:val="008444E9"/>
    <w:rsid w:val="00844884"/>
    <w:rsid w:val="00844892"/>
    <w:rsid w:val="00845525"/>
    <w:rsid w:val="00845962"/>
    <w:rsid w:val="008463B5"/>
    <w:rsid w:val="00847235"/>
    <w:rsid w:val="00847E77"/>
    <w:rsid w:val="00850817"/>
    <w:rsid w:val="0085081F"/>
    <w:rsid w:val="00851D99"/>
    <w:rsid w:val="00852103"/>
    <w:rsid w:val="008550A1"/>
    <w:rsid w:val="008550FA"/>
    <w:rsid w:val="00855229"/>
    <w:rsid w:val="008552AF"/>
    <w:rsid w:val="008554BD"/>
    <w:rsid w:val="00855711"/>
    <w:rsid w:val="00856230"/>
    <w:rsid w:val="00856E94"/>
    <w:rsid w:val="00856FCF"/>
    <w:rsid w:val="00857356"/>
    <w:rsid w:val="00857A57"/>
    <w:rsid w:val="00857AC8"/>
    <w:rsid w:val="00857B2D"/>
    <w:rsid w:val="00860814"/>
    <w:rsid w:val="00860DEA"/>
    <w:rsid w:val="00861E5D"/>
    <w:rsid w:val="00861F9C"/>
    <w:rsid w:val="008620A2"/>
    <w:rsid w:val="008620A8"/>
    <w:rsid w:val="0086222A"/>
    <w:rsid w:val="00862691"/>
    <w:rsid w:val="00863558"/>
    <w:rsid w:val="00863708"/>
    <w:rsid w:val="00863719"/>
    <w:rsid w:val="008638EA"/>
    <w:rsid w:val="00863928"/>
    <w:rsid w:val="00864422"/>
    <w:rsid w:val="008657B3"/>
    <w:rsid w:val="00866061"/>
    <w:rsid w:val="0086610B"/>
    <w:rsid w:val="008663DE"/>
    <w:rsid w:val="00866D3F"/>
    <w:rsid w:val="00867745"/>
    <w:rsid w:val="00867D02"/>
    <w:rsid w:val="00867D14"/>
    <w:rsid w:val="00867E64"/>
    <w:rsid w:val="00867FA9"/>
    <w:rsid w:val="0087072D"/>
    <w:rsid w:val="00870C40"/>
    <w:rsid w:val="00871B88"/>
    <w:rsid w:val="00872824"/>
    <w:rsid w:val="00873BBF"/>
    <w:rsid w:val="00873F67"/>
    <w:rsid w:val="00874705"/>
    <w:rsid w:val="00874AC5"/>
    <w:rsid w:val="0087665C"/>
    <w:rsid w:val="0087672D"/>
    <w:rsid w:val="00877189"/>
    <w:rsid w:val="00877258"/>
    <w:rsid w:val="0088098B"/>
    <w:rsid w:val="008817A9"/>
    <w:rsid w:val="00881E6C"/>
    <w:rsid w:val="0088277C"/>
    <w:rsid w:val="0088302F"/>
    <w:rsid w:val="0088326A"/>
    <w:rsid w:val="00883316"/>
    <w:rsid w:val="008833EE"/>
    <w:rsid w:val="00884E2C"/>
    <w:rsid w:val="00885F52"/>
    <w:rsid w:val="00887235"/>
    <w:rsid w:val="00887903"/>
    <w:rsid w:val="00890813"/>
    <w:rsid w:val="00890B32"/>
    <w:rsid w:val="008916DD"/>
    <w:rsid w:val="00891852"/>
    <w:rsid w:val="008918AF"/>
    <w:rsid w:val="008921B2"/>
    <w:rsid w:val="00892E83"/>
    <w:rsid w:val="00892F35"/>
    <w:rsid w:val="00894A9B"/>
    <w:rsid w:val="00894B17"/>
    <w:rsid w:val="00895F70"/>
    <w:rsid w:val="00896241"/>
    <w:rsid w:val="008969DA"/>
    <w:rsid w:val="00896E0F"/>
    <w:rsid w:val="0089734D"/>
    <w:rsid w:val="00897534"/>
    <w:rsid w:val="00897BFD"/>
    <w:rsid w:val="00897EB2"/>
    <w:rsid w:val="008A0631"/>
    <w:rsid w:val="008A1931"/>
    <w:rsid w:val="008A21CB"/>
    <w:rsid w:val="008A227A"/>
    <w:rsid w:val="008A2C24"/>
    <w:rsid w:val="008A397D"/>
    <w:rsid w:val="008A3D9A"/>
    <w:rsid w:val="008A3E4A"/>
    <w:rsid w:val="008A4A6E"/>
    <w:rsid w:val="008A4A72"/>
    <w:rsid w:val="008A5298"/>
    <w:rsid w:val="008A5522"/>
    <w:rsid w:val="008A566B"/>
    <w:rsid w:val="008A582B"/>
    <w:rsid w:val="008A5B8B"/>
    <w:rsid w:val="008A5E1A"/>
    <w:rsid w:val="008A5FA1"/>
    <w:rsid w:val="008A64B4"/>
    <w:rsid w:val="008A6BFE"/>
    <w:rsid w:val="008A751B"/>
    <w:rsid w:val="008A763D"/>
    <w:rsid w:val="008A7672"/>
    <w:rsid w:val="008A77C2"/>
    <w:rsid w:val="008B0C59"/>
    <w:rsid w:val="008B1987"/>
    <w:rsid w:val="008B23B4"/>
    <w:rsid w:val="008B23ED"/>
    <w:rsid w:val="008B361A"/>
    <w:rsid w:val="008B39A6"/>
    <w:rsid w:val="008B3D8B"/>
    <w:rsid w:val="008B454F"/>
    <w:rsid w:val="008B51B0"/>
    <w:rsid w:val="008B5CB6"/>
    <w:rsid w:val="008B613E"/>
    <w:rsid w:val="008B6C0A"/>
    <w:rsid w:val="008B6E72"/>
    <w:rsid w:val="008B70E8"/>
    <w:rsid w:val="008B7676"/>
    <w:rsid w:val="008B799D"/>
    <w:rsid w:val="008B7D69"/>
    <w:rsid w:val="008C0AE7"/>
    <w:rsid w:val="008C0B93"/>
    <w:rsid w:val="008C0E9E"/>
    <w:rsid w:val="008C18C1"/>
    <w:rsid w:val="008C190E"/>
    <w:rsid w:val="008C2205"/>
    <w:rsid w:val="008C243D"/>
    <w:rsid w:val="008C321B"/>
    <w:rsid w:val="008C3905"/>
    <w:rsid w:val="008C406C"/>
    <w:rsid w:val="008C4790"/>
    <w:rsid w:val="008C4806"/>
    <w:rsid w:val="008C4B67"/>
    <w:rsid w:val="008C5715"/>
    <w:rsid w:val="008C5E3E"/>
    <w:rsid w:val="008C5E5D"/>
    <w:rsid w:val="008C5F21"/>
    <w:rsid w:val="008C65A8"/>
    <w:rsid w:val="008C6677"/>
    <w:rsid w:val="008C6AE1"/>
    <w:rsid w:val="008C77FB"/>
    <w:rsid w:val="008C7B08"/>
    <w:rsid w:val="008C7B5B"/>
    <w:rsid w:val="008C7BDD"/>
    <w:rsid w:val="008D0B80"/>
    <w:rsid w:val="008D146E"/>
    <w:rsid w:val="008D16A5"/>
    <w:rsid w:val="008D17C1"/>
    <w:rsid w:val="008D1B30"/>
    <w:rsid w:val="008D2620"/>
    <w:rsid w:val="008D2ACD"/>
    <w:rsid w:val="008D324C"/>
    <w:rsid w:val="008D34BA"/>
    <w:rsid w:val="008D35F0"/>
    <w:rsid w:val="008D364B"/>
    <w:rsid w:val="008D3660"/>
    <w:rsid w:val="008D4A52"/>
    <w:rsid w:val="008D55EB"/>
    <w:rsid w:val="008D5623"/>
    <w:rsid w:val="008D60F4"/>
    <w:rsid w:val="008D6A96"/>
    <w:rsid w:val="008D6DC8"/>
    <w:rsid w:val="008E034D"/>
    <w:rsid w:val="008E0977"/>
    <w:rsid w:val="008E10F4"/>
    <w:rsid w:val="008E14CD"/>
    <w:rsid w:val="008E1988"/>
    <w:rsid w:val="008E1990"/>
    <w:rsid w:val="008E1B7A"/>
    <w:rsid w:val="008E1E36"/>
    <w:rsid w:val="008E27B6"/>
    <w:rsid w:val="008E29B2"/>
    <w:rsid w:val="008E30C7"/>
    <w:rsid w:val="008E31EF"/>
    <w:rsid w:val="008E3545"/>
    <w:rsid w:val="008E3A3B"/>
    <w:rsid w:val="008E3A8E"/>
    <w:rsid w:val="008E4CC7"/>
    <w:rsid w:val="008E4E23"/>
    <w:rsid w:val="008E60F8"/>
    <w:rsid w:val="008E66E7"/>
    <w:rsid w:val="008E72C2"/>
    <w:rsid w:val="008E7BCB"/>
    <w:rsid w:val="008F020C"/>
    <w:rsid w:val="008F0F1B"/>
    <w:rsid w:val="008F1112"/>
    <w:rsid w:val="008F14DC"/>
    <w:rsid w:val="008F22DB"/>
    <w:rsid w:val="008F2BED"/>
    <w:rsid w:val="008F3343"/>
    <w:rsid w:val="008F39C8"/>
    <w:rsid w:val="008F3C69"/>
    <w:rsid w:val="008F3ED5"/>
    <w:rsid w:val="008F4A2E"/>
    <w:rsid w:val="008F5CFD"/>
    <w:rsid w:val="008F5D9D"/>
    <w:rsid w:val="008F69F5"/>
    <w:rsid w:val="008F7A0B"/>
    <w:rsid w:val="00900515"/>
    <w:rsid w:val="00900565"/>
    <w:rsid w:val="00900898"/>
    <w:rsid w:val="00900B71"/>
    <w:rsid w:val="0090128F"/>
    <w:rsid w:val="00901836"/>
    <w:rsid w:val="009023C6"/>
    <w:rsid w:val="009027AB"/>
    <w:rsid w:val="0090306D"/>
    <w:rsid w:val="009037E9"/>
    <w:rsid w:val="00903B54"/>
    <w:rsid w:val="0090427E"/>
    <w:rsid w:val="009043E9"/>
    <w:rsid w:val="00904CA0"/>
    <w:rsid w:val="009051A9"/>
    <w:rsid w:val="009055D7"/>
    <w:rsid w:val="0090667E"/>
    <w:rsid w:val="00906A3B"/>
    <w:rsid w:val="00906A76"/>
    <w:rsid w:val="00906E8E"/>
    <w:rsid w:val="00910910"/>
    <w:rsid w:val="009116B4"/>
    <w:rsid w:val="009116D7"/>
    <w:rsid w:val="00911794"/>
    <w:rsid w:val="00911A46"/>
    <w:rsid w:val="009124C6"/>
    <w:rsid w:val="00912867"/>
    <w:rsid w:val="0091345B"/>
    <w:rsid w:val="00913463"/>
    <w:rsid w:val="00913E00"/>
    <w:rsid w:val="0091499F"/>
    <w:rsid w:val="00914EE4"/>
    <w:rsid w:val="00915653"/>
    <w:rsid w:val="0091567C"/>
    <w:rsid w:val="009159BD"/>
    <w:rsid w:val="00916504"/>
    <w:rsid w:val="0091703D"/>
    <w:rsid w:val="009172E1"/>
    <w:rsid w:val="0091760B"/>
    <w:rsid w:val="009176C2"/>
    <w:rsid w:val="00921283"/>
    <w:rsid w:val="0092155E"/>
    <w:rsid w:val="00921D49"/>
    <w:rsid w:val="00922917"/>
    <w:rsid w:val="00922E6F"/>
    <w:rsid w:val="009235A9"/>
    <w:rsid w:val="00924EF7"/>
    <w:rsid w:val="009252ED"/>
    <w:rsid w:val="00925545"/>
    <w:rsid w:val="00925D32"/>
    <w:rsid w:val="00925DC4"/>
    <w:rsid w:val="00925E22"/>
    <w:rsid w:val="009263A8"/>
    <w:rsid w:val="009264FE"/>
    <w:rsid w:val="00927227"/>
    <w:rsid w:val="00930560"/>
    <w:rsid w:val="00930BA9"/>
    <w:rsid w:val="00932B46"/>
    <w:rsid w:val="0093451A"/>
    <w:rsid w:val="00934F2D"/>
    <w:rsid w:val="00935089"/>
    <w:rsid w:val="00935A36"/>
    <w:rsid w:val="00935BE5"/>
    <w:rsid w:val="0093611B"/>
    <w:rsid w:val="009364BF"/>
    <w:rsid w:val="00936589"/>
    <w:rsid w:val="00936DB4"/>
    <w:rsid w:val="009376EE"/>
    <w:rsid w:val="00937AE9"/>
    <w:rsid w:val="00937AF6"/>
    <w:rsid w:val="0094007F"/>
    <w:rsid w:val="0094012D"/>
    <w:rsid w:val="0094028D"/>
    <w:rsid w:val="00940580"/>
    <w:rsid w:val="00942181"/>
    <w:rsid w:val="009443F5"/>
    <w:rsid w:val="0094516B"/>
    <w:rsid w:val="00945599"/>
    <w:rsid w:val="00946E70"/>
    <w:rsid w:val="00946F67"/>
    <w:rsid w:val="00947709"/>
    <w:rsid w:val="00947B4B"/>
    <w:rsid w:val="00947D3C"/>
    <w:rsid w:val="0095081E"/>
    <w:rsid w:val="00951287"/>
    <w:rsid w:val="00951856"/>
    <w:rsid w:val="009524F9"/>
    <w:rsid w:val="00952FDD"/>
    <w:rsid w:val="009549F9"/>
    <w:rsid w:val="00954A65"/>
    <w:rsid w:val="00955518"/>
    <w:rsid w:val="009556E5"/>
    <w:rsid w:val="009559CE"/>
    <w:rsid w:val="00955CF0"/>
    <w:rsid w:val="00955EE8"/>
    <w:rsid w:val="009560DF"/>
    <w:rsid w:val="009577FC"/>
    <w:rsid w:val="009600FA"/>
    <w:rsid w:val="009604D1"/>
    <w:rsid w:val="00961428"/>
    <w:rsid w:val="009618E9"/>
    <w:rsid w:val="00961CBE"/>
    <w:rsid w:val="00961CC9"/>
    <w:rsid w:val="00961D2D"/>
    <w:rsid w:val="00962C33"/>
    <w:rsid w:val="00962F6F"/>
    <w:rsid w:val="0096369E"/>
    <w:rsid w:val="009639BD"/>
    <w:rsid w:val="00964158"/>
    <w:rsid w:val="0096522A"/>
    <w:rsid w:val="0096531D"/>
    <w:rsid w:val="00966295"/>
    <w:rsid w:val="00966C94"/>
    <w:rsid w:val="009679F5"/>
    <w:rsid w:val="00970612"/>
    <w:rsid w:val="009707F1"/>
    <w:rsid w:val="00970D81"/>
    <w:rsid w:val="0097172A"/>
    <w:rsid w:val="00971FAB"/>
    <w:rsid w:val="00972704"/>
    <w:rsid w:val="0097296A"/>
    <w:rsid w:val="009729B5"/>
    <w:rsid w:val="00972DF0"/>
    <w:rsid w:val="00973B30"/>
    <w:rsid w:val="00974406"/>
    <w:rsid w:val="00975AE0"/>
    <w:rsid w:val="00976B18"/>
    <w:rsid w:val="00977A59"/>
    <w:rsid w:val="00977C63"/>
    <w:rsid w:val="00977F62"/>
    <w:rsid w:val="00981609"/>
    <w:rsid w:val="009828EF"/>
    <w:rsid w:val="009852CE"/>
    <w:rsid w:val="00985AC7"/>
    <w:rsid w:val="00985F84"/>
    <w:rsid w:val="009870CC"/>
    <w:rsid w:val="00987522"/>
    <w:rsid w:val="00987920"/>
    <w:rsid w:val="009905BD"/>
    <w:rsid w:val="00990630"/>
    <w:rsid w:val="00990863"/>
    <w:rsid w:val="0099111B"/>
    <w:rsid w:val="00991619"/>
    <w:rsid w:val="009917F4"/>
    <w:rsid w:val="00991EC6"/>
    <w:rsid w:val="009921D2"/>
    <w:rsid w:val="00992664"/>
    <w:rsid w:val="00992ACD"/>
    <w:rsid w:val="0099310F"/>
    <w:rsid w:val="00993560"/>
    <w:rsid w:val="00993739"/>
    <w:rsid w:val="009941ED"/>
    <w:rsid w:val="00994544"/>
    <w:rsid w:val="0099568C"/>
    <w:rsid w:val="00996266"/>
    <w:rsid w:val="009962CA"/>
    <w:rsid w:val="009966D2"/>
    <w:rsid w:val="00997A9C"/>
    <w:rsid w:val="00997AC1"/>
    <w:rsid w:val="00997AC6"/>
    <w:rsid w:val="009A0D38"/>
    <w:rsid w:val="009A14AE"/>
    <w:rsid w:val="009A19F7"/>
    <w:rsid w:val="009A318A"/>
    <w:rsid w:val="009A32FB"/>
    <w:rsid w:val="009A4712"/>
    <w:rsid w:val="009A4739"/>
    <w:rsid w:val="009A4A7F"/>
    <w:rsid w:val="009A580E"/>
    <w:rsid w:val="009A58FB"/>
    <w:rsid w:val="009A5BEE"/>
    <w:rsid w:val="009A64D7"/>
    <w:rsid w:val="009A65F0"/>
    <w:rsid w:val="009A78FD"/>
    <w:rsid w:val="009A7B95"/>
    <w:rsid w:val="009A7D6C"/>
    <w:rsid w:val="009B0A4F"/>
    <w:rsid w:val="009B0EEB"/>
    <w:rsid w:val="009B136B"/>
    <w:rsid w:val="009B24CD"/>
    <w:rsid w:val="009B3F83"/>
    <w:rsid w:val="009B4378"/>
    <w:rsid w:val="009B4748"/>
    <w:rsid w:val="009B52F8"/>
    <w:rsid w:val="009B5649"/>
    <w:rsid w:val="009B5FB8"/>
    <w:rsid w:val="009B61D3"/>
    <w:rsid w:val="009B626B"/>
    <w:rsid w:val="009B7226"/>
    <w:rsid w:val="009B7FC2"/>
    <w:rsid w:val="009C01FA"/>
    <w:rsid w:val="009C0AD4"/>
    <w:rsid w:val="009C1A82"/>
    <w:rsid w:val="009C20CE"/>
    <w:rsid w:val="009C218F"/>
    <w:rsid w:val="009C4113"/>
    <w:rsid w:val="009C4A5B"/>
    <w:rsid w:val="009C5AB6"/>
    <w:rsid w:val="009C5D0B"/>
    <w:rsid w:val="009C61F8"/>
    <w:rsid w:val="009C63EA"/>
    <w:rsid w:val="009C6F6C"/>
    <w:rsid w:val="009C71ED"/>
    <w:rsid w:val="009C7297"/>
    <w:rsid w:val="009C73D9"/>
    <w:rsid w:val="009D16DC"/>
    <w:rsid w:val="009D1A87"/>
    <w:rsid w:val="009D1CA1"/>
    <w:rsid w:val="009D2328"/>
    <w:rsid w:val="009D2451"/>
    <w:rsid w:val="009D35E8"/>
    <w:rsid w:val="009D3753"/>
    <w:rsid w:val="009D4A05"/>
    <w:rsid w:val="009D4B34"/>
    <w:rsid w:val="009D4CEC"/>
    <w:rsid w:val="009D5031"/>
    <w:rsid w:val="009D5AA0"/>
    <w:rsid w:val="009D6E38"/>
    <w:rsid w:val="009D7170"/>
    <w:rsid w:val="009D7525"/>
    <w:rsid w:val="009D767C"/>
    <w:rsid w:val="009D7B18"/>
    <w:rsid w:val="009E02CD"/>
    <w:rsid w:val="009E180D"/>
    <w:rsid w:val="009E1C05"/>
    <w:rsid w:val="009E1D64"/>
    <w:rsid w:val="009E1DF8"/>
    <w:rsid w:val="009E34CB"/>
    <w:rsid w:val="009E3EB8"/>
    <w:rsid w:val="009E434D"/>
    <w:rsid w:val="009E4E0B"/>
    <w:rsid w:val="009E589E"/>
    <w:rsid w:val="009E5960"/>
    <w:rsid w:val="009E5C45"/>
    <w:rsid w:val="009E6CA0"/>
    <w:rsid w:val="009E7865"/>
    <w:rsid w:val="009E7CC4"/>
    <w:rsid w:val="009F013F"/>
    <w:rsid w:val="009F0B34"/>
    <w:rsid w:val="009F0DEB"/>
    <w:rsid w:val="009F13F2"/>
    <w:rsid w:val="009F14DD"/>
    <w:rsid w:val="009F1EB7"/>
    <w:rsid w:val="009F201D"/>
    <w:rsid w:val="009F27ED"/>
    <w:rsid w:val="009F2F36"/>
    <w:rsid w:val="009F3316"/>
    <w:rsid w:val="009F38F8"/>
    <w:rsid w:val="009F3A8F"/>
    <w:rsid w:val="009F3D31"/>
    <w:rsid w:val="009F436C"/>
    <w:rsid w:val="009F4451"/>
    <w:rsid w:val="009F4B57"/>
    <w:rsid w:val="009F603A"/>
    <w:rsid w:val="009F6166"/>
    <w:rsid w:val="009F7373"/>
    <w:rsid w:val="009F773A"/>
    <w:rsid w:val="00A014EC"/>
    <w:rsid w:val="00A0190B"/>
    <w:rsid w:val="00A02738"/>
    <w:rsid w:val="00A029F9"/>
    <w:rsid w:val="00A04E9F"/>
    <w:rsid w:val="00A05532"/>
    <w:rsid w:val="00A055C8"/>
    <w:rsid w:val="00A05960"/>
    <w:rsid w:val="00A05BB4"/>
    <w:rsid w:val="00A06154"/>
    <w:rsid w:val="00A0638A"/>
    <w:rsid w:val="00A06808"/>
    <w:rsid w:val="00A11598"/>
    <w:rsid w:val="00A115E8"/>
    <w:rsid w:val="00A116D2"/>
    <w:rsid w:val="00A11FC2"/>
    <w:rsid w:val="00A123EA"/>
    <w:rsid w:val="00A12524"/>
    <w:rsid w:val="00A12A91"/>
    <w:rsid w:val="00A14534"/>
    <w:rsid w:val="00A14773"/>
    <w:rsid w:val="00A14F8D"/>
    <w:rsid w:val="00A152A9"/>
    <w:rsid w:val="00A154AA"/>
    <w:rsid w:val="00A15B8B"/>
    <w:rsid w:val="00A175F9"/>
    <w:rsid w:val="00A200D8"/>
    <w:rsid w:val="00A20819"/>
    <w:rsid w:val="00A20989"/>
    <w:rsid w:val="00A20B05"/>
    <w:rsid w:val="00A218B3"/>
    <w:rsid w:val="00A21ACA"/>
    <w:rsid w:val="00A21BBD"/>
    <w:rsid w:val="00A21F99"/>
    <w:rsid w:val="00A221F2"/>
    <w:rsid w:val="00A226CB"/>
    <w:rsid w:val="00A2388C"/>
    <w:rsid w:val="00A241D1"/>
    <w:rsid w:val="00A24435"/>
    <w:rsid w:val="00A24545"/>
    <w:rsid w:val="00A24719"/>
    <w:rsid w:val="00A24740"/>
    <w:rsid w:val="00A251C6"/>
    <w:rsid w:val="00A25B53"/>
    <w:rsid w:val="00A25F3E"/>
    <w:rsid w:val="00A26594"/>
    <w:rsid w:val="00A26CF8"/>
    <w:rsid w:val="00A30D07"/>
    <w:rsid w:val="00A30F15"/>
    <w:rsid w:val="00A30F33"/>
    <w:rsid w:val="00A32720"/>
    <w:rsid w:val="00A327B7"/>
    <w:rsid w:val="00A33B1D"/>
    <w:rsid w:val="00A3595B"/>
    <w:rsid w:val="00A35AFF"/>
    <w:rsid w:val="00A360E8"/>
    <w:rsid w:val="00A36348"/>
    <w:rsid w:val="00A3639C"/>
    <w:rsid w:val="00A36869"/>
    <w:rsid w:val="00A37712"/>
    <w:rsid w:val="00A4001D"/>
    <w:rsid w:val="00A40459"/>
    <w:rsid w:val="00A40869"/>
    <w:rsid w:val="00A413B6"/>
    <w:rsid w:val="00A41541"/>
    <w:rsid w:val="00A41BD8"/>
    <w:rsid w:val="00A4353E"/>
    <w:rsid w:val="00A43C30"/>
    <w:rsid w:val="00A441F6"/>
    <w:rsid w:val="00A45B7F"/>
    <w:rsid w:val="00A45BB8"/>
    <w:rsid w:val="00A45C1B"/>
    <w:rsid w:val="00A45FE7"/>
    <w:rsid w:val="00A46517"/>
    <w:rsid w:val="00A470F1"/>
    <w:rsid w:val="00A4735F"/>
    <w:rsid w:val="00A47485"/>
    <w:rsid w:val="00A50B7A"/>
    <w:rsid w:val="00A50BD4"/>
    <w:rsid w:val="00A50C42"/>
    <w:rsid w:val="00A51748"/>
    <w:rsid w:val="00A52000"/>
    <w:rsid w:val="00A525C7"/>
    <w:rsid w:val="00A53C8C"/>
    <w:rsid w:val="00A53C96"/>
    <w:rsid w:val="00A54868"/>
    <w:rsid w:val="00A54DB6"/>
    <w:rsid w:val="00A56413"/>
    <w:rsid w:val="00A56950"/>
    <w:rsid w:val="00A56AC4"/>
    <w:rsid w:val="00A57A8E"/>
    <w:rsid w:val="00A57C12"/>
    <w:rsid w:val="00A607F1"/>
    <w:rsid w:val="00A60820"/>
    <w:rsid w:val="00A60AD9"/>
    <w:rsid w:val="00A60CA7"/>
    <w:rsid w:val="00A610D7"/>
    <w:rsid w:val="00A611EB"/>
    <w:rsid w:val="00A61226"/>
    <w:rsid w:val="00A61357"/>
    <w:rsid w:val="00A61868"/>
    <w:rsid w:val="00A61975"/>
    <w:rsid w:val="00A61AF5"/>
    <w:rsid w:val="00A6282B"/>
    <w:rsid w:val="00A62EF7"/>
    <w:rsid w:val="00A6344C"/>
    <w:rsid w:val="00A63848"/>
    <w:rsid w:val="00A640DF"/>
    <w:rsid w:val="00A6421C"/>
    <w:rsid w:val="00A646EB"/>
    <w:rsid w:val="00A64D8C"/>
    <w:rsid w:val="00A65597"/>
    <w:rsid w:val="00A663F7"/>
    <w:rsid w:val="00A66A41"/>
    <w:rsid w:val="00A66FFA"/>
    <w:rsid w:val="00A673D9"/>
    <w:rsid w:val="00A6748E"/>
    <w:rsid w:val="00A709C2"/>
    <w:rsid w:val="00A715BA"/>
    <w:rsid w:val="00A71B7F"/>
    <w:rsid w:val="00A71F6A"/>
    <w:rsid w:val="00A72381"/>
    <w:rsid w:val="00A7253C"/>
    <w:rsid w:val="00A72AD3"/>
    <w:rsid w:val="00A72F29"/>
    <w:rsid w:val="00A72F5A"/>
    <w:rsid w:val="00A73DAD"/>
    <w:rsid w:val="00A7440A"/>
    <w:rsid w:val="00A74D7C"/>
    <w:rsid w:val="00A74E5B"/>
    <w:rsid w:val="00A75611"/>
    <w:rsid w:val="00A75AA9"/>
    <w:rsid w:val="00A75F73"/>
    <w:rsid w:val="00A766D4"/>
    <w:rsid w:val="00A77514"/>
    <w:rsid w:val="00A80075"/>
    <w:rsid w:val="00A800B6"/>
    <w:rsid w:val="00A801E3"/>
    <w:rsid w:val="00A815BA"/>
    <w:rsid w:val="00A81757"/>
    <w:rsid w:val="00A81A04"/>
    <w:rsid w:val="00A82BB7"/>
    <w:rsid w:val="00A82D76"/>
    <w:rsid w:val="00A83359"/>
    <w:rsid w:val="00A835E2"/>
    <w:rsid w:val="00A8405D"/>
    <w:rsid w:val="00A850AA"/>
    <w:rsid w:val="00A8545F"/>
    <w:rsid w:val="00A860CD"/>
    <w:rsid w:val="00A8636B"/>
    <w:rsid w:val="00A86EF7"/>
    <w:rsid w:val="00A87AE3"/>
    <w:rsid w:val="00A901A1"/>
    <w:rsid w:val="00A90345"/>
    <w:rsid w:val="00A9047A"/>
    <w:rsid w:val="00A917E2"/>
    <w:rsid w:val="00A91A36"/>
    <w:rsid w:val="00A92A33"/>
    <w:rsid w:val="00A92FAE"/>
    <w:rsid w:val="00A935BB"/>
    <w:rsid w:val="00A94916"/>
    <w:rsid w:val="00A94D76"/>
    <w:rsid w:val="00A94E1D"/>
    <w:rsid w:val="00A94E69"/>
    <w:rsid w:val="00A94E81"/>
    <w:rsid w:val="00A954FC"/>
    <w:rsid w:val="00A95F5D"/>
    <w:rsid w:val="00A96185"/>
    <w:rsid w:val="00A96377"/>
    <w:rsid w:val="00A97318"/>
    <w:rsid w:val="00A97368"/>
    <w:rsid w:val="00AA095B"/>
    <w:rsid w:val="00AA1112"/>
    <w:rsid w:val="00AA1B4E"/>
    <w:rsid w:val="00AA250C"/>
    <w:rsid w:val="00AA284F"/>
    <w:rsid w:val="00AA2A81"/>
    <w:rsid w:val="00AA3474"/>
    <w:rsid w:val="00AA3A9B"/>
    <w:rsid w:val="00AA40DA"/>
    <w:rsid w:val="00AA5DC4"/>
    <w:rsid w:val="00AA602F"/>
    <w:rsid w:val="00AA6184"/>
    <w:rsid w:val="00AA7172"/>
    <w:rsid w:val="00AA7469"/>
    <w:rsid w:val="00AA7DFA"/>
    <w:rsid w:val="00AB04D0"/>
    <w:rsid w:val="00AB0A99"/>
    <w:rsid w:val="00AB0AB7"/>
    <w:rsid w:val="00AB1C4B"/>
    <w:rsid w:val="00AB1D00"/>
    <w:rsid w:val="00AB2550"/>
    <w:rsid w:val="00AB2D4C"/>
    <w:rsid w:val="00AB3627"/>
    <w:rsid w:val="00AB3DC1"/>
    <w:rsid w:val="00AB4740"/>
    <w:rsid w:val="00AB5376"/>
    <w:rsid w:val="00AB721E"/>
    <w:rsid w:val="00AC0D99"/>
    <w:rsid w:val="00AC1B96"/>
    <w:rsid w:val="00AC241B"/>
    <w:rsid w:val="00AC286F"/>
    <w:rsid w:val="00AC304E"/>
    <w:rsid w:val="00AC52C6"/>
    <w:rsid w:val="00AC5D42"/>
    <w:rsid w:val="00AC6265"/>
    <w:rsid w:val="00AC6839"/>
    <w:rsid w:val="00AC75F4"/>
    <w:rsid w:val="00AC77CC"/>
    <w:rsid w:val="00AC7915"/>
    <w:rsid w:val="00AC7E1E"/>
    <w:rsid w:val="00AD010B"/>
    <w:rsid w:val="00AD0877"/>
    <w:rsid w:val="00AD0BC3"/>
    <w:rsid w:val="00AD1162"/>
    <w:rsid w:val="00AD1653"/>
    <w:rsid w:val="00AD22A0"/>
    <w:rsid w:val="00AD257A"/>
    <w:rsid w:val="00AD2994"/>
    <w:rsid w:val="00AD2C4F"/>
    <w:rsid w:val="00AD3587"/>
    <w:rsid w:val="00AD5C46"/>
    <w:rsid w:val="00AD644E"/>
    <w:rsid w:val="00AD6891"/>
    <w:rsid w:val="00AD6E76"/>
    <w:rsid w:val="00AD7026"/>
    <w:rsid w:val="00AD71FB"/>
    <w:rsid w:val="00AD722B"/>
    <w:rsid w:val="00AD744C"/>
    <w:rsid w:val="00AD7795"/>
    <w:rsid w:val="00AE1E54"/>
    <w:rsid w:val="00AE23DF"/>
    <w:rsid w:val="00AE2DE5"/>
    <w:rsid w:val="00AE2EEE"/>
    <w:rsid w:val="00AE341C"/>
    <w:rsid w:val="00AE3ABE"/>
    <w:rsid w:val="00AE4119"/>
    <w:rsid w:val="00AE428D"/>
    <w:rsid w:val="00AE4966"/>
    <w:rsid w:val="00AE4DD5"/>
    <w:rsid w:val="00AE4FC2"/>
    <w:rsid w:val="00AE608D"/>
    <w:rsid w:val="00AE69AA"/>
    <w:rsid w:val="00AE78FB"/>
    <w:rsid w:val="00AE7940"/>
    <w:rsid w:val="00AE7A62"/>
    <w:rsid w:val="00AF0964"/>
    <w:rsid w:val="00AF0B7F"/>
    <w:rsid w:val="00AF0C7E"/>
    <w:rsid w:val="00AF0EAA"/>
    <w:rsid w:val="00AF12E3"/>
    <w:rsid w:val="00AF15E8"/>
    <w:rsid w:val="00AF1C79"/>
    <w:rsid w:val="00AF207F"/>
    <w:rsid w:val="00AF22B1"/>
    <w:rsid w:val="00AF2404"/>
    <w:rsid w:val="00AF25FC"/>
    <w:rsid w:val="00AF2806"/>
    <w:rsid w:val="00AF31F4"/>
    <w:rsid w:val="00AF374A"/>
    <w:rsid w:val="00AF39C1"/>
    <w:rsid w:val="00AF39C3"/>
    <w:rsid w:val="00AF4A31"/>
    <w:rsid w:val="00AF4D6A"/>
    <w:rsid w:val="00AF5A54"/>
    <w:rsid w:val="00AF5A80"/>
    <w:rsid w:val="00AF5F57"/>
    <w:rsid w:val="00AF61D4"/>
    <w:rsid w:val="00AF66BC"/>
    <w:rsid w:val="00AF6AC4"/>
    <w:rsid w:val="00AF6C2B"/>
    <w:rsid w:val="00AF6D5E"/>
    <w:rsid w:val="00AF7837"/>
    <w:rsid w:val="00AF7B6A"/>
    <w:rsid w:val="00AF7CCC"/>
    <w:rsid w:val="00B00059"/>
    <w:rsid w:val="00B003E5"/>
    <w:rsid w:val="00B014CB"/>
    <w:rsid w:val="00B01EDC"/>
    <w:rsid w:val="00B02623"/>
    <w:rsid w:val="00B03B78"/>
    <w:rsid w:val="00B0410F"/>
    <w:rsid w:val="00B04E15"/>
    <w:rsid w:val="00B0511A"/>
    <w:rsid w:val="00B057AA"/>
    <w:rsid w:val="00B05CBD"/>
    <w:rsid w:val="00B06735"/>
    <w:rsid w:val="00B07267"/>
    <w:rsid w:val="00B072B3"/>
    <w:rsid w:val="00B078AE"/>
    <w:rsid w:val="00B101F0"/>
    <w:rsid w:val="00B10847"/>
    <w:rsid w:val="00B109A6"/>
    <w:rsid w:val="00B1239A"/>
    <w:rsid w:val="00B12AA2"/>
    <w:rsid w:val="00B12EA5"/>
    <w:rsid w:val="00B134DF"/>
    <w:rsid w:val="00B136ED"/>
    <w:rsid w:val="00B13B3C"/>
    <w:rsid w:val="00B14B14"/>
    <w:rsid w:val="00B16135"/>
    <w:rsid w:val="00B17255"/>
    <w:rsid w:val="00B17D6D"/>
    <w:rsid w:val="00B21238"/>
    <w:rsid w:val="00B21D37"/>
    <w:rsid w:val="00B23052"/>
    <w:rsid w:val="00B23B60"/>
    <w:rsid w:val="00B24488"/>
    <w:rsid w:val="00B24A76"/>
    <w:rsid w:val="00B24E94"/>
    <w:rsid w:val="00B25253"/>
    <w:rsid w:val="00B253FD"/>
    <w:rsid w:val="00B25BB3"/>
    <w:rsid w:val="00B25DF6"/>
    <w:rsid w:val="00B2656E"/>
    <w:rsid w:val="00B26BBE"/>
    <w:rsid w:val="00B26C6E"/>
    <w:rsid w:val="00B26E3C"/>
    <w:rsid w:val="00B27414"/>
    <w:rsid w:val="00B30633"/>
    <w:rsid w:val="00B31285"/>
    <w:rsid w:val="00B31E0F"/>
    <w:rsid w:val="00B31F34"/>
    <w:rsid w:val="00B32956"/>
    <w:rsid w:val="00B32ED6"/>
    <w:rsid w:val="00B32F3F"/>
    <w:rsid w:val="00B33090"/>
    <w:rsid w:val="00B3352F"/>
    <w:rsid w:val="00B33D61"/>
    <w:rsid w:val="00B34061"/>
    <w:rsid w:val="00B34EC0"/>
    <w:rsid w:val="00B34ECC"/>
    <w:rsid w:val="00B34F72"/>
    <w:rsid w:val="00B35863"/>
    <w:rsid w:val="00B36976"/>
    <w:rsid w:val="00B36A69"/>
    <w:rsid w:val="00B36EEA"/>
    <w:rsid w:val="00B4127D"/>
    <w:rsid w:val="00B41A02"/>
    <w:rsid w:val="00B42750"/>
    <w:rsid w:val="00B42DCC"/>
    <w:rsid w:val="00B42E8D"/>
    <w:rsid w:val="00B430EE"/>
    <w:rsid w:val="00B4334B"/>
    <w:rsid w:val="00B45E2D"/>
    <w:rsid w:val="00B467ED"/>
    <w:rsid w:val="00B4724A"/>
    <w:rsid w:val="00B47786"/>
    <w:rsid w:val="00B47CB9"/>
    <w:rsid w:val="00B50925"/>
    <w:rsid w:val="00B51A13"/>
    <w:rsid w:val="00B52164"/>
    <w:rsid w:val="00B52B6D"/>
    <w:rsid w:val="00B5364C"/>
    <w:rsid w:val="00B53B4C"/>
    <w:rsid w:val="00B5527E"/>
    <w:rsid w:val="00B559C2"/>
    <w:rsid w:val="00B559D3"/>
    <w:rsid w:val="00B56A49"/>
    <w:rsid w:val="00B60ED1"/>
    <w:rsid w:val="00B61BC0"/>
    <w:rsid w:val="00B62809"/>
    <w:rsid w:val="00B648E2"/>
    <w:rsid w:val="00B64F0E"/>
    <w:rsid w:val="00B66B07"/>
    <w:rsid w:val="00B66CA5"/>
    <w:rsid w:val="00B671F6"/>
    <w:rsid w:val="00B67CD8"/>
    <w:rsid w:val="00B67DD6"/>
    <w:rsid w:val="00B67FCA"/>
    <w:rsid w:val="00B700F7"/>
    <w:rsid w:val="00B70BDF"/>
    <w:rsid w:val="00B70C9A"/>
    <w:rsid w:val="00B71377"/>
    <w:rsid w:val="00B72134"/>
    <w:rsid w:val="00B7243B"/>
    <w:rsid w:val="00B73186"/>
    <w:rsid w:val="00B73629"/>
    <w:rsid w:val="00B749FB"/>
    <w:rsid w:val="00B74DE7"/>
    <w:rsid w:val="00B75999"/>
    <w:rsid w:val="00B76B02"/>
    <w:rsid w:val="00B76BDA"/>
    <w:rsid w:val="00B77931"/>
    <w:rsid w:val="00B8006F"/>
    <w:rsid w:val="00B80B9B"/>
    <w:rsid w:val="00B80D72"/>
    <w:rsid w:val="00B80ED3"/>
    <w:rsid w:val="00B80FBF"/>
    <w:rsid w:val="00B82238"/>
    <w:rsid w:val="00B82BAF"/>
    <w:rsid w:val="00B83FE7"/>
    <w:rsid w:val="00B84D24"/>
    <w:rsid w:val="00B85894"/>
    <w:rsid w:val="00B85BBC"/>
    <w:rsid w:val="00B8657B"/>
    <w:rsid w:val="00B86933"/>
    <w:rsid w:val="00B86A30"/>
    <w:rsid w:val="00B86AD3"/>
    <w:rsid w:val="00B86D57"/>
    <w:rsid w:val="00B87881"/>
    <w:rsid w:val="00B903B7"/>
    <w:rsid w:val="00B91E1A"/>
    <w:rsid w:val="00B91E80"/>
    <w:rsid w:val="00B92101"/>
    <w:rsid w:val="00B92165"/>
    <w:rsid w:val="00B926A7"/>
    <w:rsid w:val="00B93A70"/>
    <w:rsid w:val="00B940AC"/>
    <w:rsid w:val="00B94817"/>
    <w:rsid w:val="00B94E6A"/>
    <w:rsid w:val="00B961B6"/>
    <w:rsid w:val="00B96CBD"/>
    <w:rsid w:val="00B96FA5"/>
    <w:rsid w:val="00B97037"/>
    <w:rsid w:val="00B9724C"/>
    <w:rsid w:val="00BA0295"/>
    <w:rsid w:val="00BA0953"/>
    <w:rsid w:val="00BA0A71"/>
    <w:rsid w:val="00BA0E17"/>
    <w:rsid w:val="00BA278A"/>
    <w:rsid w:val="00BA439B"/>
    <w:rsid w:val="00BA4803"/>
    <w:rsid w:val="00BA49B2"/>
    <w:rsid w:val="00BA4C93"/>
    <w:rsid w:val="00BA5359"/>
    <w:rsid w:val="00BA56C6"/>
    <w:rsid w:val="00BA583C"/>
    <w:rsid w:val="00BB0587"/>
    <w:rsid w:val="00BB0C93"/>
    <w:rsid w:val="00BB132E"/>
    <w:rsid w:val="00BB181E"/>
    <w:rsid w:val="00BB1839"/>
    <w:rsid w:val="00BB24C9"/>
    <w:rsid w:val="00BB26C1"/>
    <w:rsid w:val="00BB3992"/>
    <w:rsid w:val="00BB3AF6"/>
    <w:rsid w:val="00BB3BAE"/>
    <w:rsid w:val="00BB3DF1"/>
    <w:rsid w:val="00BB40F2"/>
    <w:rsid w:val="00BB552F"/>
    <w:rsid w:val="00BB56F3"/>
    <w:rsid w:val="00BB5835"/>
    <w:rsid w:val="00BB6154"/>
    <w:rsid w:val="00BB6940"/>
    <w:rsid w:val="00BB6E4C"/>
    <w:rsid w:val="00BC095D"/>
    <w:rsid w:val="00BC096E"/>
    <w:rsid w:val="00BC0D8A"/>
    <w:rsid w:val="00BC19F9"/>
    <w:rsid w:val="00BC21E5"/>
    <w:rsid w:val="00BC33B2"/>
    <w:rsid w:val="00BC38EA"/>
    <w:rsid w:val="00BC448E"/>
    <w:rsid w:val="00BC4B8C"/>
    <w:rsid w:val="00BC5845"/>
    <w:rsid w:val="00BC588C"/>
    <w:rsid w:val="00BC5DE7"/>
    <w:rsid w:val="00BC6AF4"/>
    <w:rsid w:val="00BC742F"/>
    <w:rsid w:val="00BC7D7E"/>
    <w:rsid w:val="00BC7F56"/>
    <w:rsid w:val="00BD02E4"/>
    <w:rsid w:val="00BD0B8D"/>
    <w:rsid w:val="00BD1D31"/>
    <w:rsid w:val="00BD3A6B"/>
    <w:rsid w:val="00BD4368"/>
    <w:rsid w:val="00BD4C3A"/>
    <w:rsid w:val="00BD4FF1"/>
    <w:rsid w:val="00BD5D30"/>
    <w:rsid w:val="00BD5ECB"/>
    <w:rsid w:val="00BD692E"/>
    <w:rsid w:val="00BD7146"/>
    <w:rsid w:val="00BD7EB3"/>
    <w:rsid w:val="00BE0F89"/>
    <w:rsid w:val="00BE1940"/>
    <w:rsid w:val="00BE1975"/>
    <w:rsid w:val="00BE259F"/>
    <w:rsid w:val="00BE2627"/>
    <w:rsid w:val="00BE267B"/>
    <w:rsid w:val="00BE2CAD"/>
    <w:rsid w:val="00BE39BD"/>
    <w:rsid w:val="00BE3F0E"/>
    <w:rsid w:val="00BE416D"/>
    <w:rsid w:val="00BE5922"/>
    <w:rsid w:val="00BE5A35"/>
    <w:rsid w:val="00BE6836"/>
    <w:rsid w:val="00BE73C9"/>
    <w:rsid w:val="00BE7E5B"/>
    <w:rsid w:val="00BF0167"/>
    <w:rsid w:val="00BF10FB"/>
    <w:rsid w:val="00BF15D7"/>
    <w:rsid w:val="00BF1B79"/>
    <w:rsid w:val="00BF1ED6"/>
    <w:rsid w:val="00BF21FD"/>
    <w:rsid w:val="00BF2249"/>
    <w:rsid w:val="00BF2E32"/>
    <w:rsid w:val="00BF3135"/>
    <w:rsid w:val="00BF32AF"/>
    <w:rsid w:val="00BF42C8"/>
    <w:rsid w:val="00BF6D88"/>
    <w:rsid w:val="00C002F9"/>
    <w:rsid w:val="00C003C2"/>
    <w:rsid w:val="00C005F7"/>
    <w:rsid w:val="00C02C54"/>
    <w:rsid w:val="00C03FFB"/>
    <w:rsid w:val="00C041E7"/>
    <w:rsid w:val="00C04CA8"/>
    <w:rsid w:val="00C04DC8"/>
    <w:rsid w:val="00C05D6A"/>
    <w:rsid w:val="00C063F5"/>
    <w:rsid w:val="00C06AEE"/>
    <w:rsid w:val="00C072F3"/>
    <w:rsid w:val="00C07B93"/>
    <w:rsid w:val="00C1006D"/>
    <w:rsid w:val="00C10475"/>
    <w:rsid w:val="00C10664"/>
    <w:rsid w:val="00C10906"/>
    <w:rsid w:val="00C10A6C"/>
    <w:rsid w:val="00C117A7"/>
    <w:rsid w:val="00C11C47"/>
    <w:rsid w:val="00C12AA3"/>
    <w:rsid w:val="00C1678A"/>
    <w:rsid w:val="00C17A5E"/>
    <w:rsid w:val="00C17E56"/>
    <w:rsid w:val="00C17F14"/>
    <w:rsid w:val="00C20379"/>
    <w:rsid w:val="00C20967"/>
    <w:rsid w:val="00C215A2"/>
    <w:rsid w:val="00C222F9"/>
    <w:rsid w:val="00C22734"/>
    <w:rsid w:val="00C23D69"/>
    <w:rsid w:val="00C249FE"/>
    <w:rsid w:val="00C24E7E"/>
    <w:rsid w:val="00C24E94"/>
    <w:rsid w:val="00C24FFA"/>
    <w:rsid w:val="00C25F11"/>
    <w:rsid w:val="00C261C1"/>
    <w:rsid w:val="00C26377"/>
    <w:rsid w:val="00C265CC"/>
    <w:rsid w:val="00C278F4"/>
    <w:rsid w:val="00C31305"/>
    <w:rsid w:val="00C31383"/>
    <w:rsid w:val="00C31F51"/>
    <w:rsid w:val="00C320B2"/>
    <w:rsid w:val="00C3216A"/>
    <w:rsid w:val="00C329A0"/>
    <w:rsid w:val="00C343B2"/>
    <w:rsid w:val="00C34B56"/>
    <w:rsid w:val="00C34D3D"/>
    <w:rsid w:val="00C35095"/>
    <w:rsid w:val="00C35896"/>
    <w:rsid w:val="00C358F5"/>
    <w:rsid w:val="00C3642B"/>
    <w:rsid w:val="00C36A01"/>
    <w:rsid w:val="00C36C0F"/>
    <w:rsid w:val="00C36D57"/>
    <w:rsid w:val="00C37E57"/>
    <w:rsid w:val="00C37FF4"/>
    <w:rsid w:val="00C40329"/>
    <w:rsid w:val="00C41486"/>
    <w:rsid w:val="00C41C47"/>
    <w:rsid w:val="00C41DC1"/>
    <w:rsid w:val="00C421D0"/>
    <w:rsid w:val="00C42C81"/>
    <w:rsid w:val="00C437A6"/>
    <w:rsid w:val="00C43A84"/>
    <w:rsid w:val="00C43D41"/>
    <w:rsid w:val="00C44657"/>
    <w:rsid w:val="00C45060"/>
    <w:rsid w:val="00C457BC"/>
    <w:rsid w:val="00C45E8A"/>
    <w:rsid w:val="00C45F86"/>
    <w:rsid w:val="00C46450"/>
    <w:rsid w:val="00C46CF7"/>
    <w:rsid w:val="00C50C60"/>
    <w:rsid w:val="00C50C97"/>
    <w:rsid w:val="00C51FBB"/>
    <w:rsid w:val="00C5200B"/>
    <w:rsid w:val="00C525FC"/>
    <w:rsid w:val="00C52879"/>
    <w:rsid w:val="00C5289D"/>
    <w:rsid w:val="00C52A6D"/>
    <w:rsid w:val="00C52DBB"/>
    <w:rsid w:val="00C53503"/>
    <w:rsid w:val="00C53D6B"/>
    <w:rsid w:val="00C549CC"/>
    <w:rsid w:val="00C54E16"/>
    <w:rsid w:val="00C56DD6"/>
    <w:rsid w:val="00C5795F"/>
    <w:rsid w:val="00C57A0F"/>
    <w:rsid w:val="00C57A5A"/>
    <w:rsid w:val="00C57DBC"/>
    <w:rsid w:val="00C60A3E"/>
    <w:rsid w:val="00C61F8D"/>
    <w:rsid w:val="00C61FE2"/>
    <w:rsid w:val="00C62229"/>
    <w:rsid w:val="00C63AEF"/>
    <w:rsid w:val="00C63CE3"/>
    <w:rsid w:val="00C63F45"/>
    <w:rsid w:val="00C65C01"/>
    <w:rsid w:val="00C65D2D"/>
    <w:rsid w:val="00C66BB0"/>
    <w:rsid w:val="00C67791"/>
    <w:rsid w:val="00C6792E"/>
    <w:rsid w:val="00C67F5F"/>
    <w:rsid w:val="00C67FA7"/>
    <w:rsid w:val="00C67FCE"/>
    <w:rsid w:val="00C70035"/>
    <w:rsid w:val="00C706A2"/>
    <w:rsid w:val="00C71003"/>
    <w:rsid w:val="00C71943"/>
    <w:rsid w:val="00C72F1E"/>
    <w:rsid w:val="00C7365A"/>
    <w:rsid w:val="00C73E3C"/>
    <w:rsid w:val="00C7425C"/>
    <w:rsid w:val="00C74A4C"/>
    <w:rsid w:val="00C74E27"/>
    <w:rsid w:val="00C7534C"/>
    <w:rsid w:val="00C76350"/>
    <w:rsid w:val="00C76540"/>
    <w:rsid w:val="00C765F4"/>
    <w:rsid w:val="00C76C93"/>
    <w:rsid w:val="00C774AE"/>
    <w:rsid w:val="00C77F57"/>
    <w:rsid w:val="00C80677"/>
    <w:rsid w:val="00C80D00"/>
    <w:rsid w:val="00C821A3"/>
    <w:rsid w:val="00C829F7"/>
    <w:rsid w:val="00C82CC2"/>
    <w:rsid w:val="00C83D9B"/>
    <w:rsid w:val="00C844AC"/>
    <w:rsid w:val="00C84C53"/>
    <w:rsid w:val="00C84D7B"/>
    <w:rsid w:val="00C86BFD"/>
    <w:rsid w:val="00C86ECF"/>
    <w:rsid w:val="00C87991"/>
    <w:rsid w:val="00C87AC8"/>
    <w:rsid w:val="00C87C52"/>
    <w:rsid w:val="00C87DCB"/>
    <w:rsid w:val="00C9138B"/>
    <w:rsid w:val="00C915E1"/>
    <w:rsid w:val="00C91617"/>
    <w:rsid w:val="00C9174C"/>
    <w:rsid w:val="00C91B1B"/>
    <w:rsid w:val="00C91DF0"/>
    <w:rsid w:val="00C922B4"/>
    <w:rsid w:val="00C92743"/>
    <w:rsid w:val="00C92B11"/>
    <w:rsid w:val="00C92F2D"/>
    <w:rsid w:val="00C93135"/>
    <w:rsid w:val="00C93173"/>
    <w:rsid w:val="00C932ED"/>
    <w:rsid w:val="00C9334E"/>
    <w:rsid w:val="00C94456"/>
    <w:rsid w:val="00C9448D"/>
    <w:rsid w:val="00C94C99"/>
    <w:rsid w:val="00C94CA4"/>
    <w:rsid w:val="00C953A8"/>
    <w:rsid w:val="00C953E6"/>
    <w:rsid w:val="00C9631A"/>
    <w:rsid w:val="00C96350"/>
    <w:rsid w:val="00C97390"/>
    <w:rsid w:val="00C9781F"/>
    <w:rsid w:val="00CA01BB"/>
    <w:rsid w:val="00CA07BE"/>
    <w:rsid w:val="00CA0C30"/>
    <w:rsid w:val="00CA0CA5"/>
    <w:rsid w:val="00CA1939"/>
    <w:rsid w:val="00CA1C4C"/>
    <w:rsid w:val="00CA1FA4"/>
    <w:rsid w:val="00CA25B7"/>
    <w:rsid w:val="00CA2860"/>
    <w:rsid w:val="00CA3496"/>
    <w:rsid w:val="00CA37EF"/>
    <w:rsid w:val="00CA3D8F"/>
    <w:rsid w:val="00CA4C6E"/>
    <w:rsid w:val="00CA53E8"/>
    <w:rsid w:val="00CA5705"/>
    <w:rsid w:val="00CA5F12"/>
    <w:rsid w:val="00CA5FD7"/>
    <w:rsid w:val="00CA6735"/>
    <w:rsid w:val="00CA72FF"/>
    <w:rsid w:val="00CA7674"/>
    <w:rsid w:val="00CA7DE2"/>
    <w:rsid w:val="00CB00EC"/>
    <w:rsid w:val="00CB19D9"/>
    <w:rsid w:val="00CB1BD6"/>
    <w:rsid w:val="00CB2949"/>
    <w:rsid w:val="00CB2CD8"/>
    <w:rsid w:val="00CB2E59"/>
    <w:rsid w:val="00CB374B"/>
    <w:rsid w:val="00CB380C"/>
    <w:rsid w:val="00CB4919"/>
    <w:rsid w:val="00CB50A3"/>
    <w:rsid w:val="00CB5643"/>
    <w:rsid w:val="00CB5835"/>
    <w:rsid w:val="00CB5F30"/>
    <w:rsid w:val="00CB76CE"/>
    <w:rsid w:val="00CC0249"/>
    <w:rsid w:val="00CC03B2"/>
    <w:rsid w:val="00CC05B3"/>
    <w:rsid w:val="00CC0664"/>
    <w:rsid w:val="00CC07E7"/>
    <w:rsid w:val="00CC18F9"/>
    <w:rsid w:val="00CC1F50"/>
    <w:rsid w:val="00CC2E99"/>
    <w:rsid w:val="00CC3159"/>
    <w:rsid w:val="00CC3177"/>
    <w:rsid w:val="00CC35EF"/>
    <w:rsid w:val="00CC426A"/>
    <w:rsid w:val="00CC446F"/>
    <w:rsid w:val="00CC4698"/>
    <w:rsid w:val="00CC52C6"/>
    <w:rsid w:val="00CC559A"/>
    <w:rsid w:val="00CC5A7E"/>
    <w:rsid w:val="00CC62B2"/>
    <w:rsid w:val="00CC6556"/>
    <w:rsid w:val="00CC65C4"/>
    <w:rsid w:val="00CC65C9"/>
    <w:rsid w:val="00CC7722"/>
    <w:rsid w:val="00CD001F"/>
    <w:rsid w:val="00CD07A5"/>
    <w:rsid w:val="00CD0852"/>
    <w:rsid w:val="00CD0E36"/>
    <w:rsid w:val="00CD148F"/>
    <w:rsid w:val="00CD14E0"/>
    <w:rsid w:val="00CD20EE"/>
    <w:rsid w:val="00CD2E75"/>
    <w:rsid w:val="00CD326E"/>
    <w:rsid w:val="00CD3730"/>
    <w:rsid w:val="00CD3D36"/>
    <w:rsid w:val="00CD4D3C"/>
    <w:rsid w:val="00CD4E42"/>
    <w:rsid w:val="00CD5037"/>
    <w:rsid w:val="00CD542E"/>
    <w:rsid w:val="00CD68C9"/>
    <w:rsid w:val="00CD6D8B"/>
    <w:rsid w:val="00CD7615"/>
    <w:rsid w:val="00CE0B56"/>
    <w:rsid w:val="00CE11CE"/>
    <w:rsid w:val="00CE2B78"/>
    <w:rsid w:val="00CE4686"/>
    <w:rsid w:val="00CE4B7C"/>
    <w:rsid w:val="00CE4F05"/>
    <w:rsid w:val="00CE545A"/>
    <w:rsid w:val="00CE5FBC"/>
    <w:rsid w:val="00CE7174"/>
    <w:rsid w:val="00CE723A"/>
    <w:rsid w:val="00CF0555"/>
    <w:rsid w:val="00CF0C49"/>
    <w:rsid w:val="00CF0E26"/>
    <w:rsid w:val="00CF1388"/>
    <w:rsid w:val="00CF1920"/>
    <w:rsid w:val="00CF1EEC"/>
    <w:rsid w:val="00CF1F21"/>
    <w:rsid w:val="00CF25C1"/>
    <w:rsid w:val="00CF2FF7"/>
    <w:rsid w:val="00CF3032"/>
    <w:rsid w:val="00CF32B9"/>
    <w:rsid w:val="00CF4388"/>
    <w:rsid w:val="00CF4DDE"/>
    <w:rsid w:val="00CF5227"/>
    <w:rsid w:val="00CF566D"/>
    <w:rsid w:val="00CF5C44"/>
    <w:rsid w:val="00CF64C6"/>
    <w:rsid w:val="00CF72C8"/>
    <w:rsid w:val="00CF7376"/>
    <w:rsid w:val="00D01B64"/>
    <w:rsid w:val="00D01BB1"/>
    <w:rsid w:val="00D02393"/>
    <w:rsid w:val="00D04BC4"/>
    <w:rsid w:val="00D05B87"/>
    <w:rsid w:val="00D060AF"/>
    <w:rsid w:val="00D06330"/>
    <w:rsid w:val="00D077DF"/>
    <w:rsid w:val="00D07D0D"/>
    <w:rsid w:val="00D11731"/>
    <w:rsid w:val="00D126C4"/>
    <w:rsid w:val="00D129BA"/>
    <w:rsid w:val="00D12B41"/>
    <w:rsid w:val="00D12CE2"/>
    <w:rsid w:val="00D13E5B"/>
    <w:rsid w:val="00D14134"/>
    <w:rsid w:val="00D152B2"/>
    <w:rsid w:val="00D15B4B"/>
    <w:rsid w:val="00D1600B"/>
    <w:rsid w:val="00D205BD"/>
    <w:rsid w:val="00D20FA8"/>
    <w:rsid w:val="00D21703"/>
    <w:rsid w:val="00D21788"/>
    <w:rsid w:val="00D21BB2"/>
    <w:rsid w:val="00D22193"/>
    <w:rsid w:val="00D227F3"/>
    <w:rsid w:val="00D236B1"/>
    <w:rsid w:val="00D24142"/>
    <w:rsid w:val="00D245A9"/>
    <w:rsid w:val="00D25621"/>
    <w:rsid w:val="00D25CC7"/>
    <w:rsid w:val="00D267C1"/>
    <w:rsid w:val="00D30398"/>
    <w:rsid w:val="00D30E4B"/>
    <w:rsid w:val="00D3132C"/>
    <w:rsid w:val="00D3153E"/>
    <w:rsid w:val="00D3223D"/>
    <w:rsid w:val="00D341BF"/>
    <w:rsid w:val="00D342EE"/>
    <w:rsid w:val="00D35806"/>
    <w:rsid w:val="00D36651"/>
    <w:rsid w:val="00D367E2"/>
    <w:rsid w:val="00D4085B"/>
    <w:rsid w:val="00D4094E"/>
    <w:rsid w:val="00D40E88"/>
    <w:rsid w:val="00D412EF"/>
    <w:rsid w:val="00D41BAE"/>
    <w:rsid w:val="00D41D03"/>
    <w:rsid w:val="00D41D52"/>
    <w:rsid w:val="00D422B1"/>
    <w:rsid w:val="00D42E1C"/>
    <w:rsid w:val="00D42F8F"/>
    <w:rsid w:val="00D431B5"/>
    <w:rsid w:val="00D435F7"/>
    <w:rsid w:val="00D4371D"/>
    <w:rsid w:val="00D43E15"/>
    <w:rsid w:val="00D43FAF"/>
    <w:rsid w:val="00D45559"/>
    <w:rsid w:val="00D45C9D"/>
    <w:rsid w:val="00D45E5A"/>
    <w:rsid w:val="00D45ECD"/>
    <w:rsid w:val="00D4628A"/>
    <w:rsid w:val="00D46FB0"/>
    <w:rsid w:val="00D47DF8"/>
    <w:rsid w:val="00D506F4"/>
    <w:rsid w:val="00D508E5"/>
    <w:rsid w:val="00D5138B"/>
    <w:rsid w:val="00D527B3"/>
    <w:rsid w:val="00D53774"/>
    <w:rsid w:val="00D53D5E"/>
    <w:rsid w:val="00D54279"/>
    <w:rsid w:val="00D5570A"/>
    <w:rsid w:val="00D55F77"/>
    <w:rsid w:val="00D55FE5"/>
    <w:rsid w:val="00D56C33"/>
    <w:rsid w:val="00D56EFA"/>
    <w:rsid w:val="00D57134"/>
    <w:rsid w:val="00D5763D"/>
    <w:rsid w:val="00D57977"/>
    <w:rsid w:val="00D57DF1"/>
    <w:rsid w:val="00D601B7"/>
    <w:rsid w:val="00D607EA"/>
    <w:rsid w:val="00D6128C"/>
    <w:rsid w:val="00D614A7"/>
    <w:rsid w:val="00D6227F"/>
    <w:rsid w:val="00D62ACE"/>
    <w:rsid w:val="00D62DD7"/>
    <w:rsid w:val="00D631F4"/>
    <w:rsid w:val="00D634B0"/>
    <w:rsid w:val="00D63564"/>
    <w:rsid w:val="00D63BBF"/>
    <w:rsid w:val="00D63BC4"/>
    <w:rsid w:val="00D6428F"/>
    <w:rsid w:val="00D64FC5"/>
    <w:rsid w:val="00D65C8B"/>
    <w:rsid w:val="00D65E07"/>
    <w:rsid w:val="00D66030"/>
    <w:rsid w:val="00D660D3"/>
    <w:rsid w:val="00D666A0"/>
    <w:rsid w:val="00D67A61"/>
    <w:rsid w:val="00D67EEE"/>
    <w:rsid w:val="00D70877"/>
    <w:rsid w:val="00D71A72"/>
    <w:rsid w:val="00D71D62"/>
    <w:rsid w:val="00D71F9E"/>
    <w:rsid w:val="00D72242"/>
    <w:rsid w:val="00D72612"/>
    <w:rsid w:val="00D72F53"/>
    <w:rsid w:val="00D73662"/>
    <w:rsid w:val="00D73B25"/>
    <w:rsid w:val="00D74ED1"/>
    <w:rsid w:val="00D76387"/>
    <w:rsid w:val="00D765DD"/>
    <w:rsid w:val="00D76FD7"/>
    <w:rsid w:val="00D774A2"/>
    <w:rsid w:val="00D77D30"/>
    <w:rsid w:val="00D802CD"/>
    <w:rsid w:val="00D811AA"/>
    <w:rsid w:val="00D814B8"/>
    <w:rsid w:val="00D822A6"/>
    <w:rsid w:val="00D82C76"/>
    <w:rsid w:val="00D82F3C"/>
    <w:rsid w:val="00D842E6"/>
    <w:rsid w:val="00D84B5B"/>
    <w:rsid w:val="00D8559D"/>
    <w:rsid w:val="00D85EC4"/>
    <w:rsid w:val="00D86712"/>
    <w:rsid w:val="00D86A0A"/>
    <w:rsid w:val="00D86EBF"/>
    <w:rsid w:val="00D87298"/>
    <w:rsid w:val="00D87FC0"/>
    <w:rsid w:val="00D90211"/>
    <w:rsid w:val="00D903A0"/>
    <w:rsid w:val="00D90768"/>
    <w:rsid w:val="00D908C9"/>
    <w:rsid w:val="00D9099B"/>
    <w:rsid w:val="00D909D4"/>
    <w:rsid w:val="00D9130C"/>
    <w:rsid w:val="00D91A75"/>
    <w:rsid w:val="00D91E95"/>
    <w:rsid w:val="00D92431"/>
    <w:rsid w:val="00D931C7"/>
    <w:rsid w:val="00D93453"/>
    <w:rsid w:val="00D93C7A"/>
    <w:rsid w:val="00D95781"/>
    <w:rsid w:val="00D95CAE"/>
    <w:rsid w:val="00D95D14"/>
    <w:rsid w:val="00D96431"/>
    <w:rsid w:val="00D96A07"/>
    <w:rsid w:val="00D96AEE"/>
    <w:rsid w:val="00D9725E"/>
    <w:rsid w:val="00DA0093"/>
    <w:rsid w:val="00DA01E8"/>
    <w:rsid w:val="00DA08ED"/>
    <w:rsid w:val="00DA18FF"/>
    <w:rsid w:val="00DA1B6A"/>
    <w:rsid w:val="00DA20A7"/>
    <w:rsid w:val="00DA23FB"/>
    <w:rsid w:val="00DA267D"/>
    <w:rsid w:val="00DA2BC9"/>
    <w:rsid w:val="00DA306A"/>
    <w:rsid w:val="00DA3257"/>
    <w:rsid w:val="00DA402C"/>
    <w:rsid w:val="00DA4253"/>
    <w:rsid w:val="00DA4964"/>
    <w:rsid w:val="00DA59ED"/>
    <w:rsid w:val="00DA5F45"/>
    <w:rsid w:val="00DA634F"/>
    <w:rsid w:val="00DA6D66"/>
    <w:rsid w:val="00DA737E"/>
    <w:rsid w:val="00DA76CB"/>
    <w:rsid w:val="00DA7A34"/>
    <w:rsid w:val="00DB00DF"/>
    <w:rsid w:val="00DB1C4B"/>
    <w:rsid w:val="00DB1E8F"/>
    <w:rsid w:val="00DB1EB6"/>
    <w:rsid w:val="00DB2FFB"/>
    <w:rsid w:val="00DB3045"/>
    <w:rsid w:val="00DB4364"/>
    <w:rsid w:val="00DB46A8"/>
    <w:rsid w:val="00DB585B"/>
    <w:rsid w:val="00DB58E9"/>
    <w:rsid w:val="00DB5FD5"/>
    <w:rsid w:val="00DB611A"/>
    <w:rsid w:val="00DB6D9D"/>
    <w:rsid w:val="00DB7444"/>
    <w:rsid w:val="00DB7C7E"/>
    <w:rsid w:val="00DB7EBE"/>
    <w:rsid w:val="00DB7F75"/>
    <w:rsid w:val="00DC01CE"/>
    <w:rsid w:val="00DC05BA"/>
    <w:rsid w:val="00DC09F2"/>
    <w:rsid w:val="00DC2D0C"/>
    <w:rsid w:val="00DC3D47"/>
    <w:rsid w:val="00DC3F9A"/>
    <w:rsid w:val="00DC585F"/>
    <w:rsid w:val="00DC5873"/>
    <w:rsid w:val="00DC5CD9"/>
    <w:rsid w:val="00DC651A"/>
    <w:rsid w:val="00DC7CB3"/>
    <w:rsid w:val="00DD0DAE"/>
    <w:rsid w:val="00DD0F89"/>
    <w:rsid w:val="00DD1795"/>
    <w:rsid w:val="00DD17D0"/>
    <w:rsid w:val="00DD1D1D"/>
    <w:rsid w:val="00DD291E"/>
    <w:rsid w:val="00DD3853"/>
    <w:rsid w:val="00DD4018"/>
    <w:rsid w:val="00DD49D8"/>
    <w:rsid w:val="00DD5C8E"/>
    <w:rsid w:val="00DD64AD"/>
    <w:rsid w:val="00DD7104"/>
    <w:rsid w:val="00DD7429"/>
    <w:rsid w:val="00DD7B1B"/>
    <w:rsid w:val="00DE08A2"/>
    <w:rsid w:val="00DE0D68"/>
    <w:rsid w:val="00DE1915"/>
    <w:rsid w:val="00DE1DC6"/>
    <w:rsid w:val="00DE1FF8"/>
    <w:rsid w:val="00DE22A1"/>
    <w:rsid w:val="00DE2938"/>
    <w:rsid w:val="00DE3C0D"/>
    <w:rsid w:val="00DE3CB0"/>
    <w:rsid w:val="00DE40A6"/>
    <w:rsid w:val="00DE62AF"/>
    <w:rsid w:val="00DE6C6A"/>
    <w:rsid w:val="00DE6EEC"/>
    <w:rsid w:val="00DE713E"/>
    <w:rsid w:val="00DE73ED"/>
    <w:rsid w:val="00DE74F4"/>
    <w:rsid w:val="00DE7C08"/>
    <w:rsid w:val="00DF2098"/>
    <w:rsid w:val="00DF32FB"/>
    <w:rsid w:val="00DF3D77"/>
    <w:rsid w:val="00DF3F5F"/>
    <w:rsid w:val="00DF41B8"/>
    <w:rsid w:val="00DF4B11"/>
    <w:rsid w:val="00DF530D"/>
    <w:rsid w:val="00DF5728"/>
    <w:rsid w:val="00DF5D29"/>
    <w:rsid w:val="00DF5E38"/>
    <w:rsid w:val="00DF69FB"/>
    <w:rsid w:val="00DF6F80"/>
    <w:rsid w:val="00DF7249"/>
    <w:rsid w:val="00DF7A7D"/>
    <w:rsid w:val="00DF7C3C"/>
    <w:rsid w:val="00DF7CD2"/>
    <w:rsid w:val="00E003A4"/>
    <w:rsid w:val="00E00AEA"/>
    <w:rsid w:val="00E01084"/>
    <w:rsid w:val="00E018C9"/>
    <w:rsid w:val="00E01B69"/>
    <w:rsid w:val="00E03540"/>
    <w:rsid w:val="00E035D5"/>
    <w:rsid w:val="00E03862"/>
    <w:rsid w:val="00E03B8B"/>
    <w:rsid w:val="00E04743"/>
    <w:rsid w:val="00E04948"/>
    <w:rsid w:val="00E05359"/>
    <w:rsid w:val="00E06262"/>
    <w:rsid w:val="00E068E0"/>
    <w:rsid w:val="00E079D3"/>
    <w:rsid w:val="00E07A9D"/>
    <w:rsid w:val="00E07D8B"/>
    <w:rsid w:val="00E11111"/>
    <w:rsid w:val="00E11D91"/>
    <w:rsid w:val="00E12348"/>
    <w:rsid w:val="00E127C7"/>
    <w:rsid w:val="00E12CEC"/>
    <w:rsid w:val="00E12FB5"/>
    <w:rsid w:val="00E144E8"/>
    <w:rsid w:val="00E14B31"/>
    <w:rsid w:val="00E14C3A"/>
    <w:rsid w:val="00E14C4B"/>
    <w:rsid w:val="00E15046"/>
    <w:rsid w:val="00E151FC"/>
    <w:rsid w:val="00E15A32"/>
    <w:rsid w:val="00E15F41"/>
    <w:rsid w:val="00E1619B"/>
    <w:rsid w:val="00E16D97"/>
    <w:rsid w:val="00E20120"/>
    <w:rsid w:val="00E2059E"/>
    <w:rsid w:val="00E2077C"/>
    <w:rsid w:val="00E20954"/>
    <w:rsid w:val="00E20CF5"/>
    <w:rsid w:val="00E221B8"/>
    <w:rsid w:val="00E22620"/>
    <w:rsid w:val="00E23768"/>
    <w:rsid w:val="00E238E0"/>
    <w:rsid w:val="00E239A8"/>
    <w:rsid w:val="00E23FD7"/>
    <w:rsid w:val="00E2422C"/>
    <w:rsid w:val="00E25129"/>
    <w:rsid w:val="00E25B6C"/>
    <w:rsid w:val="00E25CB1"/>
    <w:rsid w:val="00E25E38"/>
    <w:rsid w:val="00E26114"/>
    <w:rsid w:val="00E26158"/>
    <w:rsid w:val="00E2635A"/>
    <w:rsid w:val="00E26377"/>
    <w:rsid w:val="00E266F9"/>
    <w:rsid w:val="00E26858"/>
    <w:rsid w:val="00E26AB7"/>
    <w:rsid w:val="00E27036"/>
    <w:rsid w:val="00E2710C"/>
    <w:rsid w:val="00E279A1"/>
    <w:rsid w:val="00E279A7"/>
    <w:rsid w:val="00E30362"/>
    <w:rsid w:val="00E305D2"/>
    <w:rsid w:val="00E3088C"/>
    <w:rsid w:val="00E3194F"/>
    <w:rsid w:val="00E31AC3"/>
    <w:rsid w:val="00E31B90"/>
    <w:rsid w:val="00E31EBD"/>
    <w:rsid w:val="00E31FA5"/>
    <w:rsid w:val="00E3225A"/>
    <w:rsid w:val="00E32350"/>
    <w:rsid w:val="00E32D92"/>
    <w:rsid w:val="00E33CD5"/>
    <w:rsid w:val="00E3412A"/>
    <w:rsid w:val="00E348C2"/>
    <w:rsid w:val="00E34D8B"/>
    <w:rsid w:val="00E35561"/>
    <w:rsid w:val="00E35CF5"/>
    <w:rsid w:val="00E35E77"/>
    <w:rsid w:val="00E36C54"/>
    <w:rsid w:val="00E3799F"/>
    <w:rsid w:val="00E379C1"/>
    <w:rsid w:val="00E37A8A"/>
    <w:rsid w:val="00E4019A"/>
    <w:rsid w:val="00E40CA1"/>
    <w:rsid w:val="00E4150D"/>
    <w:rsid w:val="00E415CB"/>
    <w:rsid w:val="00E41D90"/>
    <w:rsid w:val="00E42371"/>
    <w:rsid w:val="00E42FCF"/>
    <w:rsid w:val="00E43A12"/>
    <w:rsid w:val="00E45390"/>
    <w:rsid w:val="00E45CF4"/>
    <w:rsid w:val="00E45E1B"/>
    <w:rsid w:val="00E467D4"/>
    <w:rsid w:val="00E46BE9"/>
    <w:rsid w:val="00E47775"/>
    <w:rsid w:val="00E4784E"/>
    <w:rsid w:val="00E47D64"/>
    <w:rsid w:val="00E503E8"/>
    <w:rsid w:val="00E5085B"/>
    <w:rsid w:val="00E50BF0"/>
    <w:rsid w:val="00E51DE7"/>
    <w:rsid w:val="00E52334"/>
    <w:rsid w:val="00E5322E"/>
    <w:rsid w:val="00E54930"/>
    <w:rsid w:val="00E55008"/>
    <w:rsid w:val="00E55DA2"/>
    <w:rsid w:val="00E56053"/>
    <w:rsid w:val="00E567CA"/>
    <w:rsid w:val="00E568A8"/>
    <w:rsid w:val="00E56EC9"/>
    <w:rsid w:val="00E57D4F"/>
    <w:rsid w:val="00E57DAF"/>
    <w:rsid w:val="00E61304"/>
    <w:rsid w:val="00E61AF6"/>
    <w:rsid w:val="00E62024"/>
    <w:rsid w:val="00E6206B"/>
    <w:rsid w:val="00E62452"/>
    <w:rsid w:val="00E64D23"/>
    <w:rsid w:val="00E65ACE"/>
    <w:rsid w:val="00E67060"/>
    <w:rsid w:val="00E675CF"/>
    <w:rsid w:val="00E67909"/>
    <w:rsid w:val="00E679E2"/>
    <w:rsid w:val="00E67A1E"/>
    <w:rsid w:val="00E67B93"/>
    <w:rsid w:val="00E67C2B"/>
    <w:rsid w:val="00E7067B"/>
    <w:rsid w:val="00E70976"/>
    <w:rsid w:val="00E71630"/>
    <w:rsid w:val="00E7174C"/>
    <w:rsid w:val="00E729C7"/>
    <w:rsid w:val="00E739FB"/>
    <w:rsid w:val="00E739FF"/>
    <w:rsid w:val="00E74EBF"/>
    <w:rsid w:val="00E75352"/>
    <w:rsid w:val="00E764AA"/>
    <w:rsid w:val="00E76CC9"/>
    <w:rsid w:val="00E76F13"/>
    <w:rsid w:val="00E77610"/>
    <w:rsid w:val="00E80178"/>
    <w:rsid w:val="00E80969"/>
    <w:rsid w:val="00E8105D"/>
    <w:rsid w:val="00E81B41"/>
    <w:rsid w:val="00E83368"/>
    <w:rsid w:val="00E8373B"/>
    <w:rsid w:val="00E853A3"/>
    <w:rsid w:val="00E85591"/>
    <w:rsid w:val="00E8582E"/>
    <w:rsid w:val="00E85854"/>
    <w:rsid w:val="00E85CB7"/>
    <w:rsid w:val="00E866A4"/>
    <w:rsid w:val="00E871D6"/>
    <w:rsid w:val="00E87D0A"/>
    <w:rsid w:val="00E87FAC"/>
    <w:rsid w:val="00E91532"/>
    <w:rsid w:val="00E91610"/>
    <w:rsid w:val="00E938C4"/>
    <w:rsid w:val="00E93FF2"/>
    <w:rsid w:val="00E941B8"/>
    <w:rsid w:val="00E94406"/>
    <w:rsid w:val="00E94829"/>
    <w:rsid w:val="00E94BAE"/>
    <w:rsid w:val="00E95C9B"/>
    <w:rsid w:val="00E95D7C"/>
    <w:rsid w:val="00E962B8"/>
    <w:rsid w:val="00E9635F"/>
    <w:rsid w:val="00E9783C"/>
    <w:rsid w:val="00E9793A"/>
    <w:rsid w:val="00E97F53"/>
    <w:rsid w:val="00EA04AE"/>
    <w:rsid w:val="00EA07F5"/>
    <w:rsid w:val="00EA1A81"/>
    <w:rsid w:val="00EA28E4"/>
    <w:rsid w:val="00EA2D4C"/>
    <w:rsid w:val="00EA3485"/>
    <w:rsid w:val="00EA53E1"/>
    <w:rsid w:val="00EA5573"/>
    <w:rsid w:val="00EA55A4"/>
    <w:rsid w:val="00EA5C9B"/>
    <w:rsid w:val="00EA5CB0"/>
    <w:rsid w:val="00EA5E42"/>
    <w:rsid w:val="00EA6853"/>
    <w:rsid w:val="00EA729C"/>
    <w:rsid w:val="00EA7490"/>
    <w:rsid w:val="00EA7601"/>
    <w:rsid w:val="00EA7ACC"/>
    <w:rsid w:val="00EA7D74"/>
    <w:rsid w:val="00EB0144"/>
    <w:rsid w:val="00EB11AE"/>
    <w:rsid w:val="00EB1E6C"/>
    <w:rsid w:val="00EB26F2"/>
    <w:rsid w:val="00EB27F4"/>
    <w:rsid w:val="00EB2923"/>
    <w:rsid w:val="00EB2F20"/>
    <w:rsid w:val="00EB3B14"/>
    <w:rsid w:val="00EB4C96"/>
    <w:rsid w:val="00EB4EB5"/>
    <w:rsid w:val="00EB56E9"/>
    <w:rsid w:val="00EB5AD2"/>
    <w:rsid w:val="00EB7F52"/>
    <w:rsid w:val="00EB7FDF"/>
    <w:rsid w:val="00EC0599"/>
    <w:rsid w:val="00EC09CB"/>
    <w:rsid w:val="00EC1708"/>
    <w:rsid w:val="00EC32AF"/>
    <w:rsid w:val="00EC34F2"/>
    <w:rsid w:val="00EC3E15"/>
    <w:rsid w:val="00EC3E8B"/>
    <w:rsid w:val="00EC3FCD"/>
    <w:rsid w:val="00EC44CD"/>
    <w:rsid w:val="00EC62AD"/>
    <w:rsid w:val="00EC65C0"/>
    <w:rsid w:val="00EC65CB"/>
    <w:rsid w:val="00EC66ED"/>
    <w:rsid w:val="00EC6D95"/>
    <w:rsid w:val="00EC7F08"/>
    <w:rsid w:val="00ED0E68"/>
    <w:rsid w:val="00ED1141"/>
    <w:rsid w:val="00ED2441"/>
    <w:rsid w:val="00ED31EC"/>
    <w:rsid w:val="00ED3220"/>
    <w:rsid w:val="00ED33A6"/>
    <w:rsid w:val="00ED3820"/>
    <w:rsid w:val="00ED4B1A"/>
    <w:rsid w:val="00ED4C9F"/>
    <w:rsid w:val="00ED5900"/>
    <w:rsid w:val="00ED59AB"/>
    <w:rsid w:val="00ED77CB"/>
    <w:rsid w:val="00ED7A7D"/>
    <w:rsid w:val="00EE0FE4"/>
    <w:rsid w:val="00EE15BD"/>
    <w:rsid w:val="00EE1C2D"/>
    <w:rsid w:val="00EE3751"/>
    <w:rsid w:val="00EE42FD"/>
    <w:rsid w:val="00EE4EE7"/>
    <w:rsid w:val="00EE4EED"/>
    <w:rsid w:val="00EE512F"/>
    <w:rsid w:val="00EE7091"/>
    <w:rsid w:val="00EF0429"/>
    <w:rsid w:val="00EF245E"/>
    <w:rsid w:val="00EF2A5B"/>
    <w:rsid w:val="00EF2DB0"/>
    <w:rsid w:val="00EF3537"/>
    <w:rsid w:val="00EF3992"/>
    <w:rsid w:val="00EF624A"/>
    <w:rsid w:val="00EF7795"/>
    <w:rsid w:val="00F004E7"/>
    <w:rsid w:val="00F00F73"/>
    <w:rsid w:val="00F01286"/>
    <w:rsid w:val="00F013FC"/>
    <w:rsid w:val="00F0140B"/>
    <w:rsid w:val="00F01CD4"/>
    <w:rsid w:val="00F02197"/>
    <w:rsid w:val="00F03197"/>
    <w:rsid w:val="00F0338A"/>
    <w:rsid w:val="00F0357B"/>
    <w:rsid w:val="00F043C9"/>
    <w:rsid w:val="00F04B3D"/>
    <w:rsid w:val="00F04C38"/>
    <w:rsid w:val="00F051F3"/>
    <w:rsid w:val="00F05EBA"/>
    <w:rsid w:val="00F0607C"/>
    <w:rsid w:val="00F06605"/>
    <w:rsid w:val="00F06929"/>
    <w:rsid w:val="00F069A5"/>
    <w:rsid w:val="00F073FE"/>
    <w:rsid w:val="00F0741C"/>
    <w:rsid w:val="00F101CA"/>
    <w:rsid w:val="00F107BE"/>
    <w:rsid w:val="00F10D31"/>
    <w:rsid w:val="00F10E8B"/>
    <w:rsid w:val="00F10FAB"/>
    <w:rsid w:val="00F11BE3"/>
    <w:rsid w:val="00F11E02"/>
    <w:rsid w:val="00F11E15"/>
    <w:rsid w:val="00F1264C"/>
    <w:rsid w:val="00F126B6"/>
    <w:rsid w:val="00F12DD6"/>
    <w:rsid w:val="00F1482E"/>
    <w:rsid w:val="00F1545E"/>
    <w:rsid w:val="00F154E8"/>
    <w:rsid w:val="00F15550"/>
    <w:rsid w:val="00F15844"/>
    <w:rsid w:val="00F15A6A"/>
    <w:rsid w:val="00F1640D"/>
    <w:rsid w:val="00F16BA3"/>
    <w:rsid w:val="00F17307"/>
    <w:rsid w:val="00F1734E"/>
    <w:rsid w:val="00F201B5"/>
    <w:rsid w:val="00F22146"/>
    <w:rsid w:val="00F222CE"/>
    <w:rsid w:val="00F22AE1"/>
    <w:rsid w:val="00F22CC4"/>
    <w:rsid w:val="00F23852"/>
    <w:rsid w:val="00F23E7F"/>
    <w:rsid w:val="00F24EB7"/>
    <w:rsid w:val="00F25B5A"/>
    <w:rsid w:val="00F30A5E"/>
    <w:rsid w:val="00F31452"/>
    <w:rsid w:val="00F31959"/>
    <w:rsid w:val="00F32764"/>
    <w:rsid w:val="00F32959"/>
    <w:rsid w:val="00F34C42"/>
    <w:rsid w:val="00F34FDA"/>
    <w:rsid w:val="00F3555C"/>
    <w:rsid w:val="00F358AA"/>
    <w:rsid w:val="00F35D24"/>
    <w:rsid w:val="00F36E6B"/>
    <w:rsid w:val="00F36F53"/>
    <w:rsid w:val="00F37175"/>
    <w:rsid w:val="00F37299"/>
    <w:rsid w:val="00F3736C"/>
    <w:rsid w:val="00F37B23"/>
    <w:rsid w:val="00F37E41"/>
    <w:rsid w:val="00F402AE"/>
    <w:rsid w:val="00F4046D"/>
    <w:rsid w:val="00F40E58"/>
    <w:rsid w:val="00F43CE9"/>
    <w:rsid w:val="00F446C8"/>
    <w:rsid w:val="00F457A8"/>
    <w:rsid w:val="00F45B10"/>
    <w:rsid w:val="00F45C4B"/>
    <w:rsid w:val="00F45D78"/>
    <w:rsid w:val="00F46CCD"/>
    <w:rsid w:val="00F472EB"/>
    <w:rsid w:val="00F47650"/>
    <w:rsid w:val="00F479C8"/>
    <w:rsid w:val="00F47AEB"/>
    <w:rsid w:val="00F502D0"/>
    <w:rsid w:val="00F50DB0"/>
    <w:rsid w:val="00F51B40"/>
    <w:rsid w:val="00F5216A"/>
    <w:rsid w:val="00F5252C"/>
    <w:rsid w:val="00F52978"/>
    <w:rsid w:val="00F52FF3"/>
    <w:rsid w:val="00F534B9"/>
    <w:rsid w:val="00F535B2"/>
    <w:rsid w:val="00F535C3"/>
    <w:rsid w:val="00F547A3"/>
    <w:rsid w:val="00F55A86"/>
    <w:rsid w:val="00F55CDB"/>
    <w:rsid w:val="00F5607B"/>
    <w:rsid w:val="00F56ED1"/>
    <w:rsid w:val="00F56F02"/>
    <w:rsid w:val="00F57D4F"/>
    <w:rsid w:val="00F60EE1"/>
    <w:rsid w:val="00F6223F"/>
    <w:rsid w:val="00F62613"/>
    <w:rsid w:val="00F64E68"/>
    <w:rsid w:val="00F64F54"/>
    <w:rsid w:val="00F650CC"/>
    <w:rsid w:val="00F651E5"/>
    <w:rsid w:val="00F65787"/>
    <w:rsid w:val="00F658F2"/>
    <w:rsid w:val="00F65BD7"/>
    <w:rsid w:val="00F661AA"/>
    <w:rsid w:val="00F66432"/>
    <w:rsid w:val="00F66819"/>
    <w:rsid w:val="00F66AB1"/>
    <w:rsid w:val="00F66D75"/>
    <w:rsid w:val="00F66FA3"/>
    <w:rsid w:val="00F6735B"/>
    <w:rsid w:val="00F67405"/>
    <w:rsid w:val="00F6757B"/>
    <w:rsid w:val="00F67ACD"/>
    <w:rsid w:val="00F703C1"/>
    <w:rsid w:val="00F72143"/>
    <w:rsid w:val="00F72399"/>
    <w:rsid w:val="00F72CEF"/>
    <w:rsid w:val="00F72DDF"/>
    <w:rsid w:val="00F7381E"/>
    <w:rsid w:val="00F7479F"/>
    <w:rsid w:val="00F74D8D"/>
    <w:rsid w:val="00F76A37"/>
    <w:rsid w:val="00F81382"/>
    <w:rsid w:val="00F813B4"/>
    <w:rsid w:val="00F81514"/>
    <w:rsid w:val="00F8168F"/>
    <w:rsid w:val="00F81BB1"/>
    <w:rsid w:val="00F81EDC"/>
    <w:rsid w:val="00F8244F"/>
    <w:rsid w:val="00F8263E"/>
    <w:rsid w:val="00F82C87"/>
    <w:rsid w:val="00F83843"/>
    <w:rsid w:val="00F84652"/>
    <w:rsid w:val="00F852EE"/>
    <w:rsid w:val="00F852FE"/>
    <w:rsid w:val="00F8577B"/>
    <w:rsid w:val="00F85CBF"/>
    <w:rsid w:val="00F85F9C"/>
    <w:rsid w:val="00F86101"/>
    <w:rsid w:val="00F86918"/>
    <w:rsid w:val="00F86EF7"/>
    <w:rsid w:val="00F8794B"/>
    <w:rsid w:val="00F906DA"/>
    <w:rsid w:val="00F923E6"/>
    <w:rsid w:val="00F9283C"/>
    <w:rsid w:val="00F93509"/>
    <w:rsid w:val="00F95774"/>
    <w:rsid w:val="00F96739"/>
    <w:rsid w:val="00F97F22"/>
    <w:rsid w:val="00F97F85"/>
    <w:rsid w:val="00FA02A4"/>
    <w:rsid w:val="00FA08AE"/>
    <w:rsid w:val="00FA0B54"/>
    <w:rsid w:val="00FA0D3B"/>
    <w:rsid w:val="00FA230C"/>
    <w:rsid w:val="00FA24CB"/>
    <w:rsid w:val="00FA256D"/>
    <w:rsid w:val="00FA2D78"/>
    <w:rsid w:val="00FA3888"/>
    <w:rsid w:val="00FA4993"/>
    <w:rsid w:val="00FA525F"/>
    <w:rsid w:val="00FA5671"/>
    <w:rsid w:val="00FA62A2"/>
    <w:rsid w:val="00FA63CB"/>
    <w:rsid w:val="00FA7B2D"/>
    <w:rsid w:val="00FA7DE4"/>
    <w:rsid w:val="00FB10BC"/>
    <w:rsid w:val="00FB1943"/>
    <w:rsid w:val="00FB23D7"/>
    <w:rsid w:val="00FB2FDB"/>
    <w:rsid w:val="00FB486C"/>
    <w:rsid w:val="00FB5531"/>
    <w:rsid w:val="00FB57EA"/>
    <w:rsid w:val="00FB698C"/>
    <w:rsid w:val="00FB717C"/>
    <w:rsid w:val="00FB7D53"/>
    <w:rsid w:val="00FC0075"/>
    <w:rsid w:val="00FC0241"/>
    <w:rsid w:val="00FC0922"/>
    <w:rsid w:val="00FC2E51"/>
    <w:rsid w:val="00FC2E57"/>
    <w:rsid w:val="00FC3821"/>
    <w:rsid w:val="00FC4225"/>
    <w:rsid w:val="00FC4FB1"/>
    <w:rsid w:val="00FC4FB8"/>
    <w:rsid w:val="00FC7668"/>
    <w:rsid w:val="00FD09F3"/>
    <w:rsid w:val="00FD0EF0"/>
    <w:rsid w:val="00FD1302"/>
    <w:rsid w:val="00FD1327"/>
    <w:rsid w:val="00FD182D"/>
    <w:rsid w:val="00FD18DF"/>
    <w:rsid w:val="00FD1FEE"/>
    <w:rsid w:val="00FD3099"/>
    <w:rsid w:val="00FD3163"/>
    <w:rsid w:val="00FD34A0"/>
    <w:rsid w:val="00FD3AE7"/>
    <w:rsid w:val="00FD5959"/>
    <w:rsid w:val="00FD5A7B"/>
    <w:rsid w:val="00FD5C8C"/>
    <w:rsid w:val="00FD67D6"/>
    <w:rsid w:val="00FD697B"/>
    <w:rsid w:val="00FE083C"/>
    <w:rsid w:val="00FE1E61"/>
    <w:rsid w:val="00FE2ED0"/>
    <w:rsid w:val="00FE3983"/>
    <w:rsid w:val="00FE478A"/>
    <w:rsid w:val="00FE5563"/>
    <w:rsid w:val="00FE69FA"/>
    <w:rsid w:val="00FE6B19"/>
    <w:rsid w:val="00FE6BD7"/>
    <w:rsid w:val="00FE7852"/>
    <w:rsid w:val="00FF072B"/>
    <w:rsid w:val="00FF0DE6"/>
    <w:rsid w:val="00FF16BB"/>
    <w:rsid w:val="00FF1701"/>
    <w:rsid w:val="00FF27E6"/>
    <w:rsid w:val="00FF2A92"/>
    <w:rsid w:val="00FF2E7C"/>
    <w:rsid w:val="00FF2F29"/>
    <w:rsid w:val="00FF3675"/>
    <w:rsid w:val="00FF38FC"/>
    <w:rsid w:val="00FF3B48"/>
    <w:rsid w:val="00FF47B5"/>
    <w:rsid w:val="00FF49E3"/>
    <w:rsid w:val="00FF4FB4"/>
    <w:rsid w:val="00FF511C"/>
    <w:rsid w:val="00FF5B56"/>
    <w:rsid w:val="00FF61BD"/>
    <w:rsid w:val="00FF635F"/>
    <w:rsid w:val="00FF63F2"/>
    <w:rsid w:val="076763BE"/>
  </w:rsids>
  <m:mathPr>
    <m:mathFont m:val="Cambria Math"/>
    <m:brkBin m:val="before"/>
    <m:brkBinSub m:val="--"/>
    <m:smallFrac m:val="1"/>
    <m:dispDef m:val="0"/>
    <m:lMargin m:val="0"/>
    <m:rMargin m:val="0"/>
    <m:defJc m:val="centerGroup"/>
    <m:wrapIndent m:val="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AutoShape 16"/>
        <o:r id="V:Rule2" type="connector" idref="#AutoShape 17"/>
        <o:r id="V:Rule3" type="connector" idref="#AutoShape 18"/>
        <o:r id="V:Rule4" type="connector" idref="#AutoShape 19"/>
        <o:r id="V:Rule5" type="connector" idref="#AutoShape 21"/>
        <o:r id="V:Rule6" type="connector" idref="#AutoShape 22"/>
        <o:r id="V:Rule7" type="connector" idref="#AutoShape 23"/>
        <o:r id="V:Rule8" type="connector" idref="#AutoShape 24"/>
        <o:r id="V:Rule9" type="connector" idref="#AutoShape 23"/>
        <o:r id="V:Rule10" type="connector" idref="#AutoShape 21"/>
        <o:r id="V:Rule11" type="connector" idref="#AutoShape 25"/>
        <o:r id="V:Rule12" type="connector" idref="#直接箭头连接符 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99"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jc w:val="both"/>
      <w:textAlignment w:val="baseline"/>
    </w:pPr>
    <w:rPr>
      <w:rFonts w:ascii="Times New Roman" w:hAnsi="Times New Roman" w:eastAsia="Times New Roman" w:cs="Times New Roman"/>
      <w:kern w:val="2"/>
      <w:sz w:val="21"/>
      <w:szCs w:val="24"/>
      <w:lang w:val="en-US" w:eastAsia="zh-CN" w:bidi="ar-SA"/>
    </w:rPr>
  </w:style>
  <w:style w:type="paragraph" w:styleId="2">
    <w:name w:val="heading 1"/>
    <w:basedOn w:val="1"/>
    <w:next w:val="1"/>
    <w:qFormat/>
    <w:uiPriority w:val="0"/>
    <w:pPr>
      <w:keepNext/>
      <w:keepLines/>
      <w:spacing w:beforeLines="100" w:afterLines="100" w:line="480" w:lineRule="atLeast"/>
      <w:ind w:left="420"/>
      <w:jc w:val="center"/>
      <w:outlineLvl w:val="0"/>
    </w:pPr>
    <w:rPr>
      <w:rFonts w:eastAsiaTheme="minorEastAsia"/>
      <w:b/>
      <w:color w:val="000000" w:themeColor="text1"/>
      <w:spacing w:val="8"/>
      <w:kern w:val="0"/>
      <w:sz w:val="30"/>
      <w:szCs w:val="30"/>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5"/>
    <w:semiHidden/>
    <w:unhideWhenUsed/>
    <w:qFormat/>
    <w:uiPriority w:val="0"/>
    <w:pPr>
      <w:keepNext/>
      <w:keepLines/>
      <w:spacing w:before="260" w:after="260" w:line="416" w:lineRule="auto"/>
      <w:outlineLvl w:val="2"/>
    </w:pPr>
    <w:rPr>
      <w:b/>
      <w:bCs/>
      <w:sz w:val="32"/>
      <w:szCs w:val="32"/>
    </w:rPr>
  </w:style>
  <w:style w:type="paragraph" w:styleId="5">
    <w:name w:val="heading 7"/>
    <w:basedOn w:val="1"/>
    <w:next w:val="1"/>
    <w:link w:val="56"/>
    <w:semiHidden/>
    <w:unhideWhenUsed/>
    <w:qFormat/>
    <w:uiPriority w:val="0"/>
    <w:pPr>
      <w:keepNext/>
      <w:keepLines/>
      <w:spacing w:before="240" w:after="64" w:line="320" w:lineRule="atLeast"/>
      <w:outlineLvl w:val="6"/>
    </w:pPr>
    <w:rPr>
      <w:b/>
      <w:bCs/>
      <w:sz w:val="24"/>
    </w:rPr>
  </w:style>
  <w:style w:type="character" w:default="1" w:styleId="21">
    <w:name w:val="Default Paragraph Font"/>
    <w:semiHidden/>
    <w:unhideWhenUsed/>
    <w:uiPriority w:val="1"/>
  </w:style>
  <w:style w:type="table" w:default="1" w:styleId="25">
    <w:name w:val="Normal Table"/>
    <w:semiHidden/>
    <w:unhideWhenUsed/>
    <w:uiPriority w:val="99"/>
    <w:tblPr>
      <w:tblLayout w:type="fixed"/>
      <w:tblCellMar>
        <w:top w:w="0" w:type="dxa"/>
        <w:left w:w="108" w:type="dxa"/>
        <w:bottom w:w="0" w:type="dxa"/>
        <w:right w:w="108" w:type="dxa"/>
      </w:tblCellMar>
    </w:tblPr>
  </w:style>
  <w:style w:type="paragraph" w:styleId="6">
    <w:name w:val="annotation subject"/>
    <w:basedOn w:val="7"/>
    <w:next w:val="7"/>
    <w:semiHidden/>
    <w:qFormat/>
    <w:uiPriority w:val="0"/>
    <w:rPr>
      <w:b/>
      <w:bCs/>
    </w:rPr>
  </w:style>
  <w:style w:type="paragraph" w:styleId="7">
    <w:name w:val="annotation text"/>
    <w:basedOn w:val="1"/>
    <w:link w:val="27"/>
    <w:semiHidden/>
    <w:qFormat/>
    <w:uiPriority w:val="99"/>
    <w:pPr>
      <w:jc w:val="left"/>
    </w:pPr>
  </w:style>
  <w:style w:type="paragraph" w:styleId="8">
    <w:name w:val="caption"/>
    <w:basedOn w:val="1"/>
    <w:next w:val="1"/>
    <w:link w:val="39"/>
    <w:qFormat/>
    <w:uiPriority w:val="0"/>
    <w:pPr>
      <w:spacing w:beforeLines="25" w:afterLines="25" w:line="300" w:lineRule="auto"/>
    </w:pPr>
    <w:rPr>
      <w:rFonts w:ascii="Arial" w:hAnsi="Arial" w:eastAsia="黑体"/>
      <w:sz w:val="20"/>
      <w:szCs w:val="20"/>
    </w:rPr>
  </w:style>
  <w:style w:type="paragraph" w:styleId="9">
    <w:name w:val="Document Map"/>
    <w:basedOn w:val="1"/>
    <w:link w:val="33"/>
    <w:qFormat/>
    <w:uiPriority w:val="0"/>
    <w:rPr>
      <w:rFonts w:ascii="宋体"/>
      <w:sz w:val="18"/>
      <w:szCs w:val="18"/>
    </w:rPr>
  </w:style>
  <w:style w:type="paragraph" w:styleId="10">
    <w:name w:val="Body Text"/>
    <w:basedOn w:val="1"/>
    <w:link w:val="38"/>
    <w:qFormat/>
    <w:uiPriority w:val="0"/>
    <w:pPr>
      <w:spacing w:after="120"/>
    </w:pPr>
  </w:style>
  <w:style w:type="paragraph" w:styleId="11">
    <w:name w:val="Body Text Indent"/>
    <w:basedOn w:val="1"/>
    <w:link w:val="40"/>
    <w:qFormat/>
    <w:uiPriority w:val="0"/>
    <w:pPr>
      <w:spacing w:line="360" w:lineRule="auto"/>
      <w:ind w:firstLine="560"/>
    </w:pPr>
    <w:rPr>
      <w:sz w:val="28"/>
      <w:szCs w:val="20"/>
    </w:rPr>
  </w:style>
  <w:style w:type="paragraph" w:styleId="12">
    <w:name w:val="Date"/>
    <w:basedOn w:val="1"/>
    <w:next w:val="1"/>
    <w:qFormat/>
    <w:uiPriority w:val="0"/>
    <w:pPr>
      <w:ind w:left="100" w:leftChars="2500"/>
    </w:pPr>
  </w:style>
  <w:style w:type="paragraph" w:styleId="13">
    <w:name w:val="Body Text Indent 2"/>
    <w:basedOn w:val="1"/>
    <w:qFormat/>
    <w:uiPriority w:val="0"/>
    <w:pPr>
      <w:spacing w:after="120" w:line="480" w:lineRule="auto"/>
      <w:ind w:left="420" w:leftChars="200"/>
    </w:pPr>
  </w:style>
  <w:style w:type="paragraph" w:styleId="14">
    <w:name w:val="Balloon Text"/>
    <w:basedOn w:val="1"/>
    <w:link w:val="28"/>
    <w:qFormat/>
    <w:uiPriority w:val="0"/>
    <w:rPr>
      <w:sz w:val="18"/>
      <w:szCs w:val="18"/>
    </w:rPr>
  </w:style>
  <w:style w:type="paragraph" w:styleId="15">
    <w:name w:val="footer"/>
    <w:basedOn w:val="1"/>
    <w:link w:val="41"/>
    <w:qFormat/>
    <w:uiPriority w:val="99"/>
    <w:pPr>
      <w:tabs>
        <w:tab w:val="center" w:pos="4153"/>
        <w:tab w:val="right" w:pos="8306"/>
      </w:tabs>
      <w:snapToGrid w:val="0"/>
      <w:jc w:val="left"/>
    </w:pPr>
    <w:rPr>
      <w:sz w:val="18"/>
      <w:szCs w:val="18"/>
    </w:rPr>
  </w:style>
  <w:style w:type="paragraph" w:styleId="16">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toc 2"/>
    <w:basedOn w:val="1"/>
    <w:next w:val="1"/>
    <w:qFormat/>
    <w:uiPriority w:val="39"/>
    <w:pPr>
      <w:tabs>
        <w:tab w:val="left" w:pos="851"/>
        <w:tab w:val="right" w:leader="dot" w:pos="8296"/>
      </w:tabs>
      <w:ind w:left="420" w:leftChars="200"/>
    </w:p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0">
    <w:name w:val="Title"/>
    <w:basedOn w:val="1"/>
    <w:next w:val="1"/>
    <w:link w:val="44"/>
    <w:qFormat/>
    <w:uiPriority w:val="0"/>
    <w:pPr>
      <w:spacing w:before="240" w:after="60"/>
      <w:jc w:val="center"/>
      <w:outlineLvl w:val="0"/>
    </w:pPr>
    <w:rPr>
      <w:rFonts w:asciiTheme="majorHAnsi" w:hAnsiTheme="majorHAnsi" w:cstheme="majorBidi"/>
      <w:b/>
      <w:bCs/>
      <w:sz w:val="32"/>
      <w:szCs w:val="32"/>
    </w:rPr>
  </w:style>
  <w:style w:type="character" w:styleId="22">
    <w:name w:val="page number"/>
    <w:basedOn w:val="21"/>
    <w:qFormat/>
    <w:uiPriority w:val="0"/>
  </w:style>
  <w:style w:type="character" w:styleId="23">
    <w:name w:val="Hyperlink"/>
    <w:basedOn w:val="21"/>
    <w:unhideWhenUsed/>
    <w:qFormat/>
    <w:uiPriority w:val="99"/>
    <w:rPr>
      <w:color w:val="0000FF" w:themeColor="hyperlink"/>
      <w:u w:val="single"/>
    </w:rPr>
  </w:style>
  <w:style w:type="character" w:styleId="24">
    <w:name w:val="annotation reference"/>
    <w:qFormat/>
    <w:uiPriority w:val="99"/>
    <w:rPr>
      <w:sz w:val="21"/>
      <w:szCs w:val="21"/>
    </w:r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7">
    <w:name w:val="批注文字 Char"/>
    <w:link w:val="7"/>
    <w:semiHidden/>
    <w:qFormat/>
    <w:uiPriority w:val="99"/>
    <w:rPr>
      <w:kern w:val="2"/>
      <w:sz w:val="21"/>
      <w:szCs w:val="24"/>
    </w:rPr>
  </w:style>
  <w:style w:type="character" w:customStyle="1" w:styleId="28">
    <w:name w:val="批注框文本 Char"/>
    <w:link w:val="14"/>
    <w:qFormat/>
    <w:uiPriority w:val="0"/>
    <w:rPr>
      <w:kern w:val="2"/>
      <w:sz w:val="18"/>
      <w:szCs w:val="18"/>
    </w:rPr>
  </w:style>
  <w:style w:type="paragraph" w:customStyle="1" w:styleId="29">
    <w:name w:val="默认段落字体 Para Char"/>
    <w:basedOn w:val="1"/>
    <w:qFormat/>
    <w:uiPriority w:val="0"/>
    <w:rPr>
      <w:sz w:val="24"/>
    </w:rPr>
  </w:style>
  <w:style w:type="paragraph" w:styleId="30">
    <w:name w:val="List Paragraph"/>
    <w:basedOn w:val="1"/>
    <w:qFormat/>
    <w:uiPriority w:val="0"/>
    <w:pPr>
      <w:ind w:firstLine="420" w:firstLineChars="200"/>
    </w:pPr>
    <w:rPr>
      <w:rFonts w:ascii="Calibri" w:hAnsi="Calibri"/>
      <w:szCs w:val="22"/>
    </w:rPr>
  </w:style>
  <w:style w:type="paragraph" w:customStyle="1" w:styleId="31">
    <w:name w:val="列出段落1"/>
    <w:basedOn w:val="1"/>
    <w:qFormat/>
    <w:uiPriority w:val="0"/>
    <w:pPr>
      <w:ind w:firstLine="420" w:firstLineChars="200"/>
    </w:pPr>
    <w:rPr>
      <w:rFonts w:ascii="Calibri" w:hAnsi="Calibri"/>
      <w:szCs w:val="22"/>
    </w:rPr>
  </w:style>
  <w:style w:type="character" w:customStyle="1" w:styleId="32">
    <w:name w:val="页眉 Char"/>
    <w:link w:val="16"/>
    <w:qFormat/>
    <w:uiPriority w:val="0"/>
    <w:rPr>
      <w:kern w:val="2"/>
      <w:sz w:val="18"/>
      <w:szCs w:val="18"/>
    </w:rPr>
  </w:style>
  <w:style w:type="character" w:customStyle="1" w:styleId="33">
    <w:name w:val="文档结构图 Char"/>
    <w:link w:val="9"/>
    <w:qFormat/>
    <w:uiPriority w:val="0"/>
    <w:rPr>
      <w:rFonts w:ascii="宋体"/>
      <w:kern w:val="2"/>
      <w:sz w:val="18"/>
      <w:szCs w:val="18"/>
    </w:rPr>
  </w:style>
  <w:style w:type="paragraph" w:customStyle="1" w:styleId="34">
    <w:name w:val="标准标志"/>
    <w:next w:val="1"/>
    <w:qFormat/>
    <w:uiPriority w:val="0"/>
    <w:pPr>
      <w:framePr w:w="2268" w:h="1392" w:hRule="exact" w:wrap="around" w:vAnchor="margin" w:hAnchor="margin" w:x="6748" w:y="171" w:anchorLock="1"/>
      <w:widowControl w:val="0"/>
      <w:shd w:val="solid" w:color="FFFFFF" w:fill="FFFFFF"/>
      <w:adjustRightInd w:val="0"/>
      <w:spacing w:line="0" w:lineRule="atLeast"/>
      <w:jc w:val="right"/>
      <w:textAlignment w:val="baseline"/>
    </w:pPr>
    <w:rPr>
      <w:rFonts w:ascii="Times New Roman" w:hAnsi="Times New Roman" w:eastAsia="Times New Roman" w:cs="Times New Roman"/>
      <w:b/>
      <w:w w:val="130"/>
      <w:sz w:val="96"/>
      <w:lang w:val="en-US" w:eastAsia="zh-CN" w:bidi="ar-SA"/>
    </w:rPr>
  </w:style>
  <w:style w:type="paragraph" w:customStyle="1" w:styleId="35">
    <w:name w:val="封面标准号1"/>
    <w:qFormat/>
    <w:uiPriority w:val="0"/>
    <w:pPr>
      <w:widowControl w:val="0"/>
      <w:kinsoku w:val="0"/>
      <w:overflowPunct w:val="0"/>
      <w:autoSpaceDE w:val="0"/>
      <w:autoSpaceDN w:val="0"/>
      <w:adjustRightInd w:val="0"/>
      <w:spacing w:before="308" w:line="360" w:lineRule="atLeast"/>
      <w:jc w:val="right"/>
      <w:textAlignment w:val="center"/>
    </w:pPr>
    <w:rPr>
      <w:rFonts w:ascii="Times New Roman" w:hAnsi="Times New Roman" w:eastAsia="Times New Roman" w:cs="Times New Roman"/>
      <w:sz w:val="28"/>
      <w:lang w:val="en-US" w:eastAsia="zh-CN" w:bidi="ar-SA"/>
    </w:rPr>
  </w:style>
  <w:style w:type="paragraph" w:customStyle="1" w:styleId="36">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rPr>
  </w:style>
  <w:style w:type="paragraph" w:customStyle="1" w:styleId="37">
    <w:name w:val="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38">
    <w:name w:val="正文文本 Char"/>
    <w:link w:val="10"/>
    <w:qFormat/>
    <w:uiPriority w:val="0"/>
    <w:rPr>
      <w:kern w:val="2"/>
      <w:sz w:val="21"/>
      <w:szCs w:val="24"/>
    </w:rPr>
  </w:style>
  <w:style w:type="character" w:customStyle="1" w:styleId="39">
    <w:name w:val="题注 Char"/>
    <w:link w:val="8"/>
    <w:qFormat/>
    <w:uiPriority w:val="0"/>
    <w:rPr>
      <w:rFonts w:ascii="Arial" w:hAnsi="Arial" w:eastAsia="黑体" w:cs="Arial"/>
      <w:kern w:val="2"/>
    </w:rPr>
  </w:style>
  <w:style w:type="character" w:customStyle="1" w:styleId="40">
    <w:name w:val="正文文本缩进 Char"/>
    <w:link w:val="11"/>
    <w:qFormat/>
    <w:uiPriority w:val="0"/>
    <w:rPr>
      <w:kern w:val="2"/>
      <w:sz w:val="28"/>
    </w:rPr>
  </w:style>
  <w:style w:type="character" w:customStyle="1" w:styleId="41">
    <w:name w:val="页脚 Char"/>
    <w:link w:val="15"/>
    <w:qFormat/>
    <w:uiPriority w:val="99"/>
    <w:rPr>
      <w:kern w:val="2"/>
      <w:sz w:val="18"/>
      <w:szCs w:val="18"/>
    </w:rPr>
  </w:style>
  <w:style w:type="paragraph" w:customStyle="1" w:styleId="42">
    <w:name w:val="Revision"/>
    <w:hidden/>
    <w:semiHidden/>
    <w:qFormat/>
    <w:uiPriority w:val="99"/>
    <w:pPr>
      <w:widowControl w:val="0"/>
      <w:adjustRightInd w:val="0"/>
      <w:spacing w:line="360" w:lineRule="atLeast"/>
      <w:jc w:val="both"/>
      <w:textAlignment w:val="baseline"/>
    </w:pPr>
    <w:rPr>
      <w:rFonts w:ascii="Times New Roman" w:hAnsi="Times New Roman" w:eastAsia="Times New Roman" w:cs="Times New Roman"/>
      <w:kern w:val="2"/>
      <w:sz w:val="21"/>
      <w:szCs w:val="24"/>
      <w:lang w:val="en-US" w:eastAsia="zh-CN" w:bidi="ar-SA"/>
    </w:rPr>
  </w:style>
  <w:style w:type="character" w:styleId="43">
    <w:name w:val="Placeholder Text"/>
    <w:basedOn w:val="21"/>
    <w:semiHidden/>
    <w:qFormat/>
    <w:uiPriority w:val="99"/>
    <w:rPr>
      <w:color w:val="808080"/>
    </w:rPr>
  </w:style>
  <w:style w:type="character" w:customStyle="1" w:styleId="44">
    <w:name w:val="标题 Char"/>
    <w:basedOn w:val="21"/>
    <w:link w:val="20"/>
    <w:qFormat/>
    <w:uiPriority w:val="0"/>
    <w:rPr>
      <w:rFonts w:eastAsia="Times New Roman" w:asciiTheme="majorHAnsi" w:hAnsiTheme="majorHAnsi" w:cstheme="majorBidi"/>
      <w:b/>
      <w:bCs/>
      <w:kern w:val="2"/>
      <w:sz w:val="32"/>
      <w:szCs w:val="32"/>
    </w:rPr>
  </w:style>
  <w:style w:type="character" w:customStyle="1" w:styleId="45">
    <w:name w:val="正文文本 (3) + Constantia"/>
    <w:qFormat/>
    <w:uiPriority w:val="99"/>
    <w:rPr>
      <w:rFonts w:ascii="Constantia" w:hAnsi="Constantia" w:eastAsia="Times New Roman" w:cs="Constantia"/>
      <w:color w:val="000000"/>
      <w:spacing w:val="0"/>
      <w:w w:val="100"/>
      <w:position w:val="0"/>
      <w:sz w:val="9"/>
      <w:szCs w:val="9"/>
      <w:u w:val="none"/>
      <w:lang w:val="en-US"/>
    </w:rPr>
  </w:style>
  <w:style w:type="character" w:customStyle="1" w:styleId="46">
    <w:name w:val="正文文本 (3) + MingLiU"/>
    <w:qFormat/>
    <w:uiPriority w:val="99"/>
    <w:rPr>
      <w:rFonts w:ascii="MingLiU" w:hAnsi="MingLiU" w:eastAsia="MingLiU" w:cs="MingLiU"/>
      <w:color w:val="000000"/>
      <w:spacing w:val="0"/>
      <w:w w:val="100"/>
      <w:position w:val="0"/>
      <w:sz w:val="11"/>
      <w:szCs w:val="11"/>
      <w:u w:val="none"/>
      <w:lang w:val="zh-TW"/>
    </w:rPr>
  </w:style>
  <w:style w:type="paragraph" w:customStyle="1" w:styleId="47">
    <w:name w:val="段"/>
    <w:link w:val="48"/>
    <w:qFormat/>
    <w:uiPriority w:val="0"/>
    <w:pPr>
      <w:widowControl w:val="0"/>
      <w:tabs>
        <w:tab w:val="center" w:pos="4201"/>
        <w:tab w:val="right" w:leader="dot" w:pos="9298"/>
      </w:tabs>
      <w:autoSpaceDE w:val="0"/>
      <w:autoSpaceDN w:val="0"/>
      <w:adjustRightInd w:val="0"/>
      <w:spacing w:line="360" w:lineRule="atLeast"/>
      <w:ind w:firstLine="420" w:firstLineChars="200"/>
      <w:jc w:val="both"/>
      <w:textAlignment w:val="baseline"/>
    </w:pPr>
    <w:rPr>
      <w:rFonts w:ascii="宋体" w:hAnsi="Times New Roman" w:eastAsia="Times New Roman" w:cs="Times New Roman"/>
      <w:sz w:val="21"/>
      <w:szCs w:val="21"/>
      <w:lang w:val="en-US" w:eastAsia="zh-CN" w:bidi="ar-SA"/>
    </w:rPr>
  </w:style>
  <w:style w:type="character" w:customStyle="1" w:styleId="48">
    <w:name w:val="段 Char"/>
    <w:link w:val="47"/>
    <w:qFormat/>
    <w:locked/>
    <w:uiPriority w:val="0"/>
    <w:rPr>
      <w:rFonts w:ascii="宋体" w:cs="宋体"/>
      <w:sz w:val="21"/>
      <w:szCs w:val="21"/>
    </w:rPr>
  </w:style>
  <w:style w:type="paragraph" w:customStyle="1" w:styleId="49">
    <w:name w:val="列出段落2"/>
    <w:basedOn w:val="1"/>
    <w:qFormat/>
    <w:uiPriority w:val="0"/>
    <w:pPr>
      <w:ind w:firstLine="420" w:firstLineChars="200"/>
    </w:pPr>
    <w:rPr>
      <w:rFonts w:ascii="Calibri" w:hAnsi="Calibri" w:cs="Calibri"/>
      <w:szCs w:val="21"/>
    </w:rPr>
  </w:style>
  <w:style w:type="paragraph" w:customStyle="1" w:styleId="50">
    <w:name w:val="表格"/>
    <w:basedOn w:val="1"/>
    <w:link w:val="51"/>
    <w:qFormat/>
    <w:uiPriority w:val="0"/>
    <w:pPr>
      <w:jc w:val="center"/>
    </w:pPr>
    <w:rPr>
      <w:sz w:val="24"/>
      <w:szCs w:val="28"/>
    </w:rPr>
  </w:style>
  <w:style w:type="character" w:customStyle="1" w:styleId="51">
    <w:name w:val="表格 Char"/>
    <w:link w:val="50"/>
    <w:qFormat/>
    <w:uiPriority w:val="0"/>
    <w:rPr>
      <w:kern w:val="2"/>
      <w:sz w:val="24"/>
      <w:szCs w:val="28"/>
    </w:rPr>
  </w:style>
  <w:style w:type="paragraph" w:customStyle="1" w:styleId="52">
    <w:name w:val="加粗正文"/>
    <w:basedOn w:val="1"/>
    <w:qFormat/>
    <w:uiPriority w:val="0"/>
    <w:pPr>
      <w:spacing w:line="360" w:lineRule="auto"/>
      <w:ind w:firstLine="560" w:firstLineChars="200"/>
    </w:pPr>
    <w:rPr>
      <w:rFonts w:eastAsia="黑体"/>
      <w:b/>
      <w:sz w:val="28"/>
    </w:rPr>
  </w:style>
  <w:style w:type="paragraph" w:customStyle="1" w:styleId="53">
    <w:name w:val="Default"/>
    <w:qFormat/>
    <w:uiPriority w:val="0"/>
    <w:pPr>
      <w:widowControl w:val="0"/>
      <w:autoSpaceDE w:val="0"/>
      <w:autoSpaceDN w:val="0"/>
      <w:adjustRightInd w:val="0"/>
      <w:spacing w:line="360" w:lineRule="atLeast"/>
      <w:jc w:val="both"/>
      <w:textAlignment w:val="baseline"/>
    </w:pPr>
    <w:rPr>
      <w:rFonts w:ascii="Times New Roman" w:hAnsi="Times New Roman" w:eastAsia="Times New Roman" w:cs="Times New Roman"/>
      <w:color w:val="000000"/>
      <w:sz w:val="24"/>
      <w:szCs w:val="24"/>
      <w:lang w:val="en-US" w:eastAsia="zh-CN" w:bidi="ar-SA"/>
    </w:rPr>
  </w:style>
  <w:style w:type="paragraph" w:customStyle="1" w:styleId="54">
    <w:name w:val="！我的正文"/>
    <w:basedOn w:val="1"/>
    <w:qFormat/>
    <w:uiPriority w:val="0"/>
    <w:pPr>
      <w:spacing w:line="360" w:lineRule="auto"/>
      <w:ind w:firstLine="200" w:firstLineChars="200"/>
    </w:pPr>
    <w:rPr>
      <w:rFonts w:eastAsia="仿宋_GB2312"/>
      <w:sz w:val="28"/>
    </w:rPr>
  </w:style>
  <w:style w:type="character" w:customStyle="1" w:styleId="55">
    <w:name w:val="标题 3 Char"/>
    <w:basedOn w:val="21"/>
    <w:link w:val="4"/>
    <w:semiHidden/>
    <w:qFormat/>
    <w:uiPriority w:val="0"/>
    <w:rPr>
      <w:b/>
      <w:bCs/>
      <w:kern w:val="2"/>
      <w:sz w:val="32"/>
      <w:szCs w:val="32"/>
    </w:rPr>
  </w:style>
  <w:style w:type="character" w:customStyle="1" w:styleId="56">
    <w:name w:val="标题 7 Char"/>
    <w:basedOn w:val="21"/>
    <w:link w:val="5"/>
    <w:qFormat/>
    <w:uiPriority w:val="0"/>
    <w:rPr>
      <w:rFonts w:eastAsia="Times New Roman"/>
      <w:b/>
      <w:bCs/>
      <w:kern w:val="2"/>
      <w:sz w:val="24"/>
      <w:szCs w:val="24"/>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customXml" Target="../customXml/item2.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oleObject" Target="embeddings/oleObject38.bin"/><Relationship Id="rId94" Type="http://schemas.openxmlformats.org/officeDocument/2006/relationships/image" Target="media/image47.wmf"/><Relationship Id="rId93" Type="http://schemas.openxmlformats.org/officeDocument/2006/relationships/oleObject" Target="embeddings/oleObject37.bin"/><Relationship Id="rId92" Type="http://schemas.openxmlformats.org/officeDocument/2006/relationships/image" Target="media/image46.emf"/><Relationship Id="rId91" Type="http://schemas.openxmlformats.org/officeDocument/2006/relationships/oleObject" Target="embeddings/oleObject36.bin"/><Relationship Id="rId90" Type="http://schemas.openxmlformats.org/officeDocument/2006/relationships/image" Target="media/image45.wmf"/><Relationship Id="rId9" Type="http://schemas.openxmlformats.org/officeDocument/2006/relationships/footer" Target="footer3.xml"/><Relationship Id="rId89" Type="http://schemas.openxmlformats.org/officeDocument/2006/relationships/oleObject" Target="embeddings/oleObject35.bin"/><Relationship Id="rId88" Type="http://schemas.openxmlformats.org/officeDocument/2006/relationships/image" Target="media/image44.wmf"/><Relationship Id="rId87" Type="http://schemas.openxmlformats.org/officeDocument/2006/relationships/oleObject" Target="embeddings/oleObject34.bin"/><Relationship Id="rId86" Type="http://schemas.openxmlformats.org/officeDocument/2006/relationships/image" Target="media/image43.wmf"/><Relationship Id="rId85" Type="http://schemas.openxmlformats.org/officeDocument/2006/relationships/oleObject" Target="embeddings/oleObject33.bin"/><Relationship Id="rId84" Type="http://schemas.openxmlformats.org/officeDocument/2006/relationships/image" Target="media/image42.wmf"/><Relationship Id="rId83" Type="http://schemas.openxmlformats.org/officeDocument/2006/relationships/oleObject" Target="embeddings/oleObject32.bin"/><Relationship Id="rId82" Type="http://schemas.openxmlformats.org/officeDocument/2006/relationships/image" Target="media/image41.wmf"/><Relationship Id="rId81" Type="http://schemas.openxmlformats.org/officeDocument/2006/relationships/image" Target="media/image40.wmf"/><Relationship Id="rId80" Type="http://schemas.openxmlformats.org/officeDocument/2006/relationships/image" Target="media/image39.wmf"/><Relationship Id="rId8" Type="http://schemas.openxmlformats.org/officeDocument/2006/relationships/footer" Target="footer2.xml"/><Relationship Id="rId79" Type="http://schemas.openxmlformats.org/officeDocument/2006/relationships/image" Target="media/image38.wmf"/><Relationship Id="rId78" Type="http://schemas.openxmlformats.org/officeDocument/2006/relationships/image" Target="media/image37.wmf"/><Relationship Id="rId77" Type="http://schemas.openxmlformats.org/officeDocument/2006/relationships/image" Target="media/image36.wmf"/><Relationship Id="rId76" Type="http://schemas.openxmlformats.org/officeDocument/2006/relationships/image" Target="media/image35.wmf"/><Relationship Id="rId75" Type="http://schemas.openxmlformats.org/officeDocument/2006/relationships/image" Target="media/image34.wmf"/><Relationship Id="rId74" Type="http://schemas.openxmlformats.org/officeDocument/2006/relationships/oleObject" Target="embeddings/oleObject31.bin"/><Relationship Id="rId73" Type="http://schemas.openxmlformats.org/officeDocument/2006/relationships/image" Target="media/image33.wmf"/><Relationship Id="rId72" Type="http://schemas.openxmlformats.org/officeDocument/2006/relationships/oleObject" Target="embeddings/oleObject30.bin"/><Relationship Id="rId71" Type="http://schemas.openxmlformats.org/officeDocument/2006/relationships/image" Target="media/image32.wmf"/><Relationship Id="rId70" Type="http://schemas.openxmlformats.org/officeDocument/2006/relationships/oleObject" Target="embeddings/oleObject29.bin"/><Relationship Id="rId7" Type="http://schemas.openxmlformats.org/officeDocument/2006/relationships/footer" Target="footer1.xml"/><Relationship Id="rId69" Type="http://schemas.openxmlformats.org/officeDocument/2006/relationships/image" Target="media/image31.wmf"/><Relationship Id="rId68" Type="http://schemas.openxmlformats.org/officeDocument/2006/relationships/oleObject" Target="embeddings/oleObject28.bin"/><Relationship Id="rId67" Type="http://schemas.openxmlformats.org/officeDocument/2006/relationships/image" Target="media/image30.wmf"/><Relationship Id="rId66" Type="http://schemas.openxmlformats.org/officeDocument/2006/relationships/oleObject" Target="embeddings/oleObject27.bin"/><Relationship Id="rId65" Type="http://schemas.openxmlformats.org/officeDocument/2006/relationships/image" Target="media/image29.jpeg"/><Relationship Id="rId64" Type="http://schemas.openxmlformats.org/officeDocument/2006/relationships/image" Target="media/image28.wmf"/><Relationship Id="rId63" Type="http://schemas.openxmlformats.org/officeDocument/2006/relationships/oleObject" Target="embeddings/oleObject26.bin"/><Relationship Id="rId62" Type="http://schemas.openxmlformats.org/officeDocument/2006/relationships/image" Target="media/image27.jpeg"/><Relationship Id="rId61" Type="http://schemas.openxmlformats.org/officeDocument/2006/relationships/image" Target="media/image26.jpeg"/><Relationship Id="rId60" Type="http://schemas.openxmlformats.org/officeDocument/2006/relationships/image" Target="media/image25.wmf"/><Relationship Id="rId6" Type="http://schemas.openxmlformats.org/officeDocument/2006/relationships/header" Target="header2.xml"/><Relationship Id="rId59" Type="http://schemas.openxmlformats.org/officeDocument/2006/relationships/oleObject" Target="embeddings/oleObject25.bin"/><Relationship Id="rId58" Type="http://schemas.openxmlformats.org/officeDocument/2006/relationships/image" Target="media/image24.wmf"/><Relationship Id="rId57" Type="http://schemas.openxmlformats.org/officeDocument/2006/relationships/oleObject" Target="embeddings/oleObject24.bin"/><Relationship Id="rId56" Type="http://schemas.openxmlformats.org/officeDocument/2006/relationships/oleObject" Target="embeddings/oleObject23.bin"/><Relationship Id="rId55" Type="http://schemas.openxmlformats.org/officeDocument/2006/relationships/image" Target="media/image23.wmf"/><Relationship Id="rId54" Type="http://schemas.openxmlformats.org/officeDocument/2006/relationships/oleObject" Target="embeddings/oleObject22.bin"/><Relationship Id="rId53" Type="http://schemas.openxmlformats.org/officeDocument/2006/relationships/image" Target="media/image22.wmf"/><Relationship Id="rId52" Type="http://schemas.openxmlformats.org/officeDocument/2006/relationships/oleObject" Target="embeddings/oleObject21.bin"/><Relationship Id="rId51" Type="http://schemas.openxmlformats.org/officeDocument/2006/relationships/image" Target="media/image21.wmf"/><Relationship Id="rId50" Type="http://schemas.openxmlformats.org/officeDocument/2006/relationships/oleObject" Target="embeddings/oleObject20.bin"/><Relationship Id="rId5" Type="http://schemas.openxmlformats.org/officeDocument/2006/relationships/header" Target="header1.xml"/><Relationship Id="rId49" Type="http://schemas.openxmlformats.org/officeDocument/2006/relationships/image" Target="media/image20.wmf"/><Relationship Id="rId48" Type="http://schemas.openxmlformats.org/officeDocument/2006/relationships/oleObject" Target="embeddings/oleObject19.bin"/><Relationship Id="rId47" Type="http://schemas.openxmlformats.org/officeDocument/2006/relationships/image" Target="media/image19.wmf"/><Relationship Id="rId46" Type="http://schemas.openxmlformats.org/officeDocument/2006/relationships/oleObject" Target="embeddings/oleObject18.bin"/><Relationship Id="rId45" Type="http://schemas.openxmlformats.org/officeDocument/2006/relationships/image" Target="media/image18.wmf"/><Relationship Id="rId44" Type="http://schemas.openxmlformats.org/officeDocument/2006/relationships/oleObject" Target="embeddings/oleObject17.bin"/><Relationship Id="rId43" Type="http://schemas.openxmlformats.org/officeDocument/2006/relationships/image" Target="media/image17.wmf"/><Relationship Id="rId42" Type="http://schemas.openxmlformats.org/officeDocument/2006/relationships/oleObject" Target="embeddings/oleObject16.bin"/><Relationship Id="rId41" Type="http://schemas.openxmlformats.org/officeDocument/2006/relationships/image" Target="media/image16.wmf"/><Relationship Id="rId40" Type="http://schemas.openxmlformats.org/officeDocument/2006/relationships/oleObject" Target="embeddings/oleObject15.bin"/><Relationship Id="rId4" Type="http://schemas.microsoft.com/office/2011/relationships/commentsExtended" Target="commentsExtended.xml"/><Relationship Id="rId39" Type="http://schemas.openxmlformats.org/officeDocument/2006/relationships/image" Target="media/image15.wmf"/><Relationship Id="rId38" Type="http://schemas.openxmlformats.org/officeDocument/2006/relationships/oleObject" Target="embeddings/oleObject14.bin"/><Relationship Id="rId37" Type="http://schemas.openxmlformats.org/officeDocument/2006/relationships/image" Target="media/image14.wmf"/><Relationship Id="rId36" Type="http://schemas.openxmlformats.org/officeDocument/2006/relationships/oleObject" Target="embeddings/oleObject13.bin"/><Relationship Id="rId35" Type="http://schemas.openxmlformats.org/officeDocument/2006/relationships/image" Target="media/image13.wmf"/><Relationship Id="rId34" Type="http://schemas.openxmlformats.org/officeDocument/2006/relationships/oleObject" Target="embeddings/oleObject12.bin"/><Relationship Id="rId33" Type="http://schemas.openxmlformats.org/officeDocument/2006/relationships/image" Target="media/image12.wmf"/><Relationship Id="rId32" Type="http://schemas.openxmlformats.org/officeDocument/2006/relationships/oleObject" Target="embeddings/oleObject11.bin"/><Relationship Id="rId31" Type="http://schemas.openxmlformats.org/officeDocument/2006/relationships/image" Target="media/image11.emf"/><Relationship Id="rId30" Type="http://schemas.openxmlformats.org/officeDocument/2006/relationships/image" Target="media/image10.wmf"/><Relationship Id="rId3" Type="http://schemas.openxmlformats.org/officeDocument/2006/relationships/comments" Target="comments.xml"/><Relationship Id="rId29" Type="http://schemas.openxmlformats.org/officeDocument/2006/relationships/oleObject" Target="embeddings/oleObject10.bin"/><Relationship Id="rId28" Type="http://schemas.openxmlformats.org/officeDocument/2006/relationships/image" Target="media/image9.wmf"/><Relationship Id="rId27" Type="http://schemas.openxmlformats.org/officeDocument/2006/relationships/oleObject" Target="embeddings/oleObject9.bin"/><Relationship Id="rId26" Type="http://schemas.openxmlformats.org/officeDocument/2006/relationships/image" Target="media/image8.wmf"/><Relationship Id="rId25" Type="http://schemas.openxmlformats.org/officeDocument/2006/relationships/oleObject" Target="embeddings/oleObject8.bin"/><Relationship Id="rId24" Type="http://schemas.openxmlformats.org/officeDocument/2006/relationships/image" Target="media/image7.wmf"/><Relationship Id="rId23" Type="http://schemas.openxmlformats.org/officeDocument/2006/relationships/oleObject" Target="embeddings/oleObject7.bin"/><Relationship Id="rId22" Type="http://schemas.openxmlformats.org/officeDocument/2006/relationships/image" Target="media/image6.wmf"/><Relationship Id="rId21" Type="http://schemas.openxmlformats.org/officeDocument/2006/relationships/oleObject" Target="embeddings/oleObject6.bin"/><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4.bin"/><Relationship Id="rId17" Type="http://schemas.openxmlformats.org/officeDocument/2006/relationships/image" Target="media/image4.wmf"/><Relationship Id="rId16" Type="http://schemas.openxmlformats.org/officeDocument/2006/relationships/oleObject" Target="embeddings/oleObject3.bin"/><Relationship Id="rId15" Type="http://schemas.openxmlformats.org/officeDocument/2006/relationships/image" Target="media/image3.w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image" Target="media/image1.wmf"/><Relationship Id="rId11" Type="http://schemas.openxmlformats.org/officeDocument/2006/relationships/oleObject" Target="embeddings/oleObject1.bin"/><Relationship Id="rId100" Type="http://schemas.microsoft.com/office/2011/relationships/people" Target="people.xml"/><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134"/>
    <customShpInfo spid="_x0000_s1133"/>
    <customShpInfo spid="_x0000_s1028"/>
    <customShpInfo spid="_x0000_s1030"/>
    <customShpInfo spid="_x0000_s1032"/>
    <customShpInfo spid="_x0000_s1034"/>
    <customShpInfo spid="_x0000_s1036"/>
    <customShpInfo spid="_x0000_s1038"/>
    <customShpInfo spid="_x0000_s1041"/>
    <customShpInfo spid="_x0000_s1042"/>
    <customShpInfo spid="_x0000_s1040"/>
    <customShpInfo spid="_x0000_s1045"/>
    <customShpInfo spid="_x0000_s1046"/>
    <customShpInfo spid="_x0000_s1044"/>
    <customShpInfo spid="_x0000_s1048"/>
    <customShpInfo spid="_x0000_s1049"/>
    <customShpInfo spid="_x0000_s1047"/>
    <customShpInfo spid="_x0000_s1050"/>
    <customShpInfo spid="_x0000_s1051"/>
    <customShpInfo spid="_x0000_s1053"/>
    <customShpInfo spid="_x0000_s1054"/>
    <customShpInfo spid="_x0000_s1052"/>
    <customShpInfo spid="_x0000_s1056"/>
    <customShpInfo spid="_x0000_s1057"/>
    <customShpInfo spid="_x0000_s1055"/>
    <customShpInfo spid="_x0000_s1059"/>
    <customShpInfo spid="_x0000_s1060"/>
    <customShpInfo spid="_x0000_s1058"/>
    <customShpInfo spid="_x0000_s1061"/>
    <customShpInfo spid="_x0000_s1062"/>
    <customShpInfo spid="_x0000_s1063"/>
    <customShpInfo spid="_x0000_s1064"/>
    <customShpInfo spid="_x0000_s1065"/>
    <customShpInfo spid="_x0000_s1066"/>
    <customShpInfo spid="_x0000_s1067"/>
    <customShpInfo spid="_x0000_s1043"/>
    <customShpInfo spid="_x0000_s1039"/>
    <customShpInfo spid="_x0000_s1037"/>
    <customShpInfo spid="_x0000_s1035"/>
    <customShpInfo spid="_x0000_s1033"/>
    <customShpInfo spid="_x0000_s1031"/>
    <customShpInfo spid="_x0000_s1029"/>
    <customShpInfo spid="_x0000_s1027"/>
    <customShpInfo spid="_x0000_s1131"/>
    <customShpInfo spid="_x0000_s1100"/>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6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18D8A3-4028-4911-AD2A-C336FAA8E0DB}">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342</Pages>
  <Words>26736</Words>
  <Characters>152396</Characters>
  <Lines>1269</Lines>
  <Paragraphs>357</Paragraphs>
  <TotalTime>2579</TotalTime>
  <ScaleCrop>false</ScaleCrop>
  <LinksUpToDate>false</LinksUpToDate>
  <CharactersWithSpaces>178775</CharactersWithSpaces>
  <Application>WPS Office_10.1.0.7401_F1E327BC-269C-435d-A152-05C5408002CA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2018-05-28T06:25:00Z</dcterms:created>
  <dc:creator>zhu_gh.yf</dc:creator>
  <cp:lastModifiedBy>gfc</cp:lastModifiedBy>
  <cp:lastPrinted>2018-04-26T07:16:00Z</cp:lastPrinted>
  <dcterms:modified xsi:type="dcterms:W3CDTF">2018-07-18T06:17:11Z</dcterms:modified>
  <dc:title>关于局部修订《室外排水设计规范》的几个问题</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